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BB732E" w14:textId="4A49B3B1" w:rsidR="00914329" w:rsidRPr="009271F6" w:rsidRDefault="008277A7" w:rsidP="008277A7">
      <w:pPr>
        <w:pStyle w:val="Pagedecouverture"/>
        <w:rPr>
          <w:noProof/>
        </w:rPr>
      </w:pPr>
      <w:bookmarkStart w:id="0" w:name="bookmark2"/>
      <w:bookmarkStart w:id="1" w:name="bookmark3"/>
      <w:bookmarkStart w:id="2" w:name="LW_BM_COVERPAGE"/>
      <w:r>
        <w:rPr>
          <w:noProof/>
        </w:rPr>
        <w:pict w14:anchorId="077A43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4" type="#_x0000_t75" alt="9F452B7F-6947-4D3C-9C27-2DA03362C3B4" style="width:455.25pt;height:489.75pt">
            <v:imagedata r:id="rId12" o:title=""/>
          </v:shape>
        </w:pict>
      </w:r>
    </w:p>
    <w:bookmarkEnd w:id="2"/>
    <w:p w14:paraId="5C3E7C7B" w14:textId="77777777" w:rsidR="00914329" w:rsidRPr="009271F6" w:rsidRDefault="00914329">
      <w:pPr>
        <w:rPr>
          <w:noProof/>
        </w:rPr>
        <w:sectPr w:rsidR="00914329" w:rsidRPr="009271F6" w:rsidSect="008277A7">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0"/>
          <w:cols w:space="720"/>
          <w:docGrid w:linePitch="360"/>
        </w:sectPr>
      </w:pPr>
    </w:p>
    <w:p w14:paraId="643A738B" w14:textId="77777777" w:rsidR="00914329" w:rsidRPr="009271F6" w:rsidRDefault="00914329">
      <w:pPr>
        <w:pStyle w:val="TOCHeading"/>
        <w:rPr>
          <w:noProof/>
        </w:rPr>
      </w:pPr>
      <w:bookmarkStart w:id="3" w:name="_GoBack"/>
      <w:bookmarkEnd w:id="3"/>
      <w:r>
        <w:rPr>
          <w:noProof/>
        </w:rPr>
        <w:lastRenderedPageBreak/>
        <w:t>Indice</w:t>
      </w:r>
    </w:p>
    <w:p w14:paraId="76087909" w14:textId="568226DA" w:rsidR="001B7135" w:rsidRDefault="00914329">
      <w:pPr>
        <w:pStyle w:val="TOC1"/>
        <w:rPr>
          <w:rFonts w:asciiTheme="minorHAnsi" w:eastAsiaTheme="minorEastAsia" w:hAnsiTheme="minorHAnsi" w:cstheme="minorBidi"/>
          <w:noProof/>
          <w:sz w:val="22"/>
          <w:szCs w:val="22"/>
        </w:rPr>
      </w:pPr>
      <w:r>
        <w:rPr>
          <w:noProof/>
          <w:sz w:val="23"/>
        </w:rPr>
        <w:fldChar w:fldCharType="begin"/>
      </w:r>
      <w:r>
        <w:rPr>
          <w:noProof/>
        </w:rPr>
        <w:instrText xml:space="preserve"> TOC \o "1-3" \h \z \u </w:instrText>
      </w:r>
      <w:r>
        <w:rPr>
          <w:noProof/>
          <w:sz w:val="23"/>
        </w:rPr>
        <w:fldChar w:fldCharType="separate"/>
      </w:r>
      <w:hyperlink w:anchor="_Toc125550742" w:history="1">
        <w:r w:rsidR="001B7135" w:rsidRPr="00660280">
          <w:rPr>
            <w:rStyle w:val="Hyperlink"/>
            <w:noProof/>
          </w:rPr>
          <w:t>1.</w:t>
        </w:r>
        <w:r w:rsidR="001B7135">
          <w:rPr>
            <w:rFonts w:asciiTheme="minorHAnsi" w:eastAsiaTheme="minorEastAsia" w:hAnsiTheme="minorHAnsi" w:cstheme="minorBidi"/>
            <w:noProof/>
            <w:sz w:val="22"/>
            <w:szCs w:val="22"/>
          </w:rPr>
          <w:tab/>
        </w:r>
        <w:r w:rsidR="001B7135" w:rsidRPr="00660280">
          <w:rPr>
            <w:rStyle w:val="Hyperlink"/>
            <w:noProof/>
            <w:shd w:val="clear" w:color="auto" w:fill="FFFFFF"/>
          </w:rPr>
          <w:t>Introduzione</w:t>
        </w:r>
        <w:r w:rsidR="001B7135">
          <w:rPr>
            <w:noProof/>
            <w:webHidden/>
          </w:rPr>
          <w:tab/>
        </w:r>
        <w:r w:rsidR="001B7135">
          <w:rPr>
            <w:noProof/>
            <w:webHidden/>
          </w:rPr>
          <w:fldChar w:fldCharType="begin"/>
        </w:r>
        <w:r w:rsidR="001B7135">
          <w:rPr>
            <w:noProof/>
            <w:webHidden/>
          </w:rPr>
          <w:instrText xml:space="preserve"> PAGEREF _Toc125550742 \h </w:instrText>
        </w:r>
        <w:r w:rsidR="001B7135">
          <w:rPr>
            <w:noProof/>
            <w:webHidden/>
          </w:rPr>
        </w:r>
        <w:r w:rsidR="001B7135">
          <w:rPr>
            <w:noProof/>
            <w:webHidden/>
          </w:rPr>
          <w:fldChar w:fldCharType="separate"/>
        </w:r>
        <w:r w:rsidR="001B7135">
          <w:rPr>
            <w:noProof/>
            <w:webHidden/>
          </w:rPr>
          <w:t>2</w:t>
        </w:r>
        <w:r w:rsidR="001B7135">
          <w:rPr>
            <w:noProof/>
            <w:webHidden/>
          </w:rPr>
          <w:fldChar w:fldCharType="end"/>
        </w:r>
      </w:hyperlink>
    </w:p>
    <w:p w14:paraId="3E184601" w14:textId="51C39CB1" w:rsidR="001B7135" w:rsidRDefault="008277A7">
      <w:pPr>
        <w:pStyle w:val="TOC2"/>
        <w:rPr>
          <w:rFonts w:asciiTheme="minorHAnsi" w:eastAsiaTheme="minorEastAsia" w:hAnsiTheme="minorHAnsi" w:cstheme="minorBidi"/>
          <w:noProof/>
          <w:sz w:val="22"/>
          <w:szCs w:val="22"/>
        </w:rPr>
      </w:pPr>
      <w:hyperlink w:anchor="_Toc125550743" w:history="1">
        <w:r w:rsidR="001B7135" w:rsidRPr="00660280">
          <w:rPr>
            <w:rStyle w:val="Hyperlink"/>
            <w:noProof/>
          </w:rPr>
          <w:t>1.1.</w:t>
        </w:r>
        <w:r w:rsidR="001B7135">
          <w:rPr>
            <w:rFonts w:asciiTheme="minorHAnsi" w:eastAsiaTheme="minorEastAsia" w:hAnsiTheme="minorHAnsi" w:cstheme="minorBidi"/>
            <w:noProof/>
            <w:sz w:val="22"/>
            <w:szCs w:val="22"/>
          </w:rPr>
          <w:tab/>
        </w:r>
        <w:r w:rsidR="001B7135" w:rsidRPr="00660280">
          <w:rPr>
            <w:rStyle w:val="Hyperlink"/>
            <w:noProof/>
          </w:rPr>
          <w:t>Contesto</w:t>
        </w:r>
        <w:r w:rsidR="001B7135">
          <w:rPr>
            <w:noProof/>
            <w:webHidden/>
          </w:rPr>
          <w:tab/>
        </w:r>
        <w:r w:rsidR="001B7135">
          <w:rPr>
            <w:noProof/>
            <w:webHidden/>
          </w:rPr>
          <w:fldChar w:fldCharType="begin"/>
        </w:r>
        <w:r w:rsidR="001B7135">
          <w:rPr>
            <w:noProof/>
            <w:webHidden/>
          </w:rPr>
          <w:instrText xml:space="preserve"> PAGEREF _Toc125550743 \h </w:instrText>
        </w:r>
        <w:r w:rsidR="001B7135">
          <w:rPr>
            <w:noProof/>
            <w:webHidden/>
          </w:rPr>
        </w:r>
        <w:r w:rsidR="001B7135">
          <w:rPr>
            <w:noProof/>
            <w:webHidden/>
          </w:rPr>
          <w:fldChar w:fldCharType="separate"/>
        </w:r>
        <w:r w:rsidR="001B7135">
          <w:rPr>
            <w:noProof/>
            <w:webHidden/>
          </w:rPr>
          <w:t>2</w:t>
        </w:r>
        <w:r w:rsidR="001B7135">
          <w:rPr>
            <w:noProof/>
            <w:webHidden/>
          </w:rPr>
          <w:fldChar w:fldCharType="end"/>
        </w:r>
      </w:hyperlink>
    </w:p>
    <w:p w14:paraId="44427865" w14:textId="1EB25A2F" w:rsidR="001B7135" w:rsidRDefault="008277A7">
      <w:pPr>
        <w:pStyle w:val="TOC1"/>
        <w:rPr>
          <w:rFonts w:asciiTheme="minorHAnsi" w:eastAsiaTheme="minorEastAsia" w:hAnsiTheme="minorHAnsi" w:cstheme="minorBidi"/>
          <w:noProof/>
          <w:sz w:val="22"/>
          <w:szCs w:val="22"/>
        </w:rPr>
      </w:pPr>
      <w:hyperlink w:anchor="_Toc125550744" w:history="1">
        <w:r w:rsidR="001B7135" w:rsidRPr="00660280">
          <w:rPr>
            <w:rStyle w:val="Hyperlink"/>
            <w:noProof/>
          </w:rPr>
          <w:t>2.</w:t>
        </w:r>
        <w:r w:rsidR="001B7135">
          <w:rPr>
            <w:rFonts w:asciiTheme="minorHAnsi" w:eastAsiaTheme="minorEastAsia" w:hAnsiTheme="minorHAnsi" w:cstheme="minorBidi"/>
            <w:noProof/>
            <w:sz w:val="22"/>
            <w:szCs w:val="22"/>
          </w:rPr>
          <w:tab/>
        </w:r>
        <w:r w:rsidR="001B7135" w:rsidRPr="00660280">
          <w:rPr>
            <w:rStyle w:val="Hyperlink"/>
            <w:noProof/>
            <w:shd w:val="clear" w:color="auto" w:fill="FFFFFF"/>
          </w:rPr>
          <w:t>Quadro giuridico e sua attuazione</w:t>
        </w:r>
        <w:r w:rsidR="001B7135">
          <w:rPr>
            <w:noProof/>
            <w:webHidden/>
          </w:rPr>
          <w:tab/>
        </w:r>
        <w:r w:rsidR="001B7135">
          <w:rPr>
            <w:noProof/>
            <w:webHidden/>
          </w:rPr>
          <w:fldChar w:fldCharType="begin"/>
        </w:r>
        <w:r w:rsidR="001B7135">
          <w:rPr>
            <w:noProof/>
            <w:webHidden/>
          </w:rPr>
          <w:instrText xml:space="preserve"> PAGEREF _Toc125550744 \h </w:instrText>
        </w:r>
        <w:r w:rsidR="001B7135">
          <w:rPr>
            <w:noProof/>
            <w:webHidden/>
          </w:rPr>
        </w:r>
        <w:r w:rsidR="001B7135">
          <w:rPr>
            <w:noProof/>
            <w:webHidden/>
          </w:rPr>
          <w:fldChar w:fldCharType="separate"/>
        </w:r>
        <w:r w:rsidR="001B7135">
          <w:rPr>
            <w:noProof/>
            <w:webHidden/>
          </w:rPr>
          <w:t>3</w:t>
        </w:r>
        <w:r w:rsidR="001B7135">
          <w:rPr>
            <w:noProof/>
            <w:webHidden/>
          </w:rPr>
          <w:fldChar w:fldCharType="end"/>
        </w:r>
      </w:hyperlink>
    </w:p>
    <w:p w14:paraId="451180F9" w14:textId="51C0E253" w:rsidR="001B7135" w:rsidRDefault="008277A7">
      <w:pPr>
        <w:pStyle w:val="TOC2"/>
        <w:rPr>
          <w:rFonts w:asciiTheme="minorHAnsi" w:eastAsiaTheme="minorEastAsia" w:hAnsiTheme="minorHAnsi" w:cstheme="minorBidi"/>
          <w:noProof/>
          <w:sz w:val="22"/>
          <w:szCs w:val="22"/>
        </w:rPr>
      </w:pPr>
      <w:hyperlink w:anchor="_Toc125550745" w:history="1">
        <w:r w:rsidR="001B7135" w:rsidRPr="00660280">
          <w:rPr>
            <w:rStyle w:val="Hyperlink"/>
            <w:noProof/>
          </w:rPr>
          <w:t>2.1.</w:t>
        </w:r>
        <w:r w:rsidR="001B7135">
          <w:rPr>
            <w:rFonts w:asciiTheme="minorHAnsi" w:eastAsiaTheme="minorEastAsia" w:hAnsiTheme="minorHAnsi" w:cstheme="minorBidi"/>
            <w:noProof/>
            <w:sz w:val="22"/>
            <w:szCs w:val="22"/>
          </w:rPr>
          <w:tab/>
        </w:r>
        <w:r w:rsidR="001B7135" w:rsidRPr="00660280">
          <w:rPr>
            <w:rStyle w:val="Hyperlink"/>
            <w:noProof/>
            <w:shd w:val="clear" w:color="auto" w:fill="FFFFFF"/>
          </w:rPr>
          <w:t>Attuazione della direttiva</w:t>
        </w:r>
        <w:r w:rsidR="001B7135">
          <w:rPr>
            <w:noProof/>
            <w:webHidden/>
          </w:rPr>
          <w:tab/>
        </w:r>
        <w:r w:rsidR="001B7135">
          <w:rPr>
            <w:noProof/>
            <w:webHidden/>
          </w:rPr>
          <w:fldChar w:fldCharType="begin"/>
        </w:r>
        <w:r w:rsidR="001B7135">
          <w:rPr>
            <w:noProof/>
            <w:webHidden/>
          </w:rPr>
          <w:instrText xml:space="preserve"> PAGEREF _Toc125550745 \h </w:instrText>
        </w:r>
        <w:r w:rsidR="001B7135">
          <w:rPr>
            <w:noProof/>
            <w:webHidden/>
          </w:rPr>
        </w:r>
        <w:r w:rsidR="001B7135">
          <w:rPr>
            <w:noProof/>
            <w:webHidden/>
          </w:rPr>
          <w:fldChar w:fldCharType="separate"/>
        </w:r>
        <w:r w:rsidR="001B7135">
          <w:rPr>
            <w:noProof/>
            <w:webHidden/>
          </w:rPr>
          <w:t>5</w:t>
        </w:r>
        <w:r w:rsidR="001B7135">
          <w:rPr>
            <w:noProof/>
            <w:webHidden/>
          </w:rPr>
          <w:fldChar w:fldCharType="end"/>
        </w:r>
      </w:hyperlink>
    </w:p>
    <w:p w14:paraId="4B8DB8D5" w14:textId="5FC67453" w:rsidR="001B7135" w:rsidRDefault="008277A7">
      <w:pPr>
        <w:pStyle w:val="TOC2"/>
        <w:rPr>
          <w:rFonts w:asciiTheme="minorHAnsi" w:eastAsiaTheme="minorEastAsia" w:hAnsiTheme="minorHAnsi" w:cstheme="minorBidi"/>
          <w:noProof/>
          <w:sz w:val="22"/>
          <w:szCs w:val="22"/>
        </w:rPr>
      </w:pPr>
      <w:hyperlink w:anchor="_Toc125550746" w:history="1">
        <w:r w:rsidR="001B7135" w:rsidRPr="00660280">
          <w:rPr>
            <w:rStyle w:val="Hyperlink"/>
            <w:noProof/>
          </w:rPr>
          <w:t>2.2.</w:t>
        </w:r>
        <w:r w:rsidR="001B7135">
          <w:rPr>
            <w:rFonts w:asciiTheme="minorHAnsi" w:eastAsiaTheme="minorEastAsia" w:hAnsiTheme="minorHAnsi" w:cstheme="minorBidi"/>
            <w:noProof/>
            <w:sz w:val="22"/>
            <w:szCs w:val="22"/>
          </w:rPr>
          <w:tab/>
        </w:r>
        <w:r w:rsidR="001B7135" w:rsidRPr="00660280">
          <w:rPr>
            <w:rStyle w:val="Hyperlink"/>
            <w:noProof/>
            <w:shd w:val="clear" w:color="auto" w:fill="FFFFFF"/>
          </w:rPr>
          <w:t>Parere del comitato consultivo</w:t>
        </w:r>
        <w:r w:rsidR="001B7135">
          <w:rPr>
            <w:noProof/>
            <w:webHidden/>
          </w:rPr>
          <w:tab/>
        </w:r>
        <w:r w:rsidR="001B7135">
          <w:rPr>
            <w:noProof/>
            <w:webHidden/>
          </w:rPr>
          <w:fldChar w:fldCharType="begin"/>
        </w:r>
        <w:r w:rsidR="001B7135">
          <w:rPr>
            <w:noProof/>
            <w:webHidden/>
          </w:rPr>
          <w:instrText xml:space="preserve"> PAGEREF _Toc125550746 \h </w:instrText>
        </w:r>
        <w:r w:rsidR="001B7135">
          <w:rPr>
            <w:noProof/>
            <w:webHidden/>
          </w:rPr>
        </w:r>
        <w:r w:rsidR="001B7135">
          <w:rPr>
            <w:noProof/>
            <w:webHidden/>
          </w:rPr>
          <w:fldChar w:fldCharType="separate"/>
        </w:r>
        <w:r w:rsidR="001B7135">
          <w:rPr>
            <w:noProof/>
            <w:webHidden/>
          </w:rPr>
          <w:t>6</w:t>
        </w:r>
        <w:r w:rsidR="001B7135">
          <w:rPr>
            <w:noProof/>
            <w:webHidden/>
          </w:rPr>
          <w:fldChar w:fldCharType="end"/>
        </w:r>
      </w:hyperlink>
    </w:p>
    <w:p w14:paraId="16F89E32" w14:textId="2EC11E7E" w:rsidR="001B7135" w:rsidRDefault="008277A7">
      <w:pPr>
        <w:pStyle w:val="TOC2"/>
        <w:rPr>
          <w:rFonts w:asciiTheme="minorHAnsi" w:eastAsiaTheme="minorEastAsia" w:hAnsiTheme="minorHAnsi" w:cstheme="minorBidi"/>
          <w:noProof/>
          <w:sz w:val="22"/>
          <w:szCs w:val="22"/>
        </w:rPr>
      </w:pPr>
      <w:hyperlink w:anchor="_Toc125550747" w:history="1">
        <w:r w:rsidR="001B7135" w:rsidRPr="00660280">
          <w:rPr>
            <w:rStyle w:val="Hyperlink"/>
            <w:noProof/>
          </w:rPr>
          <w:t>2.3.</w:t>
        </w:r>
        <w:r w:rsidR="001B7135">
          <w:rPr>
            <w:rFonts w:asciiTheme="minorHAnsi" w:eastAsiaTheme="minorEastAsia" w:hAnsiTheme="minorHAnsi" w:cstheme="minorBidi"/>
            <w:noProof/>
            <w:sz w:val="22"/>
            <w:szCs w:val="22"/>
          </w:rPr>
          <w:tab/>
        </w:r>
        <w:r w:rsidR="001B7135" w:rsidRPr="00660280">
          <w:rPr>
            <w:rStyle w:val="Hyperlink"/>
            <w:noProof/>
            <w:shd w:val="clear" w:color="auto" w:fill="FFFFFF"/>
          </w:rPr>
          <w:t>Autorità competenti</w:t>
        </w:r>
        <w:r w:rsidR="001B7135">
          <w:rPr>
            <w:noProof/>
            <w:webHidden/>
          </w:rPr>
          <w:tab/>
        </w:r>
        <w:r w:rsidR="001B7135">
          <w:rPr>
            <w:noProof/>
            <w:webHidden/>
          </w:rPr>
          <w:fldChar w:fldCharType="begin"/>
        </w:r>
        <w:r w:rsidR="001B7135">
          <w:rPr>
            <w:noProof/>
            <w:webHidden/>
          </w:rPr>
          <w:instrText xml:space="preserve"> PAGEREF _Toc125550747 \h </w:instrText>
        </w:r>
        <w:r w:rsidR="001B7135">
          <w:rPr>
            <w:noProof/>
            <w:webHidden/>
          </w:rPr>
        </w:r>
        <w:r w:rsidR="001B7135">
          <w:rPr>
            <w:noProof/>
            <w:webHidden/>
          </w:rPr>
          <w:fldChar w:fldCharType="separate"/>
        </w:r>
        <w:r w:rsidR="001B7135">
          <w:rPr>
            <w:noProof/>
            <w:webHidden/>
          </w:rPr>
          <w:t>6</w:t>
        </w:r>
        <w:r w:rsidR="001B7135">
          <w:rPr>
            <w:noProof/>
            <w:webHidden/>
          </w:rPr>
          <w:fldChar w:fldCharType="end"/>
        </w:r>
      </w:hyperlink>
    </w:p>
    <w:p w14:paraId="5AD99D55" w14:textId="46DDE388" w:rsidR="001B7135" w:rsidRDefault="008277A7">
      <w:pPr>
        <w:pStyle w:val="TOC1"/>
        <w:rPr>
          <w:rFonts w:asciiTheme="minorHAnsi" w:eastAsiaTheme="minorEastAsia" w:hAnsiTheme="minorHAnsi" w:cstheme="minorBidi"/>
          <w:noProof/>
          <w:sz w:val="22"/>
          <w:szCs w:val="22"/>
        </w:rPr>
      </w:pPr>
      <w:hyperlink w:anchor="_Toc125550748" w:history="1">
        <w:r w:rsidR="001B7135" w:rsidRPr="00660280">
          <w:rPr>
            <w:rStyle w:val="Hyperlink"/>
            <w:noProof/>
          </w:rPr>
          <w:t>3.</w:t>
        </w:r>
        <w:r w:rsidR="001B7135">
          <w:rPr>
            <w:rFonts w:asciiTheme="minorHAnsi" w:eastAsiaTheme="minorEastAsia" w:hAnsiTheme="minorHAnsi" w:cstheme="minorBidi"/>
            <w:noProof/>
            <w:sz w:val="22"/>
            <w:szCs w:val="22"/>
          </w:rPr>
          <w:tab/>
        </w:r>
        <w:r w:rsidR="001B7135" w:rsidRPr="00660280">
          <w:rPr>
            <w:rStyle w:val="Hyperlink"/>
            <w:noProof/>
            <w:shd w:val="clear" w:color="auto" w:fill="FFFFFF"/>
          </w:rPr>
          <w:t>Osservazioni</w:t>
        </w:r>
        <w:r w:rsidR="001B7135">
          <w:rPr>
            <w:noProof/>
            <w:webHidden/>
          </w:rPr>
          <w:tab/>
        </w:r>
        <w:r w:rsidR="001B7135">
          <w:rPr>
            <w:noProof/>
            <w:webHidden/>
          </w:rPr>
          <w:fldChar w:fldCharType="begin"/>
        </w:r>
        <w:r w:rsidR="001B7135">
          <w:rPr>
            <w:noProof/>
            <w:webHidden/>
          </w:rPr>
          <w:instrText xml:space="preserve"> PAGEREF _Toc125550748 \h </w:instrText>
        </w:r>
        <w:r w:rsidR="001B7135">
          <w:rPr>
            <w:noProof/>
            <w:webHidden/>
          </w:rPr>
        </w:r>
        <w:r w:rsidR="001B7135">
          <w:rPr>
            <w:noProof/>
            <w:webHidden/>
          </w:rPr>
          <w:fldChar w:fldCharType="separate"/>
        </w:r>
        <w:r w:rsidR="001B7135">
          <w:rPr>
            <w:noProof/>
            <w:webHidden/>
          </w:rPr>
          <w:t>6</w:t>
        </w:r>
        <w:r w:rsidR="001B7135">
          <w:rPr>
            <w:noProof/>
            <w:webHidden/>
          </w:rPr>
          <w:fldChar w:fldCharType="end"/>
        </w:r>
      </w:hyperlink>
    </w:p>
    <w:p w14:paraId="6975B66B" w14:textId="40287728" w:rsidR="001B7135" w:rsidRDefault="008277A7">
      <w:pPr>
        <w:pStyle w:val="TOC2"/>
        <w:rPr>
          <w:rFonts w:asciiTheme="minorHAnsi" w:eastAsiaTheme="minorEastAsia" w:hAnsiTheme="minorHAnsi" w:cstheme="minorBidi"/>
          <w:noProof/>
          <w:sz w:val="22"/>
          <w:szCs w:val="22"/>
        </w:rPr>
      </w:pPr>
      <w:hyperlink w:anchor="_Toc125550749" w:history="1">
        <w:r w:rsidR="001B7135" w:rsidRPr="00660280">
          <w:rPr>
            <w:rStyle w:val="Hyperlink"/>
            <w:noProof/>
          </w:rPr>
          <w:t>3.1.</w:t>
        </w:r>
        <w:r w:rsidR="001B7135">
          <w:rPr>
            <w:rFonts w:asciiTheme="minorHAnsi" w:eastAsiaTheme="minorEastAsia" w:hAnsiTheme="minorHAnsi" w:cstheme="minorBidi"/>
            <w:noProof/>
            <w:sz w:val="22"/>
            <w:szCs w:val="22"/>
          </w:rPr>
          <w:tab/>
        </w:r>
        <w:r w:rsidR="001B7135" w:rsidRPr="00660280">
          <w:rPr>
            <w:rStyle w:val="Hyperlink"/>
            <w:noProof/>
          </w:rPr>
          <w:t>Statistiche (2018-2020)</w:t>
        </w:r>
        <w:r w:rsidR="001B7135">
          <w:rPr>
            <w:noProof/>
            <w:webHidden/>
          </w:rPr>
          <w:tab/>
        </w:r>
        <w:r w:rsidR="001B7135">
          <w:rPr>
            <w:noProof/>
            <w:webHidden/>
          </w:rPr>
          <w:fldChar w:fldCharType="begin"/>
        </w:r>
        <w:r w:rsidR="001B7135">
          <w:rPr>
            <w:noProof/>
            <w:webHidden/>
          </w:rPr>
          <w:instrText xml:space="preserve"> PAGEREF _Toc125550749 \h </w:instrText>
        </w:r>
        <w:r w:rsidR="001B7135">
          <w:rPr>
            <w:noProof/>
            <w:webHidden/>
          </w:rPr>
        </w:r>
        <w:r w:rsidR="001B7135">
          <w:rPr>
            <w:noProof/>
            <w:webHidden/>
          </w:rPr>
          <w:fldChar w:fldCharType="separate"/>
        </w:r>
        <w:r w:rsidR="001B7135">
          <w:rPr>
            <w:noProof/>
            <w:webHidden/>
          </w:rPr>
          <w:t>8</w:t>
        </w:r>
        <w:r w:rsidR="001B7135">
          <w:rPr>
            <w:noProof/>
            <w:webHidden/>
          </w:rPr>
          <w:fldChar w:fldCharType="end"/>
        </w:r>
      </w:hyperlink>
    </w:p>
    <w:p w14:paraId="63E42054" w14:textId="02B15031" w:rsidR="001B7135" w:rsidRDefault="008277A7">
      <w:pPr>
        <w:pStyle w:val="TOC1"/>
        <w:rPr>
          <w:rFonts w:asciiTheme="minorHAnsi" w:eastAsiaTheme="minorEastAsia" w:hAnsiTheme="minorHAnsi" w:cstheme="minorBidi"/>
          <w:noProof/>
          <w:sz w:val="22"/>
          <w:szCs w:val="22"/>
        </w:rPr>
      </w:pPr>
      <w:hyperlink w:anchor="_Toc125550750" w:history="1">
        <w:r w:rsidR="001B7135" w:rsidRPr="00660280">
          <w:rPr>
            <w:rStyle w:val="Hyperlink"/>
            <w:noProof/>
          </w:rPr>
          <w:t>4.</w:t>
        </w:r>
        <w:r w:rsidR="001B7135">
          <w:rPr>
            <w:rFonts w:asciiTheme="minorHAnsi" w:eastAsiaTheme="minorEastAsia" w:hAnsiTheme="minorHAnsi" w:cstheme="minorBidi"/>
            <w:noProof/>
            <w:sz w:val="22"/>
            <w:szCs w:val="22"/>
          </w:rPr>
          <w:tab/>
        </w:r>
        <w:r w:rsidR="001B7135" w:rsidRPr="00660280">
          <w:rPr>
            <w:rStyle w:val="Hyperlink"/>
            <w:noProof/>
          </w:rPr>
          <w:t>Follow-up e miglioramento continuo</w:t>
        </w:r>
        <w:r w:rsidR="001B7135">
          <w:rPr>
            <w:noProof/>
            <w:webHidden/>
          </w:rPr>
          <w:tab/>
        </w:r>
        <w:r w:rsidR="001B7135">
          <w:rPr>
            <w:noProof/>
            <w:webHidden/>
          </w:rPr>
          <w:fldChar w:fldCharType="begin"/>
        </w:r>
        <w:r w:rsidR="001B7135">
          <w:rPr>
            <w:noProof/>
            <w:webHidden/>
          </w:rPr>
          <w:instrText xml:space="preserve"> PAGEREF _Toc125550750 \h </w:instrText>
        </w:r>
        <w:r w:rsidR="001B7135">
          <w:rPr>
            <w:noProof/>
            <w:webHidden/>
          </w:rPr>
        </w:r>
        <w:r w:rsidR="001B7135">
          <w:rPr>
            <w:noProof/>
            <w:webHidden/>
          </w:rPr>
          <w:fldChar w:fldCharType="separate"/>
        </w:r>
        <w:r w:rsidR="001B7135">
          <w:rPr>
            <w:noProof/>
            <w:webHidden/>
          </w:rPr>
          <w:t>11</w:t>
        </w:r>
        <w:r w:rsidR="001B7135">
          <w:rPr>
            <w:noProof/>
            <w:webHidden/>
          </w:rPr>
          <w:fldChar w:fldCharType="end"/>
        </w:r>
      </w:hyperlink>
    </w:p>
    <w:p w14:paraId="41B92137" w14:textId="668344FF" w:rsidR="001B7135" w:rsidRDefault="008277A7">
      <w:pPr>
        <w:pStyle w:val="TOC1"/>
        <w:rPr>
          <w:rFonts w:asciiTheme="minorHAnsi" w:eastAsiaTheme="minorEastAsia" w:hAnsiTheme="minorHAnsi" w:cstheme="minorBidi"/>
          <w:noProof/>
          <w:sz w:val="22"/>
          <w:szCs w:val="22"/>
        </w:rPr>
      </w:pPr>
      <w:hyperlink w:anchor="_Toc125550751" w:history="1">
        <w:r w:rsidR="001B7135" w:rsidRPr="00660280">
          <w:rPr>
            <w:rStyle w:val="Hyperlink"/>
            <w:noProof/>
          </w:rPr>
          <w:t>5.</w:t>
        </w:r>
        <w:r w:rsidR="001B7135">
          <w:rPr>
            <w:rFonts w:asciiTheme="minorHAnsi" w:eastAsiaTheme="minorEastAsia" w:hAnsiTheme="minorHAnsi" w:cstheme="minorBidi"/>
            <w:noProof/>
            <w:sz w:val="22"/>
            <w:szCs w:val="22"/>
          </w:rPr>
          <w:tab/>
        </w:r>
        <w:r w:rsidR="001B7135" w:rsidRPr="00660280">
          <w:rPr>
            <w:rStyle w:val="Hyperlink"/>
            <w:noProof/>
          </w:rPr>
          <w:t>Conclusioni</w:t>
        </w:r>
        <w:r w:rsidR="001B7135">
          <w:rPr>
            <w:noProof/>
            <w:webHidden/>
          </w:rPr>
          <w:tab/>
        </w:r>
        <w:r w:rsidR="001B7135">
          <w:rPr>
            <w:noProof/>
            <w:webHidden/>
          </w:rPr>
          <w:fldChar w:fldCharType="begin"/>
        </w:r>
        <w:r w:rsidR="001B7135">
          <w:rPr>
            <w:noProof/>
            <w:webHidden/>
          </w:rPr>
          <w:instrText xml:space="preserve"> PAGEREF _Toc125550751 \h </w:instrText>
        </w:r>
        <w:r w:rsidR="001B7135">
          <w:rPr>
            <w:noProof/>
            <w:webHidden/>
          </w:rPr>
        </w:r>
        <w:r w:rsidR="001B7135">
          <w:rPr>
            <w:noProof/>
            <w:webHidden/>
          </w:rPr>
          <w:fldChar w:fldCharType="separate"/>
        </w:r>
        <w:r w:rsidR="001B7135">
          <w:rPr>
            <w:noProof/>
            <w:webHidden/>
          </w:rPr>
          <w:t>12</w:t>
        </w:r>
        <w:r w:rsidR="001B7135">
          <w:rPr>
            <w:noProof/>
            <w:webHidden/>
          </w:rPr>
          <w:fldChar w:fldCharType="end"/>
        </w:r>
      </w:hyperlink>
    </w:p>
    <w:p w14:paraId="42B3D18F" w14:textId="33699F13" w:rsidR="00914329" w:rsidRPr="009271F6" w:rsidRDefault="00914329">
      <w:pPr>
        <w:rPr>
          <w:noProof/>
        </w:rPr>
      </w:pPr>
      <w:r>
        <w:rPr>
          <w:b/>
          <w:noProof/>
        </w:rPr>
        <w:fldChar w:fldCharType="end"/>
      </w:r>
    </w:p>
    <w:p w14:paraId="1DF562EE" w14:textId="3DC5C7C8" w:rsidR="00914329" w:rsidRPr="00494D5E" w:rsidRDefault="00914329" w:rsidP="008340E7">
      <w:pPr>
        <w:pStyle w:val="ManualHeading1"/>
        <w:rPr>
          <w:rStyle w:val="Corpsdutexte"/>
          <w:noProof/>
          <w:sz w:val="24"/>
        </w:rPr>
      </w:pPr>
      <w:r>
        <w:rPr>
          <w:noProof/>
        </w:rPr>
        <w:br w:type="page"/>
      </w:r>
      <w:bookmarkStart w:id="4" w:name="_Toc125550742"/>
      <w:r w:rsidR="008340E7" w:rsidRPr="008340E7">
        <w:rPr>
          <w:rStyle w:val="Corpsdutexte"/>
        </w:rPr>
        <w:t>1.</w:t>
      </w:r>
      <w:r w:rsidR="008340E7" w:rsidRPr="008340E7">
        <w:rPr>
          <w:rStyle w:val="Corpsdutexte"/>
        </w:rPr>
        <w:tab/>
      </w:r>
      <w:r>
        <w:rPr>
          <w:rStyle w:val="Corpsdutexte"/>
          <w:noProof/>
          <w:sz w:val="24"/>
        </w:rPr>
        <w:t>Introduzione</w:t>
      </w:r>
      <w:bookmarkEnd w:id="0"/>
      <w:bookmarkEnd w:id="1"/>
      <w:bookmarkEnd w:id="4"/>
    </w:p>
    <w:p w14:paraId="75B7E5C8" w14:textId="73A07504" w:rsidR="00257A3D" w:rsidRPr="001B7135" w:rsidRDefault="00257A3D" w:rsidP="00257A3D">
      <w:pPr>
        <w:autoSpaceDE w:val="0"/>
        <w:autoSpaceDN w:val="0"/>
        <w:adjustRightInd w:val="0"/>
        <w:spacing w:after="240"/>
        <w:rPr>
          <w:noProof/>
          <w:lang w:val="it-IT"/>
        </w:rPr>
      </w:pPr>
      <w:r w:rsidRPr="001B7135">
        <w:rPr>
          <w:noProof/>
          <w:lang w:val="it-IT"/>
        </w:rPr>
        <w:t>La direttiva 2006/117/Euratom</w:t>
      </w:r>
      <w:r>
        <w:rPr>
          <w:rStyle w:val="FootnoteReference"/>
          <w:noProof/>
        </w:rPr>
        <w:footnoteReference w:id="2"/>
      </w:r>
      <w:r w:rsidRPr="001B7135">
        <w:rPr>
          <w:noProof/>
          <w:lang w:val="it-IT"/>
        </w:rPr>
        <w:t xml:space="preserve"> del Consiglio (di seguito "la direttiva") istituisce un sistema comunitario di sorveglianza e controllo delle spedizioni transfrontaliere di rifiuti radioattivi e di combustibile esaurito, allo scopo di garantire una protezione adeguata della popolazione. Essa garantisce che gli Stati membri interessati siano informati riguardo alle spedizioni di rifiuti radioattivi e di combustibile nucleare esaurito effettuate verso il loro territorio o attraverso il medesimo e abbiano l'obbligo di dare il loro consenso alle spedizioni o di opporvi un rifiuto motivato.</w:t>
      </w:r>
    </w:p>
    <w:p w14:paraId="69E0FEFA" w14:textId="4CC416B7" w:rsidR="00B22493" w:rsidRPr="001B7135" w:rsidRDefault="00760502" w:rsidP="001464F7">
      <w:pPr>
        <w:pStyle w:val="Corpsdutexte1"/>
        <w:shd w:val="clear" w:color="auto" w:fill="auto"/>
        <w:spacing w:before="120" w:after="240" w:line="240" w:lineRule="auto"/>
        <w:ind w:left="23" w:right="20" w:firstLine="0"/>
        <w:jc w:val="both"/>
        <w:rPr>
          <w:noProof/>
          <w:sz w:val="24"/>
          <w:lang w:val="it-IT"/>
        </w:rPr>
      </w:pPr>
      <w:r w:rsidRPr="001B7135">
        <w:rPr>
          <w:noProof/>
          <w:sz w:val="24"/>
          <w:lang w:val="it-IT"/>
        </w:rPr>
        <w:t xml:space="preserve">Tutti gli Stati membri hanno recepito la direttiva e conformemente all'articolo 20, a partire dal 25 dicembre 2011, ogni tre anni trasmettono alla Commissione una relazione sulla sua attuazione. Nell'ultimo ciclo di rendicontazione, gli </w:t>
      </w:r>
      <w:r w:rsidRPr="001B7135">
        <w:rPr>
          <w:rStyle w:val="Corpsdutexte"/>
          <w:noProof/>
          <w:sz w:val="24"/>
          <w:lang w:val="it-IT"/>
        </w:rPr>
        <w:t>Stati membri</w:t>
      </w:r>
      <w:r w:rsidRPr="001B7135">
        <w:rPr>
          <w:noProof/>
          <w:sz w:val="24"/>
          <w:lang w:val="it-IT"/>
        </w:rPr>
        <w:t xml:space="preserve"> hanno presentato le ultime relazioni nazionali relative al periodo 2018-2020</w:t>
      </w:r>
      <w:r>
        <w:rPr>
          <w:rStyle w:val="FootnoteReference"/>
          <w:noProof/>
          <w:sz w:val="24"/>
        </w:rPr>
        <w:footnoteReference w:id="3"/>
      </w:r>
      <w:r w:rsidRPr="001B7135">
        <w:rPr>
          <w:noProof/>
          <w:sz w:val="24"/>
          <w:lang w:val="it-IT"/>
        </w:rPr>
        <w:t>.</w:t>
      </w:r>
      <w:r w:rsidRPr="001B7135">
        <w:rPr>
          <w:rStyle w:val="Corpsdutexte"/>
          <w:noProof/>
          <w:sz w:val="24"/>
          <w:lang w:val="it-IT"/>
        </w:rPr>
        <w:t xml:space="preserve"> Conformemente all'articolo 20 e s</w:t>
      </w:r>
      <w:r w:rsidRPr="001B7135">
        <w:rPr>
          <w:noProof/>
          <w:sz w:val="24"/>
          <w:lang w:val="it-IT"/>
        </w:rPr>
        <w:t>ulla base di tali relazioni, la Commissione ha predisposto la presente relazione di sintesi</w:t>
      </w:r>
      <w:r>
        <w:rPr>
          <w:rStyle w:val="FootnoteReference"/>
          <w:noProof/>
          <w:sz w:val="24"/>
        </w:rPr>
        <w:footnoteReference w:id="4"/>
      </w:r>
      <w:r w:rsidRPr="001B7135">
        <w:rPr>
          <w:noProof/>
          <w:sz w:val="24"/>
          <w:lang w:val="it-IT"/>
        </w:rPr>
        <w:t xml:space="preserve"> per il Parlamento europeo, il Consiglio e il Comitato economico e sociale europeo, tenendo conto del parere di un comitato consultivo</w:t>
      </w:r>
      <w:r>
        <w:rPr>
          <w:rStyle w:val="FootnoteReference"/>
          <w:noProof/>
          <w:sz w:val="24"/>
        </w:rPr>
        <w:footnoteReference w:id="5"/>
      </w:r>
      <w:r w:rsidRPr="001B7135">
        <w:rPr>
          <w:noProof/>
          <w:sz w:val="24"/>
          <w:lang w:val="it-IT"/>
        </w:rPr>
        <w:t xml:space="preserve"> e prestando particolare attenzione alle rispedizioni connesse alle spedizioni non autorizzate e ai rifiuti radioattivi non dichiarati</w:t>
      </w:r>
      <w:r>
        <w:rPr>
          <w:rStyle w:val="FootnoteReference"/>
          <w:noProof/>
          <w:sz w:val="24"/>
        </w:rPr>
        <w:footnoteReference w:id="6"/>
      </w:r>
      <w:r w:rsidRPr="001B7135">
        <w:rPr>
          <w:noProof/>
          <w:sz w:val="24"/>
          <w:lang w:val="it-IT"/>
        </w:rPr>
        <w:t>.</w:t>
      </w:r>
    </w:p>
    <w:p w14:paraId="79D23E30" w14:textId="1A346A76" w:rsidR="009D38FF" w:rsidRPr="001B7135" w:rsidRDefault="008B0DCB" w:rsidP="008B0DCB">
      <w:pPr>
        <w:autoSpaceDE w:val="0"/>
        <w:autoSpaceDN w:val="0"/>
        <w:adjustRightInd w:val="0"/>
        <w:spacing w:after="240"/>
        <w:rPr>
          <w:rStyle w:val="Corpsdutexte"/>
          <w:noProof/>
          <w:sz w:val="24"/>
          <w:lang w:val="it-IT"/>
        </w:rPr>
      </w:pPr>
      <w:r w:rsidRPr="001B7135">
        <w:rPr>
          <w:rStyle w:val="Corpsdutexte"/>
          <w:noProof/>
          <w:sz w:val="24"/>
          <w:lang w:val="it-IT"/>
        </w:rPr>
        <w:t>La presente relazione fa seguito alla terza relazione</w:t>
      </w:r>
      <w:r>
        <w:rPr>
          <w:rStyle w:val="FootnoteReference"/>
          <w:noProof/>
        </w:rPr>
        <w:footnoteReference w:id="7"/>
      </w:r>
      <w:r w:rsidRPr="001B7135">
        <w:rPr>
          <w:rStyle w:val="Corpsdutexte"/>
          <w:noProof/>
          <w:sz w:val="24"/>
          <w:lang w:val="it-IT"/>
        </w:rPr>
        <w:t xml:space="preserve"> della Commissione, relativa al periodo 2015-2017, e fornisce una rassegna delle autorizzazioni e delle spedizioni di combustibile esaurito e di rifiuti radioattivi nella Comunità. Le informazioni e i dati dettagliati su cui si basano le conclusioni sono forniti nel documento di lavoro dei servizi della Commissione che accompagna la relazione.</w:t>
      </w:r>
    </w:p>
    <w:p w14:paraId="10DEDD39" w14:textId="59B988E6" w:rsidR="009D38FF" w:rsidRPr="009271F6" w:rsidRDefault="008340E7" w:rsidP="008340E7">
      <w:pPr>
        <w:pStyle w:val="ManualHeading2"/>
        <w:rPr>
          <w:noProof/>
        </w:rPr>
      </w:pPr>
      <w:bookmarkStart w:id="5" w:name="_Toc125550743"/>
      <w:r w:rsidRPr="008340E7">
        <w:t>1.1.</w:t>
      </w:r>
      <w:r w:rsidRPr="008340E7">
        <w:tab/>
      </w:r>
      <w:r w:rsidR="009D38FF">
        <w:rPr>
          <w:noProof/>
        </w:rPr>
        <w:t>Contesto</w:t>
      </w:r>
      <w:bookmarkEnd w:id="5"/>
    </w:p>
    <w:p w14:paraId="50D99DE3" w14:textId="615CBC0A" w:rsidR="00914329" w:rsidRPr="001B7135" w:rsidRDefault="00914329" w:rsidP="008B0DCB">
      <w:pPr>
        <w:autoSpaceDE w:val="0"/>
        <w:autoSpaceDN w:val="0"/>
        <w:adjustRightInd w:val="0"/>
        <w:spacing w:after="240"/>
        <w:rPr>
          <w:noProof/>
          <w:lang w:val="it-IT"/>
        </w:rPr>
      </w:pPr>
      <w:r w:rsidRPr="001B7135">
        <w:rPr>
          <w:noProof/>
          <w:lang w:val="it-IT"/>
        </w:rPr>
        <w:t xml:space="preserve">Tutti gli Stati membri dell'UE producono rifiuti radioattivi generati da impianti, quali centrali nucleari e reattori di ricerca, o da attività quali, le applicazioni radioisotopiche in medicina, nell'industria, in agricoltura e nel campo della ricerca e dell'istruzione. </w:t>
      </w:r>
    </w:p>
    <w:p w14:paraId="478AE08F" w14:textId="1012D409" w:rsidR="00914329" w:rsidRPr="001B7135" w:rsidRDefault="00A14006">
      <w:pPr>
        <w:autoSpaceDE w:val="0"/>
        <w:autoSpaceDN w:val="0"/>
        <w:adjustRightInd w:val="0"/>
        <w:spacing w:after="240"/>
        <w:rPr>
          <w:noProof/>
          <w:lang w:val="it-IT"/>
        </w:rPr>
      </w:pPr>
      <w:r w:rsidRPr="001B7135">
        <w:rPr>
          <w:noProof/>
          <w:lang w:val="it-IT"/>
        </w:rPr>
        <w:t xml:space="preserve">Gli impianti con reattori nucleari producono anche combustibile esaurito, ossia combustibile nucleare irraggiato e successivamente rimosso in modo definitivo dal nocciolo di un reattore. Il combustibile esaurito può essere considerato una risorsa da sottoporre a ritrattamento o essere scartato come rifiuto radioattivo e destinato allo smaltimento definitivo, senza che siano previsti altri utilizzi. </w:t>
      </w:r>
    </w:p>
    <w:p w14:paraId="3D5D20C8" w14:textId="20223B94" w:rsidR="00107CC1" w:rsidRPr="001B7135" w:rsidRDefault="00107CC1">
      <w:pPr>
        <w:autoSpaceDE w:val="0"/>
        <w:autoSpaceDN w:val="0"/>
        <w:adjustRightInd w:val="0"/>
        <w:spacing w:after="240"/>
        <w:rPr>
          <w:noProof/>
          <w:lang w:val="it-IT"/>
        </w:rPr>
      </w:pPr>
      <w:r w:rsidRPr="001B7135">
        <w:rPr>
          <w:noProof/>
          <w:lang w:val="it-IT"/>
        </w:rPr>
        <w:t>Nel 2020 (fine del periodo di riferimento), l'energia nucleare rappresentava il 24,6 % della produzione</w:t>
      </w:r>
      <w:r>
        <w:rPr>
          <w:rStyle w:val="FootnoteReference"/>
          <w:noProof/>
        </w:rPr>
        <w:footnoteReference w:id="8"/>
      </w:r>
      <w:r w:rsidRPr="001B7135">
        <w:rPr>
          <w:noProof/>
          <w:lang w:val="it-IT"/>
        </w:rPr>
        <w:t xml:space="preserve"> di elettricità nei 27 Stati membri dell'UE, tredici</w:t>
      </w:r>
      <w:r>
        <w:rPr>
          <w:noProof/>
          <w:vertAlign w:val="superscript"/>
        </w:rPr>
        <w:footnoteReference w:id="9"/>
      </w:r>
      <w:r w:rsidRPr="001B7135">
        <w:rPr>
          <w:noProof/>
          <w:lang w:val="it-IT"/>
        </w:rPr>
        <w:t xml:space="preserve"> dei quali gestivano un po' più di un centinaio di reattori nucleari</w:t>
      </w:r>
      <w:r w:rsidRPr="001B7135">
        <w:rPr>
          <w:noProof/>
          <w:shd w:val="clear" w:color="auto" w:fill="FFFFFF"/>
          <w:lang w:val="it-IT"/>
        </w:rPr>
        <w:t>.</w:t>
      </w:r>
    </w:p>
    <w:p w14:paraId="35D5B8A6" w14:textId="092FDE2F" w:rsidR="00914329" w:rsidRPr="001B7135" w:rsidRDefault="00914329">
      <w:pPr>
        <w:autoSpaceDE w:val="0"/>
        <w:autoSpaceDN w:val="0"/>
        <w:adjustRightInd w:val="0"/>
        <w:spacing w:after="240"/>
        <w:rPr>
          <w:noProof/>
          <w:lang w:val="it-IT"/>
        </w:rPr>
      </w:pPr>
      <w:r w:rsidRPr="001B7135">
        <w:rPr>
          <w:noProof/>
          <w:lang w:val="it-IT"/>
        </w:rPr>
        <w:t>Una volta generati, il combustibile esaurito e i rifiuti radioattivi sono stoccati in sicurezza prima di un eventuale (ri)trattamento e smaltimento. La gestione sicura di tali materiali può richiedere il loro spostamento, detto anche spedizione,</w:t>
      </w:r>
      <w:r w:rsidRPr="001B7135">
        <w:rPr>
          <w:rStyle w:val="Corpsdutexte"/>
          <w:noProof/>
          <w:sz w:val="24"/>
          <w:lang w:val="it-IT"/>
        </w:rPr>
        <w:t xml:space="preserve"> dai siti in cui sono stati generati o gestiti</w:t>
      </w:r>
      <w:r w:rsidRPr="001B7135">
        <w:rPr>
          <w:noProof/>
          <w:lang w:val="it-IT"/>
        </w:rPr>
        <w:t>.</w:t>
      </w:r>
      <w:r w:rsidRPr="001B7135">
        <w:rPr>
          <w:rStyle w:val="Corpsdutexte"/>
          <w:noProof/>
          <w:sz w:val="24"/>
          <w:lang w:val="it-IT"/>
        </w:rPr>
        <w:t xml:space="preserve"> Si tratta di pratiche applicate dalla maggior parte degli Stati membri, indipendentemente dall'entità dei rispettivi programmi nucleari. </w:t>
      </w:r>
      <w:r w:rsidR="00397308">
        <w:rPr>
          <w:rStyle w:val="Corpsdutexte"/>
          <w:noProof/>
          <w:sz w:val="24"/>
          <w:lang w:val="it-IT"/>
        </w:rPr>
        <w:br/>
      </w:r>
      <w:r w:rsidRPr="001B7135">
        <w:rPr>
          <w:noProof/>
          <w:lang w:val="it-IT"/>
        </w:rPr>
        <w:t>Le spedizioni avvengono principalmente su strada, su rotaia o via mare e, in casi limitati, per via aerea.</w:t>
      </w:r>
    </w:p>
    <w:p w14:paraId="631984F4" w14:textId="793BBC56" w:rsidR="00914329" w:rsidRPr="001B7135" w:rsidRDefault="00914329" w:rsidP="00EB4831">
      <w:pPr>
        <w:rPr>
          <w:noProof/>
          <w:lang w:val="it-IT"/>
        </w:rPr>
      </w:pPr>
      <w:r w:rsidRPr="001B7135">
        <w:rPr>
          <w:rStyle w:val="Corpsdutexte"/>
          <w:noProof/>
          <w:sz w:val="24"/>
          <w:lang w:val="it-IT"/>
        </w:rPr>
        <w:t xml:space="preserve">L'importazione, l'esportazione e il transito di rifiuti radioattivi e di combustibile esaurito tra gli Stati membri sono prassi abituali nell'UE. </w:t>
      </w:r>
    </w:p>
    <w:p w14:paraId="650E7DDF" w14:textId="1FE2C558" w:rsidR="00A36A1E" w:rsidRPr="002118B8" w:rsidRDefault="008340E7" w:rsidP="008340E7">
      <w:pPr>
        <w:pStyle w:val="ManualHeading1"/>
        <w:rPr>
          <w:rStyle w:val="Corpsdutexte"/>
          <w:noProof/>
          <w:sz w:val="24"/>
        </w:rPr>
      </w:pPr>
      <w:bookmarkStart w:id="6" w:name="_Toc6317551"/>
      <w:bookmarkStart w:id="7" w:name="_Toc6317576"/>
      <w:bookmarkStart w:id="8" w:name="_Toc6317601"/>
      <w:bookmarkStart w:id="9" w:name="_Toc6317403"/>
      <w:bookmarkStart w:id="10" w:name="_Toc6317477"/>
      <w:bookmarkStart w:id="11" w:name="_Toc6317505"/>
      <w:bookmarkStart w:id="12" w:name="_Toc6317528"/>
      <w:bookmarkStart w:id="13" w:name="_Toc6317552"/>
      <w:bookmarkStart w:id="14" w:name="_Toc6317577"/>
      <w:bookmarkStart w:id="15" w:name="_Toc6317602"/>
      <w:bookmarkStart w:id="16" w:name="_Toc6317406"/>
      <w:bookmarkStart w:id="17" w:name="_Toc6317480"/>
      <w:bookmarkStart w:id="18" w:name="_Toc6317508"/>
      <w:bookmarkStart w:id="19" w:name="_Toc6317531"/>
      <w:bookmarkStart w:id="20" w:name="_Toc6317555"/>
      <w:bookmarkStart w:id="21" w:name="_Toc6317580"/>
      <w:bookmarkStart w:id="22" w:name="_Toc6317605"/>
      <w:bookmarkStart w:id="23" w:name="_Toc6317556"/>
      <w:bookmarkStart w:id="24" w:name="_Toc6317581"/>
      <w:bookmarkStart w:id="25" w:name="_Toc6317606"/>
      <w:bookmarkStart w:id="26" w:name="_Toc125550744"/>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8340E7">
        <w:rPr>
          <w:rStyle w:val="Corpsdutexte"/>
        </w:rPr>
        <w:t>2.</w:t>
      </w:r>
      <w:r w:rsidRPr="008340E7">
        <w:rPr>
          <w:rStyle w:val="Corpsdutexte"/>
        </w:rPr>
        <w:tab/>
      </w:r>
      <w:r w:rsidR="004E3973">
        <w:rPr>
          <w:rStyle w:val="En-tte3"/>
          <w:noProof/>
          <w:sz w:val="24"/>
        </w:rPr>
        <w:t>Quadro giuridico e sua attuazione</w:t>
      </w:r>
      <w:bookmarkEnd w:id="26"/>
    </w:p>
    <w:p w14:paraId="77FFD02A" w14:textId="77777777" w:rsidR="00914329" w:rsidRPr="001B7135" w:rsidRDefault="00914329" w:rsidP="00C50456">
      <w:pPr>
        <w:pStyle w:val="NormalWeb"/>
        <w:spacing w:before="120" w:beforeAutospacing="0" w:after="240" w:afterAutospacing="0"/>
        <w:jc w:val="both"/>
        <w:rPr>
          <w:rStyle w:val="Corpsdutexte"/>
          <w:noProof/>
          <w:sz w:val="24"/>
          <w:lang w:val="it-IT"/>
        </w:rPr>
      </w:pPr>
      <w:r w:rsidRPr="001B7135">
        <w:rPr>
          <w:noProof/>
          <w:lang w:val="it-IT"/>
        </w:rPr>
        <w:t xml:space="preserve">La gestione </w:t>
      </w:r>
      <w:r w:rsidRPr="001B7135">
        <w:rPr>
          <w:rStyle w:val="Corpsdutexte"/>
          <w:noProof/>
          <w:sz w:val="24"/>
          <w:lang w:val="it-IT"/>
        </w:rPr>
        <w:t>sicura</w:t>
      </w:r>
      <w:r w:rsidRPr="001B7135">
        <w:rPr>
          <w:noProof/>
          <w:lang w:val="it-IT"/>
        </w:rPr>
        <w:t xml:space="preserve"> e responsabile dei </w:t>
      </w:r>
      <w:r w:rsidRPr="001B7135">
        <w:rPr>
          <w:rStyle w:val="Corpsdutexte"/>
          <w:noProof/>
          <w:sz w:val="24"/>
          <w:lang w:val="it-IT"/>
        </w:rPr>
        <w:t>rifiuti radioattivi e del combustibile esaurito, compresa la spedizione sicura di questi materiali in entrata o in uscita dal territorio degli Stati membri, è un obbligo giuridico previsto sia dal diritto internazionale sia dal diritto dell'Unione.</w:t>
      </w:r>
    </w:p>
    <w:p w14:paraId="2BE1DAA3" w14:textId="1325894E" w:rsidR="00914329" w:rsidRPr="001B7135" w:rsidRDefault="00914329">
      <w:pPr>
        <w:pStyle w:val="NormalWeb"/>
        <w:spacing w:before="120" w:beforeAutospacing="0" w:after="240" w:afterAutospacing="0"/>
        <w:jc w:val="both"/>
        <w:rPr>
          <w:noProof/>
          <w:lang w:val="it-IT"/>
        </w:rPr>
      </w:pPr>
      <w:r w:rsidRPr="001B7135">
        <w:rPr>
          <w:rStyle w:val="Corpsdutexte"/>
          <w:noProof/>
          <w:sz w:val="24"/>
          <w:lang w:val="it-IT"/>
        </w:rPr>
        <w:t>A livello internazionale, il riferimento principale in questo settore è la convenzione comune sulla sicurezza della gestione del combustibile esaurito e dei rifiuti radioattivi ("la convenzione comune")</w:t>
      </w:r>
      <w:r>
        <w:rPr>
          <w:rStyle w:val="FootnoteReference"/>
          <w:noProof/>
        </w:rPr>
        <w:footnoteReference w:id="10"/>
      </w:r>
      <w:r w:rsidRPr="001B7135">
        <w:rPr>
          <w:rStyle w:val="Corpsdutexte"/>
          <w:noProof/>
          <w:sz w:val="24"/>
          <w:lang w:val="it-IT"/>
        </w:rPr>
        <w:t>. Tra gli obblighi imposti alle parti contraenti dalla convenzione comune vi sono quelli relativi alla sicurezza dei movimenti transfrontalieri (importazione, esportazione e transito) di combustibile esaurito e di rifiuti radioattivi</w:t>
      </w:r>
      <w:r w:rsidRPr="001B7135">
        <w:rPr>
          <w:noProof/>
          <w:lang w:val="it-IT"/>
        </w:rPr>
        <w:t>. La convenzione prevede che ciascuna parte contraente coinvolta in movimenti transfrontalieri prenda le opportune iniziative per garantire che tali spedizioni si svolgano in maniera coerente con le disposizioni della convenzione e con i pertinenti strumenti internazionali vincolanti. Sono parti della convenzione comune i 27 Stati membri dell'UE e la Comunità Euratom</w:t>
      </w:r>
      <w:r>
        <w:rPr>
          <w:rStyle w:val="FootnoteReference"/>
          <w:noProof/>
        </w:rPr>
        <w:footnoteReference w:id="11"/>
      </w:r>
      <w:r w:rsidRPr="001B7135">
        <w:rPr>
          <w:noProof/>
          <w:lang w:val="it-IT"/>
        </w:rPr>
        <w:t>, il che ne dimostra l'impegno a garantire un elevato livello di sicurezza del combustibile esaurito e dei rifiuti radioattivi, dalla fase di generazione allo smaltimento.</w:t>
      </w:r>
    </w:p>
    <w:p w14:paraId="1EB517AF" w14:textId="36215925" w:rsidR="00947566" w:rsidRPr="001B7135" w:rsidRDefault="00914329">
      <w:pPr>
        <w:tabs>
          <w:tab w:val="left" w:pos="720"/>
        </w:tabs>
        <w:spacing w:after="240"/>
        <w:ind w:left="23"/>
        <w:rPr>
          <w:noProof/>
          <w:lang w:val="it-IT"/>
        </w:rPr>
      </w:pPr>
      <w:r w:rsidRPr="001B7135">
        <w:rPr>
          <w:rStyle w:val="Corpsdutexte"/>
          <w:noProof/>
          <w:sz w:val="24"/>
          <w:lang w:val="it-IT"/>
        </w:rPr>
        <w:t xml:space="preserve">A livello di UE, un </w:t>
      </w:r>
      <w:r w:rsidRPr="001B7135">
        <w:rPr>
          <w:noProof/>
          <w:lang w:val="it-IT"/>
        </w:rPr>
        <w:t>quadro giuridico completo garantisce la protezione della salute dei lavoratori e della popolazione in generale dai rischi derivanti dalle radiazioni ionizzanti, anche durante le spedizioni di combustibile esaurito e di rifiuti radioattivi. Il quadro normativo è attualmente costituito dalla direttiva 2006/117/Euratom e dalle direttive del Consiglio 2013/59/Euratom</w:t>
      </w:r>
      <w:r>
        <w:rPr>
          <w:rStyle w:val="FootnoteReference"/>
          <w:noProof/>
        </w:rPr>
        <w:footnoteReference w:id="12"/>
      </w:r>
      <w:r w:rsidRPr="001B7135">
        <w:rPr>
          <w:noProof/>
          <w:lang w:val="it-IT"/>
        </w:rPr>
        <w:t xml:space="preserve"> (di seguito "le norme fondamentali di sicurezza") e 2011/70/Euratom</w:t>
      </w:r>
      <w:r>
        <w:rPr>
          <w:rStyle w:val="FootnoteReference"/>
          <w:noProof/>
        </w:rPr>
        <w:footnoteReference w:id="13"/>
      </w:r>
      <w:r w:rsidRPr="001B7135">
        <w:rPr>
          <w:noProof/>
          <w:lang w:val="it-IT"/>
        </w:rPr>
        <w:t xml:space="preserve"> (di seguito "la direttiva sui rifiuti radioattivi") che incidono sul campo di applicazione della direttiva.</w:t>
      </w:r>
    </w:p>
    <w:p w14:paraId="57336DB9" w14:textId="1BF7A168" w:rsidR="00914329" w:rsidRPr="002118B8" w:rsidRDefault="00914329">
      <w:pPr>
        <w:pStyle w:val="NormalWeb"/>
        <w:spacing w:before="120" w:beforeAutospacing="0" w:after="240" w:afterAutospacing="0"/>
        <w:jc w:val="both"/>
        <w:rPr>
          <w:rStyle w:val="Corpsdutexte"/>
          <w:noProof/>
          <w:sz w:val="24"/>
        </w:rPr>
      </w:pPr>
      <w:r w:rsidRPr="001B7135">
        <w:rPr>
          <w:rStyle w:val="Corpsdutexte"/>
          <w:noProof/>
          <w:sz w:val="24"/>
          <w:lang w:val="it-IT"/>
        </w:rPr>
        <w:t xml:space="preserve">Nel quadro per la sicurezza nucleare e la radioprotezione nell'UE, la direttiva verte in modo specifico sulle autorizzazioni regolamentari e sugli aspetti procedurali delle spedizioni transfrontaliere di rifiuti radioattivi e di combustibile esaurito generati dagli impianti e dalle attività civili. L'obiettivo generale è quello di migliorare la protezione dai pericoli derivanti dall'esposizione alle radiazioni ionizzanti, attraverso la sorveglianza e il controllo delle spedizioni di combustibile esaurito e di rifiuti radioattivi. </w:t>
      </w:r>
      <w:r>
        <w:rPr>
          <w:rStyle w:val="Corpsdutexte"/>
          <w:noProof/>
          <w:sz w:val="24"/>
        </w:rPr>
        <w:t>La direttiva si applica quando:</w:t>
      </w:r>
    </w:p>
    <w:p w14:paraId="6B0542AC" w14:textId="77777777" w:rsidR="00914329" w:rsidRPr="001B7135" w:rsidRDefault="00914329">
      <w:pPr>
        <w:pStyle w:val="NormalWeb"/>
        <w:numPr>
          <w:ilvl w:val="0"/>
          <w:numId w:val="16"/>
        </w:numPr>
        <w:spacing w:after="0" w:afterAutospacing="0"/>
        <w:jc w:val="both"/>
        <w:rPr>
          <w:rStyle w:val="Corpsdutexte"/>
          <w:noProof/>
          <w:sz w:val="24"/>
          <w:lang w:val="it-IT"/>
        </w:rPr>
      </w:pPr>
      <w:r w:rsidRPr="001B7135">
        <w:rPr>
          <w:noProof/>
          <w:lang w:val="it-IT"/>
        </w:rPr>
        <w:t>il paese di origine, il paese di destinazione o un paese di transito del combustibile esaurito</w:t>
      </w:r>
      <w:r w:rsidRPr="001B7135">
        <w:rPr>
          <w:rStyle w:val="Corpsdutexte"/>
          <w:noProof/>
          <w:sz w:val="24"/>
          <w:lang w:val="it-IT"/>
        </w:rPr>
        <w:t xml:space="preserve"> o dei rifiuti radioattivi è uno Stato membro dell'UE; </w:t>
      </w:r>
    </w:p>
    <w:p w14:paraId="43DBB2FA" w14:textId="56C34BC1" w:rsidR="00914329" w:rsidRPr="001B7135" w:rsidRDefault="00914329" w:rsidP="00666CC3">
      <w:pPr>
        <w:pStyle w:val="NormalWeb"/>
        <w:numPr>
          <w:ilvl w:val="0"/>
          <w:numId w:val="19"/>
        </w:numPr>
        <w:spacing w:before="120" w:beforeAutospacing="0" w:after="120" w:afterAutospacing="0"/>
        <w:jc w:val="both"/>
        <w:rPr>
          <w:noProof/>
          <w:lang w:val="it-IT"/>
        </w:rPr>
      </w:pPr>
      <w:r w:rsidRPr="001B7135">
        <w:rPr>
          <w:rStyle w:val="Corpsdutexte"/>
          <w:noProof/>
          <w:sz w:val="24"/>
          <w:lang w:val="it-IT"/>
        </w:rPr>
        <w:t>le quantità e la concentrazione del combustibile esaurito o dei rifiuti radioattivi della spedizione</w:t>
      </w:r>
      <w:r w:rsidRPr="001B7135">
        <w:rPr>
          <w:noProof/>
          <w:lang w:val="it-IT"/>
        </w:rPr>
        <w:t xml:space="preserve"> (denominati "materiali spediti") superano i livelli stabiliti dalle norme fondamentali di sicurezza. </w:t>
      </w:r>
    </w:p>
    <w:p w14:paraId="224979DC" w14:textId="00B6F74F" w:rsidR="00914329" w:rsidRPr="001B7135" w:rsidRDefault="00914329">
      <w:pPr>
        <w:autoSpaceDE w:val="0"/>
        <w:autoSpaceDN w:val="0"/>
        <w:adjustRightInd w:val="0"/>
        <w:spacing w:after="240"/>
        <w:rPr>
          <w:rStyle w:val="Corpsdutexte"/>
          <w:noProof/>
          <w:sz w:val="24"/>
          <w:lang w:val="it-IT"/>
        </w:rPr>
      </w:pPr>
      <w:r w:rsidRPr="001B7135">
        <w:rPr>
          <w:noProof/>
          <w:lang w:val="it-IT"/>
        </w:rPr>
        <w:t>Se una spedizione non può essere portata a termine o se le condizioni di spedizione non sono conformi a quanto disposto dalla direttiva, le autorità competenti dello Stato membro di origine devono provvedere affinché il materiale interessato sia ripreso dal suo detentore</w:t>
      </w:r>
      <w:r>
        <w:rPr>
          <w:rStyle w:val="FootnoteReference"/>
          <w:noProof/>
        </w:rPr>
        <w:footnoteReference w:id="14"/>
      </w:r>
      <w:r w:rsidRPr="001B7135">
        <w:rPr>
          <w:noProof/>
          <w:lang w:val="it-IT"/>
        </w:rPr>
        <w:t xml:space="preserve">, a meno che non sia possibile concludere un accordo alternativo sicuro. Le autorità competenti devono provvedere a che la persona responsabile della spedizione adotti le misure correttive di sicurezza eventualmente necessarie. </w:t>
      </w:r>
      <w:r w:rsidR="00397308">
        <w:rPr>
          <w:noProof/>
          <w:lang w:val="it-IT"/>
        </w:rPr>
        <w:br/>
      </w:r>
      <w:r w:rsidRPr="001B7135">
        <w:rPr>
          <w:noProof/>
          <w:lang w:val="it-IT"/>
        </w:rPr>
        <w:t>In tal caso, se la spedizione non può essere portata a termine o non è stata autorizzata, i costi risultanti sono a carico del detentore</w:t>
      </w:r>
      <w:r>
        <w:rPr>
          <w:rStyle w:val="FootnoteReference"/>
          <w:noProof/>
        </w:rPr>
        <w:footnoteReference w:id="15"/>
      </w:r>
      <w:r w:rsidRPr="001B7135">
        <w:rPr>
          <w:noProof/>
          <w:lang w:val="it-IT"/>
        </w:rPr>
        <w:t>.</w:t>
      </w:r>
    </w:p>
    <w:p w14:paraId="77D4C40F" w14:textId="77777777" w:rsidR="00914329" w:rsidRPr="001B7135" w:rsidRDefault="00914329">
      <w:pPr>
        <w:pStyle w:val="Corpsdutexte1"/>
        <w:shd w:val="clear" w:color="auto" w:fill="auto"/>
        <w:spacing w:before="120" w:after="240" w:line="240" w:lineRule="auto"/>
        <w:ind w:left="23" w:right="40" w:firstLine="0"/>
        <w:jc w:val="both"/>
        <w:rPr>
          <w:rStyle w:val="Corpsdutexte"/>
          <w:noProof/>
          <w:sz w:val="24"/>
          <w:lang w:val="it-IT"/>
        </w:rPr>
      </w:pPr>
      <w:r w:rsidRPr="001B7135">
        <w:rPr>
          <w:rStyle w:val="Corpsdutexte"/>
          <w:noProof/>
          <w:sz w:val="24"/>
          <w:lang w:val="it-IT"/>
        </w:rPr>
        <w:t>Qualsiasi rifiuto dell'autorizzazione alla spedizione del combustibile esaurito e dei rifiuti radioattivi: i) deve essere giustificato sulla base dei criteri definiti nella direttiva; ii) non deve essere arbitrario; e iii) deve basarsi sul diritto nazionale, comunitario o internazionale pertinente. Le decisioni di consenso o rifiuto degli Stati membri devono essere conformi alle disposizioni della convenzione comune e della direttiva</w:t>
      </w:r>
      <w:r>
        <w:rPr>
          <w:rStyle w:val="FootnoteReference"/>
          <w:noProof/>
          <w:sz w:val="24"/>
        </w:rPr>
        <w:footnoteReference w:id="16"/>
      </w:r>
      <w:r w:rsidRPr="001B7135">
        <w:rPr>
          <w:rStyle w:val="Corpsdutexte"/>
          <w:noProof/>
          <w:sz w:val="24"/>
          <w:lang w:val="it-IT"/>
        </w:rPr>
        <w:t>, che vietano l'esportazione di rifiuti radioattivi o di combustibile esaurito verso destinazioni situate a sud del 60° parallelo sud, verso gli Stati dell'Africa, dei Caraibi e del Pacifico, oppure verso un paese terzo che non dispone delle risorse atte a garantirne una gestione sicura.</w:t>
      </w:r>
    </w:p>
    <w:p w14:paraId="68A0EDD9" w14:textId="4380F92A" w:rsidR="00914329" w:rsidRPr="001B7135" w:rsidRDefault="00914329" w:rsidP="006304EF">
      <w:pPr>
        <w:pStyle w:val="Corpsdutexte1"/>
        <w:shd w:val="clear" w:color="auto" w:fill="auto"/>
        <w:spacing w:before="120" w:after="240" w:line="240" w:lineRule="auto"/>
        <w:ind w:left="23" w:right="40" w:firstLine="0"/>
        <w:jc w:val="both"/>
        <w:rPr>
          <w:rStyle w:val="Corpsdutexte"/>
          <w:noProof/>
          <w:sz w:val="24"/>
          <w:lang w:val="it-IT"/>
        </w:rPr>
      </w:pPr>
      <w:r w:rsidRPr="001B7135">
        <w:rPr>
          <w:rStyle w:val="Corpsdutexte"/>
          <w:noProof/>
          <w:sz w:val="24"/>
          <w:lang w:val="it-IT"/>
        </w:rPr>
        <w:t>Oltre alla relazione da presentare ogni tre anni alla Commissione, gli Stati membri sono tenuti a notificare</w:t>
      </w:r>
      <w:r>
        <w:rPr>
          <w:rStyle w:val="FootnoteReference"/>
          <w:noProof/>
        </w:rPr>
        <w:footnoteReference w:id="17"/>
      </w:r>
      <w:r w:rsidRPr="001B7135">
        <w:rPr>
          <w:rStyle w:val="Corpsdutexte"/>
          <w:noProof/>
          <w:sz w:val="24"/>
          <w:lang w:val="it-IT"/>
        </w:rPr>
        <w:t xml:space="preserve"> a cadenza annuale alla Commissione e al comitato consultivo qualsiasi spedizione non autorizzata verso un paese terzo, e a trasmettere</w:t>
      </w:r>
      <w:r>
        <w:rPr>
          <w:rStyle w:val="FootnoteReference"/>
          <w:noProof/>
        </w:rPr>
        <w:footnoteReference w:id="18"/>
      </w:r>
      <w:r w:rsidRPr="001B7135">
        <w:rPr>
          <w:rStyle w:val="Corpsdutexte"/>
          <w:noProof/>
          <w:sz w:val="24"/>
          <w:lang w:val="it-IT"/>
        </w:rPr>
        <w:t xml:space="preserve"> alla Commissione i dati di contatto dell'autorità o delle autorità competenti nonché tutte le informazioni necessarie per comunicare con esse rapidamente. </w:t>
      </w:r>
    </w:p>
    <w:p w14:paraId="00D19366" w14:textId="411D661A" w:rsidR="00914329" w:rsidRPr="00D755B0" w:rsidRDefault="008340E7" w:rsidP="008340E7">
      <w:pPr>
        <w:pStyle w:val="ManualHeading2"/>
        <w:rPr>
          <w:rStyle w:val="En-tte3"/>
          <w:noProof/>
          <w:sz w:val="24"/>
        </w:rPr>
      </w:pPr>
      <w:bookmarkStart w:id="27" w:name="_Toc125550745"/>
      <w:r w:rsidRPr="008340E7">
        <w:rPr>
          <w:rStyle w:val="En-tte3"/>
        </w:rPr>
        <w:t>2.1.</w:t>
      </w:r>
      <w:r w:rsidRPr="008340E7">
        <w:rPr>
          <w:rStyle w:val="En-tte3"/>
        </w:rPr>
        <w:tab/>
      </w:r>
      <w:r w:rsidR="00A85328">
        <w:rPr>
          <w:rStyle w:val="En-tte3"/>
          <w:noProof/>
          <w:sz w:val="24"/>
        </w:rPr>
        <w:t>Attuazione della direttiva</w:t>
      </w:r>
      <w:bookmarkEnd w:id="27"/>
    </w:p>
    <w:p w14:paraId="0310634F" w14:textId="5BF41F13" w:rsidR="00914329" w:rsidRPr="00D755B0" w:rsidRDefault="00A37C8A" w:rsidP="00B8619F">
      <w:pPr>
        <w:pStyle w:val="Corpsdutexte1"/>
        <w:shd w:val="clear" w:color="auto" w:fill="auto"/>
        <w:spacing w:before="120" w:after="240" w:line="240" w:lineRule="auto"/>
        <w:ind w:left="23" w:right="23" w:firstLine="0"/>
        <w:jc w:val="both"/>
        <w:rPr>
          <w:rStyle w:val="Corpsdutexte"/>
          <w:noProof/>
          <w:sz w:val="24"/>
        </w:rPr>
      </w:pPr>
      <w:r w:rsidRPr="001B7135">
        <w:rPr>
          <w:rStyle w:val="Corpsdutexte"/>
          <w:noProof/>
          <w:sz w:val="24"/>
          <w:lang w:val="it-IT"/>
        </w:rPr>
        <w:t>Per tutte le spedizioni soggette alla direttiva (incluse le importazioni, le esportazioni e i transiti tra Stati membri e da/verso l'esterno della Comunità), la direttiva impone l'uso di un documento uniforme</w:t>
      </w:r>
      <w:r>
        <w:rPr>
          <w:rStyle w:val="FootnoteReference"/>
          <w:noProof/>
          <w:sz w:val="24"/>
        </w:rPr>
        <w:footnoteReference w:id="19"/>
      </w:r>
      <w:r w:rsidRPr="001B7135">
        <w:rPr>
          <w:rStyle w:val="Corpsdutexte"/>
          <w:noProof/>
          <w:sz w:val="24"/>
          <w:lang w:val="it-IT"/>
        </w:rPr>
        <w:t xml:space="preserve"> istituito dalla decisione della Commissione nel 2008</w:t>
      </w:r>
      <w:r>
        <w:rPr>
          <w:rStyle w:val="FootnoteReference"/>
          <w:noProof/>
          <w:sz w:val="24"/>
        </w:rPr>
        <w:footnoteReference w:id="20"/>
      </w:r>
      <w:r w:rsidRPr="001B7135">
        <w:rPr>
          <w:rStyle w:val="Corpsdutexte"/>
          <w:noProof/>
          <w:sz w:val="24"/>
          <w:lang w:val="it-IT"/>
        </w:rPr>
        <w:t xml:space="preserve"> modificata nel 2011</w:t>
      </w:r>
      <w:r>
        <w:rPr>
          <w:rStyle w:val="FootnoteReference"/>
          <w:noProof/>
          <w:sz w:val="24"/>
        </w:rPr>
        <w:footnoteReference w:id="21"/>
      </w:r>
      <w:r w:rsidRPr="001B7135">
        <w:rPr>
          <w:rStyle w:val="Corpsdutexte"/>
          <w:noProof/>
          <w:sz w:val="24"/>
          <w:lang w:val="it-IT"/>
        </w:rPr>
        <w:t xml:space="preserve">. </w:t>
      </w:r>
      <w:r>
        <w:rPr>
          <w:rStyle w:val="Corpsdutexte"/>
          <w:noProof/>
          <w:sz w:val="24"/>
        </w:rPr>
        <w:t>Il documento uniforme include moduli per le finalità seguenti:</w:t>
      </w:r>
    </w:p>
    <w:p w14:paraId="26BE8A78" w14:textId="77777777" w:rsidR="008B638B" w:rsidRPr="001B7135" w:rsidRDefault="008B638B" w:rsidP="008B638B">
      <w:pPr>
        <w:pStyle w:val="NormalWeb"/>
        <w:numPr>
          <w:ilvl w:val="0"/>
          <w:numId w:val="16"/>
        </w:numPr>
        <w:jc w:val="both"/>
        <w:rPr>
          <w:rStyle w:val="Corpsdutexte"/>
          <w:noProof/>
          <w:sz w:val="24"/>
          <w:lang w:val="it-IT"/>
        </w:rPr>
      </w:pPr>
      <w:r w:rsidRPr="001B7135">
        <w:rPr>
          <w:rStyle w:val="Corpsdutexte"/>
          <w:noProof/>
          <w:sz w:val="24"/>
          <w:lang w:val="it-IT"/>
        </w:rPr>
        <w:t>domanda di autorizzazione alla spedizione di combustibile esaurito o di rifiuti radioattivi;</w:t>
      </w:r>
    </w:p>
    <w:p w14:paraId="76D2E87B" w14:textId="77777777" w:rsidR="008B638B" w:rsidRPr="001B7135" w:rsidRDefault="008B638B" w:rsidP="008B638B">
      <w:pPr>
        <w:pStyle w:val="NormalWeb"/>
        <w:numPr>
          <w:ilvl w:val="0"/>
          <w:numId w:val="16"/>
        </w:numPr>
        <w:jc w:val="both"/>
        <w:rPr>
          <w:rStyle w:val="Corpsdutexte"/>
          <w:noProof/>
          <w:sz w:val="24"/>
          <w:lang w:val="it-IT"/>
        </w:rPr>
      </w:pPr>
      <w:r w:rsidRPr="001B7135">
        <w:rPr>
          <w:rStyle w:val="Corpsdutexte"/>
          <w:noProof/>
          <w:sz w:val="24"/>
          <w:lang w:val="it-IT"/>
        </w:rPr>
        <w:t>attestato di ricevimento della domanda – richiesta di informazioni mancanti sul combustibile esaurito e sui rifiuti radioattivi;</w:t>
      </w:r>
    </w:p>
    <w:p w14:paraId="142DA1CC" w14:textId="77777777" w:rsidR="008B638B" w:rsidRPr="001B7135" w:rsidRDefault="00C25FBA" w:rsidP="008B638B">
      <w:pPr>
        <w:pStyle w:val="NormalWeb"/>
        <w:numPr>
          <w:ilvl w:val="0"/>
          <w:numId w:val="16"/>
        </w:numPr>
        <w:jc w:val="both"/>
        <w:rPr>
          <w:rStyle w:val="Corpsdutexte"/>
          <w:noProof/>
          <w:sz w:val="24"/>
          <w:lang w:val="it-IT"/>
        </w:rPr>
      </w:pPr>
      <w:r w:rsidRPr="001B7135">
        <w:rPr>
          <w:rStyle w:val="Corpsdutexte"/>
          <w:noProof/>
          <w:sz w:val="24"/>
          <w:lang w:val="it-IT"/>
        </w:rPr>
        <w:t>consenso o rifiuto della spedizione di rifiuti radioattivi o di combustibile esaurito da parte delle autorità competenti interessate;</w:t>
      </w:r>
    </w:p>
    <w:p w14:paraId="35A4C895" w14:textId="2F357287" w:rsidR="0062482A" w:rsidRPr="001B7135" w:rsidRDefault="0062482A" w:rsidP="0039468E">
      <w:pPr>
        <w:pStyle w:val="NormalWeb"/>
        <w:numPr>
          <w:ilvl w:val="0"/>
          <w:numId w:val="16"/>
        </w:numPr>
        <w:jc w:val="both"/>
        <w:rPr>
          <w:rStyle w:val="Corpsdutexte"/>
          <w:noProof/>
          <w:sz w:val="24"/>
          <w:lang w:val="it-IT"/>
        </w:rPr>
      </w:pPr>
      <w:r w:rsidRPr="001B7135">
        <w:rPr>
          <w:rStyle w:val="Corpsdutexte"/>
          <w:noProof/>
          <w:sz w:val="24"/>
          <w:lang w:val="it-IT"/>
        </w:rPr>
        <w:t>autorizzazione alla spedizione di combustibile esaurito e di rifiuti radioattivi;</w:t>
      </w:r>
    </w:p>
    <w:p w14:paraId="0DAFBBD2" w14:textId="77777777" w:rsidR="008B638B" w:rsidRPr="001B7135" w:rsidRDefault="008B638B" w:rsidP="008B638B">
      <w:pPr>
        <w:pStyle w:val="NormalWeb"/>
        <w:numPr>
          <w:ilvl w:val="0"/>
          <w:numId w:val="16"/>
        </w:numPr>
        <w:jc w:val="both"/>
        <w:rPr>
          <w:rStyle w:val="Corpsdutexte"/>
          <w:noProof/>
          <w:sz w:val="24"/>
          <w:lang w:val="it-IT"/>
        </w:rPr>
      </w:pPr>
      <w:r w:rsidRPr="001B7135">
        <w:rPr>
          <w:rStyle w:val="Corpsdutexte"/>
          <w:noProof/>
          <w:sz w:val="24"/>
          <w:lang w:val="it-IT"/>
        </w:rPr>
        <w:t>descrizione della partita di rifiuti radioattivi e l'elenco dei colli;</w:t>
      </w:r>
    </w:p>
    <w:p w14:paraId="29C529E7" w14:textId="307774FE" w:rsidR="008B638B" w:rsidRPr="001B7135" w:rsidRDefault="008B638B" w:rsidP="008B638B">
      <w:pPr>
        <w:pStyle w:val="NormalWeb"/>
        <w:numPr>
          <w:ilvl w:val="0"/>
          <w:numId w:val="16"/>
        </w:numPr>
        <w:jc w:val="both"/>
        <w:rPr>
          <w:rStyle w:val="Corpsdutexte"/>
          <w:noProof/>
          <w:sz w:val="24"/>
          <w:lang w:val="it-IT"/>
        </w:rPr>
      </w:pPr>
      <w:r w:rsidRPr="001B7135">
        <w:rPr>
          <w:rStyle w:val="Corpsdutexte"/>
          <w:noProof/>
          <w:sz w:val="24"/>
          <w:lang w:val="it-IT"/>
        </w:rPr>
        <w:t>attestato di ricevimento dei rifiuti radioattivi e del combustibile esaurito.</w:t>
      </w:r>
    </w:p>
    <w:p w14:paraId="5FFFA092" w14:textId="0721DDE9" w:rsidR="001B5095" w:rsidRPr="001B7135" w:rsidRDefault="00F02A9F" w:rsidP="00C50456">
      <w:pPr>
        <w:rPr>
          <w:noProof/>
          <w:lang w:val="it-IT"/>
        </w:rPr>
      </w:pPr>
      <w:bookmarkStart w:id="28" w:name="bookmark15"/>
      <w:r w:rsidRPr="001B7135">
        <w:rPr>
          <w:noProof/>
          <w:lang w:val="it-IT"/>
        </w:rPr>
        <w:t>Quando tali materiali sono destinati a essere spediti nei paesi terzi per esservi smaltiti, gli Stati membri sono anche tenuti ad applicare, a norma dell'articolo 4, paragrafo</w:t>
      </w:r>
      <w:r w:rsidR="00397308">
        <w:rPr>
          <w:noProof/>
          <w:lang w:val="it-IT"/>
        </w:rPr>
        <w:t> </w:t>
      </w:r>
      <w:r w:rsidRPr="001B7135">
        <w:rPr>
          <w:noProof/>
          <w:lang w:val="it-IT"/>
        </w:rPr>
        <w:t>4, della direttiva sui rifiuti radioattivi, i criteri di spedizione stabiliti dalla Commissione in conformità dell'articolo 16, paragrafo 2, della direttiva e la raccomandazione della Commissione applicabile</w:t>
      </w:r>
      <w:r>
        <w:rPr>
          <w:rStyle w:val="FootnoteReference"/>
          <w:noProof/>
        </w:rPr>
        <w:footnoteReference w:id="22"/>
      </w:r>
      <w:r w:rsidRPr="001B7135">
        <w:rPr>
          <w:noProof/>
          <w:lang w:val="it-IT"/>
        </w:rPr>
        <w:t xml:space="preserve">. </w:t>
      </w:r>
    </w:p>
    <w:p w14:paraId="7624D2AD" w14:textId="204CE5ED" w:rsidR="00260BAD" w:rsidRPr="002118B8" w:rsidRDefault="008340E7" w:rsidP="008340E7">
      <w:pPr>
        <w:pStyle w:val="ManualHeading2"/>
        <w:rPr>
          <w:rStyle w:val="En-tte3"/>
          <w:noProof/>
          <w:sz w:val="24"/>
        </w:rPr>
      </w:pPr>
      <w:bookmarkStart w:id="29" w:name="_Toc125550746"/>
      <w:r w:rsidRPr="008340E7">
        <w:rPr>
          <w:rStyle w:val="En-tte3"/>
        </w:rPr>
        <w:t>2.2.</w:t>
      </w:r>
      <w:r w:rsidRPr="008340E7">
        <w:rPr>
          <w:rStyle w:val="En-tte3"/>
        </w:rPr>
        <w:tab/>
      </w:r>
      <w:r w:rsidR="00760502">
        <w:rPr>
          <w:rStyle w:val="Corpsdutexte"/>
          <w:noProof/>
          <w:sz w:val="24"/>
        </w:rPr>
        <w:t>Parere del comitato consultivo</w:t>
      </w:r>
      <w:bookmarkEnd w:id="29"/>
      <w:r w:rsidR="00760502">
        <w:rPr>
          <w:rStyle w:val="Corpsdutexte"/>
          <w:noProof/>
          <w:sz w:val="24"/>
        </w:rPr>
        <w:t xml:space="preserve"> </w:t>
      </w:r>
    </w:p>
    <w:p w14:paraId="2D7D12EE" w14:textId="3865B543" w:rsidR="002118B8" w:rsidRDefault="004773E7" w:rsidP="002118B8">
      <w:pPr>
        <w:rPr>
          <w:rStyle w:val="Corpsdutexte"/>
          <w:noProof/>
          <w:sz w:val="24"/>
        </w:rPr>
      </w:pPr>
      <w:r w:rsidRPr="001B7135">
        <w:rPr>
          <w:rStyle w:val="Corpsdutexte"/>
          <w:noProof/>
          <w:sz w:val="24"/>
          <w:lang w:val="it-IT"/>
        </w:rPr>
        <w:t xml:space="preserve">La XII riunione del comitato consultivo si è tenuta il 7 novembre 2022 a Lussemburgo per discutere il progetto della presente relazione e il relativo documento di lavoro dei servizi della Commissione. </w:t>
      </w:r>
      <w:r>
        <w:rPr>
          <w:rStyle w:val="Corpsdutexte"/>
          <w:noProof/>
          <w:sz w:val="24"/>
        </w:rPr>
        <w:t>Il comitato consultivo ha espresso un parere positivo.</w:t>
      </w:r>
    </w:p>
    <w:p w14:paraId="5E6C3760" w14:textId="2EA2380C" w:rsidR="00914329" w:rsidRPr="002118B8" w:rsidRDefault="008340E7" w:rsidP="008340E7">
      <w:pPr>
        <w:pStyle w:val="ManualHeading2"/>
        <w:rPr>
          <w:rStyle w:val="Corpsdutexte"/>
          <w:b w:val="0"/>
          <w:noProof/>
          <w:sz w:val="24"/>
        </w:rPr>
      </w:pPr>
      <w:bookmarkStart w:id="30" w:name="bookmark16"/>
      <w:bookmarkStart w:id="31" w:name="_Toc125550747"/>
      <w:bookmarkEnd w:id="28"/>
      <w:r w:rsidRPr="008340E7">
        <w:rPr>
          <w:rStyle w:val="Corpsdutexte"/>
        </w:rPr>
        <w:t>2.3.</w:t>
      </w:r>
      <w:r w:rsidRPr="008340E7">
        <w:rPr>
          <w:rStyle w:val="Corpsdutexte"/>
        </w:rPr>
        <w:tab/>
      </w:r>
      <w:r w:rsidR="00914329">
        <w:rPr>
          <w:rStyle w:val="Corpsdutexte"/>
          <w:noProof/>
          <w:sz w:val="24"/>
        </w:rPr>
        <w:t>Autorità competenti</w:t>
      </w:r>
      <w:bookmarkEnd w:id="30"/>
      <w:bookmarkEnd w:id="31"/>
    </w:p>
    <w:p w14:paraId="7895383C" w14:textId="0CB5B292" w:rsidR="00914329" w:rsidRPr="001B7135" w:rsidRDefault="00914329">
      <w:pPr>
        <w:pStyle w:val="Corpsdutexte1"/>
        <w:shd w:val="clear" w:color="auto" w:fill="auto"/>
        <w:spacing w:before="120" w:after="0" w:line="240" w:lineRule="auto"/>
        <w:ind w:left="23" w:right="20" w:firstLine="0"/>
        <w:jc w:val="both"/>
        <w:rPr>
          <w:rStyle w:val="Corpsdutexte"/>
          <w:noProof/>
          <w:sz w:val="24"/>
          <w:lang w:val="it-IT"/>
        </w:rPr>
      </w:pPr>
      <w:r w:rsidRPr="001B7135">
        <w:rPr>
          <w:rStyle w:val="Corpsdutexte"/>
          <w:noProof/>
          <w:sz w:val="24"/>
          <w:lang w:val="it-IT"/>
        </w:rPr>
        <w:t>A luglio 2022 tutti gli Stati membri avevano fornito informazioni sulle rispettive autorità competenti ai sensi dell'articolo 5, punto 13</w:t>
      </w:r>
      <w:r>
        <w:rPr>
          <w:rStyle w:val="Corpsdutexte"/>
          <w:noProof/>
          <w:sz w:val="24"/>
          <w:vertAlign w:val="superscript"/>
        </w:rPr>
        <w:footnoteReference w:id="23"/>
      </w:r>
      <w:r w:rsidRPr="001B7135">
        <w:rPr>
          <w:rStyle w:val="Corpsdutexte"/>
          <w:noProof/>
          <w:sz w:val="24"/>
          <w:lang w:val="it-IT"/>
        </w:rPr>
        <w:t>, della direttiva.</w:t>
      </w:r>
    </w:p>
    <w:p w14:paraId="0F9B5840" w14:textId="4DF9267A" w:rsidR="00914329" w:rsidRPr="001B7135" w:rsidRDefault="0018657D">
      <w:pPr>
        <w:pStyle w:val="Corpsdutexte1"/>
        <w:shd w:val="clear" w:color="auto" w:fill="auto"/>
        <w:spacing w:before="120" w:after="240" w:line="240" w:lineRule="auto"/>
        <w:ind w:left="23" w:right="20" w:firstLine="0"/>
        <w:jc w:val="both"/>
        <w:rPr>
          <w:rStyle w:val="Corpsdutexte"/>
          <w:noProof/>
          <w:sz w:val="24"/>
          <w:lang w:val="it-IT"/>
        </w:rPr>
      </w:pPr>
      <w:r w:rsidRPr="001B7135">
        <w:rPr>
          <w:rStyle w:val="Corpsdutexte"/>
          <w:noProof/>
          <w:sz w:val="24"/>
          <w:lang w:val="it-IT"/>
        </w:rPr>
        <w:t>L'elenco delle autorità competenti negli Stati membri è allegato al documento di lavoro dei servizi della Commissione che accompagna la presente relazione.</w:t>
      </w:r>
    </w:p>
    <w:p w14:paraId="55954BDE" w14:textId="23A29105" w:rsidR="00914329" w:rsidRDefault="008340E7" w:rsidP="008340E7">
      <w:pPr>
        <w:pStyle w:val="ManualHeading1"/>
        <w:rPr>
          <w:rStyle w:val="En-tte32"/>
          <w:noProof/>
          <w:sz w:val="24"/>
        </w:rPr>
      </w:pPr>
      <w:bookmarkStart w:id="32" w:name="_Toc125550748"/>
      <w:r w:rsidRPr="008340E7">
        <w:rPr>
          <w:rStyle w:val="En-tte32"/>
        </w:rPr>
        <w:t>3.</w:t>
      </w:r>
      <w:r w:rsidRPr="008340E7">
        <w:rPr>
          <w:rStyle w:val="En-tte32"/>
        </w:rPr>
        <w:tab/>
      </w:r>
      <w:r w:rsidR="0002074C">
        <w:rPr>
          <w:rStyle w:val="En-tte32"/>
          <w:noProof/>
          <w:sz w:val="24"/>
        </w:rPr>
        <w:t>Osservazioni</w:t>
      </w:r>
      <w:bookmarkEnd w:id="32"/>
    </w:p>
    <w:p w14:paraId="5AF661CD" w14:textId="0713CBD9" w:rsidR="007B7DD9" w:rsidRPr="001B7135" w:rsidRDefault="00EA4BFD" w:rsidP="00C13A7C">
      <w:pPr>
        <w:autoSpaceDE w:val="0"/>
        <w:autoSpaceDN w:val="0"/>
        <w:adjustRightInd w:val="0"/>
        <w:spacing w:after="240"/>
        <w:rPr>
          <w:noProof/>
          <w:lang w:val="it-IT"/>
        </w:rPr>
      </w:pPr>
      <w:r w:rsidRPr="001B7135">
        <w:rPr>
          <w:noProof/>
          <w:lang w:val="it-IT"/>
        </w:rPr>
        <w:t>La Commissione ha osservato che in questo ciclo di rendicontazione gli Stati membri non hanno comunicato alcun problema relativo ai movimenti transfrontalieri di rifiuti radioattivi o di combustibile esaurito.</w:t>
      </w:r>
    </w:p>
    <w:p w14:paraId="39E81CF3" w14:textId="7D03A4CA" w:rsidR="009F750D" w:rsidRPr="001B7135" w:rsidRDefault="009F750D" w:rsidP="00C13A7C">
      <w:pPr>
        <w:autoSpaceDE w:val="0"/>
        <w:autoSpaceDN w:val="0"/>
        <w:adjustRightInd w:val="0"/>
        <w:spacing w:after="240"/>
        <w:rPr>
          <w:noProof/>
          <w:lang w:val="it-IT"/>
        </w:rPr>
      </w:pPr>
      <w:r w:rsidRPr="001B7135">
        <w:rPr>
          <w:noProof/>
          <w:lang w:val="it-IT"/>
        </w:rPr>
        <w:t>Gli Stati membri non hanno comunicato questioni che potessero ricadere nell'ambito dell'articolo 4 "</w:t>
      </w:r>
      <w:r w:rsidRPr="001B7135">
        <w:rPr>
          <w:i/>
          <w:noProof/>
          <w:lang w:val="it-IT"/>
        </w:rPr>
        <w:t>Rispedizioni connesse a spedizioni non autorizzate e a rifiuti radioattivi non dichiarati</w:t>
      </w:r>
      <w:r w:rsidRPr="001B7135">
        <w:rPr>
          <w:noProof/>
          <w:lang w:val="it-IT"/>
        </w:rPr>
        <w:t>"; dell'articolo 12 "</w:t>
      </w:r>
      <w:r w:rsidRPr="001B7135">
        <w:rPr>
          <w:i/>
          <w:noProof/>
          <w:lang w:val="it-IT"/>
        </w:rPr>
        <w:t>Mancata esecuzione della spedizione</w:t>
      </w:r>
      <w:r w:rsidRPr="001B7135">
        <w:rPr>
          <w:noProof/>
          <w:lang w:val="it-IT"/>
        </w:rPr>
        <w:t>" o dell'articolo 16, paragrafo 1, lettera c) "</w:t>
      </w:r>
      <w:r w:rsidRPr="001B7135">
        <w:rPr>
          <w:i/>
          <w:noProof/>
          <w:lang w:val="it-IT"/>
        </w:rPr>
        <w:t>Divieto di esportazione</w:t>
      </w:r>
      <w:r w:rsidRPr="001B7135">
        <w:rPr>
          <w:noProof/>
          <w:lang w:val="it-IT"/>
        </w:rPr>
        <w:t>". Pertanto sulla base delle informazioni comunicate, nel periodo di riferimento non sono state effettuate spedizioni non autorizzate nel territorio dell'UE.</w:t>
      </w:r>
    </w:p>
    <w:p w14:paraId="4AB335C9" w14:textId="42A41E50" w:rsidR="007935BF" w:rsidRPr="001B7135" w:rsidRDefault="00F92EB0" w:rsidP="000935D0">
      <w:pPr>
        <w:pStyle w:val="Corpsdutexte1"/>
        <w:shd w:val="clear" w:color="auto" w:fill="auto"/>
        <w:spacing w:before="120" w:after="0" w:line="240" w:lineRule="auto"/>
        <w:ind w:right="23" w:firstLine="0"/>
        <w:jc w:val="both"/>
        <w:rPr>
          <w:rStyle w:val="Corpsdutexte"/>
          <w:noProof/>
          <w:sz w:val="24"/>
          <w:lang w:val="it-IT"/>
        </w:rPr>
      </w:pPr>
      <w:r w:rsidRPr="001B7135">
        <w:rPr>
          <w:rStyle w:val="Corpsdutexte"/>
          <w:noProof/>
          <w:sz w:val="24"/>
          <w:lang w:val="it-IT"/>
        </w:rPr>
        <w:t>Nello stesso periodo è stato negato il consenso in quattro casi:</w:t>
      </w:r>
    </w:p>
    <w:p w14:paraId="0B4FB5CB" w14:textId="6C6D1F46" w:rsidR="00DF484A" w:rsidRPr="001B7135" w:rsidRDefault="00DF484A" w:rsidP="00CF467B">
      <w:pPr>
        <w:pStyle w:val="Corpsdutexte1"/>
        <w:numPr>
          <w:ilvl w:val="0"/>
          <w:numId w:val="30"/>
        </w:numPr>
        <w:shd w:val="clear" w:color="auto" w:fill="auto"/>
        <w:spacing w:before="120" w:after="240" w:line="240" w:lineRule="auto"/>
        <w:ind w:right="20"/>
        <w:jc w:val="both"/>
        <w:rPr>
          <w:rStyle w:val="Corpsdutexte"/>
          <w:noProof/>
          <w:sz w:val="24"/>
          <w:lang w:val="it-IT"/>
        </w:rPr>
      </w:pPr>
      <w:r w:rsidRPr="001B7135">
        <w:rPr>
          <w:rStyle w:val="Corpsdutexte"/>
          <w:noProof/>
          <w:sz w:val="24"/>
          <w:lang w:val="it-IT"/>
        </w:rPr>
        <w:t>uno Stato membro ha negato il consenso a due domande a causa di una temporanea inaccessibilità degli impianti di trattamento finale;</w:t>
      </w:r>
    </w:p>
    <w:p w14:paraId="58233F41" w14:textId="4941A6C9" w:rsidR="002B7E50" w:rsidRPr="001B7135" w:rsidRDefault="007935BF" w:rsidP="00CF467B">
      <w:pPr>
        <w:pStyle w:val="Corpsdutexte1"/>
        <w:numPr>
          <w:ilvl w:val="0"/>
          <w:numId w:val="22"/>
        </w:numPr>
        <w:shd w:val="clear" w:color="auto" w:fill="auto"/>
        <w:spacing w:after="0" w:line="240" w:lineRule="auto"/>
        <w:ind w:right="20"/>
        <w:jc w:val="both"/>
        <w:rPr>
          <w:rStyle w:val="Corpsdutexte"/>
          <w:noProof/>
          <w:sz w:val="24"/>
          <w:lang w:val="it-IT"/>
        </w:rPr>
      </w:pPr>
      <w:r w:rsidRPr="001B7135">
        <w:rPr>
          <w:rStyle w:val="Corpsdutexte"/>
          <w:noProof/>
          <w:sz w:val="24"/>
          <w:lang w:val="it-IT"/>
        </w:rPr>
        <w:t>uno Stato membro ha negato il consenso a due domande di transito di rottami metallici contaminati, ritenendo che esulassero dall'ambito di applicazione della direttiva</w:t>
      </w:r>
      <w:r>
        <w:rPr>
          <w:rStyle w:val="FootnoteReference"/>
          <w:noProof/>
          <w:sz w:val="24"/>
        </w:rPr>
        <w:footnoteReference w:id="24"/>
      </w:r>
      <w:r w:rsidRPr="001B7135">
        <w:rPr>
          <w:rStyle w:val="Corpsdutexte"/>
          <w:noProof/>
          <w:sz w:val="24"/>
          <w:lang w:val="it-IT"/>
        </w:rPr>
        <w:t>. I transiti sono tuttavia avvenuti ai sensi della legislazione locale applicabile.</w:t>
      </w:r>
    </w:p>
    <w:p w14:paraId="65CC30D6" w14:textId="147D9D27" w:rsidR="00B96D51" w:rsidRPr="001B7135" w:rsidRDefault="00B96D51" w:rsidP="0069560D">
      <w:pPr>
        <w:autoSpaceDE w:val="0"/>
        <w:autoSpaceDN w:val="0"/>
        <w:adjustRightInd w:val="0"/>
        <w:rPr>
          <w:rStyle w:val="Corpsdutexte"/>
          <w:noProof/>
          <w:sz w:val="24"/>
          <w:lang w:val="it-IT"/>
        </w:rPr>
      </w:pPr>
      <w:r w:rsidRPr="001B7135">
        <w:rPr>
          <w:rStyle w:val="Corpsdutexte"/>
          <w:noProof/>
          <w:sz w:val="24"/>
          <w:lang w:val="it-IT"/>
        </w:rPr>
        <w:t xml:space="preserve">Tre Stati membri (Croazia, Cipro e Malta) non hanno comunicato alcuna spedizione autorizzata sul proprio territorio dall'entrata in vigore degli obblighi di comunicazione imposti dalla direttiva. </w:t>
      </w:r>
    </w:p>
    <w:p w14:paraId="636890DA" w14:textId="1F191503" w:rsidR="00914329" w:rsidRPr="001B7135" w:rsidRDefault="00032E65" w:rsidP="00666CC3">
      <w:pPr>
        <w:autoSpaceDE w:val="0"/>
        <w:autoSpaceDN w:val="0"/>
        <w:adjustRightInd w:val="0"/>
        <w:rPr>
          <w:rStyle w:val="Corpsdutexte"/>
          <w:noProof/>
          <w:sz w:val="24"/>
          <w:lang w:val="it-IT"/>
        </w:rPr>
      </w:pPr>
      <w:r w:rsidRPr="001B7135">
        <w:rPr>
          <w:rStyle w:val="Corpsdutexte"/>
          <w:noProof/>
          <w:sz w:val="24"/>
          <w:lang w:val="it-IT"/>
        </w:rPr>
        <w:t>Una presentazione dettagliata delle spedizioni transfrontaliere di rifiuti radioattivi e combustibile esaurito nell'UE durante il periodo di riferimento in corso è disponibile nel documento di lavoro dei servizi della Commissione che accompagna la presente relazione.</w:t>
      </w:r>
      <w:r w:rsidRPr="001B7135">
        <w:rPr>
          <w:rStyle w:val="Corpsdutexte"/>
          <w:noProof/>
          <w:color w:val="FF0000"/>
          <w:sz w:val="24"/>
          <w:lang w:val="it-IT"/>
        </w:rPr>
        <w:t xml:space="preserve"> </w:t>
      </w:r>
    </w:p>
    <w:p w14:paraId="3D89EB37" w14:textId="0FC214BF" w:rsidR="00914329" w:rsidRPr="009271F6" w:rsidRDefault="008340E7" w:rsidP="008340E7">
      <w:pPr>
        <w:pStyle w:val="ManualHeading2"/>
        <w:rPr>
          <w:noProof/>
        </w:rPr>
      </w:pPr>
      <w:bookmarkStart w:id="33" w:name="_Toc125550749"/>
      <w:r w:rsidRPr="008340E7">
        <w:t>3.1.</w:t>
      </w:r>
      <w:r w:rsidRPr="008340E7">
        <w:tab/>
      </w:r>
      <w:r w:rsidR="003C6A63">
        <w:rPr>
          <w:noProof/>
        </w:rPr>
        <w:t>Statistiche (2018-2020)</w:t>
      </w:r>
      <w:bookmarkEnd w:id="33"/>
    </w:p>
    <w:p w14:paraId="6E40CFE0" w14:textId="01E588E1" w:rsidR="001B7135" w:rsidRPr="001B7135" w:rsidRDefault="00DD45B1" w:rsidP="00C50456">
      <w:pPr>
        <w:keepNext/>
        <w:rPr>
          <w:rStyle w:val="Emphasis"/>
          <w:i w:val="0"/>
          <w:noProof/>
          <w:lang w:val="it-IT"/>
        </w:rPr>
      </w:pPr>
      <w:r w:rsidRPr="001B7135">
        <w:rPr>
          <w:rStyle w:val="Emphasis"/>
          <w:i w:val="0"/>
          <w:noProof/>
          <w:lang w:val="it-IT"/>
        </w:rPr>
        <w:t xml:space="preserve">Questa sezione offre una panoramica statistica delle autorizzazioni e delle spedizioni. </w:t>
      </w:r>
    </w:p>
    <w:p w14:paraId="7AA7B88F" w14:textId="77777777" w:rsidR="006E311F" w:rsidRDefault="008277A7" w:rsidP="006E311F">
      <w:pPr>
        <w:keepNext/>
        <w:rPr>
          <w:rStyle w:val="Emphasis"/>
          <w:i w:val="0"/>
          <w:noProof/>
        </w:rPr>
      </w:pPr>
      <w:r>
        <w:rPr>
          <w:rStyle w:val="Emphasis"/>
          <w:i w:val="0"/>
          <w:noProof/>
        </w:rPr>
      </w:r>
      <w:r>
        <w:rPr>
          <w:rStyle w:val="Emphasis"/>
          <w:i w:val="0"/>
          <w:noProof/>
        </w:rPr>
        <w:pict w14:anchorId="7F9C7803">
          <v:group id="_x0000_s1033" editas="canvas" style="width:416.55pt;height:280.85pt;mso-position-horizontal-relative:char;mso-position-vertical-relative:line" coordsize="8331,5617">
            <o:lock v:ext="edit" aspectratio="t"/>
            <v:shape id="_x0000_s1034" type="#_x0000_t75" style="position:absolute;width:8331;height:5617" o:preferrelative="f">
              <v:fill o:detectmouseclick="t"/>
              <v:path o:extrusionok="t" o:connecttype="none"/>
              <o:lock v:ext="edit" text="t"/>
            </v:shape>
            <v:rect id="_x0000_s1035" style="position:absolute;width:8331;height:5443" fillcolor="#f2f2f2" stroked="f"/>
            <v:shape id="_x0000_s1036" style="position:absolute;left:744;top:1297;width:7463;height:2673" coordsize="7463,2673" path="m,2673r7463,m,1782r7463,m,891r7463,m,l7463,e" filled="f" strokecolor="#d9d9d9" strokeweight=".4pt">
              <v:path arrowok="t"/>
              <o:lock v:ext="edit" verticies="t"/>
            </v:shape>
            <v:shape id="_x0000_s1037" style="position:absolute;left:1303;top:1742;width:6343;height:3119" coordsize="6343,3119" path="m,998r746,l746,3119,,3119,,998xm1866,321r746,l2612,3119r-746,l1866,321xm3731,1015r747,l4478,3119r-747,l3731,1015xm5597,r746,l6343,3119r-746,l5597,xe" fillcolor="#034ea2" stroked="f">
              <v:path arrowok="t"/>
              <o:lock v:ext="edit" verticies="t"/>
            </v:shape>
            <v:shape id="_x0000_s1038" style="position:absolute;left:3169;top:2009;width:2612;height:748" coordsize="2612,748" path="m,l746,r,54l,54,,xm1865,624r747,l2612,748r-747,l1865,624xe" fillcolor="#4bc5de" stroked="f">
              <v:path arrowok="t"/>
              <o:lock v:ext="edit" verticies="t"/>
            </v:shape>
            <v:shape id="_x0000_s1039" style="position:absolute;left:1303;top:1386;width:6343;height:1354" coordsize="6343,1354" path="m,605r746,l746,1354,,1354,,605xm1866,53r746,l2612,623r-746,l1866,53xm3731,873r747,l4478,1247r-747,l3731,873xm5597,r746,l6343,356r-746,l5597,xe" fillcolor="#1e858b" stroked="f">
              <v:path arrowok="t"/>
              <o:lock v:ext="edit" verticies="t"/>
            </v:shape>
            <v:line id="_x0000_s1040" style="position:absolute" from="744,4861" to="8207,4861" strokecolor="#d9d9d9" strokeweight=".4pt"/>
            <v:rect id="_x0000_s1041" style="position:absolute;left:1435;top:3606;width:487;height:631;mso-wrap-style:none;v-text-anchor:top" filled="f" stroked="f">
              <v:textbox style="mso-rotate-with-shape:t;mso-fit-shape-to-text:t" inset="0,0,0,0">
                <w:txbxContent>
                  <w:p w14:paraId="30B4FE42" w14:textId="77777777" w:rsidR="006E311F" w:rsidRDefault="006E311F" w:rsidP="006E311F">
                    <w:r>
                      <w:rPr>
                        <w:rFonts w:ascii="Calibri" w:hAnsi="Calibri" w:cs="Calibri"/>
                        <w:b/>
                        <w:bCs/>
                        <w:color w:val="FFFFFF"/>
                        <w:sz w:val="32"/>
                        <w:szCs w:val="32"/>
                      </w:rPr>
                      <w:t>119</w:t>
                    </w:r>
                  </w:p>
                </w:txbxContent>
              </v:textbox>
            </v:rect>
            <v:rect id="_x0000_s1042" style="position:absolute;left:3300;top:3268;width:487;height:631;mso-wrap-style:none;v-text-anchor:top" filled="f" stroked="f">
              <v:textbox style="mso-rotate-with-shape:t;mso-fit-shape-to-text:t" inset="0,0,0,0">
                <w:txbxContent>
                  <w:p w14:paraId="2D6CB0A8" w14:textId="77777777" w:rsidR="006E311F" w:rsidRDefault="006E311F" w:rsidP="006E311F">
                    <w:r>
                      <w:rPr>
                        <w:rFonts w:ascii="Calibri" w:hAnsi="Calibri" w:cs="Calibri"/>
                        <w:b/>
                        <w:bCs/>
                        <w:color w:val="FFFFFF"/>
                        <w:sz w:val="32"/>
                        <w:szCs w:val="32"/>
                      </w:rPr>
                      <w:t>157</w:t>
                    </w:r>
                  </w:p>
                </w:txbxContent>
              </v:textbox>
            </v:rect>
            <v:rect id="_x0000_s1043" style="position:absolute;left:5166;top:3615;width:487;height:631;mso-wrap-style:none;v-text-anchor:top" filled="f" stroked="f">
              <v:textbox style="mso-rotate-with-shape:t;mso-fit-shape-to-text:t" inset="0,0,0,0">
                <w:txbxContent>
                  <w:p w14:paraId="5487A1ED" w14:textId="77777777" w:rsidR="006E311F" w:rsidRDefault="006E311F" w:rsidP="006E311F">
                    <w:r>
                      <w:rPr>
                        <w:rFonts w:ascii="Calibri" w:hAnsi="Calibri" w:cs="Calibri"/>
                        <w:b/>
                        <w:bCs/>
                        <w:color w:val="FFFFFF"/>
                        <w:sz w:val="32"/>
                        <w:szCs w:val="32"/>
                      </w:rPr>
                      <w:t>118</w:t>
                    </w:r>
                  </w:p>
                </w:txbxContent>
              </v:textbox>
            </v:rect>
            <v:rect id="_x0000_s1044" style="position:absolute;left:7032;top:3107;width:487;height:631;mso-wrap-style:none;v-text-anchor:top" filled="f" stroked="f">
              <v:textbox style="mso-rotate-with-shape:t;mso-fit-shape-to-text:t" inset="0,0,0,0">
                <w:txbxContent>
                  <w:p w14:paraId="48F0BA9A" w14:textId="77777777" w:rsidR="006E311F" w:rsidRDefault="006E311F" w:rsidP="006E311F">
                    <w:r>
                      <w:rPr>
                        <w:rFonts w:ascii="Calibri" w:hAnsi="Calibri" w:cs="Calibri"/>
                        <w:b/>
                        <w:bCs/>
                        <w:color w:val="FFFFFF"/>
                        <w:sz w:val="32"/>
                        <w:szCs w:val="32"/>
                      </w:rPr>
                      <w:t>175</w:t>
                    </w:r>
                  </w:p>
                </w:txbxContent>
              </v:textbox>
            </v:rect>
            <v:shape id="_x0000_s1045" style="position:absolute;left:3915;top:2036;width:210;height:8" coordsize="210,8" path="m,l159,8r51,e" filled="f" strokecolor="#a6a6a6" strokeweight=".4pt">
              <v:path arrowok="t"/>
            </v:shape>
            <v:shape id="_x0000_s1046" style="position:absolute;left:5781;top:2678;width:180;height:18" coordsize="180,18" path="m,18l128,r52,e" filled="f" strokecolor="#a6a6a6" strokeweight=".4pt">
              <v:path arrowok="t"/>
            </v:shape>
            <v:rect id="_x0000_s1047" style="position:absolute;left:4192;top:1717;width:163;height:631;mso-wrap-style:none;v-text-anchor:top" filled="f" stroked="f">
              <v:textbox style="mso-rotate-with-shape:t;mso-fit-shape-to-text:t" inset="0,0,0,0">
                <w:txbxContent>
                  <w:p w14:paraId="0F6CA2B2" w14:textId="77777777" w:rsidR="006E311F" w:rsidRDefault="006E311F" w:rsidP="006E311F">
                    <w:r>
                      <w:rPr>
                        <w:rFonts w:ascii="Calibri" w:hAnsi="Calibri" w:cs="Calibri"/>
                        <w:b/>
                        <w:bCs/>
                        <w:color w:val="404040"/>
                        <w:sz w:val="32"/>
                        <w:szCs w:val="32"/>
                      </w:rPr>
                      <w:t>3</w:t>
                    </w:r>
                  </w:p>
                </w:txbxContent>
              </v:textbox>
            </v:rect>
            <v:rect id="_x0000_s1048" style="position:absolute;left:6017;top:2340;width:163;height:631;mso-wrap-style:none;v-text-anchor:top" filled="f" stroked="f">
              <v:textbox style="mso-rotate-with-shape:t;mso-fit-shape-to-text:t" inset="0,0,0,0">
                <w:txbxContent>
                  <w:p w14:paraId="011A6B02" w14:textId="77777777" w:rsidR="006E311F" w:rsidRDefault="006E311F" w:rsidP="006E311F">
                    <w:r>
                      <w:rPr>
                        <w:rFonts w:ascii="Calibri" w:hAnsi="Calibri" w:cs="Calibri"/>
                        <w:b/>
                        <w:bCs/>
                        <w:color w:val="404040"/>
                        <w:sz w:val="32"/>
                        <w:szCs w:val="32"/>
                      </w:rPr>
                      <w:t>7</w:t>
                    </w:r>
                  </w:p>
                </w:txbxContent>
              </v:textbox>
            </v:rect>
            <v:rect id="_x0000_s1049" style="position:absolute;left:1515;top:2050;width:325;height:631;mso-wrap-style:none;v-text-anchor:top" filled="f" stroked="f">
              <v:textbox style="mso-rotate-with-shape:t;mso-fit-shape-to-text:t" inset="0,0,0,0">
                <w:txbxContent>
                  <w:p w14:paraId="12288CF2" w14:textId="77777777" w:rsidR="006E311F" w:rsidRDefault="006E311F" w:rsidP="006E311F">
                    <w:r>
                      <w:rPr>
                        <w:rFonts w:ascii="Calibri" w:hAnsi="Calibri" w:cs="Calibri"/>
                        <w:b/>
                        <w:bCs/>
                        <w:color w:val="404040"/>
                        <w:sz w:val="32"/>
                        <w:szCs w:val="32"/>
                      </w:rPr>
                      <w:t>42</w:t>
                    </w:r>
                  </w:p>
                </w:txbxContent>
              </v:textbox>
            </v:rect>
            <v:rect id="_x0000_s1050" style="position:absolute;left:3370;top:1409;width:325;height:631;mso-wrap-style:none;v-text-anchor:top" filled="f" stroked="f">
              <v:textbox style="mso-rotate-with-shape:t;mso-fit-shape-to-text:t" inset="0,0,0,0">
                <w:txbxContent>
                  <w:p w14:paraId="64B900E5" w14:textId="77777777" w:rsidR="006E311F" w:rsidRDefault="006E311F" w:rsidP="006E311F">
                    <w:r>
                      <w:rPr>
                        <w:rFonts w:ascii="Calibri" w:hAnsi="Calibri" w:cs="Calibri"/>
                        <w:b/>
                        <w:bCs/>
                        <w:color w:val="404040"/>
                        <w:sz w:val="32"/>
                        <w:szCs w:val="32"/>
                      </w:rPr>
                      <w:t>32</w:t>
                    </w:r>
                  </w:p>
                </w:txbxContent>
              </v:textbox>
            </v:rect>
            <v:rect id="_x0000_s1051" style="position:absolute;left:5236;top:2143;width:325;height:631;mso-wrap-style:none;v-text-anchor:top" filled="f" stroked="f">
              <v:textbox style="mso-rotate-with-shape:t;mso-fit-shape-to-text:t" inset="0,0,0,0">
                <w:txbxContent>
                  <w:p w14:paraId="2AD5A9E6" w14:textId="77777777" w:rsidR="006E311F" w:rsidRDefault="006E311F" w:rsidP="006E311F">
                    <w:r>
                      <w:rPr>
                        <w:rFonts w:ascii="Calibri" w:hAnsi="Calibri" w:cs="Calibri"/>
                        <w:b/>
                        <w:bCs/>
                        <w:color w:val="404040"/>
                        <w:sz w:val="32"/>
                        <w:szCs w:val="32"/>
                      </w:rPr>
                      <w:t>21</w:t>
                    </w:r>
                  </w:p>
                </w:txbxContent>
              </v:textbox>
            </v:rect>
            <v:rect id="_x0000_s1052" style="position:absolute;left:7112;top:1270;width:325;height:631;mso-wrap-style:none;v-text-anchor:top" filled="f" stroked="f">
              <v:textbox style="mso-rotate-with-shape:t;mso-fit-shape-to-text:t" inset="0,0,0,0">
                <w:txbxContent>
                  <w:p w14:paraId="784C0D30" w14:textId="77777777" w:rsidR="006E311F" w:rsidRDefault="006E311F" w:rsidP="006E311F">
                    <w:r>
                      <w:rPr>
                        <w:rFonts w:ascii="Calibri" w:hAnsi="Calibri" w:cs="Calibri"/>
                        <w:b/>
                        <w:bCs/>
                        <w:color w:val="404040"/>
                        <w:sz w:val="32"/>
                        <w:szCs w:val="32"/>
                      </w:rPr>
                      <w:t>20</w:t>
                    </w:r>
                  </w:p>
                </w:txbxContent>
              </v:textbox>
            </v:rect>
            <v:rect id="_x0000_s1053" style="position:absolute;left:352;top:4679;width:142;height:582;mso-wrap-style:none;v-text-anchor:top" filled="f" stroked="f">
              <v:textbox style="mso-rotate-with-shape:t;mso-fit-shape-to-text:t" inset="0,0,0,0">
                <w:txbxContent>
                  <w:p w14:paraId="3B4A3BC2" w14:textId="77777777" w:rsidR="006E311F" w:rsidRDefault="006E311F" w:rsidP="006E311F">
                    <w:r>
                      <w:rPr>
                        <w:rFonts w:ascii="Calibri" w:hAnsi="Calibri" w:cs="Calibri"/>
                        <w:color w:val="595959"/>
                        <w:sz w:val="28"/>
                        <w:szCs w:val="28"/>
                      </w:rPr>
                      <w:t>0</w:t>
                    </w:r>
                  </w:p>
                </w:txbxContent>
              </v:textbox>
            </v:rect>
            <v:rect id="_x0000_s1054" style="position:absolute;left:214;top:3788;width:284;height:582;mso-wrap-style:none;v-text-anchor:top" filled="f" stroked="f">
              <v:textbox style="mso-rotate-with-shape:t;mso-fit-shape-to-text:t" inset="0,0,0,0">
                <w:txbxContent>
                  <w:p w14:paraId="1304DAA9" w14:textId="77777777" w:rsidR="006E311F" w:rsidRDefault="006E311F" w:rsidP="006E311F">
                    <w:r>
                      <w:rPr>
                        <w:rFonts w:ascii="Calibri" w:hAnsi="Calibri" w:cs="Calibri"/>
                        <w:color w:val="595959"/>
                        <w:sz w:val="28"/>
                        <w:szCs w:val="28"/>
                      </w:rPr>
                      <w:t>50</w:t>
                    </w:r>
                  </w:p>
                </w:txbxContent>
              </v:textbox>
            </v:rect>
            <v:rect id="_x0000_s1055" style="position:absolute;left:75;top:2895;width:426;height:582;mso-wrap-style:none;v-text-anchor:top" filled="f" stroked="f">
              <v:textbox style="mso-rotate-with-shape:t;mso-fit-shape-to-text:t" inset="0,0,0,0">
                <w:txbxContent>
                  <w:p w14:paraId="477B2AFC" w14:textId="77777777" w:rsidR="006E311F" w:rsidRDefault="006E311F" w:rsidP="006E311F">
                    <w:r>
                      <w:rPr>
                        <w:rFonts w:ascii="Calibri" w:hAnsi="Calibri" w:cs="Calibri"/>
                        <w:color w:val="595959"/>
                        <w:sz w:val="28"/>
                        <w:szCs w:val="28"/>
                      </w:rPr>
                      <w:t>100</w:t>
                    </w:r>
                  </w:p>
                </w:txbxContent>
              </v:textbox>
            </v:rect>
            <v:rect id="_x0000_s1056" style="position:absolute;left:75;top:2005;width:426;height:582;mso-wrap-style:none;v-text-anchor:top" filled="f" stroked="f">
              <v:textbox style="mso-rotate-with-shape:t;mso-fit-shape-to-text:t" inset="0,0,0,0">
                <w:txbxContent>
                  <w:p w14:paraId="631E0F29" w14:textId="77777777" w:rsidR="006E311F" w:rsidRDefault="006E311F" w:rsidP="006E311F">
                    <w:r>
                      <w:rPr>
                        <w:rFonts w:ascii="Calibri" w:hAnsi="Calibri" w:cs="Calibri"/>
                        <w:color w:val="595959"/>
                        <w:sz w:val="28"/>
                        <w:szCs w:val="28"/>
                      </w:rPr>
                      <w:t>150</w:t>
                    </w:r>
                  </w:p>
                </w:txbxContent>
              </v:textbox>
            </v:rect>
            <v:rect id="_x0000_s1057" style="position:absolute;left:75;top:1114;width:426;height:582;mso-wrap-style:none;v-text-anchor:top" filled="f" stroked="f">
              <v:textbox style="mso-rotate-with-shape:t;mso-fit-shape-to-text:t" inset="0,0,0,0">
                <w:txbxContent>
                  <w:p w14:paraId="7BBCF96F" w14:textId="77777777" w:rsidR="006E311F" w:rsidRDefault="006E311F" w:rsidP="006E311F">
                    <w:r>
                      <w:rPr>
                        <w:rFonts w:ascii="Calibri" w:hAnsi="Calibri" w:cs="Calibri"/>
                        <w:color w:val="595959"/>
                        <w:sz w:val="28"/>
                        <w:szCs w:val="28"/>
                      </w:rPr>
                      <w:t>200</w:t>
                    </w:r>
                  </w:p>
                </w:txbxContent>
              </v:textbox>
            </v:rect>
            <v:rect id="_x0000_s1058" style="position:absolute;left:997;top:4892;width:1348;height:582;mso-wrap-style:none;v-text-anchor:top" filled="f" stroked="f">
              <v:textbox style="mso-rotate-with-shape:t;mso-fit-shape-to-text:t" inset="0,0,0,0">
                <w:txbxContent>
                  <w:p w14:paraId="4C4251EE" w14:textId="77777777" w:rsidR="006E311F" w:rsidRDefault="006E311F" w:rsidP="006E311F">
                    <w:r>
                      <w:rPr>
                        <w:rFonts w:ascii="Calibri" w:hAnsi="Calibri" w:cs="Calibri"/>
                        <w:color w:val="595959"/>
                        <w:sz w:val="28"/>
                        <w:szCs w:val="28"/>
                      </w:rPr>
                      <w:t>2009 - 2011</w:t>
                    </w:r>
                  </w:p>
                </w:txbxContent>
              </v:textbox>
            </v:rect>
            <v:rect id="_x0000_s1059" style="position:absolute;left:2896;top:4892;width:1348;height:582;mso-wrap-style:none;v-text-anchor:top" filled="f" stroked="f">
              <v:textbox style="mso-rotate-with-shape:t;mso-fit-shape-to-text:t" inset="0,0,0,0">
                <w:txbxContent>
                  <w:p w14:paraId="76E96937" w14:textId="77777777" w:rsidR="006E311F" w:rsidRDefault="006E311F" w:rsidP="006E311F">
                    <w:r>
                      <w:rPr>
                        <w:rFonts w:ascii="Calibri" w:hAnsi="Calibri" w:cs="Calibri"/>
                        <w:color w:val="595959"/>
                        <w:sz w:val="28"/>
                        <w:szCs w:val="28"/>
                      </w:rPr>
                      <w:t>2012 - 2014</w:t>
                    </w:r>
                  </w:p>
                </w:txbxContent>
              </v:textbox>
            </v:rect>
            <v:rect id="_x0000_s1060" style="position:absolute;left:4773;top:4892;width:1348;height:582;mso-wrap-style:none;v-text-anchor:top" filled="f" stroked="f">
              <v:textbox style="mso-rotate-with-shape:t;mso-fit-shape-to-text:t" inset="0,0,0,0">
                <w:txbxContent>
                  <w:p w14:paraId="1F1E3B61" w14:textId="77777777" w:rsidR="006E311F" w:rsidRDefault="006E311F" w:rsidP="006E311F">
                    <w:r>
                      <w:rPr>
                        <w:rFonts w:ascii="Calibri" w:hAnsi="Calibri" w:cs="Calibri"/>
                        <w:color w:val="595959"/>
                        <w:sz w:val="28"/>
                        <w:szCs w:val="28"/>
                      </w:rPr>
                      <w:t>2015 - 2017</w:t>
                    </w:r>
                  </w:p>
                </w:txbxContent>
              </v:textbox>
            </v:rect>
            <v:rect id="_x0000_s1061" style="position:absolute;left:6649;top:4892;width:1348;height:582;mso-wrap-style:none;v-text-anchor:top" filled="f" stroked="f">
              <v:textbox style="mso-rotate-with-shape:t;mso-fit-shape-to-text:t" inset="0,0,0,0">
                <w:txbxContent>
                  <w:p w14:paraId="4623476D" w14:textId="77777777" w:rsidR="006E311F" w:rsidRDefault="006E311F" w:rsidP="006E311F">
                    <w:r>
                      <w:rPr>
                        <w:rFonts w:ascii="Calibri" w:hAnsi="Calibri" w:cs="Calibri"/>
                        <w:color w:val="595959"/>
                        <w:sz w:val="28"/>
                        <w:szCs w:val="28"/>
                      </w:rPr>
                      <w:t>2018 - 2020</w:t>
                    </w:r>
                  </w:p>
                </w:txbxContent>
              </v:textbox>
            </v:rect>
            <v:rect id="_x0000_s1062" style="position:absolute;left:1102;top:86;width:6374;height:753;mso-wrap-style:none;v-text-anchor:top" filled="f" stroked="f">
              <v:textbox style="mso-rotate-with-shape:t;mso-fit-shape-to-text:t" inset="0,0,0,0">
                <w:txbxContent>
                  <w:p w14:paraId="5F79303D" w14:textId="77777777" w:rsidR="006E311F" w:rsidRDefault="006E311F" w:rsidP="006E311F">
                    <w:r>
                      <w:rPr>
                        <w:rFonts w:ascii="Calibri" w:hAnsi="Calibri" w:cs="Calibri"/>
                        <w:color w:val="595959"/>
                        <w:sz w:val="42"/>
                        <w:szCs w:val="42"/>
                      </w:rPr>
                      <w:t>Numero di autorizzazioni per periodo</w:t>
                    </w:r>
                  </w:p>
                </w:txbxContent>
              </v:textbox>
            </v:rect>
            <v:rect id="_x0000_s1063" style="position:absolute;left:1154;top:797;width:149;height:151" fillcolor="#034ea2" stroked="f"/>
            <v:rect id="_x0000_s1064" style="position:absolute;left:1365;top:543;width:1848;height:582;mso-wrap-style:none;v-text-anchor:top" filled="f" stroked="f">
              <v:textbox style="mso-rotate-with-shape:t;mso-fit-shape-to-text:t" inset="0,0,0,0">
                <w:txbxContent>
                  <w:p w14:paraId="758B39B4" w14:textId="77777777" w:rsidR="006E311F" w:rsidRDefault="006E311F" w:rsidP="006E311F">
                    <w:r>
                      <w:rPr>
                        <w:rFonts w:ascii="Calibri" w:hAnsi="Calibri" w:cs="Calibri"/>
                        <w:color w:val="595959"/>
                        <w:sz w:val="28"/>
                        <w:szCs w:val="28"/>
                      </w:rPr>
                      <w:t>rifiuti radioattivi</w:t>
                    </w:r>
                  </w:p>
                </w:txbxContent>
              </v:textbox>
            </v:rect>
            <v:rect id="_x0000_s1065" style="position:absolute;left:3556;top:797;width:150;height:151" fillcolor="#4bc5de" stroked="f"/>
            <v:rect id="_x0000_s1066" style="position:absolute;left:3757;top:532;width:1016;height:582;mso-wrap-style:none;v-text-anchor:top" filled="f" stroked="f">
              <v:textbox style="mso-rotate-with-shape:t;mso-fit-shape-to-text:t" inset="0,0,0,0">
                <w:txbxContent>
                  <w:p w14:paraId="7E7D3792" w14:textId="77777777" w:rsidR="006E311F" w:rsidRDefault="006E311F" w:rsidP="006E311F">
                    <w:r>
                      <w:rPr>
                        <w:rFonts w:ascii="Calibri" w:hAnsi="Calibri" w:cs="Calibri"/>
                        <w:color w:val="595959"/>
                        <w:sz w:val="28"/>
                        <w:szCs w:val="28"/>
                      </w:rPr>
                      <w:t>materiali</w:t>
                    </w:r>
                  </w:p>
                </w:txbxContent>
              </v:textbox>
            </v:rect>
            <v:rect id="_x0000_s1067" style="position:absolute;left:5247;top:797;width:149;height:151" fillcolor="#1e858b" stroked="f"/>
            <v:rect id="_x0000_s1068" style="position:absolute;left:5529;top:547;width:2464;height:582;mso-wrap-style:none;v-text-anchor:top" filled="f" stroked="f">
              <v:textbox style="mso-rotate-with-shape:t" inset="0,0,0,0">
                <w:txbxContent>
                  <w:p w14:paraId="6E834EBC" w14:textId="77777777" w:rsidR="006E311F" w:rsidRPr="00D5264A" w:rsidRDefault="006E311F" w:rsidP="006E311F">
                    <w:pPr>
                      <w:rPr>
                        <w:lang w:val="it-IT"/>
                      </w:rPr>
                    </w:pPr>
                    <w:r>
                      <w:rPr>
                        <w:rFonts w:ascii="Calibri" w:hAnsi="Calibri" w:cs="Calibri"/>
                        <w:color w:val="595959"/>
                        <w:sz w:val="28"/>
                        <w:szCs w:val="28"/>
                      </w:rPr>
                      <w:t>combustibile esaurito</w:t>
                    </w:r>
                  </w:p>
                </w:txbxContent>
              </v:textbox>
            </v:rect>
            <w10:anchorlock/>
          </v:group>
        </w:pict>
      </w:r>
    </w:p>
    <w:p w14:paraId="4E8CEED4" w14:textId="792BE940" w:rsidR="00D91D6F" w:rsidRPr="001B7135" w:rsidRDefault="00D91D6F" w:rsidP="00883362">
      <w:pPr>
        <w:keepNext/>
        <w:tabs>
          <w:tab w:val="left" w:pos="1701"/>
        </w:tabs>
        <w:ind w:left="1701" w:hanging="1134"/>
        <w:jc w:val="left"/>
        <w:rPr>
          <w:rStyle w:val="Corpsdutexte"/>
          <w:b/>
          <w:noProof/>
          <w:sz w:val="24"/>
          <w:lang w:val="it-IT"/>
        </w:rPr>
      </w:pPr>
      <w:r w:rsidRPr="001B7135">
        <w:rPr>
          <w:b/>
          <w:noProof/>
          <w:lang w:val="it-IT"/>
        </w:rPr>
        <w:t xml:space="preserve">Figura </w:t>
      </w:r>
      <w:r>
        <w:rPr>
          <w:b/>
          <w:noProof/>
        </w:rPr>
        <w:fldChar w:fldCharType="begin"/>
      </w:r>
      <w:r w:rsidRPr="001B7135">
        <w:rPr>
          <w:b/>
          <w:noProof/>
          <w:lang w:val="it-IT"/>
        </w:rPr>
        <w:instrText xml:space="preserve"> SEQ Figure \* ARABIC </w:instrText>
      </w:r>
      <w:r>
        <w:rPr>
          <w:b/>
          <w:noProof/>
        </w:rPr>
        <w:fldChar w:fldCharType="separate"/>
      </w:r>
      <w:r w:rsidRPr="001B7135">
        <w:rPr>
          <w:b/>
          <w:noProof/>
          <w:lang w:val="it-IT"/>
        </w:rPr>
        <w:t>1</w:t>
      </w:r>
      <w:r>
        <w:rPr>
          <w:b/>
          <w:noProof/>
        </w:rPr>
        <w:fldChar w:fldCharType="end"/>
      </w:r>
      <w:r w:rsidRPr="001B7135">
        <w:rPr>
          <w:b/>
          <w:noProof/>
          <w:lang w:val="it-IT"/>
        </w:rPr>
        <w:t xml:space="preserve">. </w:t>
      </w:r>
      <w:r w:rsidRPr="001B7135">
        <w:rPr>
          <w:noProof/>
          <w:lang w:val="it-IT"/>
        </w:rPr>
        <w:tab/>
      </w:r>
      <w:r w:rsidRPr="001B7135">
        <w:rPr>
          <w:b/>
          <w:noProof/>
          <w:lang w:val="it-IT"/>
        </w:rPr>
        <w:t>Numero di autorizzazioni</w:t>
      </w:r>
    </w:p>
    <w:p w14:paraId="0AF528E0" w14:textId="4AAEAEEE" w:rsidR="003C6A63" w:rsidRPr="001B7135" w:rsidRDefault="0094338A" w:rsidP="0094338A">
      <w:pPr>
        <w:rPr>
          <w:rStyle w:val="Corpsdutexte"/>
          <w:noProof/>
          <w:sz w:val="24"/>
          <w:lang w:val="it-IT"/>
        </w:rPr>
      </w:pPr>
      <w:r w:rsidRPr="001B7135">
        <w:rPr>
          <w:rStyle w:val="Corpsdutexte"/>
          <w:noProof/>
          <w:sz w:val="24"/>
          <w:lang w:val="it-IT"/>
        </w:rPr>
        <w:t>Le 195 autorizzazioni comunicate da 21 Stati membri nel periodo 2018</w:t>
      </w:r>
      <w:r w:rsidR="006E311F">
        <w:rPr>
          <w:rStyle w:val="Corpsdutexte"/>
          <w:noProof/>
          <w:sz w:val="24"/>
          <w:lang w:val="it-IT"/>
        </w:rPr>
        <w:noBreakHyphen/>
      </w:r>
      <w:r w:rsidRPr="001B7135">
        <w:rPr>
          <w:rStyle w:val="Corpsdutexte"/>
          <w:noProof/>
          <w:sz w:val="24"/>
          <w:lang w:val="it-IT"/>
        </w:rPr>
        <w:t xml:space="preserve">2020 corrispondono a 1 770 spedizioni autorizzate. </w:t>
      </w:r>
      <w:r w:rsidRPr="001B7135">
        <w:rPr>
          <w:noProof/>
          <w:lang w:val="it-IT"/>
        </w:rPr>
        <w:t>Un'autorizzazione riguarda in generale più spedizioni e potrebbe superare il periodo di tempo oggetto della presente relazione.</w:t>
      </w:r>
      <w:r w:rsidRPr="001B7135">
        <w:rPr>
          <w:rStyle w:val="Corpsdutexte"/>
          <w:noProof/>
          <w:sz w:val="24"/>
          <w:lang w:val="it-IT"/>
        </w:rPr>
        <w:t xml:space="preserve"> </w:t>
      </w:r>
    </w:p>
    <w:p w14:paraId="16B7E074" w14:textId="77777777" w:rsidR="006E311F" w:rsidRDefault="008277A7" w:rsidP="006E311F">
      <w:pPr>
        <w:keepNext/>
        <w:rPr>
          <w:noProof/>
        </w:rPr>
      </w:pPr>
      <w:r>
        <w:rPr>
          <w:noProof/>
        </w:rPr>
      </w:r>
      <w:r>
        <w:rPr>
          <w:noProof/>
        </w:rPr>
        <w:pict w14:anchorId="3EA109E6">
          <v:group id="_x0000_s1069" editas="canvas" style="width:440.45pt;height:281.05pt;mso-position-horizontal-relative:char;mso-position-vertical-relative:line" coordsize="8809,5621">
            <o:lock v:ext="edit" aspectratio="t"/>
            <v:shape id="_x0000_s1070" type="#_x0000_t75" style="position:absolute;width:8809;height:5621" o:preferrelative="f">
              <v:fill o:detectmouseclick="t"/>
              <v:path o:extrusionok="t" o:connecttype="none"/>
              <o:lock v:ext="edit" text="t"/>
            </v:shape>
            <v:rect id="_x0000_s1071" style="position:absolute;left:4;top:4;width:8323;height:5443" fillcolor="#f2f2f2" stroked="f"/>
            <v:shape id="_x0000_s1072" style="position:absolute;left:885;top:1301;width:7318;height:2851" coordsize="7318,2851" path="m,2851r7318,m,2138r7318,m,1425r7318,m,712r7318,m,l7318,e" filled="f" strokecolor="#d9d9d9" strokeweight=".4pt">
              <v:path arrowok="t"/>
              <o:lock v:ext="edit" verticies="t"/>
            </v:shape>
            <v:shape id="_x0000_s1073" style="position:absolute;left:1983;top:1673;width:5122;height:3192" coordsize="5122,3192" path="m,l1464,r,3192l,3192,,xm3658,106r1464,l5122,3192r-1464,l3658,106xe" fillcolor="#4472c4" stroked="f">
              <v:path arrowok="t"/>
              <o:lock v:ext="edit" verticies="t"/>
            </v:shape>
            <v:shape id="_x0000_s1074" style="position:absolute;left:1983;top:1596;width:5122;height:183" coordsize="5122,183" path="m,l1464,r,77l,77,,xm3658,114r1464,l5122,183r-1464,l3658,114xe" fillcolor="#ed7d31" stroked="f">
              <v:path arrowok="t"/>
              <o:lock v:ext="edit" verticies="t"/>
            </v:shape>
            <v:line id="_x0000_s1075" style="position:absolute" from="885,4865" to="8203,4865" strokecolor="#d9d9d9" strokeweight=".4pt"/>
            <v:rect id="_x0000_s1076" style="position:absolute;left:2392;top:3075;width:649;height:631;mso-wrap-style:none;v-text-anchor:top" filled="f" stroked="f">
              <v:textbox style="mso-rotate-with-shape:t;mso-fit-shape-to-text:t" inset="0,0,0,0">
                <w:txbxContent>
                  <w:p w14:paraId="4305854F" w14:textId="77777777" w:rsidR="006E311F" w:rsidRDefault="006E311F" w:rsidP="006E311F">
                    <w:r>
                      <w:rPr>
                        <w:rFonts w:ascii="Calibri" w:hAnsi="Calibri" w:cs="Calibri"/>
                        <w:b/>
                        <w:bCs/>
                        <w:color w:val="FFFFFF"/>
                        <w:sz w:val="32"/>
                        <w:szCs w:val="32"/>
                      </w:rPr>
                      <w:t>1791</w:t>
                    </w:r>
                  </w:p>
                </w:txbxContent>
              </v:textbox>
            </v:rect>
            <v:rect id="_x0000_s1077" style="position:absolute;left:6051;top:3127;width:649;height:631;mso-wrap-style:none;v-text-anchor:top" filled="f" stroked="f">
              <v:textbox style="mso-rotate-with-shape:t;mso-fit-shape-to-text:t" inset="0,0,0,0">
                <w:txbxContent>
                  <w:p w14:paraId="0CE4E41B" w14:textId="77777777" w:rsidR="006E311F" w:rsidRDefault="006E311F" w:rsidP="006E311F">
                    <w:r>
                      <w:rPr>
                        <w:rFonts w:ascii="Calibri" w:hAnsi="Calibri" w:cs="Calibri"/>
                        <w:b/>
                        <w:bCs/>
                        <w:color w:val="FFFFFF"/>
                        <w:sz w:val="32"/>
                        <w:szCs w:val="32"/>
                      </w:rPr>
                      <w:t>1732</w:t>
                    </w:r>
                  </w:p>
                </w:txbxContent>
              </v:textbox>
            </v:rect>
            <v:shape id="_x0000_s1078" style="position:absolute;left:3447;top:1635;width:151;height:22" coordsize="151,22" path="m,l101,22r50,e" filled="f" strokecolor="#a6a6a6" strokeweight=".4pt">
              <v:path arrowok="t"/>
            </v:shape>
            <v:shape id="_x0000_s1079" style="position:absolute;left:7105;top:1744;width:130;height:80" coordsize="130,80" path="m,l79,80r51,e" filled="f" strokecolor="#a6a6a6" strokeweight=".4pt">
              <v:path arrowok="t"/>
            </v:shape>
            <v:rect id="_x0000_s1080" style="position:absolute;left:3711;top:1342;width:325;height:631;mso-wrap-style:none;v-text-anchor:top" filled="f" stroked="f">
              <v:textbox style="mso-rotate-with-shape:t;mso-fit-shape-to-text:t" inset="0,0,0,0">
                <w:txbxContent>
                  <w:p w14:paraId="2746EA07" w14:textId="77777777" w:rsidR="006E311F" w:rsidRDefault="006E311F" w:rsidP="006E311F">
                    <w:r>
                      <w:rPr>
                        <w:rFonts w:ascii="Calibri" w:hAnsi="Calibri" w:cs="Calibri"/>
                        <w:b/>
                        <w:bCs/>
                        <w:color w:val="404040"/>
                        <w:sz w:val="32"/>
                        <w:szCs w:val="32"/>
                      </w:rPr>
                      <w:t>43</w:t>
                    </w:r>
                  </w:p>
                </w:txbxContent>
              </v:textbox>
            </v:rect>
            <v:rect id="_x0000_s1081" style="position:absolute;left:7313;top:1508;width:325;height:631;mso-wrap-style:none;v-text-anchor:top" filled="f" stroked="f">
              <v:textbox style="mso-rotate-with-shape:t;mso-fit-shape-to-text:t" inset="0,0,0,0">
                <w:txbxContent>
                  <w:p w14:paraId="418EA4E5" w14:textId="77777777" w:rsidR="006E311F" w:rsidRDefault="006E311F" w:rsidP="006E311F">
                    <w:r>
                      <w:rPr>
                        <w:rFonts w:ascii="Calibri" w:hAnsi="Calibri" w:cs="Calibri"/>
                        <w:b/>
                        <w:bCs/>
                        <w:color w:val="404040"/>
                        <w:sz w:val="32"/>
                        <w:szCs w:val="32"/>
                      </w:rPr>
                      <w:t>38</w:t>
                    </w:r>
                  </w:p>
                </w:txbxContent>
              </v:textbox>
            </v:rect>
            <v:rect id="_x0000_s1082" style="position:absolute;left:494;top:4683;width:142;height:582;mso-wrap-style:none;v-text-anchor:top" filled="f" stroked="f">
              <v:textbox style="mso-rotate-with-shape:t;mso-fit-shape-to-text:t" inset="0,0,0,0">
                <w:txbxContent>
                  <w:p w14:paraId="1CD3E80B" w14:textId="77777777" w:rsidR="006E311F" w:rsidRDefault="006E311F" w:rsidP="006E311F">
                    <w:r>
                      <w:rPr>
                        <w:rFonts w:ascii="Calibri" w:hAnsi="Calibri" w:cs="Calibri"/>
                        <w:color w:val="595959"/>
                        <w:sz w:val="28"/>
                        <w:szCs w:val="28"/>
                      </w:rPr>
                      <w:t>0</w:t>
                    </w:r>
                  </w:p>
                </w:txbxContent>
              </v:textbox>
            </v:rect>
            <v:rect id="_x0000_s1083" style="position:absolute;left:217;top:3970;width:426;height:582;mso-wrap-style:none;v-text-anchor:top" filled="f" stroked="f">
              <v:textbox style="mso-rotate-with-shape:t;mso-fit-shape-to-text:t" inset="0,0,0,0">
                <w:txbxContent>
                  <w:p w14:paraId="3CEC93DD" w14:textId="77777777" w:rsidR="006E311F" w:rsidRDefault="006E311F" w:rsidP="006E311F">
                    <w:r>
                      <w:rPr>
                        <w:rFonts w:ascii="Calibri" w:hAnsi="Calibri" w:cs="Calibri"/>
                        <w:color w:val="595959"/>
                        <w:sz w:val="28"/>
                        <w:szCs w:val="28"/>
                      </w:rPr>
                      <w:t>400</w:t>
                    </w:r>
                  </w:p>
                </w:txbxContent>
              </v:textbox>
            </v:rect>
            <v:rect id="_x0000_s1084" style="position:absolute;left:217;top:3257;width:426;height:582;mso-wrap-style:none;v-text-anchor:top" filled="f" stroked="f">
              <v:textbox style="mso-rotate-with-shape:t;mso-fit-shape-to-text:t" inset="0,0,0,0">
                <w:txbxContent>
                  <w:p w14:paraId="76FB15E4" w14:textId="77777777" w:rsidR="006E311F" w:rsidRDefault="006E311F" w:rsidP="006E311F">
                    <w:r>
                      <w:rPr>
                        <w:rFonts w:ascii="Calibri" w:hAnsi="Calibri" w:cs="Calibri"/>
                        <w:color w:val="595959"/>
                        <w:sz w:val="28"/>
                        <w:szCs w:val="28"/>
                      </w:rPr>
                      <w:t>800</w:t>
                    </w:r>
                  </w:p>
                </w:txbxContent>
              </v:textbox>
            </v:rect>
            <v:rect id="_x0000_s1085" style="position:absolute;left:79;top:2544;width:568;height:582;mso-wrap-style:none;v-text-anchor:top" filled="f" stroked="f">
              <v:textbox style="mso-rotate-with-shape:t;mso-fit-shape-to-text:t" inset="0,0,0,0">
                <w:txbxContent>
                  <w:p w14:paraId="6FCCC583" w14:textId="77777777" w:rsidR="006E311F" w:rsidRDefault="006E311F" w:rsidP="006E311F">
                    <w:r>
                      <w:rPr>
                        <w:rFonts w:ascii="Calibri" w:hAnsi="Calibri" w:cs="Calibri"/>
                        <w:color w:val="595959"/>
                        <w:sz w:val="28"/>
                        <w:szCs w:val="28"/>
                      </w:rPr>
                      <w:t>1200</w:t>
                    </w:r>
                  </w:p>
                </w:txbxContent>
              </v:textbox>
            </v:rect>
            <v:rect id="_x0000_s1086" style="position:absolute;left:79;top:1831;width:568;height:582;mso-wrap-style:none;v-text-anchor:top" filled="f" stroked="f">
              <v:textbox style="mso-rotate-with-shape:t;mso-fit-shape-to-text:t" inset="0,0,0,0">
                <w:txbxContent>
                  <w:p w14:paraId="3A43B430" w14:textId="77777777" w:rsidR="006E311F" w:rsidRDefault="006E311F" w:rsidP="006E311F">
                    <w:r>
                      <w:rPr>
                        <w:rFonts w:ascii="Calibri" w:hAnsi="Calibri" w:cs="Calibri"/>
                        <w:color w:val="595959"/>
                        <w:sz w:val="28"/>
                        <w:szCs w:val="28"/>
                      </w:rPr>
                      <w:t>1600</w:t>
                    </w:r>
                  </w:p>
                </w:txbxContent>
              </v:textbox>
            </v:rect>
            <v:rect id="_x0000_s1087" style="position:absolute;left:79;top:1118;width:568;height:582;mso-wrap-style:none;v-text-anchor:top" filled="f" stroked="f">
              <v:textbox style="mso-rotate-with-shape:t;mso-fit-shape-to-text:t" inset="0,0,0,0">
                <w:txbxContent>
                  <w:p w14:paraId="6EAC8F64" w14:textId="77777777" w:rsidR="006E311F" w:rsidRDefault="006E311F" w:rsidP="006E311F">
                    <w:r>
                      <w:rPr>
                        <w:rFonts w:ascii="Calibri" w:hAnsi="Calibri" w:cs="Calibri"/>
                        <w:color w:val="595959"/>
                        <w:sz w:val="28"/>
                        <w:szCs w:val="28"/>
                      </w:rPr>
                      <w:t>2000</w:t>
                    </w:r>
                  </w:p>
                </w:txbxContent>
              </v:textbox>
            </v:rect>
            <v:rect id="_x0000_s1088" style="position:absolute;left:2058;top:4874;width:1348;height:582;mso-wrap-style:none;v-text-anchor:top" filled="f" stroked="f">
              <v:textbox style="mso-rotate-with-shape:t;mso-fit-shape-to-text:t" inset="0,0,0,0">
                <w:txbxContent>
                  <w:p w14:paraId="13DD92F5" w14:textId="77777777" w:rsidR="006E311F" w:rsidRDefault="006E311F" w:rsidP="006E311F">
                    <w:r>
                      <w:rPr>
                        <w:rFonts w:ascii="Calibri" w:hAnsi="Calibri" w:cs="Calibri"/>
                        <w:color w:val="595959"/>
                        <w:sz w:val="28"/>
                        <w:szCs w:val="28"/>
                      </w:rPr>
                      <w:t>2015 - 2017</w:t>
                    </w:r>
                  </w:p>
                </w:txbxContent>
              </v:textbox>
            </v:rect>
            <v:rect id="_x0000_s1089" style="position:absolute;left:5705;top:4852;width:1348;height:582;mso-wrap-style:none;v-text-anchor:top" filled="f" stroked="f">
              <v:textbox style="mso-rotate-with-shape:t;mso-fit-shape-to-text:t" inset="0,0,0,0">
                <w:txbxContent>
                  <w:p w14:paraId="6F1752C4" w14:textId="77777777" w:rsidR="006E311F" w:rsidRDefault="006E311F" w:rsidP="006E311F">
                    <w:r>
                      <w:rPr>
                        <w:rFonts w:ascii="Calibri" w:hAnsi="Calibri" w:cs="Calibri"/>
                        <w:color w:val="595959"/>
                        <w:sz w:val="28"/>
                        <w:szCs w:val="28"/>
                      </w:rPr>
                      <w:t>2018 - 2020</w:t>
                    </w:r>
                  </w:p>
                </w:txbxContent>
              </v:textbox>
            </v:rect>
            <v:rect id="_x0000_s1090" style="position:absolute;left:1438;top:90;width:5725;height:753;mso-wrap-style:none;v-text-anchor:top" filled="f" stroked="f">
              <v:textbox style="mso-rotate-with-shape:t;mso-fit-shape-to-text:t" inset="0,0,0,0">
                <w:txbxContent>
                  <w:p w14:paraId="5EE235A7" w14:textId="77777777" w:rsidR="006E311F" w:rsidRDefault="006E311F" w:rsidP="006E311F">
                    <w:r>
                      <w:rPr>
                        <w:rFonts w:ascii="Calibri" w:hAnsi="Calibri" w:cs="Calibri"/>
                        <w:color w:val="595959"/>
                        <w:sz w:val="42"/>
                        <w:szCs w:val="42"/>
                      </w:rPr>
                      <w:t>Numero di spedizioni per periodo</w:t>
                    </w:r>
                  </w:p>
                </w:txbxContent>
              </v:textbox>
            </v:rect>
            <v:rect id="_x0000_s1091" style="position:absolute;left:1460;top:845;width:150;height:151" fillcolor="#4472c4" stroked="f"/>
            <v:rect id="_x0000_s1092" style="position:absolute;left:1690;top:594;width:1848;height:582;mso-wrap-style:none;v-text-anchor:top" filled="f" stroked="f">
              <v:textbox style="mso-rotate-with-shape:t;mso-fit-shape-to-text:t" inset="0,0,0,0">
                <w:txbxContent>
                  <w:p w14:paraId="24C7F3EA" w14:textId="77777777" w:rsidR="006E311F" w:rsidRDefault="006E311F" w:rsidP="006E311F">
                    <w:r>
                      <w:rPr>
                        <w:rFonts w:ascii="Calibri" w:hAnsi="Calibri" w:cs="Calibri"/>
                        <w:color w:val="595959"/>
                        <w:sz w:val="28"/>
                        <w:szCs w:val="28"/>
                      </w:rPr>
                      <w:t>rifiuti radioattivi</w:t>
                    </w:r>
                  </w:p>
                </w:txbxContent>
              </v:textbox>
            </v:rect>
            <v:rect id="_x0000_s1093" style="position:absolute;left:4646;top:845;width:150;height:151" fillcolor="#ed7d31" stroked="f"/>
            <v:rect id="_x0000_s1094" style="position:absolute;left:4908;top:594;width:2464;height:582;mso-wrap-style:none;v-text-anchor:top" filled="f" stroked="f">
              <v:textbox style="mso-rotate-with-shape:t;mso-fit-shape-to-text:t" inset="0,0,0,0">
                <w:txbxContent>
                  <w:p w14:paraId="6323B59C" w14:textId="77777777" w:rsidR="006E311F" w:rsidRDefault="006E311F" w:rsidP="006E311F">
                    <w:r>
                      <w:rPr>
                        <w:rFonts w:ascii="Calibri" w:hAnsi="Calibri" w:cs="Calibri"/>
                        <w:color w:val="595959"/>
                        <w:sz w:val="28"/>
                        <w:szCs w:val="28"/>
                      </w:rPr>
                      <w:t>combustibile esaurito</w:t>
                    </w:r>
                  </w:p>
                </w:txbxContent>
              </v:textbox>
            </v:rect>
            <v:rect id="_x0000_s1095" style="position:absolute;left:4;top:4;width:8323;height:5443" filled="f" strokecolor="#d9d9d9" strokeweight=".4pt">
              <v:stroke joinstyle="round"/>
            </v:rect>
            <w10:anchorlock/>
          </v:group>
        </w:pict>
      </w:r>
    </w:p>
    <w:p w14:paraId="6C68671B" w14:textId="7011E973" w:rsidR="00EB1FBF" w:rsidRDefault="00EB1FBF" w:rsidP="00883362">
      <w:pPr>
        <w:keepNext/>
        <w:rPr>
          <w:noProof/>
        </w:rPr>
      </w:pPr>
    </w:p>
    <w:p w14:paraId="6E682A7F" w14:textId="3E2E8683" w:rsidR="00EB1FBF" w:rsidRPr="001B7135" w:rsidRDefault="00EB1FBF" w:rsidP="00883362">
      <w:pPr>
        <w:keepNext/>
        <w:tabs>
          <w:tab w:val="left" w:pos="1701"/>
        </w:tabs>
        <w:ind w:left="1701" w:hanging="1134"/>
        <w:jc w:val="left"/>
        <w:rPr>
          <w:b/>
          <w:noProof/>
          <w:lang w:val="it-IT"/>
        </w:rPr>
      </w:pPr>
      <w:r w:rsidRPr="001B7135">
        <w:rPr>
          <w:b/>
          <w:noProof/>
          <w:lang w:val="it-IT"/>
        </w:rPr>
        <w:t xml:space="preserve">Figura </w:t>
      </w:r>
      <w:r>
        <w:rPr>
          <w:b/>
          <w:noProof/>
        </w:rPr>
        <w:fldChar w:fldCharType="begin"/>
      </w:r>
      <w:r w:rsidRPr="001B7135">
        <w:rPr>
          <w:b/>
          <w:noProof/>
          <w:lang w:val="it-IT"/>
        </w:rPr>
        <w:instrText xml:space="preserve"> SEQ Figure \* ARABIC </w:instrText>
      </w:r>
      <w:r>
        <w:rPr>
          <w:b/>
          <w:noProof/>
        </w:rPr>
        <w:fldChar w:fldCharType="separate"/>
      </w:r>
      <w:r w:rsidRPr="001B7135">
        <w:rPr>
          <w:b/>
          <w:noProof/>
          <w:lang w:val="it-IT"/>
        </w:rPr>
        <w:t>2</w:t>
      </w:r>
      <w:r>
        <w:rPr>
          <w:b/>
          <w:noProof/>
        </w:rPr>
        <w:fldChar w:fldCharType="end"/>
      </w:r>
      <w:r w:rsidRPr="001B7135">
        <w:rPr>
          <w:b/>
          <w:noProof/>
          <w:lang w:val="it-IT"/>
        </w:rPr>
        <w:t xml:space="preserve">. </w:t>
      </w:r>
      <w:r w:rsidRPr="001B7135">
        <w:rPr>
          <w:noProof/>
          <w:lang w:val="it-IT"/>
        </w:rPr>
        <w:tab/>
      </w:r>
      <w:r w:rsidRPr="001B7135">
        <w:rPr>
          <w:b/>
          <w:noProof/>
          <w:lang w:val="it-IT"/>
        </w:rPr>
        <w:t>Numero di spedizioni</w:t>
      </w:r>
    </w:p>
    <w:p w14:paraId="5857A41F" w14:textId="784E00CC" w:rsidR="00823B0F" w:rsidRPr="001B7135" w:rsidRDefault="00823B0F" w:rsidP="0094338A">
      <w:pPr>
        <w:rPr>
          <w:rStyle w:val="Corpsdutexte"/>
          <w:noProof/>
          <w:sz w:val="24"/>
          <w:lang w:val="it-IT"/>
        </w:rPr>
      </w:pPr>
      <w:r w:rsidRPr="001B7135">
        <w:rPr>
          <w:rStyle w:val="Corpsdutexte"/>
          <w:noProof/>
          <w:sz w:val="24"/>
          <w:lang w:val="it-IT"/>
        </w:rPr>
        <w:t>In termini di spedizioni autorizzate, il 98 % (1 732 spedizioni) riguardava rifiuti radioattivi e il 2 % (38 spedizioni) riguardava combustibile esaurito.</w:t>
      </w:r>
    </w:p>
    <w:p w14:paraId="3D12FB75" w14:textId="7B7A6E59" w:rsidR="00972214" w:rsidRPr="001B7135" w:rsidRDefault="00972214" w:rsidP="0094338A">
      <w:pPr>
        <w:rPr>
          <w:rStyle w:val="Corpsdutexte"/>
          <w:noProof/>
          <w:sz w:val="24"/>
          <w:lang w:val="it-IT"/>
        </w:rPr>
      </w:pPr>
      <w:r w:rsidRPr="001B7135">
        <w:rPr>
          <w:rStyle w:val="Corpsdutexte"/>
          <w:noProof/>
          <w:sz w:val="24"/>
          <w:lang w:val="it-IT"/>
        </w:rPr>
        <w:t>La maggior parte delle autorizzazioni e delle spedizioni riguardava movimenti intracomunitari. Complessivamente il 92,6 % delle spedizioni era intracomunitario (categoria MM), mentre il 2,7 % riguardava le esportazioni (categoria ME) e il 4,7 % le importazioni (categoria IM).</w:t>
      </w:r>
    </w:p>
    <w:p w14:paraId="53A94BBD" w14:textId="09033FD7" w:rsidR="001C0327" w:rsidRPr="001B7135" w:rsidRDefault="001C0327" w:rsidP="001C0327">
      <w:pPr>
        <w:rPr>
          <w:noProof/>
          <w:lang w:val="it-IT"/>
        </w:rPr>
      </w:pPr>
      <w:r w:rsidRPr="001B7135">
        <w:rPr>
          <w:noProof/>
          <w:lang w:val="it-IT"/>
        </w:rPr>
        <w:t xml:space="preserve">Dalle statistiche emerge che </w:t>
      </w:r>
      <w:r w:rsidRPr="001B7135">
        <w:rPr>
          <w:noProof/>
          <w:sz w:val="23"/>
          <w:lang w:val="it-IT"/>
        </w:rPr>
        <w:t>per il 79 % di tutte le spedizioni intracomunitarie i rifiuti radioattivi provenivano dall'industria nucleare, mentre per il 21 % da attività non nucleari (ad esempio, medicina, ricerca)</w:t>
      </w:r>
      <w:r w:rsidRPr="001B7135">
        <w:rPr>
          <w:noProof/>
          <w:lang w:val="it-IT"/>
        </w:rPr>
        <w:t>.</w:t>
      </w:r>
    </w:p>
    <w:p w14:paraId="75BC8BEC" w14:textId="7FFAD667" w:rsidR="001320FC" w:rsidRPr="001B7135" w:rsidRDefault="001C0327" w:rsidP="001C0327">
      <w:pPr>
        <w:rPr>
          <w:noProof/>
          <w:lang w:val="it-IT"/>
        </w:rPr>
      </w:pPr>
      <w:r w:rsidRPr="001B7135">
        <w:rPr>
          <w:noProof/>
          <w:lang w:val="it-IT"/>
        </w:rPr>
        <w:t xml:space="preserve">Il trattamento dei rifiuti radioattivi (come il trattamento per la riduzione del volume o il condizionamento) in strutture dedicate era lo scopo principale delle spedizioni, così come il ritorno dei rifiuti radioattivi trattati o del combustibile esaurito nel paese di origine. Svezia e Germania sono stati i paesi che hanno rilasciato il maggior numero di autorizzazioni, sia come paese di origine che come paese di destinazione. </w:t>
      </w:r>
    </w:p>
    <w:p w14:paraId="38FF8F16" w14:textId="2D96322E" w:rsidR="001C0327" w:rsidRPr="001B7135" w:rsidRDefault="001320FC" w:rsidP="001C0327">
      <w:pPr>
        <w:rPr>
          <w:noProof/>
          <w:lang w:val="it-IT"/>
        </w:rPr>
      </w:pPr>
      <w:r w:rsidRPr="001B7135">
        <w:rPr>
          <w:noProof/>
          <w:lang w:val="it-IT"/>
        </w:rPr>
        <w:t xml:space="preserve">I movimenti di combustibile esaurito erano dovuti al ritrattamento o al ritorno nel paese di origine. </w:t>
      </w:r>
    </w:p>
    <w:p w14:paraId="100584F7" w14:textId="77777777" w:rsidR="00972214" w:rsidRPr="001B7135" w:rsidRDefault="00972214" w:rsidP="0094338A">
      <w:pPr>
        <w:rPr>
          <w:rStyle w:val="Corpsdutexte"/>
          <w:noProof/>
          <w:sz w:val="24"/>
          <w:lang w:val="it-IT"/>
        </w:rPr>
      </w:pPr>
    </w:p>
    <w:p w14:paraId="31B0DD59" w14:textId="77777777" w:rsidR="00EB1FBF" w:rsidRDefault="007624FE" w:rsidP="00883362">
      <w:pPr>
        <w:keepNext/>
        <w:rPr>
          <w:noProof/>
        </w:rPr>
      </w:pPr>
      <w:r>
        <w:rPr>
          <w:noProof/>
        </w:rPr>
        <w:pict w14:anchorId="369B088F">
          <v:shape id="_x0000_i1028" type="#_x0000_t75" style="width:416.25pt;height:252pt">
            <v:imagedata r:id="rId19" o:title=""/>
          </v:shape>
        </w:pict>
      </w:r>
    </w:p>
    <w:p w14:paraId="6BE788F1" w14:textId="0B2DED2B" w:rsidR="00EB1FBF" w:rsidRPr="001B7135" w:rsidRDefault="00EB1FBF" w:rsidP="00883362">
      <w:pPr>
        <w:keepNext/>
        <w:tabs>
          <w:tab w:val="left" w:pos="1701"/>
        </w:tabs>
        <w:ind w:left="1701" w:hanging="1134"/>
        <w:jc w:val="left"/>
        <w:rPr>
          <w:b/>
          <w:noProof/>
          <w:lang w:val="it-IT"/>
        </w:rPr>
      </w:pPr>
      <w:r w:rsidRPr="001B7135">
        <w:rPr>
          <w:b/>
          <w:noProof/>
          <w:lang w:val="it-IT"/>
        </w:rPr>
        <w:t xml:space="preserve">Figura </w:t>
      </w:r>
      <w:r>
        <w:rPr>
          <w:b/>
          <w:noProof/>
        </w:rPr>
        <w:fldChar w:fldCharType="begin"/>
      </w:r>
      <w:r w:rsidRPr="001B7135">
        <w:rPr>
          <w:b/>
          <w:noProof/>
          <w:lang w:val="it-IT"/>
        </w:rPr>
        <w:instrText xml:space="preserve"> SEQ Figure \* ARABIC </w:instrText>
      </w:r>
      <w:r>
        <w:rPr>
          <w:b/>
          <w:noProof/>
        </w:rPr>
        <w:fldChar w:fldCharType="separate"/>
      </w:r>
      <w:r w:rsidRPr="001B7135">
        <w:rPr>
          <w:b/>
          <w:noProof/>
          <w:lang w:val="it-IT"/>
        </w:rPr>
        <w:t>3</w:t>
      </w:r>
      <w:r>
        <w:rPr>
          <w:b/>
          <w:noProof/>
        </w:rPr>
        <w:fldChar w:fldCharType="end"/>
      </w:r>
      <w:r w:rsidRPr="001B7135">
        <w:rPr>
          <w:b/>
          <w:noProof/>
          <w:lang w:val="it-IT"/>
        </w:rPr>
        <w:t>.</w:t>
      </w:r>
      <w:r w:rsidRPr="001B7135">
        <w:rPr>
          <w:noProof/>
          <w:lang w:val="it-IT"/>
        </w:rPr>
        <w:tab/>
      </w:r>
      <w:r w:rsidRPr="001B7135">
        <w:rPr>
          <w:b/>
          <w:noProof/>
          <w:lang w:val="it-IT"/>
        </w:rPr>
        <w:t>Spedizioni di rifiuti radioattivi, intracomunitarie (MM), esportazioni (ME), importazioni (IM)</w:t>
      </w:r>
    </w:p>
    <w:p w14:paraId="02AFA67B" w14:textId="49502D80" w:rsidR="00EB1FBF" w:rsidRDefault="007624FE" w:rsidP="00883362">
      <w:pPr>
        <w:keepNext/>
        <w:rPr>
          <w:noProof/>
        </w:rPr>
      </w:pPr>
      <w:r>
        <w:rPr>
          <w:noProof/>
        </w:rPr>
        <w:pict w14:anchorId="624C7897">
          <v:shape id="_x0000_i1029" type="#_x0000_t75" style="width:416.25pt;height:252pt">
            <v:imagedata r:id="rId20" o:title=""/>
          </v:shape>
        </w:pict>
      </w:r>
    </w:p>
    <w:p w14:paraId="099154C8" w14:textId="7BA13C0A" w:rsidR="00EB1FBF" w:rsidRPr="001B7135" w:rsidRDefault="00EB1FBF" w:rsidP="00883362">
      <w:pPr>
        <w:keepNext/>
        <w:tabs>
          <w:tab w:val="left" w:pos="1701"/>
        </w:tabs>
        <w:ind w:left="1701" w:hanging="1134"/>
        <w:jc w:val="left"/>
        <w:rPr>
          <w:b/>
          <w:noProof/>
          <w:lang w:val="it-IT"/>
        </w:rPr>
      </w:pPr>
      <w:r w:rsidRPr="001B7135">
        <w:rPr>
          <w:b/>
          <w:noProof/>
          <w:lang w:val="it-IT"/>
        </w:rPr>
        <w:t xml:space="preserve">Figura </w:t>
      </w:r>
      <w:r>
        <w:rPr>
          <w:b/>
          <w:noProof/>
        </w:rPr>
        <w:fldChar w:fldCharType="begin"/>
      </w:r>
      <w:r w:rsidRPr="001B7135">
        <w:rPr>
          <w:b/>
          <w:noProof/>
          <w:lang w:val="it-IT"/>
        </w:rPr>
        <w:instrText xml:space="preserve"> SEQ Figure \* ARABIC </w:instrText>
      </w:r>
      <w:r>
        <w:rPr>
          <w:b/>
          <w:noProof/>
        </w:rPr>
        <w:fldChar w:fldCharType="separate"/>
      </w:r>
      <w:r w:rsidRPr="001B7135">
        <w:rPr>
          <w:b/>
          <w:noProof/>
          <w:lang w:val="it-IT"/>
        </w:rPr>
        <w:t>4</w:t>
      </w:r>
      <w:r>
        <w:rPr>
          <w:b/>
          <w:noProof/>
        </w:rPr>
        <w:fldChar w:fldCharType="end"/>
      </w:r>
      <w:r w:rsidRPr="001B7135">
        <w:rPr>
          <w:b/>
          <w:noProof/>
          <w:lang w:val="it-IT"/>
        </w:rPr>
        <w:t>.</w:t>
      </w:r>
      <w:r w:rsidRPr="001B7135">
        <w:rPr>
          <w:noProof/>
          <w:lang w:val="it-IT"/>
        </w:rPr>
        <w:tab/>
      </w:r>
      <w:r w:rsidRPr="001B7135">
        <w:rPr>
          <w:b/>
          <w:noProof/>
          <w:lang w:val="it-IT"/>
        </w:rPr>
        <w:t>Spedizioni di combustibile esaurito, intracomunitarie (MM), esportazioni (ME), importazioni (IM)</w:t>
      </w:r>
    </w:p>
    <w:p w14:paraId="149561A9" w14:textId="1165F704" w:rsidR="00914329" w:rsidRPr="009271F6" w:rsidRDefault="000935D0" w:rsidP="008340E7">
      <w:pPr>
        <w:pStyle w:val="ManualHeading1"/>
        <w:rPr>
          <w:noProof/>
        </w:rPr>
      </w:pPr>
      <w:bookmarkStart w:id="34" w:name="_Toc6317415"/>
      <w:bookmarkStart w:id="35" w:name="_Toc6317490"/>
      <w:bookmarkStart w:id="36" w:name="_Toc6317518"/>
      <w:bookmarkStart w:id="37" w:name="_Toc6317542"/>
      <w:bookmarkStart w:id="38" w:name="_Toc6317566"/>
      <w:bookmarkStart w:id="39" w:name="_Toc6317591"/>
      <w:bookmarkStart w:id="40" w:name="_Toc6317616"/>
      <w:bookmarkStart w:id="41" w:name="_Toc6317416"/>
      <w:bookmarkStart w:id="42" w:name="_Toc6317491"/>
      <w:bookmarkStart w:id="43" w:name="_Toc6317519"/>
      <w:bookmarkStart w:id="44" w:name="_Toc6317543"/>
      <w:bookmarkStart w:id="45" w:name="_Toc6317567"/>
      <w:bookmarkStart w:id="46" w:name="_Toc6317592"/>
      <w:bookmarkStart w:id="47" w:name="_Toc6317617"/>
      <w:bookmarkStart w:id="48" w:name="_Toc6317417"/>
      <w:bookmarkStart w:id="49" w:name="_Toc6317492"/>
      <w:bookmarkStart w:id="50" w:name="_Toc6317520"/>
      <w:bookmarkStart w:id="51" w:name="_Toc6317544"/>
      <w:bookmarkStart w:id="52" w:name="_Toc6317568"/>
      <w:bookmarkStart w:id="53" w:name="_Toc6317593"/>
      <w:bookmarkStart w:id="54" w:name="_Toc6317618"/>
      <w:bookmarkStart w:id="55" w:name="_Toc6317418"/>
      <w:bookmarkStart w:id="56" w:name="_Toc6317493"/>
      <w:bookmarkStart w:id="57" w:name="_Toc6317521"/>
      <w:bookmarkStart w:id="58" w:name="_Toc6317545"/>
      <w:bookmarkStart w:id="59" w:name="_Toc6317569"/>
      <w:bookmarkStart w:id="60" w:name="_Toc6317594"/>
      <w:bookmarkStart w:id="61" w:name="_Toc6317619"/>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r w:rsidRPr="001B7135">
        <w:rPr>
          <w:noProof/>
          <w:lang w:val="it-IT"/>
        </w:rPr>
        <w:br w:type="page"/>
      </w:r>
      <w:bookmarkStart w:id="62" w:name="_Toc125550750"/>
      <w:r w:rsidR="008340E7" w:rsidRPr="008340E7">
        <w:t>4.</w:t>
      </w:r>
      <w:r w:rsidR="008340E7" w:rsidRPr="008340E7">
        <w:tab/>
      </w:r>
      <w:r>
        <w:rPr>
          <w:noProof/>
        </w:rPr>
        <w:t>Follow-up e miglioramento continuo</w:t>
      </w:r>
      <w:bookmarkEnd w:id="62"/>
    </w:p>
    <w:p w14:paraId="16921150" w14:textId="01D93350" w:rsidR="00011BDA" w:rsidRPr="001B7135" w:rsidRDefault="00E41048" w:rsidP="00883362">
      <w:pPr>
        <w:pStyle w:val="Corpsdutexte1"/>
        <w:spacing w:after="240"/>
        <w:ind w:right="20" w:firstLine="0"/>
        <w:jc w:val="both"/>
        <w:rPr>
          <w:rStyle w:val="Corpsdutexte"/>
          <w:noProof/>
          <w:sz w:val="24"/>
          <w:lang w:val="it-IT"/>
        </w:rPr>
      </w:pPr>
      <w:r w:rsidRPr="001B7135">
        <w:rPr>
          <w:rStyle w:val="Corpsdutexte"/>
          <w:noProof/>
          <w:sz w:val="24"/>
          <w:lang w:val="it-IT"/>
        </w:rPr>
        <w:t>La terza relazione della Commissione sull'attuazione della direttiva ha individuato due esigenze: migliorare l'armonizzazione del documento uniforme con i requisiti del modello di notifica; e seguire gli effetti delle norme fondamentali di sicurezza sull'attuazione della sorveglianza e del controllo delle spedizioni transfrontaliere.</w:t>
      </w:r>
    </w:p>
    <w:p w14:paraId="3A27690B" w14:textId="3F58F8AA" w:rsidR="00C5649C" w:rsidRPr="001B7135" w:rsidRDefault="002F7DB3" w:rsidP="00883362">
      <w:pPr>
        <w:pStyle w:val="Corpsdutexte1"/>
        <w:spacing w:after="240"/>
        <w:ind w:right="20" w:firstLine="0"/>
        <w:jc w:val="both"/>
        <w:rPr>
          <w:noProof/>
          <w:lang w:val="it-IT"/>
        </w:rPr>
      </w:pPr>
      <w:r w:rsidRPr="001B7135">
        <w:rPr>
          <w:noProof/>
          <w:sz w:val="24"/>
          <w:lang w:val="it-IT"/>
        </w:rPr>
        <w:t>Nel seguito dato sul primo punto, la Commissione ha proposto, sulla base di una proposta di uno Stato membro, la revisione del documento uniforme in linea con l'articolo 17, paragrafo 2, e con l'articolo 21 della direttiva, allo scopo di modificarlo per includervi informazioni sulle spedizioni iniziali. In questo modo, in caso di "spedizioni di ritorno", gli Stati membri coinvolti saranno in grado di tracciare le spedizioni. Inoltre, come suggerito da due Stati membri, la Commissione ha presentato un documento uniforme digitale.</w:t>
      </w:r>
    </w:p>
    <w:p w14:paraId="0217BE15" w14:textId="0FF98151" w:rsidR="00C1322E" w:rsidRPr="001B7135" w:rsidRDefault="00CD0064" w:rsidP="00883362">
      <w:pPr>
        <w:pStyle w:val="Corpsdutexte1"/>
        <w:spacing w:after="240"/>
        <w:ind w:right="20" w:firstLine="0"/>
        <w:jc w:val="both"/>
        <w:rPr>
          <w:rStyle w:val="Corpsdutexte"/>
          <w:noProof/>
          <w:sz w:val="24"/>
          <w:lang w:val="it-IT"/>
        </w:rPr>
      </w:pPr>
      <w:r w:rsidRPr="001B7135">
        <w:rPr>
          <w:rStyle w:val="Corpsdutexte"/>
          <w:noProof/>
          <w:sz w:val="24"/>
          <w:lang w:val="it-IT"/>
        </w:rPr>
        <w:t>Per quanto riguarda i possibili effetti delle norme fondamentali di sicurezza sull'attuazione della direttiva, la Commissione non ha riscontrato alcun problema di rilievo. Tuttavia i due casi comunicati di rifiuto di acconsentire al transito di rifiuti radioattivi attraverso uno Stato membro hanno sollevato un'importante questione circa l'applicazione della direttiva. In effetti non tutti gli Stati membri ritengono che le spedizioni transfrontaliere di rottami metallici contaminati, che sono trattati e riciclati, rientrino nell'ambito di applicazione della direttiva, in quanto un'autorità di regolamentazione dello Stato membro potrebbe classificare tale materiale come rifiuto radioattivo. Secondo la definizione di rifiuti radioattivi</w:t>
      </w:r>
      <w:r>
        <w:rPr>
          <w:rStyle w:val="FootnoteReference"/>
          <w:noProof/>
          <w:sz w:val="24"/>
        </w:rPr>
        <w:footnoteReference w:id="25"/>
      </w:r>
      <w:r w:rsidRPr="001B7135">
        <w:rPr>
          <w:rStyle w:val="Corpsdutexte"/>
          <w:noProof/>
          <w:sz w:val="24"/>
          <w:lang w:val="it-IT"/>
        </w:rPr>
        <w:t xml:space="preserve">, se le autorità di regolamentazione nell'ambito del quadro legislativo e normativo dei paesi di origine e di destinazione controllano il materiale radioattivo in quanto rifiuto radioattivo per il quale non è previsto un ulteriore utilizzo da parte dei paesi di origine o di destinazione, tale materiale è rifiuto radioattivo ai sensi della direttiva. </w:t>
      </w:r>
      <w:r w:rsidR="006E311F">
        <w:rPr>
          <w:rStyle w:val="Corpsdutexte"/>
          <w:noProof/>
          <w:sz w:val="24"/>
          <w:lang w:val="it-IT"/>
        </w:rPr>
        <w:br/>
      </w:r>
      <w:r w:rsidRPr="001B7135">
        <w:rPr>
          <w:rStyle w:val="Corpsdutexte"/>
          <w:noProof/>
          <w:sz w:val="24"/>
          <w:lang w:val="it-IT"/>
        </w:rPr>
        <w:t>Di conseguenza, la Commissione ha ritenuto che in tali casi il consenso sia dovuto, nonostante il paese di transito non abbia considerato tale materiale rifiuto radioattivo.</w:t>
      </w:r>
    </w:p>
    <w:p w14:paraId="62B169C6" w14:textId="257CD0B0" w:rsidR="001F2CE0" w:rsidRPr="001B7135" w:rsidRDefault="000029E4" w:rsidP="00883362">
      <w:pPr>
        <w:pStyle w:val="Corpsdutexte1"/>
        <w:spacing w:after="240"/>
        <w:ind w:right="20" w:firstLine="0"/>
        <w:jc w:val="both"/>
        <w:rPr>
          <w:rStyle w:val="Corpsdutexte"/>
          <w:noProof/>
          <w:sz w:val="24"/>
          <w:lang w:val="it-IT"/>
        </w:rPr>
      </w:pPr>
      <w:r w:rsidRPr="001B7135">
        <w:rPr>
          <w:rStyle w:val="Corpsdutexte"/>
          <w:noProof/>
          <w:sz w:val="24"/>
          <w:lang w:val="it-IT"/>
        </w:rPr>
        <w:t>Inoltre uno Stato membro ha indicato di preferire che le spedizioni di rifiuti NORM</w:t>
      </w:r>
      <w:r>
        <w:rPr>
          <w:rStyle w:val="FootnoteReference"/>
          <w:noProof/>
          <w:sz w:val="24"/>
        </w:rPr>
        <w:footnoteReference w:id="26"/>
      </w:r>
      <w:r w:rsidRPr="001B7135">
        <w:rPr>
          <w:rStyle w:val="Corpsdutexte"/>
          <w:noProof/>
          <w:sz w:val="24"/>
          <w:lang w:val="it-IT"/>
        </w:rPr>
        <w:t xml:space="preserve"> rientrino sempre nell'ambito della direttiva 2006/117/Euratom del Consiglio. A questo riguardo, la Commissione ricorda</w:t>
      </w:r>
      <w:r>
        <w:rPr>
          <w:rStyle w:val="Corpsdutexte"/>
          <w:noProof/>
          <w:sz w:val="24"/>
          <w:vertAlign w:val="superscript"/>
        </w:rPr>
        <w:footnoteReference w:id="27"/>
      </w:r>
      <w:r w:rsidRPr="001B7135">
        <w:rPr>
          <w:rStyle w:val="Corpsdutexte"/>
          <w:noProof/>
          <w:sz w:val="24"/>
          <w:lang w:val="it-IT"/>
        </w:rPr>
        <w:t xml:space="preserve"> che, da un punto di vista giuridico, tutti i rifiuti contenenti NORM che richiedono un controllo regolamentare e sono classificati come rifiuti radioattivi rientrano nell'ambito di applicazione della direttiva.</w:t>
      </w:r>
    </w:p>
    <w:p w14:paraId="405EC3DC" w14:textId="5526AD21" w:rsidR="00B5345B" w:rsidRPr="001B7135" w:rsidRDefault="00B5345B" w:rsidP="00883362">
      <w:pPr>
        <w:pStyle w:val="Corpsdutexte1"/>
        <w:spacing w:after="240"/>
        <w:ind w:right="20" w:firstLine="0"/>
        <w:jc w:val="both"/>
        <w:rPr>
          <w:rStyle w:val="Corpsdutexte"/>
          <w:noProof/>
          <w:sz w:val="24"/>
          <w:lang w:val="it-IT"/>
        </w:rPr>
      </w:pPr>
      <w:r w:rsidRPr="001B7135">
        <w:rPr>
          <w:rStyle w:val="Corpsdutexte"/>
          <w:noProof/>
          <w:sz w:val="24"/>
          <w:lang w:val="it-IT"/>
        </w:rPr>
        <w:t>In occasione della sua XII riunione, il comitato consultivo ha invitato la Commissione a prendere in considerazione un aggiornamento del documento uniforme, per includervi in particolare le informazioni sull'origine dei rifiuti, ossia il riferimento alle spedizioni iniziali.</w:t>
      </w:r>
    </w:p>
    <w:p w14:paraId="4B33C1C5" w14:textId="0F036C7F" w:rsidR="00914329" w:rsidRPr="002118B8" w:rsidRDefault="008340E7" w:rsidP="008340E7">
      <w:pPr>
        <w:pStyle w:val="ManualHeading1"/>
        <w:rPr>
          <w:rStyle w:val="En-tte32NonPetitesmajuscules1"/>
          <w:noProof/>
          <w:sz w:val="24"/>
        </w:rPr>
      </w:pPr>
      <w:bookmarkStart w:id="63" w:name="_Toc125550751"/>
      <w:r w:rsidRPr="008340E7">
        <w:rPr>
          <w:rStyle w:val="En-tte32NonPetitesmajuscules1"/>
        </w:rPr>
        <w:t>5.</w:t>
      </w:r>
      <w:r w:rsidRPr="008340E7">
        <w:rPr>
          <w:rStyle w:val="En-tte32NonPetitesmajuscules1"/>
        </w:rPr>
        <w:tab/>
      </w:r>
      <w:r w:rsidR="00914329">
        <w:rPr>
          <w:rStyle w:val="En-tte32NonPetitesmajuscules1"/>
          <w:smallCaps/>
          <w:noProof/>
          <w:sz w:val="24"/>
        </w:rPr>
        <w:t>Conclusioni</w:t>
      </w:r>
      <w:bookmarkEnd w:id="63"/>
    </w:p>
    <w:p w14:paraId="1B9D918A" w14:textId="06A17764" w:rsidR="00645082" w:rsidRPr="001B7135" w:rsidRDefault="00DD74AF" w:rsidP="00AF3649">
      <w:pPr>
        <w:tabs>
          <w:tab w:val="left" w:pos="720"/>
        </w:tabs>
        <w:spacing w:after="240"/>
        <w:ind w:left="23"/>
        <w:rPr>
          <w:noProof/>
          <w:lang w:val="it-IT"/>
        </w:rPr>
      </w:pPr>
      <w:r w:rsidRPr="001B7135">
        <w:rPr>
          <w:noProof/>
          <w:lang w:val="it-IT"/>
        </w:rPr>
        <w:t>L'attuazione della direttiva ha garantito che tutti i movimenti transfrontalieri di rifiuti radioattivi e combustibile esaurito all'interno della Comunità avvenissero previo consenso informato delle autorità competenti di tutti gli Stati membri coinvolti (compresi quelli di transito), per mezzo del documento uniforme. Le informazioni relative a tutte le spedizioni autorizzate in un determinato periodo di riferimento (tre</w:t>
      </w:r>
      <w:r w:rsidR="006E311F">
        <w:rPr>
          <w:noProof/>
          <w:lang w:val="it-IT"/>
        </w:rPr>
        <w:t> </w:t>
      </w:r>
      <w:r w:rsidRPr="001B7135">
        <w:rPr>
          <w:noProof/>
          <w:lang w:val="it-IT"/>
        </w:rPr>
        <w:t xml:space="preserve">anni) sono state regolarmente trasmesse da tutti gli Stati membri alla Commissione. Pertanto la sorveglianza e il controllo delle spedizioni di rifiuti radioattivi e di combustibile nucleare esaurito sono stati garantiti in tutta la Comunità. A tal fine, l'uso del "modello di notifica" fornito, sebbene non obbligatorio, è ancora vivamente consigliato in quanto ha semplificato il recupero dei dati e attenuato il rischio di un'errata interpretazione delle informazioni. </w:t>
      </w:r>
    </w:p>
    <w:p w14:paraId="6A2F39D4" w14:textId="76739E58" w:rsidR="00914329" w:rsidRPr="001B7135" w:rsidRDefault="00120BCD">
      <w:pPr>
        <w:rPr>
          <w:noProof/>
          <w:lang w:val="it-IT"/>
        </w:rPr>
      </w:pPr>
      <w:r w:rsidRPr="001B7135">
        <w:rPr>
          <w:noProof/>
          <w:lang w:val="it-IT"/>
        </w:rPr>
        <w:t xml:space="preserve">Nel complesso, la Commissione conclude che l'attuale quadro legislativo Euratom costituito dalla direttiva, dalle norme fondamentali di sicurezza e dalla direttiva sui rifiuti radioattivi ha garantito i massimi livelli di sicurezza per quanto riguarda i rischi derivanti da radiazioni ionizzanti nel territorio dell'UE nel contesto delle spedizioni transfrontaliere. La Commissione osserva tuttavia che le possibili differenze tra gli Stati membri nella definizione dei rifiuti radioattivi possono comportare problemi nel processo di informazione e di consenso. Si tratta di un aspetto da migliorare, studiando opzioni per un'ulteriore armonizzazione di concerto con gli Stati membri. </w:t>
      </w:r>
    </w:p>
    <w:sectPr w:rsidR="00914329" w:rsidRPr="001B7135">
      <w:headerReference w:type="even" r:id="rId21"/>
      <w:headerReference w:type="default" r:id="rId22"/>
      <w:footerReference w:type="even" r:id="rId23"/>
      <w:footerReference w:type="default" r:id="rId24"/>
      <w:headerReference w:type="first" r:id="rId25"/>
      <w:footerReference w:type="first" r:id="rId26"/>
      <w:pgSz w:w="11906" w:h="16838"/>
      <w:pgMar w:top="1440" w:right="1800" w:bottom="1440" w:left="18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8D2172" w14:textId="77777777" w:rsidR="00746BF4" w:rsidRDefault="00746BF4">
      <w:pPr>
        <w:spacing w:before="0" w:after="0"/>
      </w:pPr>
      <w:r>
        <w:separator/>
      </w:r>
    </w:p>
  </w:endnote>
  <w:endnote w:type="continuationSeparator" w:id="0">
    <w:p w14:paraId="19BC6C65" w14:textId="77777777" w:rsidR="00746BF4" w:rsidRDefault="00746BF4">
      <w:pPr>
        <w:spacing w:before="0" w:after="0"/>
      </w:pPr>
      <w:r>
        <w:continuationSeparator/>
      </w:r>
    </w:p>
  </w:endnote>
  <w:endnote w:type="continuationNotice" w:id="1">
    <w:p w14:paraId="7D6F6CF5" w14:textId="77777777" w:rsidR="00746BF4" w:rsidRDefault="00746BF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6BEC7D" w14:textId="77777777" w:rsidR="008277A7" w:rsidRPr="008277A7" w:rsidRDefault="008277A7" w:rsidP="008277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C24E0" w14:textId="36DA107F" w:rsidR="009A1064" w:rsidRPr="008277A7" w:rsidRDefault="008277A7" w:rsidP="008277A7">
    <w:pPr>
      <w:pStyle w:val="FooterCoverPage"/>
      <w:rPr>
        <w:rFonts w:ascii="Arial" w:hAnsi="Arial" w:cs="Arial"/>
        <w:b/>
        <w:sz w:val="48"/>
      </w:rPr>
    </w:pPr>
    <w:r w:rsidRPr="008277A7">
      <w:rPr>
        <w:rFonts w:ascii="Arial" w:hAnsi="Arial" w:cs="Arial"/>
        <w:b/>
        <w:sz w:val="48"/>
      </w:rPr>
      <w:t>IT</w:t>
    </w:r>
    <w:r w:rsidRPr="008277A7">
      <w:rPr>
        <w:rFonts w:ascii="Arial" w:hAnsi="Arial" w:cs="Arial"/>
        <w:b/>
        <w:sz w:val="48"/>
      </w:rPr>
      <w:tab/>
    </w:r>
    <w:r w:rsidRPr="008277A7">
      <w:rPr>
        <w:rFonts w:ascii="Arial" w:hAnsi="Arial" w:cs="Arial"/>
        <w:b/>
        <w:sz w:val="48"/>
      </w:rPr>
      <w:tab/>
    </w:r>
    <w:r w:rsidRPr="008277A7">
      <w:tab/>
    </w:r>
    <w:r w:rsidRPr="008277A7">
      <w:rPr>
        <w:rFonts w:ascii="Arial" w:hAnsi="Arial" w:cs="Arial"/>
        <w:b/>
        <w:sz w:val="48"/>
      </w:rPr>
      <w:t>IT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F40B7" w14:textId="77777777" w:rsidR="008277A7" w:rsidRPr="008277A7" w:rsidRDefault="008277A7" w:rsidP="008277A7">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331FA0" w14:textId="77777777" w:rsidR="00C5649C" w:rsidRDefault="00C5649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2D1BF1" w14:textId="2A8629D0" w:rsidR="00C5649C" w:rsidRDefault="00C5649C">
    <w:pPr>
      <w:pStyle w:val="Footer"/>
      <w:jc w:val="center"/>
    </w:pPr>
    <w:r>
      <w:fldChar w:fldCharType="begin"/>
    </w:r>
    <w:r>
      <w:instrText xml:space="preserve"> PAGE   \* MERGEFORMAT </w:instrText>
    </w:r>
    <w:r>
      <w:fldChar w:fldCharType="separate"/>
    </w:r>
    <w:r w:rsidR="008277A7">
      <w:rPr>
        <w:noProof/>
      </w:rPr>
      <w:t>1</w:t>
    </w:r>
    <w:r>
      <w:fldChar w:fldCharType="end"/>
    </w:r>
  </w:p>
  <w:p w14:paraId="7395A305" w14:textId="77777777" w:rsidR="00C5649C" w:rsidRDefault="00C5649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ED3FF4" w14:textId="77777777" w:rsidR="00C5649C" w:rsidRDefault="00C564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4A1886" w14:textId="77777777" w:rsidR="00746BF4" w:rsidRDefault="00746BF4">
      <w:pPr>
        <w:spacing w:before="0" w:after="0"/>
      </w:pPr>
      <w:r>
        <w:separator/>
      </w:r>
    </w:p>
  </w:footnote>
  <w:footnote w:type="continuationSeparator" w:id="0">
    <w:p w14:paraId="1427CFCD" w14:textId="77777777" w:rsidR="00746BF4" w:rsidRDefault="00746BF4">
      <w:pPr>
        <w:spacing w:before="0" w:after="0"/>
      </w:pPr>
      <w:r>
        <w:continuationSeparator/>
      </w:r>
    </w:p>
  </w:footnote>
  <w:footnote w:type="continuationNotice" w:id="1">
    <w:p w14:paraId="16C2015D" w14:textId="77777777" w:rsidR="00746BF4" w:rsidRDefault="00746BF4">
      <w:pPr>
        <w:spacing w:before="0" w:after="0"/>
      </w:pPr>
    </w:p>
  </w:footnote>
  <w:footnote w:id="2">
    <w:p w14:paraId="71051486" w14:textId="77777777" w:rsidR="00257A3D" w:rsidRPr="001B7135" w:rsidRDefault="00257A3D" w:rsidP="00257A3D">
      <w:pPr>
        <w:pStyle w:val="NormalWeb"/>
        <w:spacing w:before="0" w:beforeAutospacing="0" w:after="0" w:afterAutospacing="0"/>
        <w:ind w:left="567" w:hanging="567"/>
        <w:jc w:val="both"/>
        <w:rPr>
          <w:sz w:val="20"/>
          <w:lang w:val="it-IT"/>
        </w:rPr>
      </w:pPr>
      <w:r>
        <w:rPr>
          <w:rStyle w:val="FootnoteReference"/>
          <w:sz w:val="20"/>
        </w:rPr>
        <w:footnoteRef/>
      </w:r>
      <w:r w:rsidRPr="001B7135">
        <w:rPr>
          <w:sz w:val="20"/>
          <w:lang w:val="it-IT"/>
        </w:rPr>
        <w:t xml:space="preserve"> </w:t>
      </w:r>
      <w:r w:rsidRPr="001B7135">
        <w:rPr>
          <w:lang w:val="it-IT"/>
        </w:rPr>
        <w:tab/>
      </w:r>
      <w:r w:rsidRPr="001B7135">
        <w:rPr>
          <w:sz w:val="20"/>
          <w:lang w:val="it-IT"/>
        </w:rPr>
        <w:t xml:space="preserve">Direttiva 2006/117/Euratom del Consiglio, del 20 novembre 2006, relativa alla sorveglianza e al controllo delle spedizioni di rifiuti radioattivi e di combustibile nucleare esaurito </w:t>
      </w:r>
      <w:r w:rsidRPr="001B7135">
        <w:rPr>
          <w:rStyle w:val="Notedebasdepage"/>
          <w:sz w:val="20"/>
          <w:lang w:val="it-IT"/>
        </w:rPr>
        <w:t>(GU L 337del 5.12.2006, pag. 21).</w:t>
      </w:r>
    </w:p>
  </w:footnote>
  <w:footnote w:id="3">
    <w:p w14:paraId="62A49E82" w14:textId="7BF4B09E" w:rsidR="00257A3D" w:rsidRPr="001B7135" w:rsidRDefault="00257A3D" w:rsidP="00257A3D">
      <w:pPr>
        <w:pStyle w:val="FootnoteText"/>
        <w:ind w:left="567" w:hanging="567"/>
        <w:rPr>
          <w:lang w:val="it-IT"/>
        </w:rPr>
      </w:pPr>
      <w:r>
        <w:rPr>
          <w:rStyle w:val="FootnoteReference"/>
        </w:rPr>
        <w:footnoteRef/>
      </w:r>
      <w:r w:rsidRPr="001B7135">
        <w:rPr>
          <w:lang w:val="it-IT"/>
        </w:rPr>
        <w:t xml:space="preserve"> </w:t>
      </w:r>
      <w:r w:rsidRPr="001B7135">
        <w:rPr>
          <w:lang w:val="it-IT"/>
        </w:rPr>
        <w:tab/>
        <w:t>Più precisamente le relazioni si riferiscono al periodo compreso tra il 26 dicembre 2017 al 25 dicembre 2020 (autorizzazioni). Si tratta del quarto ciclo di rendicontazione per tutti gli Stati membri tranne la Croazia, che avendo aderito all'UE il 1º luglio 2013 è alla sua terza relazione. Questo sarà l'ultimo ciclo di rendicontazione a includere una relazione del Regno Unito.</w:t>
      </w:r>
    </w:p>
  </w:footnote>
  <w:footnote w:id="4">
    <w:p w14:paraId="1A35ED09" w14:textId="1CE97BAE" w:rsidR="00C5649C" w:rsidRPr="001B7135" w:rsidRDefault="00C5649C" w:rsidP="00500764">
      <w:pPr>
        <w:pStyle w:val="FootnoteText"/>
        <w:ind w:left="567" w:hanging="567"/>
        <w:rPr>
          <w:lang w:val="it-IT"/>
        </w:rPr>
      </w:pPr>
      <w:r>
        <w:rPr>
          <w:rStyle w:val="FootnoteReference"/>
        </w:rPr>
        <w:footnoteRef/>
      </w:r>
      <w:r w:rsidRPr="001B7135">
        <w:rPr>
          <w:lang w:val="it-IT"/>
        </w:rPr>
        <w:t xml:space="preserve"> </w:t>
      </w:r>
      <w:r w:rsidRPr="001B7135">
        <w:rPr>
          <w:lang w:val="it-IT"/>
        </w:rPr>
        <w:tab/>
        <w:t>L'articolo 20, paragrafo 2, della direttiva dispone che la Commissione predisponga una relazione di sintesi secondo la procedura di cui all'articolo 21.</w:t>
      </w:r>
    </w:p>
  </w:footnote>
  <w:footnote w:id="5">
    <w:p w14:paraId="19A855B5" w14:textId="799EB0C2" w:rsidR="00C95E50" w:rsidRPr="001B7135" w:rsidRDefault="00C95E50" w:rsidP="00C95E50">
      <w:pPr>
        <w:pStyle w:val="FootnoteText"/>
        <w:ind w:left="567" w:hanging="567"/>
        <w:rPr>
          <w:lang w:val="it-IT"/>
        </w:rPr>
      </w:pPr>
      <w:r>
        <w:rPr>
          <w:rStyle w:val="FootnoteReference"/>
        </w:rPr>
        <w:footnoteRef/>
      </w:r>
      <w:r w:rsidRPr="001B7135">
        <w:rPr>
          <w:lang w:val="it-IT"/>
        </w:rPr>
        <w:t xml:space="preserve"> </w:t>
      </w:r>
      <w:r w:rsidRPr="001B7135">
        <w:rPr>
          <w:lang w:val="it-IT"/>
        </w:rPr>
        <w:tab/>
        <w:t>Il comitato consultivo è stato istituito nel 2007, come previsto all'articolo 21 della direttiva.</w:t>
      </w:r>
    </w:p>
  </w:footnote>
  <w:footnote w:id="6">
    <w:p w14:paraId="44475A28" w14:textId="77777777" w:rsidR="00583E41" w:rsidRPr="001B7135" w:rsidRDefault="00583E41" w:rsidP="00583E41">
      <w:pPr>
        <w:pStyle w:val="FootnoteText"/>
        <w:ind w:left="567" w:hanging="567"/>
        <w:rPr>
          <w:lang w:val="it-IT"/>
        </w:rPr>
      </w:pPr>
      <w:r>
        <w:rPr>
          <w:rStyle w:val="FootnoteReference"/>
        </w:rPr>
        <w:footnoteRef/>
      </w:r>
      <w:r w:rsidRPr="001B7135">
        <w:rPr>
          <w:lang w:val="it-IT"/>
        </w:rPr>
        <w:t xml:space="preserve"> </w:t>
      </w:r>
      <w:r w:rsidRPr="001B7135">
        <w:rPr>
          <w:lang w:val="it-IT"/>
        </w:rPr>
        <w:tab/>
        <w:t>Articolo 4 della direttiva.</w:t>
      </w:r>
    </w:p>
  </w:footnote>
  <w:footnote w:id="7">
    <w:p w14:paraId="73CD6381" w14:textId="77777777" w:rsidR="001464F7" w:rsidRPr="001B7135" w:rsidRDefault="001464F7" w:rsidP="001464F7">
      <w:pPr>
        <w:pStyle w:val="NormalWeb"/>
        <w:tabs>
          <w:tab w:val="left" w:pos="720"/>
        </w:tabs>
        <w:spacing w:before="0" w:beforeAutospacing="0" w:after="0" w:afterAutospacing="0"/>
        <w:ind w:left="567" w:hanging="567"/>
        <w:jc w:val="both"/>
        <w:rPr>
          <w:sz w:val="20"/>
          <w:lang w:val="it-IT"/>
        </w:rPr>
      </w:pPr>
      <w:r>
        <w:rPr>
          <w:rStyle w:val="FootnoteReference"/>
          <w:sz w:val="20"/>
        </w:rPr>
        <w:footnoteRef/>
      </w:r>
      <w:r w:rsidRPr="001B7135">
        <w:rPr>
          <w:sz w:val="20"/>
          <w:lang w:val="it-IT"/>
        </w:rPr>
        <w:t xml:space="preserve"> </w:t>
      </w:r>
      <w:r w:rsidRPr="001B7135">
        <w:rPr>
          <w:lang w:val="it-IT"/>
        </w:rPr>
        <w:tab/>
      </w:r>
      <w:r w:rsidRPr="001B7135">
        <w:rPr>
          <w:sz w:val="20"/>
          <w:lang w:val="it-IT"/>
        </w:rPr>
        <w:t>COM(2019) 633 final del 17 dicembre 2019 e SWD(2019) 437 final, relazione della Commissione al Parlamento europeo, al Consiglio e al Comitato economico e sociale europeo sull'attuazione da parte degli Stati membri della direttiva 2006/117/Euratom del Consiglio relativa alla sorveglianza e al controllo delle spedizioni di rifiuti radioattivi e di combustibile nucleare esaurito - Terza relazione.</w:t>
      </w:r>
    </w:p>
  </w:footnote>
  <w:footnote w:id="8">
    <w:p w14:paraId="55A85FAA" w14:textId="49921203" w:rsidR="00107CC1" w:rsidRPr="001B7135" w:rsidRDefault="00107CC1" w:rsidP="00107CC1">
      <w:pPr>
        <w:pStyle w:val="FootnoteText"/>
        <w:ind w:left="567" w:hanging="567"/>
        <w:rPr>
          <w:lang w:val="it-IT"/>
        </w:rPr>
      </w:pPr>
      <w:r>
        <w:rPr>
          <w:rStyle w:val="FootnoteReference"/>
        </w:rPr>
        <w:footnoteRef/>
      </w:r>
      <w:r w:rsidRPr="001B7135">
        <w:rPr>
          <w:lang w:val="it-IT"/>
        </w:rPr>
        <w:t xml:space="preserve"> </w:t>
      </w:r>
      <w:r w:rsidRPr="001B7135">
        <w:rPr>
          <w:lang w:val="it-IT"/>
        </w:rPr>
        <w:tab/>
        <w:t>Statistiche sull'energia nucleare. Eurostat, febbraio 2021. ISSN 2443-8219.</w:t>
      </w:r>
    </w:p>
  </w:footnote>
  <w:footnote w:id="9">
    <w:p w14:paraId="376AE2F6" w14:textId="706CB456" w:rsidR="00107CC1" w:rsidRPr="001B7135" w:rsidRDefault="00107CC1" w:rsidP="00107CC1">
      <w:pPr>
        <w:pStyle w:val="FootnoteText"/>
        <w:ind w:left="567" w:hanging="567"/>
        <w:rPr>
          <w:lang w:val="it-IT"/>
        </w:rPr>
      </w:pPr>
      <w:r>
        <w:rPr>
          <w:rStyle w:val="FootnoteReference"/>
        </w:rPr>
        <w:footnoteRef/>
      </w:r>
      <w:r w:rsidRPr="001B7135">
        <w:rPr>
          <w:lang w:val="it-IT"/>
        </w:rPr>
        <w:t xml:space="preserve"> </w:t>
      </w:r>
      <w:r w:rsidRPr="001B7135">
        <w:rPr>
          <w:lang w:val="it-IT"/>
        </w:rPr>
        <w:tab/>
      </w:r>
      <w:r w:rsidRPr="001B7135">
        <w:rPr>
          <w:rStyle w:val="Notedebasdepage"/>
          <w:lang w:val="it-IT"/>
        </w:rPr>
        <w:t>Belgio, Bulgaria, Cechia, Finlandia, Francia, Germania, Ungheria, Paesi Bassi, Romania, Slovacchia, Slovenia, Spagna e Svezia</w:t>
      </w:r>
      <w:r w:rsidRPr="001B7135">
        <w:rPr>
          <w:lang w:val="it-IT"/>
        </w:rPr>
        <w:t>.</w:t>
      </w:r>
    </w:p>
  </w:footnote>
  <w:footnote w:id="10">
    <w:p w14:paraId="6FF884FC" w14:textId="77777777" w:rsidR="00C5649C" w:rsidRPr="001B7135" w:rsidRDefault="00C5649C" w:rsidP="00500764">
      <w:pPr>
        <w:pStyle w:val="FootnoteText"/>
        <w:ind w:left="567" w:hanging="567"/>
        <w:rPr>
          <w:lang w:val="it-IT"/>
        </w:rPr>
      </w:pPr>
      <w:r>
        <w:rPr>
          <w:rStyle w:val="FootnoteReference"/>
        </w:rPr>
        <w:footnoteRef/>
      </w:r>
      <w:r w:rsidRPr="001B7135">
        <w:rPr>
          <w:lang w:val="it-IT"/>
        </w:rPr>
        <w:t xml:space="preserve"> </w:t>
      </w:r>
      <w:r w:rsidRPr="001B7135">
        <w:rPr>
          <w:lang w:val="it-IT"/>
        </w:rPr>
        <w:tab/>
      </w:r>
      <w:r w:rsidRPr="001B7135">
        <w:rPr>
          <w:rStyle w:val="Notedebasdepage"/>
          <w:sz w:val="20"/>
          <w:lang w:val="it-IT"/>
        </w:rPr>
        <w:t>Entrata in vigore il 18 giugno 2001, la convenzione comune si applica al combustibile esaurito e ai rifiuti radioattivi derivanti dai reattori nucleari civili e dalle applicazioni civili, al combustibile esaurito e ai rifiuti radioattivi nell'ambito di programmi militari o di difesa se e nei casi in cui queste materie sono trasferite permanentemente a programmi civili e sono gestite di conseguenza nell'ambito di questi programmi, o quando sono dichiarati dalla parte contraente combustibile esaurito o rifiuti radioattivi ai sensi della convenzione. La convenzione si applica anche agli scarichi pianificati e controllati nell'ambiente di materie radioattive allo stato liquido o gassoso provenienti dagli impianti nucleari regolamentati.</w:t>
      </w:r>
    </w:p>
  </w:footnote>
  <w:footnote w:id="11">
    <w:p w14:paraId="2C12A95D" w14:textId="41B3BDDB" w:rsidR="00C5649C" w:rsidRPr="00397308" w:rsidRDefault="00C5649C" w:rsidP="00500764">
      <w:pPr>
        <w:pStyle w:val="FootnoteText"/>
        <w:ind w:left="567" w:hanging="567"/>
        <w:rPr>
          <w:lang w:val="it-IT"/>
        </w:rPr>
      </w:pPr>
      <w:r w:rsidRPr="00397308">
        <w:rPr>
          <w:rStyle w:val="FootnoteReference"/>
        </w:rPr>
        <w:footnoteRef/>
      </w:r>
      <w:r w:rsidRPr="00397308">
        <w:rPr>
          <w:lang w:val="it-IT"/>
        </w:rPr>
        <w:t xml:space="preserve"> </w:t>
      </w:r>
      <w:r w:rsidRPr="00397308">
        <w:rPr>
          <w:lang w:val="it-IT"/>
        </w:rPr>
        <w:tab/>
        <w:t xml:space="preserve">Anche il Regno Unito è una parte contraente. </w:t>
      </w:r>
      <w:r w:rsidRPr="00397308">
        <w:rPr>
          <w:rStyle w:val="Notedebasdepage"/>
          <w:sz w:val="20"/>
          <w:lang w:val="it-IT"/>
        </w:rPr>
        <w:t>All'11 febbraio 2022 si contavano 88 parti contraenti.</w:t>
      </w:r>
      <w:r w:rsidRPr="00397308">
        <w:rPr>
          <w:lang w:val="it-IT"/>
        </w:rPr>
        <w:tab/>
        <w:t xml:space="preserve"> </w:t>
      </w:r>
      <w:r w:rsidRPr="00397308">
        <w:rPr>
          <w:lang w:val="it-IT"/>
        </w:rPr>
        <w:cr/>
      </w:r>
      <w:r w:rsidRPr="00397308">
        <w:rPr>
          <w:rStyle w:val="Notedebasdepage"/>
          <w:sz w:val="20"/>
          <w:lang w:val="it-IT"/>
        </w:rPr>
        <w:t>(https://www-legacy.iaea.org/Publications/Documents/Conventions/jointconv_status.pdf).</w:t>
      </w:r>
    </w:p>
  </w:footnote>
  <w:footnote w:id="12">
    <w:p w14:paraId="0E1C13CF" w14:textId="77777777" w:rsidR="00947566" w:rsidRPr="00397308" w:rsidRDefault="00947566" w:rsidP="00947566">
      <w:pPr>
        <w:pStyle w:val="FootnoteText"/>
        <w:ind w:left="567" w:hanging="567"/>
        <w:rPr>
          <w:lang w:val="it-IT"/>
        </w:rPr>
      </w:pPr>
      <w:r w:rsidRPr="00397308">
        <w:rPr>
          <w:rStyle w:val="FootnoteReference"/>
        </w:rPr>
        <w:footnoteRef/>
      </w:r>
      <w:r w:rsidRPr="00397308">
        <w:rPr>
          <w:lang w:val="it-IT"/>
        </w:rPr>
        <w:t xml:space="preserve"> </w:t>
      </w:r>
      <w:r w:rsidRPr="00397308">
        <w:rPr>
          <w:lang w:val="it-IT"/>
        </w:rPr>
        <w:tab/>
        <w:t>Direttiva 2013/59/Euratom del Consiglio, del 5 dicembre 2013, che stabilisce norme fondamentali di sicurezza relative alla protezione contro i pericoli derivanti dall’esposizione alle radiazioni ionizzanti, e che abroga le direttive 89/618/Euratom, 90/641/Euratom, 96/29/Euratom, 97/43/Euratom e 2003/122/Euratom (GU L 13 del 17.1.2014, pag. 1).</w:t>
      </w:r>
    </w:p>
  </w:footnote>
  <w:footnote w:id="13">
    <w:p w14:paraId="00EA7608" w14:textId="17F16811" w:rsidR="00947566" w:rsidRPr="00397308" w:rsidRDefault="00947566" w:rsidP="00947566">
      <w:pPr>
        <w:pStyle w:val="FootnoteText"/>
        <w:ind w:left="567" w:hanging="567"/>
        <w:rPr>
          <w:lang w:val="it-IT"/>
        </w:rPr>
      </w:pPr>
      <w:r w:rsidRPr="00397308">
        <w:rPr>
          <w:rStyle w:val="FootnoteReference"/>
        </w:rPr>
        <w:footnoteRef/>
      </w:r>
      <w:r w:rsidRPr="00397308">
        <w:rPr>
          <w:lang w:val="it-IT"/>
        </w:rPr>
        <w:t xml:space="preserve"> </w:t>
      </w:r>
      <w:r w:rsidRPr="00397308">
        <w:rPr>
          <w:lang w:val="it-IT"/>
        </w:rPr>
        <w:tab/>
        <w:t>Direttiva 2011/70/Euratom del Consiglio, del 19 luglio 2011, che istituisce un quadro comunitario per la gestione responsabile e sicura del combustibile nucleare esaurito e dei rifiuti radioattivi (GU L 199 del 2.8.2011, pag. 48).</w:t>
      </w:r>
    </w:p>
  </w:footnote>
  <w:footnote w:id="14">
    <w:p w14:paraId="06355BCF" w14:textId="6A56B1E6" w:rsidR="00C5649C" w:rsidRPr="00397308" w:rsidRDefault="00C5649C" w:rsidP="00500764">
      <w:pPr>
        <w:autoSpaceDE w:val="0"/>
        <w:autoSpaceDN w:val="0"/>
        <w:adjustRightInd w:val="0"/>
        <w:spacing w:before="0" w:after="0"/>
        <w:ind w:left="567" w:hanging="567"/>
        <w:rPr>
          <w:sz w:val="20"/>
          <w:lang w:val="it-IT"/>
        </w:rPr>
      </w:pPr>
      <w:r w:rsidRPr="00397308">
        <w:rPr>
          <w:rStyle w:val="FootnoteReference"/>
          <w:sz w:val="20"/>
        </w:rPr>
        <w:footnoteRef/>
      </w:r>
      <w:r w:rsidRPr="00397308">
        <w:rPr>
          <w:sz w:val="20"/>
          <w:lang w:val="it-IT"/>
        </w:rPr>
        <w:t xml:space="preserve"> </w:t>
      </w:r>
      <w:r w:rsidRPr="00397308">
        <w:rPr>
          <w:sz w:val="20"/>
          <w:lang w:val="it-IT"/>
        </w:rPr>
        <w:tab/>
        <w:t>"Detentore", qualsiasi persona fisica o giuridica che, prima di effettuare una spedizione di rifiuti radioattivi o di combustibile esaurito, è responsabile conformemente al diritto nazionale applicabile per tali materiali e preveda di effettuare una spedizione a un destinatario (articolo 5, paragrafo 9, della direttiva).</w:t>
      </w:r>
    </w:p>
  </w:footnote>
  <w:footnote w:id="15">
    <w:p w14:paraId="480FBB16" w14:textId="37D927A4" w:rsidR="00C5649C" w:rsidRPr="001B7135" w:rsidRDefault="00C5649C" w:rsidP="00500764">
      <w:pPr>
        <w:pStyle w:val="FootnoteText"/>
        <w:ind w:left="567" w:hanging="567"/>
        <w:rPr>
          <w:lang w:val="it-IT"/>
        </w:rPr>
      </w:pPr>
      <w:r>
        <w:rPr>
          <w:rStyle w:val="FootnoteReference"/>
        </w:rPr>
        <w:footnoteRef/>
      </w:r>
      <w:r w:rsidRPr="001B7135">
        <w:rPr>
          <w:lang w:val="it-IT"/>
        </w:rPr>
        <w:t xml:space="preserve"> </w:t>
      </w:r>
      <w:r w:rsidRPr="001B7135">
        <w:rPr>
          <w:lang w:val="it-IT"/>
        </w:rPr>
        <w:tab/>
        <w:t>Articolo 12 della direttiva.</w:t>
      </w:r>
    </w:p>
  </w:footnote>
  <w:footnote w:id="16">
    <w:p w14:paraId="1E891F40" w14:textId="7B93CF01" w:rsidR="00C5649C" w:rsidRPr="001B7135" w:rsidRDefault="00C5649C" w:rsidP="00500764">
      <w:pPr>
        <w:pStyle w:val="FootnoteText"/>
        <w:ind w:left="567" w:hanging="567"/>
        <w:rPr>
          <w:lang w:val="it-IT"/>
        </w:rPr>
      </w:pPr>
      <w:r>
        <w:rPr>
          <w:rStyle w:val="FootnoteReference"/>
        </w:rPr>
        <w:footnoteRef/>
      </w:r>
      <w:r w:rsidRPr="001B7135">
        <w:rPr>
          <w:lang w:val="it-IT"/>
        </w:rPr>
        <w:t xml:space="preserve"> </w:t>
      </w:r>
      <w:r w:rsidRPr="001B7135">
        <w:rPr>
          <w:lang w:val="it-IT"/>
        </w:rPr>
        <w:tab/>
        <w:t>Articolo 16 della direttiva.</w:t>
      </w:r>
    </w:p>
  </w:footnote>
  <w:footnote w:id="17">
    <w:p w14:paraId="0D808F14" w14:textId="1D08E174" w:rsidR="00C5649C" w:rsidRPr="001B7135" w:rsidRDefault="00C5649C" w:rsidP="00500764">
      <w:pPr>
        <w:pStyle w:val="FootnoteText"/>
        <w:ind w:left="567" w:hanging="567"/>
        <w:rPr>
          <w:lang w:val="it-IT"/>
        </w:rPr>
      </w:pPr>
      <w:r>
        <w:rPr>
          <w:rStyle w:val="FootnoteReference"/>
        </w:rPr>
        <w:footnoteRef/>
      </w:r>
      <w:r w:rsidRPr="001B7135">
        <w:rPr>
          <w:lang w:val="it-IT"/>
        </w:rPr>
        <w:t xml:space="preserve"> </w:t>
      </w:r>
      <w:r w:rsidRPr="001B7135">
        <w:rPr>
          <w:lang w:val="it-IT"/>
        </w:rPr>
        <w:tab/>
        <w:t>Articolo 16, paragrafo 1, lettera c) della direttiva.</w:t>
      </w:r>
    </w:p>
  </w:footnote>
  <w:footnote w:id="18">
    <w:p w14:paraId="17FDA7EB" w14:textId="220B3696" w:rsidR="00C5649C" w:rsidRPr="001B7135" w:rsidRDefault="00C5649C" w:rsidP="00500764">
      <w:pPr>
        <w:pStyle w:val="FootnoteText"/>
        <w:ind w:left="567" w:hanging="567"/>
        <w:rPr>
          <w:lang w:val="it-IT"/>
        </w:rPr>
      </w:pPr>
      <w:r>
        <w:rPr>
          <w:rStyle w:val="FootnoteReference"/>
        </w:rPr>
        <w:footnoteRef/>
      </w:r>
      <w:r w:rsidRPr="001B7135">
        <w:rPr>
          <w:lang w:val="it-IT"/>
        </w:rPr>
        <w:t xml:space="preserve"> </w:t>
      </w:r>
      <w:r w:rsidRPr="001B7135">
        <w:rPr>
          <w:lang w:val="it-IT"/>
        </w:rPr>
        <w:tab/>
        <w:t>Articolo 18 della direttiva.</w:t>
      </w:r>
    </w:p>
  </w:footnote>
  <w:footnote w:id="19">
    <w:p w14:paraId="53CD35A1" w14:textId="09D03749" w:rsidR="006C008F" w:rsidRPr="001B7135" w:rsidRDefault="006C008F" w:rsidP="00500764">
      <w:pPr>
        <w:pStyle w:val="FootnoteText"/>
        <w:ind w:left="567" w:hanging="567"/>
        <w:rPr>
          <w:lang w:val="it-IT"/>
        </w:rPr>
      </w:pPr>
      <w:r>
        <w:rPr>
          <w:rStyle w:val="FootnoteReference"/>
        </w:rPr>
        <w:footnoteRef/>
      </w:r>
      <w:r w:rsidRPr="001B7135">
        <w:rPr>
          <w:lang w:val="it-IT"/>
        </w:rPr>
        <w:t xml:space="preserve"> </w:t>
      </w:r>
      <w:r w:rsidRPr="001B7135">
        <w:rPr>
          <w:lang w:val="it-IT"/>
        </w:rPr>
        <w:tab/>
        <w:t>In base all'articolo 17 della direttiva.</w:t>
      </w:r>
    </w:p>
  </w:footnote>
  <w:footnote w:id="20">
    <w:p w14:paraId="4C14F3E2" w14:textId="77777777" w:rsidR="00C5649C" w:rsidRPr="001B7135" w:rsidRDefault="00C5649C" w:rsidP="00500764">
      <w:pPr>
        <w:pStyle w:val="NormalWeb"/>
        <w:spacing w:before="0" w:beforeAutospacing="0" w:after="0" w:afterAutospacing="0"/>
        <w:ind w:left="567" w:hanging="567"/>
        <w:jc w:val="both"/>
        <w:rPr>
          <w:lang w:val="it-IT"/>
        </w:rPr>
      </w:pPr>
      <w:r>
        <w:rPr>
          <w:rStyle w:val="FootnoteReference"/>
          <w:sz w:val="20"/>
        </w:rPr>
        <w:footnoteRef/>
      </w:r>
      <w:r w:rsidRPr="001B7135">
        <w:rPr>
          <w:sz w:val="20"/>
          <w:lang w:val="it-IT"/>
        </w:rPr>
        <w:t xml:space="preserve"> </w:t>
      </w:r>
      <w:r w:rsidRPr="001B7135">
        <w:rPr>
          <w:lang w:val="it-IT"/>
        </w:rPr>
        <w:tab/>
      </w:r>
      <w:r w:rsidRPr="001B7135">
        <w:rPr>
          <w:sz w:val="20"/>
          <w:lang w:val="it-IT"/>
        </w:rPr>
        <w:t>Decisione 2008/312/Euratom della Commissione, del 5 marzo 2008, relativa al documento uniforme per la sorveglianza e il controllo delle spedizioni di rifiuti radioattivi e di combustibile nucleare esaurito di cui alla direttiva 2006/117/Euratom del Consiglio (notificata con il numero C(2008) 793) (</w:t>
      </w:r>
      <w:r w:rsidRPr="001B7135">
        <w:rPr>
          <w:rStyle w:val="Notedebasdepage"/>
          <w:sz w:val="20"/>
          <w:lang w:val="it-IT"/>
        </w:rPr>
        <w:t>GU L 107 del 17.4.2008, pag. 32).</w:t>
      </w:r>
    </w:p>
  </w:footnote>
  <w:footnote w:id="21">
    <w:p w14:paraId="3E8E3BF3" w14:textId="6875E7F1" w:rsidR="00246B54" w:rsidRPr="001B7135" w:rsidRDefault="00246B54" w:rsidP="003D72A0">
      <w:pPr>
        <w:pStyle w:val="FootnoteText"/>
        <w:ind w:left="567" w:hanging="567"/>
        <w:rPr>
          <w:lang w:val="it-IT"/>
        </w:rPr>
      </w:pPr>
      <w:r>
        <w:rPr>
          <w:rStyle w:val="FootnoteReference"/>
        </w:rPr>
        <w:footnoteRef/>
      </w:r>
      <w:r w:rsidRPr="001B7135">
        <w:rPr>
          <w:lang w:val="it-IT"/>
        </w:rPr>
        <w:tab/>
        <w:t xml:space="preserve">Rettifica della decisione 2008/312/Euratom della Commissione, del 5 marzo 2008, relativa al documento uniforme per la sorveglianza e il controllo delle spedizioni di rifiuti radioattivi e di combustibile nucleare esaurito di cui alla direttiva 2006/117/Euratom del Consiglio </w:t>
      </w:r>
      <w:r w:rsidR="00397308">
        <w:rPr>
          <w:lang w:val="it-IT"/>
        </w:rPr>
        <w:br/>
      </w:r>
      <w:r w:rsidRPr="001B7135">
        <w:rPr>
          <w:lang w:val="it-IT"/>
        </w:rPr>
        <w:t>(GU L 343 del 23.12.2011, pag. 149).</w:t>
      </w:r>
    </w:p>
  </w:footnote>
  <w:footnote w:id="22">
    <w:p w14:paraId="7E485BF2" w14:textId="666EEFAB" w:rsidR="00C5649C" w:rsidRPr="001B7135" w:rsidRDefault="00C5649C" w:rsidP="00E80AE3">
      <w:pPr>
        <w:pStyle w:val="FootnoteText"/>
        <w:ind w:left="567" w:hanging="567"/>
        <w:rPr>
          <w:lang w:val="it-IT"/>
        </w:rPr>
      </w:pPr>
      <w:r>
        <w:rPr>
          <w:rStyle w:val="FootnoteReference"/>
        </w:rPr>
        <w:footnoteRef/>
      </w:r>
      <w:r w:rsidRPr="001B7135">
        <w:rPr>
          <w:lang w:val="it-IT"/>
        </w:rPr>
        <w:t xml:space="preserve"> </w:t>
      </w:r>
      <w:r w:rsidRPr="001B7135">
        <w:rPr>
          <w:lang w:val="it-IT"/>
        </w:rPr>
        <w:tab/>
        <w:t>Raccomandazione 2008/956/Euratom della Commissione, del 4 dicembre 2008, relativa ai criteri per l'esportazione di rifiuti radioattivi e di combustibile nucleare esaurito verso i paesi terzi (notificata con il numero C(2008) 7570) (GU L</w:t>
      </w:r>
      <w:r w:rsidR="00397308">
        <w:rPr>
          <w:lang w:val="it-IT"/>
        </w:rPr>
        <w:t> </w:t>
      </w:r>
      <w:r w:rsidRPr="001B7135">
        <w:rPr>
          <w:lang w:val="it-IT"/>
        </w:rPr>
        <w:t>338 del 17.12.2008, pag. 69).</w:t>
      </w:r>
    </w:p>
  </w:footnote>
  <w:footnote w:id="23">
    <w:p w14:paraId="5ADCFE57" w14:textId="766266E0" w:rsidR="00C5649C" w:rsidRPr="001B7135" w:rsidRDefault="00C5649C" w:rsidP="00500764">
      <w:pPr>
        <w:pStyle w:val="FootnoteText"/>
        <w:ind w:left="567" w:hanging="567"/>
        <w:rPr>
          <w:lang w:val="it-IT"/>
        </w:rPr>
      </w:pPr>
      <w:r>
        <w:rPr>
          <w:rStyle w:val="FootnoteReference"/>
        </w:rPr>
        <w:footnoteRef/>
      </w:r>
      <w:r w:rsidRPr="001B7135">
        <w:rPr>
          <w:lang w:val="it-IT"/>
        </w:rPr>
        <w:t xml:space="preserve"> </w:t>
      </w:r>
      <w:r w:rsidRPr="001B7135">
        <w:rPr>
          <w:lang w:val="it-IT"/>
        </w:rPr>
        <w:tab/>
      </w:r>
      <w:r w:rsidRPr="001B7135">
        <w:rPr>
          <w:rStyle w:val="Corpsdutexte"/>
          <w:sz w:val="20"/>
          <w:lang w:val="it-IT"/>
        </w:rPr>
        <w:t>L'articolo 5, punto 13, della direttiva definisce "autorità competenti" qualsiasi autorità che, in base alle disposizioni legislative o regolamentari del paese di origine, di transito o di destinazione, abbia il potere di attuare il sistema di sorveglianza e di controllo delle spedizioni di rifiuti radioattivi e di combustibile esaurito.</w:t>
      </w:r>
    </w:p>
  </w:footnote>
  <w:footnote w:id="24">
    <w:p w14:paraId="7A960EAF" w14:textId="0AF7D73F" w:rsidR="00D91D6F" w:rsidRPr="001B7135" w:rsidRDefault="00D91D6F" w:rsidP="00A06611">
      <w:pPr>
        <w:pStyle w:val="FootnoteText"/>
        <w:ind w:left="567" w:hanging="567"/>
        <w:rPr>
          <w:lang w:val="it-IT"/>
        </w:rPr>
      </w:pPr>
      <w:r>
        <w:rPr>
          <w:rStyle w:val="FootnoteReference"/>
        </w:rPr>
        <w:footnoteRef/>
      </w:r>
      <w:r w:rsidRPr="001B7135">
        <w:rPr>
          <w:lang w:val="it-IT"/>
        </w:rPr>
        <w:t xml:space="preserve"> </w:t>
      </w:r>
      <w:r w:rsidRPr="001B7135">
        <w:rPr>
          <w:lang w:val="it-IT"/>
        </w:rPr>
        <w:tab/>
      </w:r>
      <w:r w:rsidRPr="001B7135">
        <w:rPr>
          <w:rStyle w:val="Corpsdutexte"/>
          <w:sz w:val="20"/>
          <w:lang w:val="it-IT"/>
        </w:rPr>
        <w:t>Non tutti gli</w:t>
      </w:r>
      <w:r w:rsidRPr="001B7135">
        <w:rPr>
          <w:lang w:val="it-IT"/>
        </w:rPr>
        <w:t xml:space="preserve"> Stati membri ritengono che le spedizioni transfrontaliere di rottami metallici contaminati, che sono trattati e riciclati, rientrino nell'ambito di applicazione della direttiva. </w:t>
      </w:r>
      <w:r w:rsidR="00397308">
        <w:rPr>
          <w:lang w:val="it-IT"/>
        </w:rPr>
        <w:br/>
      </w:r>
      <w:r w:rsidRPr="001B7135">
        <w:rPr>
          <w:lang w:val="it-IT"/>
        </w:rPr>
        <w:t xml:space="preserve">Gli Stati membri che non considerano rifiuti i rottami metallici contaminati che saranno riciclati, non accordano il consenso alla corrispondente autorizzazione alla spedizione (rifiuto). </w:t>
      </w:r>
    </w:p>
  </w:footnote>
  <w:footnote w:id="25">
    <w:p w14:paraId="487FC0CC" w14:textId="4D9E291A" w:rsidR="00D0734D" w:rsidRPr="001B7135" w:rsidRDefault="00D0734D" w:rsidP="00D727CF">
      <w:pPr>
        <w:pStyle w:val="FootnoteText"/>
        <w:ind w:left="567" w:hanging="567"/>
        <w:rPr>
          <w:lang w:val="it-IT"/>
        </w:rPr>
      </w:pPr>
      <w:r>
        <w:rPr>
          <w:rStyle w:val="FootnoteReference"/>
        </w:rPr>
        <w:footnoteRef/>
      </w:r>
      <w:r w:rsidRPr="001B7135">
        <w:rPr>
          <w:lang w:val="it-IT"/>
        </w:rPr>
        <w:t xml:space="preserve"> </w:t>
      </w:r>
      <w:r w:rsidRPr="001B7135">
        <w:rPr>
          <w:lang w:val="it-IT"/>
        </w:rPr>
        <w:tab/>
        <w:t>Secondo l'articolo 5, punto 1, della direttiva si intende per "rifiuti radioattivi", i materiali radioattivi in forma gassosa, liquida o solida per i quali non è previsto un ulteriore uso da parte dei paesi di origine e di destinazione o di una persona fisica o giuridica la cui decisione è accettata da tali paesi, e che sono oggetto di controlli in quanto rifiuti radioattivi da parte di un'autorità di regolamentazione, secondo le disposizioni legislative e regolamentari dei paesi di origine e di destinazione.</w:t>
      </w:r>
    </w:p>
  </w:footnote>
  <w:footnote w:id="26">
    <w:p w14:paraId="19392B19" w14:textId="6B525A36" w:rsidR="000029E4" w:rsidRPr="001B7135" w:rsidRDefault="000029E4" w:rsidP="00D727CF">
      <w:pPr>
        <w:pStyle w:val="FootnoteText"/>
        <w:ind w:left="567" w:hanging="567"/>
        <w:rPr>
          <w:lang w:val="it-IT"/>
        </w:rPr>
      </w:pPr>
      <w:r>
        <w:rPr>
          <w:rStyle w:val="FootnoteReference"/>
        </w:rPr>
        <w:footnoteRef/>
      </w:r>
      <w:r w:rsidRPr="001B7135">
        <w:rPr>
          <w:lang w:val="it-IT"/>
        </w:rPr>
        <w:t xml:space="preserve"> </w:t>
      </w:r>
      <w:r w:rsidRPr="001B7135">
        <w:rPr>
          <w:lang w:val="it-IT"/>
        </w:rPr>
        <w:tab/>
        <w:t>Naturally Occurring Radioactive Material (materiale radioattivo allo stato naturale).</w:t>
      </w:r>
    </w:p>
  </w:footnote>
  <w:footnote w:id="27">
    <w:p w14:paraId="71C52BD4" w14:textId="1784791F" w:rsidR="00C1322E" w:rsidRPr="001B7135" w:rsidRDefault="00C1322E" w:rsidP="00C1322E">
      <w:pPr>
        <w:pStyle w:val="FootnoteText"/>
        <w:ind w:left="567" w:hanging="567"/>
        <w:rPr>
          <w:lang w:val="it-IT"/>
        </w:rPr>
      </w:pPr>
      <w:r>
        <w:rPr>
          <w:rStyle w:val="FootnoteReference"/>
        </w:rPr>
        <w:footnoteRef/>
      </w:r>
      <w:r w:rsidRPr="001B7135">
        <w:rPr>
          <w:lang w:val="it-IT"/>
        </w:rPr>
        <w:t xml:space="preserve"> </w:t>
      </w:r>
      <w:r w:rsidRPr="001B7135">
        <w:rPr>
          <w:lang w:val="it-IT"/>
        </w:rPr>
        <w:tab/>
        <w:t>Come sottolineato nella terza relazione della Commissione al Parlamento europeo, al Consiglio e al Comitato economico e sociale europeo sull'attuazione della direttiva.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AA0A79" w14:textId="77777777" w:rsidR="008277A7" w:rsidRPr="008277A7" w:rsidRDefault="008277A7" w:rsidP="008277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92C3CE" w14:textId="77777777" w:rsidR="008277A7" w:rsidRPr="008277A7" w:rsidRDefault="008277A7" w:rsidP="008277A7">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D5597" w14:textId="77777777" w:rsidR="008277A7" w:rsidRPr="008277A7" w:rsidRDefault="008277A7" w:rsidP="008277A7">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E0B246" w14:textId="77777777" w:rsidR="00C5649C" w:rsidRDefault="00C5649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88ADB" w14:textId="77777777" w:rsidR="00C5649C" w:rsidRDefault="00C5649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DE925" w14:textId="77777777" w:rsidR="00C5649C" w:rsidRDefault="00C564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43956"/>
    <w:multiLevelType w:val="hybridMultilevel"/>
    <w:tmpl w:val="8FAE7EC0"/>
    <w:lvl w:ilvl="0" w:tplc="7196051C">
      <w:start w:val="1"/>
      <w:numFmt w:val="bullet"/>
      <w:lvlText w:val=""/>
      <w:lvlJc w:val="left"/>
      <w:pPr>
        <w:ind w:left="383" w:hanging="360"/>
      </w:pPr>
      <w:rPr>
        <w:rFonts w:ascii="Symbol" w:hAnsi="Symbol" w:hint="default"/>
      </w:rPr>
    </w:lvl>
    <w:lvl w:ilvl="1" w:tplc="08090003" w:tentative="1">
      <w:start w:val="1"/>
      <w:numFmt w:val="bullet"/>
      <w:lvlText w:val="o"/>
      <w:lvlJc w:val="left"/>
      <w:pPr>
        <w:ind w:left="1103" w:hanging="360"/>
      </w:pPr>
      <w:rPr>
        <w:rFonts w:ascii="Courier New" w:hAnsi="Courier New" w:cs="Courier New" w:hint="default"/>
      </w:rPr>
    </w:lvl>
    <w:lvl w:ilvl="2" w:tplc="08090005" w:tentative="1">
      <w:start w:val="1"/>
      <w:numFmt w:val="bullet"/>
      <w:lvlText w:val=""/>
      <w:lvlJc w:val="left"/>
      <w:pPr>
        <w:ind w:left="1823" w:hanging="360"/>
      </w:pPr>
      <w:rPr>
        <w:rFonts w:ascii="Wingdings" w:hAnsi="Wingdings" w:hint="default"/>
      </w:rPr>
    </w:lvl>
    <w:lvl w:ilvl="3" w:tplc="08090001" w:tentative="1">
      <w:start w:val="1"/>
      <w:numFmt w:val="bullet"/>
      <w:lvlText w:val=""/>
      <w:lvlJc w:val="left"/>
      <w:pPr>
        <w:ind w:left="2543" w:hanging="360"/>
      </w:pPr>
      <w:rPr>
        <w:rFonts w:ascii="Symbol" w:hAnsi="Symbol" w:hint="default"/>
      </w:rPr>
    </w:lvl>
    <w:lvl w:ilvl="4" w:tplc="08090003" w:tentative="1">
      <w:start w:val="1"/>
      <w:numFmt w:val="bullet"/>
      <w:lvlText w:val="o"/>
      <w:lvlJc w:val="left"/>
      <w:pPr>
        <w:ind w:left="3263" w:hanging="360"/>
      </w:pPr>
      <w:rPr>
        <w:rFonts w:ascii="Courier New" w:hAnsi="Courier New" w:cs="Courier New" w:hint="default"/>
      </w:rPr>
    </w:lvl>
    <w:lvl w:ilvl="5" w:tplc="08090005" w:tentative="1">
      <w:start w:val="1"/>
      <w:numFmt w:val="bullet"/>
      <w:lvlText w:val=""/>
      <w:lvlJc w:val="left"/>
      <w:pPr>
        <w:ind w:left="3983" w:hanging="360"/>
      </w:pPr>
      <w:rPr>
        <w:rFonts w:ascii="Wingdings" w:hAnsi="Wingdings" w:hint="default"/>
      </w:rPr>
    </w:lvl>
    <w:lvl w:ilvl="6" w:tplc="08090001" w:tentative="1">
      <w:start w:val="1"/>
      <w:numFmt w:val="bullet"/>
      <w:lvlText w:val=""/>
      <w:lvlJc w:val="left"/>
      <w:pPr>
        <w:ind w:left="4703" w:hanging="360"/>
      </w:pPr>
      <w:rPr>
        <w:rFonts w:ascii="Symbol" w:hAnsi="Symbol" w:hint="default"/>
      </w:rPr>
    </w:lvl>
    <w:lvl w:ilvl="7" w:tplc="08090003" w:tentative="1">
      <w:start w:val="1"/>
      <w:numFmt w:val="bullet"/>
      <w:lvlText w:val="o"/>
      <w:lvlJc w:val="left"/>
      <w:pPr>
        <w:ind w:left="5423" w:hanging="360"/>
      </w:pPr>
      <w:rPr>
        <w:rFonts w:ascii="Courier New" w:hAnsi="Courier New" w:cs="Courier New" w:hint="default"/>
      </w:rPr>
    </w:lvl>
    <w:lvl w:ilvl="8" w:tplc="08090005" w:tentative="1">
      <w:start w:val="1"/>
      <w:numFmt w:val="bullet"/>
      <w:lvlText w:val=""/>
      <w:lvlJc w:val="left"/>
      <w:pPr>
        <w:ind w:left="6143" w:hanging="360"/>
      </w:pPr>
      <w:rPr>
        <w:rFonts w:ascii="Wingdings" w:hAnsi="Wingdings" w:hint="default"/>
      </w:rPr>
    </w:lvl>
  </w:abstractNum>
  <w:abstractNum w:abstractNumId="1" w15:restartNumberingAfterBreak="0">
    <w:nsid w:val="1A9E5015"/>
    <w:multiLevelType w:val="hybridMultilevel"/>
    <w:tmpl w:val="E000140A"/>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CC2EE8"/>
    <w:multiLevelType w:val="hybridMultilevel"/>
    <w:tmpl w:val="779E5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192D46"/>
    <w:multiLevelType w:val="hybridMultilevel"/>
    <w:tmpl w:val="92DC6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F76E7A"/>
    <w:multiLevelType w:val="singleLevel"/>
    <w:tmpl w:val="C74C5A32"/>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5" w15:restartNumberingAfterBreak="0">
    <w:nsid w:val="2CF863AE"/>
    <w:multiLevelType w:val="hybridMultilevel"/>
    <w:tmpl w:val="B8D8D4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364530DF"/>
    <w:multiLevelType w:val="hybridMultilevel"/>
    <w:tmpl w:val="10A8388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5459E8"/>
    <w:multiLevelType w:val="singleLevel"/>
    <w:tmpl w:val="2188C922"/>
    <w:name w:val="Tiret 1"/>
    <w:lvl w:ilvl="0">
      <w:start w:val="1"/>
      <w:numFmt w:val="bullet"/>
      <w:lvlRestart w:val="0"/>
      <w:pStyle w:val="Tiret1"/>
      <w:lvlText w:val="–"/>
      <w:lvlJc w:val="left"/>
      <w:pPr>
        <w:tabs>
          <w:tab w:val="num" w:pos="1417"/>
        </w:tabs>
        <w:ind w:left="1417" w:hanging="567"/>
      </w:pPr>
    </w:lvl>
  </w:abstractNum>
  <w:abstractNum w:abstractNumId="8" w15:restartNumberingAfterBreak="0">
    <w:nsid w:val="3BA736C9"/>
    <w:multiLevelType w:val="singleLevel"/>
    <w:tmpl w:val="F00A6C0C"/>
    <w:name w:val="Tiret 0"/>
    <w:lvl w:ilvl="0">
      <w:start w:val="1"/>
      <w:numFmt w:val="bullet"/>
      <w:lvlRestart w:val="0"/>
      <w:pStyle w:val="Tiret0"/>
      <w:lvlText w:val="–"/>
      <w:lvlJc w:val="left"/>
      <w:pPr>
        <w:tabs>
          <w:tab w:val="num" w:pos="850"/>
        </w:tabs>
        <w:ind w:left="850" w:hanging="850"/>
      </w:pPr>
    </w:lvl>
  </w:abstractNum>
  <w:abstractNum w:abstractNumId="9" w15:restartNumberingAfterBreak="0">
    <w:nsid w:val="3C90278F"/>
    <w:multiLevelType w:val="singleLevel"/>
    <w:tmpl w:val="0FE08974"/>
    <w:name w:val="Tiret 3"/>
    <w:lvl w:ilvl="0">
      <w:start w:val="1"/>
      <w:numFmt w:val="bullet"/>
      <w:lvlRestart w:val="0"/>
      <w:pStyle w:val="Tiret3"/>
      <w:lvlText w:val="–"/>
      <w:lvlJc w:val="left"/>
      <w:pPr>
        <w:tabs>
          <w:tab w:val="num" w:pos="2551"/>
        </w:tabs>
        <w:ind w:left="2551" w:hanging="567"/>
      </w:pPr>
    </w:lvl>
  </w:abstractNum>
  <w:abstractNum w:abstractNumId="10" w15:restartNumberingAfterBreak="0">
    <w:nsid w:val="3ECF45E3"/>
    <w:multiLevelType w:val="hybridMultilevel"/>
    <w:tmpl w:val="C3202AD2"/>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6C64F78"/>
    <w:multiLevelType w:val="hybridMultilevel"/>
    <w:tmpl w:val="DF2888B6"/>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8842C30"/>
    <w:multiLevelType w:val="singleLevel"/>
    <w:tmpl w:val="4FA60B9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49FD2631"/>
    <w:multiLevelType w:val="hybridMultilevel"/>
    <w:tmpl w:val="31EA4C5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D71989"/>
    <w:multiLevelType w:val="hybridMultilevel"/>
    <w:tmpl w:val="84C05E4C"/>
    <w:lvl w:ilvl="0" w:tplc="04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4593082"/>
    <w:multiLevelType w:val="singleLevel"/>
    <w:tmpl w:val="EDE069AC"/>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68864DC"/>
    <w:multiLevelType w:val="singleLevel"/>
    <w:tmpl w:val="485EBDAC"/>
    <w:name w:val="Tiret 4"/>
    <w:lvl w:ilvl="0">
      <w:start w:val="1"/>
      <w:numFmt w:val="bullet"/>
      <w:lvlRestart w:val="0"/>
      <w:pStyle w:val="Tiret4"/>
      <w:lvlText w:val="–"/>
      <w:lvlJc w:val="left"/>
      <w:pPr>
        <w:tabs>
          <w:tab w:val="num" w:pos="3118"/>
        </w:tabs>
        <w:ind w:left="3118" w:hanging="567"/>
      </w:pPr>
    </w:lvl>
  </w:abstractNum>
  <w:abstractNum w:abstractNumId="17" w15:restartNumberingAfterBreak="0">
    <w:nsid w:val="57801D8D"/>
    <w:multiLevelType w:val="hybridMultilevel"/>
    <w:tmpl w:val="DB7A9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342530"/>
    <w:multiLevelType w:val="singleLevel"/>
    <w:tmpl w:val="D5444702"/>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9" w15:restartNumberingAfterBreak="0">
    <w:nsid w:val="5F9C40AA"/>
    <w:multiLevelType w:val="singleLevel"/>
    <w:tmpl w:val="B89CB5A2"/>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0" w15:restartNumberingAfterBreak="0">
    <w:nsid w:val="62970F71"/>
    <w:multiLevelType w:val="singleLevel"/>
    <w:tmpl w:val="5AFA8C72"/>
    <w:name w:val="Tiret 2"/>
    <w:lvl w:ilvl="0">
      <w:start w:val="1"/>
      <w:numFmt w:val="bullet"/>
      <w:lvlRestart w:val="0"/>
      <w:pStyle w:val="Tiret2"/>
      <w:lvlText w:val="–"/>
      <w:lvlJc w:val="left"/>
      <w:pPr>
        <w:tabs>
          <w:tab w:val="num" w:pos="1984"/>
        </w:tabs>
        <w:ind w:left="1984" w:hanging="567"/>
      </w:pPr>
    </w:lvl>
  </w:abstractNum>
  <w:abstractNum w:abstractNumId="21" w15:restartNumberingAfterBreak="0">
    <w:nsid w:val="62CE3243"/>
    <w:multiLevelType w:val="multilevel"/>
    <w:tmpl w:val="E1A88178"/>
    <w:lvl w:ilvl="0">
      <w:start w:val="2"/>
      <w:numFmt w:val="decimal"/>
      <w:lvlText w:val="2.%1."/>
      <w:lvlJc w:val="left"/>
      <w:rPr>
        <w:rFonts w:ascii="Times New Roman" w:eastAsia="Times New Roman" w:hAnsi="Times New Roman" w:cs="Times New Roman"/>
        <w:b/>
        <w:i w:val="0"/>
        <w:iCs w:val="0"/>
        <w:smallCaps w:val="0"/>
        <w:strike w:val="0"/>
        <w:spacing w:val="0"/>
        <w:w w:val="100"/>
        <w:position w:val="0"/>
        <w:sz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9995580"/>
    <w:multiLevelType w:val="singleLevel"/>
    <w:tmpl w:val="75CC7CBA"/>
    <w:name w:val="Considérant"/>
    <w:lvl w:ilvl="0">
      <w:start w:val="1"/>
      <w:numFmt w:val="decimal"/>
      <w:lvlRestart w:val="0"/>
      <w:pStyle w:val="Considrant"/>
      <w:lvlText w:val="(%1)"/>
      <w:lvlJc w:val="left"/>
      <w:pPr>
        <w:tabs>
          <w:tab w:val="num" w:pos="709"/>
        </w:tabs>
        <w:ind w:left="709" w:hanging="709"/>
      </w:pPr>
    </w:lvl>
  </w:abstractNum>
  <w:abstractNum w:abstractNumId="23" w15:restartNumberingAfterBreak="0">
    <w:nsid w:val="6B416BA4"/>
    <w:multiLevelType w:val="hybridMultilevel"/>
    <w:tmpl w:val="BD480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73B248FA"/>
    <w:multiLevelType w:val="hybridMultilevel"/>
    <w:tmpl w:val="C5B09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C26F71"/>
    <w:multiLevelType w:val="multilevel"/>
    <w:tmpl w:val="1302B450"/>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rPr>
        <w:b/>
      </w:r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num w:numId="1">
    <w:abstractNumId w:val="15"/>
  </w:num>
  <w:num w:numId="2">
    <w:abstractNumId w:val="4"/>
  </w:num>
  <w:num w:numId="3">
    <w:abstractNumId w:val="19"/>
  </w:num>
  <w:num w:numId="4">
    <w:abstractNumId w:val="18"/>
  </w:num>
  <w:num w:numId="5">
    <w:abstractNumId w:val="12"/>
  </w:num>
  <w:num w:numId="6">
    <w:abstractNumId w:val="22"/>
  </w:num>
  <w:num w:numId="7">
    <w:abstractNumId w:val="26"/>
  </w:num>
  <w:num w:numId="8">
    <w:abstractNumId w:val="24"/>
  </w:num>
  <w:num w:numId="9">
    <w:abstractNumId w:val="27"/>
  </w:num>
  <w:num w:numId="10">
    <w:abstractNumId w:val="8"/>
  </w:num>
  <w:num w:numId="11">
    <w:abstractNumId w:val="7"/>
  </w:num>
  <w:num w:numId="12">
    <w:abstractNumId w:val="20"/>
  </w:num>
  <w:num w:numId="13">
    <w:abstractNumId w:val="9"/>
  </w:num>
  <w:num w:numId="14">
    <w:abstractNumId w:val="16"/>
  </w:num>
  <w:num w:numId="15">
    <w:abstractNumId w:val="21"/>
  </w:num>
  <w:num w:numId="16">
    <w:abstractNumId w:val="13"/>
  </w:num>
  <w:num w:numId="17">
    <w:abstractNumId w:val="14"/>
  </w:num>
  <w:num w:numId="18">
    <w:abstractNumId w:val="2"/>
  </w:num>
  <w:num w:numId="19">
    <w:abstractNumId w:val="6"/>
  </w:num>
  <w:num w:numId="20">
    <w:abstractNumId w:val="17"/>
  </w:num>
  <w:num w:numId="21">
    <w:abstractNumId w:val="0"/>
  </w:num>
  <w:num w:numId="22">
    <w:abstractNumId w:val="25"/>
  </w:num>
  <w:num w:numId="23">
    <w:abstractNumId w:val="11"/>
  </w:num>
  <w:num w:numId="24">
    <w:abstractNumId w:val="10"/>
  </w:num>
  <w:num w:numId="25">
    <w:abstractNumId w:val="1"/>
  </w:num>
  <w:num w:numId="26">
    <w:abstractNumId w:val="26"/>
  </w:num>
  <w:num w:numId="27">
    <w:abstractNumId w:val="26"/>
  </w:num>
  <w:num w:numId="28">
    <w:abstractNumId w:val="23"/>
  </w:num>
  <w:num w:numId="29">
    <w:abstractNumId w:val="3"/>
  </w:num>
  <w:num w:numId="30">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efaultTabStop w:val="720"/>
  <w:hyphenationZone w:val="283"/>
  <w:characterSpacingControl w:val="doNotCompress"/>
  <w:hdrShapeDefaults>
    <o:shapedefaults v:ext="edit" spidmax="24577"/>
  </w:hdrShapeDefaults>
  <w:footnotePr>
    <w:footnote w:id="-1"/>
    <w:footnote w:id="0"/>
    <w:footnote w:id="1"/>
  </w:footnotePr>
  <w:endnotePr>
    <w:endnote w:id="-1"/>
    <w:endnote w:id="0"/>
    <w:endnote w:id="1"/>
  </w:endnotePr>
  <w:compat>
    <w:doNotUseHTMLParagraphAutoSpacing/>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DocStatus" w:val="Green"/>
    <w:docVar w:name="LW_CORRIGENDUM" w:val="&lt;UNUSED&gt;"/>
    <w:docVar w:name="LW_COVERPAGE_EXISTS" w:val="True"/>
    <w:docVar w:name="LW_COVERPAGE_GUID" w:val="9F452B7F-6947-4D3C-9C27-2DA03362C3B4"/>
    <w:docVar w:name="LW_COVERPAGE_TYPE" w:val="1"/>
    <w:docVar w:name="LW_CROSSREFERENCE" w:val="{SWD(2023) 43 final}"/>
    <w:docVar w:name="LW_DocType" w:val="NORMAL"/>
    <w:docVar w:name="LW_EMISSION" w:val="16.2.2023"/>
    <w:docVar w:name="LW_EMISSION_ISODATE" w:val="2023-02-16"/>
    <w:docVar w:name="LW_EMISSION_LOCATION" w:val="BRX"/>
    <w:docVar w:name="LW_EMISSION_PREFIX" w:val="Bruxelles, "/>
    <w:docVar w:name="LW_EMISSION_SUFFIX" w:val=" "/>
    <w:docVar w:name="LW_ID_DOCTYPE_NONLW" w:val="CP-007"/>
    <w:docVar w:name="LW_LANGUE" w:val="IT"/>
    <w:docVar w:name="LW_LEVEL_OF_SENSITIVITY" w:val="Standard treatment"/>
    <w:docVar w:name="LW_NOM.INST" w:val="COMMISSIONE EUROPEA"/>
    <w:docVar w:name="LW_NOM.INST_JOINTDOC" w:val="&lt;EMPTY&gt;"/>
    <w:docVar w:name="LW_PART_NBR" w:val="1"/>
    <w:docVar w:name="LW_PART_NBR_TOTAL" w:val="1"/>
    <w:docVar w:name="LW_REF.INST.NEW" w:val="COM"/>
    <w:docVar w:name="LW_REF.INST.NEW_ADOPTED" w:val="final"/>
    <w:docVar w:name="LW_REF.INST.NEW_TEXT" w:val="(2023) 7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sull'attuazione da parte degli Stati membri della direttiva 2006/117/Euratom del Consiglio relativa alla sorveglianza e al controllo delle spedizioni di rifiuti radioattivi e di combustibile nucleare esaurito_x000d__x000b__x000d__x000b__x000d__x000b__x000d__x000b__x000d__x000b__x000d__x000b__x000d__x000b__x000d__x000b__x000d__x000b__x000d__x000b_Quarta relazione"/>
    <w:docVar w:name="LW_TYPE.DOC.CP" w:val="RELAZIONE DELLA COMMISSIONE AL PARLAMENTO EUROPEO, AL CONSIGLIO E AL COMITATO ECONOMICO E SOCIALE EUROPEO"/>
    <w:docVar w:name="LwApiVersions" w:val="LW4CoDe 1.23.2.0; LW 8.0, Build 20211117"/>
  </w:docVars>
  <w:rsids>
    <w:rsidRoot w:val="00CA6D5D"/>
    <w:rsid w:val="000029E4"/>
    <w:rsid w:val="0001154A"/>
    <w:rsid w:val="00011AA0"/>
    <w:rsid w:val="00011BDA"/>
    <w:rsid w:val="00011F65"/>
    <w:rsid w:val="000120E3"/>
    <w:rsid w:val="00014BFC"/>
    <w:rsid w:val="00016613"/>
    <w:rsid w:val="000176A6"/>
    <w:rsid w:val="0002074C"/>
    <w:rsid w:val="000223C2"/>
    <w:rsid w:val="00030F37"/>
    <w:rsid w:val="0003220D"/>
    <w:rsid w:val="00032E65"/>
    <w:rsid w:val="00037E1A"/>
    <w:rsid w:val="00047390"/>
    <w:rsid w:val="0005250F"/>
    <w:rsid w:val="00054CEA"/>
    <w:rsid w:val="0006256C"/>
    <w:rsid w:val="0006493A"/>
    <w:rsid w:val="000665F1"/>
    <w:rsid w:val="00070569"/>
    <w:rsid w:val="00071796"/>
    <w:rsid w:val="000727A3"/>
    <w:rsid w:val="00076955"/>
    <w:rsid w:val="0007729C"/>
    <w:rsid w:val="000778ED"/>
    <w:rsid w:val="000821A9"/>
    <w:rsid w:val="00086801"/>
    <w:rsid w:val="000935D0"/>
    <w:rsid w:val="00093DEE"/>
    <w:rsid w:val="00095F7F"/>
    <w:rsid w:val="00096526"/>
    <w:rsid w:val="00097F76"/>
    <w:rsid w:val="000A0104"/>
    <w:rsid w:val="000A3C3A"/>
    <w:rsid w:val="000A3D0C"/>
    <w:rsid w:val="000A4736"/>
    <w:rsid w:val="000A49B3"/>
    <w:rsid w:val="000A51B2"/>
    <w:rsid w:val="000A5305"/>
    <w:rsid w:val="000A7476"/>
    <w:rsid w:val="000B0B59"/>
    <w:rsid w:val="000B582D"/>
    <w:rsid w:val="000C097F"/>
    <w:rsid w:val="000C0C95"/>
    <w:rsid w:val="000C41E2"/>
    <w:rsid w:val="000C498C"/>
    <w:rsid w:val="000D05F3"/>
    <w:rsid w:val="000D42B4"/>
    <w:rsid w:val="000D45D2"/>
    <w:rsid w:val="000D71FD"/>
    <w:rsid w:val="000D7423"/>
    <w:rsid w:val="000D7792"/>
    <w:rsid w:val="000D7C75"/>
    <w:rsid w:val="000E1F5F"/>
    <w:rsid w:val="000E6C6F"/>
    <w:rsid w:val="000F3D75"/>
    <w:rsid w:val="000F4446"/>
    <w:rsid w:val="000F5766"/>
    <w:rsid w:val="000F71ED"/>
    <w:rsid w:val="001021F4"/>
    <w:rsid w:val="001043DA"/>
    <w:rsid w:val="00107CC1"/>
    <w:rsid w:val="00112A0D"/>
    <w:rsid w:val="001134DA"/>
    <w:rsid w:val="001137A9"/>
    <w:rsid w:val="00113E90"/>
    <w:rsid w:val="0011741C"/>
    <w:rsid w:val="00120BCD"/>
    <w:rsid w:val="00121DA5"/>
    <w:rsid w:val="00122826"/>
    <w:rsid w:val="00122DAE"/>
    <w:rsid w:val="0012414E"/>
    <w:rsid w:val="00125D01"/>
    <w:rsid w:val="00127285"/>
    <w:rsid w:val="0013108C"/>
    <w:rsid w:val="00131B3C"/>
    <w:rsid w:val="001320FC"/>
    <w:rsid w:val="00137A3A"/>
    <w:rsid w:val="00137C99"/>
    <w:rsid w:val="001424A2"/>
    <w:rsid w:val="001464F7"/>
    <w:rsid w:val="00151205"/>
    <w:rsid w:val="00153513"/>
    <w:rsid w:val="00161D8C"/>
    <w:rsid w:val="001626D3"/>
    <w:rsid w:val="00166F7D"/>
    <w:rsid w:val="001704E1"/>
    <w:rsid w:val="00170D1B"/>
    <w:rsid w:val="00172068"/>
    <w:rsid w:val="00173877"/>
    <w:rsid w:val="00174F3A"/>
    <w:rsid w:val="00183758"/>
    <w:rsid w:val="0018410E"/>
    <w:rsid w:val="00184505"/>
    <w:rsid w:val="00185C9A"/>
    <w:rsid w:val="0018657D"/>
    <w:rsid w:val="00186E91"/>
    <w:rsid w:val="001879E4"/>
    <w:rsid w:val="0019398F"/>
    <w:rsid w:val="0019515E"/>
    <w:rsid w:val="001977DF"/>
    <w:rsid w:val="001A1649"/>
    <w:rsid w:val="001A4DD1"/>
    <w:rsid w:val="001A71E0"/>
    <w:rsid w:val="001A7688"/>
    <w:rsid w:val="001B2E1E"/>
    <w:rsid w:val="001B5095"/>
    <w:rsid w:val="001B5B88"/>
    <w:rsid w:val="001B7135"/>
    <w:rsid w:val="001C0327"/>
    <w:rsid w:val="001C30C5"/>
    <w:rsid w:val="001D1AE7"/>
    <w:rsid w:val="001D384F"/>
    <w:rsid w:val="001D5748"/>
    <w:rsid w:val="001E01EB"/>
    <w:rsid w:val="001E1B5A"/>
    <w:rsid w:val="001E357C"/>
    <w:rsid w:val="001F2412"/>
    <w:rsid w:val="001F2BF7"/>
    <w:rsid w:val="001F2CE0"/>
    <w:rsid w:val="001F30B8"/>
    <w:rsid w:val="001F349F"/>
    <w:rsid w:val="001F48B7"/>
    <w:rsid w:val="001F5D22"/>
    <w:rsid w:val="00201BBC"/>
    <w:rsid w:val="00204286"/>
    <w:rsid w:val="002118B8"/>
    <w:rsid w:val="00222319"/>
    <w:rsid w:val="0022438D"/>
    <w:rsid w:val="00225143"/>
    <w:rsid w:val="00230AA6"/>
    <w:rsid w:val="00233132"/>
    <w:rsid w:val="00236653"/>
    <w:rsid w:val="00241D9A"/>
    <w:rsid w:val="00242D73"/>
    <w:rsid w:val="00243310"/>
    <w:rsid w:val="002463A1"/>
    <w:rsid w:val="00246B54"/>
    <w:rsid w:val="00255F05"/>
    <w:rsid w:val="00256AC0"/>
    <w:rsid w:val="00257A3D"/>
    <w:rsid w:val="00257A7A"/>
    <w:rsid w:val="00260BAD"/>
    <w:rsid w:val="002617EB"/>
    <w:rsid w:val="002628A0"/>
    <w:rsid w:val="00262A11"/>
    <w:rsid w:val="00263CB6"/>
    <w:rsid w:val="00271B49"/>
    <w:rsid w:val="00272C00"/>
    <w:rsid w:val="00272FF1"/>
    <w:rsid w:val="00273489"/>
    <w:rsid w:val="00275A15"/>
    <w:rsid w:val="0027744D"/>
    <w:rsid w:val="00280A08"/>
    <w:rsid w:val="00280E2E"/>
    <w:rsid w:val="002819DC"/>
    <w:rsid w:val="00284706"/>
    <w:rsid w:val="00286CBE"/>
    <w:rsid w:val="00286D21"/>
    <w:rsid w:val="00287878"/>
    <w:rsid w:val="00296B78"/>
    <w:rsid w:val="00297512"/>
    <w:rsid w:val="002A14B8"/>
    <w:rsid w:val="002A287E"/>
    <w:rsid w:val="002A7620"/>
    <w:rsid w:val="002B3AE4"/>
    <w:rsid w:val="002B5516"/>
    <w:rsid w:val="002B7562"/>
    <w:rsid w:val="002B7E50"/>
    <w:rsid w:val="002C18A8"/>
    <w:rsid w:val="002C4759"/>
    <w:rsid w:val="002C518C"/>
    <w:rsid w:val="002C6646"/>
    <w:rsid w:val="002C7044"/>
    <w:rsid w:val="002C7A97"/>
    <w:rsid w:val="002D280C"/>
    <w:rsid w:val="002D3032"/>
    <w:rsid w:val="002D4FE1"/>
    <w:rsid w:val="002D6BCE"/>
    <w:rsid w:val="002D71C2"/>
    <w:rsid w:val="002E08EC"/>
    <w:rsid w:val="002E3C4E"/>
    <w:rsid w:val="002E64F5"/>
    <w:rsid w:val="002F4CC8"/>
    <w:rsid w:val="002F7DB3"/>
    <w:rsid w:val="0030088C"/>
    <w:rsid w:val="003020DD"/>
    <w:rsid w:val="0030238A"/>
    <w:rsid w:val="00303FF8"/>
    <w:rsid w:val="00304213"/>
    <w:rsid w:val="003052E3"/>
    <w:rsid w:val="0030686C"/>
    <w:rsid w:val="0030725B"/>
    <w:rsid w:val="00311204"/>
    <w:rsid w:val="00311858"/>
    <w:rsid w:val="003122B8"/>
    <w:rsid w:val="00313BAF"/>
    <w:rsid w:val="00322C10"/>
    <w:rsid w:val="00326191"/>
    <w:rsid w:val="00327CB8"/>
    <w:rsid w:val="00327CE9"/>
    <w:rsid w:val="0033256F"/>
    <w:rsid w:val="00333506"/>
    <w:rsid w:val="00333D5D"/>
    <w:rsid w:val="00336D15"/>
    <w:rsid w:val="003463C3"/>
    <w:rsid w:val="00347B4E"/>
    <w:rsid w:val="00352876"/>
    <w:rsid w:val="00362CF8"/>
    <w:rsid w:val="00365528"/>
    <w:rsid w:val="00366659"/>
    <w:rsid w:val="0036670A"/>
    <w:rsid w:val="003725AF"/>
    <w:rsid w:val="00372FB1"/>
    <w:rsid w:val="003740A5"/>
    <w:rsid w:val="00375CB3"/>
    <w:rsid w:val="003875FD"/>
    <w:rsid w:val="00392A1F"/>
    <w:rsid w:val="0039468E"/>
    <w:rsid w:val="003946B3"/>
    <w:rsid w:val="00395415"/>
    <w:rsid w:val="00395A12"/>
    <w:rsid w:val="00396CDE"/>
    <w:rsid w:val="00397308"/>
    <w:rsid w:val="003A02AD"/>
    <w:rsid w:val="003A32F1"/>
    <w:rsid w:val="003A3D4E"/>
    <w:rsid w:val="003A4B74"/>
    <w:rsid w:val="003A6658"/>
    <w:rsid w:val="003B1036"/>
    <w:rsid w:val="003B5095"/>
    <w:rsid w:val="003B61BC"/>
    <w:rsid w:val="003B6ED0"/>
    <w:rsid w:val="003C260F"/>
    <w:rsid w:val="003C6A63"/>
    <w:rsid w:val="003D07C3"/>
    <w:rsid w:val="003D0B43"/>
    <w:rsid w:val="003D12D3"/>
    <w:rsid w:val="003D23B3"/>
    <w:rsid w:val="003D72A0"/>
    <w:rsid w:val="003E14A4"/>
    <w:rsid w:val="003E6F2A"/>
    <w:rsid w:val="003E7470"/>
    <w:rsid w:val="004013AE"/>
    <w:rsid w:val="00401E66"/>
    <w:rsid w:val="004042D4"/>
    <w:rsid w:val="00410662"/>
    <w:rsid w:val="00412D94"/>
    <w:rsid w:val="004200AE"/>
    <w:rsid w:val="00424AE6"/>
    <w:rsid w:val="00425975"/>
    <w:rsid w:val="00430C36"/>
    <w:rsid w:val="00440273"/>
    <w:rsid w:val="004439EA"/>
    <w:rsid w:val="004449D8"/>
    <w:rsid w:val="00451F6E"/>
    <w:rsid w:val="0045449F"/>
    <w:rsid w:val="00455B36"/>
    <w:rsid w:val="0045635A"/>
    <w:rsid w:val="0046314C"/>
    <w:rsid w:val="004649E9"/>
    <w:rsid w:val="0046592B"/>
    <w:rsid w:val="00467AA3"/>
    <w:rsid w:val="00467D2F"/>
    <w:rsid w:val="004748C7"/>
    <w:rsid w:val="0047554C"/>
    <w:rsid w:val="00475F00"/>
    <w:rsid w:val="004773E7"/>
    <w:rsid w:val="00480BAF"/>
    <w:rsid w:val="00483BE3"/>
    <w:rsid w:val="00486098"/>
    <w:rsid w:val="00493398"/>
    <w:rsid w:val="00494D5E"/>
    <w:rsid w:val="00495010"/>
    <w:rsid w:val="00497ABE"/>
    <w:rsid w:val="004A47FA"/>
    <w:rsid w:val="004A663A"/>
    <w:rsid w:val="004B4C62"/>
    <w:rsid w:val="004B5440"/>
    <w:rsid w:val="004C0D23"/>
    <w:rsid w:val="004C23BE"/>
    <w:rsid w:val="004C5372"/>
    <w:rsid w:val="004C68EF"/>
    <w:rsid w:val="004C78FF"/>
    <w:rsid w:val="004D2588"/>
    <w:rsid w:val="004E111C"/>
    <w:rsid w:val="004E212B"/>
    <w:rsid w:val="004E2BA1"/>
    <w:rsid w:val="004E3784"/>
    <w:rsid w:val="004E3973"/>
    <w:rsid w:val="004F7785"/>
    <w:rsid w:val="00500764"/>
    <w:rsid w:val="005047F2"/>
    <w:rsid w:val="00504ACF"/>
    <w:rsid w:val="00510CE3"/>
    <w:rsid w:val="00513B60"/>
    <w:rsid w:val="00516E5F"/>
    <w:rsid w:val="00523162"/>
    <w:rsid w:val="00523168"/>
    <w:rsid w:val="00523E56"/>
    <w:rsid w:val="00524F00"/>
    <w:rsid w:val="00524F35"/>
    <w:rsid w:val="00525A28"/>
    <w:rsid w:val="00526D83"/>
    <w:rsid w:val="005272A6"/>
    <w:rsid w:val="00530F8F"/>
    <w:rsid w:val="00544F91"/>
    <w:rsid w:val="0055088B"/>
    <w:rsid w:val="0055478A"/>
    <w:rsid w:val="00554964"/>
    <w:rsid w:val="00570CA3"/>
    <w:rsid w:val="00572A23"/>
    <w:rsid w:val="00572B81"/>
    <w:rsid w:val="00575468"/>
    <w:rsid w:val="00575F63"/>
    <w:rsid w:val="00583E41"/>
    <w:rsid w:val="00584A50"/>
    <w:rsid w:val="005875F6"/>
    <w:rsid w:val="005975EF"/>
    <w:rsid w:val="005A0ED8"/>
    <w:rsid w:val="005A298E"/>
    <w:rsid w:val="005A3EB1"/>
    <w:rsid w:val="005A4E92"/>
    <w:rsid w:val="005A74DD"/>
    <w:rsid w:val="005A7CBD"/>
    <w:rsid w:val="005B1211"/>
    <w:rsid w:val="005B5BA2"/>
    <w:rsid w:val="005B67F4"/>
    <w:rsid w:val="005C1EF1"/>
    <w:rsid w:val="005D20E6"/>
    <w:rsid w:val="005D37EE"/>
    <w:rsid w:val="005D5354"/>
    <w:rsid w:val="005D5DA6"/>
    <w:rsid w:val="005D7AF9"/>
    <w:rsid w:val="005D7C2E"/>
    <w:rsid w:val="005E0865"/>
    <w:rsid w:val="005E2480"/>
    <w:rsid w:val="005E48A2"/>
    <w:rsid w:val="005E7E0D"/>
    <w:rsid w:val="005F1BFE"/>
    <w:rsid w:val="0060046B"/>
    <w:rsid w:val="00602F7E"/>
    <w:rsid w:val="006074FC"/>
    <w:rsid w:val="00612048"/>
    <w:rsid w:val="00615FA7"/>
    <w:rsid w:val="0062147F"/>
    <w:rsid w:val="00621AD4"/>
    <w:rsid w:val="00623B87"/>
    <w:rsid w:val="00623D2E"/>
    <w:rsid w:val="0062459A"/>
    <w:rsid w:val="0062482A"/>
    <w:rsid w:val="00624AF1"/>
    <w:rsid w:val="0062703B"/>
    <w:rsid w:val="00627ADC"/>
    <w:rsid w:val="006304EF"/>
    <w:rsid w:val="00633043"/>
    <w:rsid w:val="0063479A"/>
    <w:rsid w:val="0063736A"/>
    <w:rsid w:val="00641516"/>
    <w:rsid w:val="00645082"/>
    <w:rsid w:val="006479EA"/>
    <w:rsid w:val="00653325"/>
    <w:rsid w:val="00653FAA"/>
    <w:rsid w:val="00655171"/>
    <w:rsid w:val="00660DC4"/>
    <w:rsid w:val="0066214B"/>
    <w:rsid w:val="0066365A"/>
    <w:rsid w:val="00663C9A"/>
    <w:rsid w:val="00665847"/>
    <w:rsid w:val="00666CC3"/>
    <w:rsid w:val="006726A3"/>
    <w:rsid w:val="00673B26"/>
    <w:rsid w:val="0067687F"/>
    <w:rsid w:val="00676C82"/>
    <w:rsid w:val="00676FB1"/>
    <w:rsid w:val="006807FA"/>
    <w:rsid w:val="006853EF"/>
    <w:rsid w:val="00686251"/>
    <w:rsid w:val="00687896"/>
    <w:rsid w:val="00690999"/>
    <w:rsid w:val="0069560D"/>
    <w:rsid w:val="00695B7C"/>
    <w:rsid w:val="00697D72"/>
    <w:rsid w:val="006A18C4"/>
    <w:rsid w:val="006A2BA6"/>
    <w:rsid w:val="006B05C6"/>
    <w:rsid w:val="006B1009"/>
    <w:rsid w:val="006B258F"/>
    <w:rsid w:val="006B7AE9"/>
    <w:rsid w:val="006C008F"/>
    <w:rsid w:val="006C329C"/>
    <w:rsid w:val="006C4E41"/>
    <w:rsid w:val="006C6AA6"/>
    <w:rsid w:val="006C75ED"/>
    <w:rsid w:val="006D09D7"/>
    <w:rsid w:val="006D0F71"/>
    <w:rsid w:val="006D41A6"/>
    <w:rsid w:val="006D4AD8"/>
    <w:rsid w:val="006D4FCA"/>
    <w:rsid w:val="006D6E51"/>
    <w:rsid w:val="006E06FB"/>
    <w:rsid w:val="006E311F"/>
    <w:rsid w:val="006E3409"/>
    <w:rsid w:val="006E3D25"/>
    <w:rsid w:val="006E48DC"/>
    <w:rsid w:val="006E5A6D"/>
    <w:rsid w:val="006F0D06"/>
    <w:rsid w:val="006F43C8"/>
    <w:rsid w:val="006F7D35"/>
    <w:rsid w:val="0070117C"/>
    <w:rsid w:val="007027A7"/>
    <w:rsid w:val="007054C2"/>
    <w:rsid w:val="0070550C"/>
    <w:rsid w:val="0070669D"/>
    <w:rsid w:val="00706AE8"/>
    <w:rsid w:val="00710319"/>
    <w:rsid w:val="00714A3D"/>
    <w:rsid w:val="007152C7"/>
    <w:rsid w:val="0072066B"/>
    <w:rsid w:val="00722C59"/>
    <w:rsid w:val="00722C7D"/>
    <w:rsid w:val="00725EC8"/>
    <w:rsid w:val="007277E8"/>
    <w:rsid w:val="00731BFC"/>
    <w:rsid w:val="007322BF"/>
    <w:rsid w:val="0073316C"/>
    <w:rsid w:val="00733FEC"/>
    <w:rsid w:val="0073431D"/>
    <w:rsid w:val="007343F0"/>
    <w:rsid w:val="00736A8C"/>
    <w:rsid w:val="007411EC"/>
    <w:rsid w:val="00744CB0"/>
    <w:rsid w:val="00746BF4"/>
    <w:rsid w:val="007474A9"/>
    <w:rsid w:val="00747585"/>
    <w:rsid w:val="0075034B"/>
    <w:rsid w:val="00750F94"/>
    <w:rsid w:val="0075223C"/>
    <w:rsid w:val="007541B4"/>
    <w:rsid w:val="00760502"/>
    <w:rsid w:val="00761324"/>
    <w:rsid w:val="007624FE"/>
    <w:rsid w:val="00763FD4"/>
    <w:rsid w:val="007657C4"/>
    <w:rsid w:val="00771200"/>
    <w:rsid w:val="0077125D"/>
    <w:rsid w:val="00772D89"/>
    <w:rsid w:val="00774048"/>
    <w:rsid w:val="00780973"/>
    <w:rsid w:val="00781B3A"/>
    <w:rsid w:val="007822BE"/>
    <w:rsid w:val="007845FC"/>
    <w:rsid w:val="00784B07"/>
    <w:rsid w:val="00785EF9"/>
    <w:rsid w:val="00791085"/>
    <w:rsid w:val="007924CC"/>
    <w:rsid w:val="00793047"/>
    <w:rsid w:val="007935BF"/>
    <w:rsid w:val="00796277"/>
    <w:rsid w:val="007A0796"/>
    <w:rsid w:val="007A2634"/>
    <w:rsid w:val="007A2DFD"/>
    <w:rsid w:val="007A5BA2"/>
    <w:rsid w:val="007B0A31"/>
    <w:rsid w:val="007B7DD9"/>
    <w:rsid w:val="007C3686"/>
    <w:rsid w:val="007D4F57"/>
    <w:rsid w:val="007D51E6"/>
    <w:rsid w:val="007D55F1"/>
    <w:rsid w:val="007D589A"/>
    <w:rsid w:val="007D6383"/>
    <w:rsid w:val="007D69D8"/>
    <w:rsid w:val="007D6ADA"/>
    <w:rsid w:val="007D76C3"/>
    <w:rsid w:val="007D7BD1"/>
    <w:rsid w:val="007E6998"/>
    <w:rsid w:val="007E6B7C"/>
    <w:rsid w:val="007F1DBF"/>
    <w:rsid w:val="007F279B"/>
    <w:rsid w:val="007F348D"/>
    <w:rsid w:val="0080324F"/>
    <w:rsid w:val="0080515F"/>
    <w:rsid w:val="0080646C"/>
    <w:rsid w:val="00807BA7"/>
    <w:rsid w:val="00811001"/>
    <w:rsid w:val="00815280"/>
    <w:rsid w:val="00815B97"/>
    <w:rsid w:val="00817D56"/>
    <w:rsid w:val="00822454"/>
    <w:rsid w:val="008226E0"/>
    <w:rsid w:val="0082356E"/>
    <w:rsid w:val="00823B0F"/>
    <w:rsid w:val="00824002"/>
    <w:rsid w:val="00824065"/>
    <w:rsid w:val="008277A7"/>
    <w:rsid w:val="00830275"/>
    <w:rsid w:val="00833778"/>
    <w:rsid w:val="008340E7"/>
    <w:rsid w:val="008348C2"/>
    <w:rsid w:val="00835B69"/>
    <w:rsid w:val="0084066F"/>
    <w:rsid w:val="00851EC9"/>
    <w:rsid w:val="008521D3"/>
    <w:rsid w:val="00853167"/>
    <w:rsid w:val="008534D2"/>
    <w:rsid w:val="00855C4F"/>
    <w:rsid w:val="00856B97"/>
    <w:rsid w:val="00857F28"/>
    <w:rsid w:val="008654E8"/>
    <w:rsid w:val="008659D1"/>
    <w:rsid w:val="00866131"/>
    <w:rsid w:val="00876453"/>
    <w:rsid w:val="008818BE"/>
    <w:rsid w:val="008823C2"/>
    <w:rsid w:val="00883362"/>
    <w:rsid w:val="00884473"/>
    <w:rsid w:val="00884713"/>
    <w:rsid w:val="00884D25"/>
    <w:rsid w:val="00886C54"/>
    <w:rsid w:val="0089214A"/>
    <w:rsid w:val="00893836"/>
    <w:rsid w:val="00895A42"/>
    <w:rsid w:val="00895A96"/>
    <w:rsid w:val="00897B08"/>
    <w:rsid w:val="008A01AF"/>
    <w:rsid w:val="008A2422"/>
    <w:rsid w:val="008A243E"/>
    <w:rsid w:val="008A35C4"/>
    <w:rsid w:val="008A495E"/>
    <w:rsid w:val="008A5673"/>
    <w:rsid w:val="008A61E3"/>
    <w:rsid w:val="008A7991"/>
    <w:rsid w:val="008B0DCB"/>
    <w:rsid w:val="008B1E0C"/>
    <w:rsid w:val="008B521E"/>
    <w:rsid w:val="008B5297"/>
    <w:rsid w:val="008B638B"/>
    <w:rsid w:val="008C1008"/>
    <w:rsid w:val="008D1094"/>
    <w:rsid w:val="008D6E18"/>
    <w:rsid w:val="008F0594"/>
    <w:rsid w:val="008F1033"/>
    <w:rsid w:val="008F1EA3"/>
    <w:rsid w:val="008F32F7"/>
    <w:rsid w:val="008F551F"/>
    <w:rsid w:val="008F7B9A"/>
    <w:rsid w:val="0090066F"/>
    <w:rsid w:val="0090110A"/>
    <w:rsid w:val="009013CC"/>
    <w:rsid w:val="00901A11"/>
    <w:rsid w:val="00901CDA"/>
    <w:rsid w:val="00903424"/>
    <w:rsid w:val="00904108"/>
    <w:rsid w:val="00911201"/>
    <w:rsid w:val="00911861"/>
    <w:rsid w:val="00914329"/>
    <w:rsid w:val="00922170"/>
    <w:rsid w:val="0092253A"/>
    <w:rsid w:val="00923923"/>
    <w:rsid w:val="009271F6"/>
    <w:rsid w:val="00936060"/>
    <w:rsid w:val="009360F5"/>
    <w:rsid w:val="00940188"/>
    <w:rsid w:val="00940851"/>
    <w:rsid w:val="0094338A"/>
    <w:rsid w:val="0094346A"/>
    <w:rsid w:val="0094601F"/>
    <w:rsid w:val="00946366"/>
    <w:rsid w:val="00947566"/>
    <w:rsid w:val="0094763F"/>
    <w:rsid w:val="00947ACF"/>
    <w:rsid w:val="00947F7F"/>
    <w:rsid w:val="00950873"/>
    <w:rsid w:val="00955215"/>
    <w:rsid w:val="00960C5B"/>
    <w:rsid w:val="009627F1"/>
    <w:rsid w:val="009640D2"/>
    <w:rsid w:val="00967210"/>
    <w:rsid w:val="00970453"/>
    <w:rsid w:val="009712F8"/>
    <w:rsid w:val="00972214"/>
    <w:rsid w:val="00974323"/>
    <w:rsid w:val="0097453A"/>
    <w:rsid w:val="009777D8"/>
    <w:rsid w:val="0098068D"/>
    <w:rsid w:val="00982611"/>
    <w:rsid w:val="009840EE"/>
    <w:rsid w:val="0098432D"/>
    <w:rsid w:val="009862E5"/>
    <w:rsid w:val="00986CD3"/>
    <w:rsid w:val="00990496"/>
    <w:rsid w:val="00991F5F"/>
    <w:rsid w:val="009923FA"/>
    <w:rsid w:val="009A0A5A"/>
    <w:rsid w:val="009A0E48"/>
    <w:rsid w:val="009A1064"/>
    <w:rsid w:val="009A423F"/>
    <w:rsid w:val="009A7532"/>
    <w:rsid w:val="009B04F0"/>
    <w:rsid w:val="009B369C"/>
    <w:rsid w:val="009B6822"/>
    <w:rsid w:val="009B6C8D"/>
    <w:rsid w:val="009B72FE"/>
    <w:rsid w:val="009C00E7"/>
    <w:rsid w:val="009C3021"/>
    <w:rsid w:val="009C3201"/>
    <w:rsid w:val="009D041C"/>
    <w:rsid w:val="009D1479"/>
    <w:rsid w:val="009D18F5"/>
    <w:rsid w:val="009D1F7B"/>
    <w:rsid w:val="009D38FF"/>
    <w:rsid w:val="009D45CA"/>
    <w:rsid w:val="009E032D"/>
    <w:rsid w:val="009E08F7"/>
    <w:rsid w:val="009E0D17"/>
    <w:rsid w:val="009E41C1"/>
    <w:rsid w:val="009E54DF"/>
    <w:rsid w:val="009E7C5A"/>
    <w:rsid w:val="009F0102"/>
    <w:rsid w:val="009F615C"/>
    <w:rsid w:val="009F68EC"/>
    <w:rsid w:val="009F750D"/>
    <w:rsid w:val="00A00B4F"/>
    <w:rsid w:val="00A02987"/>
    <w:rsid w:val="00A02A9B"/>
    <w:rsid w:val="00A04E84"/>
    <w:rsid w:val="00A06611"/>
    <w:rsid w:val="00A06DFF"/>
    <w:rsid w:val="00A07CC2"/>
    <w:rsid w:val="00A10CC2"/>
    <w:rsid w:val="00A13DD5"/>
    <w:rsid w:val="00A14006"/>
    <w:rsid w:val="00A16609"/>
    <w:rsid w:val="00A200FC"/>
    <w:rsid w:val="00A20A9F"/>
    <w:rsid w:val="00A34EBE"/>
    <w:rsid w:val="00A36A1E"/>
    <w:rsid w:val="00A376D8"/>
    <w:rsid w:val="00A37AA9"/>
    <w:rsid w:val="00A37C8A"/>
    <w:rsid w:val="00A415DC"/>
    <w:rsid w:val="00A41A64"/>
    <w:rsid w:val="00A44AB4"/>
    <w:rsid w:val="00A44B19"/>
    <w:rsid w:val="00A50A15"/>
    <w:rsid w:val="00A55D2B"/>
    <w:rsid w:val="00A56DE5"/>
    <w:rsid w:val="00A643E9"/>
    <w:rsid w:val="00A657AE"/>
    <w:rsid w:val="00A65D55"/>
    <w:rsid w:val="00A662D0"/>
    <w:rsid w:val="00A667A6"/>
    <w:rsid w:val="00A70296"/>
    <w:rsid w:val="00A70D31"/>
    <w:rsid w:val="00A750E4"/>
    <w:rsid w:val="00A76C08"/>
    <w:rsid w:val="00A77E25"/>
    <w:rsid w:val="00A8217A"/>
    <w:rsid w:val="00A825E0"/>
    <w:rsid w:val="00A85328"/>
    <w:rsid w:val="00A872BC"/>
    <w:rsid w:val="00A900D4"/>
    <w:rsid w:val="00A942A9"/>
    <w:rsid w:val="00A97A7B"/>
    <w:rsid w:val="00AA241A"/>
    <w:rsid w:val="00AA252C"/>
    <w:rsid w:val="00AA5254"/>
    <w:rsid w:val="00AA797C"/>
    <w:rsid w:val="00AB2765"/>
    <w:rsid w:val="00AB37A0"/>
    <w:rsid w:val="00AC46F3"/>
    <w:rsid w:val="00AC7031"/>
    <w:rsid w:val="00AD073C"/>
    <w:rsid w:val="00AE1FE2"/>
    <w:rsid w:val="00AE5A98"/>
    <w:rsid w:val="00AF3065"/>
    <w:rsid w:val="00AF3649"/>
    <w:rsid w:val="00AF541B"/>
    <w:rsid w:val="00AF71CC"/>
    <w:rsid w:val="00B107D6"/>
    <w:rsid w:val="00B16831"/>
    <w:rsid w:val="00B168B4"/>
    <w:rsid w:val="00B17612"/>
    <w:rsid w:val="00B2185F"/>
    <w:rsid w:val="00B22493"/>
    <w:rsid w:val="00B3049C"/>
    <w:rsid w:val="00B315F7"/>
    <w:rsid w:val="00B31D50"/>
    <w:rsid w:val="00B31F7C"/>
    <w:rsid w:val="00B336CE"/>
    <w:rsid w:val="00B35147"/>
    <w:rsid w:val="00B36314"/>
    <w:rsid w:val="00B36E2F"/>
    <w:rsid w:val="00B40832"/>
    <w:rsid w:val="00B40BEA"/>
    <w:rsid w:val="00B425A5"/>
    <w:rsid w:val="00B44E08"/>
    <w:rsid w:val="00B47833"/>
    <w:rsid w:val="00B500B2"/>
    <w:rsid w:val="00B5345B"/>
    <w:rsid w:val="00B538FB"/>
    <w:rsid w:val="00B60892"/>
    <w:rsid w:val="00B60962"/>
    <w:rsid w:val="00B63DCC"/>
    <w:rsid w:val="00B67FB2"/>
    <w:rsid w:val="00B71649"/>
    <w:rsid w:val="00B732A2"/>
    <w:rsid w:val="00B73822"/>
    <w:rsid w:val="00B8619F"/>
    <w:rsid w:val="00B87B45"/>
    <w:rsid w:val="00B91F05"/>
    <w:rsid w:val="00B9276B"/>
    <w:rsid w:val="00B96D51"/>
    <w:rsid w:val="00BA022C"/>
    <w:rsid w:val="00BA113C"/>
    <w:rsid w:val="00BB293F"/>
    <w:rsid w:val="00BB4518"/>
    <w:rsid w:val="00BB46FD"/>
    <w:rsid w:val="00BB5E3C"/>
    <w:rsid w:val="00BC0A27"/>
    <w:rsid w:val="00BC5249"/>
    <w:rsid w:val="00BC6026"/>
    <w:rsid w:val="00BC6E4E"/>
    <w:rsid w:val="00BC7617"/>
    <w:rsid w:val="00BD2E44"/>
    <w:rsid w:val="00BD4111"/>
    <w:rsid w:val="00BE0888"/>
    <w:rsid w:val="00BE20FC"/>
    <w:rsid w:val="00BE2A6F"/>
    <w:rsid w:val="00BE5094"/>
    <w:rsid w:val="00BE7042"/>
    <w:rsid w:val="00BE79A2"/>
    <w:rsid w:val="00BF0A60"/>
    <w:rsid w:val="00BF1452"/>
    <w:rsid w:val="00BF23AA"/>
    <w:rsid w:val="00BF271C"/>
    <w:rsid w:val="00C00D2A"/>
    <w:rsid w:val="00C05F29"/>
    <w:rsid w:val="00C0692D"/>
    <w:rsid w:val="00C07543"/>
    <w:rsid w:val="00C1322E"/>
    <w:rsid w:val="00C1387F"/>
    <w:rsid w:val="00C13A7C"/>
    <w:rsid w:val="00C143AB"/>
    <w:rsid w:val="00C1720A"/>
    <w:rsid w:val="00C22748"/>
    <w:rsid w:val="00C25FBA"/>
    <w:rsid w:val="00C3483E"/>
    <w:rsid w:val="00C43E83"/>
    <w:rsid w:val="00C46089"/>
    <w:rsid w:val="00C46117"/>
    <w:rsid w:val="00C47CE7"/>
    <w:rsid w:val="00C47DD1"/>
    <w:rsid w:val="00C50456"/>
    <w:rsid w:val="00C51BE8"/>
    <w:rsid w:val="00C5649C"/>
    <w:rsid w:val="00C61C04"/>
    <w:rsid w:val="00C63AF0"/>
    <w:rsid w:val="00C651DB"/>
    <w:rsid w:val="00C707DF"/>
    <w:rsid w:val="00C736DE"/>
    <w:rsid w:val="00C73B25"/>
    <w:rsid w:val="00C80921"/>
    <w:rsid w:val="00C83E19"/>
    <w:rsid w:val="00C8576C"/>
    <w:rsid w:val="00C85ADD"/>
    <w:rsid w:val="00C872C2"/>
    <w:rsid w:val="00C87642"/>
    <w:rsid w:val="00C876DB"/>
    <w:rsid w:val="00C9216C"/>
    <w:rsid w:val="00C95E50"/>
    <w:rsid w:val="00C979A2"/>
    <w:rsid w:val="00CA032A"/>
    <w:rsid w:val="00CA165C"/>
    <w:rsid w:val="00CA2B86"/>
    <w:rsid w:val="00CA2C22"/>
    <w:rsid w:val="00CA4153"/>
    <w:rsid w:val="00CA538E"/>
    <w:rsid w:val="00CA60A8"/>
    <w:rsid w:val="00CA6D5D"/>
    <w:rsid w:val="00CA79D6"/>
    <w:rsid w:val="00CB064A"/>
    <w:rsid w:val="00CB0678"/>
    <w:rsid w:val="00CB5827"/>
    <w:rsid w:val="00CC070A"/>
    <w:rsid w:val="00CC4E1E"/>
    <w:rsid w:val="00CD0002"/>
    <w:rsid w:val="00CD0064"/>
    <w:rsid w:val="00CD08E6"/>
    <w:rsid w:val="00CD1160"/>
    <w:rsid w:val="00CD5D41"/>
    <w:rsid w:val="00CE0EE2"/>
    <w:rsid w:val="00CE4936"/>
    <w:rsid w:val="00CE62DC"/>
    <w:rsid w:val="00CF083E"/>
    <w:rsid w:val="00CF467B"/>
    <w:rsid w:val="00CF4BD3"/>
    <w:rsid w:val="00CF57FE"/>
    <w:rsid w:val="00CF5E2C"/>
    <w:rsid w:val="00CF63D5"/>
    <w:rsid w:val="00CF6AF7"/>
    <w:rsid w:val="00D052DE"/>
    <w:rsid w:val="00D05B83"/>
    <w:rsid w:val="00D0734D"/>
    <w:rsid w:val="00D07AF2"/>
    <w:rsid w:val="00D13845"/>
    <w:rsid w:val="00D147D2"/>
    <w:rsid w:val="00D16387"/>
    <w:rsid w:val="00D20840"/>
    <w:rsid w:val="00D227B1"/>
    <w:rsid w:val="00D23D7B"/>
    <w:rsid w:val="00D274FD"/>
    <w:rsid w:val="00D34C47"/>
    <w:rsid w:val="00D413F1"/>
    <w:rsid w:val="00D554AF"/>
    <w:rsid w:val="00D56FE1"/>
    <w:rsid w:val="00D578F6"/>
    <w:rsid w:val="00D608FD"/>
    <w:rsid w:val="00D60D89"/>
    <w:rsid w:val="00D62679"/>
    <w:rsid w:val="00D63915"/>
    <w:rsid w:val="00D64B4D"/>
    <w:rsid w:val="00D66CCE"/>
    <w:rsid w:val="00D6759C"/>
    <w:rsid w:val="00D711C8"/>
    <w:rsid w:val="00D71A95"/>
    <w:rsid w:val="00D727CF"/>
    <w:rsid w:val="00D755B0"/>
    <w:rsid w:val="00D75B7A"/>
    <w:rsid w:val="00D7631C"/>
    <w:rsid w:val="00D85DC8"/>
    <w:rsid w:val="00D91D6F"/>
    <w:rsid w:val="00D91D9A"/>
    <w:rsid w:val="00DA457D"/>
    <w:rsid w:val="00DA4956"/>
    <w:rsid w:val="00DB2B66"/>
    <w:rsid w:val="00DB5857"/>
    <w:rsid w:val="00DB65B5"/>
    <w:rsid w:val="00DC1037"/>
    <w:rsid w:val="00DC109F"/>
    <w:rsid w:val="00DC286C"/>
    <w:rsid w:val="00DC3035"/>
    <w:rsid w:val="00DC3E3A"/>
    <w:rsid w:val="00DC5F40"/>
    <w:rsid w:val="00DD08A2"/>
    <w:rsid w:val="00DD1A8B"/>
    <w:rsid w:val="00DD2C52"/>
    <w:rsid w:val="00DD4052"/>
    <w:rsid w:val="00DD422B"/>
    <w:rsid w:val="00DD45B1"/>
    <w:rsid w:val="00DD68A2"/>
    <w:rsid w:val="00DD74AF"/>
    <w:rsid w:val="00DE0D99"/>
    <w:rsid w:val="00DE1FB4"/>
    <w:rsid w:val="00DE50C0"/>
    <w:rsid w:val="00DF484A"/>
    <w:rsid w:val="00DF50AB"/>
    <w:rsid w:val="00DF7D0B"/>
    <w:rsid w:val="00E013FD"/>
    <w:rsid w:val="00E021FB"/>
    <w:rsid w:val="00E074A9"/>
    <w:rsid w:val="00E14047"/>
    <w:rsid w:val="00E16C5D"/>
    <w:rsid w:val="00E23B60"/>
    <w:rsid w:val="00E24B39"/>
    <w:rsid w:val="00E30043"/>
    <w:rsid w:val="00E33EED"/>
    <w:rsid w:val="00E35368"/>
    <w:rsid w:val="00E356FF"/>
    <w:rsid w:val="00E41048"/>
    <w:rsid w:val="00E43CDD"/>
    <w:rsid w:val="00E45840"/>
    <w:rsid w:val="00E46C99"/>
    <w:rsid w:val="00E4774B"/>
    <w:rsid w:val="00E54DD3"/>
    <w:rsid w:val="00E57979"/>
    <w:rsid w:val="00E6257C"/>
    <w:rsid w:val="00E62727"/>
    <w:rsid w:val="00E64BCC"/>
    <w:rsid w:val="00E65AB1"/>
    <w:rsid w:val="00E677CC"/>
    <w:rsid w:val="00E711C6"/>
    <w:rsid w:val="00E739D0"/>
    <w:rsid w:val="00E75A08"/>
    <w:rsid w:val="00E80AE3"/>
    <w:rsid w:val="00E80DE4"/>
    <w:rsid w:val="00E829A6"/>
    <w:rsid w:val="00E82E8C"/>
    <w:rsid w:val="00E846AA"/>
    <w:rsid w:val="00E9192C"/>
    <w:rsid w:val="00E92609"/>
    <w:rsid w:val="00E932B1"/>
    <w:rsid w:val="00E94F70"/>
    <w:rsid w:val="00E96510"/>
    <w:rsid w:val="00E97A4E"/>
    <w:rsid w:val="00EA30B7"/>
    <w:rsid w:val="00EA4BFD"/>
    <w:rsid w:val="00EA50EC"/>
    <w:rsid w:val="00EB1FBF"/>
    <w:rsid w:val="00EB2339"/>
    <w:rsid w:val="00EB455C"/>
    <w:rsid w:val="00EB4831"/>
    <w:rsid w:val="00EB6E8F"/>
    <w:rsid w:val="00EB7FC3"/>
    <w:rsid w:val="00EC1DED"/>
    <w:rsid w:val="00EC3E5E"/>
    <w:rsid w:val="00EC7374"/>
    <w:rsid w:val="00ED5292"/>
    <w:rsid w:val="00EE2108"/>
    <w:rsid w:val="00EE3681"/>
    <w:rsid w:val="00EE6E63"/>
    <w:rsid w:val="00EE6FBF"/>
    <w:rsid w:val="00EE7B28"/>
    <w:rsid w:val="00F02A9F"/>
    <w:rsid w:val="00F0481B"/>
    <w:rsid w:val="00F05D97"/>
    <w:rsid w:val="00F06ADE"/>
    <w:rsid w:val="00F100F6"/>
    <w:rsid w:val="00F107AC"/>
    <w:rsid w:val="00F10F36"/>
    <w:rsid w:val="00F125A3"/>
    <w:rsid w:val="00F21CBC"/>
    <w:rsid w:val="00F2470E"/>
    <w:rsid w:val="00F24B93"/>
    <w:rsid w:val="00F26973"/>
    <w:rsid w:val="00F3100F"/>
    <w:rsid w:val="00F337F9"/>
    <w:rsid w:val="00F47149"/>
    <w:rsid w:val="00F50AC6"/>
    <w:rsid w:val="00F5303F"/>
    <w:rsid w:val="00F5353E"/>
    <w:rsid w:val="00F555C5"/>
    <w:rsid w:val="00F562FB"/>
    <w:rsid w:val="00F60F69"/>
    <w:rsid w:val="00F64842"/>
    <w:rsid w:val="00F65EB6"/>
    <w:rsid w:val="00F71C6D"/>
    <w:rsid w:val="00F72610"/>
    <w:rsid w:val="00F753D8"/>
    <w:rsid w:val="00F76BFE"/>
    <w:rsid w:val="00F80201"/>
    <w:rsid w:val="00F8023B"/>
    <w:rsid w:val="00F848EA"/>
    <w:rsid w:val="00F84F47"/>
    <w:rsid w:val="00F85E57"/>
    <w:rsid w:val="00F92EB0"/>
    <w:rsid w:val="00FA0B9B"/>
    <w:rsid w:val="00FA104E"/>
    <w:rsid w:val="00FA1EF6"/>
    <w:rsid w:val="00FA209F"/>
    <w:rsid w:val="00FA59BA"/>
    <w:rsid w:val="00FB4A44"/>
    <w:rsid w:val="00FB766A"/>
    <w:rsid w:val="00FC13C3"/>
    <w:rsid w:val="00FC6588"/>
    <w:rsid w:val="00FC7C0E"/>
    <w:rsid w:val="00FD2D0C"/>
    <w:rsid w:val="00FD345D"/>
    <w:rsid w:val="00FD67FD"/>
    <w:rsid w:val="00FD7B74"/>
    <w:rsid w:val="00FE12E5"/>
    <w:rsid w:val="00FE2832"/>
    <w:rsid w:val="00FE434B"/>
    <w:rsid w:val="00FE66E3"/>
    <w:rsid w:val="00FE6716"/>
    <w:rsid w:val="00FE68C5"/>
    <w:rsid w:val="00FF235C"/>
    <w:rsid w:val="00FF3ACB"/>
    <w:rsid w:val="00FF4D8E"/>
    <w:rsid w:val="00FF4F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11F1E383"/>
  <w15:chartTrackingRefBased/>
  <w15:docId w15:val="{D6370C9B-0D6E-4945-AA62-5A6A7B8CA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page number" w:uiPriority="99"/>
    <w:lsdException w:name="Title" w:uiPriority="10"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jc w:val="both"/>
    </w:pPr>
    <w:rPr>
      <w:sz w:val="24"/>
    </w:rPr>
  </w:style>
  <w:style w:type="paragraph" w:styleId="Heading1">
    <w:name w:val="heading 1"/>
    <w:basedOn w:val="Normal"/>
    <w:next w:val="Normal"/>
    <w:link w:val="Heading1Char"/>
    <w:uiPriority w:val="9"/>
    <w:qFormat/>
    <w:pPr>
      <w:keepNext/>
      <w:numPr>
        <w:numId w:val="7"/>
      </w:numPr>
      <w:spacing w:before="360"/>
      <w:outlineLvl w:val="0"/>
    </w:pPr>
    <w:rPr>
      <w:b/>
      <w:smallCaps/>
    </w:rPr>
  </w:style>
  <w:style w:type="paragraph" w:styleId="Heading2">
    <w:name w:val="heading 2"/>
    <w:basedOn w:val="Normal"/>
    <w:next w:val="Normal"/>
    <w:link w:val="Heading2Char"/>
    <w:uiPriority w:val="9"/>
    <w:qFormat/>
    <w:pPr>
      <w:keepNext/>
      <w:numPr>
        <w:ilvl w:val="1"/>
        <w:numId w:val="7"/>
      </w:numPr>
      <w:outlineLvl w:val="1"/>
    </w:pPr>
    <w:rPr>
      <w:b/>
    </w:rPr>
  </w:style>
  <w:style w:type="paragraph" w:styleId="Heading3">
    <w:name w:val="heading 3"/>
    <w:basedOn w:val="Normal"/>
    <w:next w:val="Normal"/>
    <w:link w:val="Heading3Char"/>
    <w:uiPriority w:val="9"/>
    <w:qFormat/>
    <w:pPr>
      <w:keepNext/>
      <w:numPr>
        <w:ilvl w:val="2"/>
        <w:numId w:val="7"/>
      </w:numPr>
      <w:spacing w:before="0"/>
      <w:outlineLvl w:val="2"/>
    </w:pPr>
    <w:rPr>
      <w:i/>
    </w:rPr>
  </w:style>
  <w:style w:type="paragraph" w:styleId="Heading4">
    <w:name w:val="heading 4"/>
    <w:basedOn w:val="Normal"/>
    <w:next w:val="Normal"/>
    <w:qFormat/>
    <w:pPr>
      <w:keepNext/>
      <w:numPr>
        <w:ilvl w:val="3"/>
        <w:numId w:val="7"/>
      </w:numPr>
      <w:outlineLvl w:val="3"/>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compagnant">
    <w:name w:val="Accompagnant"/>
    <w:basedOn w:val="Normal"/>
    <w:next w:val="Normal"/>
    <w:pPr>
      <w:spacing w:before="0" w:after="240"/>
      <w:jc w:val="center"/>
    </w:pPr>
    <w:rPr>
      <w:b/>
      <w:i/>
    </w:rPr>
  </w:style>
  <w:style w:type="paragraph" w:customStyle="1" w:styleId="AccompagnantPagedecouverture">
    <w:name w:val="Accompagnant (Page de couverture)"/>
    <w:basedOn w:val="Accompagnant"/>
    <w:next w:val="Normal"/>
  </w:style>
  <w:style w:type="character" w:customStyle="1" w:styleId="Added">
    <w:name w:val="Added"/>
    <w:rPr>
      <w:b/>
      <w:u w:val="single"/>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Annexetitre">
    <w:name w:val="Annexe titre"/>
    <w:basedOn w:val="Normal"/>
    <w:next w:val="Normal"/>
    <w:pPr>
      <w:jc w:val="center"/>
    </w:pPr>
    <w:rPr>
      <w:b/>
      <w:u w:val="single"/>
    </w:rPr>
  </w:style>
  <w:style w:type="paragraph" w:customStyle="1" w:styleId="Annexetitreexpos">
    <w:name w:val="Annexe titre (exposé)"/>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Normal"/>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Bullet0">
    <w:name w:val="Bullet 0"/>
    <w:basedOn w:val="Normal"/>
    <w:pPr>
      <w:numPr>
        <w:numId w:val="1"/>
      </w:numPr>
    </w:pPr>
  </w:style>
  <w:style w:type="paragraph" w:customStyle="1" w:styleId="Bullet1">
    <w:name w:val="Bullet 1"/>
    <w:basedOn w:val="Normal"/>
    <w:pPr>
      <w:numPr>
        <w:numId w:val="2"/>
      </w:numPr>
    </w:pPr>
  </w:style>
  <w:style w:type="paragraph" w:customStyle="1" w:styleId="Bullet2">
    <w:name w:val="Bullet 2"/>
    <w:basedOn w:val="Normal"/>
    <w:pPr>
      <w:numPr>
        <w:numId w:val="3"/>
      </w:numPr>
    </w:pPr>
  </w:style>
  <w:style w:type="paragraph" w:customStyle="1" w:styleId="Bullet3">
    <w:name w:val="Bullet 3"/>
    <w:basedOn w:val="Normal"/>
    <w:pPr>
      <w:numPr>
        <w:numId w:val="4"/>
      </w:numPr>
    </w:pPr>
  </w:style>
  <w:style w:type="paragraph" w:customStyle="1" w:styleId="Bullet4">
    <w:name w:val="Bullet 4"/>
    <w:basedOn w:val="Normal"/>
    <w:pPr>
      <w:numPr>
        <w:numId w:val="5"/>
      </w:numPr>
    </w:pPr>
  </w:style>
  <w:style w:type="paragraph" w:customStyle="1" w:styleId="ChapterTitle">
    <w:name w:val="ChapterTitle"/>
    <w:basedOn w:val="Normal"/>
    <w:next w:val="Normal"/>
    <w:pPr>
      <w:keepNext/>
      <w:spacing w:after="360"/>
      <w:jc w:val="center"/>
    </w:pPr>
    <w:rPr>
      <w:b/>
      <w:sz w:val="32"/>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Normal"/>
    <w:pPr>
      <w:spacing w:before="240" w:after="240"/>
      <w:ind w:left="5103"/>
    </w:pPr>
    <w:rPr>
      <w:u w:val="single"/>
    </w:rPr>
  </w:style>
  <w:style w:type="paragraph" w:customStyle="1" w:styleId="Considrant">
    <w:name w:val="Considérant"/>
    <w:basedOn w:val="Normal"/>
    <w:pPr>
      <w:numPr>
        <w:numId w:val="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Normal"/>
    <w:pPr>
      <w:spacing w:before="360" w:after="0"/>
      <w:jc w:val="center"/>
    </w:pPr>
    <w:rPr>
      <w:b/>
    </w:rPr>
  </w:style>
  <w:style w:type="paragraph" w:customStyle="1" w:styleId="DatedadoptionPagedecouverture">
    <w:name w:val="Date d'adoption (Page de couverture)"/>
    <w:basedOn w:val="Datedadoption"/>
    <w:next w:val="Normal"/>
  </w:style>
  <w:style w:type="character" w:customStyle="1" w:styleId="Deleted">
    <w:name w:val="Deleted"/>
    <w:rPr>
      <w:strike/>
      <w:shd w:val="clear" w:color="auto" w:fill="auto"/>
    </w:rPr>
  </w:style>
  <w:style w:type="paragraph" w:customStyle="1" w:styleId="Emission">
    <w:name w:val="Emission"/>
    <w:basedOn w:val="Normal"/>
    <w:next w:val="Normal"/>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Normal"/>
    <w:pPr>
      <w:keepNext/>
      <w:spacing w:after="0"/>
    </w:pPr>
  </w:style>
  <w:style w:type="paragraph" w:customStyle="1" w:styleId="Fichefinanciretitre">
    <w:name w:val="Fiche financière titre"/>
    <w:basedOn w:val="Normal"/>
    <w:next w:val="Normal"/>
    <w:pPr>
      <w:jc w:val="center"/>
    </w:pPr>
    <w:rPr>
      <w:b/>
      <w:u w:val="single"/>
    </w:rPr>
  </w:style>
  <w:style w:type="paragraph" w:styleId="Footer">
    <w:name w:val="footer"/>
    <w:basedOn w:val="Normal"/>
    <w:link w:val="FooterChar"/>
    <w:uiPriority w:val="99"/>
    <w:pPr>
      <w:tabs>
        <w:tab w:val="center" w:pos="4535"/>
        <w:tab w:val="right" w:pos="9071"/>
        <w:tab w:val="right" w:pos="9921"/>
      </w:tabs>
      <w:spacing w:before="360" w:after="0"/>
      <w:ind w:left="-850" w:right="-850"/>
      <w:jc w:val="left"/>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rPr>
      <w:shd w:val="clear" w:color="auto" w:fill="auto"/>
      <w:vertAlign w:val="superscript"/>
    </w:rPr>
  </w:style>
  <w:style w:type="paragraph" w:styleId="FootnoteText">
    <w:name w:val="footnote text"/>
    <w:basedOn w:val="Normal"/>
    <w:link w:val="FootnoteTextChar"/>
    <w:pPr>
      <w:spacing w:before="0" w:after="0"/>
      <w:ind w:left="720" w:hanging="720"/>
    </w:pPr>
    <w:rPr>
      <w:sz w:val="20"/>
    </w:rPr>
  </w:style>
  <w:style w:type="paragraph" w:customStyle="1" w:styleId="Formuledadoption">
    <w:name w:val="Formule d'adoption"/>
    <w:basedOn w:val="Normal"/>
    <w:next w:val="Normal"/>
    <w:pPr>
      <w:keepNext/>
    </w:pPr>
  </w:style>
  <w:style w:type="paragraph" w:styleId="Header">
    <w:name w:val="header"/>
    <w:basedOn w:val="Normal"/>
    <w:link w:val="HeaderChar"/>
    <w:uiPriority w:val="99"/>
    <w:pPr>
      <w:tabs>
        <w:tab w:val="center" w:pos="4535"/>
        <w:tab w:val="right" w:pos="9071"/>
      </w:tabs>
    </w:pPr>
  </w:style>
  <w:style w:type="paragraph" w:customStyle="1" w:styleId="HeaderLandscape">
    <w:name w:val="HeaderLandscape"/>
    <w:basedOn w:val="Normal"/>
    <w:pPr>
      <w:tabs>
        <w:tab w:val="center" w:pos="7285"/>
        <w:tab w:val="right" w:pos="14003"/>
      </w:tabs>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Normal"/>
    <w:pPr>
      <w:keepNext/>
      <w:tabs>
        <w:tab w:val="left" w:pos="4252"/>
      </w:tabs>
      <w:spacing w:before="720" w:after="0"/>
    </w:pPr>
    <w:rPr>
      <w:i/>
    </w:rPr>
  </w:style>
  <w:style w:type="paragraph" w:customStyle="1" w:styleId="Languesfaisantfoi">
    <w:name w:val="Langues faisant foi"/>
    <w:basedOn w:val="Normal"/>
    <w:next w:val="Normal"/>
    <w:pPr>
      <w:spacing w:before="360" w:after="0"/>
      <w:jc w:val="center"/>
    </w:pPr>
  </w:style>
  <w:style w:type="paragraph" w:customStyle="1" w:styleId="IntrtEEE">
    <w:name w:val="Intérêt EEE"/>
    <w:basedOn w:val="Languesfaisantfoi"/>
    <w:next w:val="Normal"/>
    <w:pPr>
      <w:spacing w:after="240"/>
    </w:pPr>
  </w:style>
  <w:style w:type="paragraph" w:customStyle="1" w:styleId="IntrtEEEPagedecouverture">
    <w:name w:val="Intérêt EEE (Page de couverture)"/>
    <w:basedOn w:val="IntrtEEE"/>
    <w:next w:val="Normal"/>
  </w:style>
  <w:style w:type="paragraph" w:customStyle="1" w:styleId="Langue">
    <w:name w:val="Langue"/>
    <w:basedOn w:val="Normal"/>
    <w:next w:val="Normal"/>
    <w:pPr>
      <w:framePr w:wrap="around" w:vAnchor="page" w:hAnchor="text" w:xAlign="center" w:y="14741"/>
      <w:spacing w:before="0" w:after="600"/>
      <w:jc w:val="center"/>
    </w:pPr>
    <w:rPr>
      <w:b/>
      <w:caps/>
    </w:rPr>
  </w:style>
  <w:style w:type="paragraph" w:customStyle="1" w:styleId="LanguesfaisantfoiPagedecouverture">
    <w:name w:val="Langues faisant foi (Page de couverture)"/>
    <w:basedOn w:val="Normal"/>
    <w:next w:val="Normal"/>
    <w:pPr>
      <w:spacing w:before="360" w:after="0"/>
      <w:jc w:val="center"/>
    </w:pPr>
  </w:style>
  <w:style w:type="paragraph" w:customStyle="1" w:styleId="ManualConsidrant">
    <w:name w:val="Manual Considérant"/>
    <w:basedOn w:val="Normal"/>
    <w:pPr>
      <w:ind w:left="709" w:hanging="709"/>
    </w:pPr>
  </w:style>
  <w:style w:type="paragraph" w:customStyle="1" w:styleId="ManualHeading1">
    <w:name w:val="Manual Heading 1"/>
    <w:basedOn w:val="Normal"/>
    <w:next w:val="Normal"/>
    <w:pPr>
      <w:keepNext/>
      <w:tabs>
        <w:tab w:val="left" w:pos="850"/>
      </w:tabs>
      <w:spacing w:before="360"/>
      <w:ind w:left="850" w:hanging="850"/>
      <w:outlineLvl w:val="0"/>
    </w:pPr>
    <w:rPr>
      <w:b/>
      <w:smallCaps/>
    </w:rPr>
  </w:style>
  <w:style w:type="paragraph" w:customStyle="1" w:styleId="ManualHeading2">
    <w:name w:val="Manual Heading 2"/>
    <w:basedOn w:val="Normal"/>
    <w:next w:val="Normal"/>
    <w:pPr>
      <w:keepNext/>
      <w:tabs>
        <w:tab w:val="left" w:pos="850"/>
      </w:tabs>
      <w:ind w:left="850" w:hanging="850"/>
      <w:outlineLvl w:val="1"/>
    </w:pPr>
    <w:rPr>
      <w:b/>
    </w:rPr>
  </w:style>
  <w:style w:type="paragraph" w:customStyle="1" w:styleId="ManualHeading3">
    <w:name w:val="Manual Heading 3"/>
    <w:basedOn w:val="Normal"/>
    <w:next w:val="Normal"/>
    <w:pPr>
      <w:keepNext/>
      <w:tabs>
        <w:tab w:val="left" w:pos="850"/>
      </w:tabs>
      <w:ind w:left="850" w:hanging="850"/>
      <w:outlineLvl w:val="2"/>
    </w:pPr>
    <w:rPr>
      <w:i/>
    </w:rPr>
  </w:style>
  <w:style w:type="paragraph" w:customStyle="1" w:styleId="ManualHeading4">
    <w:name w:val="Manual Heading 4"/>
    <w:basedOn w:val="Normal"/>
    <w:next w:val="Normal"/>
    <w:pPr>
      <w:keepNext/>
      <w:tabs>
        <w:tab w:val="left" w:pos="850"/>
      </w:tabs>
      <w:ind w:left="850" w:hanging="850"/>
      <w:outlineLvl w:val="3"/>
    </w:pPr>
  </w:style>
  <w:style w:type="paragraph" w:customStyle="1" w:styleId="ManualNumPar1">
    <w:name w:val="Manual NumPar 1"/>
    <w:basedOn w:val="Normal"/>
    <w:next w:val="Normal"/>
    <w:pPr>
      <w:ind w:left="850" w:hanging="850"/>
    </w:pPr>
  </w:style>
  <w:style w:type="paragraph" w:customStyle="1" w:styleId="ManualNumPar2">
    <w:name w:val="Manual NumPar 2"/>
    <w:basedOn w:val="Normal"/>
    <w:next w:val="Normal"/>
    <w:pPr>
      <w:ind w:left="850" w:hanging="850"/>
    </w:pPr>
  </w:style>
  <w:style w:type="paragraph" w:customStyle="1" w:styleId="ManualNumPar3">
    <w:name w:val="Manual NumPar 3"/>
    <w:basedOn w:val="Normal"/>
    <w:next w:val="Normal"/>
    <w:pPr>
      <w:ind w:left="850" w:hanging="850"/>
    </w:pPr>
  </w:style>
  <w:style w:type="paragraph" w:customStyle="1" w:styleId="ManualNumPar4">
    <w:name w:val="Manual NumPar 4"/>
    <w:basedOn w:val="Normal"/>
    <w:next w:val="Normal"/>
    <w:pPr>
      <w:ind w:left="850" w:hanging="850"/>
    </w:pPr>
  </w:style>
  <w:style w:type="character" w:customStyle="1" w:styleId="Marker">
    <w:name w:val="Marker"/>
    <w:rPr>
      <w:color w:val="0000FF"/>
      <w:shd w:val="clear" w:color="auto" w:fill="auto"/>
    </w:rPr>
  </w:style>
  <w:style w:type="character" w:customStyle="1" w:styleId="Marker1">
    <w:name w:val="Marker1"/>
    <w:rPr>
      <w:color w:val="008000"/>
      <w:shd w:val="clear" w:color="auto" w:fill="auto"/>
    </w:rPr>
  </w:style>
  <w:style w:type="character" w:customStyle="1" w:styleId="Marker2">
    <w:name w:val="Marker2"/>
    <w:rPr>
      <w:color w:val="FF0000"/>
      <w:shd w:val="clear" w:color="auto" w:fill="auto"/>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NumPar1">
    <w:name w:val="NumPar 1"/>
    <w:basedOn w:val="Normal"/>
    <w:next w:val="Normal"/>
    <w:pPr>
      <w:numPr>
        <w:numId w:val="8"/>
      </w:numPr>
    </w:pPr>
  </w:style>
  <w:style w:type="paragraph" w:customStyle="1" w:styleId="NumPar2">
    <w:name w:val="NumPar 2"/>
    <w:basedOn w:val="Normal"/>
    <w:next w:val="Normal"/>
    <w:pPr>
      <w:numPr>
        <w:ilvl w:val="1"/>
        <w:numId w:val="8"/>
      </w:numPr>
    </w:pPr>
  </w:style>
  <w:style w:type="paragraph" w:customStyle="1" w:styleId="NumPar3">
    <w:name w:val="NumPar 3"/>
    <w:basedOn w:val="Normal"/>
    <w:next w:val="Normal"/>
    <w:pPr>
      <w:numPr>
        <w:ilvl w:val="2"/>
        <w:numId w:val="8"/>
      </w:numPr>
    </w:pPr>
  </w:style>
  <w:style w:type="paragraph" w:customStyle="1" w:styleId="NumPar4">
    <w:name w:val="NumPar 4"/>
    <w:basedOn w:val="Normal"/>
    <w:next w:val="Normal"/>
    <w:pPr>
      <w:numPr>
        <w:ilvl w:val="3"/>
        <w:numId w:val="8"/>
      </w:numPr>
    </w:pPr>
  </w:style>
  <w:style w:type="paragraph" w:customStyle="1" w:styleId="Objetacteprincipal">
    <w:name w:val="Objet acte principal"/>
    <w:basedOn w:val="Normal"/>
    <w:next w:val="Normal"/>
    <w:pPr>
      <w:spacing w:before="0" w:after="360"/>
      <w:jc w:val="center"/>
    </w:pPr>
    <w:rPr>
      <w:b/>
    </w:rPr>
  </w:style>
  <w:style w:type="paragraph" w:customStyle="1" w:styleId="ObjetacteprincipalPagedecouverture">
    <w:name w:val="Objet acte principal (Page de couverture)"/>
    <w:basedOn w:val="Objetacteprincipal"/>
    <w:next w:val="Normal"/>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style>
  <w:style w:type="paragraph" w:customStyle="1" w:styleId="PartTitle">
    <w:name w:val="PartTitle"/>
    <w:basedOn w:val="Normal"/>
    <w:next w:val="ChapterTitle"/>
    <w:pPr>
      <w:keepNext/>
      <w:pageBreakBefore/>
      <w:spacing w:after="360"/>
      <w:jc w:val="center"/>
    </w:pPr>
    <w:rPr>
      <w:b/>
      <w:sz w:val="36"/>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Point0">
    <w:name w:val="Point 0"/>
    <w:basedOn w:val="Normal"/>
    <w:pPr>
      <w:ind w:left="850" w:hanging="850"/>
    </w:pPr>
  </w:style>
  <w:style w:type="paragraph" w:customStyle="1" w:styleId="Point0letter">
    <w:name w:val="Point 0 (letter)"/>
    <w:basedOn w:val="Normal"/>
    <w:pPr>
      <w:numPr>
        <w:ilvl w:val="1"/>
        <w:numId w:val="9"/>
      </w:numPr>
    </w:pPr>
  </w:style>
  <w:style w:type="paragraph" w:customStyle="1" w:styleId="Point0number">
    <w:name w:val="Point 0 (number)"/>
    <w:basedOn w:val="Normal"/>
    <w:pPr>
      <w:numPr>
        <w:numId w:val="9"/>
      </w:numPr>
    </w:pPr>
  </w:style>
  <w:style w:type="paragraph" w:customStyle="1" w:styleId="Point1">
    <w:name w:val="Point 1"/>
    <w:basedOn w:val="Normal"/>
    <w:pPr>
      <w:ind w:left="1417" w:hanging="567"/>
    </w:pPr>
  </w:style>
  <w:style w:type="paragraph" w:customStyle="1" w:styleId="Point1letter">
    <w:name w:val="Point 1 (letter)"/>
    <w:basedOn w:val="Normal"/>
    <w:pPr>
      <w:numPr>
        <w:ilvl w:val="3"/>
        <w:numId w:val="9"/>
      </w:numPr>
    </w:pPr>
  </w:style>
  <w:style w:type="paragraph" w:customStyle="1" w:styleId="Point1number">
    <w:name w:val="Point 1 (number)"/>
    <w:basedOn w:val="Normal"/>
    <w:pPr>
      <w:numPr>
        <w:ilvl w:val="2"/>
        <w:numId w:val="9"/>
      </w:numPr>
    </w:pPr>
  </w:style>
  <w:style w:type="paragraph" w:customStyle="1" w:styleId="Point2">
    <w:name w:val="Point 2"/>
    <w:basedOn w:val="Normal"/>
    <w:pPr>
      <w:ind w:left="1984" w:hanging="567"/>
    </w:pPr>
  </w:style>
  <w:style w:type="paragraph" w:customStyle="1" w:styleId="Point2letter">
    <w:name w:val="Point 2 (letter)"/>
    <w:basedOn w:val="Normal"/>
    <w:pPr>
      <w:numPr>
        <w:ilvl w:val="5"/>
        <w:numId w:val="9"/>
      </w:numPr>
    </w:pPr>
  </w:style>
  <w:style w:type="paragraph" w:customStyle="1" w:styleId="Point2number">
    <w:name w:val="Point 2 (number)"/>
    <w:basedOn w:val="Normal"/>
    <w:pPr>
      <w:numPr>
        <w:ilvl w:val="4"/>
        <w:numId w:val="9"/>
      </w:numPr>
    </w:pPr>
  </w:style>
  <w:style w:type="paragraph" w:customStyle="1" w:styleId="Point3">
    <w:name w:val="Point 3"/>
    <w:basedOn w:val="Normal"/>
    <w:pPr>
      <w:ind w:left="2551" w:hanging="567"/>
    </w:pPr>
  </w:style>
  <w:style w:type="paragraph" w:customStyle="1" w:styleId="Point3letter">
    <w:name w:val="Point 3 (letter)"/>
    <w:basedOn w:val="Normal"/>
    <w:pPr>
      <w:numPr>
        <w:ilvl w:val="7"/>
        <w:numId w:val="9"/>
      </w:numPr>
    </w:pPr>
  </w:style>
  <w:style w:type="paragraph" w:customStyle="1" w:styleId="Point3number">
    <w:name w:val="Point 3 (number)"/>
    <w:basedOn w:val="Normal"/>
    <w:pPr>
      <w:numPr>
        <w:ilvl w:val="6"/>
        <w:numId w:val="9"/>
      </w:numPr>
    </w:pPr>
  </w:style>
  <w:style w:type="paragraph" w:customStyle="1" w:styleId="Point4">
    <w:name w:val="Point 4"/>
    <w:basedOn w:val="Normal"/>
    <w:pPr>
      <w:ind w:left="3118" w:hanging="567"/>
    </w:pPr>
  </w:style>
  <w:style w:type="paragraph" w:customStyle="1" w:styleId="Point4letter">
    <w:name w:val="Point 4 (letter)"/>
    <w:basedOn w:val="Normal"/>
    <w:pPr>
      <w:numPr>
        <w:ilvl w:val="8"/>
        <w:numId w:val="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QuotedNumPar">
    <w:name w:val="Quoted NumPar"/>
    <w:basedOn w:val="Normal"/>
    <w:pPr>
      <w:ind w:left="1417" w:hanging="567"/>
    </w:pPr>
  </w:style>
  <w:style w:type="paragraph" w:customStyle="1" w:styleId="QuotedText">
    <w:name w:val="Quoted Text"/>
    <w:basedOn w:val="Normal"/>
    <w:pPr>
      <w:ind w:left="1417"/>
    </w:pPr>
  </w:style>
  <w:style w:type="paragraph" w:customStyle="1" w:styleId="Rfrencecroise">
    <w:name w:val="Référence croisée"/>
    <w:basedOn w:val="Normal"/>
    <w:pPr>
      <w:spacing w:before="0" w:after="0"/>
      <w:jc w:val="center"/>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Normal"/>
    <w:pPr>
      <w:spacing w:before="0" w:after="0"/>
      <w:ind w:left="5103"/>
      <w:jc w:val="left"/>
    </w:pPr>
  </w:style>
  <w:style w:type="paragraph" w:customStyle="1" w:styleId="RfrenceinterinstitutionnellePagedecouverture">
    <w:name w:val="Référence interinstitutionnelle (Page de couverture)"/>
    <w:basedOn w:val="Rfrenceinterinstitutionnelle"/>
    <w:next w:val="Confidentialit"/>
  </w:style>
  <w:style w:type="paragraph" w:customStyle="1" w:styleId="Rfrenceinterne">
    <w:name w:val="Référence interne"/>
    <w:basedOn w:val="Normal"/>
    <w:next w:val="Rfrenceinterinstitutionnelle"/>
    <w:pPr>
      <w:spacing w:before="0" w:after="0"/>
      <w:ind w:left="5103"/>
      <w:jc w:val="left"/>
    </w:pPr>
  </w:style>
  <w:style w:type="paragraph" w:customStyle="1" w:styleId="SectionTitle">
    <w:name w:val="SectionTitle"/>
    <w:basedOn w:val="Normal"/>
    <w:next w:val="Heading1"/>
    <w:pPr>
      <w:keepNext/>
      <w:spacing w:after="360"/>
      <w:jc w:val="center"/>
    </w:pPr>
    <w:rPr>
      <w:b/>
      <w:smallCaps/>
      <w:sz w:val="28"/>
    </w:rPr>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paragraph" w:customStyle="1" w:styleId="Statut">
    <w:name w:val="Statut"/>
    <w:basedOn w:val="Normal"/>
    <w:next w:val="Normal"/>
    <w:pPr>
      <w:spacing w:before="360" w:after="0"/>
      <w:jc w:val="center"/>
    </w:pPr>
  </w:style>
  <w:style w:type="paragraph" w:customStyle="1" w:styleId="StatutPagedecouverture">
    <w:name w:val="Statut (Page de couverture)"/>
    <w:basedOn w:val="Statut"/>
    <w:next w:val="Normal"/>
  </w:style>
  <w:style w:type="paragraph" w:customStyle="1" w:styleId="Supertitre">
    <w:name w:val="Supertitre"/>
    <w:basedOn w:val="Normal"/>
    <w:next w:val="Normal"/>
    <w:pPr>
      <w:spacing w:before="0" w:after="600"/>
      <w:jc w:val="center"/>
    </w:pPr>
    <w:rPr>
      <w:b/>
    </w:rPr>
  </w:style>
  <w:style w:type="paragraph" w:customStyle="1" w:styleId="TableTitle">
    <w:name w:val="Table Title"/>
    <w:basedOn w:val="Normal"/>
    <w:next w:val="Normal"/>
    <w:pPr>
      <w:jc w:val="center"/>
    </w:pPr>
    <w:rPr>
      <w:b/>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itreobjetPagedecouverture">
    <w:name w:val="Titre objet (Page de couverture)"/>
    <w:basedOn w:val="Titreobjet"/>
    <w:next w:val="Sous-titreobjetPagedecouverture"/>
  </w:style>
  <w:style w:type="paragraph" w:styleId="TOC1">
    <w:name w:val="toc 1"/>
    <w:basedOn w:val="Normal"/>
    <w:next w:val="Normal"/>
    <w:uiPriority w:val="39"/>
    <w:pPr>
      <w:tabs>
        <w:tab w:val="right" w:leader="dot" w:pos="9071"/>
      </w:tabs>
      <w:spacing w:before="60"/>
      <w:ind w:left="850" w:hanging="850"/>
      <w:jc w:val="left"/>
    </w:pPr>
  </w:style>
  <w:style w:type="paragraph" w:styleId="TOC2">
    <w:name w:val="toc 2"/>
    <w:basedOn w:val="Normal"/>
    <w:next w:val="Normal"/>
    <w:uiPriority w:val="39"/>
    <w:pPr>
      <w:tabs>
        <w:tab w:val="right" w:leader="dot" w:pos="9071"/>
      </w:tabs>
      <w:spacing w:before="60"/>
      <w:ind w:left="850" w:hanging="850"/>
      <w:jc w:val="left"/>
    </w:pPr>
  </w:style>
  <w:style w:type="paragraph" w:styleId="TOC3">
    <w:name w:val="toc 3"/>
    <w:basedOn w:val="Normal"/>
    <w:next w:val="Normal"/>
    <w:link w:val="TOC3Char"/>
    <w:uiPriority w:val="39"/>
    <w:pPr>
      <w:tabs>
        <w:tab w:val="right" w:leader="dot" w:pos="9071"/>
      </w:tabs>
      <w:spacing w:before="60"/>
      <w:ind w:left="850" w:hanging="850"/>
      <w:jc w:val="left"/>
    </w:pPr>
  </w:style>
  <w:style w:type="paragraph" w:styleId="TOC4">
    <w:name w:val="toc 4"/>
    <w:basedOn w:val="Normal"/>
    <w:next w:val="Normal"/>
    <w:semiHidden/>
    <w:pPr>
      <w:tabs>
        <w:tab w:val="right" w:leader="dot" w:pos="9071"/>
      </w:tabs>
      <w:spacing w:before="60"/>
      <w:ind w:left="850" w:hanging="850"/>
      <w:jc w:val="left"/>
    </w:pPr>
  </w:style>
  <w:style w:type="paragraph" w:styleId="TOC5">
    <w:name w:val="toc 5"/>
    <w:basedOn w:val="Normal"/>
    <w:next w:val="Normal"/>
    <w:semiHidden/>
    <w:pPr>
      <w:tabs>
        <w:tab w:val="right" w:leader="dot" w:pos="9071"/>
      </w:tabs>
      <w:spacing w:before="300"/>
      <w:jc w:val="left"/>
    </w:pPr>
  </w:style>
  <w:style w:type="paragraph" w:styleId="TOC6">
    <w:name w:val="toc 6"/>
    <w:basedOn w:val="Normal"/>
    <w:next w:val="Normal"/>
    <w:semiHidden/>
    <w:pPr>
      <w:tabs>
        <w:tab w:val="right" w:leader="dot" w:pos="9071"/>
      </w:tabs>
      <w:spacing w:before="240"/>
      <w:jc w:val="left"/>
    </w:pPr>
  </w:style>
  <w:style w:type="paragraph" w:styleId="TOC7">
    <w:name w:val="toc 7"/>
    <w:basedOn w:val="Normal"/>
    <w:next w:val="Normal"/>
    <w:semiHidden/>
    <w:pPr>
      <w:tabs>
        <w:tab w:val="right" w:leader="dot" w:pos="9071"/>
      </w:tabs>
      <w:spacing w:before="180"/>
      <w:jc w:val="left"/>
    </w:pPr>
  </w:style>
  <w:style w:type="paragraph" w:styleId="TOC8">
    <w:name w:val="toc 8"/>
    <w:basedOn w:val="Normal"/>
    <w:next w:val="Normal"/>
    <w:semiHidden/>
    <w:pPr>
      <w:tabs>
        <w:tab w:val="right" w:leader="dot" w:pos="9071"/>
      </w:tabs>
      <w:jc w:val="left"/>
    </w:pPr>
  </w:style>
  <w:style w:type="paragraph" w:styleId="TOC9">
    <w:name w:val="toc 9"/>
    <w:basedOn w:val="Normal"/>
    <w:next w:val="Normal"/>
    <w:semiHidden/>
    <w:pPr>
      <w:tabs>
        <w:tab w:val="right" w:leader="dot" w:pos="9071"/>
      </w:tabs>
    </w:pPr>
  </w:style>
  <w:style w:type="paragraph" w:styleId="TOCHeading">
    <w:name w:val="TOC Heading"/>
    <w:basedOn w:val="Normal"/>
    <w:next w:val="Normal"/>
    <w:uiPriority w:val="39"/>
    <w:qFormat/>
    <w:pPr>
      <w:spacing w:after="240"/>
      <w:jc w:val="center"/>
    </w:pPr>
    <w:rPr>
      <w:b/>
      <w:sz w:val="28"/>
    </w:rPr>
  </w:style>
  <w:style w:type="paragraph" w:customStyle="1" w:styleId="Typeacteprincipal">
    <w:name w:val="Type acte principal"/>
    <w:basedOn w:val="Normal"/>
    <w:next w:val="Objetacteprincipal"/>
    <w:pPr>
      <w:spacing w:before="0" w:after="240"/>
      <w:jc w:val="center"/>
    </w:pPr>
    <w:rPr>
      <w:b/>
    </w:rPr>
  </w:style>
  <w:style w:type="paragraph" w:customStyle="1" w:styleId="TypeacteprincipalPagedecouverture">
    <w:name w:val="Type acte principal (Page de couverture)"/>
    <w:basedOn w:val="Typeacteprincipal"/>
    <w:next w:val="ObjetacteprincipalPagedecouverture"/>
  </w:style>
  <w:style w:type="paragraph" w:customStyle="1" w:styleId="Typedudocument">
    <w:name w:val="Type du document"/>
    <w:basedOn w:val="Normal"/>
    <w:next w:val="Titreobjet"/>
    <w:pPr>
      <w:spacing w:before="360" w:after="0"/>
      <w:jc w:val="center"/>
    </w:pPr>
    <w:rPr>
      <w:b/>
    </w:rPr>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character" w:customStyle="1" w:styleId="Notedebasdepage">
    <w:name w:val="Note de bas de page_"/>
    <w:link w:val="Notedebasdepage0"/>
    <w:rPr>
      <w:sz w:val="19"/>
      <w:shd w:val="clear" w:color="auto" w:fill="FFFFFF"/>
    </w:rPr>
  </w:style>
  <w:style w:type="character" w:customStyle="1" w:styleId="Corpsdutexte3Exact">
    <w:name w:val="Corps du texte (3) Exact"/>
    <w:link w:val="Corpsdutexte3"/>
    <w:rPr>
      <w:rFonts w:ascii="Arial" w:eastAsia="Arial" w:hAnsi="Arial" w:cs="Arial"/>
      <w:spacing w:val="-6"/>
      <w:sz w:val="45"/>
      <w:shd w:val="clear" w:color="auto" w:fill="FFFFFF"/>
    </w:rPr>
  </w:style>
  <w:style w:type="character" w:customStyle="1" w:styleId="En-tte1Exact">
    <w:name w:val="En-tête #1 Exact"/>
    <w:link w:val="En-tte1"/>
    <w:rPr>
      <w:rFonts w:ascii="Arial" w:eastAsia="Arial" w:hAnsi="Arial" w:cs="Arial"/>
      <w:spacing w:val="-6"/>
      <w:sz w:val="45"/>
      <w:shd w:val="clear" w:color="auto" w:fill="FFFFFF"/>
    </w:rPr>
  </w:style>
  <w:style w:type="character" w:customStyle="1" w:styleId="Corpsdutexte">
    <w:name w:val="Corps du texte_"/>
    <w:link w:val="Corpsdutexte1"/>
    <w:rPr>
      <w:sz w:val="23"/>
      <w:shd w:val="clear" w:color="auto" w:fill="FFFFFF"/>
    </w:rPr>
  </w:style>
  <w:style w:type="character" w:customStyle="1" w:styleId="Corpsdutexte2">
    <w:name w:val="Corps du texte (2)_"/>
    <w:link w:val="Corpsdutexte21"/>
    <w:rPr>
      <w:sz w:val="23"/>
      <w:shd w:val="clear" w:color="auto" w:fill="FFFFFF"/>
    </w:rPr>
  </w:style>
  <w:style w:type="character" w:customStyle="1" w:styleId="Corpsdutexte20">
    <w:name w:val="Corps du texte (2)"/>
    <w:rPr>
      <w:rFonts w:ascii="Times New Roman" w:eastAsia="Times New Roman" w:hAnsi="Times New Roman" w:cs="Times New Roman"/>
      <w:b w:val="0"/>
      <w:bCs w:val="0"/>
      <w:i w:val="0"/>
      <w:iCs w:val="0"/>
      <w:smallCaps w:val="0"/>
      <w:strike w:val="0"/>
      <w:spacing w:val="0"/>
      <w:w w:val="100"/>
      <w:position w:val="0"/>
      <w:sz w:val="23"/>
      <w:u w:val="single"/>
      <w:shd w:val="clear" w:color="auto" w:fill="auto"/>
    </w:rPr>
  </w:style>
  <w:style w:type="character" w:customStyle="1" w:styleId="Corpsdutexte22">
    <w:name w:val="Corps du texte (2)2"/>
    <w:rPr>
      <w:rFonts w:ascii="Times New Roman" w:eastAsia="Times New Roman" w:hAnsi="Times New Roman" w:cs="Times New Roman"/>
      <w:b w:val="0"/>
      <w:bCs w:val="0"/>
      <w:i w:val="0"/>
      <w:iCs w:val="0"/>
      <w:smallCaps w:val="0"/>
      <w:strike w:val="0"/>
      <w:spacing w:val="0"/>
      <w:w w:val="100"/>
      <w:position w:val="0"/>
      <w:sz w:val="23"/>
      <w:u w:val="single"/>
      <w:shd w:val="clear" w:color="auto" w:fill="auto"/>
    </w:rPr>
  </w:style>
  <w:style w:type="character" w:customStyle="1" w:styleId="En-tteoupieddepage">
    <w:name w:val="En-tête ou pied de page_"/>
    <w:link w:val="En-tteoupieddepage0"/>
    <w:rPr>
      <w:shd w:val="clear" w:color="auto" w:fill="FFFFFF"/>
    </w:rPr>
  </w:style>
  <w:style w:type="character" w:customStyle="1" w:styleId="En-tteoupieddepageArial">
    <w:name w:val="En-tête ou pied de page + Arial"/>
    <w:rPr>
      <w:rFonts w:ascii="Arial" w:eastAsia="Arial" w:hAnsi="Arial" w:cs="Arial"/>
      <w:b/>
      <w:i w:val="0"/>
      <w:iCs w:val="0"/>
      <w:smallCaps w:val="0"/>
      <w:strike w:val="0"/>
      <w:spacing w:val="0"/>
      <w:w w:val="100"/>
      <w:position w:val="0"/>
      <w:sz w:val="48"/>
      <w:u w:val="none"/>
      <w:shd w:val="clear" w:color="auto" w:fill="auto"/>
    </w:rPr>
  </w:style>
  <w:style w:type="character" w:customStyle="1" w:styleId="En-tteoupieddepage11pt">
    <w:name w:val="En-tête ou pied de page + 11 pt"/>
    <w:rPr>
      <w:rFonts w:ascii="Times New Roman" w:eastAsia="Times New Roman" w:hAnsi="Times New Roman" w:cs="Times New Roman"/>
      <w:b w:val="0"/>
      <w:bCs w:val="0"/>
      <w:i w:val="0"/>
      <w:iCs w:val="0"/>
      <w:smallCaps w:val="0"/>
      <w:strike w:val="0"/>
      <w:spacing w:val="0"/>
      <w:w w:val="100"/>
      <w:position w:val="0"/>
      <w:sz w:val="22"/>
      <w:u w:val="none"/>
      <w:shd w:val="clear" w:color="auto" w:fill="auto"/>
    </w:rPr>
  </w:style>
  <w:style w:type="character" w:customStyle="1" w:styleId="En-tte2">
    <w:name w:val="En-tête #2_"/>
    <w:link w:val="En-tte20"/>
    <w:rPr>
      <w:sz w:val="27"/>
      <w:shd w:val="clear" w:color="auto" w:fill="FFFFFF"/>
    </w:rPr>
  </w:style>
  <w:style w:type="character" w:customStyle="1" w:styleId="TOC3Char">
    <w:name w:val="TOC 3 Char"/>
    <w:link w:val="TOC3"/>
    <w:uiPriority w:val="39"/>
    <w:rPr>
      <w:sz w:val="24"/>
    </w:rPr>
  </w:style>
  <w:style w:type="character" w:customStyle="1" w:styleId="En-tte32">
    <w:name w:val="En-tête #3 (2)_"/>
    <w:link w:val="En-tte320"/>
    <w:rPr>
      <w:sz w:val="23"/>
      <w:shd w:val="clear" w:color="auto" w:fill="FFFFFF"/>
    </w:rPr>
  </w:style>
  <w:style w:type="character" w:customStyle="1" w:styleId="En-tte32NonPetitesmajuscules">
    <w:name w:val="En-tête #3 (2) + Non Petites majuscules"/>
    <w:rPr>
      <w:rFonts w:ascii="Times New Roman" w:eastAsia="Times New Roman" w:hAnsi="Times New Roman" w:cs="Times New Roman"/>
      <w:b w:val="0"/>
      <w:bCs w:val="0"/>
      <w:i w:val="0"/>
      <w:iCs w:val="0"/>
      <w:smallCaps/>
      <w:strike w:val="0"/>
      <w:spacing w:val="0"/>
      <w:w w:val="100"/>
      <w:position w:val="0"/>
      <w:sz w:val="23"/>
      <w:u w:val="none"/>
      <w:shd w:val="clear" w:color="auto" w:fill="auto"/>
    </w:rPr>
  </w:style>
  <w:style w:type="character" w:customStyle="1" w:styleId="En-tte3">
    <w:name w:val="En-tête #3_"/>
    <w:link w:val="En-tte30"/>
    <w:rPr>
      <w:sz w:val="23"/>
      <w:shd w:val="clear" w:color="auto" w:fill="FFFFFF"/>
    </w:rPr>
  </w:style>
  <w:style w:type="character" w:customStyle="1" w:styleId="En-tte32NonPetitesmajuscules3">
    <w:name w:val="En-tête #3 (2) + Non Petites majuscules3"/>
    <w:rPr>
      <w:rFonts w:ascii="Times New Roman" w:eastAsia="Times New Roman" w:hAnsi="Times New Roman" w:cs="Times New Roman"/>
      <w:b w:val="0"/>
      <w:bCs w:val="0"/>
      <w:i w:val="0"/>
      <w:iCs w:val="0"/>
      <w:smallCaps/>
      <w:strike w:val="0"/>
      <w:spacing w:val="0"/>
      <w:w w:val="100"/>
      <w:position w:val="0"/>
      <w:sz w:val="23"/>
      <w:u w:val="none"/>
      <w:shd w:val="clear" w:color="auto" w:fill="auto"/>
    </w:rPr>
  </w:style>
  <w:style w:type="character" w:customStyle="1" w:styleId="CorpsdutexteItalique">
    <w:name w:val="Corps du texte + Italique"/>
    <w:rPr>
      <w:rFonts w:ascii="Times New Roman" w:eastAsia="Times New Roman" w:hAnsi="Times New Roman" w:cs="Times New Roman"/>
      <w:b w:val="0"/>
      <w:bCs w:val="0"/>
      <w:i/>
      <w:smallCaps w:val="0"/>
      <w:strike w:val="0"/>
      <w:spacing w:val="0"/>
      <w:w w:val="100"/>
      <w:position w:val="0"/>
      <w:sz w:val="23"/>
      <w:u w:val="none"/>
      <w:shd w:val="clear" w:color="auto" w:fill="auto"/>
    </w:rPr>
  </w:style>
  <w:style w:type="character" w:customStyle="1" w:styleId="Corpsdutexte0">
    <w:name w:val="Corps du texte"/>
    <w:rPr>
      <w:rFonts w:ascii="Times New Roman" w:eastAsia="Times New Roman" w:hAnsi="Times New Roman" w:cs="Times New Roman"/>
      <w:b w:val="0"/>
      <w:bCs w:val="0"/>
      <w:i w:val="0"/>
      <w:iCs w:val="0"/>
      <w:smallCaps w:val="0"/>
      <w:strike w:val="0"/>
      <w:color w:val="0000FF"/>
      <w:spacing w:val="0"/>
      <w:w w:val="100"/>
      <w:position w:val="0"/>
      <w:sz w:val="23"/>
      <w:u w:val="single"/>
      <w:shd w:val="clear" w:color="auto" w:fill="auto"/>
    </w:rPr>
  </w:style>
  <w:style w:type="character" w:customStyle="1" w:styleId="Corpsdutexte30">
    <w:name w:val="Corps du texte3"/>
    <w:rPr>
      <w:rFonts w:ascii="Times New Roman" w:eastAsia="Times New Roman" w:hAnsi="Times New Roman" w:cs="Times New Roman"/>
      <w:b w:val="0"/>
      <w:bCs w:val="0"/>
      <w:i w:val="0"/>
      <w:iCs w:val="0"/>
      <w:smallCaps w:val="0"/>
      <w:strike w:val="0"/>
      <w:spacing w:val="0"/>
      <w:w w:val="100"/>
      <w:position w:val="0"/>
      <w:sz w:val="23"/>
      <w:u w:val="none"/>
      <w:shd w:val="clear" w:color="auto" w:fill="auto"/>
    </w:rPr>
  </w:style>
  <w:style w:type="character" w:customStyle="1" w:styleId="CorpsdutexteItalique3">
    <w:name w:val="Corps du texte + Italique3"/>
    <w:rPr>
      <w:rFonts w:ascii="Times New Roman" w:eastAsia="Times New Roman" w:hAnsi="Times New Roman" w:cs="Times New Roman"/>
      <w:b w:val="0"/>
      <w:bCs w:val="0"/>
      <w:i/>
      <w:smallCaps w:val="0"/>
      <w:strike w:val="0"/>
      <w:spacing w:val="0"/>
      <w:w w:val="100"/>
      <w:position w:val="0"/>
      <w:sz w:val="23"/>
      <w:u w:val="none"/>
      <w:shd w:val="clear" w:color="auto" w:fill="auto"/>
    </w:rPr>
  </w:style>
  <w:style w:type="character" w:customStyle="1" w:styleId="En-tte32NonPetitesmajuscules2">
    <w:name w:val="En-tête #3 (2) + Non Petites majuscules2"/>
    <w:rPr>
      <w:rFonts w:ascii="Times New Roman" w:eastAsia="Times New Roman" w:hAnsi="Times New Roman" w:cs="Times New Roman"/>
      <w:b w:val="0"/>
      <w:bCs w:val="0"/>
      <w:i w:val="0"/>
      <w:iCs w:val="0"/>
      <w:smallCaps/>
      <w:strike w:val="0"/>
      <w:spacing w:val="0"/>
      <w:w w:val="100"/>
      <w:position w:val="0"/>
      <w:sz w:val="23"/>
      <w:u w:val="none"/>
      <w:shd w:val="clear" w:color="auto" w:fill="auto"/>
    </w:rPr>
  </w:style>
  <w:style w:type="character" w:customStyle="1" w:styleId="Corpsdutexte23">
    <w:name w:val="Corps du texte2"/>
    <w:rPr>
      <w:rFonts w:ascii="Times New Roman" w:eastAsia="Times New Roman" w:hAnsi="Times New Roman" w:cs="Times New Roman"/>
      <w:b w:val="0"/>
      <w:bCs w:val="0"/>
      <w:i w:val="0"/>
      <w:iCs w:val="0"/>
      <w:smallCaps w:val="0"/>
      <w:strike w:val="0"/>
      <w:spacing w:val="0"/>
      <w:w w:val="100"/>
      <w:position w:val="0"/>
      <w:sz w:val="23"/>
      <w:u w:val="none"/>
      <w:shd w:val="clear" w:color="auto" w:fill="auto"/>
    </w:rPr>
  </w:style>
  <w:style w:type="character" w:customStyle="1" w:styleId="CorpsdutexteItalique2">
    <w:name w:val="Corps du texte + Italique2"/>
    <w:rPr>
      <w:rFonts w:ascii="Times New Roman" w:eastAsia="Times New Roman" w:hAnsi="Times New Roman" w:cs="Times New Roman"/>
      <w:b w:val="0"/>
      <w:bCs w:val="0"/>
      <w:i/>
      <w:smallCaps w:val="0"/>
      <w:strike w:val="0"/>
      <w:spacing w:val="0"/>
      <w:w w:val="100"/>
      <w:position w:val="0"/>
      <w:sz w:val="23"/>
      <w:u w:val="none"/>
      <w:shd w:val="clear" w:color="auto" w:fill="auto"/>
    </w:rPr>
  </w:style>
  <w:style w:type="character" w:customStyle="1" w:styleId="CorpsdutexteItalique1">
    <w:name w:val="Corps du texte + Italique1"/>
    <w:rPr>
      <w:rFonts w:ascii="Times New Roman" w:eastAsia="Times New Roman" w:hAnsi="Times New Roman" w:cs="Times New Roman"/>
      <w:b w:val="0"/>
      <w:bCs w:val="0"/>
      <w:i/>
      <w:smallCaps w:val="0"/>
      <w:strike w:val="0"/>
      <w:spacing w:val="0"/>
      <w:w w:val="100"/>
      <w:position w:val="0"/>
      <w:sz w:val="23"/>
      <w:u w:val="none"/>
      <w:shd w:val="clear" w:color="auto" w:fill="auto"/>
    </w:rPr>
  </w:style>
  <w:style w:type="character" w:customStyle="1" w:styleId="En-tte32NonPetitesmajuscules1">
    <w:name w:val="En-tête #3 (2) + Non Petites majuscules1"/>
    <w:rPr>
      <w:rFonts w:ascii="Times New Roman" w:eastAsia="Times New Roman" w:hAnsi="Times New Roman" w:cs="Times New Roman"/>
      <w:b w:val="0"/>
      <w:bCs w:val="0"/>
      <w:i w:val="0"/>
      <w:iCs w:val="0"/>
      <w:smallCaps/>
      <w:strike w:val="0"/>
      <w:spacing w:val="0"/>
      <w:w w:val="100"/>
      <w:position w:val="0"/>
      <w:sz w:val="23"/>
      <w:u w:val="none"/>
      <w:shd w:val="clear" w:color="auto" w:fill="auto"/>
    </w:rPr>
  </w:style>
  <w:style w:type="paragraph" w:customStyle="1" w:styleId="Notedebasdepage0">
    <w:name w:val="Note de bas de page"/>
    <w:basedOn w:val="Normal"/>
    <w:link w:val="Notedebasdepage"/>
    <w:pPr>
      <w:widowControl w:val="0"/>
      <w:shd w:val="clear" w:color="auto" w:fill="FFFFFF"/>
      <w:spacing w:before="0" w:after="0" w:line="230" w:lineRule="exact"/>
      <w:ind w:hanging="720"/>
      <w:jc w:val="left"/>
    </w:pPr>
    <w:rPr>
      <w:sz w:val="19"/>
    </w:rPr>
  </w:style>
  <w:style w:type="paragraph" w:customStyle="1" w:styleId="Corpsdutexte3">
    <w:name w:val="Corps du texte (3)"/>
    <w:basedOn w:val="Normal"/>
    <w:link w:val="Corpsdutexte3Exact"/>
    <w:pPr>
      <w:widowControl w:val="0"/>
      <w:shd w:val="clear" w:color="auto" w:fill="FFFFFF"/>
      <w:spacing w:before="0" w:after="0" w:line="0" w:lineRule="atLeast"/>
      <w:jc w:val="left"/>
    </w:pPr>
    <w:rPr>
      <w:rFonts w:ascii="Arial" w:eastAsia="Arial" w:hAnsi="Arial" w:cs="Arial"/>
      <w:spacing w:val="-6"/>
      <w:sz w:val="45"/>
    </w:rPr>
  </w:style>
  <w:style w:type="paragraph" w:customStyle="1" w:styleId="En-tte1">
    <w:name w:val="En-tête #1"/>
    <w:basedOn w:val="Normal"/>
    <w:link w:val="En-tte1Exact"/>
    <w:pPr>
      <w:widowControl w:val="0"/>
      <w:shd w:val="clear" w:color="auto" w:fill="FFFFFF"/>
      <w:spacing w:before="0" w:after="0" w:line="0" w:lineRule="atLeast"/>
      <w:jc w:val="left"/>
      <w:outlineLvl w:val="0"/>
    </w:pPr>
    <w:rPr>
      <w:rFonts w:ascii="Arial" w:eastAsia="Arial" w:hAnsi="Arial" w:cs="Arial"/>
      <w:spacing w:val="-6"/>
      <w:sz w:val="45"/>
    </w:rPr>
  </w:style>
  <w:style w:type="paragraph" w:customStyle="1" w:styleId="Corpsdutexte1">
    <w:name w:val="Corps du texte1"/>
    <w:basedOn w:val="Normal"/>
    <w:link w:val="Corpsdutexte"/>
    <w:pPr>
      <w:widowControl w:val="0"/>
      <w:shd w:val="clear" w:color="auto" w:fill="FFFFFF"/>
      <w:spacing w:before="0" w:after="1380" w:line="274" w:lineRule="exact"/>
      <w:ind w:hanging="860"/>
      <w:jc w:val="left"/>
    </w:pPr>
    <w:rPr>
      <w:sz w:val="23"/>
    </w:rPr>
  </w:style>
  <w:style w:type="paragraph" w:customStyle="1" w:styleId="Corpsdutexte21">
    <w:name w:val="Corps du texte (2)1"/>
    <w:basedOn w:val="Normal"/>
    <w:link w:val="Corpsdutexte2"/>
    <w:pPr>
      <w:widowControl w:val="0"/>
      <w:shd w:val="clear" w:color="auto" w:fill="FFFFFF"/>
      <w:spacing w:before="1380" w:after="300" w:line="274" w:lineRule="exact"/>
      <w:jc w:val="center"/>
    </w:pPr>
    <w:rPr>
      <w:sz w:val="23"/>
    </w:rPr>
  </w:style>
  <w:style w:type="paragraph" w:customStyle="1" w:styleId="En-tteoupieddepage0">
    <w:name w:val="En-tête ou pied de page"/>
    <w:basedOn w:val="Normal"/>
    <w:link w:val="En-tteoupieddepage"/>
    <w:pPr>
      <w:widowControl w:val="0"/>
      <w:shd w:val="clear" w:color="auto" w:fill="FFFFFF"/>
      <w:spacing w:before="0" w:after="0"/>
      <w:jc w:val="left"/>
    </w:pPr>
    <w:rPr>
      <w:sz w:val="20"/>
    </w:rPr>
  </w:style>
  <w:style w:type="paragraph" w:customStyle="1" w:styleId="En-tte20">
    <w:name w:val="En-tête #2"/>
    <w:basedOn w:val="Normal"/>
    <w:link w:val="En-tte2"/>
    <w:pPr>
      <w:widowControl w:val="0"/>
      <w:shd w:val="clear" w:color="auto" w:fill="FFFFFF"/>
      <w:spacing w:before="0" w:after="300" w:line="0" w:lineRule="atLeast"/>
      <w:jc w:val="center"/>
      <w:outlineLvl w:val="1"/>
    </w:pPr>
    <w:rPr>
      <w:sz w:val="27"/>
    </w:rPr>
  </w:style>
  <w:style w:type="paragraph" w:customStyle="1" w:styleId="En-tte320">
    <w:name w:val="En-tête #3 (2)"/>
    <w:basedOn w:val="Normal"/>
    <w:link w:val="En-tte32"/>
    <w:pPr>
      <w:widowControl w:val="0"/>
      <w:shd w:val="clear" w:color="auto" w:fill="FFFFFF"/>
      <w:spacing w:before="0" w:after="180" w:line="0" w:lineRule="atLeast"/>
      <w:outlineLvl w:val="2"/>
    </w:pPr>
    <w:rPr>
      <w:sz w:val="23"/>
    </w:rPr>
  </w:style>
  <w:style w:type="paragraph" w:customStyle="1" w:styleId="En-tte30">
    <w:name w:val="En-tête #3"/>
    <w:basedOn w:val="Normal"/>
    <w:link w:val="En-tte3"/>
    <w:pPr>
      <w:widowControl w:val="0"/>
      <w:shd w:val="clear" w:color="auto" w:fill="FFFFFF"/>
      <w:spacing w:before="60" w:after="180" w:line="0" w:lineRule="atLeast"/>
      <w:outlineLvl w:val="2"/>
    </w:pPr>
    <w:rPr>
      <w:sz w:val="23"/>
    </w:rPr>
  </w:style>
  <w:style w:type="paragraph" w:styleId="BalloonText">
    <w:name w:val="Balloon Text"/>
    <w:basedOn w:val="Normal"/>
    <w:link w:val="BalloonTextChar"/>
    <w:uiPriority w:val="99"/>
    <w:unhideWhenUsed/>
    <w:pPr>
      <w:widowControl w:val="0"/>
      <w:spacing w:before="0" w:after="0"/>
      <w:jc w:val="left"/>
    </w:pPr>
    <w:rPr>
      <w:rFonts w:ascii="Tahoma" w:hAnsi="Tahoma" w:cs="Tahoma"/>
      <w:sz w:val="16"/>
    </w:rPr>
  </w:style>
  <w:style w:type="character" w:customStyle="1" w:styleId="BalloonTextChar">
    <w:name w:val="Balloon Text Char"/>
    <w:link w:val="BalloonText"/>
    <w:uiPriority w:val="99"/>
    <w:rPr>
      <w:rFonts w:ascii="Tahoma" w:hAnsi="Tahoma" w:cs="Tahoma"/>
      <w:sz w:val="16"/>
      <w:shd w:val="clear" w:color="auto" w:fill="auto"/>
    </w:rPr>
  </w:style>
  <w:style w:type="character" w:customStyle="1" w:styleId="FootnoteTextChar">
    <w:name w:val="Footnote Text Char"/>
    <w:link w:val="FootnoteText"/>
  </w:style>
  <w:style w:type="paragraph" w:customStyle="1" w:styleId="cell">
    <w:name w:val="cell"/>
    <w:basedOn w:val="Normal"/>
    <w:pPr>
      <w:spacing w:before="60" w:after="60"/>
      <w:jc w:val="center"/>
    </w:pPr>
  </w:style>
  <w:style w:type="character" w:styleId="Hyperlink">
    <w:name w:val="Hyperlink"/>
    <w:uiPriority w:val="99"/>
    <w:unhideWhenUsed/>
    <w:rPr>
      <w:color w:val="0000FF"/>
      <w:u w:val="single"/>
      <w:shd w:val="clear" w:color="auto" w:fill="auto"/>
    </w:rPr>
  </w:style>
  <w:style w:type="character" w:styleId="CommentReference">
    <w:name w:val="annotation reference"/>
    <w:uiPriority w:val="99"/>
    <w:unhideWhenUsed/>
    <w:rPr>
      <w:sz w:val="16"/>
      <w:shd w:val="clear" w:color="auto" w:fill="auto"/>
    </w:rPr>
  </w:style>
  <w:style w:type="paragraph" w:styleId="CommentText">
    <w:name w:val="annotation text"/>
    <w:basedOn w:val="Normal"/>
    <w:link w:val="CommentTextChar"/>
    <w:uiPriority w:val="99"/>
    <w:unhideWhenUsed/>
    <w:pPr>
      <w:spacing w:before="0" w:after="200"/>
      <w:jc w:val="left"/>
    </w:pPr>
    <w:rPr>
      <w:rFonts w:ascii="Calibri" w:eastAsia="Calibri" w:hAnsi="Calibri"/>
      <w:sz w:val="20"/>
    </w:rPr>
  </w:style>
  <w:style w:type="character" w:customStyle="1" w:styleId="CommentTextChar">
    <w:name w:val="Comment Text Char"/>
    <w:link w:val="CommentText"/>
    <w:uiPriority w:val="99"/>
    <w:rPr>
      <w:rFonts w:ascii="Calibri" w:eastAsia="Calibri" w:hAnsi="Calibri"/>
      <w:shd w:val="clear" w:color="auto" w:fill="auto"/>
    </w:rPr>
  </w:style>
  <w:style w:type="paragraph" w:styleId="ListParagraph">
    <w:name w:val="List Paragraph"/>
    <w:basedOn w:val="Normal"/>
    <w:uiPriority w:val="34"/>
    <w:qFormat/>
    <w:pPr>
      <w:widowControl w:val="0"/>
      <w:spacing w:before="0" w:after="0"/>
      <w:ind w:left="720"/>
      <w:contextualSpacing/>
      <w:jc w:val="left"/>
    </w:pPr>
  </w:style>
  <w:style w:type="paragraph" w:styleId="CommentSubject">
    <w:name w:val="annotation subject"/>
    <w:basedOn w:val="CommentText"/>
    <w:next w:val="CommentText"/>
    <w:link w:val="CommentSubjectChar"/>
    <w:uiPriority w:val="99"/>
    <w:unhideWhenUsed/>
    <w:pPr>
      <w:widowControl w:val="0"/>
      <w:spacing w:after="0"/>
    </w:pPr>
    <w:rPr>
      <w:rFonts w:ascii="Times New Roman" w:eastAsia="Times New Roman" w:hAnsi="Times New Roman"/>
      <w:b/>
    </w:rPr>
  </w:style>
  <w:style w:type="character" w:customStyle="1" w:styleId="CommentSubjectChar">
    <w:name w:val="Comment Subject Char"/>
    <w:link w:val="CommentSubject"/>
    <w:uiPriority w:val="99"/>
    <w:rPr>
      <w:rFonts w:ascii="Calibri" w:eastAsia="Calibri" w:hAnsi="Calibri"/>
      <w:b/>
      <w:shd w:val="clear" w:color="auto" w:fill="auto"/>
    </w:rPr>
  </w:style>
  <w:style w:type="paragraph" w:styleId="Title">
    <w:name w:val="Title"/>
    <w:basedOn w:val="Normal"/>
    <w:next w:val="Normal"/>
    <w:link w:val="TitleChar"/>
    <w:uiPriority w:val="10"/>
    <w:qFormat/>
    <w:pPr>
      <w:widowControl w:val="0"/>
      <w:pBdr>
        <w:bottom w:val="single" w:sz="8" w:space="4" w:color="4F81BD"/>
      </w:pBdr>
      <w:spacing w:before="0" w:after="300"/>
      <w:contextualSpacing/>
      <w:jc w:val="left"/>
    </w:pPr>
    <w:rPr>
      <w:rFonts w:ascii="Cambria" w:hAnsi="Cambria"/>
      <w:color w:val="17365D"/>
      <w:spacing w:val="5"/>
      <w:kern w:val="28"/>
      <w:sz w:val="52"/>
    </w:rPr>
  </w:style>
  <w:style w:type="character" w:customStyle="1" w:styleId="TitleChar">
    <w:name w:val="Title Char"/>
    <w:link w:val="Title"/>
    <w:uiPriority w:val="10"/>
    <w:rPr>
      <w:rFonts w:ascii="Cambria" w:hAnsi="Cambria"/>
      <w:color w:val="17365D"/>
      <w:spacing w:val="5"/>
      <w:kern w:val="28"/>
      <w:sz w:val="52"/>
      <w:shd w:val="clear" w:color="auto" w:fill="auto"/>
    </w:rPr>
  </w:style>
  <w:style w:type="character" w:customStyle="1" w:styleId="Heading2Char">
    <w:name w:val="Heading 2 Char"/>
    <w:link w:val="Heading2"/>
    <w:uiPriority w:val="9"/>
    <w:rPr>
      <w:b/>
      <w:sz w:val="24"/>
    </w:rPr>
  </w:style>
  <w:style w:type="paragraph" w:styleId="NoSpacing">
    <w:name w:val="No Spacing"/>
    <w:uiPriority w:val="1"/>
    <w:qFormat/>
    <w:pPr>
      <w:widowControl w:val="0"/>
    </w:pPr>
    <w:rPr>
      <w:sz w:val="24"/>
    </w:rPr>
  </w:style>
  <w:style w:type="paragraph" w:customStyle="1" w:styleId="Default">
    <w:name w:val="Default"/>
    <w:pPr>
      <w:autoSpaceDE w:val="0"/>
      <w:autoSpaceDN w:val="0"/>
      <w:adjustRightInd w:val="0"/>
    </w:pPr>
    <w:rPr>
      <w:rFonts w:ascii="EUAlbertina" w:hAnsi="EUAlbertina" w:cs="EUAlbertina"/>
      <w:sz w:val="24"/>
    </w:rPr>
  </w:style>
  <w:style w:type="paragraph" w:customStyle="1" w:styleId="CM1">
    <w:name w:val="CM1"/>
    <w:basedOn w:val="Default"/>
    <w:next w:val="Default"/>
    <w:uiPriority w:val="99"/>
    <w:rPr>
      <w:rFonts w:cs="Times New Roman"/>
    </w:rPr>
  </w:style>
  <w:style w:type="paragraph" w:customStyle="1" w:styleId="CM3">
    <w:name w:val="CM3"/>
    <w:basedOn w:val="Default"/>
    <w:next w:val="Default"/>
    <w:uiPriority w:val="99"/>
    <w:rPr>
      <w:rFonts w:cs="Times New Roman"/>
    </w:rPr>
  </w:style>
  <w:style w:type="paragraph" w:customStyle="1" w:styleId="CM4">
    <w:name w:val="CM4"/>
    <w:basedOn w:val="Default"/>
    <w:next w:val="Default"/>
    <w:uiPriority w:val="99"/>
    <w:rPr>
      <w:rFonts w:cs="Times New Roman"/>
    </w:rPr>
  </w:style>
  <w:style w:type="paragraph" w:styleId="NormalWeb">
    <w:name w:val="Normal (Web)"/>
    <w:basedOn w:val="Normal"/>
    <w:uiPriority w:val="99"/>
    <w:unhideWhenUsed/>
    <w:pPr>
      <w:spacing w:before="100" w:beforeAutospacing="1" w:after="100" w:afterAutospacing="1"/>
      <w:jc w:val="left"/>
    </w:pPr>
  </w:style>
  <w:style w:type="character" w:customStyle="1" w:styleId="HeaderChar">
    <w:name w:val="Header Char"/>
    <w:link w:val="Header"/>
    <w:uiPriority w:val="99"/>
    <w:rPr>
      <w:sz w:val="24"/>
    </w:rPr>
  </w:style>
  <w:style w:type="character" w:customStyle="1" w:styleId="FooterChar">
    <w:name w:val="Footer Char"/>
    <w:link w:val="Footer"/>
    <w:uiPriority w:val="99"/>
    <w:rPr>
      <w:sz w:val="24"/>
    </w:rPr>
  </w:style>
  <w:style w:type="paragraph" w:styleId="Revision">
    <w:name w:val="Revision"/>
    <w:hidden/>
    <w:uiPriority w:val="99"/>
    <w:semiHidden/>
    <w:rPr>
      <w:sz w:val="24"/>
    </w:rPr>
  </w:style>
  <w:style w:type="character" w:customStyle="1" w:styleId="Heading1Char">
    <w:name w:val="Heading 1 Char"/>
    <w:link w:val="Heading1"/>
    <w:uiPriority w:val="9"/>
    <w:rPr>
      <w:b/>
      <w:smallCaps/>
      <w:sz w:val="24"/>
    </w:rPr>
  </w:style>
  <w:style w:type="character" w:customStyle="1" w:styleId="Heading3Char">
    <w:name w:val="Heading 3 Char"/>
    <w:link w:val="Heading3"/>
    <w:uiPriority w:val="9"/>
    <w:rPr>
      <w:i/>
      <w:sz w:val="24"/>
    </w:rPr>
  </w:style>
  <w:style w:type="paragraph" w:customStyle="1" w:styleId="FooterCoverPage">
    <w:name w:val="Footer Cover Page"/>
    <w:basedOn w:val="Normal"/>
    <w:link w:val="FooterCoverPageChar"/>
    <w:pPr>
      <w:widowControl w:val="0"/>
      <w:tabs>
        <w:tab w:val="center" w:pos="4535"/>
        <w:tab w:val="right" w:pos="9071"/>
        <w:tab w:val="right" w:pos="9921"/>
      </w:tabs>
      <w:spacing w:before="360" w:after="0"/>
      <w:ind w:left="-850" w:right="-850"/>
      <w:jc w:val="left"/>
    </w:pPr>
  </w:style>
  <w:style w:type="character" w:customStyle="1" w:styleId="FooterCoverPageChar">
    <w:name w:val="Footer Cover Page Char"/>
    <w:link w:val="FooterCoverPage"/>
    <w:rPr>
      <w:sz w:val="24"/>
    </w:rPr>
  </w:style>
  <w:style w:type="paragraph" w:customStyle="1" w:styleId="HeaderCoverPage">
    <w:name w:val="Header Cover Page"/>
    <w:basedOn w:val="Normal"/>
    <w:link w:val="HeaderCoverPageChar"/>
    <w:pPr>
      <w:widowControl w:val="0"/>
      <w:tabs>
        <w:tab w:val="center" w:pos="4535"/>
        <w:tab w:val="right" w:pos="9071"/>
      </w:tabs>
      <w:spacing w:before="0"/>
    </w:pPr>
  </w:style>
  <w:style w:type="character" w:customStyle="1" w:styleId="HeaderCoverPageChar">
    <w:name w:val="Header Cover Page Char"/>
    <w:link w:val="HeaderCoverPage"/>
    <w:rPr>
      <w:sz w:val="24"/>
    </w:rPr>
  </w:style>
  <w:style w:type="character" w:styleId="PageNumber">
    <w:name w:val="page number"/>
    <w:uiPriority w:val="99"/>
    <w:unhideWhenUsed/>
  </w:style>
  <w:style w:type="paragraph" w:customStyle="1" w:styleId="Declassification">
    <w:name w:val="Declassification"/>
    <w:basedOn w:val="Normal"/>
    <w:next w:val="Normal"/>
    <w:pPr>
      <w:spacing w:before="0" w:after="0"/>
    </w:p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styleId="Caption">
    <w:name w:val="caption"/>
    <w:basedOn w:val="Normal"/>
    <w:next w:val="Normal"/>
    <w:unhideWhenUsed/>
    <w:qFormat/>
    <w:rsid w:val="00C46117"/>
    <w:rPr>
      <w:b/>
      <w:sz w:val="20"/>
    </w:rPr>
  </w:style>
  <w:style w:type="character" w:styleId="Emphasis">
    <w:name w:val="Emphasis"/>
    <w:qFormat/>
    <w:rsid w:val="003C6A63"/>
    <w:rPr>
      <w:i/>
      <w:shd w:val="clear" w:color="auto" w:fill="auto"/>
    </w:rPr>
  </w:style>
  <w:style w:type="paragraph" w:customStyle="1" w:styleId="SecurityMarking">
    <w:name w:val="SecurityMarking"/>
    <w:basedOn w:val="Normal"/>
    <w:rsid w:val="00500764"/>
    <w:pPr>
      <w:spacing w:before="0" w:after="0" w:line="276" w:lineRule="auto"/>
      <w:ind w:left="5103"/>
      <w:jc w:val="left"/>
    </w:pPr>
    <w:rPr>
      <w:sz w:val="28"/>
    </w:rPr>
  </w:style>
  <w:style w:type="paragraph" w:customStyle="1" w:styleId="DateMarking">
    <w:name w:val="DateMarking"/>
    <w:basedOn w:val="Normal"/>
    <w:rsid w:val="00500764"/>
    <w:pPr>
      <w:spacing w:before="0" w:after="0" w:line="276" w:lineRule="auto"/>
      <w:ind w:left="5103"/>
      <w:jc w:val="left"/>
    </w:pPr>
    <w:rPr>
      <w:i/>
      <w:sz w:val="28"/>
    </w:rPr>
  </w:style>
  <w:style w:type="paragraph" w:customStyle="1" w:styleId="ReleasableTo">
    <w:name w:val="ReleasableTo"/>
    <w:basedOn w:val="Normal"/>
    <w:rsid w:val="00500764"/>
    <w:pPr>
      <w:spacing w:before="0" w:after="0" w:line="276" w:lineRule="auto"/>
      <w:ind w:left="5103"/>
      <w:jc w:val="left"/>
    </w:pPr>
    <w:rPr>
      <w:i/>
      <w:sz w:val="28"/>
    </w:rPr>
  </w:style>
  <w:style w:type="paragraph" w:customStyle="1" w:styleId="HeaderSensitivityRight">
    <w:name w:val="Header Sensitivity Right"/>
    <w:basedOn w:val="Normal"/>
    <w:rsid w:val="00500764"/>
    <w:pPr>
      <w:spacing w:before="0"/>
      <w:jc w:val="right"/>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876190">
      <w:bodyDiv w:val="1"/>
      <w:marLeft w:val="0"/>
      <w:marRight w:val="0"/>
      <w:marTop w:val="0"/>
      <w:marBottom w:val="0"/>
      <w:divBdr>
        <w:top w:val="none" w:sz="0" w:space="0" w:color="auto"/>
        <w:left w:val="none" w:sz="0" w:space="0" w:color="auto"/>
        <w:bottom w:val="none" w:sz="0" w:space="0" w:color="auto"/>
        <w:right w:val="none" w:sz="0" w:space="0" w:color="auto"/>
      </w:divBdr>
    </w:div>
    <w:div w:id="767314145">
      <w:bodyDiv w:val="1"/>
      <w:marLeft w:val="0"/>
      <w:marRight w:val="0"/>
      <w:marTop w:val="0"/>
      <w:marBottom w:val="0"/>
      <w:divBdr>
        <w:top w:val="none" w:sz="0" w:space="0" w:color="auto"/>
        <w:left w:val="none" w:sz="0" w:space="0" w:color="auto"/>
        <w:bottom w:val="none" w:sz="0" w:space="0" w:color="auto"/>
        <w:right w:val="none" w:sz="0" w:space="0" w:color="auto"/>
      </w:divBdr>
    </w:div>
    <w:div w:id="1021668887">
      <w:bodyDiv w:val="1"/>
      <w:marLeft w:val="0"/>
      <w:marRight w:val="0"/>
      <w:marTop w:val="0"/>
      <w:marBottom w:val="0"/>
      <w:divBdr>
        <w:top w:val="none" w:sz="0" w:space="0" w:color="auto"/>
        <w:left w:val="none" w:sz="0" w:space="0" w:color="auto"/>
        <w:bottom w:val="none" w:sz="0" w:space="0" w:color="auto"/>
        <w:right w:val="none" w:sz="0" w:space="0" w:color="auto"/>
      </w:divBdr>
    </w:div>
    <w:div w:id="1075933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350DD215E5FCED40A24853182B6A5813" ma:contentTypeVersion="6" ma:contentTypeDescription="Create a new document in this library." ma:contentTypeScope="" ma:versionID="19c9fe5c9910de73d9c6926faa9ebb4f">
  <xsd:schema xmlns:xsd="http://www.w3.org/2001/XMLSchema" xmlns:xs="http://www.w3.org/2001/XMLSchema" xmlns:p="http://schemas.microsoft.com/office/2006/metadata/properties" xmlns:ns3="735afc32-0393-421e-bcef-2ea6208327cd" xmlns:ns4="c076530c-96ce-4d12-b43c-8303a5440bd9" targetNamespace="http://schemas.microsoft.com/office/2006/metadata/properties" ma:root="true" ma:fieldsID="78a59c6f839e954efb437397ad3b8298" ns3:_="" ns4:_="">
    <xsd:import namespace="735afc32-0393-421e-bcef-2ea6208327cd"/>
    <xsd:import namespace="c076530c-96ce-4d12-b43c-8303a5440bd9"/>
    <xsd:element name="properties">
      <xsd:complexType>
        <xsd:sequence>
          <xsd:element name="documentManagement">
            <xsd:complexType>
              <xsd:all>
                <xsd:element ref="ns3:EC_Collab_Reference" minOccurs="0"/>
                <xsd:element ref="ns3:EC_Collab_DocumentLanguage"/>
                <xsd:element ref="ns3:EC_Collab_Status"/>
                <xsd:element ref="ns3:EC_ARES_NUMBER" minOccurs="0"/>
                <xsd:element ref="ns3:EC_ARES_DATE_TRANSFERRED" minOccurs="0"/>
                <xsd:element ref="ns3:EC_ARES_TRANSFERRED_BY"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5afc32-0393-421e-bcef-2ea6208327cd"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EC_ARES_NUMBER" ma:index="15" nillable="true" ma:displayName="Ares Number" ma:format="Hyperlink" ma:hidden="true" ma:internalName="EC_ARES_NUMBER">
      <xsd:complexType>
        <xsd:complexContent>
          <xsd:extension base="dms:URL">
            <xsd:sequence>
              <xsd:element name="Url" type="dms:ValidUrl" minOccurs="0" nillable="true"/>
              <xsd:element name="Description" type="xsd:string" nillable="true"/>
            </xsd:sequence>
          </xsd:extension>
        </xsd:complexContent>
      </xsd:complexType>
    </xsd:element>
    <xsd:element name="EC_ARES_DATE_TRANSFERRED" ma:index="16" nillable="true" ma:displayName="Transferred to Ares" ma:format="DateTime" ma:hidden="true" ma:internalName="EC_ARES_DATE_TRANSFERRED">
      <xsd:simpleType>
        <xsd:restriction base="dms:DateTime"/>
      </xsd:simpleType>
    </xsd:element>
    <xsd:element name="EC_ARES_TRANSFERRED_BY" ma:index="17" nillable="true" ma:displayName="Transferred By" ma:hidden="true" ma:internalName="EC_ARES_TRANSFERRED_B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76530c-96ce-4d12-b43c-8303a5440bd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C_Collab_DocumentLanguage xmlns="735afc32-0393-421e-bcef-2ea6208327cd">EN</EC_Collab_DocumentLanguage>
    <EC_Collab_Status xmlns="735afc32-0393-421e-bcef-2ea6208327cd">Draft</EC_Collab_Status>
    <EC_Collab_Reference xmlns="735afc32-0393-421e-bcef-2ea6208327cd" xsi:nil="true"/>
    <EC_ARES_NUMBER xmlns="735afc32-0393-421e-bcef-2ea6208327cd">
      <Url xsi:nil="true"/>
      <Description xsi:nil="true"/>
    </EC_ARES_NUMBER>
    <EC_ARES_TRANSFERRED_BY xmlns="735afc32-0393-421e-bcef-2ea6208327cd" xsi:nil="true"/>
    <EC_ARES_DATE_TRANSFERRED xmlns="735afc32-0393-421e-bcef-2ea6208327cd" xsi:nil="true"/>
    <SharedWithUsers xmlns="c076530c-96ce-4d12-b43c-8303a5440bd9">
      <UserInfo>
        <DisplayName>MATUZAS Vaidas</DisplayName>
        <AccountId>3275</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00B995-1937-4B6A-ABD4-5BF519E308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5afc32-0393-421e-bcef-2ea6208327cd"/>
    <ds:schemaRef ds:uri="c076530c-96ce-4d12-b43c-8303a5440b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DBB111-2263-41A7-9146-4176E88F4B96}">
  <ds:schemaRefs>
    <ds:schemaRef ds:uri="http://schemas.microsoft.com/office/2006/metadata/longProperties"/>
  </ds:schemaRefs>
</ds:datastoreItem>
</file>

<file path=customXml/itemProps3.xml><?xml version="1.0" encoding="utf-8"?>
<ds:datastoreItem xmlns:ds="http://schemas.openxmlformats.org/officeDocument/2006/customXml" ds:itemID="{1C276CD2-FDA7-471C-894E-E52320991ACD}">
  <ds:schemaRefs>
    <ds:schemaRef ds:uri="http://schemas.microsoft.com/sharepoint/v3/contenttype/forms"/>
  </ds:schemaRefs>
</ds:datastoreItem>
</file>

<file path=customXml/itemProps4.xml><?xml version="1.0" encoding="utf-8"?>
<ds:datastoreItem xmlns:ds="http://schemas.openxmlformats.org/officeDocument/2006/customXml" ds:itemID="{1B91B7B8-FB76-4ED1-9A4B-09B4862EB4BB}">
  <ds:schemaRefs>
    <ds:schemaRef ds:uri="http://purl.org/dc/elements/1.1/"/>
    <ds:schemaRef ds:uri="http://schemas.microsoft.com/office/2006/metadata/properties"/>
    <ds:schemaRef ds:uri="http://schemas.microsoft.com/office/infopath/2007/PartnerControls"/>
    <ds:schemaRef ds:uri="735afc32-0393-421e-bcef-2ea6208327cd"/>
    <ds:schemaRef ds:uri="http://purl.org/dc/terms/"/>
    <ds:schemaRef ds:uri="http://schemas.microsoft.com/office/2006/documentManagement/types"/>
    <ds:schemaRef ds:uri="http://schemas.openxmlformats.org/package/2006/metadata/core-properties"/>
    <ds:schemaRef ds:uri="c076530c-96ce-4d12-b43c-8303a5440bd9"/>
    <ds:schemaRef ds:uri="http://www.w3.org/XML/1998/namespace"/>
    <ds:schemaRef ds:uri="http://purl.org/dc/dcmitype/"/>
  </ds:schemaRefs>
</ds:datastoreItem>
</file>

<file path=customXml/itemProps5.xml><?xml version="1.0" encoding="utf-8"?>
<ds:datastoreItem xmlns:ds="http://schemas.openxmlformats.org/officeDocument/2006/customXml" ds:itemID="{4E34E43A-136C-4D42-913E-61B288411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13</Pages>
  <Words>2655</Words>
  <Characters>16253</Characters>
  <Application>Microsoft Office Word</Application>
  <DocSecurity>0</DocSecurity>
  <Lines>275</Lines>
  <Paragraphs>89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18819</CharactersWithSpaces>
  <SharedDoc>false</SharedDoc>
  <HLinks>
    <vt:vector size="72" baseType="variant">
      <vt:variant>
        <vt:i4>5898255</vt:i4>
      </vt:variant>
      <vt:variant>
        <vt:i4>69</vt:i4>
      </vt:variant>
      <vt:variant>
        <vt:i4>0</vt:i4>
      </vt:variant>
      <vt:variant>
        <vt:i4>5</vt:i4>
      </vt:variant>
      <vt:variant>
        <vt:lpwstr>https://ec.europa.eu/energy/en/topics/nuclear-energy/radiation-protection/transport-radioactive-materials</vt:lpwstr>
      </vt:variant>
      <vt:variant>
        <vt:lpwstr/>
      </vt:variant>
      <vt:variant>
        <vt:i4>2686988</vt:i4>
      </vt:variant>
      <vt:variant>
        <vt:i4>62</vt:i4>
      </vt:variant>
      <vt:variant>
        <vt:i4>0</vt:i4>
      </vt:variant>
      <vt:variant>
        <vt:i4>5</vt:i4>
      </vt:variant>
      <vt:variant>
        <vt:lpwstr/>
      </vt:variant>
      <vt:variant>
        <vt:lpwstr>_Toc9945127</vt:lpwstr>
      </vt:variant>
      <vt:variant>
        <vt:i4>2686988</vt:i4>
      </vt:variant>
      <vt:variant>
        <vt:i4>56</vt:i4>
      </vt:variant>
      <vt:variant>
        <vt:i4>0</vt:i4>
      </vt:variant>
      <vt:variant>
        <vt:i4>5</vt:i4>
      </vt:variant>
      <vt:variant>
        <vt:lpwstr/>
      </vt:variant>
      <vt:variant>
        <vt:lpwstr>_Toc9945126</vt:lpwstr>
      </vt:variant>
      <vt:variant>
        <vt:i4>2686988</vt:i4>
      </vt:variant>
      <vt:variant>
        <vt:i4>50</vt:i4>
      </vt:variant>
      <vt:variant>
        <vt:i4>0</vt:i4>
      </vt:variant>
      <vt:variant>
        <vt:i4>5</vt:i4>
      </vt:variant>
      <vt:variant>
        <vt:lpwstr/>
      </vt:variant>
      <vt:variant>
        <vt:lpwstr>_Toc9945125</vt:lpwstr>
      </vt:variant>
      <vt:variant>
        <vt:i4>2686988</vt:i4>
      </vt:variant>
      <vt:variant>
        <vt:i4>44</vt:i4>
      </vt:variant>
      <vt:variant>
        <vt:i4>0</vt:i4>
      </vt:variant>
      <vt:variant>
        <vt:i4>5</vt:i4>
      </vt:variant>
      <vt:variant>
        <vt:lpwstr/>
      </vt:variant>
      <vt:variant>
        <vt:lpwstr>_Toc9945124</vt:lpwstr>
      </vt:variant>
      <vt:variant>
        <vt:i4>2686988</vt:i4>
      </vt:variant>
      <vt:variant>
        <vt:i4>38</vt:i4>
      </vt:variant>
      <vt:variant>
        <vt:i4>0</vt:i4>
      </vt:variant>
      <vt:variant>
        <vt:i4>5</vt:i4>
      </vt:variant>
      <vt:variant>
        <vt:lpwstr/>
      </vt:variant>
      <vt:variant>
        <vt:lpwstr>_Toc9945123</vt:lpwstr>
      </vt:variant>
      <vt:variant>
        <vt:i4>2686988</vt:i4>
      </vt:variant>
      <vt:variant>
        <vt:i4>32</vt:i4>
      </vt:variant>
      <vt:variant>
        <vt:i4>0</vt:i4>
      </vt:variant>
      <vt:variant>
        <vt:i4>5</vt:i4>
      </vt:variant>
      <vt:variant>
        <vt:lpwstr/>
      </vt:variant>
      <vt:variant>
        <vt:lpwstr>_Toc9945122</vt:lpwstr>
      </vt:variant>
      <vt:variant>
        <vt:i4>2686988</vt:i4>
      </vt:variant>
      <vt:variant>
        <vt:i4>26</vt:i4>
      </vt:variant>
      <vt:variant>
        <vt:i4>0</vt:i4>
      </vt:variant>
      <vt:variant>
        <vt:i4>5</vt:i4>
      </vt:variant>
      <vt:variant>
        <vt:lpwstr/>
      </vt:variant>
      <vt:variant>
        <vt:lpwstr>_Toc9945121</vt:lpwstr>
      </vt:variant>
      <vt:variant>
        <vt:i4>2686988</vt:i4>
      </vt:variant>
      <vt:variant>
        <vt:i4>20</vt:i4>
      </vt:variant>
      <vt:variant>
        <vt:i4>0</vt:i4>
      </vt:variant>
      <vt:variant>
        <vt:i4>5</vt:i4>
      </vt:variant>
      <vt:variant>
        <vt:lpwstr/>
      </vt:variant>
      <vt:variant>
        <vt:lpwstr>_Toc9945120</vt:lpwstr>
      </vt:variant>
      <vt:variant>
        <vt:i4>2752524</vt:i4>
      </vt:variant>
      <vt:variant>
        <vt:i4>14</vt:i4>
      </vt:variant>
      <vt:variant>
        <vt:i4>0</vt:i4>
      </vt:variant>
      <vt:variant>
        <vt:i4>5</vt:i4>
      </vt:variant>
      <vt:variant>
        <vt:lpwstr/>
      </vt:variant>
      <vt:variant>
        <vt:lpwstr>_Toc9945119</vt:lpwstr>
      </vt:variant>
      <vt:variant>
        <vt:i4>2752524</vt:i4>
      </vt:variant>
      <vt:variant>
        <vt:i4>8</vt:i4>
      </vt:variant>
      <vt:variant>
        <vt:i4>0</vt:i4>
      </vt:variant>
      <vt:variant>
        <vt:i4>5</vt:i4>
      </vt:variant>
      <vt:variant>
        <vt:lpwstr/>
      </vt:variant>
      <vt:variant>
        <vt:lpwstr>_Toc9945118</vt:lpwstr>
      </vt:variant>
      <vt:variant>
        <vt:i4>2752524</vt:i4>
      </vt:variant>
      <vt:variant>
        <vt:i4>2</vt:i4>
      </vt:variant>
      <vt:variant>
        <vt:i4>0</vt:i4>
      </vt:variant>
      <vt:variant>
        <vt:i4>5</vt:i4>
      </vt:variant>
      <vt:variant>
        <vt:lpwstr/>
      </vt:variant>
      <vt:variant>
        <vt:lpwstr>_Toc9945117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32</cp:revision>
  <cp:lastPrinted>2019-11-29T15:20:00Z</cp:lastPrinted>
  <dcterms:created xsi:type="dcterms:W3CDTF">2023-01-23T15:22:00Z</dcterms:created>
  <dcterms:modified xsi:type="dcterms:W3CDTF">2023-02-09T08:51:00Z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Last edited using">
    <vt:lpwstr>LW 8.1, Build 20220902</vt:lpwstr>
  </property>
  <property fmtid="{D5CDD505-2E9C-101B-9397-08002B2CF9AE}" pid="7" name="Created using">
    <vt:lpwstr>LW 6.0.1, Build 20180503</vt:lpwstr>
  </property>
  <property fmtid="{D5CDD505-2E9C-101B-9397-08002B2CF9AE}" pid="8" name="CPTemplateID">
    <vt:lpwstr>CP-007</vt:lpwstr>
  </property>
  <property fmtid="{D5CDD505-2E9C-101B-9397-08002B2CF9AE}" pid="9" name="ContentTypeId">
    <vt:lpwstr>0x010100258AA79CEB83498886A3A0868112325000350DD215E5FCED40A24853182B6A5813</vt:lpwstr>
  </property>
  <property fmtid="{D5CDD505-2E9C-101B-9397-08002B2CF9AE}" pid="10" name="MSIP_Label_6bd9ddd1-4d20-43f6-abfa-fc3c07406f94_Enabled">
    <vt:lpwstr>true</vt:lpwstr>
  </property>
  <property fmtid="{D5CDD505-2E9C-101B-9397-08002B2CF9AE}" pid="11" name="MSIP_Label_6bd9ddd1-4d20-43f6-abfa-fc3c07406f94_SetDate">
    <vt:lpwstr>2022-07-14T14:46:22Z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d653b532-ef44-4d12-8722-31f4c494dc6e</vt:lpwstr>
  </property>
  <property fmtid="{D5CDD505-2E9C-101B-9397-08002B2CF9AE}" pid="16" name="MSIP_Label_6bd9ddd1-4d20-43f6-abfa-fc3c07406f94_ContentBits">
    <vt:lpwstr>0</vt:lpwstr>
  </property>
  <property name="OP_sanitized" fmtid="{D5CDD505-2E9C-101B-9397-08002B2CF9AE}" pid="17">
    <vt:lpwstr>True</vt:lpwstr>
  </property>
</Properties>
</file>