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EA062" w14:textId="0D58AF76" w:rsidR="0026613F" w:rsidRPr="0011338B" w:rsidRDefault="00377E55" w:rsidP="00377E55">
      <w:pPr>
        <w:pStyle w:val="Pagedecouverture"/>
        <w:rPr>
          <w:noProof/>
          <w:lang w:val="it-IT"/>
        </w:rPr>
      </w:pPr>
      <w:bookmarkStart w:id="0" w:name="LW_BM_COVERPAGE"/>
      <w:r>
        <w:rPr>
          <w:noProof/>
          <w:lang w:val="it-IT"/>
        </w:rPr>
        <w:pict w14:anchorId="31934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574C3F4-EB3D-4448-9F7C-CAC48FF7FDAF" style="width:455.25pt;height:411.75pt">
            <v:imagedata r:id="rId8" o:title=""/>
          </v:shape>
        </w:pict>
      </w:r>
    </w:p>
    <w:bookmarkEnd w:id="0"/>
    <w:p w14:paraId="1BAB7A03" w14:textId="77777777" w:rsidR="0026613F" w:rsidRPr="0011338B" w:rsidRDefault="0026613F" w:rsidP="0026613F">
      <w:pPr>
        <w:rPr>
          <w:noProof/>
          <w:lang w:val="it-IT"/>
        </w:rPr>
        <w:sectPr w:rsidR="0026613F" w:rsidRPr="0011338B" w:rsidSect="00377E55">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6E5B0D" w:rsidRPr="0011338B" w14:paraId="3FE82ECF" w14:textId="77777777" w:rsidTr="0070778A">
        <w:tc>
          <w:tcPr>
            <w:tcW w:w="10490" w:type="dxa"/>
            <w:tcBorders>
              <w:bottom w:val="single" w:sz="4" w:space="0" w:color="auto"/>
            </w:tcBorders>
            <w:shd w:val="clear" w:color="auto" w:fill="CCCCCC"/>
          </w:tcPr>
          <w:p w14:paraId="1C749797" w14:textId="77777777" w:rsidR="006E5B0D" w:rsidRPr="0011338B" w:rsidRDefault="006E5B0D" w:rsidP="006E5B0D">
            <w:pPr>
              <w:spacing w:after="240" w:line="240" w:lineRule="auto"/>
              <w:jc w:val="both"/>
              <w:rPr>
                <w:rFonts w:ascii="Times New Roman" w:eastAsia="Times New Roman" w:hAnsi="Times New Roman" w:cs="Times New Roman"/>
                <w:b/>
                <w:noProof/>
                <w:sz w:val="24"/>
                <w:lang w:val="it-IT"/>
              </w:rPr>
            </w:pPr>
            <w:bookmarkStart w:id="1" w:name="_GoBack"/>
            <w:bookmarkEnd w:id="1"/>
            <w:r w:rsidRPr="0011338B">
              <w:rPr>
                <w:rFonts w:ascii="Times New Roman" w:hAnsi="Times New Roman"/>
                <w:b/>
                <w:noProof/>
                <w:sz w:val="24"/>
                <w:lang w:val="it-IT"/>
              </w:rPr>
              <w:lastRenderedPageBreak/>
              <w:t>Scheda di sintesi</w:t>
            </w:r>
          </w:p>
        </w:tc>
      </w:tr>
      <w:tr w:rsidR="006E5B0D" w:rsidRPr="0011338B" w14:paraId="63919260" w14:textId="77777777" w:rsidTr="0070778A">
        <w:tc>
          <w:tcPr>
            <w:tcW w:w="10490" w:type="dxa"/>
            <w:tcBorders>
              <w:top w:val="single" w:sz="4" w:space="0" w:color="auto"/>
              <w:left w:val="single" w:sz="4" w:space="0" w:color="auto"/>
              <w:bottom w:val="single" w:sz="4" w:space="0" w:color="auto"/>
              <w:right w:val="single" w:sz="4" w:space="0" w:color="auto"/>
            </w:tcBorders>
            <w:shd w:val="clear" w:color="auto" w:fill="4F81BD"/>
          </w:tcPr>
          <w:p w14:paraId="49588275" w14:textId="69828B9F" w:rsidR="006E5B0D" w:rsidRPr="0011338B" w:rsidRDefault="009536CC" w:rsidP="00F43734">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noProof/>
                <w:sz w:val="24"/>
                <w:lang w:val="it-IT"/>
              </w:rPr>
              <w:t xml:space="preserve">Valutazione d'impatto di un regolamento di esecuzione della Commissione che stabilisce un elenco di serie di dati di elevato valore e le relative modalità di pubblicazione e riutilizzo </w:t>
            </w:r>
          </w:p>
        </w:tc>
      </w:tr>
      <w:tr w:rsidR="006E5B0D" w:rsidRPr="0011338B" w14:paraId="16A84283" w14:textId="77777777" w:rsidTr="0070778A">
        <w:tc>
          <w:tcPr>
            <w:tcW w:w="10490" w:type="dxa"/>
            <w:tcBorders>
              <w:bottom w:val="single" w:sz="4" w:space="0" w:color="auto"/>
            </w:tcBorders>
            <w:shd w:val="clear" w:color="auto" w:fill="CCCCCC"/>
          </w:tcPr>
          <w:p w14:paraId="62A95ED7" w14:textId="77777777" w:rsidR="006E5B0D" w:rsidRPr="0011338B" w:rsidRDefault="006E5B0D" w:rsidP="006E5B0D">
            <w:pPr>
              <w:spacing w:after="240" w:line="240" w:lineRule="auto"/>
              <w:jc w:val="both"/>
              <w:rPr>
                <w:rFonts w:ascii="Times New Roman" w:eastAsia="Times New Roman" w:hAnsi="Times New Roman" w:cs="Times New Roman"/>
                <w:b/>
                <w:noProof/>
                <w:sz w:val="24"/>
                <w:lang w:val="it-IT"/>
              </w:rPr>
            </w:pPr>
            <w:r w:rsidRPr="0011338B">
              <w:rPr>
                <w:rFonts w:ascii="Times New Roman" w:hAnsi="Times New Roman"/>
                <w:b/>
                <w:noProof/>
                <w:sz w:val="24"/>
                <w:lang w:val="it-IT"/>
              </w:rPr>
              <w:t>A. Necessità di intervenire</w:t>
            </w:r>
          </w:p>
        </w:tc>
      </w:tr>
      <w:tr w:rsidR="006E5B0D" w:rsidRPr="0011338B" w14:paraId="058C7678" w14:textId="77777777" w:rsidTr="0070778A">
        <w:tc>
          <w:tcPr>
            <w:tcW w:w="10490" w:type="dxa"/>
            <w:tcBorders>
              <w:bottom w:val="single" w:sz="4" w:space="0" w:color="auto"/>
            </w:tcBorders>
            <w:shd w:val="clear" w:color="auto" w:fill="E0E0E0"/>
          </w:tcPr>
          <w:p w14:paraId="500C5E5A" w14:textId="77777777" w:rsidR="006E5B0D" w:rsidRPr="0011338B" w:rsidRDefault="006E5B0D" w:rsidP="006E5B0D">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b/>
                <w:noProof/>
                <w:sz w:val="24"/>
                <w:lang w:val="it-IT"/>
              </w:rPr>
              <w:t xml:space="preserve">Qual è il problema e perché si pone a livello dell'UE? </w:t>
            </w:r>
          </w:p>
        </w:tc>
      </w:tr>
      <w:tr w:rsidR="006E5B0D" w:rsidRPr="0011338B" w14:paraId="38FC51DA" w14:textId="77777777" w:rsidTr="0070778A">
        <w:tc>
          <w:tcPr>
            <w:tcW w:w="10490" w:type="dxa"/>
            <w:tcBorders>
              <w:bottom w:val="single" w:sz="4" w:space="0" w:color="auto"/>
            </w:tcBorders>
            <w:shd w:val="clear" w:color="auto" w:fill="auto"/>
          </w:tcPr>
          <w:p w14:paraId="55BE5970" w14:textId="1260AEAA" w:rsidR="003D20D8" w:rsidRPr="0011338B" w:rsidRDefault="00CB1D05" w:rsidP="00CB1D05">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noProof/>
                <w:sz w:val="24"/>
                <w:lang w:val="it-IT"/>
              </w:rPr>
              <w:t xml:space="preserve">Il settore pubblico produce grandi quantità di dati (ad esempio dati meteorologici, mappe digitali, statistiche e informazioni giuridiche) che rappresentano una risorsa preziosa per l'economia digitale, utilizzata per produrre servizi e applicazioni basati sui dati, fornire servizi pubblici e privati in modo più efficiente e consentire un processo decisionale meglio informato. </w:t>
            </w:r>
          </w:p>
          <w:p w14:paraId="78A98FEA" w14:textId="7336C0CE" w:rsidR="006454A9" w:rsidRPr="0011338B" w:rsidRDefault="00D92397" w:rsidP="00CB1D05">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noProof/>
                <w:sz w:val="24"/>
                <w:lang w:val="it-IT"/>
              </w:rPr>
              <w:t>Il problema principale è che questi dati (l'informazione del settore pubblico) non vengono riutilizzati, almeno non nella misura che consentirebbe loro di realizzare il proprio potenziale socioeconomico. Ciò è dovuto a due serie di ostacoli: da un lato, gli ostacoli all'accesso al mercato derivanti dall'applicazione di tariffe di riutilizzo; dall'altro, la scarsa interoperabilità (condizioni di licenza incompatibili e bassa standardizzazione tecnica/semantica dei dati) e la scarsa leggibilità meccanica dei dati (compreso l'accesso tramite interfacce di programmazione delle applicazioni, API).</w:t>
            </w:r>
          </w:p>
          <w:p w14:paraId="1C02F84D" w14:textId="550A195E" w:rsidR="00B023CA" w:rsidRPr="0011338B" w:rsidRDefault="006454A9" w:rsidP="00187F69">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noProof/>
                <w:sz w:val="24"/>
                <w:lang w:val="it-IT"/>
              </w:rPr>
              <w:t xml:space="preserve">Il problema è comune a tutti i dati del settore pubblico, ma è più accentuato nel caso delle serie di dati di elevato valore in sei settori: dati relativi alle imprese e alla proprietà delle imprese, dati geospaziali, dati relativi all'osservazione della terra e all'ambiente, dati meteorologici, dati relativi alla mobilità e dati statistici. Queste serie di dati sono molto richieste, ma il riutilizzo è inferiore a quello che dovrebbe essere a causa del persistere di ostacoli. Il problema riguarda tutti i riutilizzatori, sia non commerciali (organizzazioni non governative (ONG), ricercatori e pubblico) sia commerciali (perlopiù start-up e piccole imprese senza risorse da investire in anticipo nell'acquisizione dei dati). </w:t>
            </w:r>
          </w:p>
        </w:tc>
      </w:tr>
      <w:tr w:rsidR="006E5B0D" w:rsidRPr="0011338B" w14:paraId="31A2B06B" w14:textId="77777777" w:rsidTr="0070778A">
        <w:tc>
          <w:tcPr>
            <w:tcW w:w="10490" w:type="dxa"/>
            <w:tcBorders>
              <w:bottom w:val="single" w:sz="4" w:space="0" w:color="auto"/>
            </w:tcBorders>
            <w:shd w:val="clear" w:color="auto" w:fill="E6E6E6"/>
          </w:tcPr>
          <w:p w14:paraId="42DCF4A8" w14:textId="77777777" w:rsidR="006E5B0D" w:rsidRPr="0011338B" w:rsidRDefault="006E5B0D" w:rsidP="006E5B0D">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b/>
                <w:noProof/>
                <w:sz w:val="24"/>
                <w:lang w:val="it-IT"/>
              </w:rPr>
              <w:t>Quali sono l'obiettivo dell'iniziativa?</w:t>
            </w:r>
          </w:p>
        </w:tc>
      </w:tr>
      <w:tr w:rsidR="006E5B0D" w:rsidRPr="0011338B" w14:paraId="1E6EF4E0" w14:textId="77777777" w:rsidTr="0070778A">
        <w:tc>
          <w:tcPr>
            <w:tcW w:w="10490" w:type="dxa"/>
            <w:tcBorders>
              <w:bottom w:val="single" w:sz="4" w:space="0" w:color="auto"/>
            </w:tcBorders>
            <w:shd w:val="clear" w:color="auto" w:fill="auto"/>
          </w:tcPr>
          <w:p w14:paraId="4956B51D" w14:textId="214B8CDD" w:rsidR="006E5B0D" w:rsidRPr="0011338B" w:rsidRDefault="006454A9" w:rsidP="00187F69">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noProof/>
                <w:sz w:val="24"/>
                <w:lang w:val="it-IT"/>
              </w:rPr>
              <w:t>Il principale obiettivo strategico è aumentare il riutilizzo dell'informazione del settore pubblico a beneficio dell'economia (riutilizzo commerciale) e della società (riutilizzo non commerciale, ad esempio a fini ambientali o di trasparenza).</w:t>
            </w:r>
          </w:p>
        </w:tc>
      </w:tr>
      <w:tr w:rsidR="006E5B0D" w:rsidRPr="0011338B" w14:paraId="36BFC910" w14:textId="77777777" w:rsidTr="0070778A">
        <w:tc>
          <w:tcPr>
            <w:tcW w:w="10490" w:type="dxa"/>
            <w:tcBorders>
              <w:bottom w:val="single" w:sz="4" w:space="0" w:color="auto"/>
            </w:tcBorders>
            <w:shd w:val="clear" w:color="auto" w:fill="E6E6E6"/>
          </w:tcPr>
          <w:p w14:paraId="21B4F8F6" w14:textId="4468903B" w:rsidR="006E5B0D" w:rsidRPr="0011338B" w:rsidRDefault="006E5B0D" w:rsidP="00F43734">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b/>
                <w:noProof/>
                <w:sz w:val="24"/>
                <w:lang w:val="it-IT"/>
              </w:rPr>
              <w:t>Qual è il valore aggiunto dell'intervento a livello dell'UE (sussidiarietà)?</w:t>
            </w:r>
            <w:r w:rsidRPr="0011338B">
              <w:rPr>
                <w:rFonts w:ascii="Times New Roman" w:hAnsi="Times New Roman"/>
                <w:noProof/>
                <w:sz w:val="24"/>
                <w:lang w:val="it-IT"/>
              </w:rPr>
              <w:t xml:space="preserve"> </w:t>
            </w:r>
          </w:p>
        </w:tc>
      </w:tr>
      <w:tr w:rsidR="006E5B0D" w:rsidRPr="0011338B" w14:paraId="780AFF15" w14:textId="77777777" w:rsidTr="0070778A">
        <w:tc>
          <w:tcPr>
            <w:tcW w:w="10490" w:type="dxa"/>
            <w:tcBorders>
              <w:bottom w:val="single" w:sz="4" w:space="0" w:color="auto"/>
            </w:tcBorders>
            <w:shd w:val="clear" w:color="auto" w:fill="auto"/>
          </w:tcPr>
          <w:p w14:paraId="76914087" w14:textId="55F3BBDB" w:rsidR="006E5B0D" w:rsidRPr="0011338B" w:rsidRDefault="007732C1" w:rsidP="00B023CA">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noProof/>
                <w:sz w:val="24"/>
                <w:lang w:val="it-IT"/>
              </w:rPr>
              <w:t>Solo alcuni Stati membri hanno introdotto misure nazionali per la definizione e l'apertura delle categorie di dati più importanti (ad esempio, dati di riferimento in Danimarca e Cechia, dati di interesse pubblico in Francia). Tuttavia tali misure non mirano a facilitare l'utilizzo dei dati in tutta l'UE. Inoltre l'indice di maturità dei dati aperti del portale europeo dei dati mostra che esistono ancora disparità nel riutilizzo dell'informazione del settore pubblico nell'UE e che l'intervento dell'UE è il modo più appropriato per ridurle.</w:t>
            </w:r>
          </w:p>
          <w:p w14:paraId="3D657374" w14:textId="40098643" w:rsidR="00B023CA" w:rsidRPr="0011338B" w:rsidRDefault="00B023CA" w:rsidP="00187F69">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noProof/>
                <w:sz w:val="24"/>
                <w:lang w:val="it-IT"/>
              </w:rPr>
              <w:t xml:space="preserve">L'adozione del regolamento di esecuzione è un obbligo giuridico a norma della direttiva sull'apertura dei dati. La valutazione della direttiva nel 2018 ha confermato che essa ha apportato un valore aggiunto nel migliorare l'uso dei dati pubblici in tutta l'UE. La definizione dell'elenco di serie di dati di elevato valore e delle relative modalità di pubblicazione e riutilizzo è la prossima tappa della politica di lunga data dell'UE per l'apertura dei dati, che mira ad armonizzare e ad aprire progressivamente i dati del settore pubblico. Questa finalità è sostenuta dagli Stati membri. </w:t>
            </w:r>
          </w:p>
        </w:tc>
      </w:tr>
      <w:tr w:rsidR="006E5B0D" w:rsidRPr="0011338B" w14:paraId="71A4B0C8" w14:textId="77777777" w:rsidTr="0070778A">
        <w:tc>
          <w:tcPr>
            <w:tcW w:w="10490" w:type="dxa"/>
            <w:tcBorders>
              <w:bottom w:val="single" w:sz="4" w:space="0" w:color="auto"/>
            </w:tcBorders>
            <w:shd w:val="clear" w:color="auto" w:fill="CCCCCC"/>
          </w:tcPr>
          <w:p w14:paraId="58E8AF94" w14:textId="77777777" w:rsidR="006E5B0D" w:rsidRPr="0011338B" w:rsidRDefault="006E5B0D" w:rsidP="006E5B0D">
            <w:pPr>
              <w:spacing w:after="240" w:line="240" w:lineRule="auto"/>
              <w:jc w:val="both"/>
              <w:rPr>
                <w:rFonts w:ascii="Times New Roman" w:eastAsia="Times New Roman" w:hAnsi="Times New Roman" w:cs="Times New Roman"/>
                <w:b/>
                <w:noProof/>
                <w:sz w:val="24"/>
                <w:lang w:val="it-IT"/>
              </w:rPr>
            </w:pPr>
            <w:r w:rsidRPr="0011338B">
              <w:rPr>
                <w:rFonts w:ascii="Times New Roman" w:hAnsi="Times New Roman"/>
                <w:b/>
                <w:noProof/>
                <w:sz w:val="24"/>
                <w:lang w:val="it-IT"/>
              </w:rPr>
              <w:t>B. Soluzioni</w:t>
            </w:r>
          </w:p>
        </w:tc>
      </w:tr>
      <w:tr w:rsidR="006E5B0D" w:rsidRPr="0011338B" w14:paraId="7845CF5B" w14:textId="77777777" w:rsidTr="0070778A">
        <w:tc>
          <w:tcPr>
            <w:tcW w:w="10490" w:type="dxa"/>
            <w:tcBorders>
              <w:bottom w:val="single" w:sz="4" w:space="0" w:color="auto"/>
            </w:tcBorders>
            <w:shd w:val="clear" w:color="auto" w:fill="E6E6E6"/>
          </w:tcPr>
          <w:p w14:paraId="561ED7B3" w14:textId="77777777" w:rsidR="006E5B0D" w:rsidRPr="0011338B" w:rsidRDefault="006E5B0D" w:rsidP="006E5B0D">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b/>
                <w:noProof/>
                <w:sz w:val="24"/>
                <w:lang w:val="it-IT"/>
              </w:rPr>
              <w:t>Quali sono le varie opzioni per conseguire gli obiettivi?</w:t>
            </w:r>
            <w:r w:rsidRPr="0011338B">
              <w:rPr>
                <w:rFonts w:ascii="Times New Roman" w:hAnsi="Times New Roman"/>
                <w:noProof/>
                <w:sz w:val="24"/>
                <w:lang w:val="it-IT"/>
              </w:rPr>
              <w:t xml:space="preserve"> </w:t>
            </w:r>
            <w:r w:rsidRPr="0011338B">
              <w:rPr>
                <w:rFonts w:ascii="Times New Roman" w:hAnsi="Times New Roman"/>
                <w:b/>
                <w:noProof/>
                <w:sz w:val="24"/>
                <w:lang w:val="it-IT"/>
              </w:rPr>
              <w:t>Ne è stata prescelta una? In caso contrario, per quale motivo?</w:t>
            </w:r>
          </w:p>
        </w:tc>
      </w:tr>
      <w:tr w:rsidR="006E5B0D" w:rsidRPr="0011338B" w14:paraId="217EA6F5" w14:textId="77777777" w:rsidTr="0070778A">
        <w:tc>
          <w:tcPr>
            <w:tcW w:w="10490" w:type="dxa"/>
            <w:tcBorders>
              <w:bottom w:val="single" w:sz="4" w:space="0" w:color="auto"/>
            </w:tcBorders>
            <w:shd w:val="clear" w:color="auto" w:fill="auto"/>
          </w:tcPr>
          <w:p w14:paraId="2930D464" w14:textId="6E0D34BB" w:rsidR="00A91738" w:rsidRPr="0011338B" w:rsidRDefault="00C312F0" w:rsidP="00A91738">
            <w:pPr>
              <w:spacing w:after="240" w:line="240" w:lineRule="auto"/>
              <w:jc w:val="both"/>
              <w:rPr>
                <w:noProof/>
                <w:lang w:val="it-IT"/>
              </w:rPr>
            </w:pPr>
            <w:r w:rsidRPr="0011338B">
              <w:rPr>
                <w:rFonts w:ascii="Times New Roman" w:hAnsi="Times New Roman"/>
                <w:noProof/>
                <w:sz w:val="24"/>
                <w:lang w:val="it-IT"/>
              </w:rPr>
              <w:t>L'ambito di applicazione della soluzione è ampiamente definito all'articolo 14 della direttiva sull'apertura dei dati: i dati devono essere selezionati tra sei categorie tematiche e devono essere gratuiti, leggibili meccanicamente e disponibili tramite API. Pertanto la Commissione ha elaborato opzioni riguardanti altri due aspetti: l'ambito di applicazione delle serie di dati individuate e le prescrizioni per la loro pubblicazione e il loro riutilizzo.</w:t>
            </w:r>
            <w:r w:rsidRPr="0011338B">
              <w:rPr>
                <w:noProof/>
                <w:lang w:val="it-IT"/>
              </w:rPr>
              <w:t xml:space="preserve"> </w:t>
            </w:r>
          </w:p>
          <w:p w14:paraId="5150BD65" w14:textId="6F0E210A" w:rsidR="006E5B0D" w:rsidRPr="0011338B" w:rsidRDefault="00826EF1" w:rsidP="002334B6">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noProof/>
                <w:sz w:val="24"/>
                <w:lang w:val="it-IT"/>
              </w:rPr>
              <w:t>Le opzioni con maggiore e minore intensità di intervento per ciascuna delle sei categorie tematiche sono state oggetto di analisi e consultazione con i portatori di interessi e ne sono stati valutati i costi e i benefici. L'opzione prescelta è un'opzione a intensità mista basata sul risultato di un'analisi a criteri multipli. Essa ottimizza l'ambito di applicazione dei dati e il metodo di pubblicazione per ciascuna categoria tematica. Adotta un approccio a minore intensità per i dati sulle imprese, i dati geospaziali e i dati relativi alla mobilità, e un approccio a maggiore intensità per i dati statistici, ambientali e meteorologici.</w:t>
            </w:r>
          </w:p>
        </w:tc>
      </w:tr>
      <w:tr w:rsidR="006E5B0D" w:rsidRPr="0011338B" w14:paraId="7A2BC893" w14:textId="77777777" w:rsidTr="0070778A">
        <w:tc>
          <w:tcPr>
            <w:tcW w:w="10490" w:type="dxa"/>
            <w:shd w:val="clear" w:color="auto" w:fill="CCCCCC"/>
          </w:tcPr>
          <w:p w14:paraId="12D7C1A0" w14:textId="3D3878AF" w:rsidR="006E5B0D" w:rsidRPr="0011338B" w:rsidRDefault="006E5B0D" w:rsidP="0057423C">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b/>
                <w:noProof/>
                <w:sz w:val="24"/>
                <w:lang w:val="it-IT"/>
              </w:rPr>
              <w:t xml:space="preserve">Quali sono le opinioni dei diversi portatori di interessi? Chi sono i sostenitori delle varie opzioni? </w:t>
            </w:r>
          </w:p>
        </w:tc>
      </w:tr>
      <w:tr w:rsidR="006E5B0D" w:rsidRPr="0011338B" w14:paraId="204326D1" w14:textId="77777777" w:rsidTr="0070778A">
        <w:tc>
          <w:tcPr>
            <w:tcW w:w="10490" w:type="dxa"/>
            <w:shd w:val="clear" w:color="auto" w:fill="auto"/>
          </w:tcPr>
          <w:p w14:paraId="179D749F" w14:textId="1DB8C886" w:rsidR="009C0273" w:rsidRPr="0011338B" w:rsidRDefault="009C0273" w:rsidP="009C0273">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noProof/>
                <w:sz w:val="24"/>
                <w:lang w:val="it-IT"/>
              </w:rPr>
              <w:t xml:space="preserve">I riutilizzatori (piccole imprese che creano servizi di dati, ricercatori, ONG) sono generalmente molto entusiasti di tutte le iniziative in materia di dati aperti, mentre il settore pubblico (titolari dei dati) lo è di meno. Ciò dipende tuttavia dalla categoria tematica dei dati (ad esempio gli uffici statistici sono molto favorevoli pur essendo i titolari dei dati). </w:t>
            </w:r>
          </w:p>
          <w:p w14:paraId="7CBAAB1B" w14:textId="4FC9C3E5" w:rsidR="006E5B0D" w:rsidRPr="0011338B" w:rsidRDefault="00FF07F9" w:rsidP="002334B6">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noProof/>
                <w:sz w:val="24"/>
                <w:lang w:val="it-IT"/>
              </w:rPr>
              <w:t xml:space="preserve">Tutti i riutilizzatori sono favorevoli a un approccio a maggiore intensità. Gli enti pubblici si preoccupano dei costi potenziali (in particolare i costi una tantum per la creazione di API). L'opzione prescelta a intensità mista tiene conto di entrambe le posizioni. </w:t>
            </w:r>
          </w:p>
        </w:tc>
      </w:tr>
      <w:tr w:rsidR="006E5B0D" w:rsidRPr="0011338B" w14:paraId="482B3F39" w14:textId="77777777" w:rsidTr="0070778A">
        <w:tc>
          <w:tcPr>
            <w:tcW w:w="10490" w:type="dxa"/>
            <w:tcBorders>
              <w:bottom w:val="single" w:sz="4" w:space="0" w:color="auto"/>
            </w:tcBorders>
            <w:shd w:val="clear" w:color="auto" w:fill="CCCCCC"/>
          </w:tcPr>
          <w:p w14:paraId="4B34EB14" w14:textId="0A6D1AD6" w:rsidR="006E5B0D" w:rsidRPr="0011338B" w:rsidRDefault="006E5B0D" w:rsidP="00383722">
            <w:pPr>
              <w:spacing w:after="240" w:line="240" w:lineRule="auto"/>
              <w:jc w:val="both"/>
              <w:rPr>
                <w:rFonts w:ascii="Times New Roman" w:eastAsia="Times New Roman" w:hAnsi="Times New Roman" w:cs="Times New Roman"/>
                <w:b/>
                <w:noProof/>
                <w:sz w:val="24"/>
                <w:lang w:val="it-IT"/>
              </w:rPr>
            </w:pPr>
            <w:r w:rsidRPr="0011338B">
              <w:rPr>
                <w:rFonts w:ascii="Times New Roman" w:hAnsi="Times New Roman"/>
                <w:b/>
                <w:noProof/>
                <w:sz w:val="24"/>
                <w:lang w:val="it-IT"/>
              </w:rPr>
              <w:t>C. Impatto dell'opzione prescelta</w:t>
            </w:r>
          </w:p>
        </w:tc>
      </w:tr>
      <w:tr w:rsidR="006E5B0D" w:rsidRPr="0011338B" w14:paraId="3775D4B0" w14:textId="77777777" w:rsidTr="0070778A">
        <w:tc>
          <w:tcPr>
            <w:tcW w:w="10490" w:type="dxa"/>
            <w:tcBorders>
              <w:bottom w:val="single" w:sz="4" w:space="0" w:color="auto"/>
            </w:tcBorders>
            <w:shd w:val="clear" w:color="auto" w:fill="E6E6E6"/>
          </w:tcPr>
          <w:p w14:paraId="3E254932" w14:textId="16AB33C6" w:rsidR="006E5B0D" w:rsidRPr="0011338B" w:rsidRDefault="006E5B0D" w:rsidP="006E5B0D">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b/>
                <w:noProof/>
                <w:sz w:val="24"/>
                <w:lang w:val="it-IT"/>
              </w:rPr>
              <w:t>Quali sono i vantaggi</w:t>
            </w:r>
            <w:r w:rsidRPr="0011338B">
              <w:rPr>
                <w:rFonts w:ascii="Times New Roman" w:hAnsi="Times New Roman"/>
                <w:noProof/>
                <w:sz w:val="24"/>
                <w:lang w:val="it-IT"/>
              </w:rPr>
              <w:t xml:space="preserve"> </w:t>
            </w:r>
            <w:r w:rsidRPr="0011338B">
              <w:rPr>
                <w:rFonts w:ascii="Times New Roman" w:hAnsi="Times New Roman"/>
                <w:b/>
                <w:noProof/>
                <w:sz w:val="24"/>
                <w:lang w:val="it-IT"/>
              </w:rPr>
              <w:t>dell'opzione prescelta (o in mancanza di quest'ultima, delle opzioni principali)?</w:t>
            </w:r>
            <w:r w:rsidRPr="0011338B">
              <w:rPr>
                <w:rFonts w:ascii="Times New Roman" w:hAnsi="Times New Roman"/>
                <w:noProof/>
                <w:sz w:val="24"/>
                <w:lang w:val="it-IT"/>
              </w:rPr>
              <w:t xml:space="preserve"> </w:t>
            </w:r>
          </w:p>
        </w:tc>
      </w:tr>
      <w:tr w:rsidR="006E5B0D" w:rsidRPr="0011338B" w14:paraId="5720282F" w14:textId="77777777" w:rsidTr="0070778A">
        <w:tc>
          <w:tcPr>
            <w:tcW w:w="10490" w:type="dxa"/>
            <w:tcBorders>
              <w:bottom w:val="single" w:sz="4" w:space="0" w:color="auto"/>
            </w:tcBorders>
            <w:shd w:val="clear" w:color="auto" w:fill="auto"/>
          </w:tcPr>
          <w:p w14:paraId="3E6D2F64" w14:textId="10EE3528" w:rsidR="00D11FE6" w:rsidRPr="0011338B" w:rsidRDefault="00D11FE6" w:rsidP="00D11FE6">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noProof/>
                <w:sz w:val="24"/>
                <w:lang w:val="it-IT"/>
              </w:rPr>
              <w:t>Per l'opzione mista prescelta si stima che il valore per l'economia dell'informazione del settore pubblico e delle serie di dati di elevato valore crescerà fino a 276 miliardi di EUR nel 2028. Il rapporto rispetto al PIL nel 2028 dovrebbe salire al 2,00 % rispetto all'1,85 % in assenza di interventi (lo scenario di base). Ciò significa che l'opzione prescelta ha un impatto incrementale di 21 miliardi di EUR rispetto allo scenario di base. Si tratta inoltre di 8 miliardi di EUR in più rispetto al valore dell'attuazione dell'opzione a minore intensità (268 miliardi di EUR).</w:t>
            </w:r>
          </w:p>
          <w:p w14:paraId="7DBFE5CB" w14:textId="3A961421" w:rsidR="006E5B0D" w:rsidRPr="0011338B" w:rsidRDefault="00D11FE6" w:rsidP="00D11FE6">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noProof/>
                <w:sz w:val="24"/>
                <w:lang w:val="it-IT"/>
              </w:rPr>
              <w:t>L'impatto totale ha effetti diretti e indiretti. Nel 2028 l'effetto indiretto dell'attuazione dell'opzione prescelta sarebbe di 201 miliardi di EUR, ossia 16 miliardi di EUR in più rispetto allo scenario di base (185 miliardi di EUR). L'effetto diretto dell'opzione prescelta nel 2028 è di 75 miliardi di EUR, con un impatto incrementale di 6 miliardi di EUR rispetto allo scenario di base.</w:t>
            </w:r>
          </w:p>
          <w:p w14:paraId="45DF8E1D" w14:textId="04A542E7" w:rsidR="00F04859" w:rsidRPr="0011338B" w:rsidRDefault="009513B0" w:rsidP="00D11FE6">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noProof/>
                <w:sz w:val="24"/>
                <w:lang w:val="it-IT"/>
              </w:rPr>
              <w:t>Le cifre summenzionate sono stime poiché è difficile quantificare i particolari benefici corrispondenti a una serie di dati: il loro valore è spesso espresso meglio in combinazione con altre serie di dati. Utilizzando il quadro elaborato con lo studio di valutazione d'impatto, le serie di dati sono state associate a una serie di indicatori provenienti da diversi settori macroeconomici, nonché ai risultati di ricerche documentali e ai contributi di diversi portatori di interessi.</w:t>
            </w:r>
          </w:p>
          <w:p w14:paraId="2C5BC1A2" w14:textId="7D46CCA2" w:rsidR="00F04859" w:rsidRPr="0011338B" w:rsidRDefault="009513B0" w:rsidP="00666C47">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noProof/>
                <w:sz w:val="24"/>
                <w:lang w:val="it-IT"/>
              </w:rPr>
              <w:t>Oltre all'impatto economico stimato, l'iniziativa dovrebbe comportare benefici sociali e ambientali. Maggiori informazioni sulle imprese offrono chiari vantaggi sociali, tra l'altro, in termini di lotta alla criminalità (compresa la criminalità finanziaria), maggiore impegno pubblico e assunzione di responsabilità da parte dei governi (ad esempio attraverso il sostegno pubblico alle imprese). Il riutilizzo dei dati ambientali, relativi alla mobilità spaziale e meteorologici dovrebbe contribuire, tra l'altro, alla ricerca sui cambiamenti climatici, alla riduzione dell'inquinamento atmosferico urbano e al miglioramento delle infrastrutture di trasporto. Le misure per gestire la pandemia di COVID-19 hanno inoltre dimostrato l'importanza della geolocalizzazione degli ospedali, delle infrastrutture pertinenti e delle persone.</w:t>
            </w:r>
          </w:p>
        </w:tc>
      </w:tr>
      <w:tr w:rsidR="006E5B0D" w:rsidRPr="0011338B" w14:paraId="66CEF339" w14:textId="77777777" w:rsidTr="0070778A">
        <w:tc>
          <w:tcPr>
            <w:tcW w:w="10490" w:type="dxa"/>
            <w:tcBorders>
              <w:bottom w:val="single" w:sz="4" w:space="0" w:color="auto"/>
            </w:tcBorders>
            <w:shd w:val="clear" w:color="auto" w:fill="E6E6E6"/>
          </w:tcPr>
          <w:p w14:paraId="07B28618" w14:textId="2B9B4DB0" w:rsidR="006E5B0D" w:rsidRPr="0011338B" w:rsidRDefault="006E5B0D" w:rsidP="00187F69">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b/>
                <w:noProof/>
                <w:sz w:val="24"/>
                <w:lang w:val="it-IT"/>
              </w:rPr>
              <w:t>Quali sono i costi dell'opzione prescelta (o in mancanza di quest'ultima, delle opzioni principali)?</w:t>
            </w:r>
            <w:r w:rsidRPr="0011338B">
              <w:rPr>
                <w:rFonts w:ascii="Times New Roman" w:hAnsi="Times New Roman"/>
                <w:noProof/>
                <w:sz w:val="24"/>
                <w:lang w:val="it-IT"/>
              </w:rPr>
              <w:t xml:space="preserve"> </w:t>
            </w:r>
          </w:p>
        </w:tc>
      </w:tr>
      <w:tr w:rsidR="006E5B0D" w:rsidRPr="0011338B" w14:paraId="6D08B2CD" w14:textId="77777777" w:rsidTr="0070778A">
        <w:tc>
          <w:tcPr>
            <w:tcW w:w="10490" w:type="dxa"/>
            <w:tcBorders>
              <w:bottom w:val="single" w:sz="4" w:space="0" w:color="auto"/>
            </w:tcBorders>
            <w:shd w:val="clear" w:color="auto" w:fill="auto"/>
          </w:tcPr>
          <w:p w14:paraId="2C55CDDD" w14:textId="003CBEF0" w:rsidR="006E5B0D" w:rsidRPr="0011338B" w:rsidRDefault="008F0546" w:rsidP="008F0546">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noProof/>
                <w:sz w:val="24"/>
                <w:lang w:val="it-IT"/>
              </w:rPr>
              <w:t>I costi sono diversi a seconda delle categorie tematiche di dati. Anche la valutazione dei costi è complessa per diversi motivi. È difficile separare i costi delle serie di dati di elevato valore dai costi di riutilizzo di altre serie di dati, poiché alcune infrastrutture informatiche non possono essere utilizzate solo per le serie di dati di elevato valore (ad esempio quando il potenziamento di un'infrastruttura è previsto da altre normative, come la direttiva Inspire, o quando rientra in un'iniziativa di digitalizzazione). Anche la quantità di modifiche necessarie per ciascuna serie di dati e per ciascun ente pubblico interessato può variare notevolmente.</w:t>
            </w:r>
          </w:p>
          <w:p w14:paraId="72C7704C" w14:textId="2107F371" w:rsidR="008F0546" w:rsidRPr="0011338B" w:rsidRDefault="003E5E82" w:rsidP="008F0546">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noProof/>
                <w:sz w:val="24"/>
                <w:lang w:val="it-IT"/>
              </w:rPr>
              <w:t>Tuttavia le stime generali disponibili indicano quanto segue:</w:t>
            </w:r>
          </w:p>
          <w:p w14:paraId="682C0BB8" w14:textId="5333E868" w:rsidR="003E5E82" w:rsidRPr="0011338B" w:rsidRDefault="003E5E82" w:rsidP="0048448C">
            <w:pPr>
              <w:pStyle w:val="ListParagraph"/>
              <w:numPr>
                <w:ilvl w:val="0"/>
                <w:numId w:val="1"/>
              </w:num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noProof/>
                <w:sz w:val="24"/>
                <w:lang w:val="it-IT"/>
              </w:rPr>
              <w:t xml:space="preserve">i costi una tantum (ad esempio la creazione di API) variano da 24,9 milioni di EUR (stima bassa) a 435,9 milioni di EUR (stima elevata), con una stima media di circa 122,3 milioni di EUR; </w:t>
            </w:r>
          </w:p>
          <w:p w14:paraId="7CCA7246" w14:textId="36A888AE" w:rsidR="003C09AF" w:rsidRPr="0011338B" w:rsidRDefault="00666C47" w:rsidP="0048448C">
            <w:pPr>
              <w:pStyle w:val="ListParagraph"/>
              <w:numPr>
                <w:ilvl w:val="0"/>
                <w:numId w:val="1"/>
              </w:num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noProof/>
                <w:sz w:val="24"/>
                <w:lang w:val="it-IT"/>
              </w:rPr>
              <w:t>i costi ricorrenti (ad esempio la perdita di entrate e le risorse necessarie per migliorare la qualità dei dati entro il 2028) sono stimati a 473,6 milioni di EUR.</w:t>
            </w:r>
          </w:p>
          <w:p w14:paraId="7D8EDEDD" w14:textId="5C156001" w:rsidR="00082FBE" w:rsidRPr="0011338B" w:rsidRDefault="00187F69" w:rsidP="00666C47">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noProof/>
                <w:sz w:val="24"/>
                <w:lang w:val="it-IT"/>
              </w:rPr>
              <w:t>Una parte dei costi può essere compensata dal finanziamento del programma Europa digitale, specificamente concepito per ridurre l'onere legato alla pubblicazione delle serie di dati di elevato valore.</w:t>
            </w:r>
          </w:p>
        </w:tc>
      </w:tr>
      <w:tr w:rsidR="006E5B0D" w:rsidRPr="0011338B" w14:paraId="4C235DC4" w14:textId="77777777" w:rsidTr="0070778A">
        <w:tc>
          <w:tcPr>
            <w:tcW w:w="10490" w:type="dxa"/>
            <w:tcBorders>
              <w:bottom w:val="single" w:sz="4" w:space="0" w:color="auto"/>
            </w:tcBorders>
            <w:shd w:val="clear" w:color="auto" w:fill="E6E6E6"/>
          </w:tcPr>
          <w:p w14:paraId="01C05FAF" w14:textId="7DA532A2" w:rsidR="006E5B0D" w:rsidRPr="0011338B" w:rsidRDefault="006E5B0D" w:rsidP="003E5E82">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b/>
                <w:noProof/>
                <w:sz w:val="24"/>
                <w:lang w:val="it-IT"/>
              </w:rPr>
              <w:t xml:space="preserve">Quale sarà l'incidenza sulle piccole imprese e sulla competitività? </w:t>
            </w:r>
          </w:p>
        </w:tc>
      </w:tr>
      <w:tr w:rsidR="006E5B0D" w:rsidRPr="0011338B" w14:paraId="389BBAB6" w14:textId="77777777" w:rsidTr="0070778A">
        <w:tc>
          <w:tcPr>
            <w:tcW w:w="10490" w:type="dxa"/>
            <w:tcBorders>
              <w:bottom w:val="single" w:sz="4" w:space="0" w:color="auto"/>
            </w:tcBorders>
            <w:shd w:val="clear" w:color="auto" w:fill="auto"/>
          </w:tcPr>
          <w:p w14:paraId="03D113F5" w14:textId="2FD402CD" w:rsidR="00600EB8" w:rsidRPr="0011338B" w:rsidRDefault="003E5E82" w:rsidP="0057423C">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noProof/>
                <w:sz w:val="24"/>
                <w:lang w:val="it-IT"/>
              </w:rPr>
              <w:t xml:space="preserve">La maggiore disponibilità di dati stimolerà l'imprenditorialità e porterà alla creazione di nuove imprese, anche se in misura diversa per ciascuna categoria tematica di dati (a causa, ad esempio, dell'attuale disponibilità di dati per categoria tematica e della loro maturità). Nel complesso l'apertura di serie di dati di elevato valore dovrebbe portare alla creazione di 537 000 nuove imprese nel 2028, rispetto alle 485 000 del 2024. </w:t>
            </w:r>
          </w:p>
          <w:p w14:paraId="06F749C4" w14:textId="3220F945" w:rsidR="003E5E82" w:rsidRPr="0011338B" w:rsidRDefault="00600EB8" w:rsidP="0057423C">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noProof/>
                <w:sz w:val="24"/>
                <w:lang w:val="it-IT"/>
              </w:rPr>
              <w:t xml:space="preserve">Oltre a sostenere la creazione di nuove imprese, le serie di dati di elevato valore possono essere fattori importanti per consentire alle start-up di convalidare le loro prospettive commerciali e attrarre gli investitori. I programmi di incubatori di dati hanno mostrato un legame tra politiche forti e proattive in materia di apertura dei dati negli Stati membri e il numero di start-up di successo nel settore dei dati in tali paesi. I dati aperti possono anche fornire indirettamente strumenti alle piccole imprese: alcune diventano infatti così qualificate nel gestirli che le soluzioni software per i dati si trasformano in uno dei loro prodotti principali. </w:t>
            </w:r>
          </w:p>
          <w:p w14:paraId="57D59AAD" w14:textId="213B5484" w:rsidR="006E5B0D" w:rsidRPr="0011338B" w:rsidRDefault="00600EB8" w:rsidP="00600EB8">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noProof/>
                <w:sz w:val="24"/>
                <w:lang w:val="it-IT"/>
              </w:rPr>
              <w:t>Infine la disponibilità di dati gratuiti contribuisce a riequilibrare la posizione delle piccole imprese rispetto alle grandi imprese tecnologiche (per le quali il costo dell'acquisizione dei dati non costituisce un ostacolo di rilievo).</w:t>
            </w:r>
          </w:p>
        </w:tc>
      </w:tr>
      <w:tr w:rsidR="006E5B0D" w:rsidRPr="0011338B" w14:paraId="1C2FAA1D" w14:textId="77777777" w:rsidTr="0070778A">
        <w:tc>
          <w:tcPr>
            <w:tcW w:w="10490" w:type="dxa"/>
            <w:tcBorders>
              <w:bottom w:val="single" w:sz="4" w:space="0" w:color="auto"/>
            </w:tcBorders>
            <w:shd w:val="clear" w:color="auto" w:fill="E6E6E6"/>
          </w:tcPr>
          <w:p w14:paraId="4956A61E" w14:textId="77777777" w:rsidR="006E5B0D" w:rsidRPr="0011338B" w:rsidRDefault="006E5B0D" w:rsidP="006E5B0D">
            <w:pPr>
              <w:spacing w:after="240" w:line="240" w:lineRule="auto"/>
              <w:jc w:val="both"/>
              <w:rPr>
                <w:rFonts w:ascii="Times New Roman" w:eastAsia="Times New Roman" w:hAnsi="Times New Roman" w:cs="Times New Roman"/>
                <w:b/>
                <w:i/>
                <w:noProof/>
                <w:sz w:val="24"/>
                <w:lang w:val="it-IT"/>
              </w:rPr>
            </w:pPr>
            <w:r w:rsidRPr="0011338B">
              <w:rPr>
                <w:rFonts w:ascii="Times New Roman" w:hAnsi="Times New Roman"/>
                <w:b/>
                <w:noProof/>
                <w:sz w:val="24"/>
                <w:lang w:val="it-IT"/>
              </w:rPr>
              <w:t>L'impatto sui bilanci</w:t>
            </w:r>
            <w:r w:rsidRPr="0011338B">
              <w:rPr>
                <w:rFonts w:ascii="Times New Roman" w:hAnsi="Times New Roman"/>
                <w:noProof/>
                <w:sz w:val="24"/>
                <w:lang w:val="it-IT"/>
              </w:rPr>
              <w:t xml:space="preserve"> </w:t>
            </w:r>
            <w:r w:rsidRPr="0011338B">
              <w:rPr>
                <w:rFonts w:ascii="Times New Roman" w:hAnsi="Times New Roman"/>
                <w:b/>
                <w:noProof/>
                <w:sz w:val="24"/>
                <w:lang w:val="it-IT"/>
              </w:rPr>
              <w:t>e sulle amministrazioni nazionali sarà significativo?</w:t>
            </w:r>
            <w:r w:rsidRPr="0011338B">
              <w:rPr>
                <w:rFonts w:ascii="Times New Roman" w:hAnsi="Times New Roman"/>
                <w:noProof/>
                <w:sz w:val="24"/>
                <w:lang w:val="it-IT"/>
              </w:rPr>
              <w:t xml:space="preserve"> </w:t>
            </w:r>
          </w:p>
        </w:tc>
      </w:tr>
      <w:tr w:rsidR="006E5B0D" w:rsidRPr="0011338B" w14:paraId="1FBB9D5A" w14:textId="77777777" w:rsidTr="0070778A">
        <w:tc>
          <w:tcPr>
            <w:tcW w:w="10490" w:type="dxa"/>
            <w:shd w:val="clear" w:color="auto" w:fill="auto"/>
          </w:tcPr>
          <w:p w14:paraId="6B9DCC83" w14:textId="1F1CE9A0" w:rsidR="006E5B0D" w:rsidRPr="0011338B" w:rsidRDefault="005D30AE" w:rsidP="00DC3667">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noProof/>
                <w:sz w:val="24"/>
                <w:lang w:val="it-IT"/>
              </w:rPr>
              <w:t>Tutti i costi sopra indicati saranno sostenuti dalle amministrazioni pubbliche, ma i costi più significativi saranno sostenuti una tantum (creazione di API). Per alcuni dati che sono attualmente pagati dai riutilizzatori (in particolare dati sulle imprese, meteorologici e catastali), inciderà sui costi il fatto che tali dati diventeranno gratuiti. La direttiva stabilisce tuttavia che gli Stati membri possono beneficiare di un periodo di adeguamento di due anni. Inoltre la disponibilità di dati gratuiti e la loro leggibilità meccanica dovrebbero ridurre i costi di trattamento dei dati (nessuna fatturazione, nessun trattamento delle richieste) e aumentare l'efficienza della gestione dei dati, riducendo così i costi complessivi nel medio termine.</w:t>
            </w:r>
          </w:p>
        </w:tc>
      </w:tr>
      <w:tr w:rsidR="006E5B0D" w:rsidRPr="0011338B" w14:paraId="67BD1558" w14:textId="77777777" w:rsidTr="0070778A">
        <w:tc>
          <w:tcPr>
            <w:tcW w:w="10490" w:type="dxa"/>
            <w:tcBorders>
              <w:bottom w:val="single" w:sz="4" w:space="0" w:color="auto"/>
            </w:tcBorders>
            <w:shd w:val="clear" w:color="auto" w:fill="E6E6E6"/>
          </w:tcPr>
          <w:p w14:paraId="7B903E90" w14:textId="77777777" w:rsidR="006E5B0D" w:rsidRPr="0011338B" w:rsidRDefault="006E5B0D" w:rsidP="006E5B0D">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b/>
                <w:noProof/>
                <w:sz w:val="24"/>
                <w:lang w:val="it-IT"/>
              </w:rPr>
              <w:t>Sono previsti altri impatti significativi?</w:t>
            </w:r>
            <w:r w:rsidRPr="0011338B">
              <w:rPr>
                <w:rFonts w:ascii="Times New Roman" w:hAnsi="Times New Roman"/>
                <w:noProof/>
                <w:sz w:val="24"/>
                <w:lang w:val="it-IT"/>
              </w:rPr>
              <w:t xml:space="preserve"> </w:t>
            </w:r>
          </w:p>
        </w:tc>
      </w:tr>
      <w:tr w:rsidR="006E5B0D" w:rsidRPr="0011338B" w14:paraId="096907CE" w14:textId="77777777" w:rsidTr="0070778A">
        <w:tc>
          <w:tcPr>
            <w:tcW w:w="10490" w:type="dxa"/>
            <w:tcBorders>
              <w:bottom w:val="single" w:sz="4" w:space="0" w:color="auto"/>
            </w:tcBorders>
            <w:shd w:val="clear" w:color="auto" w:fill="auto"/>
          </w:tcPr>
          <w:p w14:paraId="5BE8B4B2" w14:textId="77777777" w:rsidR="006E5B0D" w:rsidRPr="0011338B" w:rsidRDefault="004F6F36" w:rsidP="006E5B0D">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noProof/>
                <w:sz w:val="24"/>
                <w:lang w:val="it-IT"/>
              </w:rPr>
              <w:t xml:space="preserve">Non sono stati individuati altri impatti significativi. </w:t>
            </w:r>
          </w:p>
        </w:tc>
      </w:tr>
      <w:tr w:rsidR="006E5B0D" w:rsidRPr="0011338B" w14:paraId="1720A469" w14:textId="77777777" w:rsidTr="0070778A">
        <w:tc>
          <w:tcPr>
            <w:tcW w:w="10490" w:type="dxa"/>
            <w:tcBorders>
              <w:bottom w:val="single" w:sz="4" w:space="0" w:color="auto"/>
            </w:tcBorders>
            <w:shd w:val="clear" w:color="auto" w:fill="D9D9D9"/>
          </w:tcPr>
          <w:p w14:paraId="1D5D15F9" w14:textId="77777777" w:rsidR="006E5B0D" w:rsidRPr="0011338B" w:rsidRDefault="006E5B0D" w:rsidP="006E5B0D">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b/>
                <w:noProof/>
                <w:sz w:val="24"/>
                <w:lang w:val="it-IT"/>
              </w:rPr>
              <w:t>Proporzionalità?</w:t>
            </w:r>
            <w:r w:rsidRPr="0011338B">
              <w:rPr>
                <w:rFonts w:ascii="Times New Roman" w:hAnsi="Times New Roman"/>
                <w:noProof/>
                <w:sz w:val="24"/>
                <w:lang w:val="it-IT"/>
              </w:rPr>
              <w:t xml:space="preserve"> </w:t>
            </w:r>
          </w:p>
        </w:tc>
      </w:tr>
      <w:tr w:rsidR="006E5B0D" w:rsidRPr="0011338B" w14:paraId="4D9E9A4B" w14:textId="77777777" w:rsidTr="0070778A">
        <w:tc>
          <w:tcPr>
            <w:tcW w:w="10490" w:type="dxa"/>
            <w:tcBorders>
              <w:bottom w:val="single" w:sz="4" w:space="0" w:color="auto"/>
            </w:tcBorders>
            <w:shd w:val="clear" w:color="auto" w:fill="auto"/>
          </w:tcPr>
          <w:p w14:paraId="5A501766" w14:textId="6D2F24D6" w:rsidR="006E5B0D" w:rsidRPr="0011338B" w:rsidRDefault="005D30AE" w:rsidP="00DC3667">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noProof/>
                <w:sz w:val="24"/>
                <w:lang w:val="it-IT"/>
              </w:rPr>
              <w:t>L'opzione prescelta tiene conto dei requisiti di fattibilità e proporzionalità. Per ridurre al minimo le difficoltà giuridiche (ad esempio garantire il rispetto della normativa dell'UE in materia di protezione dei dati) e ridurre i costi, l'opzione prescelta prevede un approccio a minore intensità per le categorie tematiche seguenti: dati geospaziali, relativi alla mobilità e sulle imprese.</w:t>
            </w:r>
          </w:p>
        </w:tc>
      </w:tr>
      <w:tr w:rsidR="006E5B0D" w:rsidRPr="0011338B" w14:paraId="73513B3C" w14:textId="77777777" w:rsidTr="0070778A">
        <w:tc>
          <w:tcPr>
            <w:tcW w:w="10490" w:type="dxa"/>
            <w:tcBorders>
              <w:bottom w:val="single" w:sz="4" w:space="0" w:color="auto"/>
            </w:tcBorders>
            <w:shd w:val="clear" w:color="auto" w:fill="C0C0C0"/>
          </w:tcPr>
          <w:p w14:paraId="5891FAD9" w14:textId="77777777" w:rsidR="006E5B0D" w:rsidRPr="0011338B" w:rsidRDefault="006E5B0D" w:rsidP="006E5B0D">
            <w:pPr>
              <w:spacing w:after="240" w:line="240" w:lineRule="auto"/>
              <w:jc w:val="both"/>
              <w:rPr>
                <w:rFonts w:ascii="Times New Roman" w:eastAsia="Times New Roman" w:hAnsi="Times New Roman" w:cs="Times New Roman"/>
                <w:b/>
                <w:noProof/>
                <w:sz w:val="24"/>
                <w:lang w:val="it-IT"/>
              </w:rPr>
            </w:pPr>
            <w:r w:rsidRPr="0011338B">
              <w:rPr>
                <w:rFonts w:ascii="Times New Roman" w:hAnsi="Times New Roman"/>
                <w:b/>
                <w:noProof/>
                <w:sz w:val="24"/>
                <w:lang w:val="it-IT"/>
              </w:rPr>
              <w:t>D. Tappe successive</w:t>
            </w:r>
          </w:p>
        </w:tc>
      </w:tr>
      <w:tr w:rsidR="006E5B0D" w:rsidRPr="0011338B" w14:paraId="3A9F1294" w14:textId="77777777" w:rsidTr="0070778A">
        <w:tc>
          <w:tcPr>
            <w:tcW w:w="10490" w:type="dxa"/>
            <w:tcBorders>
              <w:bottom w:val="single" w:sz="4" w:space="0" w:color="auto"/>
            </w:tcBorders>
            <w:shd w:val="clear" w:color="auto" w:fill="E6E6E6"/>
          </w:tcPr>
          <w:p w14:paraId="0E5A55ED" w14:textId="77777777" w:rsidR="006E5B0D" w:rsidRPr="0011338B" w:rsidRDefault="006E5B0D" w:rsidP="006E5B0D">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b/>
                <w:noProof/>
                <w:sz w:val="24"/>
                <w:lang w:val="it-IT"/>
              </w:rPr>
              <w:t xml:space="preserve">Quando saranno riesaminate le misure proposte? </w:t>
            </w:r>
          </w:p>
        </w:tc>
      </w:tr>
      <w:tr w:rsidR="006E5B0D" w:rsidRPr="0011338B" w14:paraId="108F480B" w14:textId="77777777" w:rsidTr="0070778A">
        <w:tc>
          <w:tcPr>
            <w:tcW w:w="10490" w:type="dxa"/>
            <w:tcBorders>
              <w:bottom w:val="single" w:sz="4" w:space="0" w:color="auto"/>
            </w:tcBorders>
            <w:shd w:val="clear" w:color="auto" w:fill="auto"/>
          </w:tcPr>
          <w:p w14:paraId="03989B6D" w14:textId="32CFF246" w:rsidR="006E5B0D" w:rsidRPr="0011338B" w:rsidRDefault="00757617" w:rsidP="00DC3667">
            <w:pPr>
              <w:spacing w:after="240" w:line="240" w:lineRule="auto"/>
              <w:jc w:val="both"/>
              <w:rPr>
                <w:rFonts w:ascii="Times New Roman" w:eastAsia="Times New Roman" w:hAnsi="Times New Roman" w:cs="Times New Roman"/>
                <w:noProof/>
                <w:sz w:val="24"/>
                <w:lang w:val="it-IT"/>
              </w:rPr>
            </w:pPr>
            <w:r w:rsidRPr="0011338B">
              <w:rPr>
                <w:rFonts w:ascii="Times New Roman" w:hAnsi="Times New Roman"/>
                <w:noProof/>
                <w:sz w:val="24"/>
                <w:lang w:val="it-IT"/>
              </w:rPr>
              <w:t>Il riesame dell'atto di base (direttiva 2019/1024) può iniziare nel 2025. Tuttavia le sei categorie tematiche elencate nella direttiva possono essere aggiunte mediante un atto delegato e le specifiche serie di dati possono essere modificate in qualsiasi momento mediante atti di esecuzione.</w:t>
            </w:r>
          </w:p>
        </w:tc>
      </w:tr>
    </w:tbl>
    <w:p w14:paraId="63CB7E40" w14:textId="77777777" w:rsidR="00F31280" w:rsidRPr="0011338B" w:rsidRDefault="00F31280">
      <w:pPr>
        <w:rPr>
          <w:noProof/>
          <w:lang w:val="it-IT"/>
        </w:rPr>
      </w:pPr>
    </w:p>
    <w:sectPr w:rsidR="00F31280" w:rsidRPr="0011338B" w:rsidSect="0026613F">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D8CFD" w14:textId="77777777" w:rsidR="0070778A" w:rsidRPr="0057423C" w:rsidRDefault="0070778A" w:rsidP="0026613F">
      <w:pPr>
        <w:spacing w:after="0" w:line="240" w:lineRule="auto"/>
      </w:pPr>
      <w:r>
        <w:separator/>
      </w:r>
    </w:p>
  </w:endnote>
  <w:endnote w:type="continuationSeparator" w:id="0">
    <w:p w14:paraId="3AB164E2" w14:textId="77777777" w:rsidR="0070778A" w:rsidRPr="0057423C" w:rsidRDefault="0070778A" w:rsidP="0026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03E8C" w14:textId="77777777" w:rsidR="00377E55" w:rsidRPr="00377E55" w:rsidRDefault="00377E55" w:rsidP="00377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3E41B" w14:textId="499EFB36" w:rsidR="0011338B" w:rsidRPr="00377E55" w:rsidRDefault="00377E55" w:rsidP="00377E55">
    <w:pPr>
      <w:pStyle w:val="FooterCoverPage"/>
      <w:rPr>
        <w:rFonts w:ascii="Arial" w:hAnsi="Arial" w:cs="Arial"/>
        <w:b/>
        <w:sz w:val="48"/>
      </w:rPr>
    </w:pPr>
    <w:r w:rsidRPr="00377E55">
      <w:rPr>
        <w:rFonts w:ascii="Arial" w:hAnsi="Arial" w:cs="Arial"/>
        <w:b/>
        <w:sz w:val="48"/>
      </w:rPr>
      <w:t>IT</w:t>
    </w:r>
    <w:r w:rsidRPr="00377E55">
      <w:rPr>
        <w:rFonts w:ascii="Arial" w:hAnsi="Arial" w:cs="Arial"/>
        <w:b/>
        <w:sz w:val="48"/>
      </w:rPr>
      <w:tab/>
    </w:r>
    <w:r w:rsidRPr="00377E55">
      <w:rPr>
        <w:rFonts w:ascii="Arial" w:hAnsi="Arial" w:cs="Arial"/>
        <w:b/>
        <w:sz w:val="48"/>
      </w:rPr>
      <w:tab/>
    </w:r>
    <w:r w:rsidRPr="00377E55">
      <w:tab/>
    </w:r>
    <w:r w:rsidRPr="00377E55">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0F8A2" w14:textId="77777777" w:rsidR="00377E55" w:rsidRPr="00377E55" w:rsidRDefault="00377E55" w:rsidP="00377E5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FE24D" w14:textId="77777777" w:rsidR="0070778A" w:rsidRPr="0057423C" w:rsidRDefault="007077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100745"/>
      <w:docPartObj>
        <w:docPartGallery w:val="Page Numbers (Bottom of Page)"/>
        <w:docPartUnique/>
      </w:docPartObj>
    </w:sdtPr>
    <w:sdtEndPr/>
    <w:sdtContent>
      <w:p w14:paraId="472A2A00" w14:textId="5AE90EF1" w:rsidR="0070778A" w:rsidRPr="0057423C" w:rsidRDefault="0070778A">
        <w:pPr>
          <w:pStyle w:val="Footer"/>
          <w:jc w:val="center"/>
        </w:pPr>
        <w:r>
          <w:fldChar w:fldCharType="begin"/>
        </w:r>
        <w:r>
          <w:instrText xml:space="preserve"> PAGE   \* MERGEFORMAT </w:instrText>
        </w:r>
        <w:r>
          <w:fldChar w:fldCharType="separate"/>
        </w:r>
        <w:r w:rsidR="00377E55">
          <w:rPr>
            <w:noProof/>
          </w:rPr>
          <w:t>1</w:t>
        </w:r>
        <w:r>
          <w:fldChar w:fldCharType="end"/>
        </w:r>
      </w:p>
    </w:sdtContent>
  </w:sdt>
  <w:p w14:paraId="379A267B" w14:textId="77777777" w:rsidR="0070778A" w:rsidRPr="0057423C" w:rsidRDefault="007077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0009F" w14:textId="77777777" w:rsidR="0070778A" w:rsidRPr="0057423C" w:rsidRDefault="0070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512DD" w14:textId="77777777" w:rsidR="0070778A" w:rsidRPr="0057423C" w:rsidRDefault="0070778A" w:rsidP="0026613F">
      <w:pPr>
        <w:spacing w:after="0" w:line="240" w:lineRule="auto"/>
      </w:pPr>
      <w:r>
        <w:separator/>
      </w:r>
    </w:p>
  </w:footnote>
  <w:footnote w:type="continuationSeparator" w:id="0">
    <w:p w14:paraId="3DC33581" w14:textId="77777777" w:rsidR="0070778A" w:rsidRPr="0057423C" w:rsidRDefault="0070778A" w:rsidP="00266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24709" w14:textId="77777777" w:rsidR="00377E55" w:rsidRPr="00377E55" w:rsidRDefault="00377E55" w:rsidP="00377E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F1F80" w14:textId="77777777" w:rsidR="00377E55" w:rsidRPr="00377E55" w:rsidRDefault="00377E55" w:rsidP="00377E5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1559B" w14:textId="77777777" w:rsidR="00377E55" w:rsidRPr="00377E55" w:rsidRDefault="00377E55" w:rsidP="00377E5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D4838" w14:textId="77777777" w:rsidR="0070778A" w:rsidRPr="0057423C" w:rsidRDefault="007077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F518" w14:textId="77777777" w:rsidR="0070778A" w:rsidRPr="0057423C" w:rsidRDefault="007077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9E028" w14:textId="77777777" w:rsidR="0070778A" w:rsidRPr="0057423C" w:rsidRDefault="0070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97181"/>
    <w:multiLevelType w:val="hybridMultilevel"/>
    <w:tmpl w:val="3E82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che accompagna il documento"/>
    <w:docVar w:name="LW_CORRIGENDUM" w:val="&lt;UNUSED&gt;"/>
    <w:docVar w:name="LW_COVERPAGE_EXISTS" w:val="True"/>
    <w:docVar w:name="LW_COVERPAGE_GUID" w:val="A574C3F4-EB3D-4448-9F7C-CAC48FF7FDAF"/>
    <w:docVar w:name="LW_COVERPAGE_TYPE" w:val="1"/>
    <w:docVar w:name="LW_CROSSREFERENCE" w:val="{C(2022) 9562 final} - {SEC(2022) 450 final} - {SWD(2022) 431 final} - {SWD(2022) 432 final}"/>
    <w:docVar w:name="LW_DocType" w:val="NORMAL"/>
    <w:docVar w:name="LW_EMISSION" w:val="21.12.2022"/>
    <w:docVar w:name="LW_EMISSION_ISODATE" w:val="2022-12-21"/>
    <w:docVar w:name="LW_EMISSION_LOCATION" w:val="BRX"/>
    <w:docVar w:name="LW_EMISSION_PREFIX" w:val="Bruxelles, "/>
    <w:docVar w:name="LW_EMISSION_SUFFIX" w:val=" "/>
    <w:docVar w:name="LW_ID_DOCTYPE_NONLW" w:val="CP-027"/>
    <w:docVar w:name="LW_LANGUE" w:val="IT"/>
    <w:docVar w:name="LW_LEVEL_OF_SENSITIVITY" w:val="Standard treatment"/>
    <w:docVar w:name="LW_NOM.INST" w:val="COMMISSIONE EUROPEA"/>
    <w:docVar w:name="LW_NOM.INST_JOINTDOC" w:val="&lt;EMPTY&gt;"/>
    <w:docVar w:name="LW_OBJETACTEPRINCIPAL.CP" w:val="che stabilisce un elenco di specifiche serie di dati di elevato valore e le relative modalità di pubblicazione e riutilizzo"/>
    <w:docVar w:name="LW_PART_NBR" w:val="1"/>
    <w:docVar w:name="LW_PART_NBR_TOTAL" w:val="1"/>
    <w:docVar w:name="LW_REF.INST.NEW" w:val="SWD"/>
    <w:docVar w:name="LW_REF.INST.NEW_ADOPTED" w:val="final"/>
    <w:docVar w:name="LW_REF.INST.NEW_TEXT" w:val="(2022) 43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DOCUMENTO DI LAVORO DEI SERVIZI DELLA COMMISSIONE_x000b__x000b_SINTESI DELLA RELAZIONE SULLA VALUTAZIONE D'IMPATTO_x000b_"/>
    <w:docVar w:name="LW_TYPEACTEPRINCIPAL.CP" w:val="Regolamento di esecuzione della Commissione"/>
    <w:docVar w:name="LwApiVersions" w:val="LW4CoDe 1.23.2.0; LW 8.0, Build 20211117"/>
    <w:docVar w:name="Stamp" w:val="\\dossiers.dgt.cec.eu.int\dossiers\CNECT\CNECT-2022-00201\CNECT-2022-00201-00-01-EN-EDT-00.202203301423316547398.DOCX"/>
  </w:docVars>
  <w:rsids>
    <w:rsidRoot w:val="0026613F"/>
    <w:rsid w:val="00021532"/>
    <w:rsid w:val="00036868"/>
    <w:rsid w:val="000717F2"/>
    <w:rsid w:val="00082FBE"/>
    <w:rsid w:val="000B3990"/>
    <w:rsid w:val="000D33B0"/>
    <w:rsid w:val="000F1910"/>
    <w:rsid w:val="001008B7"/>
    <w:rsid w:val="0011338B"/>
    <w:rsid w:val="0012258B"/>
    <w:rsid w:val="00175ABB"/>
    <w:rsid w:val="00187F69"/>
    <w:rsid w:val="001A3052"/>
    <w:rsid w:val="001A661D"/>
    <w:rsid w:val="001B298F"/>
    <w:rsid w:val="001D46C7"/>
    <w:rsid w:val="002334B6"/>
    <w:rsid w:val="0026613F"/>
    <w:rsid w:val="003214EC"/>
    <w:rsid w:val="00354D3F"/>
    <w:rsid w:val="00377E55"/>
    <w:rsid w:val="00380860"/>
    <w:rsid w:val="00383722"/>
    <w:rsid w:val="003C09AF"/>
    <w:rsid w:val="003D20D8"/>
    <w:rsid w:val="003D5A75"/>
    <w:rsid w:val="003E5E82"/>
    <w:rsid w:val="004152E2"/>
    <w:rsid w:val="0042254F"/>
    <w:rsid w:val="004457FC"/>
    <w:rsid w:val="0048448C"/>
    <w:rsid w:val="0048467B"/>
    <w:rsid w:val="004A3979"/>
    <w:rsid w:val="004A404A"/>
    <w:rsid w:val="004D1F08"/>
    <w:rsid w:val="004F6F36"/>
    <w:rsid w:val="00505B74"/>
    <w:rsid w:val="0057423C"/>
    <w:rsid w:val="00591A8E"/>
    <w:rsid w:val="005A4E48"/>
    <w:rsid w:val="005B7AC0"/>
    <w:rsid w:val="005C71C7"/>
    <w:rsid w:val="005D30AE"/>
    <w:rsid w:val="00600EB8"/>
    <w:rsid w:val="00614D62"/>
    <w:rsid w:val="00624693"/>
    <w:rsid w:val="00643F5A"/>
    <w:rsid w:val="00644073"/>
    <w:rsid w:val="006454A9"/>
    <w:rsid w:val="00651B6E"/>
    <w:rsid w:val="006531AE"/>
    <w:rsid w:val="00666C47"/>
    <w:rsid w:val="00696000"/>
    <w:rsid w:val="006E5B0D"/>
    <w:rsid w:val="0070778A"/>
    <w:rsid w:val="00746D57"/>
    <w:rsid w:val="00757617"/>
    <w:rsid w:val="007732C1"/>
    <w:rsid w:val="00786B29"/>
    <w:rsid w:val="007F4286"/>
    <w:rsid w:val="00826EF1"/>
    <w:rsid w:val="0086047B"/>
    <w:rsid w:val="00886520"/>
    <w:rsid w:val="00894642"/>
    <w:rsid w:val="008B3BE8"/>
    <w:rsid w:val="008D7BA9"/>
    <w:rsid w:val="008F0546"/>
    <w:rsid w:val="009443D9"/>
    <w:rsid w:val="00945459"/>
    <w:rsid w:val="009513B0"/>
    <w:rsid w:val="009536CC"/>
    <w:rsid w:val="00975054"/>
    <w:rsid w:val="0097718F"/>
    <w:rsid w:val="0098385E"/>
    <w:rsid w:val="009C0273"/>
    <w:rsid w:val="00A56D26"/>
    <w:rsid w:val="00A91738"/>
    <w:rsid w:val="00A9271B"/>
    <w:rsid w:val="00A92D56"/>
    <w:rsid w:val="00AE4A97"/>
    <w:rsid w:val="00B023CA"/>
    <w:rsid w:val="00B02EB9"/>
    <w:rsid w:val="00B15F4B"/>
    <w:rsid w:val="00B30183"/>
    <w:rsid w:val="00B36AFD"/>
    <w:rsid w:val="00B56675"/>
    <w:rsid w:val="00B5671C"/>
    <w:rsid w:val="00BB029A"/>
    <w:rsid w:val="00BD6C9F"/>
    <w:rsid w:val="00C222EB"/>
    <w:rsid w:val="00C312F0"/>
    <w:rsid w:val="00C70C10"/>
    <w:rsid w:val="00CB1D05"/>
    <w:rsid w:val="00CD64BF"/>
    <w:rsid w:val="00CE2870"/>
    <w:rsid w:val="00CE6283"/>
    <w:rsid w:val="00CF47E3"/>
    <w:rsid w:val="00D11FE6"/>
    <w:rsid w:val="00D20AF7"/>
    <w:rsid w:val="00D20FD1"/>
    <w:rsid w:val="00D30139"/>
    <w:rsid w:val="00D92397"/>
    <w:rsid w:val="00D95532"/>
    <w:rsid w:val="00DA4039"/>
    <w:rsid w:val="00DC3667"/>
    <w:rsid w:val="00DD713B"/>
    <w:rsid w:val="00E03056"/>
    <w:rsid w:val="00E10C8F"/>
    <w:rsid w:val="00E71BEE"/>
    <w:rsid w:val="00E907B7"/>
    <w:rsid w:val="00ED23A3"/>
    <w:rsid w:val="00F04859"/>
    <w:rsid w:val="00F22A44"/>
    <w:rsid w:val="00F31280"/>
    <w:rsid w:val="00F43734"/>
    <w:rsid w:val="00F54CAF"/>
    <w:rsid w:val="00F84C30"/>
    <w:rsid w:val="00F923B8"/>
    <w:rsid w:val="00FC4001"/>
    <w:rsid w:val="00FF0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01FA13F"/>
  <w15:chartTrackingRefBased/>
  <w15:docId w15:val="{C06031B9-DAFF-4D24-8216-215BE15B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26613F"/>
    <w:rPr>
      <w:color w:val="0000FF"/>
      <w:shd w:val="clear" w:color="auto" w:fill="auto"/>
    </w:rPr>
  </w:style>
  <w:style w:type="paragraph" w:customStyle="1" w:styleId="Pagedecouverture">
    <w:name w:val="Page de couverture"/>
    <w:basedOn w:val="Normal"/>
    <w:next w:val="Normal"/>
    <w:rsid w:val="0026613F"/>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266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13F"/>
  </w:style>
  <w:style w:type="paragraph" w:styleId="Footer">
    <w:name w:val="footer"/>
    <w:basedOn w:val="Normal"/>
    <w:link w:val="FooterChar"/>
    <w:uiPriority w:val="99"/>
    <w:unhideWhenUsed/>
    <w:rsid w:val="00266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13F"/>
  </w:style>
  <w:style w:type="paragraph" w:customStyle="1" w:styleId="FooterCoverPage">
    <w:name w:val="Footer Cover Page"/>
    <w:basedOn w:val="Normal"/>
    <w:link w:val="FooterCoverPageChar"/>
    <w:rsid w:val="0026613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6613F"/>
    <w:rPr>
      <w:rFonts w:ascii="Times New Roman" w:hAnsi="Times New Roman" w:cs="Times New Roman"/>
      <w:sz w:val="24"/>
    </w:rPr>
  </w:style>
  <w:style w:type="paragraph" w:customStyle="1" w:styleId="FooterSensitivity">
    <w:name w:val="Footer Sensitivity"/>
    <w:basedOn w:val="Normal"/>
    <w:link w:val="FooterSensitivityChar"/>
    <w:rsid w:val="0026613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6613F"/>
    <w:rPr>
      <w:rFonts w:ascii="Times New Roman" w:hAnsi="Times New Roman" w:cs="Times New Roman"/>
      <w:b/>
      <w:sz w:val="32"/>
    </w:rPr>
  </w:style>
  <w:style w:type="paragraph" w:customStyle="1" w:styleId="HeaderCoverPage">
    <w:name w:val="Header Cover Page"/>
    <w:basedOn w:val="Normal"/>
    <w:link w:val="HeaderCoverPageChar"/>
    <w:rsid w:val="0026613F"/>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6613F"/>
    <w:rPr>
      <w:rFonts w:ascii="Times New Roman" w:hAnsi="Times New Roman" w:cs="Times New Roman"/>
      <w:sz w:val="24"/>
    </w:rPr>
  </w:style>
  <w:style w:type="paragraph" w:customStyle="1" w:styleId="HeaderSensitivity">
    <w:name w:val="Header Sensitivity"/>
    <w:basedOn w:val="Normal"/>
    <w:link w:val="HeaderSensitivityChar"/>
    <w:rsid w:val="0026613F"/>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6613F"/>
    <w:rPr>
      <w:rFonts w:ascii="Times New Roman" w:hAnsi="Times New Roman" w:cs="Times New Roman"/>
      <w:b/>
      <w:sz w:val="32"/>
    </w:rPr>
  </w:style>
  <w:style w:type="paragraph" w:customStyle="1" w:styleId="HeaderSensitivityRight">
    <w:name w:val="Header Sensitivity Right"/>
    <w:basedOn w:val="Normal"/>
    <w:link w:val="HeaderSensitivityRightChar"/>
    <w:rsid w:val="0026613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6613F"/>
    <w:rPr>
      <w:rFonts w:ascii="Times New Roman" w:hAnsi="Times New Roman" w:cs="Times New Roman"/>
      <w:sz w:val="28"/>
    </w:rPr>
  </w:style>
  <w:style w:type="character" w:styleId="CommentReference">
    <w:name w:val="annotation reference"/>
    <w:basedOn w:val="DefaultParagraphFont"/>
    <w:uiPriority w:val="99"/>
    <w:semiHidden/>
    <w:unhideWhenUsed/>
    <w:rsid w:val="00D92397"/>
    <w:rPr>
      <w:sz w:val="16"/>
    </w:rPr>
  </w:style>
  <w:style w:type="paragraph" w:styleId="CommentText">
    <w:name w:val="annotation text"/>
    <w:basedOn w:val="Normal"/>
    <w:link w:val="CommentTextChar"/>
    <w:uiPriority w:val="99"/>
    <w:unhideWhenUsed/>
    <w:rsid w:val="00D92397"/>
    <w:pPr>
      <w:spacing w:line="240" w:lineRule="auto"/>
    </w:pPr>
    <w:rPr>
      <w:sz w:val="20"/>
    </w:rPr>
  </w:style>
  <w:style w:type="character" w:customStyle="1" w:styleId="CommentTextChar">
    <w:name w:val="Comment Text Char"/>
    <w:basedOn w:val="DefaultParagraphFont"/>
    <w:link w:val="CommentText"/>
    <w:uiPriority w:val="99"/>
    <w:rsid w:val="00D92397"/>
    <w:rPr>
      <w:sz w:val="20"/>
    </w:rPr>
  </w:style>
  <w:style w:type="paragraph" w:styleId="CommentSubject">
    <w:name w:val="annotation subject"/>
    <w:basedOn w:val="CommentText"/>
    <w:next w:val="CommentText"/>
    <w:link w:val="CommentSubjectChar"/>
    <w:uiPriority w:val="99"/>
    <w:semiHidden/>
    <w:unhideWhenUsed/>
    <w:rsid w:val="00D92397"/>
    <w:rPr>
      <w:b/>
    </w:rPr>
  </w:style>
  <w:style w:type="character" w:customStyle="1" w:styleId="CommentSubjectChar">
    <w:name w:val="Comment Subject Char"/>
    <w:basedOn w:val="CommentTextChar"/>
    <w:link w:val="CommentSubject"/>
    <w:uiPriority w:val="99"/>
    <w:semiHidden/>
    <w:rsid w:val="00D92397"/>
    <w:rPr>
      <w:b/>
      <w:sz w:val="20"/>
    </w:rPr>
  </w:style>
  <w:style w:type="paragraph" w:styleId="BalloonText">
    <w:name w:val="Balloon Text"/>
    <w:basedOn w:val="Normal"/>
    <w:link w:val="BalloonTextChar"/>
    <w:uiPriority w:val="99"/>
    <w:semiHidden/>
    <w:unhideWhenUsed/>
    <w:rsid w:val="00D92397"/>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D92397"/>
    <w:rPr>
      <w:rFonts w:ascii="Segoe UI" w:hAnsi="Segoe UI" w:cs="Segoe UI"/>
      <w:sz w:val="18"/>
    </w:rPr>
  </w:style>
  <w:style w:type="character" w:styleId="Hyperlink">
    <w:name w:val="Hyperlink"/>
    <w:basedOn w:val="DefaultParagraphFont"/>
    <w:uiPriority w:val="99"/>
    <w:unhideWhenUsed/>
    <w:rsid w:val="0057423C"/>
    <w:rPr>
      <w:color w:val="0000FF" w:themeColor="hyperlink"/>
      <w:u w:val="single"/>
    </w:rPr>
  </w:style>
  <w:style w:type="paragraph" w:styleId="ListParagraph">
    <w:name w:val="List Paragraph"/>
    <w:basedOn w:val="Normal"/>
    <w:uiPriority w:val="34"/>
    <w:qFormat/>
    <w:rsid w:val="003E5E82"/>
    <w:pPr>
      <w:ind w:left="720"/>
      <w:contextualSpacing/>
    </w:pPr>
  </w:style>
  <w:style w:type="paragraph" w:styleId="Revision">
    <w:name w:val="Revision"/>
    <w:hidden/>
    <w:uiPriority w:val="99"/>
    <w:semiHidden/>
    <w:rsid w:val="002334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46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7329D-3EAE-4A20-A76D-E72B7AFE3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1831</Words>
  <Characters>10603</Characters>
  <Application>Microsoft Office Word</Application>
  <DocSecurity>0</DocSecurity>
  <Lines>141</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32</cp:revision>
  <dcterms:created xsi:type="dcterms:W3CDTF">2022-05-23T10:13:00Z</dcterms:created>
  <dcterms:modified xsi:type="dcterms:W3CDTF">2022-12-16T10:10:00Z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8.1, Build 20220902</vt:lpwstr>
  </property>
  <property fmtid="{D5CDD505-2E9C-101B-9397-08002B2CF9AE}" pid="8" name="Created using">
    <vt:lpwstr>LW 7.0.1, Build 20190916</vt:lpwstr>
  </property>
  <property fmtid="{D5CDD505-2E9C-101B-9397-08002B2CF9AE}" pid="9" name="MSIP_Label_6bd9ddd1-4d20-43f6-abfa-fc3c07406f94_Enabled">
    <vt:lpwstr>true</vt:lpwstr>
  </property>
  <property fmtid="{D5CDD505-2E9C-101B-9397-08002B2CF9AE}" pid="10" name="MSIP_Label_6bd9ddd1-4d20-43f6-abfa-fc3c07406f94_SetDate">
    <vt:lpwstr>2022-04-07T07:44:30Z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a7f7dab7-5926-4ff8-bb59-c874341c11fe</vt:lpwstr>
  </property>
  <property fmtid="{D5CDD505-2E9C-101B-9397-08002B2CF9AE}" pid="15" name="MSIP_Label_6bd9ddd1-4d20-43f6-abfa-fc3c07406f94_ContentBits">
    <vt:lpwstr>0</vt:lpwstr>
  </property>
  <property name="OP_sanitized" fmtid="{D5CDD505-2E9C-101B-9397-08002B2CF9AE}" pid="16">
    <vt:lpwstr>True</vt:lpwstr>
  </property>
</Properties>
</file>