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DB" w:rsidRDefault="003F6754" w:rsidP="003F675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121DDDD-CB09-4A86-979E-FA50DE75C902" style="width:455.25pt;height:453.75pt">
            <v:imagedata r:id="rId6" o:title=""/>
          </v:shape>
        </w:pict>
      </w:r>
    </w:p>
    <w:bookmarkEnd w:id="0"/>
    <w:p w:rsidR="005545DB" w:rsidRDefault="005545DB" w:rsidP="005545DB">
      <w:pPr>
        <w:rPr>
          <w:noProof/>
        </w:rPr>
        <w:sectPr w:rsidR="005545DB" w:rsidSect="003F6754">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bookmarkStart w:id="1" w:name="_GoBack"/>
            <w:bookmarkEnd w:id="1"/>
            <w:r>
              <w:rPr>
                <w:rFonts w:ascii="Times New Roman" w:hAnsi="Times New Roman"/>
                <w:b/>
                <w:noProof/>
                <w:sz w:val="24"/>
                <w:szCs w:val="20"/>
              </w:rPr>
              <w:lastRenderedPageBreak/>
              <w:t>Scheda di sintesi</w:t>
            </w:r>
          </w:p>
        </w:tc>
      </w:tr>
      <w:tr w:rsidR="00FB60AA" w:rsidRPr="00FB60AA" w:rsidTr="005134E6">
        <w:tc>
          <w:tcPr>
            <w:tcW w:w="10490" w:type="dxa"/>
            <w:tcBorders>
              <w:top w:val="single" w:sz="4" w:space="0" w:color="auto"/>
              <w:left w:val="single" w:sz="4" w:space="0" w:color="auto"/>
              <w:bottom w:val="single" w:sz="4" w:space="0" w:color="auto"/>
              <w:right w:val="single" w:sz="4" w:space="0" w:color="auto"/>
            </w:tcBorders>
            <w:shd w:val="clear" w:color="auto" w:fill="4F81BD"/>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Valutazione d</w:t>
            </w:r>
            <w:r w:rsidR="00134EBC">
              <w:rPr>
                <w:rFonts w:ascii="Times New Roman" w:hAnsi="Times New Roman"/>
                <w:noProof/>
                <w:sz w:val="24"/>
                <w:szCs w:val="20"/>
              </w:rPr>
              <w:t>'</w:t>
            </w:r>
            <w:r>
              <w:rPr>
                <w:rFonts w:ascii="Times New Roman" w:hAnsi="Times New Roman"/>
                <w:noProof/>
                <w:sz w:val="24"/>
                <w:szCs w:val="20"/>
              </w:rPr>
              <w:t>impatto di una proposta di direttiva in materia di governo societario sostenibile</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A. Necessità di intervenire</w:t>
            </w:r>
          </w:p>
        </w:tc>
      </w:tr>
      <w:tr w:rsidR="00FB60AA" w:rsidRPr="00FB60AA" w:rsidTr="005134E6">
        <w:tc>
          <w:tcPr>
            <w:tcW w:w="10490" w:type="dxa"/>
            <w:tcBorders>
              <w:bottom w:val="single" w:sz="4" w:space="0" w:color="auto"/>
            </w:tcBorders>
            <w:shd w:val="clear" w:color="auto" w:fill="E0E0E0"/>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 è il problema e perché si pone a livello dell</w:t>
            </w:r>
            <w:r w:rsidR="00134EBC">
              <w:rPr>
                <w:rFonts w:ascii="Times New Roman" w:hAnsi="Times New Roman"/>
                <w:b/>
                <w:noProof/>
                <w:sz w:val="24"/>
                <w:szCs w:val="20"/>
              </w:rPr>
              <w:t>'</w:t>
            </w:r>
            <w:r>
              <w:rPr>
                <w:rFonts w:ascii="Times New Roman" w:hAnsi="Times New Roman"/>
                <w:b/>
                <w:noProof/>
                <w:sz w:val="24"/>
                <w:szCs w:val="20"/>
              </w:rPr>
              <w:t xml:space="preserve">UE?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Il problema principale affrontato è la </w:t>
            </w:r>
            <w:r>
              <w:rPr>
                <w:rFonts w:ascii="Times New Roman" w:hAnsi="Times New Roman"/>
                <w:b/>
                <w:noProof/>
                <w:sz w:val="24"/>
                <w:szCs w:val="20"/>
              </w:rPr>
              <w:t>necessità di rafforzare la sostenibilità dei sistemi di governo societario e di gestione</w:t>
            </w:r>
            <w:r>
              <w:rPr>
                <w:rFonts w:ascii="Times New Roman" w:hAnsi="Times New Roman"/>
                <w:noProof/>
                <w:sz w:val="24"/>
                <w:szCs w:val="20"/>
              </w:rPr>
              <w:t xml:space="preserve">, con due dimensioni: 1) </w:t>
            </w:r>
            <w:r>
              <w:rPr>
                <w:rFonts w:ascii="Times New Roman" w:hAnsi="Times New Roman"/>
                <w:b/>
                <w:noProof/>
                <w:sz w:val="24"/>
                <w:szCs w:val="20"/>
              </w:rPr>
              <w:t>i sistemi e le decisioni aziendali di gestione dei rischi</w:t>
            </w:r>
            <w:r>
              <w:rPr>
                <w:rFonts w:ascii="Times New Roman" w:hAnsi="Times New Roman"/>
                <w:noProof/>
                <w:sz w:val="24"/>
                <w:szCs w:val="20"/>
              </w:rPr>
              <w:t xml:space="preserve"> </w:t>
            </w:r>
            <w:r>
              <w:rPr>
                <w:rFonts w:ascii="Times New Roman" w:hAnsi="Times New Roman"/>
                <w:b/>
                <w:noProof/>
                <w:sz w:val="24"/>
                <w:szCs w:val="20"/>
              </w:rPr>
              <w:t xml:space="preserve">non tengono sufficientemente conto </w:t>
            </w:r>
            <w:r>
              <w:rPr>
                <w:rFonts w:ascii="Times New Roman" w:hAnsi="Times New Roman"/>
                <w:noProof/>
                <w:sz w:val="24"/>
                <w:szCs w:val="20"/>
              </w:rPr>
              <w:t xml:space="preserve">degli interessi dei portatori di interessi e dei rischi connessi agli stessi (sostenibilità) per le società; 2) le società </w:t>
            </w:r>
            <w:r>
              <w:rPr>
                <w:rFonts w:ascii="Times New Roman" w:hAnsi="Times New Roman"/>
                <w:b/>
                <w:noProof/>
                <w:sz w:val="24"/>
                <w:szCs w:val="20"/>
              </w:rPr>
              <w:t>non attutiscono sufficientemente gli impatti negativi che producono sui diritti umani e sull</w:t>
            </w:r>
            <w:r w:rsidR="00134EBC">
              <w:rPr>
                <w:rFonts w:ascii="Times New Roman" w:hAnsi="Times New Roman"/>
                <w:b/>
                <w:noProof/>
                <w:sz w:val="24"/>
                <w:szCs w:val="20"/>
              </w:rPr>
              <w:t>'</w:t>
            </w:r>
            <w:r>
              <w:rPr>
                <w:rFonts w:ascii="Times New Roman" w:hAnsi="Times New Roman"/>
                <w:b/>
                <w:noProof/>
                <w:sz w:val="24"/>
                <w:szCs w:val="20"/>
              </w:rPr>
              <w:t>ambiente</w:t>
            </w:r>
            <w:r w:rsidR="009E0BB1">
              <w:rPr>
                <w:rFonts w:ascii="Times New Roman" w:hAnsi="Times New Roman"/>
                <w:b/>
                <w:noProof/>
                <w:sz w:val="24"/>
                <w:szCs w:val="20"/>
              </w:rPr>
              <w:t xml:space="preserve"> </w:t>
            </w:r>
            <w:r>
              <w:rPr>
                <w:rFonts w:ascii="Times New Roman" w:hAnsi="Times New Roman"/>
                <w:noProof/>
                <w:sz w:val="24"/>
                <w:szCs w:val="20"/>
              </w:rPr>
              <w:t xml:space="preserve">né dispongono di sistemi e di misure di governance e di gestione adeguati per attutire gli impatti dannosi. </w:t>
            </w:r>
            <w:r>
              <w:rPr>
                <w:rFonts w:ascii="Times New Roman" w:hAnsi="Times New Roman"/>
                <w:bCs/>
                <w:noProof/>
                <w:sz w:val="24"/>
                <w:szCs w:val="20"/>
              </w:rPr>
              <w:t>Le cause del</w:t>
            </w:r>
            <w:r>
              <w:rPr>
                <w:rFonts w:ascii="Times New Roman" w:hAnsi="Times New Roman"/>
                <w:b/>
                <w:bCs/>
                <w:noProof/>
                <w:sz w:val="24"/>
                <w:szCs w:val="20"/>
              </w:rPr>
              <w:t xml:space="preserve"> problema </w:t>
            </w:r>
            <w:r>
              <w:rPr>
                <w:rFonts w:ascii="Times New Roman" w:hAnsi="Times New Roman"/>
                <w:noProof/>
                <w:sz w:val="24"/>
                <w:szCs w:val="20"/>
              </w:rPr>
              <w:t xml:space="preserve">sono i </w:t>
            </w:r>
            <w:r>
              <w:rPr>
                <w:rFonts w:ascii="Times New Roman" w:hAnsi="Times New Roman"/>
                <w:b/>
                <w:bCs/>
                <w:noProof/>
                <w:sz w:val="24"/>
                <w:szCs w:val="20"/>
              </w:rPr>
              <w:t>fallimenti del mercato</w:t>
            </w:r>
            <w:r>
              <w:rPr>
                <w:rFonts w:ascii="Times New Roman" w:hAnsi="Times New Roman"/>
                <w:bCs/>
                <w:noProof/>
                <w:sz w:val="24"/>
                <w:szCs w:val="20"/>
              </w:rPr>
              <w:t>,</w:t>
            </w:r>
            <w:r>
              <w:rPr>
                <w:rFonts w:ascii="Times New Roman" w:hAnsi="Times New Roman"/>
                <w:noProof/>
                <w:sz w:val="24"/>
                <w:szCs w:val="20"/>
              </w:rPr>
              <w:t xml:space="preserve"> tra cui l</w:t>
            </w:r>
            <w:r w:rsidR="00134EBC">
              <w:rPr>
                <w:rFonts w:ascii="Times New Roman" w:hAnsi="Times New Roman"/>
                <w:noProof/>
                <w:sz w:val="24"/>
                <w:szCs w:val="20"/>
              </w:rPr>
              <w:t>'</w:t>
            </w:r>
            <w:r>
              <w:rPr>
                <w:rFonts w:ascii="Times New Roman" w:hAnsi="Times New Roman"/>
                <w:noProof/>
                <w:sz w:val="24"/>
                <w:szCs w:val="20"/>
              </w:rPr>
              <w:t xml:space="preserve">attenzione a breve termine delle società e degli amministratori, le </w:t>
            </w:r>
            <w:r>
              <w:rPr>
                <w:rFonts w:ascii="Times New Roman" w:hAnsi="Times New Roman"/>
                <w:b/>
                <w:bCs/>
                <w:noProof/>
                <w:sz w:val="24"/>
                <w:szCs w:val="20"/>
              </w:rPr>
              <w:t xml:space="preserve">carenze normative </w:t>
            </w:r>
            <w:r>
              <w:rPr>
                <w:rFonts w:ascii="Times New Roman" w:hAnsi="Times New Roman"/>
                <w:noProof/>
                <w:sz w:val="24"/>
                <w:szCs w:val="20"/>
              </w:rPr>
              <w:t xml:space="preserve">derivanti da norme nazionali poco chiare e divergenti (comprese quelle emergenti) e quadri volontari inefficaci. Il problema ha una </w:t>
            </w:r>
            <w:r>
              <w:rPr>
                <w:rFonts w:ascii="Times New Roman" w:hAnsi="Times New Roman"/>
                <w:b/>
                <w:noProof/>
                <w:sz w:val="24"/>
                <w:szCs w:val="20"/>
              </w:rPr>
              <w:t>dimensione europea</w:t>
            </w:r>
            <w:r>
              <w:rPr>
                <w:rFonts w:ascii="Times New Roman" w:hAnsi="Times New Roman"/>
                <w:noProof/>
                <w:sz w:val="24"/>
                <w:szCs w:val="20"/>
              </w:rPr>
              <w:t xml:space="preserve"> in quanto le società e gli investitori operano a livello transfrontaliero, le catene di approvvigionamento sono transnazionali e i fallimenti del mercato individuati hanno carattere sistemico. Si prevede che il </w:t>
            </w:r>
            <w:r>
              <w:rPr>
                <w:rFonts w:ascii="Times New Roman" w:hAnsi="Times New Roman"/>
                <w:b/>
                <w:noProof/>
                <w:sz w:val="24"/>
                <w:szCs w:val="20"/>
              </w:rPr>
              <w:t>problema aumenterà nel tempo</w:t>
            </w:r>
            <w:r>
              <w:rPr>
                <w:rFonts w:ascii="Times New Roman" w:hAnsi="Times New Roman"/>
                <w:noProof/>
                <w:sz w:val="24"/>
                <w:szCs w:val="20"/>
              </w:rPr>
              <w:t>: l</w:t>
            </w:r>
            <w:r w:rsidR="00134EBC">
              <w:rPr>
                <w:rFonts w:ascii="Times New Roman" w:hAnsi="Times New Roman"/>
                <w:noProof/>
                <w:sz w:val="24"/>
                <w:szCs w:val="20"/>
              </w:rPr>
              <w:t>'</w:t>
            </w:r>
            <w:r>
              <w:rPr>
                <w:rFonts w:ascii="Times New Roman" w:hAnsi="Times New Roman"/>
                <w:noProof/>
                <w:sz w:val="24"/>
                <w:szCs w:val="20"/>
              </w:rPr>
              <w:t xml:space="preserve">individuazione dei rischi e la consapevolezza dovrebbero migliorare, ma i cambiamenti non saranno sufficientemente rapidi, uniformi, sistemici e diffusi.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Quali sono gli obiettivi da conseguire?</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L</w:t>
            </w:r>
            <w:r w:rsidR="00134EBC">
              <w:rPr>
                <w:rFonts w:ascii="Times New Roman" w:hAnsi="Times New Roman"/>
                <w:noProof/>
                <w:sz w:val="24"/>
                <w:szCs w:val="20"/>
              </w:rPr>
              <w:t>'</w:t>
            </w:r>
            <w:r>
              <w:rPr>
                <w:rFonts w:ascii="Times New Roman" w:hAnsi="Times New Roman"/>
                <w:b/>
                <w:noProof/>
                <w:sz w:val="24"/>
                <w:szCs w:val="20"/>
              </w:rPr>
              <w:t>obiettivo generale</w:t>
            </w:r>
            <w:r>
              <w:rPr>
                <w:rFonts w:ascii="Times New Roman" w:hAnsi="Times New Roman"/>
                <w:noProof/>
                <w:sz w:val="24"/>
                <w:szCs w:val="20"/>
              </w:rPr>
              <w:t xml:space="preserve"> è sfruttare meglio il potenziale del mercato unico per contribuire alla transizione a un</w:t>
            </w:r>
            <w:r w:rsidR="00134EBC">
              <w:rPr>
                <w:rFonts w:ascii="Times New Roman" w:hAnsi="Times New Roman"/>
                <w:noProof/>
                <w:sz w:val="24"/>
                <w:szCs w:val="20"/>
              </w:rPr>
              <w:t>'</w:t>
            </w:r>
            <w:r>
              <w:rPr>
                <w:rFonts w:ascii="Times New Roman" w:hAnsi="Times New Roman"/>
                <w:noProof/>
                <w:sz w:val="24"/>
                <w:szCs w:val="20"/>
              </w:rPr>
              <w:t>economia sostenibile, promuovere la creazione di valore sostenibile e migliorare le prestazioni e la resilienza a lungo termine</w:t>
            </w:r>
            <w:r>
              <w:rPr>
                <w:rFonts w:ascii="Times New Roman" w:hAnsi="Times New Roman"/>
                <w:b/>
                <w:noProof/>
                <w:sz w:val="24"/>
                <w:szCs w:val="20"/>
              </w:rPr>
              <w:t xml:space="preserve"> </w:t>
            </w:r>
            <w:r>
              <w:rPr>
                <w:rFonts w:ascii="Times New Roman" w:hAnsi="Times New Roman"/>
                <w:noProof/>
                <w:sz w:val="24"/>
                <w:szCs w:val="20"/>
              </w:rPr>
              <w:t>delle società dell</w:t>
            </w:r>
            <w:r w:rsidR="00134EBC">
              <w:rPr>
                <w:rFonts w:ascii="Times New Roman" w:hAnsi="Times New Roman"/>
                <w:noProof/>
                <w:sz w:val="24"/>
                <w:szCs w:val="20"/>
              </w:rPr>
              <w:t>'</w:t>
            </w:r>
            <w:r>
              <w:rPr>
                <w:rFonts w:ascii="Times New Roman" w:hAnsi="Times New Roman"/>
                <w:noProof/>
                <w:sz w:val="24"/>
                <w:szCs w:val="20"/>
              </w:rPr>
              <w:t xml:space="preserve">UE. </w:t>
            </w:r>
            <w:r>
              <w:rPr>
                <w:rFonts w:ascii="Times New Roman" w:hAnsi="Times New Roman"/>
                <w:b/>
                <w:noProof/>
                <w:sz w:val="24"/>
                <w:szCs w:val="20"/>
              </w:rPr>
              <w:t xml:space="preserve">Gli obiettivi specifici </w:t>
            </w:r>
            <w:r>
              <w:rPr>
                <w:rFonts w:ascii="Times New Roman" w:hAnsi="Times New Roman"/>
                <w:noProof/>
                <w:sz w:val="24"/>
                <w:szCs w:val="20"/>
              </w:rPr>
              <w:t>sono: chiarire che cosa ci si attende dagli amministratori in adempimento all</w:t>
            </w:r>
            <w:r w:rsidR="00134EBC">
              <w:rPr>
                <w:rFonts w:ascii="Times New Roman" w:hAnsi="Times New Roman"/>
                <w:noProof/>
                <w:sz w:val="24"/>
                <w:szCs w:val="20"/>
              </w:rPr>
              <w:t>'</w:t>
            </w:r>
            <w:r>
              <w:rPr>
                <w:rFonts w:ascii="Times New Roman" w:hAnsi="Times New Roman"/>
                <w:noProof/>
                <w:sz w:val="24"/>
                <w:szCs w:val="20"/>
              </w:rPr>
              <w:t>obbligo di agire nell</w:t>
            </w:r>
            <w:r w:rsidR="00134EBC">
              <w:rPr>
                <w:rFonts w:ascii="Times New Roman" w:hAnsi="Times New Roman"/>
                <w:noProof/>
                <w:sz w:val="24"/>
                <w:szCs w:val="20"/>
              </w:rPr>
              <w:t>'</w:t>
            </w:r>
            <w:r>
              <w:rPr>
                <w:rFonts w:ascii="Times New Roman" w:hAnsi="Times New Roman"/>
                <w:noProof/>
                <w:sz w:val="24"/>
                <w:szCs w:val="20"/>
              </w:rPr>
              <w:t>interesse della società; promuovere l</w:t>
            </w:r>
            <w:r w:rsidR="00134EBC">
              <w:rPr>
                <w:rFonts w:ascii="Times New Roman" w:hAnsi="Times New Roman"/>
                <w:noProof/>
                <w:sz w:val="24"/>
                <w:szCs w:val="20"/>
              </w:rPr>
              <w:t>'</w:t>
            </w:r>
            <w:r>
              <w:rPr>
                <w:rFonts w:ascii="Times New Roman" w:hAnsi="Times New Roman"/>
                <w:noProof/>
                <w:sz w:val="24"/>
                <w:szCs w:val="20"/>
              </w:rPr>
              <w:t>integrazione dei rischi e degli impatti per la sostenibilità nella gestione dei rischi aziendali; aumentare la responsabilità che occorre assumersi per quanto riguarda l</w:t>
            </w:r>
            <w:r w:rsidR="00134EBC">
              <w:rPr>
                <w:rFonts w:ascii="Times New Roman" w:hAnsi="Times New Roman"/>
                <w:noProof/>
                <w:sz w:val="24"/>
                <w:szCs w:val="20"/>
              </w:rPr>
              <w:t>'</w:t>
            </w:r>
            <w:r>
              <w:rPr>
                <w:rFonts w:ascii="Times New Roman" w:hAnsi="Times New Roman"/>
                <w:noProof/>
                <w:sz w:val="24"/>
                <w:szCs w:val="20"/>
              </w:rPr>
              <w:t>individuazione, la prevenzione e l</w:t>
            </w:r>
            <w:r w:rsidR="00134EBC">
              <w:rPr>
                <w:rFonts w:ascii="Times New Roman" w:hAnsi="Times New Roman"/>
                <w:noProof/>
                <w:sz w:val="24"/>
                <w:szCs w:val="20"/>
              </w:rPr>
              <w:t>'</w:t>
            </w:r>
            <w:r>
              <w:rPr>
                <w:rFonts w:ascii="Times New Roman" w:hAnsi="Times New Roman"/>
                <w:noProof/>
                <w:sz w:val="24"/>
                <w:szCs w:val="20"/>
              </w:rPr>
              <w:t>attenuazione degli impatti negativi, anche nelle catene del valore; migliorare l</w:t>
            </w:r>
            <w:r w:rsidR="00134EBC">
              <w:rPr>
                <w:rFonts w:ascii="Times New Roman" w:hAnsi="Times New Roman"/>
                <w:noProof/>
                <w:sz w:val="24"/>
                <w:szCs w:val="20"/>
              </w:rPr>
              <w:t>'</w:t>
            </w:r>
            <w:r>
              <w:rPr>
                <w:rFonts w:ascii="Times New Roman" w:hAnsi="Times New Roman"/>
                <w:noProof/>
                <w:sz w:val="24"/>
                <w:szCs w:val="20"/>
              </w:rPr>
              <w:t>accesso ai mezzi di ricorso; migliorare le pratiche di governo societario per integrare meglio la sostenibilità nel processo decisionale degli amministratori e delle società.</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 è il valore aggiunto dell</w:t>
            </w:r>
            <w:r w:rsidR="00134EBC">
              <w:rPr>
                <w:rFonts w:ascii="Times New Roman" w:hAnsi="Times New Roman"/>
                <w:b/>
                <w:noProof/>
                <w:sz w:val="24"/>
                <w:szCs w:val="20"/>
              </w:rPr>
              <w:t>'</w:t>
            </w:r>
            <w:r>
              <w:rPr>
                <w:rFonts w:ascii="Times New Roman" w:hAnsi="Times New Roman"/>
                <w:b/>
                <w:noProof/>
                <w:sz w:val="24"/>
                <w:szCs w:val="20"/>
              </w:rPr>
              <w:t>intervento a livello dell</w:t>
            </w:r>
            <w:r w:rsidR="00134EBC">
              <w:rPr>
                <w:rFonts w:ascii="Times New Roman" w:hAnsi="Times New Roman"/>
                <w:b/>
                <w:noProof/>
                <w:sz w:val="24"/>
                <w:szCs w:val="20"/>
              </w:rPr>
              <w:t>'</w:t>
            </w:r>
            <w:r>
              <w:rPr>
                <w:rFonts w:ascii="Times New Roman" w:hAnsi="Times New Roman"/>
                <w:b/>
                <w:noProof/>
                <w:sz w:val="24"/>
                <w:szCs w:val="20"/>
              </w:rPr>
              <w:t>UE (sussidiarietà)?</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L</w:t>
            </w:r>
            <w:r w:rsidR="00134EBC">
              <w:rPr>
                <w:rFonts w:ascii="Times New Roman" w:hAnsi="Times New Roman"/>
                <w:noProof/>
                <w:sz w:val="24"/>
                <w:szCs w:val="20"/>
              </w:rPr>
              <w:t>'</w:t>
            </w:r>
            <w:r>
              <w:rPr>
                <w:rFonts w:ascii="Times New Roman" w:hAnsi="Times New Roman"/>
                <w:noProof/>
                <w:sz w:val="24"/>
                <w:szCs w:val="20"/>
              </w:rPr>
              <w:t xml:space="preserve">azione individuale di alcuni Stati membri </w:t>
            </w:r>
            <w:r>
              <w:rPr>
                <w:rFonts w:ascii="Times New Roman" w:hAnsi="Times New Roman"/>
                <w:b/>
                <w:noProof/>
                <w:sz w:val="24"/>
                <w:szCs w:val="20"/>
              </w:rPr>
              <w:t xml:space="preserve">non potrebbe conseguire in modo soddisfacente gli obiettivi, </w:t>
            </w:r>
            <w:r>
              <w:rPr>
                <w:rFonts w:ascii="Times New Roman" w:hAnsi="Times New Roman"/>
                <w:noProof/>
                <w:sz w:val="24"/>
                <w:szCs w:val="20"/>
              </w:rPr>
              <w:t>a causa della dimensione unionale/globale del problema. Le norme dell</w:t>
            </w:r>
            <w:r w:rsidR="00134EBC">
              <w:rPr>
                <w:rFonts w:ascii="Times New Roman" w:hAnsi="Times New Roman"/>
                <w:noProof/>
                <w:sz w:val="24"/>
                <w:szCs w:val="20"/>
              </w:rPr>
              <w:t>'</w:t>
            </w:r>
            <w:r>
              <w:rPr>
                <w:rFonts w:ascii="Times New Roman" w:hAnsi="Times New Roman"/>
                <w:noProof/>
                <w:sz w:val="24"/>
                <w:szCs w:val="20"/>
              </w:rPr>
              <w:t>UE hanno maggiori possibilità di attenuare le pressioni a breve termine sulle società. Le nuove norme dell</w:t>
            </w:r>
            <w:r w:rsidR="00134EBC">
              <w:rPr>
                <w:rFonts w:ascii="Times New Roman" w:hAnsi="Times New Roman"/>
                <w:noProof/>
                <w:sz w:val="24"/>
                <w:szCs w:val="20"/>
              </w:rPr>
              <w:t>'</w:t>
            </w:r>
            <w:r>
              <w:rPr>
                <w:rFonts w:ascii="Times New Roman" w:hAnsi="Times New Roman"/>
                <w:noProof/>
                <w:sz w:val="24"/>
                <w:szCs w:val="20"/>
              </w:rPr>
              <w:t>UE si baserebbero sul vigente quadro dell</w:t>
            </w:r>
            <w:r w:rsidR="00134EBC">
              <w:rPr>
                <w:rFonts w:ascii="Times New Roman" w:hAnsi="Times New Roman"/>
                <w:noProof/>
                <w:sz w:val="24"/>
                <w:szCs w:val="20"/>
              </w:rPr>
              <w:t>'</w:t>
            </w:r>
            <w:r>
              <w:rPr>
                <w:rFonts w:ascii="Times New Roman" w:hAnsi="Times New Roman"/>
                <w:noProof/>
                <w:sz w:val="24"/>
                <w:szCs w:val="20"/>
              </w:rPr>
              <w:t>UE in materia di governo societario. L</w:t>
            </w:r>
            <w:r w:rsidR="00134EBC">
              <w:rPr>
                <w:rFonts w:ascii="Times New Roman" w:hAnsi="Times New Roman"/>
                <w:noProof/>
                <w:sz w:val="24"/>
                <w:szCs w:val="20"/>
              </w:rPr>
              <w:t>'</w:t>
            </w:r>
            <w:r>
              <w:rPr>
                <w:rFonts w:ascii="Times New Roman" w:hAnsi="Times New Roman"/>
                <w:noProof/>
                <w:sz w:val="24"/>
                <w:szCs w:val="20"/>
              </w:rPr>
              <w:t>intervento dell</w:t>
            </w:r>
            <w:r w:rsidR="00134EBC">
              <w:rPr>
                <w:rFonts w:ascii="Times New Roman" w:hAnsi="Times New Roman"/>
                <w:noProof/>
                <w:sz w:val="24"/>
                <w:szCs w:val="20"/>
              </w:rPr>
              <w:t>'</w:t>
            </w:r>
            <w:r>
              <w:rPr>
                <w:rFonts w:ascii="Times New Roman" w:hAnsi="Times New Roman"/>
                <w:noProof/>
                <w:sz w:val="24"/>
                <w:szCs w:val="20"/>
              </w:rPr>
              <w:t>UE può garantire una voce forte dell</w:t>
            </w:r>
            <w:r w:rsidR="00134EBC">
              <w:rPr>
                <w:rFonts w:ascii="Times New Roman" w:hAnsi="Times New Roman"/>
                <w:noProof/>
                <w:sz w:val="24"/>
                <w:szCs w:val="20"/>
              </w:rPr>
              <w:t>'</w:t>
            </w:r>
            <w:r>
              <w:rPr>
                <w:rFonts w:ascii="Times New Roman" w:hAnsi="Times New Roman"/>
                <w:noProof/>
                <w:sz w:val="24"/>
                <w:szCs w:val="20"/>
              </w:rPr>
              <w:t>UE a livello mondiale.</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B. Soluzioni</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Quali sono le varie opzioni per conseguire gli obiettivi?</w:t>
            </w:r>
            <w:r>
              <w:rPr>
                <w:rFonts w:ascii="Times New Roman" w:hAnsi="Times New Roman"/>
                <w:noProof/>
                <w:sz w:val="24"/>
                <w:szCs w:val="20"/>
              </w:rPr>
              <w:t xml:space="preserve"> </w:t>
            </w:r>
            <w:r>
              <w:rPr>
                <w:rFonts w:ascii="Times New Roman" w:hAnsi="Times New Roman"/>
                <w:b/>
                <w:noProof/>
                <w:sz w:val="24"/>
                <w:szCs w:val="20"/>
              </w:rPr>
              <w:t>Ne è stata prescelta una? In caso contrario, perché?</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Le opzioni considerate hanno riguardato principalmente l</w:t>
            </w:r>
            <w:r w:rsidR="00134EBC">
              <w:rPr>
                <w:rFonts w:ascii="Times New Roman" w:hAnsi="Times New Roman"/>
                <w:noProof/>
                <w:sz w:val="24"/>
                <w:szCs w:val="20"/>
              </w:rPr>
              <w:t>'</w:t>
            </w:r>
            <w:r>
              <w:rPr>
                <w:rFonts w:ascii="Times New Roman" w:hAnsi="Times New Roman"/>
                <w:noProof/>
                <w:sz w:val="24"/>
                <w:szCs w:val="20"/>
              </w:rPr>
              <w:t>obbligo di diligenza delle società e gli obblighi degli amministratori. Le opzioni non normative sono state scartate in quanto si sono rivelate inefficaci e inefficienti. Per quanto riguarda il dovere di diligenza, alcune opzioni normative (ad esempio il dovere o la responsabilità limitata al primo livello della catena del valore) sono state anch</w:t>
            </w:r>
            <w:r w:rsidR="00134EBC">
              <w:rPr>
                <w:rFonts w:ascii="Times New Roman" w:hAnsi="Times New Roman"/>
                <w:noProof/>
                <w:sz w:val="24"/>
                <w:szCs w:val="20"/>
              </w:rPr>
              <w:t>'</w:t>
            </w:r>
            <w:r>
              <w:rPr>
                <w:rFonts w:ascii="Times New Roman" w:hAnsi="Times New Roman"/>
                <w:noProof/>
                <w:sz w:val="24"/>
                <w:szCs w:val="20"/>
              </w:rPr>
              <w:t>esse scartate perché inefficaci. Le opzioni prescelte variano in termini di approccio globale (settoriale – trasversale) e di ambito d</w:t>
            </w:r>
            <w:r w:rsidR="00134EBC">
              <w:rPr>
                <w:rFonts w:ascii="Times New Roman" w:hAnsi="Times New Roman"/>
                <w:noProof/>
                <w:sz w:val="24"/>
                <w:szCs w:val="20"/>
              </w:rPr>
              <w:t>'</w:t>
            </w:r>
            <w:r>
              <w:rPr>
                <w:rFonts w:ascii="Times New Roman" w:hAnsi="Times New Roman"/>
                <w:noProof/>
                <w:sz w:val="24"/>
                <w:szCs w:val="20"/>
              </w:rPr>
              <w:t xml:space="preserve">applicazione soggettivo. </w:t>
            </w:r>
            <w:r>
              <w:rPr>
                <w:rFonts w:ascii="Times New Roman" w:hAnsi="Times New Roman"/>
                <w:b/>
                <w:noProof/>
                <w:sz w:val="24"/>
                <w:szCs w:val="20"/>
              </w:rPr>
              <w:t xml:space="preserve">Si propone un pacchetto di opzioni prescelte, che si integrano a vicenda. </w:t>
            </w:r>
            <w:r>
              <w:rPr>
                <w:rFonts w:ascii="Times New Roman" w:hAnsi="Times New Roman"/>
                <w:noProof/>
                <w:sz w:val="24"/>
                <w:szCs w:val="20"/>
              </w:rPr>
              <w:t xml:space="preserve">Per quanto riguarda il </w:t>
            </w:r>
            <w:r>
              <w:rPr>
                <w:rFonts w:ascii="Times New Roman" w:hAnsi="Times New Roman"/>
                <w:b/>
                <w:noProof/>
                <w:sz w:val="24"/>
                <w:szCs w:val="20"/>
              </w:rPr>
              <w:t>dovere di diligenza delle società</w:t>
            </w:r>
            <w:r>
              <w:rPr>
                <w:rFonts w:ascii="Times New Roman" w:hAnsi="Times New Roman"/>
                <w:noProof/>
                <w:sz w:val="24"/>
                <w:szCs w:val="20"/>
              </w:rPr>
              <w:t>, sarebbe introdotto un obbligo orizzontale di diligenza per le grandi società a responsabilità limitata (srl) (definite in base a due possibili serie alternative di criteri relativi al numero di dipendenti e al fatturato), combinato con un regime semplificato che affronti le questioni più importanti per le srl di medie dimensioni e a media capitalizzazione nei settori in cui è più probabile che si verifichino impatti negativi sull</w:t>
            </w:r>
            <w:r w:rsidR="00134EBC">
              <w:rPr>
                <w:rFonts w:ascii="Times New Roman" w:hAnsi="Times New Roman"/>
                <w:noProof/>
                <w:sz w:val="24"/>
                <w:szCs w:val="20"/>
              </w:rPr>
              <w:t>'</w:t>
            </w:r>
            <w:r>
              <w:rPr>
                <w:rFonts w:ascii="Times New Roman" w:hAnsi="Times New Roman"/>
                <w:noProof/>
                <w:sz w:val="24"/>
                <w:szCs w:val="20"/>
              </w:rPr>
              <w:t>ambiente e sui diritti umani (settori ad alto impatto). Ciò sarebbe sostenuto dalle norme dell</w:t>
            </w:r>
            <w:r w:rsidR="00134EBC">
              <w:rPr>
                <w:rFonts w:ascii="Times New Roman" w:hAnsi="Times New Roman"/>
                <w:noProof/>
                <w:sz w:val="24"/>
                <w:szCs w:val="20"/>
              </w:rPr>
              <w:t>'</w:t>
            </w:r>
            <w:r>
              <w:rPr>
                <w:rFonts w:ascii="Times New Roman" w:hAnsi="Times New Roman"/>
                <w:noProof/>
                <w:sz w:val="24"/>
                <w:szCs w:val="20"/>
              </w:rPr>
              <w:t>UE in materia di responsabilità civile armonizzata e di applicazione amministrativa. Saranno incluse le società di paesi terzi che generano un fatturato consistente nell</w:t>
            </w:r>
            <w:r w:rsidR="00134EBC">
              <w:rPr>
                <w:rFonts w:ascii="Times New Roman" w:hAnsi="Times New Roman"/>
                <w:noProof/>
                <w:sz w:val="24"/>
                <w:szCs w:val="20"/>
              </w:rPr>
              <w:t>'</w:t>
            </w:r>
            <w:r>
              <w:rPr>
                <w:rFonts w:ascii="Times New Roman" w:hAnsi="Times New Roman"/>
                <w:noProof/>
                <w:sz w:val="24"/>
                <w:szCs w:val="20"/>
              </w:rPr>
              <w:t xml:space="preserve">UE. Per quanto riguarda gli </w:t>
            </w:r>
            <w:r>
              <w:rPr>
                <w:rFonts w:ascii="Times New Roman" w:hAnsi="Times New Roman"/>
                <w:b/>
                <w:noProof/>
                <w:sz w:val="24"/>
                <w:szCs w:val="20"/>
              </w:rPr>
              <w:t>obblighi degli amministratori</w:t>
            </w:r>
            <w:r>
              <w:rPr>
                <w:rFonts w:ascii="Times New Roman" w:hAnsi="Times New Roman"/>
                <w:noProof/>
                <w:sz w:val="24"/>
                <w:szCs w:val="20"/>
              </w:rPr>
              <w:t>, l</w:t>
            </w:r>
            <w:r w:rsidR="00134EBC">
              <w:rPr>
                <w:rFonts w:ascii="Times New Roman" w:hAnsi="Times New Roman"/>
                <w:noProof/>
                <w:sz w:val="24"/>
                <w:szCs w:val="20"/>
              </w:rPr>
              <w:t>'</w:t>
            </w:r>
            <w:r>
              <w:rPr>
                <w:rFonts w:ascii="Times New Roman" w:hAnsi="Times New Roman"/>
                <w:noProof/>
                <w:sz w:val="24"/>
                <w:szCs w:val="20"/>
              </w:rPr>
              <w:t>opzione prescelta chiarirebbe in modo armonizzato l</w:t>
            </w:r>
            <w:r w:rsidR="00134EBC">
              <w:rPr>
                <w:rFonts w:ascii="Times New Roman" w:hAnsi="Times New Roman"/>
                <w:noProof/>
                <w:sz w:val="24"/>
                <w:szCs w:val="20"/>
              </w:rPr>
              <w:t>'</w:t>
            </w:r>
            <w:r>
              <w:rPr>
                <w:rFonts w:ascii="Times New Roman" w:hAnsi="Times New Roman"/>
                <w:noProof/>
                <w:sz w:val="24"/>
                <w:szCs w:val="20"/>
              </w:rPr>
              <w:t xml:space="preserve">obbligo </w:t>
            </w:r>
            <w:r>
              <w:rPr>
                <w:rFonts w:ascii="Times New Roman" w:hAnsi="Times New Roman"/>
                <w:bCs/>
                <w:noProof/>
                <w:sz w:val="24"/>
                <w:szCs w:val="20"/>
              </w:rPr>
              <w:t>generale</w:t>
            </w:r>
            <w:r>
              <w:rPr>
                <w:rFonts w:ascii="Times New Roman" w:hAnsi="Times New Roman"/>
                <w:noProof/>
                <w:sz w:val="24"/>
                <w:szCs w:val="20"/>
              </w:rPr>
              <w:t xml:space="preserve"> degli amministratori di agire nell</w:t>
            </w:r>
            <w:r w:rsidR="00134EBC">
              <w:rPr>
                <w:rFonts w:ascii="Times New Roman" w:hAnsi="Times New Roman"/>
                <w:noProof/>
                <w:sz w:val="24"/>
                <w:szCs w:val="20"/>
              </w:rPr>
              <w:t>'</w:t>
            </w:r>
            <w:r>
              <w:rPr>
                <w:rFonts w:ascii="Times New Roman" w:hAnsi="Times New Roman"/>
                <w:noProof/>
                <w:sz w:val="24"/>
                <w:szCs w:val="20"/>
              </w:rPr>
              <w:t>interesse superiore della società per tutte le srl (obbligo disciplinato dal diritto societario nazionale). Ciò sarebbe sostenuto da alcuni obblighi specifici degli amministratori (ad esempio in materia di gestione del rischio o coinvolgimento dei portatori di interessi) per le grandi società e gradualmente introdotto per le srl di medie dimensioni e le PMI quotate in borsa nei settori ad alto impatto. Gli obblighi degli amministratori che attuano l</w:t>
            </w:r>
            <w:r w:rsidR="00134EBC">
              <w:rPr>
                <w:rFonts w:ascii="Times New Roman" w:hAnsi="Times New Roman"/>
                <w:noProof/>
                <w:sz w:val="24"/>
                <w:szCs w:val="20"/>
              </w:rPr>
              <w:t>'</w:t>
            </w:r>
            <w:r>
              <w:rPr>
                <w:rFonts w:ascii="Times New Roman" w:hAnsi="Times New Roman"/>
                <w:noProof/>
                <w:sz w:val="24"/>
                <w:szCs w:val="20"/>
              </w:rPr>
              <w:t xml:space="preserve">obbligo di diligenza delle società si applicano alle stesse società soggette a tale obbligo. Ulteriori obblighi specifici degli amministratori relativi alla definizione di strategie con obiettivi a base scientifica si applicherebbero alle grandi società con più di 1 000 dipendenti. Verrebbe a integrarli una clausola generale in base alla quale la </w:t>
            </w:r>
            <w:r>
              <w:rPr>
                <w:rFonts w:ascii="Times New Roman" w:hAnsi="Times New Roman"/>
                <w:b/>
                <w:noProof/>
                <w:sz w:val="24"/>
                <w:szCs w:val="20"/>
              </w:rPr>
              <w:t xml:space="preserve">remunerazione </w:t>
            </w:r>
            <w:r>
              <w:rPr>
                <w:rFonts w:ascii="Times New Roman" w:hAnsi="Times New Roman"/>
                <w:noProof/>
                <w:sz w:val="24"/>
                <w:szCs w:val="20"/>
              </w:rPr>
              <w:t xml:space="preserve">dovrebbe facilitare o quantomeno non ostacolare il rispetto delle nuove norme. </w:t>
            </w:r>
          </w:p>
        </w:tc>
      </w:tr>
      <w:tr w:rsidR="00FB60AA" w:rsidRPr="00FB60AA" w:rsidTr="005134E6">
        <w:tc>
          <w:tcPr>
            <w:tcW w:w="10490" w:type="dxa"/>
            <w:shd w:val="clear" w:color="auto" w:fill="CCCCCC"/>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Quali sono le opinioni dei diversi portatori di interessi? Chi sono i sostenitori delle varie opzioni? </w:t>
            </w:r>
          </w:p>
        </w:tc>
      </w:tr>
      <w:tr w:rsidR="00FB60AA" w:rsidRPr="00FB60AA" w:rsidTr="005134E6">
        <w:tc>
          <w:tcPr>
            <w:tcW w:w="10490" w:type="dxa"/>
            <w:shd w:val="clear" w:color="auto" w:fill="auto"/>
          </w:tcPr>
          <w:p w:rsidR="00FB60AA" w:rsidRPr="00FB60AA" w:rsidRDefault="00FB60AA" w:rsidP="00FB60AA">
            <w:pPr>
              <w:spacing w:after="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Le attività consultive, in particolare la consultazione pubblica che ha fornito quasi mezzo milione di risposte, mostrano un sostegno generale all</w:t>
            </w:r>
            <w:r w:rsidR="00134EBC">
              <w:rPr>
                <w:rFonts w:ascii="Times New Roman" w:hAnsi="Times New Roman"/>
                <w:noProof/>
                <w:sz w:val="24"/>
                <w:szCs w:val="20"/>
              </w:rPr>
              <w:t>'</w:t>
            </w:r>
            <w:r>
              <w:rPr>
                <w:rFonts w:ascii="Times New Roman" w:hAnsi="Times New Roman"/>
                <w:noProof/>
                <w:sz w:val="24"/>
                <w:szCs w:val="20"/>
              </w:rPr>
              <w:t>obiettivo dell</w:t>
            </w:r>
            <w:r w:rsidR="00134EBC">
              <w:rPr>
                <w:rFonts w:ascii="Times New Roman" w:hAnsi="Times New Roman"/>
                <w:noProof/>
                <w:sz w:val="24"/>
                <w:szCs w:val="20"/>
              </w:rPr>
              <w:t>'</w:t>
            </w:r>
            <w:r>
              <w:rPr>
                <w:rFonts w:ascii="Times New Roman" w:hAnsi="Times New Roman"/>
                <w:noProof/>
                <w:sz w:val="24"/>
                <w:szCs w:val="20"/>
              </w:rPr>
              <w:t>intervento dell</w:t>
            </w:r>
            <w:r w:rsidR="00134EBC">
              <w:rPr>
                <w:rFonts w:ascii="Times New Roman" w:hAnsi="Times New Roman"/>
                <w:noProof/>
                <w:sz w:val="24"/>
                <w:szCs w:val="20"/>
              </w:rPr>
              <w:t>'</w:t>
            </w:r>
            <w:r>
              <w:rPr>
                <w:rFonts w:ascii="Times New Roman" w:hAnsi="Times New Roman"/>
                <w:noProof/>
                <w:sz w:val="24"/>
                <w:szCs w:val="20"/>
              </w:rPr>
              <w:t xml:space="preserve">UE e alla maggior parte delle azioni proposte. Per quanto riguarda gli </w:t>
            </w:r>
            <w:r>
              <w:rPr>
                <w:rFonts w:ascii="Times New Roman" w:hAnsi="Times New Roman"/>
                <w:b/>
                <w:noProof/>
                <w:sz w:val="24"/>
                <w:szCs w:val="20"/>
              </w:rPr>
              <w:t>obblighi degli amministratori</w:t>
            </w:r>
            <w:r>
              <w:rPr>
                <w:rFonts w:ascii="Times New Roman" w:hAnsi="Times New Roman"/>
                <w:noProof/>
                <w:sz w:val="24"/>
                <w:szCs w:val="20"/>
              </w:rPr>
              <w:t>, la maggior parte delle risposte dei vari gruppi di portatori di interessi ha riconosciuto la necessità che le società e gli amministratori tengano conto degli interessi dei portatori di interessi nelle decisioni aziendali, in particolare per quanto riguarda l</w:t>
            </w:r>
            <w:r w:rsidR="00134EBC">
              <w:rPr>
                <w:rFonts w:ascii="Times New Roman" w:hAnsi="Times New Roman"/>
                <w:noProof/>
                <w:sz w:val="24"/>
                <w:szCs w:val="20"/>
              </w:rPr>
              <w:t>'</w:t>
            </w:r>
            <w:r>
              <w:rPr>
                <w:rFonts w:ascii="Times New Roman" w:hAnsi="Times New Roman"/>
                <w:noProof/>
                <w:sz w:val="24"/>
                <w:szCs w:val="20"/>
              </w:rPr>
              <w:t xml:space="preserve">integrazione della sostenibilità nella strategia aziendale; ciò è stato sostenuto maggiormente dalle ONG, seguite da singole società e dalle associazioni di imprese. Queste ultime esprimono preoccupazione per la </w:t>
            </w:r>
            <w:r>
              <w:rPr>
                <w:rFonts w:ascii="Times New Roman" w:hAnsi="Times New Roman"/>
                <w:noProof/>
                <w:sz w:val="24"/>
                <w:szCs w:val="24"/>
              </w:rPr>
              <w:t xml:space="preserve">fissazione di obiettivi misurabili e il bilanciamento degli interessi di tutti i portatori di interessi. </w:t>
            </w:r>
            <w:r>
              <w:rPr>
                <w:rFonts w:ascii="Times New Roman" w:hAnsi="Times New Roman"/>
                <w:noProof/>
                <w:sz w:val="24"/>
                <w:szCs w:val="20"/>
              </w:rPr>
              <w:t xml:space="preserve">Per quanto riguarda il </w:t>
            </w:r>
            <w:r>
              <w:rPr>
                <w:rFonts w:ascii="Times New Roman" w:hAnsi="Times New Roman"/>
                <w:b/>
                <w:noProof/>
                <w:sz w:val="24"/>
                <w:szCs w:val="20"/>
              </w:rPr>
              <w:t>dovere di diligenza delle imprese</w:t>
            </w:r>
            <w:r>
              <w:rPr>
                <w:rFonts w:ascii="Times New Roman" w:hAnsi="Times New Roman"/>
                <w:noProof/>
                <w:sz w:val="24"/>
                <w:szCs w:val="20"/>
              </w:rPr>
              <w:t>, tutti i gruppi di portatori di interessi confermano con ampia maggioranza la necessità di un quadro giuridico trasversale dell</w:t>
            </w:r>
            <w:r w:rsidR="00134EBC">
              <w:rPr>
                <w:rFonts w:ascii="Times New Roman" w:hAnsi="Times New Roman"/>
                <w:noProof/>
                <w:sz w:val="24"/>
                <w:szCs w:val="20"/>
              </w:rPr>
              <w:t>'</w:t>
            </w:r>
            <w:r>
              <w:rPr>
                <w:rFonts w:ascii="Times New Roman" w:hAnsi="Times New Roman"/>
                <w:noProof/>
                <w:sz w:val="24"/>
                <w:szCs w:val="20"/>
              </w:rPr>
              <w:t>UE che garantisca l</w:t>
            </w:r>
            <w:r w:rsidR="00134EBC">
              <w:rPr>
                <w:rFonts w:ascii="Times New Roman" w:hAnsi="Times New Roman"/>
                <w:noProof/>
                <w:sz w:val="24"/>
                <w:szCs w:val="20"/>
              </w:rPr>
              <w:t>'</w:t>
            </w:r>
            <w:r>
              <w:rPr>
                <w:rFonts w:ascii="Times New Roman" w:hAnsi="Times New Roman"/>
                <w:noProof/>
                <w:sz w:val="24"/>
                <w:szCs w:val="20"/>
              </w:rPr>
              <w:t>armonizzazione, la parità di condizioni e la certezza del diritto. Vi è un sostegno generale a favore di un approccio ambizioso per quanto riguarda il contenuto di un obbligo di diligenza, sulla falsariga dell</w:t>
            </w:r>
            <w:r w:rsidR="00134EBC">
              <w:rPr>
                <w:rFonts w:ascii="Times New Roman" w:hAnsi="Times New Roman"/>
                <w:noProof/>
                <w:sz w:val="24"/>
                <w:szCs w:val="20"/>
              </w:rPr>
              <w:t>'</w:t>
            </w:r>
            <w:r>
              <w:rPr>
                <w:rFonts w:ascii="Times New Roman" w:hAnsi="Times New Roman"/>
                <w:noProof/>
                <w:sz w:val="24"/>
                <w:szCs w:val="20"/>
              </w:rPr>
              <w:t xml:space="preserve">opzione prescelta. </w:t>
            </w:r>
            <w:bookmarkStart w:id="2" w:name="_Hlk64890212"/>
            <w:r>
              <w:rPr>
                <w:rFonts w:ascii="Times New Roman" w:hAnsi="Times New Roman"/>
                <w:noProof/>
                <w:sz w:val="24"/>
                <w:szCs w:val="20"/>
              </w:rPr>
              <w:t>Per quanto riguarda la riduzione dell</w:t>
            </w:r>
            <w:r w:rsidR="00134EBC">
              <w:rPr>
                <w:rFonts w:ascii="Times New Roman" w:hAnsi="Times New Roman"/>
                <w:noProof/>
                <w:sz w:val="24"/>
                <w:szCs w:val="20"/>
              </w:rPr>
              <w:t>'</w:t>
            </w:r>
            <w:r>
              <w:rPr>
                <w:rFonts w:ascii="Times New Roman" w:hAnsi="Times New Roman"/>
                <w:noProof/>
                <w:sz w:val="24"/>
                <w:szCs w:val="20"/>
              </w:rPr>
              <w:t xml:space="preserve">onere per le PMI, si considerano </w:t>
            </w:r>
            <w:bookmarkEnd w:id="2"/>
            <w:r>
              <w:rPr>
                <w:rFonts w:ascii="Times New Roman" w:hAnsi="Times New Roman"/>
                <w:noProof/>
                <w:sz w:val="24"/>
                <w:szCs w:val="20"/>
              </w:rPr>
              <w:t xml:space="preserve">efficaci misure quali un pacchetto di strumenti, helpdesk nazionali, il sostegno allo sviluppo di capacità, compresi i finanziamenti, e orientamenti non vincolanti. La </w:t>
            </w:r>
            <w:r>
              <w:rPr>
                <w:rFonts w:ascii="Times New Roman" w:hAnsi="Times New Roman"/>
                <w:b/>
                <w:noProof/>
                <w:sz w:val="24"/>
                <w:szCs w:val="20"/>
              </w:rPr>
              <w:t>remunerazione</w:t>
            </w:r>
            <w:r>
              <w:rPr>
                <w:rFonts w:ascii="Times New Roman" w:hAnsi="Times New Roman"/>
                <w:noProof/>
                <w:sz w:val="24"/>
                <w:szCs w:val="20"/>
              </w:rPr>
              <w:t xml:space="preserve"> sembra essere vista come un elemento complementare, sostenuto da un numero piuttosto limitato di risposte.</w:t>
            </w:r>
          </w:p>
        </w:tc>
      </w:tr>
      <w:tr w:rsidR="00FB60AA" w:rsidRPr="00FB60AA" w:rsidTr="005134E6">
        <w:tc>
          <w:tcPr>
            <w:tcW w:w="10490" w:type="dxa"/>
            <w:tcBorders>
              <w:bottom w:val="single" w:sz="4" w:space="0" w:color="auto"/>
            </w:tcBorders>
            <w:shd w:val="clear" w:color="auto" w:fill="CCCCCC"/>
          </w:tcPr>
          <w:p w:rsidR="00FB60AA" w:rsidRPr="00FB60AA" w:rsidRDefault="00FB60AA" w:rsidP="00FB60AA">
            <w:pPr>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C. Impatto dell</w:t>
            </w:r>
            <w:r w:rsidR="00134EBC">
              <w:rPr>
                <w:rFonts w:ascii="Times New Roman" w:hAnsi="Times New Roman"/>
                <w:b/>
                <w:noProof/>
                <w:sz w:val="24"/>
                <w:szCs w:val="20"/>
              </w:rPr>
              <w:t>'</w:t>
            </w:r>
            <w:r>
              <w:rPr>
                <w:rFonts w:ascii="Times New Roman" w:hAnsi="Times New Roman"/>
                <w:b/>
                <w:noProof/>
                <w:sz w:val="24"/>
                <w:szCs w:val="20"/>
              </w:rPr>
              <w:t>opzione prescelta</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Quali sono i vantaggi</w:t>
            </w:r>
            <w:r>
              <w:rPr>
                <w:rFonts w:ascii="Times New Roman" w:hAnsi="Times New Roman"/>
                <w:noProof/>
                <w:sz w:val="24"/>
                <w:szCs w:val="20"/>
              </w:rPr>
              <w:t xml:space="preserve"> </w:t>
            </w:r>
            <w:r>
              <w:rPr>
                <w:rFonts w:ascii="Times New Roman" w:hAnsi="Times New Roman"/>
                <w:b/>
                <w:noProof/>
                <w:sz w:val="24"/>
                <w:szCs w:val="20"/>
              </w:rPr>
              <w:t>dell</w:t>
            </w:r>
            <w:r w:rsidR="00134EBC">
              <w:rPr>
                <w:rFonts w:ascii="Times New Roman" w:hAnsi="Times New Roman"/>
                <w:b/>
                <w:noProof/>
                <w:sz w:val="24"/>
                <w:szCs w:val="20"/>
              </w:rPr>
              <w:t>'</w:t>
            </w:r>
            <w:r>
              <w:rPr>
                <w:rFonts w:ascii="Times New Roman" w:hAnsi="Times New Roman"/>
                <w:b/>
                <w:noProof/>
                <w:sz w:val="24"/>
                <w:szCs w:val="20"/>
              </w:rPr>
              <w:t>opzione prescelta (o in mancanza di quest</w:t>
            </w:r>
            <w:r w:rsidR="00134EBC">
              <w:rPr>
                <w:rFonts w:ascii="Times New Roman" w:hAnsi="Times New Roman"/>
                <w:b/>
                <w:noProof/>
                <w:sz w:val="24"/>
                <w:szCs w:val="20"/>
              </w:rPr>
              <w:t>'</w:t>
            </w:r>
            <w:r>
              <w:rPr>
                <w:rFonts w:ascii="Times New Roman" w:hAnsi="Times New Roman"/>
                <w:b/>
                <w:noProof/>
                <w:sz w:val="24"/>
                <w:szCs w:val="20"/>
              </w:rPr>
              <w:t>ultima, delle opzioni principali)?</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 xml:space="preserve">Il pacchetto di opzioni prescelte consentirebbe alle </w:t>
            </w:r>
            <w:r>
              <w:rPr>
                <w:rFonts w:ascii="Times New Roman" w:hAnsi="Times New Roman"/>
                <w:b/>
                <w:noProof/>
                <w:sz w:val="24"/>
                <w:szCs w:val="20"/>
              </w:rPr>
              <w:t>società</w:t>
            </w:r>
            <w:r>
              <w:rPr>
                <w:rFonts w:ascii="Times New Roman" w:hAnsi="Times New Roman"/>
                <w:i/>
                <w:noProof/>
                <w:sz w:val="24"/>
                <w:szCs w:val="20"/>
              </w:rPr>
              <w:t xml:space="preserve"> </w:t>
            </w:r>
            <w:r>
              <w:rPr>
                <w:rFonts w:ascii="Times New Roman" w:hAnsi="Times New Roman"/>
                <w:noProof/>
                <w:sz w:val="24"/>
                <w:szCs w:val="20"/>
              </w:rPr>
              <w:t>di migliorare i risultati finanziari sulla base di diversi fattori quali una migliore gestione dei rischi, una maggiore efficienza operativa, maggiori risparmi sui costi, una maggiore resilienza e una maggiore innovazione. Non tutti i vantaggi si produrranno immediatamente (alcuni potranno manifestarsi a medio e lungo termine) né si produrranno allo stesso modo per tutte le società che ricadono nell</w:t>
            </w:r>
            <w:r w:rsidR="00134EBC">
              <w:rPr>
                <w:rFonts w:ascii="Times New Roman" w:hAnsi="Times New Roman"/>
                <w:noProof/>
                <w:sz w:val="24"/>
                <w:szCs w:val="20"/>
              </w:rPr>
              <w:t>'</w:t>
            </w:r>
            <w:r>
              <w:rPr>
                <w:rFonts w:ascii="Times New Roman" w:hAnsi="Times New Roman"/>
                <w:noProof/>
                <w:sz w:val="24"/>
                <w:szCs w:val="20"/>
              </w:rPr>
              <w:t>ambito d</w:t>
            </w:r>
            <w:r w:rsidR="00134EBC">
              <w:rPr>
                <w:rFonts w:ascii="Times New Roman" w:hAnsi="Times New Roman"/>
                <w:noProof/>
                <w:sz w:val="24"/>
                <w:szCs w:val="20"/>
              </w:rPr>
              <w:t>'</w:t>
            </w:r>
            <w:r>
              <w:rPr>
                <w:rFonts w:ascii="Times New Roman" w:hAnsi="Times New Roman"/>
                <w:noProof/>
                <w:sz w:val="24"/>
                <w:szCs w:val="20"/>
              </w:rPr>
              <w:t xml:space="preserve">applicazione. Si prevedono </w:t>
            </w:r>
            <w:r>
              <w:rPr>
                <w:rFonts w:ascii="Times New Roman" w:hAnsi="Times New Roman"/>
                <w:b/>
                <w:noProof/>
                <w:sz w:val="24"/>
                <w:szCs w:val="20"/>
              </w:rPr>
              <w:t>impatti positivi sui diritti umani</w:t>
            </w:r>
            <w:r>
              <w:rPr>
                <w:rFonts w:ascii="Times New Roman" w:hAnsi="Times New Roman"/>
                <w:noProof/>
                <w:sz w:val="24"/>
                <w:szCs w:val="20"/>
              </w:rPr>
              <w:t xml:space="preserve">, compresi i diritti dei lavoratori, </w:t>
            </w:r>
            <w:r>
              <w:rPr>
                <w:rFonts w:ascii="Times New Roman" w:hAnsi="Times New Roman"/>
                <w:b/>
                <w:noProof/>
                <w:sz w:val="24"/>
                <w:szCs w:val="20"/>
              </w:rPr>
              <w:t>e sull</w:t>
            </w:r>
            <w:r w:rsidR="00134EBC">
              <w:rPr>
                <w:rFonts w:ascii="Times New Roman" w:hAnsi="Times New Roman"/>
                <w:b/>
                <w:noProof/>
                <w:sz w:val="24"/>
                <w:szCs w:val="20"/>
              </w:rPr>
              <w:t>'</w:t>
            </w:r>
            <w:r>
              <w:rPr>
                <w:rFonts w:ascii="Times New Roman" w:hAnsi="Times New Roman"/>
                <w:b/>
                <w:noProof/>
                <w:sz w:val="24"/>
                <w:szCs w:val="20"/>
              </w:rPr>
              <w:t>ambiente</w:t>
            </w:r>
            <w:r>
              <w:rPr>
                <w:rFonts w:ascii="Times New Roman" w:hAnsi="Times New Roman"/>
                <w:noProof/>
                <w:sz w:val="24"/>
                <w:szCs w:val="20"/>
              </w:rPr>
              <w:t xml:space="preserve">, anche nei paesi terzi in cui si trovano le catene di approvvigionamento. Il pacchetto prescelto sarebbe efficace nel conseguire tali vantaggi.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Quali sono i costi dell</w:t>
            </w:r>
            <w:r w:rsidR="00134EBC">
              <w:rPr>
                <w:rFonts w:ascii="Times New Roman" w:hAnsi="Times New Roman"/>
                <w:b/>
                <w:noProof/>
                <w:sz w:val="24"/>
                <w:szCs w:val="20"/>
              </w:rPr>
              <w:t>'</w:t>
            </w:r>
            <w:r>
              <w:rPr>
                <w:rFonts w:ascii="Times New Roman" w:hAnsi="Times New Roman"/>
                <w:b/>
                <w:noProof/>
                <w:sz w:val="24"/>
                <w:szCs w:val="20"/>
              </w:rPr>
              <w:t>opzione prescelta (o in mancanza di quest</w:t>
            </w:r>
            <w:r w:rsidR="00134EBC">
              <w:rPr>
                <w:rFonts w:ascii="Times New Roman" w:hAnsi="Times New Roman"/>
                <w:b/>
                <w:noProof/>
                <w:sz w:val="24"/>
                <w:szCs w:val="20"/>
              </w:rPr>
              <w:t>'</w:t>
            </w:r>
            <w:r>
              <w:rPr>
                <w:rFonts w:ascii="Times New Roman" w:hAnsi="Times New Roman"/>
                <w:b/>
                <w:noProof/>
                <w:sz w:val="24"/>
                <w:szCs w:val="20"/>
              </w:rPr>
              <w:t>ultima, delle opzioni principali)?</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EC2107">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I costi di conformità per le società comprendono i costi per l</w:t>
            </w:r>
            <w:r w:rsidR="00134EBC">
              <w:rPr>
                <w:rFonts w:ascii="Times New Roman" w:hAnsi="Times New Roman"/>
                <w:noProof/>
                <w:sz w:val="24"/>
                <w:szCs w:val="20"/>
              </w:rPr>
              <w:t>'</w:t>
            </w:r>
            <w:r>
              <w:rPr>
                <w:rFonts w:ascii="Times New Roman" w:hAnsi="Times New Roman"/>
                <w:noProof/>
                <w:sz w:val="24"/>
                <w:szCs w:val="20"/>
              </w:rPr>
              <w:t>istituzione e la gestione di processi e procedure di diligenza e i costi di transizione, vale a dire le spese e gli investimenti necessari per modificare le attività e catene del valore al fine di attutire gli impatti negativi. I costi aggiuntivi di comunicazione al pubblico saranno sostenuti solo dalle medie società non quotate dei settori ad alto impatto, in quanto non contemplate dalla proposta di direttiva della Commissione relativa alla comunicazione societaria sulla sostenibilità. I costi diretti di conformità stimati, tenendo conto del numero di società interessate, ammontano a un importo una tantum compreso tra 500 e 680 milioni di EUR e un importo compreso tra 1,72 e 2,37 miliardi di EUR di costi ricorrenti (annuali) (a seconda dei criteri selezionati relativi al numero di dipendenti/fatturato per la definizione delle grandi società soggette alle norme di diligenza). Alcune società (filiazioni, partner nella catena del valore) che non ricadono nell</w:t>
            </w:r>
            <w:r w:rsidR="00134EBC">
              <w:rPr>
                <w:rFonts w:ascii="Times New Roman" w:hAnsi="Times New Roman"/>
                <w:noProof/>
                <w:sz w:val="24"/>
                <w:szCs w:val="20"/>
              </w:rPr>
              <w:t>'</w:t>
            </w:r>
            <w:r>
              <w:rPr>
                <w:rFonts w:ascii="Times New Roman" w:hAnsi="Times New Roman"/>
                <w:noProof/>
                <w:sz w:val="24"/>
                <w:szCs w:val="20"/>
              </w:rPr>
              <w:t>ambito d</w:t>
            </w:r>
            <w:r w:rsidR="00134EBC">
              <w:rPr>
                <w:rFonts w:ascii="Times New Roman" w:hAnsi="Times New Roman"/>
                <w:noProof/>
                <w:sz w:val="24"/>
                <w:szCs w:val="20"/>
              </w:rPr>
              <w:t>'</w:t>
            </w:r>
            <w:r>
              <w:rPr>
                <w:rFonts w:ascii="Times New Roman" w:hAnsi="Times New Roman"/>
                <w:noProof/>
                <w:sz w:val="24"/>
                <w:szCs w:val="20"/>
              </w:rPr>
              <w:t>applicazione dell</w:t>
            </w:r>
            <w:r w:rsidR="00134EBC">
              <w:rPr>
                <w:rFonts w:ascii="Times New Roman" w:hAnsi="Times New Roman"/>
                <w:noProof/>
                <w:sz w:val="24"/>
                <w:szCs w:val="20"/>
              </w:rPr>
              <w:t>'</w:t>
            </w:r>
            <w:r>
              <w:rPr>
                <w:rFonts w:ascii="Times New Roman" w:hAnsi="Times New Roman"/>
                <w:noProof/>
                <w:sz w:val="24"/>
                <w:szCs w:val="20"/>
              </w:rPr>
              <w:t>iniziativa sosterrebbero costi indiretti (effetto trickle-down di distribuzione capillare). Gli obblighi degli amministratori comporteranno un costo una tantum di 445 milioni di EUR, mentre l</w:t>
            </w:r>
            <w:r w:rsidR="00134EBC">
              <w:rPr>
                <w:rFonts w:ascii="Times New Roman" w:hAnsi="Times New Roman"/>
                <w:noProof/>
                <w:sz w:val="24"/>
                <w:szCs w:val="20"/>
              </w:rPr>
              <w:t>'</w:t>
            </w:r>
            <w:r>
              <w:rPr>
                <w:rFonts w:ascii="Times New Roman" w:hAnsi="Times New Roman"/>
                <w:noProof/>
                <w:sz w:val="24"/>
                <w:szCs w:val="20"/>
              </w:rPr>
              <w:t>impatto in termini di costi della remunerazione è molto limitato.</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Quale sarà l</w:t>
            </w:r>
            <w:r w:rsidR="00134EBC">
              <w:rPr>
                <w:rFonts w:ascii="Times New Roman" w:hAnsi="Times New Roman"/>
                <w:b/>
                <w:noProof/>
                <w:sz w:val="24"/>
                <w:szCs w:val="20"/>
              </w:rPr>
              <w:t>'</w:t>
            </w:r>
            <w:r>
              <w:rPr>
                <w:rFonts w:ascii="Times New Roman" w:hAnsi="Times New Roman"/>
                <w:b/>
                <w:noProof/>
                <w:sz w:val="24"/>
                <w:szCs w:val="20"/>
              </w:rPr>
              <w:t xml:space="preserve">incidenza sulle PMI e sulla competitività?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In base al pacchetto prescelto, le piccole e microimprese sono escluse dalle misure di diligenza; le società di medie dimensioni e a media capitalizzazione sono contemplate solo se operano in settori economici ad impatto particolarmente elevato, con obblighi più mirati e gradualmente introdotti. Come descritto, si prevede un effetto indiretto su tutte le società che fanno parte delle catene del valore; il pacchetto prescelto comprende pertanto misure volte a evitare che l</w:t>
            </w:r>
            <w:r w:rsidR="00134EBC">
              <w:rPr>
                <w:rFonts w:ascii="Times New Roman" w:hAnsi="Times New Roman"/>
                <w:noProof/>
                <w:sz w:val="24"/>
                <w:szCs w:val="20"/>
              </w:rPr>
              <w:t>'</w:t>
            </w:r>
            <w:r>
              <w:rPr>
                <w:rFonts w:ascii="Times New Roman" w:hAnsi="Times New Roman"/>
                <w:noProof/>
                <w:sz w:val="24"/>
                <w:szCs w:val="20"/>
              </w:rPr>
              <w:t>onere della conformità sia posto a carico delle PMI partner nelle catene del valore, mentre ulteriori misure di sostegno contribuiranno anche a ridurre al minimo i costi per le PMI. Nel complesso l</w:t>
            </w:r>
            <w:r w:rsidR="00134EBC">
              <w:rPr>
                <w:rFonts w:ascii="Times New Roman" w:hAnsi="Times New Roman"/>
                <w:noProof/>
                <w:sz w:val="24"/>
                <w:szCs w:val="20"/>
              </w:rPr>
              <w:t>'</w:t>
            </w:r>
            <w:r>
              <w:rPr>
                <w:rFonts w:ascii="Times New Roman" w:hAnsi="Times New Roman"/>
                <w:noProof/>
                <w:sz w:val="24"/>
                <w:szCs w:val="20"/>
              </w:rPr>
              <w:t xml:space="preserve">opzione prescelta dovrebbe portare a un miglioramento della resilienza delle società e delle prestazioni a lungo termine (cfr. </w:t>
            </w:r>
            <w:r w:rsidR="00134EBC">
              <w:rPr>
                <w:rFonts w:ascii="Times New Roman" w:hAnsi="Times New Roman"/>
                <w:noProof/>
                <w:sz w:val="24"/>
                <w:szCs w:val="20"/>
              </w:rPr>
              <w:t>"</w:t>
            </w:r>
            <w:r>
              <w:rPr>
                <w:rFonts w:ascii="Times New Roman" w:hAnsi="Times New Roman"/>
                <w:noProof/>
                <w:sz w:val="24"/>
                <w:szCs w:val="20"/>
              </w:rPr>
              <w:t>Vantaggi</w:t>
            </w:r>
            <w:r w:rsidR="00134EBC">
              <w:rPr>
                <w:rFonts w:ascii="Times New Roman" w:hAnsi="Times New Roman"/>
                <w:noProof/>
                <w:sz w:val="24"/>
                <w:szCs w:val="20"/>
              </w:rPr>
              <w:t>"</w:t>
            </w:r>
            <w:r>
              <w:rPr>
                <w:rFonts w:ascii="Times New Roman" w:hAnsi="Times New Roman"/>
                <w:noProof/>
                <w:sz w:val="24"/>
                <w:szCs w:val="20"/>
              </w:rPr>
              <w:t>), in particolare a medio e lungo termine, con vantaggi analoghi a livello dell</w:t>
            </w:r>
            <w:r w:rsidR="00134EBC">
              <w:rPr>
                <w:rFonts w:ascii="Times New Roman" w:hAnsi="Times New Roman"/>
                <w:noProof/>
                <w:sz w:val="24"/>
                <w:szCs w:val="20"/>
              </w:rPr>
              <w:t>'</w:t>
            </w:r>
            <w:r>
              <w:rPr>
                <w:rFonts w:ascii="Times New Roman" w:hAnsi="Times New Roman"/>
                <w:noProof/>
                <w:sz w:val="24"/>
                <w:szCs w:val="20"/>
              </w:rPr>
              <w:t>economia. Poiché l</w:t>
            </w:r>
            <w:r w:rsidR="00134EBC">
              <w:rPr>
                <w:rFonts w:ascii="Times New Roman" w:hAnsi="Times New Roman"/>
                <w:noProof/>
                <w:sz w:val="24"/>
                <w:szCs w:val="20"/>
              </w:rPr>
              <w:t>'</w:t>
            </w:r>
            <w:r>
              <w:rPr>
                <w:rFonts w:ascii="Times New Roman" w:hAnsi="Times New Roman"/>
                <w:noProof/>
                <w:sz w:val="24"/>
                <w:szCs w:val="20"/>
              </w:rPr>
              <w:t>impatto sui costi è relativamente basso rispetto alle entrate delle società, non si prevedono distorsioni negative rilevanti per quanto riguarda la competitività delle società dell</w:t>
            </w:r>
            <w:r w:rsidR="00134EBC">
              <w:rPr>
                <w:rFonts w:ascii="Times New Roman" w:hAnsi="Times New Roman"/>
                <w:noProof/>
                <w:sz w:val="24"/>
                <w:szCs w:val="20"/>
              </w:rPr>
              <w:t>'</w:t>
            </w:r>
            <w:r>
              <w:rPr>
                <w:rFonts w:ascii="Times New Roman" w:hAnsi="Times New Roman"/>
                <w:noProof/>
                <w:sz w:val="24"/>
                <w:szCs w:val="20"/>
              </w:rPr>
              <w:t xml:space="preserve">UE sui mercati globali e gli impatti sulla competitività a medio e lungo termine dovrebbero essere positivi.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b/>
                <w:i/>
                <w:noProof/>
                <w:sz w:val="24"/>
                <w:szCs w:val="20"/>
              </w:rPr>
            </w:pPr>
            <w:r>
              <w:rPr>
                <w:rFonts w:ascii="Times New Roman" w:hAnsi="Times New Roman"/>
                <w:b/>
                <w:noProof/>
                <w:sz w:val="24"/>
                <w:szCs w:val="20"/>
              </w:rPr>
              <w:t>L</w:t>
            </w:r>
            <w:r w:rsidR="00134EBC">
              <w:rPr>
                <w:rFonts w:ascii="Times New Roman" w:hAnsi="Times New Roman"/>
                <w:b/>
                <w:noProof/>
                <w:sz w:val="24"/>
                <w:szCs w:val="20"/>
              </w:rPr>
              <w:t>'</w:t>
            </w:r>
            <w:r>
              <w:rPr>
                <w:rFonts w:ascii="Times New Roman" w:hAnsi="Times New Roman"/>
                <w:b/>
                <w:noProof/>
                <w:sz w:val="24"/>
                <w:szCs w:val="20"/>
              </w:rPr>
              <w:t>impatto</w:t>
            </w:r>
            <w:r>
              <w:rPr>
                <w:rFonts w:ascii="Times New Roman" w:hAnsi="Times New Roman"/>
                <w:noProof/>
                <w:sz w:val="24"/>
                <w:szCs w:val="20"/>
              </w:rPr>
              <w:t xml:space="preserve"> </w:t>
            </w:r>
            <w:r>
              <w:rPr>
                <w:rFonts w:ascii="Times New Roman" w:hAnsi="Times New Roman"/>
                <w:b/>
                <w:noProof/>
                <w:sz w:val="24"/>
                <w:szCs w:val="20"/>
              </w:rPr>
              <w:t>sui bilanci e sulle amministrazioni nazionali sarà significativo?</w:t>
            </w:r>
            <w:r>
              <w:rPr>
                <w:rFonts w:ascii="Times New Roman" w:hAnsi="Times New Roman"/>
                <w:noProof/>
                <w:sz w:val="24"/>
                <w:szCs w:val="20"/>
              </w:rPr>
              <w:t xml:space="preserve"> </w:t>
            </w:r>
          </w:p>
        </w:tc>
      </w:tr>
      <w:tr w:rsidR="00FB60AA" w:rsidRPr="00FB60AA" w:rsidTr="005134E6">
        <w:tc>
          <w:tcPr>
            <w:tcW w:w="10490" w:type="dxa"/>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In base all</w:t>
            </w:r>
            <w:r w:rsidR="00134EBC">
              <w:rPr>
                <w:rFonts w:ascii="Times New Roman" w:hAnsi="Times New Roman"/>
                <w:noProof/>
                <w:sz w:val="24"/>
                <w:szCs w:val="24"/>
              </w:rPr>
              <w:t>'</w:t>
            </w:r>
            <w:r>
              <w:rPr>
                <w:rFonts w:ascii="Times New Roman" w:hAnsi="Times New Roman"/>
                <w:noProof/>
                <w:sz w:val="24"/>
                <w:szCs w:val="24"/>
              </w:rPr>
              <w:t xml:space="preserve">opzione prescelta i costi totali di vigilanza per la pubblica amministrazione in tutti gli Stati membri ammonterebbero a un importo una tantum di 0,13 milioni di EUR e a un costo ricorrente annuale compreso tra 7,86 e 11,2 milioni di EUR (a seconda dei criteri selezionati relativi al numero di dipendenti/fatturato per la definizione delle grandi società soggette alle norme di diligenza). Tali calcoli si applicano al controllo prudenziale basato sul rischio per quanto riguarda il rispetto del dovere di diligenza. Non sono previsti costi aggiuntivi di vigilanza per la parte relativa agli obblighi e alla remunerazione degli amministratori. Gli Stati membri potrebbero inoltre sostenere ulteriori bassi costi di applicazione derivanti dal contenzioso. </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Sono previsti altri impatti significativi?</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A causa della diffusione globale attraverso le catene del valore, le misure impatteranno anche le società e le economie di paesi terzi. Si prevedono effetti positivi sui diritti umani e sull</w:t>
            </w:r>
            <w:r w:rsidR="00134EBC">
              <w:rPr>
                <w:rFonts w:ascii="Times New Roman" w:hAnsi="Times New Roman"/>
                <w:noProof/>
                <w:sz w:val="24"/>
                <w:szCs w:val="20"/>
              </w:rPr>
              <w:t>'</w:t>
            </w:r>
            <w:r>
              <w:rPr>
                <w:rFonts w:ascii="Times New Roman" w:hAnsi="Times New Roman"/>
                <w:noProof/>
                <w:sz w:val="24"/>
                <w:szCs w:val="20"/>
              </w:rPr>
              <w:t>ambiente, nonché sulle comunità locali, attraverso una maggiore sensibilizzazione dei portatori di interessi, migliori pratiche in materia di sostenibilità, una maggiore adozione delle norme internazionali nei paesi in via di sviluppo, un migliore accesso ai mezzi di ricorso per le vittime e investimenti sostenibili. Tra gli impatti negativi potenziali si possono citare i seguenti: costi di conformità per le imprese di paesi terzi e conseguente trasferimento dei produttori dai paesi terzi verso mercati dei prodotti non sottoposti a controllo; rischio che le società passino a fornitori meno rischiosi. Sono descritte misure di attenuazione.</w:t>
            </w:r>
          </w:p>
        </w:tc>
      </w:tr>
      <w:tr w:rsidR="00FB60AA" w:rsidRPr="00FB60AA" w:rsidTr="005134E6">
        <w:tc>
          <w:tcPr>
            <w:tcW w:w="10490" w:type="dxa"/>
            <w:tcBorders>
              <w:bottom w:val="single" w:sz="4" w:space="0" w:color="auto"/>
            </w:tcBorders>
            <w:shd w:val="clear" w:color="auto" w:fill="D9D9D9"/>
          </w:tcPr>
          <w:p w:rsidR="00FB60AA" w:rsidRPr="00FB60AA" w:rsidRDefault="00FB60AA" w:rsidP="00FB60AA">
            <w:pPr>
              <w:spacing w:after="120" w:line="240" w:lineRule="auto"/>
              <w:jc w:val="both"/>
              <w:rPr>
                <w:rFonts w:ascii="Times New Roman" w:eastAsia="Times New Roman" w:hAnsi="Times New Roman" w:cs="Times New Roman"/>
                <w:i/>
                <w:noProof/>
                <w:sz w:val="24"/>
                <w:szCs w:val="20"/>
              </w:rPr>
            </w:pPr>
            <w:r>
              <w:rPr>
                <w:rFonts w:ascii="Times New Roman" w:hAnsi="Times New Roman"/>
                <w:b/>
                <w:noProof/>
                <w:sz w:val="24"/>
                <w:szCs w:val="20"/>
              </w:rPr>
              <w:t>Proporzionalità?</w:t>
            </w:r>
            <w:r>
              <w:rPr>
                <w:rFonts w:ascii="Times New Roman" w:hAnsi="Times New Roman"/>
                <w:noProof/>
                <w:sz w:val="24"/>
                <w:szCs w:val="20"/>
              </w:rPr>
              <w:t xml:space="preserv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Le misure proposte non vanno al di là di quanto necessario per affrontare le cause del problema e conseguire gli obiettivi dell</w:t>
            </w:r>
            <w:r w:rsidR="00134EBC">
              <w:rPr>
                <w:rFonts w:ascii="Times New Roman" w:hAnsi="Times New Roman"/>
                <w:noProof/>
                <w:sz w:val="24"/>
                <w:szCs w:val="20"/>
              </w:rPr>
              <w:t>'</w:t>
            </w:r>
            <w:r>
              <w:rPr>
                <w:rFonts w:ascii="Times New Roman" w:hAnsi="Times New Roman"/>
                <w:noProof/>
                <w:sz w:val="24"/>
                <w:szCs w:val="20"/>
              </w:rPr>
              <w:t>iniziativa. L</w:t>
            </w:r>
            <w:r w:rsidR="00134EBC">
              <w:rPr>
                <w:rFonts w:ascii="Times New Roman" w:hAnsi="Times New Roman"/>
                <w:noProof/>
                <w:sz w:val="24"/>
                <w:szCs w:val="20"/>
              </w:rPr>
              <w:t>'</w:t>
            </w:r>
            <w:r>
              <w:rPr>
                <w:rFonts w:ascii="Times New Roman" w:hAnsi="Times New Roman"/>
                <w:noProof/>
                <w:sz w:val="24"/>
                <w:szCs w:val="20"/>
              </w:rPr>
              <w:t>onere per le società derivante dai costi di conformità è stato adattato alle dimensioni e alle risorse disponibili della società e al profilo di rischio (si vedano anche gli impatti sulle PMI di cui sopra).</w:t>
            </w:r>
          </w:p>
        </w:tc>
      </w:tr>
      <w:tr w:rsidR="00FB60AA" w:rsidRPr="00FB60AA" w:rsidTr="005134E6">
        <w:tc>
          <w:tcPr>
            <w:tcW w:w="10490" w:type="dxa"/>
            <w:tcBorders>
              <w:bottom w:val="single" w:sz="4" w:space="0" w:color="auto"/>
            </w:tcBorders>
            <w:shd w:val="clear" w:color="auto" w:fill="C0C0C0"/>
          </w:tcPr>
          <w:p w:rsidR="00FB60AA" w:rsidRPr="00FB60AA" w:rsidRDefault="00FB60AA" w:rsidP="00134EBC">
            <w:pPr>
              <w:keepNext/>
              <w:spacing w:after="120" w:line="240" w:lineRule="auto"/>
              <w:jc w:val="both"/>
              <w:rPr>
                <w:rFonts w:ascii="Times New Roman" w:eastAsia="Times New Roman" w:hAnsi="Times New Roman" w:cs="Times New Roman"/>
                <w:b/>
                <w:noProof/>
                <w:sz w:val="24"/>
                <w:szCs w:val="20"/>
              </w:rPr>
            </w:pPr>
            <w:r>
              <w:rPr>
                <w:rFonts w:ascii="Times New Roman" w:hAnsi="Times New Roman"/>
                <w:b/>
                <w:noProof/>
                <w:sz w:val="24"/>
                <w:szCs w:val="20"/>
              </w:rPr>
              <w:t>D. Tappe successive</w:t>
            </w:r>
          </w:p>
        </w:tc>
      </w:tr>
      <w:tr w:rsidR="00FB60AA" w:rsidRPr="00FB60AA" w:rsidTr="005134E6">
        <w:tc>
          <w:tcPr>
            <w:tcW w:w="10490" w:type="dxa"/>
            <w:tcBorders>
              <w:bottom w:val="single" w:sz="4" w:space="0" w:color="auto"/>
            </w:tcBorders>
            <w:shd w:val="clear" w:color="auto" w:fill="E6E6E6"/>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b/>
                <w:noProof/>
                <w:sz w:val="24"/>
                <w:szCs w:val="20"/>
              </w:rPr>
              <w:t xml:space="preserve">Quando saranno riesaminate le misure proposte? </w:t>
            </w:r>
          </w:p>
        </w:tc>
      </w:tr>
      <w:tr w:rsidR="00FB60AA" w:rsidRPr="00FB60AA" w:rsidTr="005134E6">
        <w:tc>
          <w:tcPr>
            <w:tcW w:w="10490" w:type="dxa"/>
            <w:tcBorders>
              <w:bottom w:val="single" w:sz="4" w:space="0" w:color="auto"/>
            </w:tcBorders>
            <w:shd w:val="clear" w:color="auto" w:fill="auto"/>
          </w:tcPr>
          <w:p w:rsidR="00FB60AA" w:rsidRPr="00FB60AA" w:rsidRDefault="00FB60AA" w:rsidP="00FB60AA">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szCs w:val="20"/>
              </w:rPr>
              <w:t>Cinque anni dopo il recepimento, tenendo conto del tempo necessario per l</w:t>
            </w:r>
            <w:r w:rsidR="00134EBC">
              <w:rPr>
                <w:rFonts w:ascii="Times New Roman" w:hAnsi="Times New Roman"/>
                <w:noProof/>
                <w:sz w:val="24"/>
                <w:szCs w:val="20"/>
              </w:rPr>
              <w:t>'</w:t>
            </w:r>
            <w:r>
              <w:rPr>
                <w:rFonts w:ascii="Times New Roman" w:hAnsi="Times New Roman"/>
                <w:noProof/>
                <w:sz w:val="24"/>
                <w:szCs w:val="20"/>
              </w:rPr>
              <w:t>applicazione e la raccolta dei dati.</w:t>
            </w:r>
          </w:p>
        </w:tc>
      </w:tr>
    </w:tbl>
    <w:p w:rsidR="00425084" w:rsidRDefault="00425084">
      <w:pPr>
        <w:rPr>
          <w:noProof/>
        </w:rPr>
      </w:pPr>
    </w:p>
    <w:sectPr w:rsidR="00425084" w:rsidSect="005545D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DB" w:rsidRDefault="005545DB" w:rsidP="005545DB">
      <w:pPr>
        <w:spacing w:after="0" w:line="240" w:lineRule="auto"/>
      </w:pPr>
      <w:r>
        <w:separator/>
      </w:r>
    </w:p>
  </w:endnote>
  <w:endnote w:type="continuationSeparator" w:id="0">
    <w:p w:rsidR="005545DB" w:rsidRDefault="005545DB" w:rsidP="0055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54" w:rsidRPr="003F6754" w:rsidRDefault="003F6754" w:rsidP="003F6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EBC" w:rsidRPr="003F6754" w:rsidRDefault="003F6754" w:rsidP="003F6754">
    <w:pPr>
      <w:pStyle w:val="FooterCoverPage"/>
      <w:rPr>
        <w:rFonts w:ascii="Arial" w:hAnsi="Arial" w:cs="Arial"/>
        <w:b/>
        <w:sz w:val="48"/>
      </w:rPr>
    </w:pPr>
    <w:r w:rsidRPr="003F6754">
      <w:rPr>
        <w:rFonts w:ascii="Arial" w:hAnsi="Arial" w:cs="Arial"/>
        <w:b/>
        <w:sz w:val="48"/>
      </w:rPr>
      <w:t>IT</w:t>
    </w:r>
    <w:r w:rsidRPr="003F6754">
      <w:rPr>
        <w:rFonts w:ascii="Arial" w:hAnsi="Arial" w:cs="Arial"/>
        <w:b/>
        <w:sz w:val="48"/>
      </w:rPr>
      <w:tab/>
    </w:r>
    <w:r w:rsidRPr="003F6754">
      <w:rPr>
        <w:rFonts w:ascii="Arial" w:hAnsi="Arial" w:cs="Arial"/>
        <w:b/>
        <w:sz w:val="48"/>
      </w:rPr>
      <w:tab/>
    </w:r>
    <w:r w:rsidRPr="003F6754">
      <w:tab/>
    </w:r>
    <w:r w:rsidRPr="003F6754">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54" w:rsidRPr="003F6754" w:rsidRDefault="003F6754" w:rsidP="003F675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DB" w:rsidRDefault="005545DB" w:rsidP="005545DB">
      <w:pPr>
        <w:spacing w:after="0" w:line="240" w:lineRule="auto"/>
      </w:pPr>
      <w:r>
        <w:separator/>
      </w:r>
    </w:p>
  </w:footnote>
  <w:footnote w:type="continuationSeparator" w:id="0">
    <w:p w:rsidR="005545DB" w:rsidRDefault="005545DB" w:rsidP="00554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54" w:rsidRPr="003F6754" w:rsidRDefault="003F6754" w:rsidP="003F6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54" w:rsidRPr="003F6754" w:rsidRDefault="003F6754" w:rsidP="003F675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754" w:rsidRPr="003F6754" w:rsidRDefault="003F6754" w:rsidP="003F675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5DB" w:rsidRDefault="005545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che accompagna il documento"/>
    <w:docVar w:name="LW_CORRIGENDUM" w:val="&lt;UNUSED&gt;"/>
    <w:docVar w:name="LW_COVERPAGE_EXISTS" w:val="True"/>
    <w:docVar w:name="LW_COVERPAGE_GUID" w:val="1121DDDD-CB09-4A86-979E-FA50DE75C902"/>
    <w:docVar w:name="LW_COVERPAGE_TYPE" w:val="1"/>
    <w:docVar w:name="LW_CROSSREFERENCE" w:val="{COM(2022) 71 final} - {SEC(2022) 95 final} - {SWD(2022) 38 final} - {SWD(2022) 39 final} - {SWD(2022) 42 final}"/>
    <w:docVar w:name="LW_DocType" w:val="NORMAL"/>
    <w:docVar w:name="LW_EMISSION" w:val="23.2.2022"/>
    <w:docVar w:name="LW_EMISSION_ISODATE" w:val="2022-02-23"/>
    <w:docVar w:name="LW_EMISSION_LOCATION" w:val="BRX"/>
    <w:docVar w:name="LW_EMISSION_PREFIX" w:val="Bruxelles, "/>
    <w:docVar w:name="LW_EMISSION_SUFFIX" w:val=" "/>
    <w:docVar w:name="LW_ID_DOCTYPE_NONLW" w:val="CP-027"/>
    <w:docVar w:name="LW_LANGUE" w:val="IT"/>
    <w:docVar w:name="LW_LEVEL_OF_SENSITIVITY" w:val="Standard treatment"/>
    <w:docVar w:name="LW_NOM.INST" w:val="COMMISSIONE EUROPEA"/>
    <w:docVar w:name="LW_NOM.INST_JOINTDOC" w:val="&lt;EMPTY&gt;"/>
    <w:docVar w:name="LW_OBJETACTEPRINCIPAL.CP" w:val="_x000d__x000d__x000b_relativa al dovere di diligenza delle imprese ai fini della sostenibilità e che modifica la direttiva (UE) 2019/1937"/>
    <w:docVar w:name="LW_PART_NBR" w:val="1"/>
    <w:docVar w:name="LW_PART_NBR_TOTAL" w:val="1"/>
    <w:docVar w:name="LW_REF.INST.NEW" w:val="SWD"/>
    <w:docVar w:name="LW_REF.INST.NEW_ADOPTED" w:val="final"/>
    <w:docVar w:name="LW_REF.INST.NEW_TEXT" w:val="(2022) 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CUMENTO DI LAVORO DEI SERVIZI DELLA COMMISSIONE_x000b__x000b_SINTESI DELLA RELAZIONE SULLA VALUTAZIONE D'IMPATTO_x000b_"/>
    <w:docVar w:name="LW_TYPEACTEPRINCIPAL.CP" w:val="Proposta di_x000b__x000b_DIRETTIVA DEL PARLAMENTO EUROPEO E DEL CONSIGLIO"/>
    <w:docVar w:name="LwApiVersions" w:val="LW4CoDe 1.23.2.0; LW 8.0, Build 20211117"/>
  </w:docVars>
  <w:rsids>
    <w:rsidRoot w:val="005545DB"/>
    <w:rsid w:val="0000550C"/>
    <w:rsid w:val="00007009"/>
    <w:rsid w:val="0002268C"/>
    <w:rsid w:val="000245FE"/>
    <w:rsid w:val="00036381"/>
    <w:rsid w:val="00036FA2"/>
    <w:rsid w:val="0004021B"/>
    <w:rsid w:val="00040618"/>
    <w:rsid w:val="000541C0"/>
    <w:rsid w:val="0007458C"/>
    <w:rsid w:val="000979A2"/>
    <w:rsid w:val="000A4040"/>
    <w:rsid w:val="000A7CBA"/>
    <w:rsid w:val="000B01EC"/>
    <w:rsid w:val="000B484B"/>
    <w:rsid w:val="000C5A29"/>
    <w:rsid w:val="000D656B"/>
    <w:rsid w:val="000E5697"/>
    <w:rsid w:val="000E6674"/>
    <w:rsid w:val="000F1326"/>
    <w:rsid w:val="00106356"/>
    <w:rsid w:val="00111F46"/>
    <w:rsid w:val="001147F8"/>
    <w:rsid w:val="00114804"/>
    <w:rsid w:val="001154FA"/>
    <w:rsid w:val="00120C30"/>
    <w:rsid w:val="00134EBC"/>
    <w:rsid w:val="00136825"/>
    <w:rsid w:val="001472BC"/>
    <w:rsid w:val="00156867"/>
    <w:rsid w:val="001570B3"/>
    <w:rsid w:val="00171738"/>
    <w:rsid w:val="001750C7"/>
    <w:rsid w:val="00185BE7"/>
    <w:rsid w:val="00187E0E"/>
    <w:rsid w:val="00197229"/>
    <w:rsid w:val="001A0937"/>
    <w:rsid w:val="001A6096"/>
    <w:rsid w:val="001A6FC2"/>
    <w:rsid w:val="001B76B6"/>
    <w:rsid w:val="001C45F7"/>
    <w:rsid w:val="001C7BD2"/>
    <w:rsid w:val="001D0D3B"/>
    <w:rsid w:val="001D4CB4"/>
    <w:rsid w:val="001D587B"/>
    <w:rsid w:val="001F147B"/>
    <w:rsid w:val="001F6829"/>
    <w:rsid w:val="00202620"/>
    <w:rsid w:val="00204844"/>
    <w:rsid w:val="00204CA8"/>
    <w:rsid w:val="002064FC"/>
    <w:rsid w:val="00207075"/>
    <w:rsid w:val="0021127C"/>
    <w:rsid w:val="00216D04"/>
    <w:rsid w:val="0023253B"/>
    <w:rsid w:val="00235AA2"/>
    <w:rsid w:val="00235AE9"/>
    <w:rsid w:val="002378DF"/>
    <w:rsid w:val="002404FA"/>
    <w:rsid w:val="0024541A"/>
    <w:rsid w:val="0025656C"/>
    <w:rsid w:val="002672B1"/>
    <w:rsid w:val="00272432"/>
    <w:rsid w:val="00274322"/>
    <w:rsid w:val="00280466"/>
    <w:rsid w:val="0028061E"/>
    <w:rsid w:val="00284C99"/>
    <w:rsid w:val="00286DD2"/>
    <w:rsid w:val="00287469"/>
    <w:rsid w:val="0029344B"/>
    <w:rsid w:val="002944A1"/>
    <w:rsid w:val="002947D2"/>
    <w:rsid w:val="002A724D"/>
    <w:rsid w:val="002A74E9"/>
    <w:rsid w:val="002B1E0E"/>
    <w:rsid w:val="002B4AC8"/>
    <w:rsid w:val="002B774F"/>
    <w:rsid w:val="002C0275"/>
    <w:rsid w:val="002C5CB2"/>
    <w:rsid w:val="002C6B69"/>
    <w:rsid w:val="002C72E9"/>
    <w:rsid w:val="002D768F"/>
    <w:rsid w:val="002E1751"/>
    <w:rsid w:val="002E1A59"/>
    <w:rsid w:val="0030391D"/>
    <w:rsid w:val="0030551F"/>
    <w:rsid w:val="0031025A"/>
    <w:rsid w:val="00312EDC"/>
    <w:rsid w:val="0032091E"/>
    <w:rsid w:val="00320A7E"/>
    <w:rsid w:val="00322D4C"/>
    <w:rsid w:val="00326A59"/>
    <w:rsid w:val="00332488"/>
    <w:rsid w:val="00336FF4"/>
    <w:rsid w:val="00337B07"/>
    <w:rsid w:val="003418E8"/>
    <w:rsid w:val="00351746"/>
    <w:rsid w:val="00357901"/>
    <w:rsid w:val="00370798"/>
    <w:rsid w:val="00377ABB"/>
    <w:rsid w:val="00381CE4"/>
    <w:rsid w:val="003821CF"/>
    <w:rsid w:val="00386E81"/>
    <w:rsid w:val="0039408B"/>
    <w:rsid w:val="003944F7"/>
    <w:rsid w:val="003A16BF"/>
    <w:rsid w:val="003B7B5A"/>
    <w:rsid w:val="003C12BF"/>
    <w:rsid w:val="003C3B3D"/>
    <w:rsid w:val="003C7790"/>
    <w:rsid w:val="003D073C"/>
    <w:rsid w:val="003E16D1"/>
    <w:rsid w:val="003E7CEE"/>
    <w:rsid w:val="003F2748"/>
    <w:rsid w:val="003F6754"/>
    <w:rsid w:val="003F695E"/>
    <w:rsid w:val="004023BC"/>
    <w:rsid w:val="00404C1E"/>
    <w:rsid w:val="00413507"/>
    <w:rsid w:val="0042162F"/>
    <w:rsid w:val="00425084"/>
    <w:rsid w:val="00426EAF"/>
    <w:rsid w:val="00427F7F"/>
    <w:rsid w:val="004301B2"/>
    <w:rsid w:val="0043224C"/>
    <w:rsid w:val="0044180A"/>
    <w:rsid w:val="0044628D"/>
    <w:rsid w:val="004511C4"/>
    <w:rsid w:val="004528A2"/>
    <w:rsid w:val="004649B7"/>
    <w:rsid w:val="0047333B"/>
    <w:rsid w:val="00483C08"/>
    <w:rsid w:val="0048444F"/>
    <w:rsid w:val="00486128"/>
    <w:rsid w:val="0049098E"/>
    <w:rsid w:val="00492B2D"/>
    <w:rsid w:val="00493C40"/>
    <w:rsid w:val="004A240E"/>
    <w:rsid w:val="004A4BEF"/>
    <w:rsid w:val="004A710D"/>
    <w:rsid w:val="004B1D2E"/>
    <w:rsid w:val="004C0390"/>
    <w:rsid w:val="004C37FE"/>
    <w:rsid w:val="004D44DD"/>
    <w:rsid w:val="004D628D"/>
    <w:rsid w:val="004F1014"/>
    <w:rsid w:val="004F3091"/>
    <w:rsid w:val="004F641B"/>
    <w:rsid w:val="00501404"/>
    <w:rsid w:val="00504CAD"/>
    <w:rsid w:val="005076F3"/>
    <w:rsid w:val="00507FF5"/>
    <w:rsid w:val="0052081E"/>
    <w:rsid w:val="00522A30"/>
    <w:rsid w:val="005235E6"/>
    <w:rsid w:val="00527B83"/>
    <w:rsid w:val="00531B79"/>
    <w:rsid w:val="00533B5B"/>
    <w:rsid w:val="005343AF"/>
    <w:rsid w:val="00535C6C"/>
    <w:rsid w:val="0054762F"/>
    <w:rsid w:val="005545DB"/>
    <w:rsid w:val="00561AB0"/>
    <w:rsid w:val="00561BB2"/>
    <w:rsid w:val="005636E1"/>
    <w:rsid w:val="005658C0"/>
    <w:rsid w:val="005818E1"/>
    <w:rsid w:val="0058367B"/>
    <w:rsid w:val="00592585"/>
    <w:rsid w:val="00593AD9"/>
    <w:rsid w:val="00593FAA"/>
    <w:rsid w:val="005950C9"/>
    <w:rsid w:val="00597659"/>
    <w:rsid w:val="005A0246"/>
    <w:rsid w:val="005A7C9C"/>
    <w:rsid w:val="005B6899"/>
    <w:rsid w:val="005C4F7F"/>
    <w:rsid w:val="005D4189"/>
    <w:rsid w:val="005D53F6"/>
    <w:rsid w:val="005E5176"/>
    <w:rsid w:val="005E634B"/>
    <w:rsid w:val="005E681C"/>
    <w:rsid w:val="00606CCF"/>
    <w:rsid w:val="006117BA"/>
    <w:rsid w:val="006166F8"/>
    <w:rsid w:val="00620BD5"/>
    <w:rsid w:val="00624E9E"/>
    <w:rsid w:val="006279DA"/>
    <w:rsid w:val="006330A7"/>
    <w:rsid w:val="00633655"/>
    <w:rsid w:val="00633D35"/>
    <w:rsid w:val="00635469"/>
    <w:rsid w:val="0063748E"/>
    <w:rsid w:val="0064622E"/>
    <w:rsid w:val="00653368"/>
    <w:rsid w:val="0066249D"/>
    <w:rsid w:val="00663E73"/>
    <w:rsid w:val="0066453F"/>
    <w:rsid w:val="00672192"/>
    <w:rsid w:val="00677A13"/>
    <w:rsid w:val="00680B3A"/>
    <w:rsid w:val="00681EA6"/>
    <w:rsid w:val="0068319A"/>
    <w:rsid w:val="0068336A"/>
    <w:rsid w:val="00683FCD"/>
    <w:rsid w:val="006A0A2C"/>
    <w:rsid w:val="006A0EF9"/>
    <w:rsid w:val="006A2567"/>
    <w:rsid w:val="006A2FAE"/>
    <w:rsid w:val="006A6DED"/>
    <w:rsid w:val="006B094E"/>
    <w:rsid w:val="006B1B35"/>
    <w:rsid w:val="006B2A8A"/>
    <w:rsid w:val="006B2F01"/>
    <w:rsid w:val="006C1C0F"/>
    <w:rsid w:val="006C370D"/>
    <w:rsid w:val="006D6B5B"/>
    <w:rsid w:val="006D6CF7"/>
    <w:rsid w:val="006D7278"/>
    <w:rsid w:val="006D7753"/>
    <w:rsid w:val="006E6BB1"/>
    <w:rsid w:val="006F11D8"/>
    <w:rsid w:val="006F19D3"/>
    <w:rsid w:val="006F5B7F"/>
    <w:rsid w:val="006F5BE0"/>
    <w:rsid w:val="00700817"/>
    <w:rsid w:val="0070588E"/>
    <w:rsid w:val="00711A65"/>
    <w:rsid w:val="0071668C"/>
    <w:rsid w:val="007326A5"/>
    <w:rsid w:val="007344CB"/>
    <w:rsid w:val="00735A33"/>
    <w:rsid w:val="00740D56"/>
    <w:rsid w:val="00746482"/>
    <w:rsid w:val="00746CB3"/>
    <w:rsid w:val="00752576"/>
    <w:rsid w:val="00752794"/>
    <w:rsid w:val="007558F3"/>
    <w:rsid w:val="00761F35"/>
    <w:rsid w:val="00772DC1"/>
    <w:rsid w:val="00781C82"/>
    <w:rsid w:val="0078224F"/>
    <w:rsid w:val="0078395C"/>
    <w:rsid w:val="00784380"/>
    <w:rsid w:val="007850C1"/>
    <w:rsid w:val="007868FB"/>
    <w:rsid w:val="00787776"/>
    <w:rsid w:val="0079061A"/>
    <w:rsid w:val="0079231F"/>
    <w:rsid w:val="0079319F"/>
    <w:rsid w:val="00794E8D"/>
    <w:rsid w:val="007953AE"/>
    <w:rsid w:val="007971B0"/>
    <w:rsid w:val="007A4BD3"/>
    <w:rsid w:val="007B0006"/>
    <w:rsid w:val="007B0B77"/>
    <w:rsid w:val="007B5176"/>
    <w:rsid w:val="007C0F15"/>
    <w:rsid w:val="007C3B66"/>
    <w:rsid w:val="007C4F9E"/>
    <w:rsid w:val="007D150E"/>
    <w:rsid w:val="007D3A53"/>
    <w:rsid w:val="007D4DAF"/>
    <w:rsid w:val="007E1593"/>
    <w:rsid w:val="007F0EAF"/>
    <w:rsid w:val="007F4C22"/>
    <w:rsid w:val="007F73B9"/>
    <w:rsid w:val="00802AE9"/>
    <w:rsid w:val="00810B08"/>
    <w:rsid w:val="00814A82"/>
    <w:rsid w:val="00825B76"/>
    <w:rsid w:val="0083538C"/>
    <w:rsid w:val="00847190"/>
    <w:rsid w:val="00856001"/>
    <w:rsid w:val="00860FDC"/>
    <w:rsid w:val="00875F09"/>
    <w:rsid w:val="00882C7D"/>
    <w:rsid w:val="00884787"/>
    <w:rsid w:val="00885239"/>
    <w:rsid w:val="00897B0E"/>
    <w:rsid w:val="008A566D"/>
    <w:rsid w:val="008B2BB1"/>
    <w:rsid w:val="008B57B3"/>
    <w:rsid w:val="008C0993"/>
    <w:rsid w:val="008D36A7"/>
    <w:rsid w:val="008E28E5"/>
    <w:rsid w:val="008E2DC7"/>
    <w:rsid w:val="008F114B"/>
    <w:rsid w:val="008F1805"/>
    <w:rsid w:val="008F5585"/>
    <w:rsid w:val="008F5EE7"/>
    <w:rsid w:val="008F7E56"/>
    <w:rsid w:val="00903408"/>
    <w:rsid w:val="00924428"/>
    <w:rsid w:val="00930870"/>
    <w:rsid w:val="0093391A"/>
    <w:rsid w:val="00933DC3"/>
    <w:rsid w:val="00946AA5"/>
    <w:rsid w:val="00946EE5"/>
    <w:rsid w:val="00947506"/>
    <w:rsid w:val="00967DB3"/>
    <w:rsid w:val="00994336"/>
    <w:rsid w:val="009A0CC8"/>
    <w:rsid w:val="009A49E9"/>
    <w:rsid w:val="009B35EB"/>
    <w:rsid w:val="009B375C"/>
    <w:rsid w:val="009B4791"/>
    <w:rsid w:val="009B6480"/>
    <w:rsid w:val="009B7B2F"/>
    <w:rsid w:val="009C551D"/>
    <w:rsid w:val="009C6CB2"/>
    <w:rsid w:val="009D15C4"/>
    <w:rsid w:val="009E0968"/>
    <w:rsid w:val="009E0BB1"/>
    <w:rsid w:val="009E4F3A"/>
    <w:rsid w:val="009E6532"/>
    <w:rsid w:val="009F2366"/>
    <w:rsid w:val="00A05848"/>
    <w:rsid w:val="00A05A2F"/>
    <w:rsid w:val="00A07148"/>
    <w:rsid w:val="00A12A8C"/>
    <w:rsid w:val="00A30E94"/>
    <w:rsid w:val="00A35C34"/>
    <w:rsid w:val="00A4638A"/>
    <w:rsid w:val="00A47701"/>
    <w:rsid w:val="00A55873"/>
    <w:rsid w:val="00A55EF8"/>
    <w:rsid w:val="00A64DE4"/>
    <w:rsid w:val="00A802AC"/>
    <w:rsid w:val="00A83B50"/>
    <w:rsid w:val="00A85653"/>
    <w:rsid w:val="00A905F5"/>
    <w:rsid w:val="00A9374B"/>
    <w:rsid w:val="00AC5B1F"/>
    <w:rsid w:val="00AD2ACC"/>
    <w:rsid w:val="00AD5324"/>
    <w:rsid w:val="00AD7FC2"/>
    <w:rsid w:val="00AE240B"/>
    <w:rsid w:val="00AE29A4"/>
    <w:rsid w:val="00AE4D33"/>
    <w:rsid w:val="00AE5ECE"/>
    <w:rsid w:val="00AE665F"/>
    <w:rsid w:val="00B0159E"/>
    <w:rsid w:val="00B017E5"/>
    <w:rsid w:val="00B03A4A"/>
    <w:rsid w:val="00B04C63"/>
    <w:rsid w:val="00B10872"/>
    <w:rsid w:val="00B10E38"/>
    <w:rsid w:val="00B112E7"/>
    <w:rsid w:val="00B15F3E"/>
    <w:rsid w:val="00B1770C"/>
    <w:rsid w:val="00B2081E"/>
    <w:rsid w:val="00B2110C"/>
    <w:rsid w:val="00B31757"/>
    <w:rsid w:val="00B32E32"/>
    <w:rsid w:val="00B40D51"/>
    <w:rsid w:val="00B40E9F"/>
    <w:rsid w:val="00B54AA3"/>
    <w:rsid w:val="00B607DE"/>
    <w:rsid w:val="00B62BBE"/>
    <w:rsid w:val="00B64B4D"/>
    <w:rsid w:val="00B7003F"/>
    <w:rsid w:val="00B7026A"/>
    <w:rsid w:val="00B70FB1"/>
    <w:rsid w:val="00B74485"/>
    <w:rsid w:val="00B76065"/>
    <w:rsid w:val="00B875E9"/>
    <w:rsid w:val="00B900B4"/>
    <w:rsid w:val="00B95C05"/>
    <w:rsid w:val="00BA25AC"/>
    <w:rsid w:val="00BA5B1B"/>
    <w:rsid w:val="00BB7795"/>
    <w:rsid w:val="00BC2071"/>
    <w:rsid w:val="00BC7DB8"/>
    <w:rsid w:val="00BD1B46"/>
    <w:rsid w:val="00BD49CE"/>
    <w:rsid w:val="00BD7E50"/>
    <w:rsid w:val="00BE37A2"/>
    <w:rsid w:val="00BF1001"/>
    <w:rsid w:val="00BF1275"/>
    <w:rsid w:val="00BF1E77"/>
    <w:rsid w:val="00BF37C5"/>
    <w:rsid w:val="00BF726E"/>
    <w:rsid w:val="00C00D17"/>
    <w:rsid w:val="00C00E86"/>
    <w:rsid w:val="00C01E80"/>
    <w:rsid w:val="00C0344D"/>
    <w:rsid w:val="00C03FE0"/>
    <w:rsid w:val="00C0526B"/>
    <w:rsid w:val="00C11C66"/>
    <w:rsid w:val="00C11D82"/>
    <w:rsid w:val="00C136C7"/>
    <w:rsid w:val="00C13EE2"/>
    <w:rsid w:val="00C166B4"/>
    <w:rsid w:val="00C17271"/>
    <w:rsid w:val="00C201C1"/>
    <w:rsid w:val="00C201FA"/>
    <w:rsid w:val="00C24783"/>
    <w:rsid w:val="00C25973"/>
    <w:rsid w:val="00C25A26"/>
    <w:rsid w:val="00C26B2E"/>
    <w:rsid w:val="00C27AA7"/>
    <w:rsid w:val="00C3451B"/>
    <w:rsid w:val="00C34520"/>
    <w:rsid w:val="00C379D6"/>
    <w:rsid w:val="00C37A7B"/>
    <w:rsid w:val="00C5106E"/>
    <w:rsid w:val="00C54DF2"/>
    <w:rsid w:val="00C62D86"/>
    <w:rsid w:val="00C645D5"/>
    <w:rsid w:val="00C75BA4"/>
    <w:rsid w:val="00C770B6"/>
    <w:rsid w:val="00C8015D"/>
    <w:rsid w:val="00C82E86"/>
    <w:rsid w:val="00C8614E"/>
    <w:rsid w:val="00CA0E18"/>
    <w:rsid w:val="00CA64A2"/>
    <w:rsid w:val="00CB05A3"/>
    <w:rsid w:val="00CB3407"/>
    <w:rsid w:val="00CC1F6C"/>
    <w:rsid w:val="00CC259D"/>
    <w:rsid w:val="00CC53D1"/>
    <w:rsid w:val="00CD2F60"/>
    <w:rsid w:val="00CD3075"/>
    <w:rsid w:val="00CE2831"/>
    <w:rsid w:val="00CE3007"/>
    <w:rsid w:val="00CE4ADB"/>
    <w:rsid w:val="00CE6951"/>
    <w:rsid w:val="00D15520"/>
    <w:rsid w:val="00D15CFD"/>
    <w:rsid w:val="00D35B60"/>
    <w:rsid w:val="00D376F1"/>
    <w:rsid w:val="00D37B87"/>
    <w:rsid w:val="00D42862"/>
    <w:rsid w:val="00D4435B"/>
    <w:rsid w:val="00D47412"/>
    <w:rsid w:val="00D55310"/>
    <w:rsid w:val="00D61D5E"/>
    <w:rsid w:val="00D65720"/>
    <w:rsid w:val="00D70E47"/>
    <w:rsid w:val="00D8090B"/>
    <w:rsid w:val="00D809F7"/>
    <w:rsid w:val="00D82524"/>
    <w:rsid w:val="00D84544"/>
    <w:rsid w:val="00D86961"/>
    <w:rsid w:val="00D9417F"/>
    <w:rsid w:val="00D943C7"/>
    <w:rsid w:val="00D953DE"/>
    <w:rsid w:val="00D965BC"/>
    <w:rsid w:val="00DA21BD"/>
    <w:rsid w:val="00DA3CA0"/>
    <w:rsid w:val="00DA4343"/>
    <w:rsid w:val="00DA6624"/>
    <w:rsid w:val="00DA7CEB"/>
    <w:rsid w:val="00DB0A54"/>
    <w:rsid w:val="00DB2AB2"/>
    <w:rsid w:val="00DB3BBC"/>
    <w:rsid w:val="00DB4A99"/>
    <w:rsid w:val="00DB7DA7"/>
    <w:rsid w:val="00DC107B"/>
    <w:rsid w:val="00DC21FC"/>
    <w:rsid w:val="00DC5548"/>
    <w:rsid w:val="00DC656C"/>
    <w:rsid w:val="00DC7634"/>
    <w:rsid w:val="00DD2CCC"/>
    <w:rsid w:val="00DD7D4E"/>
    <w:rsid w:val="00DE0636"/>
    <w:rsid w:val="00E04A8F"/>
    <w:rsid w:val="00E077C0"/>
    <w:rsid w:val="00E111BC"/>
    <w:rsid w:val="00E11D03"/>
    <w:rsid w:val="00E16F62"/>
    <w:rsid w:val="00E17E67"/>
    <w:rsid w:val="00E23481"/>
    <w:rsid w:val="00E23C51"/>
    <w:rsid w:val="00E2584A"/>
    <w:rsid w:val="00E274FA"/>
    <w:rsid w:val="00E33993"/>
    <w:rsid w:val="00E34BD0"/>
    <w:rsid w:val="00E351D3"/>
    <w:rsid w:val="00E3657B"/>
    <w:rsid w:val="00E40D49"/>
    <w:rsid w:val="00E5052D"/>
    <w:rsid w:val="00E5440E"/>
    <w:rsid w:val="00E55FF3"/>
    <w:rsid w:val="00E6205A"/>
    <w:rsid w:val="00E803A3"/>
    <w:rsid w:val="00E85A79"/>
    <w:rsid w:val="00E92121"/>
    <w:rsid w:val="00E93F1B"/>
    <w:rsid w:val="00E9635A"/>
    <w:rsid w:val="00EA2C92"/>
    <w:rsid w:val="00EB0BA7"/>
    <w:rsid w:val="00EB163B"/>
    <w:rsid w:val="00EC2107"/>
    <w:rsid w:val="00EC237A"/>
    <w:rsid w:val="00EC2DB4"/>
    <w:rsid w:val="00EC375D"/>
    <w:rsid w:val="00EC701E"/>
    <w:rsid w:val="00ED3A63"/>
    <w:rsid w:val="00EE0B2A"/>
    <w:rsid w:val="00EE110D"/>
    <w:rsid w:val="00EF225A"/>
    <w:rsid w:val="00F0416B"/>
    <w:rsid w:val="00F11433"/>
    <w:rsid w:val="00F202C1"/>
    <w:rsid w:val="00F26832"/>
    <w:rsid w:val="00F2796F"/>
    <w:rsid w:val="00F318CA"/>
    <w:rsid w:val="00F34BBA"/>
    <w:rsid w:val="00F34DFD"/>
    <w:rsid w:val="00F355C3"/>
    <w:rsid w:val="00F36395"/>
    <w:rsid w:val="00F37113"/>
    <w:rsid w:val="00F412F1"/>
    <w:rsid w:val="00F46A21"/>
    <w:rsid w:val="00F51041"/>
    <w:rsid w:val="00F52E05"/>
    <w:rsid w:val="00F575D4"/>
    <w:rsid w:val="00F6286B"/>
    <w:rsid w:val="00F62AC5"/>
    <w:rsid w:val="00F65A9E"/>
    <w:rsid w:val="00F755B3"/>
    <w:rsid w:val="00F83DC9"/>
    <w:rsid w:val="00F92231"/>
    <w:rsid w:val="00F9239A"/>
    <w:rsid w:val="00F929BE"/>
    <w:rsid w:val="00F9319A"/>
    <w:rsid w:val="00F94285"/>
    <w:rsid w:val="00F9702F"/>
    <w:rsid w:val="00FA1CB8"/>
    <w:rsid w:val="00FA6FB6"/>
    <w:rsid w:val="00FA70F0"/>
    <w:rsid w:val="00FB494F"/>
    <w:rsid w:val="00FB60AA"/>
    <w:rsid w:val="00FC3726"/>
    <w:rsid w:val="00FE49D8"/>
    <w:rsid w:val="00FF2D5F"/>
    <w:rsid w:val="00FF5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2BA29F76-41A3-4C09-A6A1-700BEF15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545DB"/>
    <w:rPr>
      <w:color w:val="0000FF"/>
      <w:shd w:val="clear" w:color="auto" w:fill="auto"/>
    </w:rPr>
  </w:style>
  <w:style w:type="paragraph" w:customStyle="1" w:styleId="Pagedecouverture">
    <w:name w:val="Page de couverture"/>
    <w:basedOn w:val="Normal"/>
    <w:next w:val="Normal"/>
    <w:rsid w:val="005545D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554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5DB"/>
  </w:style>
  <w:style w:type="paragraph" w:styleId="Footer">
    <w:name w:val="footer"/>
    <w:basedOn w:val="Normal"/>
    <w:link w:val="FooterChar"/>
    <w:uiPriority w:val="99"/>
    <w:unhideWhenUsed/>
    <w:rsid w:val="00554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5DB"/>
  </w:style>
  <w:style w:type="paragraph" w:customStyle="1" w:styleId="FooterCoverPage">
    <w:name w:val="Footer Cover Page"/>
    <w:basedOn w:val="Normal"/>
    <w:link w:val="FooterCoverPageChar"/>
    <w:rsid w:val="005545D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545DB"/>
    <w:rPr>
      <w:rFonts w:ascii="Times New Roman" w:hAnsi="Times New Roman" w:cs="Times New Roman"/>
      <w:sz w:val="24"/>
    </w:rPr>
  </w:style>
  <w:style w:type="paragraph" w:customStyle="1" w:styleId="FooterSensitivity">
    <w:name w:val="Footer Sensitivity"/>
    <w:basedOn w:val="Normal"/>
    <w:link w:val="FooterSensitivityChar"/>
    <w:rsid w:val="005545D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545DB"/>
    <w:rPr>
      <w:rFonts w:ascii="Times New Roman" w:hAnsi="Times New Roman" w:cs="Times New Roman"/>
      <w:b/>
      <w:sz w:val="32"/>
    </w:rPr>
  </w:style>
  <w:style w:type="paragraph" w:customStyle="1" w:styleId="HeaderCoverPage">
    <w:name w:val="Header Cover Page"/>
    <w:basedOn w:val="Normal"/>
    <w:link w:val="HeaderCoverPageChar"/>
    <w:rsid w:val="005545D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545DB"/>
    <w:rPr>
      <w:rFonts w:ascii="Times New Roman" w:hAnsi="Times New Roman" w:cs="Times New Roman"/>
      <w:sz w:val="24"/>
    </w:rPr>
  </w:style>
  <w:style w:type="paragraph" w:customStyle="1" w:styleId="HeaderSensitivity">
    <w:name w:val="Header Sensitivity"/>
    <w:basedOn w:val="Normal"/>
    <w:link w:val="HeaderSensitivityChar"/>
    <w:rsid w:val="005545D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545DB"/>
    <w:rPr>
      <w:rFonts w:ascii="Times New Roman" w:hAnsi="Times New Roman" w:cs="Times New Roman"/>
      <w:b/>
      <w:sz w:val="32"/>
    </w:rPr>
  </w:style>
  <w:style w:type="paragraph" w:customStyle="1" w:styleId="HeaderSensitivityRight">
    <w:name w:val="Header Sensitivity Right"/>
    <w:basedOn w:val="Normal"/>
    <w:link w:val="HeaderSensitivityRightChar"/>
    <w:rsid w:val="005545D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545DB"/>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1892</Words>
  <Characters>11222</Characters>
  <Application>Microsoft Office Word</Application>
  <DocSecurity>0</DocSecurity>
  <Lines>143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2022-02-22T09:32:00Z</dcterms:created>
  <dcterms:modified xsi:type="dcterms:W3CDTF">2022-03-28T14:24:00Z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8.0, Build 20220128</vt:lpwstr>
  </property>
  <property fmtid="{D5CDD505-2E9C-101B-9397-08002B2CF9AE}" pid="8" name="Created using">
    <vt:lpwstr>LW 7.0.1, Build 20200226</vt:lpwstr>
  </property>
  <property name="OP_sanitized" fmtid="{D5CDD505-2E9C-101B-9397-08002B2CF9AE}" pid="9">
    <vt:lpwstr>True</vt:lpwstr>
  </property>
</Properties>
</file>