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834E03E3-3106-4343-9EE7-C7198D2A25EC" style="width:450.7pt;height:365.6pt">
            <v:imagedata r:id="rId9" o:title=""/>
          </v:shape>
        </w:pict>
      </w:r>
    </w:p>
    <w:p>
      <w:pPr>
        <w:rPr>
          <w:noProof/>
        </w:rPr>
        <w:sectPr>
          <w:footerReference w:type="default" r:id="rId10"/>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RELAZIONE</w:t>
      </w:r>
    </w:p>
    <w:p>
      <w:pPr>
        <w:pStyle w:val="ManualHeading1"/>
        <w:rPr>
          <w:noProof/>
        </w:rPr>
      </w:pPr>
      <w:r>
        <w:rPr>
          <w:noProof/>
        </w:rPr>
        <w:t>1.</w:t>
      </w:r>
      <w:r>
        <w:rPr>
          <w:noProof/>
        </w:rPr>
        <w:tab/>
        <w:t>CONTESTO DELLA PROPOSTA</w:t>
      </w:r>
    </w:p>
    <w:p>
      <w:pPr>
        <w:pStyle w:val="ManualHeading2"/>
        <w:rPr>
          <w:rFonts w:eastAsia="Arial Unicode MS"/>
          <w:noProof/>
        </w:rPr>
      </w:pPr>
      <w:r>
        <w:rPr>
          <w:noProof/>
          <w:color w:val="000000"/>
          <w:u w:color="000000"/>
          <w:bdr w:val="nil"/>
        </w:rPr>
        <w:t>•</w:t>
      </w:r>
      <w:r>
        <w:rPr>
          <w:noProof/>
        </w:rPr>
        <w:tab/>
        <w:t>Motivi e obiettivi della proposta</w:t>
      </w:r>
    </w:p>
    <w:p>
      <w:pPr>
        <w:rPr>
          <w:noProof/>
        </w:rPr>
      </w:pPr>
      <w:r>
        <w:rPr>
          <w:noProof/>
        </w:rPr>
        <w:t>Il regolamento (UE) 2020/672 del Consiglio ("regolamento SURE") definisce il quadro giuridico per fornire assistenza finanziaria dell'Unione agli Stati membri che subiscano o rischino seriamente di subire gravi perturbazioni economiche dovute all'epidemia di COVID-19. Il sostegno a titolo dello strumento SURE serve a finanziare, in primo luogo, i regimi di riduzione dell'orario lavorativo o le misure analoghe che mirano a proteggere i lavoratori dipendenti e autonomi e pertanto a ridurre l'incidenza della disoccupazione e della perdita di reddito, nonché determinate misure di carattere sanitario, in particolare nel luogo di lavoro.</w:t>
      </w:r>
    </w:p>
    <w:p>
      <w:pPr>
        <w:rPr>
          <w:noProof/>
        </w:rPr>
      </w:pPr>
      <w:r>
        <w:rPr>
          <w:noProof/>
        </w:rPr>
        <w:t>Il 7 agosto 2020 la Lituania ha chiesto l'assistenza finanziaria dell'Unione conformemente al regolamento SURE. In applicazione dell'articolo 6, paragrafo 2, di detto regolamento, la Commissione ha consultato le autorità lituane per verificare l'aumento repentino e severo della spesa pubblica effettiva e programmata direttamente connessa a regimi di riduzione dell'orario lavorativo e a misure analoghe. L'aumento riguarda in particolare:</w:t>
      </w:r>
    </w:p>
    <w:p>
      <w:pPr>
        <w:pStyle w:val="Point0"/>
        <w:rPr>
          <w:noProof/>
        </w:rPr>
      </w:pPr>
      <w:r>
        <w:rPr>
          <w:noProof/>
        </w:rPr>
        <w:t>1)</w:t>
      </w:r>
      <w:r>
        <w:rPr>
          <w:noProof/>
        </w:rPr>
        <w:tab/>
        <w:t>un regime per erogare sovvenzioni ai datori di lavoro al fine di coprire gli stipendi stimati per ciascun lavoratore dipendente inattivo. Il datore di lavoro può decidere di avvalersi di sovvenzioni per coprire il 70 % dello stipendio, fino a un massimo pari a 1,5 volte il salario minimo, o il 90 % dello stipendio (100 % nel caso dei lavoratori dipendenti di età pari o superiore a 60 anni), fino a un massimo pari al salario minimo. I datori di lavoro che hanno partecipato al regime devono mantenere almeno il 50 % dei loro dipendenti per almeno 3 mesi dopo la fine della sovvenzione;</w:t>
      </w:r>
    </w:p>
    <w:p>
      <w:pPr>
        <w:pStyle w:val="Point0"/>
        <w:rPr>
          <w:noProof/>
        </w:rPr>
      </w:pPr>
      <w:r>
        <w:rPr>
          <w:noProof/>
        </w:rPr>
        <w:t>2)</w:t>
      </w:r>
      <w:r>
        <w:rPr>
          <w:noProof/>
        </w:rPr>
        <w:tab/>
        <w:t xml:space="preserve">sovvenzioni per i lavoratori dipendenti che ritornano al lavoro dopo un periodo di inattività, per un periodo massimo di sei mesi dopo il rientro al lavoro. Fatto salvo il tetto del salario minimo o del doppio del salario minimo a seconda dell'attività economica svolta dal datore di lavoro, l'importo delle sovvenzioni erogate nel primo e nel secondo mese successivo al rientro al lavoro può raggiungere il 100 % dello stipendio di un lavoratore dipendente, nel terzo e nel quarto mese il 50 % e nel quinto e nel sesto mese il 30 %; </w:t>
      </w:r>
    </w:p>
    <w:p>
      <w:pPr>
        <w:pStyle w:val="Point0"/>
        <w:rPr>
          <w:noProof/>
        </w:rPr>
      </w:pPr>
      <w:r>
        <w:rPr>
          <w:noProof/>
        </w:rPr>
        <w:t>3)</w:t>
      </w:r>
      <w:r>
        <w:rPr>
          <w:noProof/>
        </w:rPr>
        <w:tab/>
        <w:t xml:space="preserve">prestazioni per i lavoratori autonomi, compresi quelli che svolgono un'attività agricola con un'azienda agricola con almeno quattro unità di dimensioni economiche, per un importo di 257 EUR al mese versati durante il periodo di quarantena e i due mesi successivi; </w:t>
      </w:r>
    </w:p>
    <w:p>
      <w:pPr>
        <w:pStyle w:val="Point0"/>
        <w:rPr>
          <w:noProof/>
        </w:rPr>
      </w:pPr>
      <w:r>
        <w:rPr>
          <w:noProof/>
        </w:rPr>
        <w:t>4)</w:t>
      </w:r>
      <w:r>
        <w:rPr>
          <w:noProof/>
        </w:rPr>
        <w:tab/>
        <w:t xml:space="preserve">prestazioni per i lavoratori autonomi che svolgono un'attività agricola con un'azienda agricola con meno di quattro unità di dimensioni economiche, che non rientravano nell'ambito di applicazione della suindicata misura. La misura consiste in un pagamento una tantum di 200 EUR per i piccoli agricoltori che non avevano un'altra occupazione, oppure di 200 EUR per ciascuno dei tre mesi di quarantena e per il periodo dello stato di emergenza se esercitavano un'attività subordinata, in aggiunta alla loro attività agricola autonoma, e non guadagnavano più del salario minimo. </w:t>
      </w:r>
    </w:p>
    <w:p>
      <w:pPr>
        <w:rPr>
          <w:noProof/>
        </w:rPr>
      </w:pPr>
      <w:r>
        <w:rPr>
          <w:noProof/>
        </w:rPr>
        <w:t xml:space="preserve">La Lituania ha fornito alla Commissione le informazioni pertinenti. </w:t>
      </w:r>
    </w:p>
    <w:p>
      <w:pPr>
        <w:rPr>
          <w:noProof/>
        </w:rPr>
      </w:pPr>
      <w:r>
        <w:rPr>
          <w:noProof/>
        </w:rPr>
        <w:t>Alla luce degli elementi disponibili, la Commissione propone che il Consiglio adotti una decisione di esecuzione per concedere alla Lituania assistenza finanziaria a norma del regolamento SURE a sostegno delle misure di cui sopra.</w:t>
      </w:r>
    </w:p>
    <w:p>
      <w:pPr>
        <w:pStyle w:val="ManualHeading2"/>
        <w:rPr>
          <w:noProof/>
          <w:color w:val="000000" w:themeColor="text1"/>
          <w:u w:color="000000"/>
          <w:bdr w:val="nil"/>
        </w:rPr>
      </w:pPr>
      <w:r>
        <w:rPr>
          <w:noProof/>
          <w:color w:val="000000" w:themeColor="text1"/>
          <w:u w:color="000000"/>
          <w:bdr w:val="nil"/>
        </w:rPr>
        <w:lastRenderedPageBreak/>
        <w:t>•</w:t>
      </w:r>
      <w:r>
        <w:rPr>
          <w:noProof/>
        </w:rPr>
        <w:tab/>
      </w:r>
      <w:r>
        <w:rPr>
          <w:noProof/>
          <w:color w:val="000000" w:themeColor="text1"/>
        </w:rPr>
        <w:t>Coerenza con le disposizioni vigenti nel settore normativo interessato</w:t>
      </w:r>
    </w:p>
    <w:p>
      <w:pPr>
        <w:pBdr>
          <w:top w:val="nil"/>
          <w:left w:val="nil"/>
          <w:bottom w:val="nil"/>
          <w:right w:val="nil"/>
          <w:between w:val="nil"/>
          <w:bar w:val="nil"/>
        </w:pBdr>
        <w:spacing w:before="0" w:after="240"/>
        <w:rPr>
          <w:noProof/>
          <w:color w:val="000000" w:themeColor="text1"/>
        </w:rPr>
      </w:pPr>
      <w:r>
        <w:rPr>
          <w:noProof/>
          <w:color w:val="000000" w:themeColor="text1"/>
        </w:rPr>
        <w:t>La presente proposta è pienamente coerente con</w:t>
      </w:r>
      <w:r>
        <w:rPr>
          <w:noProof/>
        </w:rPr>
        <w:t xml:space="preserve"> il regolamento (UE) 2020/672 del Consiglio, a norma del quale viene presentata.</w:t>
      </w:r>
    </w:p>
    <w:p>
      <w:pPr>
        <w:pBdr>
          <w:top w:val="nil"/>
          <w:left w:val="nil"/>
          <w:bottom w:val="nil"/>
          <w:right w:val="nil"/>
          <w:between w:val="nil"/>
          <w:bar w:val="nil"/>
        </w:pBdr>
        <w:spacing w:before="0" w:after="240"/>
        <w:rPr>
          <w:noProof/>
          <w:color w:val="000000" w:themeColor="text1"/>
        </w:rPr>
      </w:pPr>
      <w:r>
        <w:rPr>
          <w:noProof/>
          <w:color w:val="000000" w:themeColor="text1"/>
        </w:rPr>
        <w:t xml:space="preserve">La proposta si affianca a un altro strumento del diritto dell'Unione finalizzato a fornire un sostegno agli Stati membri in caso di emergenze, ovvero il regolamento (CE) n. 2012/2002 del Consiglio, dell'11 novembre 2002, che istituisce il Fondo di solidarietà dell'Unione europea (FSUE) ("regolamento (CE) n. 2012/2002"). Il 30 marzo è stato adottato il regolamento (UE) 2020/461 del Parlamento europeo e del Consiglio, che modifica il predetto strumento per estenderne l'ambito di applicazione alle gravi emergenze di sanità pubblica e per definire gli interventi specifici ammissibili al finanziamento. </w:t>
      </w:r>
    </w:p>
    <w:p>
      <w:pPr>
        <w:pStyle w:val="ManualHeading2"/>
        <w:rPr>
          <w:rFonts w:eastAsia="Arial Unicode MS"/>
          <w:noProof/>
          <w:color w:val="000000" w:themeColor="text1"/>
        </w:rPr>
      </w:pPr>
      <w:r>
        <w:rPr>
          <w:noProof/>
          <w:color w:val="000000" w:themeColor="text1"/>
          <w:u w:color="000000"/>
          <w:bdr w:val="nil"/>
        </w:rPr>
        <w:t>•</w:t>
      </w:r>
      <w:r>
        <w:rPr>
          <w:noProof/>
        </w:rPr>
        <w:tab/>
      </w:r>
      <w:r>
        <w:rPr>
          <w:noProof/>
          <w:color w:val="000000" w:themeColor="text1"/>
        </w:rPr>
        <w:t>Coerenza con le altre normative dell'Unione</w:t>
      </w:r>
    </w:p>
    <w:p>
      <w:pPr>
        <w:pBdr>
          <w:top w:val="nil"/>
          <w:left w:val="nil"/>
          <w:bottom w:val="nil"/>
          <w:right w:val="nil"/>
          <w:between w:val="nil"/>
          <w:bar w:val="nil"/>
        </w:pBdr>
        <w:spacing w:before="0" w:after="240"/>
        <w:rPr>
          <w:rFonts w:eastAsia="Arial Unicode MS"/>
          <w:noProof/>
          <w:color w:val="000000" w:themeColor="text1"/>
        </w:rPr>
      </w:pPr>
      <w:r>
        <w:rPr>
          <w:noProof/>
        </w:rPr>
        <w:t xml:space="preserve">La proposta è parte integrante di una serie di misure elaborate in risposta all'attuale pandemia di COVID-19, come l'"iniziativa di investimento in risposta al coronavirus", e viene a integrare altri strumenti di sostegno all'occupazione, quali il Fondo sociale europeo e il Fondo europeo per gli investimenti strategici (FEIS)/InvestEU. Utilizzando operazioni di assunzione e di concessione di prestiti nella particolare situazione determinata dall'epidemia di COVID-19 per fornire un sostegno agli Stati membri, la presente proposta funge da seconda linea di difesa per finanziare regimi di riduzione dell'orario lavorativo e misure analoghe, contribuendo a proteggere i posti di lavoro e, così facendo, a tutelare i lavoratori dipendenti e i lavoratori autonomi dal rischio di disoccupazione. </w:t>
      </w:r>
    </w:p>
    <w:p>
      <w:pPr>
        <w:pStyle w:val="ManualHeading1"/>
        <w:rPr>
          <w:noProof/>
          <w:color w:val="000000" w:themeColor="text1"/>
        </w:rPr>
      </w:pPr>
      <w:r>
        <w:rPr>
          <w:noProof/>
          <w:color w:val="000000" w:themeColor="text1"/>
        </w:rPr>
        <w:t>2.</w:t>
      </w:r>
      <w:r>
        <w:rPr>
          <w:noProof/>
        </w:rPr>
        <w:tab/>
      </w:r>
      <w:r>
        <w:rPr>
          <w:noProof/>
          <w:color w:val="000000" w:themeColor="text1"/>
        </w:rPr>
        <w:t>BASE GIURIDICA, SUSSIDIARIETÀ E PROPORZIONALITÀ</w:t>
      </w:r>
    </w:p>
    <w:p>
      <w:pPr>
        <w:pStyle w:val="ManualHeading2"/>
        <w:rPr>
          <w:noProof/>
          <w:color w:val="000000" w:themeColor="text1"/>
          <w:u w:color="000000"/>
          <w:bdr w:val="nil"/>
        </w:rPr>
      </w:pPr>
      <w:r>
        <w:rPr>
          <w:noProof/>
          <w:color w:val="000000" w:themeColor="text1"/>
          <w:u w:color="000000"/>
          <w:bdr w:val="nil"/>
        </w:rPr>
        <w:t>•</w:t>
      </w:r>
      <w:r>
        <w:rPr>
          <w:noProof/>
        </w:rPr>
        <w:tab/>
      </w:r>
      <w:r>
        <w:rPr>
          <w:noProof/>
          <w:color w:val="000000" w:themeColor="text1"/>
          <w:u w:color="000000"/>
          <w:bdr w:val="nil"/>
        </w:rPr>
        <w:t>Base giuridica</w:t>
      </w:r>
    </w:p>
    <w:p>
      <w:pPr>
        <w:pBdr>
          <w:top w:val="nil"/>
          <w:left w:val="nil"/>
          <w:bottom w:val="nil"/>
          <w:right w:val="nil"/>
          <w:between w:val="nil"/>
          <w:bar w:val="nil"/>
        </w:pBdr>
        <w:spacing w:before="0" w:after="240"/>
        <w:rPr>
          <w:rFonts w:eastAsia="Arial Unicode MS"/>
          <w:noProof/>
          <w:color w:val="000000" w:themeColor="text1"/>
        </w:rPr>
      </w:pPr>
      <w:r>
        <w:rPr>
          <w:noProof/>
        </w:rPr>
        <w:t xml:space="preserve">La base giuridica dello strumento è il regolamento (UE) 2020/672 del Consiglio. </w:t>
      </w:r>
    </w:p>
    <w:p>
      <w:pPr>
        <w:pStyle w:val="ManualHeading2"/>
        <w:rPr>
          <w:noProof/>
          <w:color w:val="000000" w:themeColor="text1"/>
          <w:u w:color="000000"/>
          <w:bdr w:val="nil"/>
        </w:rPr>
      </w:pPr>
      <w:r>
        <w:rPr>
          <w:noProof/>
          <w:color w:val="000000" w:themeColor="text1"/>
          <w:u w:color="000000"/>
          <w:bdr w:val="nil"/>
        </w:rPr>
        <w:t>•</w:t>
      </w:r>
      <w:r>
        <w:rPr>
          <w:noProof/>
        </w:rPr>
        <w:tab/>
      </w:r>
      <w:r>
        <w:rPr>
          <w:noProof/>
          <w:color w:val="000000" w:themeColor="text1"/>
          <w:u w:color="000000"/>
          <w:bdr w:val="nil"/>
        </w:rPr>
        <w:t xml:space="preserve">Sussidiarietà (per la competenza non esclusiva) </w:t>
      </w:r>
    </w:p>
    <w:p>
      <w:pPr>
        <w:pBdr>
          <w:top w:val="nil"/>
          <w:left w:val="nil"/>
          <w:bottom w:val="nil"/>
          <w:right w:val="nil"/>
          <w:between w:val="nil"/>
          <w:bar w:val="nil"/>
        </w:pBdr>
        <w:spacing w:before="0" w:after="240"/>
        <w:rPr>
          <w:noProof/>
        </w:rPr>
      </w:pPr>
      <w:r>
        <w:rPr>
          <w:noProof/>
        </w:rPr>
        <w:t>La proposta fa seguito alla richiesta di uno Stato membro e dimostra solidarietà europea fornendo a uno Stato membro colpito dall'epidemia di COVID-19 assistenza finanziaria dell'Unione sotto forma di prestiti temporanei. Tale assistenza, che costituisce una seconda linea di difesa, sostiene temporaneamente l'incremento della spesa pubblica connesso a regimi di riduzione dell'orario lavorativo e a misure analoghe, al fine di aiutare il governo a proteggere i posti di lavoro e, così facendo, a tutelare i lavoratori dipendenti e i lavoratori autonomi dal rischio di disoccupazione e perdita di reddito.</w:t>
      </w:r>
    </w:p>
    <w:p>
      <w:pPr>
        <w:pBdr>
          <w:top w:val="nil"/>
          <w:left w:val="nil"/>
          <w:bottom w:val="nil"/>
          <w:right w:val="nil"/>
          <w:between w:val="nil"/>
          <w:bar w:val="nil"/>
        </w:pBdr>
        <w:spacing w:before="0" w:after="240"/>
        <w:rPr>
          <w:rFonts w:eastAsia="Arial Unicode MS"/>
          <w:noProof/>
          <w:color w:val="000000" w:themeColor="text1"/>
        </w:rPr>
      </w:pPr>
      <w:r>
        <w:rPr>
          <w:noProof/>
        </w:rPr>
        <w:t xml:space="preserve">Il sostegno, che gioverà alla popolazione colpita, concorre a mitigare l'impatto sociale ed economico diretto dell'attuale crisi della COVID-19. </w:t>
      </w:r>
    </w:p>
    <w:p>
      <w:pPr>
        <w:pStyle w:val="ManualHeading2"/>
        <w:rPr>
          <w:noProof/>
          <w:color w:val="000000" w:themeColor="text1"/>
          <w:u w:color="000000"/>
          <w:bdr w:val="nil"/>
        </w:rPr>
      </w:pPr>
      <w:r>
        <w:rPr>
          <w:noProof/>
          <w:color w:val="000000" w:themeColor="text1"/>
          <w:u w:color="000000"/>
          <w:bdr w:val="nil"/>
        </w:rPr>
        <w:t>•</w:t>
      </w:r>
      <w:r>
        <w:rPr>
          <w:noProof/>
        </w:rPr>
        <w:tab/>
      </w:r>
      <w:r>
        <w:rPr>
          <w:noProof/>
          <w:color w:val="000000" w:themeColor="text1"/>
          <w:u w:color="000000"/>
          <w:bdr w:val="nil"/>
        </w:rPr>
        <w:t>Proporzionalità</w:t>
      </w:r>
    </w:p>
    <w:p>
      <w:pPr>
        <w:pBdr>
          <w:top w:val="nil"/>
          <w:left w:val="nil"/>
          <w:bottom w:val="nil"/>
          <w:right w:val="nil"/>
          <w:between w:val="nil"/>
          <w:bar w:val="nil"/>
        </w:pBdr>
        <w:spacing w:before="0" w:after="240"/>
        <w:rPr>
          <w:rFonts w:eastAsia="Arial Unicode MS"/>
          <w:noProof/>
          <w:color w:val="000000" w:themeColor="text1"/>
        </w:rPr>
      </w:pPr>
      <w:r>
        <w:rPr>
          <w:noProof/>
        </w:rPr>
        <w:t xml:space="preserve">La proposta rispetta il principio di proporzionalità. Essa si limita a quanto è necessario per conseguire gli obiettivi perseguiti dallo strumento. </w:t>
      </w:r>
    </w:p>
    <w:p>
      <w:pPr>
        <w:pStyle w:val="ManualHeading1"/>
        <w:rPr>
          <w:noProof/>
          <w:color w:val="000000" w:themeColor="text1"/>
        </w:rPr>
      </w:pPr>
      <w:r>
        <w:rPr>
          <w:noProof/>
          <w:color w:val="000000" w:themeColor="text1"/>
        </w:rPr>
        <w:lastRenderedPageBreak/>
        <w:t>3.</w:t>
      </w:r>
      <w:r>
        <w:rPr>
          <w:noProof/>
        </w:rPr>
        <w:tab/>
      </w:r>
      <w:r>
        <w:rPr>
          <w:noProof/>
          <w:color w:val="000000" w:themeColor="text1"/>
        </w:rPr>
        <w:t>RISULTATI DELLE VALUTAZIONI EX POST, DELLE CONSULTAZIONI DEI PORTATORI DI INTERESSI E DELLE VALUTAZIONI D'IMPATTO</w:t>
      </w:r>
    </w:p>
    <w:p>
      <w:pPr>
        <w:pStyle w:val="ManualHeading2"/>
        <w:rPr>
          <w:noProof/>
          <w:color w:val="000000" w:themeColor="text1"/>
          <w:u w:color="000000"/>
          <w:bdr w:val="nil"/>
        </w:rPr>
      </w:pPr>
      <w:r>
        <w:rPr>
          <w:noProof/>
          <w:color w:val="000000" w:themeColor="text1"/>
          <w:u w:color="000000"/>
          <w:bdr w:val="nil"/>
        </w:rPr>
        <w:t>•</w:t>
      </w:r>
      <w:r>
        <w:rPr>
          <w:noProof/>
        </w:rPr>
        <w:tab/>
      </w:r>
      <w:r>
        <w:rPr>
          <w:noProof/>
          <w:color w:val="000000" w:themeColor="text1"/>
          <w:u w:color="000000"/>
          <w:bdr w:val="nil"/>
        </w:rPr>
        <w:t>Consultazioni dei portatori di interessi</w:t>
      </w:r>
    </w:p>
    <w:p>
      <w:pPr>
        <w:pBdr>
          <w:top w:val="nil"/>
          <w:left w:val="nil"/>
          <w:bottom w:val="nil"/>
          <w:right w:val="nil"/>
          <w:between w:val="nil"/>
          <w:bar w:val="nil"/>
        </w:pBdr>
        <w:spacing w:before="0" w:after="240"/>
        <w:rPr>
          <w:rFonts w:eastAsia="Arial Unicode MS"/>
          <w:noProof/>
          <w:color w:val="000000" w:themeColor="text1"/>
        </w:rPr>
      </w:pPr>
      <w:r>
        <w:rPr>
          <w:noProof/>
          <w:color w:val="000000" w:themeColor="text1"/>
        </w:rPr>
        <w:t>Data l'urgenza con cui è stata elaborata la proposta per permettere al Consiglio di adottarla tempestivamente, non è stato possibile procedere ad una consultazione dei portatori di interessi.</w:t>
      </w:r>
    </w:p>
    <w:p>
      <w:pPr>
        <w:pStyle w:val="ManualHeading2"/>
        <w:rPr>
          <w:noProof/>
          <w:color w:val="000000" w:themeColor="text1"/>
          <w:u w:color="000000"/>
          <w:bdr w:val="nil"/>
        </w:rPr>
      </w:pPr>
      <w:r>
        <w:rPr>
          <w:noProof/>
          <w:color w:val="000000" w:themeColor="text1"/>
          <w:u w:color="000000"/>
          <w:bdr w:val="nil"/>
        </w:rPr>
        <w:t>•</w:t>
      </w:r>
      <w:r>
        <w:rPr>
          <w:noProof/>
        </w:rPr>
        <w:tab/>
      </w:r>
      <w:r>
        <w:rPr>
          <w:noProof/>
          <w:color w:val="000000" w:themeColor="text1"/>
          <w:u w:color="000000"/>
          <w:bdr w:val="nil"/>
        </w:rPr>
        <w:t>Valutazione d'impatto</w:t>
      </w:r>
    </w:p>
    <w:p>
      <w:pPr>
        <w:pBdr>
          <w:top w:val="nil"/>
          <w:left w:val="nil"/>
          <w:bottom w:val="nil"/>
          <w:right w:val="nil"/>
          <w:between w:val="nil"/>
          <w:bar w:val="nil"/>
        </w:pBdr>
        <w:spacing w:before="0" w:after="240"/>
        <w:rPr>
          <w:rFonts w:eastAsia="Arial Unicode MS"/>
          <w:noProof/>
          <w:color w:val="000000" w:themeColor="text1"/>
        </w:rPr>
      </w:pPr>
      <w:r>
        <w:rPr>
          <w:noProof/>
          <w:color w:val="000000" w:themeColor="text1"/>
        </w:rPr>
        <w:t>Vista l'urgenza della proposta, non è stata effettuata alcuna valutazione d'impatto.</w:t>
      </w:r>
    </w:p>
    <w:p>
      <w:pPr>
        <w:pStyle w:val="ManualHeading1"/>
        <w:rPr>
          <w:noProof/>
          <w:color w:val="000000" w:themeColor="text1"/>
        </w:rPr>
      </w:pPr>
      <w:r>
        <w:rPr>
          <w:noProof/>
          <w:color w:val="000000" w:themeColor="text1"/>
        </w:rPr>
        <w:t>4.</w:t>
      </w:r>
      <w:r>
        <w:rPr>
          <w:noProof/>
        </w:rPr>
        <w:tab/>
      </w:r>
      <w:r>
        <w:rPr>
          <w:noProof/>
          <w:color w:val="000000" w:themeColor="text1"/>
        </w:rPr>
        <w:t>INCIDENZA SUL BILANCIO</w:t>
      </w:r>
    </w:p>
    <w:p>
      <w:pPr>
        <w:pBdr>
          <w:top w:val="nil"/>
          <w:left w:val="nil"/>
          <w:bottom w:val="nil"/>
          <w:right w:val="nil"/>
          <w:between w:val="nil"/>
          <w:bar w:val="nil"/>
        </w:pBdr>
        <w:spacing w:before="0" w:after="240"/>
        <w:rPr>
          <w:rFonts w:eastAsia="Arial Unicode MS"/>
          <w:noProof/>
          <w:color w:val="000000" w:themeColor="text1"/>
        </w:rPr>
      </w:pPr>
      <w:r>
        <w:rPr>
          <w:noProof/>
          <w:color w:val="000000" w:themeColor="text1"/>
        </w:rPr>
        <w:t xml:space="preserve">La Commissione dovrebbe essere in grado di contrarre prestiti sui mercati finanziari al fine di erogarli agli Stati membri che chiedono assistenza finanziaria nell'ambito dello strumento SURE. </w:t>
      </w:r>
    </w:p>
    <w:p>
      <w:pPr>
        <w:rPr>
          <w:noProof/>
          <w:color w:val="000000" w:themeColor="text1"/>
        </w:rPr>
      </w:pPr>
      <w:r>
        <w:rPr>
          <w:noProof/>
          <w:color w:val="000000" w:themeColor="text1"/>
        </w:rPr>
        <w:t>Oltre alle garanzie degli Stati membri, nel quadro sono integrate altre salvaguardie tese ad assicurare la solidità finanziaria del regime:</w:t>
      </w:r>
    </w:p>
    <w:p>
      <w:pPr>
        <w:pStyle w:val="Bullet1"/>
        <w:numPr>
          <w:ilvl w:val="0"/>
          <w:numId w:val="5"/>
        </w:numPr>
        <w:rPr>
          <w:noProof/>
          <w:color w:val="000000" w:themeColor="text1"/>
        </w:rPr>
      </w:pPr>
      <w:r>
        <w:rPr>
          <w:noProof/>
          <w:color w:val="000000" w:themeColor="text1"/>
        </w:rPr>
        <w:t>un approccio rigoroso e prudente nella gestione finanziaria;</w:t>
      </w:r>
    </w:p>
    <w:p>
      <w:pPr>
        <w:pStyle w:val="Bullet1"/>
        <w:rPr>
          <w:noProof/>
          <w:color w:val="000000" w:themeColor="text1"/>
        </w:rPr>
      </w:pPr>
      <w:r>
        <w:rPr>
          <w:noProof/>
          <w:color w:val="000000" w:themeColor="text1"/>
        </w:rPr>
        <w:t xml:space="preserve">un portafoglio dei prestiti costruito in modo da limitare il rischio di concentrazione, l'esposizione annuale e l'esposizione eccessiva a singoli Stati membri, garantendo al tempo stesso che sia possibile erogare risorse sufficienti agli Stati membri che ne hanno maggiormente bisogno; </w:t>
      </w:r>
    </w:p>
    <w:p>
      <w:pPr>
        <w:pStyle w:val="Bullet1"/>
        <w:rPr>
          <w:noProof/>
          <w:color w:val="000000" w:themeColor="text1"/>
        </w:rPr>
      </w:pPr>
      <w:r>
        <w:rPr>
          <w:noProof/>
          <w:color w:val="000000" w:themeColor="text1"/>
        </w:rPr>
        <w:t>la possibilità di rinnovare il debito.</w:t>
      </w:r>
    </w:p>
    <w:p>
      <w:pPr>
        <w:rPr>
          <w:noProof/>
        </w:rPr>
        <w:sectPr>
          <w:footerReference w:type="default" r:id="rId11"/>
          <w:footerReference w:type="first" r:id="rId12"/>
          <w:pgSz w:w="11907" w:h="16839"/>
          <w:pgMar w:top="1134" w:right="1417" w:bottom="1134" w:left="1417" w:header="709" w:footer="709" w:gutter="0"/>
          <w:cols w:space="708"/>
          <w:docGrid w:linePitch="360"/>
        </w:sectPr>
      </w:pPr>
    </w:p>
    <w:p>
      <w:pPr>
        <w:pStyle w:val="Rfrenceinterinstitutionnelle"/>
        <w:rPr>
          <w:noProof/>
        </w:rPr>
      </w:pPr>
      <w:r>
        <w:rPr>
          <w:noProof/>
        </w:rPr>
        <w:lastRenderedPageBreak/>
        <w:t>2020/0216 (NLE)</w:t>
      </w:r>
    </w:p>
    <w:p>
      <w:pPr>
        <w:pStyle w:val="Statut"/>
        <w:rPr>
          <w:noProof/>
        </w:rPr>
      </w:pPr>
      <w:r>
        <w:rPr>
          <w:noProof/>
        </w:rPr>
        <w:t>Proposta di</w:t>
      </w:r>
    </w:p>
    <w:p>
      <w:pPr>
        <w:pStyle w:val="Typedudocument"/>
        <w:rPr>
          <w:noProof/>
        </w:rPr>
      </w:pPr>
      <w:r>
        <w:rPr>
          <w:noProof/>
        </w:rPr>
        <w:t>DECISIONE DI ESECUZIONE DEL CONSIGLIO</w:t>
      </w:r>
    </w:p>
    <w:p>
      <w:pPr>
        <w:pStyle w:val="Titreobjet"/>
        <w:rPr>
          <w:noProof/>
        </w:rPr>
      </w:pPr>
      <w:r>
        <w:rPr>
          <w:noProof/>
        </w:rPr>
        <w:t>che concede alla Lituania sostegno temporaneo a norma del regolamento (UE) 2020/672 del Consiglio per attenuare i rischi di disoccupazione nello stato di emergenza a seguito dell'epidemia di COVID‐19</w:t>
      </w:r>
    </w:p>
    <w:p>
      <w:pPr>
        <w:pStyle w:val="Institutionquiagit"/>
        <w:rPr>
          <w:noProof/>
        </w:rPr>
      </w:pPr>
      <w:r>
        <w:rPr>
          <w:noProof/>
        </w:rPr>
        <w:t>IL CONSIGLIO DELL'UNIONE EUROPEA,</w:t>
      </w:r>
    </w:p>
    <w:p>
      <w:pPr>
        <w:rPr>
          <w:noProof/>
        </w:rPr>
      </w:pPr>
      <w:r>
        <w:rPr>
          <w:noProof/>
        </w:rPr>
        <w:t xml:space="preserve">visto il trattato sul funzionamento dell'Unione europea, </w:t>
      </w:r>
    </w:p>
    <w:p>
      <w:pPr>
        <w:rPr>
          <w:noProof/>
        </w:rPr>
      </w:pPr>
      <w:r>
        <w:rPr>
          <w:noProof/>
        </w:rPr>
        <w:t>visto il regolamento (UE) 2020/672 del Consiglio, del 19 maggio 2020, che istituisce uno strumento europeo di sostegno temporaneo per attenuare i rischi di disoccupazione nello stato di emergenza (SURE) a seguito dell'epidemia di Covid‐19</w:t>
      </w:r>
      <w:r>
        <w:rPr>
          <w:rStyle w:val="FootnoteReference"/>
          <w:noProof/>
        </w:rPr>
        <w:footnoteReference w:id="1"/>
      </w:r>
      <w:r>
        <w:rPr>
          <w:noProof/>
        </w:rPr>
        <w:t>, in particolare l'articolo 6, paragrafo 1,</w:t>
      </w:r>
    </w:p>
    <w:p>
      <w:pPr>
        <w:rPr>
          <w:noProof/>
        </w:rPr>
      </w:pPr>
      <w:r>
        <w:rPr>
          <w:noProof/>
        </w:rPr>
        <w:t>vista la proposta della Commissione europea,</w:t>
      </w:r>
    </w:p>
    <w:p>
      <w:pPr>
        <w:rPr>
          <w:noProof/>
        </w:rPr>
      </w:pPr>
      <w:r>
        <w:rPr>
          <w:noProof/>
        </w:rPr>
        <w:t>considerando quanto segue:</w:t>
      </w:r>
    </w:p>
    <w:p>
      <w:pPr>
        <w:pStyle w:val="ManualConsidrant"/>
        <w:rPr>
          <w:noProof/>
        </w:rPr>
      </w:pPr>
      <w:r>
        <w:t>(1)</w:t>
      </w:r>
      <w:r>
        <w:tab/>
      </w:r>
      <w:r>
        <w:rPr>
          <w:noProof/>
        </w:rPr>
        <w:t xml:space="preserve">Il 7 agosto 2020 la Lituania ha chiesto l'assistenza finanziaria dell'Unione al fine di integrare gli sforzi nazionali volti ad affrontare l'impatto dell'epidemia di COVID-19 e le sue conseguenze socioeconomiche per i lavoratori. </w:t>
      </w:r>
    </w:p>
    <w:p>
      <w:pPr>
        <w:pStyle w:val="ManualConsidrant"/>
        <w:rPr>
          <w:noProof/>
        </w:rPr>
      </w:pPr>
      <w:r>
        <w:t>(2)</w:t>
      </w:r>
      <w:r>
        <w:tab/>
      </w:r>
      <w:r>
        <w:rPr>
          <w:noProof/>
        </w:rPr>
        <w:t xml:space="preserve">Si prevede che l'epidemia di COVID-19 e le misure straordinarie attuate dalla Lituania per contenerla, nonché le relative ripercussioni socioeconomiche e sanitarie, avranno un impatto drammatico sulle finanze pubbliche. Le previsioni di primavera 2020 della Commissione prospettavano per la Lituania un disavanzo pubblico e un debito pubblico pari rispettivamente al 6,9 % e al 48,5 % del prodotto interno lordo (PIL) entro la fine del 2020. Secondo le previsioni intermedie d'estate 2020 della Commissione, il PIL della Lituania diminuirà del 7,1 % nel 2020. </w:t>
      </w:r>
    </w:p>
    <w:p>
      <w:pPr>
        <w:pStyle w:val="ManualConsidrant"/>
        <w:rPr>
          <w:noProof/>
        </w:rPr>
      </w:pPr>
      <w:r>
        <w:t>(3)</w:t>
      </w:r>
      <w:r>
        <w:tab/>
      </w:r>
      <w:r>
        <w:rPr>
          <w:noProof/>
        </w:rPr>
        <w:t>L'epidemia di COVID-19 ha avuto ripercussioni negative su una parte significativa della forza lavoro in Lituania. Ciò ha determinato un aumento repentino e severo della spesa pubblica lituana connessa alle sovvenzioni salariali durante e dopo il periodo di inattività e alle prestazioni per i lavoratori autonomi, comprese le prestazioni per i lavoratori autonomi che svolgono un'attività agricola, illustrate nei considerando da 4 a 7.</w:t>
      </w:r>
    </w:p>
    <w:p>
      <w:pPr>
        <w:pStyle w:val="ManualConsidrant"/>
        <w:rPr>
          <w:noProof/>
        </w:rPr>
      </w:pPr>
      <w:r>
        <w:t>(4)</w:t>
      </w:r>
      <w:r>
        <w:tab/>
      </w:r>
      <w:r>
        <w:rPr>
          <w:noProof/>
        </w:rPr>
        <w:t>La legge sull'occupazione n. XII-2470, citata nella richiesta della Lituania del 7 agosto 2020, ha introdotto un regime per erogare sovvenzioni ai datori di lavoro al fine di coprire gli stipendi stimati per ciascun lavoratore dipendente inattivo. Il datore di lavoro può scegliere tra sovvenzioni per coprire il 70 % dello stipendio, fino a un massimo pari a 1,5 volte il salario minimo, o il 90 % dello stipendio (100 % nel caso dei lavoratori dipendenti di età pari o superiore a 60 anni), fino a un massimo pari al salario minimo. I datori di lavoro che hanno partecipato al regime devono mantenere almeno il 50 % dei loro dipendenti per almeno 3 mesi dopo la fine della sovvenzione.</w:t>
      </w:r>
    </w:p>
    <w:p>
      <w:pPr>
        <w:pStyle w:val="ManualConsidrant"/>
        <w:rPr>
          <w:noProof/>
        </w:rPr>
      </w:pPr>
      <w:r>
        <w:lastRenderedPageBreak/>
        <w:t>(5)</w:t>
      </w:r>
      <w:r>
        <w:tab/>
      </w:r>
      <w:r>
        <w:rPr>
          <w:noProof/>
        </w:rPr>
        <w:t xml:space="preserve">Sono inoltre erogate sovvenzioni per i lavoratori dipendenti che ritornano al lavoro dopo un periodo di inattività, per un periodo massimo di sei mesi dopo il rientro al lavoro. Fatto salvo il tetto del salario minimo o del doppio del salario minimo a seconda dell'attività economica svolta dal datore di lavoro, l'importo delle sovvenzioni erogate nel primo e nel secondo mese successivo al rientro al lavoro può raggiungere il 100 % dello stipendio di un lavoratore dipendente, nel terzo e nel quarto mese il 50 % e nel quinto e nel sesto mese il 30 %. Tali sovvenzioni possono essere considerate una misura analoga ai regimi di riduzione dell'orario lavorativo di cui al regolamento (UE) 2020/672, in quanto mirano a fornire un sostegno al reddito dei lavoratori dipendenti e a mantenere i rapporti di lavoro in essere. </w:t>
      </w:r>
    </w:p>
    <w:p>
      <w:pPr>
        <w:pStyle w:val="ManualConsidrant"/>
        <w:rPr>
          <w:noProof/>
        </w:rPr>
      </w:pPr>
      <w:r>
        <w:t>(6)</w:t>
      </w:r>
      <w:r>
        <w:tab/>
      </w:r>
      <w:r>
        <w:rPr>
          <w:noProof/>
        </w:rPr>
        <w:t xml:space="preserve">Le autorità hanno altresì introdotto prestazioni per i lavoratori autonomi, compresi quelli che svolgono un'attività agricola con un'azienda agricola con almeno quattro unità di dimensioni economiche, per un importo di 257 EUR al mese versati durante il periodo di quarantena e i due mesi successivi. Le prestazioni per i lavoratori autonomi possono essere considerate una misura analoga ai regimi di riduzione dell'orario lavorativo di cui al regolamento (UE) 2020/672, in quanto mirano a proteggere i lavoratori autonomi o categorie simili di lavoratori dalla riduzione o dalla perdita di reddito. </w:t>
      </w:r>
    </w:p>
    <w:p>
      <w:pPr>
        <w:pStyle w:val="ManualConsidrant"/>
        <w:rPr>
          <w:noProof/>
        </w:rPr>
      </w:pPr>
      <w:r>
        <w:t>(7)</w:t>
      </w:r>
      <w:r>
        <w:tab/>
      </w:r>
      <w:r>
        <w:rPr>
          <w:noProof/>
        </w:rPr>
        <w:t>Infine, sono state introdotte prestazioni per i lavoratori autonomi che svolgono un'attività agricola con un'azienda agricola con meno di quattro unità di dimensioni economiche, che non rientravano nell'ambito di applicazione della misura di cui al considerando 6. La misura consiste in un versamento una tantum di 200 EUR per i piccoli agricoltori che non avevano un'altra occupazione. Per i piccoli agricoltori che, in aggiunta alla loro attività agricola autonoma, esercitavano un'attività subordinata senza guadagnare più del salario minimo, la misura consiste in un versamento di 200 EUR per ciascuno dei tre mesi di quarantena e per il periodo dello stato di emergenza. Tale misura può essere considerata analoga ai regimi di riduzione dell'orario lavorativo di cui al regolamento (UE) 2020/672, in quanto mira a proteggere i lavoratori autonomi o categorie simili di lavoratori dalla riduzione o dalla perdita di reddito.</w:t>
      </w:r>
    </w:p>
    <w:p>
      <w:pPr>
        <w:pStyle w:val="ManualConsidrant"/>
        <w:rPr>
          <w:noProof/>
        </w:rPr>
      </w:pPr>
      <w:r>
        <w:t>(8)</w:t>
      </w:r>
      <w:r>
        <w:tab/>
      </w:r>
      <w:r>
        <w:rPr>
          <w:noProof/>
        </w:rPr>
        <w:t>La Lituania soddisfa le condizioni per richiedere l'assistenza finanziaria di cui all'articolo 3 del regolamento (UE) 2020/672. La Lituania ha fornito alla Commissione le opportune evidenze del fatto che la spesa pubblica effettiva e programmata è aumentata di 746 660 000 EUR dal 1º febbraio 2020 a causa delle misure nazionali adottate per affrontare gli effetti socioeconomici dell'epidemia di COVID-19. Ciò costituisce un aumento repentino e severo perché le nuove misure apportano benefici a una parte significativa delle imprese e della forza lavoro in Lituania. La Lituania intende finanziare 144 350 000 EUR dell'aumento della spesa mediante fondi dell'Unione.</w:t>
      </w:r>
    </w:p>
    <w:p>
      <w:pPr>
        <w:pStyle w:val="ManualConsidrant"/>
        <w:rPr>
          <w:noProof/>
        </w:rPr>
      </w:pPr>
      <w:r>
        <w:t>(9)</w:t>
      </w:r>
      <w:r>
        <w:tab/>
      </w:r>
      <w:r>
        <w:rPr>
          <w:noProof/>
        </w:rPr>
        <w:t xml:space="preserve">La Commissione, conformemente all'articolo 6 del regolamento (UE) 2020/672, ha consultato la Lituania e ha verificato l'aumento repentino e severo della spesa pubblica effettiva e programmata direttamente connessa a regimi di riduzione dell'orario lavorativo e a misure analoghe. </w:t>
      </w:r>
    </w:p>
    <w:p>
      <w:pPr>
        <w:pStyle w:val="ManualConsidrant"/>
        <w:rPr>
          <w:noProof/>
        </w:rPr>
      </w:pPr>
      <w:r>
        <w:t>(10)</w:t>
      </w:r>
      <w:r>
        <w:tab/>
      </w:r>
      <w:r>
        <w:rPr>
          <w:noProof/>
        </w:rPr>
        <w:t>È pertanto opportuno fornire assistenza finanziaria per aiutare la Lituania a far fronte agli effetti socioeconomici delle gravi perturbazioni economiche causate dall'epidemia di COVID-19.</w:t>
      </w:r>
    </w:p>
    <w:p>
      <w:pPr>
        <w:pStyle w:val="ManualConsidrant"/>
        <w:rPr>
          <w:noProof/>
        </w:rPr>
      </w:pPr>
      <w:r>
        <w:t>(11)</w:t>
      </w:r>
      <w:r>
        <w:tab/>
      </w:r>
      <w:r>
        <w:rPr>
          <w:noProof/>
        </w:rPr>
        <w:t xml:space="preserve">La presente decisione non dovrebbe pregiudicare l'esito di eventuali procedimenti in materia di distorsioni del funzionamento del mercato interno, che potrebbero essere in </w:t>
      </w:r>
      <w:r>
        <w:rPr>
          <w:noProof/>
        </w:rPr>
        <w:lastRenderedPageBreak/>
        <w:t>particolare promossi a norma degli articoli 107 e 108 TFUE. Essa non dispensa gli Stati membri dall'obbligo di comunicare alla Commissione i casi di potenziali aiuti di Stato a norma dell'articolo 108 TFUE.</w:t>
      </w:r>
    </w:p>
    <w:p>
      <w:pPr>
        <w:pStyle w:val="ManualConsidrant"/>
        <w:rPr>
          <w:noProof/>
        </w:rPr>
      </w:pPr>
      <w:r>
        <w:t>(12)</w:t>
      </w:r>
      <w:r>
        <w:tab/>
      </w:r>
      <w:r>
        <w:rPr>
          <w:noProof/>
        </w:rPr>
        <w:t>È opportuno che la Lituania informi periodicamente la Commissione in merito all'esecuzione delle spese pubbliche programmate, affinché quest'ultima possa valutare in quale misura lo Stato membro abbia dato esecuzione a tali spese.</w:t>
      </w:r>
    </w:p>
    <w:p>
      <w:pPr>
        <w:pStyle w:val="ManualConsidrant"/>
        <w:rPr>
          <w:noProof/>
        </w:rPr>
      </w:pPr>
      <w:r>
        <w:t>(13)</w:t>
      </w:r>
      <w:r>
        <w:tab/>
      </w:r>
      <w:r>
        <w:rPr>
          <w:noProof/>
        </w:rPr>
        <w:t>La decisione di fornire assistenza finanziaria è stata adottata tenendo conto delle esigenze attuali e attese della Lituania e delle richieste di assistenza finanziaria a norma del regolamento (UE) 2020/672 già presentate o programmate da altri Stati membri, applicando nel contempo i principi di parità di trattamento, solidarietà, proporzionalità e trasparenza,</w:t>
      </w:r>
    </w:p>
    <w:p>
      <w:pPr>
        <w:pStyle w:val="Formuledadoption"/>
        <w:rPr>
          <w:noProof/>
        </w:rPr>
      </w:pPr>
      <w:r>
        <w:rPr>
          <w:noProof/>
        </w:rPr>
        <w:t xml:space="preserve">HA ADOTTATO LA PRESENTE DECISIONE: </w:t>
      </w:r>
    </w:p>
    <w:p>
      <w:pPr>
        <w:pStyle w:val="Titrearticle"/>
        <w:rPr>
          <w:noProof/>
        </w:rPr>
      </w:pPr>
      <w:r>
        <w:rPr>
          <w:noProof/>
        </w:rPr>
        <w:t>Articolo 1</w:t>
      </w:r>
    </w:p>
    <w:p>
      <w:pPr>
        <w:rPr>
          <w:i/>
          <w:noProof/>
        </w:rPr>
      </w:pPr>
      <w:r>
        <w:rPr>
          <w:noProof/>
        </w:rPr>
        <w:t>La Lituania soddisfa le condizioni di cui all'articolo 3 del regolamento (UE) 2020/672.</w:t>
      </w:r>
    </w:p>
    <w:p>
      <w:pPr>
        <w:pStyle w:val="Titrearticle"/>
        <w:rPr>
          <w:noProof/>
        </w:rPr>
      </w:pPr>
      <w:r>
        <w:rPr>
          <w:noProof/>
        </w:rPr>
        <w:t>Articolo 2</w:t>
      </w:r>
    </w:p>
    <w:p>
      <w:pPr>
        <w:pStyle w:val="ManualNumPar1"/>
        <w:rPr>
          <w:noProof/>
        </w:rPr>
      </w:pPr>
      <w:r>
        <w:t>1.</w:t>
      </w:r>
      <w:r>
        <w:tab/>
      </w:r>
      <w:r>
        <w:rPr>
          <w:noProof/>
        </w:rPr>
        <w:t>L'Unione mette a disposizione della Lituania un prestito dell'importo massimo di 602 310 000 EUR. La scadenza media massima del prestito è di 15 anni.</w:t>
      </w:r>
    </w:p>
    <w:p>
      <w:pPr>
        <w:pStyle w:val="ManualNumPar1"/>
        <w:rPr>
          <w:noProof/>
        </w:rPr>
      </w:pPr>
      <w:r>
        <w:t>2.</w:t>
      </w:r>
      <w:r>
        <w:tab/>
      </w:r>
      <w:r>
        <w:rPr>
          <w:noProof/>
        </w:rPr>
        <w:t xml:space="preserve">Il periodo di disponibilità dell'assistenza finanziaria concessa dalla presente decisione è di 18 mesi a decorrere dal primo giorno dopo l'entrata in vigore della stessa. </w:t>
      </w:r>
    </w:p>
    <w:p>
      <w:pPr>
        <w:pStyle w:val="ManualNumPar1"/>
        <w:rPr>
          <w:noProof/>
        </w:rPr>
      </w:pPr>
      <w:r>
        <w:t>3.</w:t>
      </w:r>
      <w:r>
        <w:tab/>
      </w:r>
      <w:r>
        <w:rPr>
          <w:noProof/>
        </w:rPr>
        <w:t xml:space="preserve">La Commissione eroga l'assistenza finanziaria dell'Unione a favore della Lituania al massimo in otto rate. Una rata può essere versata in una o più tranche. Le scadenze delle tranche della prima rata possono essere superiori alla scadenza media massima di cui al paragrafo 1. In tal caso le scadenze delle tranche successive sono fissate in modo che la scadenza media massima di cui al paragrafo 1 sia rispettata una volta che tutte le rate siano state erogate. </w:t>
      </w:r>
    </w:p>
    <w:p>
      <w:pPr>
        <w:pStyle w:val="ManualNumPar1"/>
        <w:rPr>
          <w:noProof/>
        </w:rPr>
      </w:pPr>
      <w:r>
        <w:t>4.</w:t>
      </w:r>
      <w:r>
        <w:tab/>
      </w:r>
      <w:r>
        <w:rPr>
          <w:noProof/>
        </w:rPr>
        <w:t xml:space="preserve">La prima rata è erogata con riserva dell'entrata in vigore dell'accordo sul prestito di cui all'articolo 8, paragrafo 2, del regolamento (UE) 2020/672. </w:t>
      </w:r>
    </w:p>
    <w:p>
      <w:pPr>
        <w:pStyle w:val="ManualNumPar1"/>
        <w:rPr>
          <w:noProof/>
        </w:rPr>
      </w:pPr>
      <w:r>
        <w:t>5.</w:t>
      </w:r>
      <w:r>
        <w:tab/>
      </w:r>
      <w:r>
        <w:rPr>
          <w:noProof/>
        </w:rPr>
        <w:t xml:space="preserve">La Lituania paga, per ciascuna rata, i costi del finanziamento dell'Unione di cui all'articolo 4 del regolamento (UE) 2020/672, oltre a eventuali commissioni, costi e spese derivanti dal finanziamento in cui incorra l'Unione. </w:t>
      </w:r>
    </w:p>
    <w:p>
      <w:pPr>
        <w:pStyle w:val="ManualNumPar1"/>
        <w:rPr>
          <w:noProof/>
        </w:rPr>
      </w:pPr>
      <w:r>
        <w:t>6.</w:t>
      </w:r>
      <w:r>
        <w:tab/>
      </w:r>
      <w:r>
        <w:rPr>
          <w:noProof/>
        </w:rPr>
        <w:t xml:space="preserve">La Commissione decide in merito all'importo e all'erogazione delle rate, nonché all'importo delle tranche. </w:t>
      </w:r>
    </w:p>
    <w:p>
      <w:pPr>
        <w:pStyle w:val="Titrearticle"/>
        <w:rPr>
          <w:noProof/>
        </w:rPr>
      </w:pPr>
      <w:r>
        <w:rPr>
          <w:noProof/>
        </w:rPr>
        <w:t xml:space="preserve">Articolo 3 </w:t>
      </w:r>
    </w:p>
    <w:p>
      <w:pPr>
        <w:rPr>
          <w:noProof/>
        </w:rPr>
      </w:pPr>
      <w:r>
        <w:rPr>
          <w:noProof/>
        </w:rPr>
        <w:t>La Lituania può finanziare le seguenti misure:</w:t>
      </w:r>
    </w:p>
    <w:p>
      <w:pPr>
        <w:pStyle w:val="Point0"/>
        <w:rPr>
          <w:noProof/>
        </w:rPr>
      </w:pPr>
      <w:r>
        <w:rPr>
          <w:noProof/>
        </w:rPr>
        <w:t>a)</w:t>
      </w:r>
      <w:r>
        <w:rPr>
          <w:noProof/>
        </w:rPr>
        <w:tab/>
        <w:t xml:space="preserve">sovvenzioni salariali durante e dopo il periodo di inattività, secondo quanto previsto dall'articolo 41 della legge sull'occupazione n. XII-2470; </w:t>
      </w:r>
    </w:p>
    <w:p>
      <w:pPr>
        <w:pStyle w:val="Point0"/>
        <w:rPr>
          <w:noProof/>
        </w:rPr>
      </w:pPr>
      <w:r>
        <w:rPr>
          <w:noProof/>
        </w:rPr>
        <w:t>b)</w:t>
      </w:r>
      <w:r>
        <w:rPr>
          <w:noProof/>
        </w:rPr>
        <w:tab/>
        <w:t xml:space="preserve">prestazioni per i lavoratori autonomi, secondo quanto previsto dall'articolo </w:t>
      </w:r>
      <w:r>
        <w:rPr>
          <w:bCs/>
          <w:caps/>
          <w:noProof/>
        </w:rPr>
        <w:t>5-1</w:t>
      </w:r>
      <w:r>
        <w:rPr>
          <w:noProof/>
        </w:rPr>
        <w:t xml:space="preserve"> della legge sull'occupazione n. XII-2470; </w:t>
      </w:r>
    </w:p>
    <w:p>
      <w:pPr>
        <w:pStyle w:val="Point0"/>
        <w:rPr>
          <w:noProof/>
        </w:rPr>
      </w:pPr>
      <w:r>
        <w:rPr>
          <w:noProof/>
        </w:rPr>
        <w:t>c)</w:t>
      </w:r>
      <w:r>
        <w:rPr>
          <w:noProof/>
        </w:rPr>
        <w:tab/>
        <w:t xml:space="preserve">prestazioni per i lavoratori autonomi che svolgono un'attività agricola, secondo quanto previsto dall'articolo </w:t>
      </w:r>
      <w:r>
        <w:rPr>
          <w:bCs/>
          <w:caps/>
          <w:noProof/>
        </w:rPr>
        <w:t>5-2</w:t>
      </w:r>
      <w:r>
        <w:rPr>
          <w:noProof/>
        </w:rPr>
        <w:t xml:space="preserve"> della legge sull'occupazione XII-2470.</w:t>
      </w:r>
    </w:p>
    <w:p>
      <w:pPr>
        <w:pStyle w:val="Titrearticle"/>
        <w:rPr>
          <w:noProof/>
        </w:rPr>
      </w:pPr>
      <w:r>
        <w:rPr>
          <w:noProof/>
        </w:rPr>
        <w:lastRenderedPageBreak/>
        <w:t>Articolo 4</w:t>
      </w:r>
    </w:p>
    <w:p>
      <w:pPr>
        <w:rPr>
          <w:noProof/>
        </w:rPr>
      </w:pPr>
      <w:r>
        <w:rPr>
          <w:noProof/>
        </w:rPr>
        <w:t>La Lituania informa la Commissione, entro il [</w:t>
      </w:r>
      <w:r>
        <w:rPr>
          <w:i/>
          <w:noProof/>
        </w:rPr>
        <w:t>DATA:</w:t>
      </w:r>
      <w:r>
        <w:rPr>
          <w:noProof/>
        </w:rPr>
        <w:t xml:space="preserve"> </w:t>
      </w:r>
      <w:r>
        <w:rPr>
          <w:i/>
          <w:noProof/>
        </w:rPr>
        <w:t>6 mesi dopo la data di pubblicazione della presente decisione</w:t>
      </w:r>
      <w:r>
        <w:rPr>
          <w:noProof/>
        </w:rPr>
        <w:t>] e successivamente ogni sei mesi, in merito all'esecuzione delle spese pubbliche programmate fino alla loro completa esecuzione.</w:t>
      </w:r>
    </w:p>
    <w:p>
      <w:pPr>
        <w:pStyle w:val="Titrearticle"/>
        <w:rPr>
          <w:noProof/>
        </w:rPr>
      </w:pPr>
      <w:r>
        <w:rPr>
          <w:noProof/>
        </w:rPr>
        <w:t>Articolo 5</w:t>
      </w:r>
    </w:p>
    <w:p>
      <w:pPr>
        <w:keepNext/>
        <w:keepLines/>
        <w:rPr>
          <w:noProof/>
        </w:rPr>
      </w:pPr>
      <w:r>
        <w:rPr>
          <w:noProof/>
          <w:color w:val="000000"/>
        </w:rPr>
        <w:t>La Repubblica di Lituania è destinataria della presente decisione.</w:t>
      </w:r>
    </w:p>
    <w:p>
      <w:pPr>
        <w:pStyle w:val="Titrearticle"/>
        <w:rPr>
          <w:noProof/>
        </w:rPr>
      </w:pPr>
      <w:r>
        <w:rPr>
          <w:noProof/>
        </w:rPr>
        <w:t>Articolo 6</w:t>
      </w:r>
    </w:p>
    <w:p>
      <w:pPr>
        <w:rPr>
          <w:noProof/>
        </w:rPr>
      </w:pPr>
      <w:r>
        <w:rPr>
          <w:noProof/>
        </w:rPr>
        <w:t xml:space="preserve">La presente decisione è pubblicata nella </w:t>
      </w:r>
      <w:r>
        <w:rPr>
          <w:i/>
          <w:noProof/>
        </w:rPr>
        <w:t>Gazzetta ufficiale dell'Unione europea</w:t>
      </w:r>
      <w:r>
        <w:rPr>
          <w:noProof/>
        </w:rPr>
        <w:t xml:space="preserve">. </w:t>
      </w:r>
    </w:p>
    <w:p>
      <w:pPr>
        <w:pStyle w:val="Fait"/>
        <w:rPr>
          <w:noProof/>
        </w:rPr>
      </w:pPr>
      <w:r>
        <w:t>Fatto a Bruxelles, il</w:t>
      </w:r>
    </w:p>
    <w:p>
      <w:pPr>
        <w:pStyle w:val="Institutionquisigne"/>
        <w:rPr>
          <w:noProof/>
        </w:rPr>
      </w:pPr>
      <w:r>
        <w:rPr>
          <w:noProof/>
        </w:rPr>
        <w:tab/>
        <w:t>Per il Consiglio</w:t>
      </w:r>
    </w:p>
    <w:p>
      <w:pPr>
        <w:pStyle w:val="Personnequisigne"/>
        <w:rPr>
          <w:noProof/>
        </w:rPr>
      </w:pPr>
      <w:r>
        <w:rPr>
          <w:noProof/>
        </w:rPr>
        <w:tab/>
        <w:t>Il presidente</w:t>
      </w:r>
    </w:p>
    <w:sect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IT</w:t>
    </w:r>
    <w:r>
      <w:rPr>
        <w:rFonts w:ascii="Arial" w:hAnsi="Arial" w:cs="Arial"/>
        <w:b/>
        <w:sz w:val="48"/>
      </w:rPr>
      <w:tab/>
    </w:r>
    <w:r>
      <w:rPr>
        <w:rFonts w:ascii="Arial" w:hAnsi="Arial" w:cs="Arial"/>
        <w:b/>
        <w:sz w:val="48"/>
      </w:rPr>
      <w:tab/>
    </w:r>
    <w:r>
      <w:tab/>
    </w:r>
    <w:r>
      <w:rPr>
        <w:rFonts w:ascii="Arial" w:hAnsi="Arial" w:cs="Arial"/>
        <w:b/>
        <w:sz w:val="48"/>
      </w:rPr>
      <w:t>IT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IT</w:t>
    </w:r>
    <w:r>
      <w:rPr>
        <w:rFonts w:ascii="Arial" w:hAnsi="Arial" w:cs="Arial"/>
        <w:b/>
        <w:sz w:val="48"/>
      </w:rPr>
      <w:tab/>
    </w:r>
    <w:r>
      <w:fldChar w:fldCharType="begin"/>
    </w:r>
    <w:r>
      <w:instrText xml:space="preserve"> PAGE  \* MERGEFORMAT </w:instrText>
    </w:r>
    <w:r>
      <w:fldChar w:fldCharType="separate"/>
    </w:r>
    <w:r>
      <w:rPr>
        <w:noProof/>
      </w:rPr>
      <w:t>7</w:t>
    </w:r>
    <w:r>
      <w:fldChar w:fldCharType="end"/>
    </w:r>
    <w:r>
      <w:tab/>
    </w:r>
    <w:r>
      <w:tab/>
    </w:r>
    <w:r>
      <w:rPr>
        <w:rFonts w:ascii="Arial" w:hAnsi="Arial" w:cs="Arial"/>
        <w:b/>
        <w:sz w:val="48"/>
      </w:rPr>
      <w:t>IT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pPr>
      <w:r>
        <w:rPr>
          <w:rStyle w:val="FootnoteReference"/>
        </w:rPr>
        <w:footnoteRef/>
      </w:r>
      <w:r>
        <w:tab/>
        <w:t>GU L 159 del 20.5.2020, pag.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9C8C2160"/>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A3AC808A"/>
    <w:lvl w:ilvl="0">
      <w:start w:val="1"/>
      <w:numFmt w:val="decimal"/>
      <w:pStyle w:val="ListNumber3"/>
      <w:lvlText w:val="%1."/>
      <w:lvlJc w:val="left"/>
      <w:pPr>
        <w:tabs>
          <w:tab w:val="num" w:pos="926"/>
        </w:tabs>
        <w:ind w:left="926" w:hanging="360"/>
      </w:pPr>
    </w:lvl>
  </w:abstractNum>
  <w:abstractNum w:abstractNumId="2">
    <w:nsid w:val="FFFFFF7F"/>
    <w:multiLevelType w:val="singleLevel"/>
    <w:tmpl w:val="B816A916"/>
    <w:lvl w:ilvl="0">
      <w:start w:val="1"/>
      <w:numFmt w:val="decimal"/>
      <w:pStyle w:val="ListNumber2"/>
      <w:lvlText w:val="%1."/>
      <w:lvlJc w:val="left"/>
      <w:pPr>
        <w:tabs>
          <w:tab w:val="num" w:pos="643"/>
        </w:tabs>
        <w:ind w:left="643" w:hanging="360"/>
      </w:pPr>
    </w:lvl>
  </w:abstractNum>
  <w:abstractNum w:abstractNumId="3">
    <w:nsid w:val="FFFFFF81"/>
    <w:multiLevelType w:val="singleLevel"/>
    <w:tmpl w:val="4E2450C8"/>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BAE2146C"/>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B6C06346"/>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1922760C"/>
    <w:lvl w:ilvl="0">
      <w:start w:val="1"/>
      <w:numFmt w:val="decimal"/>
      <w:pStyle w:val="ListNumber"/>
      <w:lvlText w:val="%1."/>
      <w:lvlJc w:val="left"/>
      <w:pPr>
        <w:tabs>
          <w:tab w:val="num" w:pos="360"/>
        </w:tabs>
        <w:ind w:left="360" w:hanging="360"/>
      </w:pPr>
    </w:lvl>
  </w:abstractNum>
  <w:abstractNum w:abstractNumId="7">
    <w:nsid w:val="FFFFFF89"/>
    <w:multiLevelType w:val="singleLevel"/>
    <w:tmpl w:val="C86A2B76"/>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16"/>
    <w:lvlOverride w:ilvl="0">
      <w:startOverride w:val="1"/>
    </w:lvlOverride>
  </w:num>
  <w:num w:numId="6">
    <w:abstractNumId w:val="21"/>
    <w:lvlOverride w:ilvl="0">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
  </w:num>
  <w:num w:numId="10">
    <w:abstractNumId w:val="1"/>
  </w:num>
  <w:num w:numId="11">
    <w:abstractNumId w:val="0"/>
  </w:num>
  <w:num w:numId="12">
    <w:abstractNumId w:val="18"/>
  </w:num>
  <w:num w:numId="13">
    <w:abstractNumId w:val="12"/>
  </w:num>
  <w:num w:numId="14">
    <w:abstractNumId w:val="20"/>
  </w:num>
  <w:num w:numId="15">
    <w:abstractNumId w:val="11"/>
  </w:num>
  <w:num w:numId="16">
    <w:abstractNumId w:val="13"/>
  </w:num>
  <w:num w:numId="17">
    <w:abstractNumId w:val="9"/>
  </w:num>
  <w:num w:numId="18">
    <w:abstractNumId w:val="19"/>
  </w:num>
  <w:num w:numId="19">
    <w:abstractNumId w:val="8"/>
  </w:num>
  <w:num w:numId="20">
    <w:abstractNumId w:val="14"/>
  </w:num>
  <w:num w:numId="21">
    <w:abstractNumId w:val="16"/>
  </w:num>
  <w:num w:numId="22">
    <w:abstractNumId w:val="17"/>
  </w:num>
  <w:num w:numId="23">
    <w:abstractNumId w:val="10"/>
  </w:num>
  <w:num w:numId="24">
    <w:abstractNumId w:val="15"/>
  </w:num>
  <w:num w:numId="25">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revisionView w:markup="0"/>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0-09-07 11:31:49"/>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0"/>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834E03E3-3106-4343-9EE7-C7198D2A25EC"/>
    <w:docVar w:name="LW_COVERPAGE_TYPE" w:val="1"/>
    <w:docVar w:name="LW_CROSSREFERENCE" w:val="&lt;UNUSED&gt;"/>
    <w:docVar w:name="LW_DocType" w:val="COM"/>
    <w:docVar w:name="LW_EMISSION" w:val="24.8.2020"/>
    <w:docVar w:name="LW_EMISSION_ISODATE" w:val="2020-08-24"/>
    <w:docVar w:name="LW_EMISSION_LOCATION" w:val="BRX"/>
    <w:docVar w:name="LW_EMISSION_PREFIX" w:val="Bruxelles, "/>
    <w:docVar w:name="LW_EMISSION_SUFFIX" w:val=" "/>
    <w:docVar w:name="LW_ID_DOCMODEL" w:val="SJ-020"/>
    <w:docVar w:name="LW_ID_DOCSIGNATURE" w:val="SJ-020"/>
    <w:docVar w:name="LW_ID_DOCSTRUCTURE" w:val="COM/PL/ORG"/>
    <w:docVar w:name="LW_ID_DOCTYPE" w:val="SJ-020"/>
    <w:docVar w:name="LW_ID_EXP.MOTIFS.NEW" w:val="EM_PL_"/>
    <w:docVar w:name="LW_ID_STATUT" w:val="SJ-020"/>
    <w:docVar w:name="LW_INTERETEEE.CP" w:val="&lt;UNUSED&gt;"/>
    <w:docVar w:name="LW_LANGUE" w:val="IT"/>
    <w:docVar w:name="LW_LEVEL_OF_SENSITIVITY" w:val="Standard treatment"/>
    <w:docVar w:name="LW_NOM.INST" w:val="COMMISSIONE EUROPEA"/>
    <w:docVar w:name="LW_NOM.INST_JOINTDOC" w:val="&lt;EMPTY&gt;"/>
    <w:docVar w:name="LW_PART_NBR" w:val="1"/>
    <w:docVar w:name="LW_PART_NBR_TOTAL" w:val="1"/>
    <w:docVar w:name="LW_REF.II.NEW.CP" w:val="NLE"/>
    <w:docVar w:name="LW_REF.II.NEW.CP_NUMBER" w:val="0216"/>
    <w:docVar w:name="LW_REF.II.NEW.CP_YEAR" w:val="2020"/>
    <w:docVar w:name="LW_REF.INST.NEW" w:val="COM"/>
    <w:docVar w:name="LW_REF.INST.NEW_ADOPTED" w:val="final"/>
    <w:docVar w:name="LW_REF.INST.NEW_TEXT" w:val="(2020) 463"/>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ta di"/>
    <w:docVar w:name="LW_SUPERTITRE" w:val="&lt;UNUSED&gt;"/>
    <w:docVar w:name="LW_TITRE.OBJ.CP" w:val="che concede alla Lituania sostegno temporaneo a norma del regolamento (UE) 2020/672 del Consiglio per attenuare i rischi di disoccupazione nello stato di emergenza a seguito dell'epidemia di COVID\u8208?19"/>
    <w:docVar w:name="LW_TYPE.DOC.CP" w:val="DECISIONE DI ESECUZIONE DEL CONSIGLIO"/>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it-IT"/>
    </w:rPr>
  </w:style>
  <w:style w:type="paragraph" w:styleId="Heading1">
    <w:name w:val="heading 1"/>
    <w:basedOn w:val="Normal"/>
    <w:next w:val="Text1"/>
    <w:link w:val="Heading1Char"/>
    <w:uiPriority w:val="9"/>
    <w:qFormat/>
    <w:pPr>
      <w:keepNext/>
      <w:numPr>
        <w:numId w:val="18"/>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8"/>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8"/>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8"/>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it-I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it-IT"/>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it-IT"/>
    </w:r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NormalWeb">
    <w:name w:val="Normal (Web)"/>
    <w:basedOn w:val="Normal"/>
    <w:uiPriority w:val="99"/>
    <w:semiHidden/>
    <w:unhideWhenUsed/>
    <w:pPr>
      <w:spacing w:before="100" w:beforeAutospacing="1" w:after="100" w:afterAutospacing="1"/>
      <w:jc w:val="left"/>
    </w:pPr>
    <w:rPr>
      <w:rFonts w:eastAsia="Times New Roman"/>
      <w:szCs w:val="24"/>
      <w:lang w:eastAsia="en-GB"/>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8"/>
      </w:numPr>
      <w:contextualSpacing/>
    </w:pPr>
  </w:style>
  <w:style w:type="paragraph" w:styleId="ListNumber2">
    <w:name w:val="List Number 2"/>
    <w:basedOn w:val="Normal"/>
    <w:uiPriority w:val="99"/>
    <w:semiHidden/>
    <w:unhideWhenUsed/>
    <w:pPr>
      <w:numPr>
        <w:numId w:val="9"/>
      </w:numPr>
      <w:contextualSpacing/>
    </w:pPr>
  </w:style>
  <w:style w:type="paragraph" w:styleId="ListNumber3">
    <w:name w:val="List Number 3"/>
    <w:basedOn w:val="Normal"/>
    <w:uiPriority w:val="99"/>
    <w:semiHidden/>
    <w:unhideWhenUsed/>
    <w:pPr>
      <w:numPr>
        <w:numId w:val="10"/>
      </w:numPr>
      <w:contextualSpacing/>
    </w:pPr>
  </w:style>
  <w:style w:type="paragraph" w:styleId="ListNumber4">
    <w:name w:val="List Number 4"/>
    <w:basedOn w:val="Normal"/>
    <w:uiPriority w:val="99"/>
    <w:semiHidden/>
    <w:unhideWhenUsed/>
    <w:pPr>
      <w:numPr>
        <w:numId w:val="11"/>
      </w:numPr>
      <w:contextualSpacing/>
    </w:p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it-IT"/>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it-IT"/>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2"/>
      </w:numPr>
    </w:pPr>
  </w:style>
  <w:style w:type="paragraph" w:customStyle="1" w:styleId="Tiret1">
    <w:name w:val="Tiret 1"/>
    <w:basedOn w:val="Point1"/>
    <w:pPr>
      <w:numPr>
        <w:numId w:val="13"/>
      </w:numPr>
    </w:pPr>
  </w:style>
  <w:style w:type="paragraph" w:customStyle="1" w:styleId="Tiret2">
    <w:name w:val="Tiret 2"/>
    <w:basedOn w:val="Point2"/>
    <w:pPr>
      <w:numPr>
        <w:numId w:val="14"/>
      </w:numPr>
    </w:pPr>
  </w:style>
  <w:style w:type="paragraph" w:customStyle="1" w:styleId="Tiret3">
    <w:name w:val="Tiret 3"/>
    <w:basedOn w:val="Point3"/>
    <w:pPr>
      <w:numPr>
        <w:numId w:val="15"/>
      </w:numPr>
    </w:pPr>
  </w:style>
  <w:style w:type="paragraph" w:customStyle="1" w:styleId="Tiret4">
    <w:name w:val="Tiret 4"/>
    <w:basedOn w:val="Point4"/>
    <w:pPr>
      <w:numPr>
        <w:numId w:val="16"/>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7"/>
      </w:numPr>
    </w:pPr>
  </w:style>
  <w:style w:type="paragraph" w:customStyle="1" w:styleId="NumPar2">
    <w:name w:val="NumPar 2"/>
    <w:basedOn w:val="Normal"/>
    <w:next w:val="Text1"/>
    <w:pPr>
      <w:numPr>
        <w:ilvl w:val="1"/>
        <w:numId w:val="17"/>
      </w:numPr>
    </w:pPr>
  </w:style>
  <w:style w:type="paragraph" w:customStyle="1" w:styleId="NumPar3">
    <w:name w:val="NumPar 3"/>
    <w:basedOn w:val="Normal"/>
    <w:next w:val="Text1"/>
    <w:pPr>
      <w:numPr>
        <w:ilvl w:val="2"/>
        <w:numId w:val="17"/>
      </w:numPr>
    </w:pPr>
  </w:style>
  <w:style w:type="paragraph" w:customStyle="1" w:styleId="NumPar4">
    <w:name w:val="NumPar 4"/>
    <w:basedOn w:val="Normal"/>
    <w:next w:val="Text1"/>
    <w:pPr>
      <w:numPr>
        <w:ilvl w:val="3"/>
        <w:numId w:val="17"/>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9"/>
      </w:numPr>
    </w:pPr>
  </w:style>
  <w:style w:type="paragraph" w:customStyle="1" w:styleId="Point1number">
    <w:name w:val="Point 1 (number)"/>
    <w:basedOn w:val="Normal"/>
    <w:pPr>
      <w:numPr>
        <w:ilvl w:val="2"/>
        <w:numId w:val="19"/>
      </w:numPr>
    </w:pPr>
  </w:style>
  <w:style w:type="paragraph" w:customStyle="1" w:styleId="Point2number">
    <w:name w:val="Point 2 (number)"/>
    <w:basedOn w:val="Normal"/>
    <w:pPr>
      <w:numPr>
        <w:ilvl w:val="4"/>
        <w:numId w:val="19"/>
      </w:numPr>
    </w:pPr>
  </w:style>
  <w:style w:type="paragraph" w:customStyle="1" w:styleId="Point3number">
    <w:name w:val="Point 3 (number)"/>
    <w:basedOn w:val="Normal"/>
    <w:pPr>
      <w:numPr>
        <w:ilvl w:val="6"/>
        <w:numId w:val="19"/>
      </w:numPr>
    </w:pPr>
  </w:style>
  <w:style w:type="paragraph" w:customStyle="1" w:styleId="Point0letter">
    <w:name w:val="Point 0 (letter)"/>
    <w:basedOn w:val="Normal"/>
    <w:pPr>
      <w:numPr>
        <w:ilvl w:val="1"/>
        <w:numId w:val="19"/>
      </w:numPr>
    </w:pPr>
  </w:style>
  <w:style w:type="paragraph" w:customStyle="1" w:styleId="Point1letter">
    <w:name w:val="Point 1 (letter)"/>
    <w:basedOn w:val="Normal"/>
    <w:pPr>
      <w:numPr>
        <w:ilvl w:val="3"/>
        <w:numId w:val="19"/>
      </w:numPr>
    </w:pPr>
  </w:style>
  <w:style w:type="paragraph" w:customStyle="1" w:styleId="Point2letter">
    <w:name w:val="Point 2 (letter)"/>
    <w:basedOn w:val="Normal"/>
    <w:pPr>
      <w:numPr>
        <w:ilvl w:val="5"/>
        <w:numId w:val="19"/>
      </w:numPr>
    </w:pPr>
  </w:style>
  <w:style w:type="paragraph" w:customStyle="1" w:styleId="Point3letter">
    <w:name w:val="Point 3 (letter)"/>
    <w:basedOn w:val="Normal"/>
    <w:pPr>
      <w:numPr>
        <w:ilvl w:val="7"/>
        <w:numId w:val="19"/>
      </w:numPr>
    </w:pPr>
  </w:style>
  <w:style w:type="paragraph" w:customStyle="1" w:styleId="Point4letter">
    <w:name w:val="Point 4 (letter)"/>
    <w:basedOn w:val="Normal"/>
    <w:pPr>
      <w:numPr>
        <w:ilvl w:val="8"/>
        <w:numId w:val="19"/>
      </w:numPr>
    </w:pPr>
  </w:style>
  <w:style w:type="paragraph" w:customStyle="1" w:styleId="Bullet0">
    <w:name w:val="Bullet 0"/>
    <w:basedOn w:val="Normal"/>
    <w:pPr>
      <w:numPr>
        <w:numId w:val="20"/>
      </w:numPr>
    </w:pPr>
  </w:style>
  <w:style w:type="paragraph" w:customStyle="1" w:styleId="Bullet1">
    <w:name w:val="Bullet 1"/>
    <w:basedOn w:val="Normal"/>
    <w:pPr>
      <w:numPr>
        <w:numId w:val="21"/>
      </w:numPr>
    </w:pPr>
  </w:style>
  <w:style w:type="paragraph" w:customStyle="1" w:styleId="Bullet2">
    <w:name w:val="Bullet 2"/>
    <w:basedOn w:val="Normal"/>
    <w:pPr>
      <w:numPr>
        <w:numId w:val="22"/>
      </w:numPr>
    </w:pPr>
  </w:style>
  <w:style w:type="paragraph" w:customStyle="1" w:styleId="Bullet3">
    <w:name w:val="Bullet 3"/>
    <w:basedOn w:val="Normal"/>
    <w:pPr>
      <w:numPr>
        <w:numId w:val="23"/>
      </w:numPr>
    </w:pPr>
  </w:style>
  <w:style w:type="paragraph" w:customStyle="1" w:styleId="Bullet4">
    <w:name w:val="Bullet 4"/>
    <w:basedOn w:val="Normal"/>
    <w:pPr>
      <w:numPr>
        <w:numId w:val="24"/>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5"/>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it-IT"/>
    </w:rPr>
  </w:style>
  <w:style w:type="paragraph" w:styleId="Heading1">
    <w:name w:val="heading 1"/>
    <w:basedOn w:val="Normal"/>
    <w:next w:val="Text1"/>
    <w:link w:val="Heading1Char"/>
    <w:uiPriority w:val="9"/>
    <w:qFormat/>
    <w:pPr>
      <w:keepNext/>
      <w:numPr>
        <w:numId w:val="18"/>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8"/>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8"/>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8"/>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it-I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it-IT"/>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it-IT"/>
    </w:r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NormalWeb">
    <w:name w:val="Normal (Web)"/>
    <w:basedOn w:val="Normal"/>
    <w:uiPriority w:val="99"/>
    <w:semiHidden/>
    <w:unhideWhenUsed/>
    <w:pPr>
      <w:spacing w:before="100" w:beforeAutospacing="1" w:after="100" w:afterAutospacing="1"/>
      <w:jc w:val="left"/>
    </w:pPr>
    <w:rPr>
      <w:rFonts w:eastAsia="Times New Roman"/>
      <w:szCs w:val="24"/>
      <w:lang w:eastAsia="en-GB"/>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8"/>
      </w:numPr>
      <w:contextualSpacing/>
    </w:pPr>
  </w:style>
  <w:style w:type="paragraph" w:styleId="ListNumber2">
    <w:name w:val="List Number 2"/>
    <w:basedOn w:val="Normal"/>
    <w:uiPriority w:val="99"/>
    <w:semiHidden/>
    <w:unhideWhenUsed/>
    <w:pPr>
      <w:numPr>
        <w:numId w:val="9"/>
      </w:numPr>
      <w:contextualSpacing/>
    </w:pPr>
  </w:style>
  <w:style w:type="paragraph" w:styleId="ListNumber3">
    <w:name w:val="List Number 3"/>
    <w:basedOn w:val="Normal"/>
    <w:uiPriority w:val="99"/>
    <w:semiHidden/>
    <w:unhideWhenUsed/>
    <w:pPr>
      <w:numPr>
        <w:numId w:val="10"/>
      </w:numPr>
      <w:contextualSpacing/>
    </w:pPr>
  </w:style>
  <w:style w:type="paragraph" w:styleId="ListNumber4">
    <w:name w:val="List Number 4"/>
    <w:basedOn w:val="Normal"/>
    <w:uiPriority w:val="99"/>
    <w:semiHidden/>
    <w:unhideWhenUsed/>
    <w:pPr>
      <w:numPr>
        <w:numId w:val="11"/>
      </w:numPr>
      <w:contextualSpacing/>
    </w:p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it-IT"/>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it-IT"/>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2"/>
      </w:numPr>
    </w:pPr>
  </w:style>
  <w:style w:type="paragraph" w:customStyle="1" w:styleId="Tiret1">
    <w:name w:val="Tiret 1"/>
    <w:basedOn w:val="Point1"/>
    <w:pPr>
      <w:numPr>
        <w:numId w:val="13"/>
      </w:numPr>
    </w:pPr>
  </w:style>
  <w:style w:type="paragraph" w:customStyle="1" w:styleId="Tiret2">
    <w:name w:val="Tiret 2"/>
    <w:basedOn w:val="Point2"/>
    <w:pPr>
      <w:numPr>
        <w:numId w:val="14"/>
      </w:numPr>
    </w:pPr>
  </w:style>
  <w:style w:type="paragraph" w:customStyle="1" w:styleId="Tiret3">
    <w:name w:val="Tiret 3"/>
    <w:basedOn w:val="Point3"/>
    <w:pPr>
      <w:numPr>
        <w:numId w:val="15"/>
      </w:numPr>
    </w:pPr>
  </w:style>
  <w:style w:type="paragraph" w:customStyle="1" w:styleId="Tiret4">
    <w:name w:val="Tiret 4"/>
    <w:basedOn w:val="Point4"/>
    <w:pPr>
      <w:numPr>
        <w:numId w:val="16"/>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7"/>
      </w:numPr>
    </w:pPr>
  </w:style>
  <w:style w:type="paragraph" w:customStyle="1" w:styleId="NumPar2">
    <w:name w:val="NumPar 2"/>
    <w:basedOn w:val="Normal"/>
    <w:next w:val="Text1"/>
    <w:pPr>
      <w:numPr>
        <w:ilvl w:val="1"/>
        <w:numId w:val="17"/>
      </w:numPr>
    </w:pPr>
  </w:style>
  <w:style w:type="paragraph" w:customStyle="1" w:styleId="NumPar3">
    <w:name w:val="NumPar 3"/>
    <w:basedOn w:val="Normal"/>
    <w:next w:val="Text1"/>
    <w:pPr>
      <w:numPr>
        <w:ilvl w:val="2"/>
        <w:numId w:val="17"/>
      </w:numPr>
    </w:pPr>
  </w:style>
  <w:style w:type="paragraph" w:customStyle="1" w:styleId="NumPar4">
    <w:name w:val="NumPar 4"/>
    <w:basedOn w:val="Normal"/>
    <w:next w:val="Text1"/>
    <w:pPr>
      <w:numPr>
        <w:ilvl w:val="3"/>
        <w:numId w:val="17"/>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9"/>
      </w:numPr>
    </w:pPr>
  </w:style>
  <w:style w:type="paragraph" w:customStyle="1" w:styleId="Point1number">
    <w:name w:val="Point 1 (number)"/>
    <w:basedOn w:val="Normal"/>
    <w:pPr>
      <w:numPr>
        <w:ilvl w:val="2"/>
        <w:numId w:val="19"/>
      </w:numPr>
    </w:pPr>
  </w:style>
  <w:style w:type="paragraph" w:customStyle="1" w:styleId="Point2number">
    <w:name w:val="Point 2 (number)"/>
    <w:basedOn w:val="Normal"/>
    <w:pPr>
      <w:numPr>
        <w:ilvl w:val="4"/>
        <w:numId w:val="19"/>
      </w:numPr>
    </w:pPr>
  </w:style>
  <w:style w:type="paragraph" w:customStyle="1" w:styleId="Point3number">
    <w:name w:val="Point 3 (number)"/>
    <w:basedOn w:val="Normal"/>
    <w:pPr>
      <w:numPr>
        <w:ilvl w:val="6"/>
        <w:numId w:val="19"/>
      </w:numPr>
    </w:pPr>
  </w:style>
  <w:style w:type="paragraph" w:customStyle="1" w:styleId="Point0letter">
    <w:name w:val="Point 0 (letter)"/>
    <w:basedOn w:val="Normal"/>
    <w:pPr>
      <w:numPr>
        <w:ilvl w:val="1"/>
        <w:numId w:val="19"/>
      </w:numPr>
    </w:pPr>
  </w:style>
  <w:style w:type="paragraph" w:customStyle="1" w:styleId="Point1letter">
    <w:name w:val="Point 1 (letter)"/>
    <w:basedOn w:val="Normal"/>
    <w:pPr>
      <w:numPr>
        <w:ilvl w:val="3"/>
        <w:numId w:val="19"/>
      </w:numPr>
    </w:pPr>
  </w:style>
  <w:style w:type="paragraph" w:customStyle="1" w:styleId="Point2letter">
    <w:name w:val="Point 2 (letter)"/>
    <w:basedOn w:val="Normal"/>
    <w:pPr>
      <w:numPr>
        <w:ilvl w:val="5"/>
        <w:numId w:val="19"/>
      </w:numPr>
    </w:pPr>
  </w:style>
  <w:style w:type="paragraph" w:customStyle="1" w:styleId="Point3letter">
    <w:name w:val="Point 3 (letter)"/>
    <w:basedOn w:val="Normal"/>
    <w:pPr>
      <w:numPr>
        <w:ilvl w:val="7"/>
        <w:numId w:val="19"/>
      </w:numPr>
    </w:pPr>
  </w:style>
  <w:style w:type="paragraph" w:customStyle="1" w:styleId="Point4letter">
    <w:name w:val="Point 4 (letter)"/>
    <w:basedOn w:val="Normal"/>
    <w:pPr>
      <w:numPr>
        <w:ilvl w:val="8"/>
        <w:numId w:val="19"/>
      </w:numPr>
    </w:pPr>
  </w:style>
  <w:style w:type="paragraph" w:customStyle="1" w:styleId="Bullet0">
    <w:name w:val="Bullet 0"/>
    <w:basedOn w:val="Normal"/>
    <w:pPr>
      <w:numPr>
        <w:numId w:val="20"/>
      </w:numPr>
    </w:pPr>
  </w:style>
  <w:style w:type="paragraph" w:customStyle="1" w:styleId="Bullet1">
    <w:name w:val="Bullet 1"/>
    <w:basedOn w:val="Normal"/>
    <w:pPr>
      <w:numPr>
        <w:numId w:val="21"/>
      </w:numPr>
    </w:pPr>
  </w:style>
  <w:style w:type="paragraph" w:customStyle="1" w:styleId="Bullet2">
    <w:name w:val="Bullet 2"/>
    <w:basedOn w:val="Normal"/>
    <w:pPr>
      <w:numPr>
        <w:numId w:val="22"/>
      </w:numPr>
    </w:pPr>
  </w:style>
  <w:style w:type="paragraph" w:customStyle="1" w:styleId="Bullet3">
    <w:name w:val="Bullet 3"/>
    <w:basedOn w:val="Normal"/>
    <w:pPr>
      <w:numPr>
        <w:numId w:val="23"/>
      </w:numPr>
    </w:pPr>
  </w:style>
  <w:style w:type="paragraph" w:customStyle="1" w:styleId="Bullet4">
    <w:name w:val="Bullet 4"/>
    <w:basedOn w:val="Normal"/>
    <w:pPr>
      <w:numPr>
        <w:numId w:val="24"/>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5"/>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098337">
      <w:bodyDiv w:val="1"/>
      <w:marLeft w:val="0"/>
      <w:marRight w:val="0"/>
      <w:marTop w:val="0"/>
      <w:marBottom w:val="0"/>
      <w:divBdr>
        <w:top w:val="none" w:sz="0" w:space="0" w:color="auto"/>
        <w:left w:val="none" w:sz="0" w:space="0" w:color="auto"/>
        <w:bottom w:val="none" w:sz="0" w:space="0" w:color="auto"/>
        <w:right w:val="none" w:sz="0" w:space="0" w:color="auto"/>
      </w:divBdr>
    </w:div>
    <w:div w:id="37200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449DA8A2-123D-4348-8311-751F592B7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3</TotalTime>
  <Pages>8</Pages>
  <Words>2533</Words>
  <Characters>14444</Characters>
  <Application>Microsoft Office Word</Application>
  <DocSecurity>0</DocSecurity>
  <Lines>240</Lines>
  <Paragraphs>95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21</cp:revision>
  <dcterms:created xsi:type="dcterms:W3CDTF">2020-09-04T09:44:00Z</dcterms:created>
  <dcterms:modified xsi:type="dcterms:W3CDTF">2020-09-07T09:31:00Z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7.0.8.0</vt:lpwstr>
  </property>
  <property fmtid="{D5CDD505-2E9C-101B-9397-08002B2CF9AE}" pid="4" name="Last edited using">
    <vt:lpwstr>LW 7.0, Build 20190717</vt:lpwstr>
  </property>
  <property fmtid="{D5CDD505-2E9C-101B-9397-08002B2CF9AE}" pid="5" name="Created using">
    <vt:lpwstr>LW 7.0, Build 20190717</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SJ-020</vt:lpwstr>
  </property>
  <property fmtid="{D5CDD505-2E9C-101B-9397-08002B2CF9AE}" pid="10" name="DQCStatus">
    <vt:lpwstr>Green (DQC version 03)</vt:lpwstr>
  </property>
  <property name="OP_sanitized" fmtid="{D5CDD505-2E9C-101B-9397-08002B2CF9AE}" pid="11">
    <vt:lpwstr>True</vt:lpwstr>
  </property>
</Properties>
</file>