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2D23" w:rsidRDefault="000F7DD2">
      <w:pPr>
        <w:pStyle w:val="Pagedecouverture"/>
        <w:rPr>
          <w:noProof/>
        </w:rPr>
      </w:pPr>
      <w:bookmarkStart w:id="0" w:name="LW_BM_COVERPAGE"/>
      <w:bookmarkStart w:id="1" w:name="_GoBack"/>
      <w:bookmarkEnd w:id="1"/>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0506351-4F11-4E86-88D1-D45B01544128" style="width:450.7pt;height:333.8pt">
            <v:imagedata r:id="rId8" o:title=""/>
          </v:shape>
        </w:pict>
      </w:r>
    </w:p>
    <w:bookmarkEnd w:id="0"/>
    <w:p w:rsidR="00882D23" w:rsidRDefault="00882D23">
      <w:pPr>
        <w:rPr>
          <w:noProof/>
          <w:sz w:val="24"/>
          <w:szCs w:val="24"/>
        </w:rPr>
        <w:sectPr w:rsidR="00882D23">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0"/>
          <w:cols w:space="720"/>
          <w:docGrid w:linePitch="299"/>
        </w:sectPr>
      </w:pPr>
    </w:p>
    <w:p w:rsidR="00882D23" w:rsidRDefault="000F7DD2">
      <w:pPr>
        <w:spacing w:before="360" w:after="120" w:line="240" w:lineRule="auto"/>
        <w:jc w:val="both"/>
        <w:rPr>
          <w:rFonts w:ascii="Times New Roman" w:hAnsi="Times New Roman"/>
          <w:b/>
          <w:noProof/>
          <w:sz w:val="24"/>
          <w:szCs w:val="24"/>
        </w:rPr>
      </w:pPr>
      <w:r>
        <w:rPr>
          <w:rFonts w:ascii="Times New Roman" w:hAnsi="Times New Roman"/>
          <w:b/>
          <w:noProof/>
          <w:sz w:val="24"/>
          <w:szCs w:val="24"/>
        </w:rPr>
        <w:lastRenderedPageBreak/>
        <w:t>1.</w:t>
      </w:r>
      <w:r>
        <w:rPr>
          <w:rFonts w:ascii="Times New Roman" w:hAnsi="Times New Roman"/>
          <w:b/>
          <w:noProof/>
          <w:sz w:val="24"/>
          <w:szCs w:val="24"/>
        </w:rPr>
        <w:tab/>
        <w:t xml:space="preserve">INTRODUZIONE </w:t>
      </w:r>
    </w:p>
    <w:p w:rsidR="00882D23" w:rsidRDefault="000F7DD2">
      <w:pPr>
        <w:spacing w:before="240" w:after="240" w:line="240" w:lineRule="auto"/>
        <w:jc w:val="both"/>
        <w:rPr>
          <w:rFonts w:ascii="Times New Roman" w:hAnsi="Times New Roman"/>
          <w:noProof/>
          <w:sz w:val="24"/>
          <w:szCs w:val="24"/>
        </w:rPr>
      </w:pPr>
      <w:r>
        <w:rPr>
          <w:rFonts w:ascii="Times New Roman" w:hAnsi="Times New Roman"/>
          <w:noProof/>
          <w:sz w:val="24"/>
          <w:szCs w:val="24"/>
        </w:rPr>
        <w:t xml:space="preserve">Il meccanismo di cooperazione e verifica (MCV), istituito al momento dell'adesione della Romania all'Unione europea nel 2007 quale </w:t>
      </w:r>
      <w:r>
        <w:rPr>
          <w:rFonts w:ascii="Times New Roman" w:hAnsi="Times New Roman"/>
          <w:noProof/>
          <w:sz w:val="24"/>
          <w:szCs w:val="24"/>
        </w:rPr>
        <w:t>misura transitoria per facilitare il proseguimento degli sforzi della Romania per riformare il suo sistema giudiziario e intensificare la lotta alla corruzione</w:t>
      </w:r>
      <w:r>
        <w:rPr>
          <w:rStyle w:val="FootnoteReference"/>
          <w:rFonts w:ascii="Times New Roman" w:hAnsi="Times New Roman"/>
          <w:noProof/>
          <w:sz w:val="24"/>
          <w:szCs w:val="24"/>
        </w:rPr>
        <w:footnoteReference w:id="2"/>
      </w:r>
      <w:r>
        <w:rPr>
          <w:noProof/>
          <w:sz w:val="24"/>
          <w:szCs w:val="24"/>
        </w:rPr>
        <w:t>,</w:t>
      </w:r>
      <w:r>
        <w:rPr>
          <w:rFonts w:ascii="Times New Roman" w:hAnsi="Times New Roman"/>
          <w:noProof/>
          <w:sz w:val="24"/>
          <w:szCs w:val="24"/>
        </w:rPr>
        <w:t xml:space="preserve"> rappresentava un impegno congiunto dello Stato rumeno e dell'UE. In linea con la decisione che</w:t>
      </w:r>
      <w:r>
        <w:rPr>
          <w:rFonts w:ascii="Times New Roman" w:hAnsi="Times New Roman"/>
          <w:noProof/>
          <w:sz w:val="24"/>
          <w:szCs w:val="24"/>
        </w:rPr>
        <w:t xml:space="preserve"> istituisce il meccanismo, e come sottolineato dal Consiglio, l'MCV giungerà a termine quando tutti i parametri di riferimento applicabili alla Romania saranno stati adeguatamente soddisfatti</w:t>
      </w:r>
      <w:r>
        <w:rPr>
          <w:rStyle w:val="FootnoteReference"/>
          <w:rFonts w:ascii="Times New Roman" w:hAnsi="Times New Roman"/>
          <w:noProof/>
          <w:sz w:val="24"/>
          <w:szCs w:val="24"/>
        </w:rPr>
        <w:footnoteReference w:id="3"/>
      </w:r>
      <w:r>
        <w:rPr>
          <w:noProof/>
          <w:sz w:val="24"/>
          <w:szCs w:val="24"/>
        </w:rPr>
        <w:t>.</w:t>
      </w:r>
      <w:r>
        <w:rPr>
          <w:rStyle w:val="FootnoteReference"/>
          <w:rFonts w:ascii="Times New Roman" w:hAnsi="Times New Roman"/>
          <w:noProof/>
          <w:sz w:val="24"/>
          <w:szCs w:val="24"/>
        </w:rPr>
        <w:t xml:space="preserve"> </w:t>
      </w:r>
    </w:p>
    <w:p w:rsidR="00882D23" w:rsidRDefault="000F7DD2">
      <w:pPr>
        <w:spacing w:before="120" w:after="240" w:line="240" w:lineRule="auto"/>
        <w:jc w:val="both"/>
        <w:rPr>
          <w:rFonts w:ascii="Times New Roman" w:hAnsi="Times New Roman"/>
          <w:noProof/>
          <w:sz w:val="24"/>
          <w:szCs w:val="24"/>
        </w:rPr>
      </w:pPr>
      <w:r>
        <w:rPr>
          <w:rFonts w:ascii="Times New Roman" w:hAnsi="Times New Roman"/>
          <w:noProof/>
          <w:sz w:val="24"/>
          <w:szCs w:val="24"/>
        </w:rPr>
        <w:t>L'MCV è operativo dal 2007 con lo scopo di incoraggiare e seg</w:t>
      </w:r>
      <w:r>
        <w:rPr>
          <w:rFonts w:ascii="Times New Roman" w:hAnsi="Times New Roman"/>
          <w:noProof/>
          <w:sz w:val="24"/>
          <w:szCs w:val="24"/>
        </w:rPr>
        <w:t>uire il processo di riforma negli ambiti citati. Nel gennaio 2017 la Commissione ha intrapreso una valutazione globale dei progressi compiuti nell'arco dei dieci anni di vita del meccanismo</w:t>
      </w:r>
      <w:r>
        <w:rPr>
          <w:rStyle w:val="FootnoteReference"/>
          <w:rFonts w:ascii="Times New Roman" w:hAnsi="Times New Roman"/>
          <w:noProof/>
          <w:sz w:val="24"/>
          <w:szCs w:val="24"/>
        </w:rPr>
        <w:footnoteReference w:id="4"/>
      </w:r>
      <w:r>
        <w:rPr>
          <w:noProof/>
          <w:sz w:val="24"/>
          <w:szCs w:val="24"/>
        </w:rPr>
        <w:t>,</w:t>
      </w:r>
      <w:r>
        <w:rPr>
          <w:rFonts w:ascii="Times New Roman" w:hAnsi="Times New Roman"/>
          <w:noProof/>
          <w:sz w:val="24"/>
          <w:szCs w:val="24"/>
        </w:rPr>
        <w:t xml:space="preserve"> che ha consentito di avere un quadro più chiaro dei progressi co</w:t>
      </w:r>
      <w:r>
        <w:rPr>
          <w:rFonts w:ascii="Times New Roman" w:hAnsi="Times New Roman"/>
          <w:noProof/>
          <w:sz w:val="24"/>
          <w:szCs w:val="24"/>
        </w:rPr>
        <w:t>mpiuti dal momento dell'adesione e ha permesso alla Commissione di formulare dodici raccomandazioni la cui realizzazione sarebbe sufficiente per porre fine al processo MCV e che potrebbero essere attuate durante il mandato dell'attuale Commissione. Per por</w:t>
      </w:r>
      <w:r>
        <w:rPr>
          <w:rFonts w:ascii="Times New Roman" w:hAnsi="Times New Roman"/>
          <w:noProof/>
          <w:sz w:val="24"/>
          <w:szCs w:val="24"/>
        </w:rPr>
        <w:t xml:space="preserve">re fine al processo MCV è necessario che le raccomandazioni siano attuate in modo irreversibile ma anche che gli sviluppi futuri non siano tali da invertire chiaramente i progressi in corso. </w:t>
      </w:r>
    </w:p>
    <w:p w:rsidR="00882D23" w:rsidRDefault="000F7DD2">
      <w:pPr>
        <w:autoSpaceDE w:val="0"/>
        <w:autoSpaceDN w:val="0"/>
        <w:adjustRightInd w:val="0"/>
        <w:spacing w:before="120" w:after="240" w:line="240" w:lineRule="auto"/>
        <w:jc w:val="both"/>
        <w:rPr>
          <w:rFonts w:ascii="Times New Roman" w:hAnsi="Times New Roman"/>
          <w:noProof/>
          <w:sz w:val="24"/>
          <w:szCs w:val="24"/>
        </w:rPr>
      </w:pPr>
      <w:r>
        <w:rPr>
          <w:rFonts w:ascii="Times New Roman" w:hAnsi="Times New Roman"/>
          <w:noProof/>
          <w:sz w:val="24"/>
          <w:szCs w:val="24"/>
        </w:rPr>
        <w:t>Da allora la Commissione ha effettuato due valutazioni dei progr</w:t>
      </w:r>
      <w:r>
        <w:rPr>
          <w:rFonts w:ascii="Times New Roman" w:hAnsi="Times New Roman"/>
          <w:noProof/>
          <w:sz w:val="24"/>
          <w:szCs w:val="24"/>
        </w:rPr>
        <w:t>essi compiuti nell'attuazione delle raccomandazioni. Nel novembre del 2017</w:t>
      </w:r>
      <w:r>
        <w:rPr>
          <w:rStyle w:val="FootnoteReference"/>
          <w:rFonts w:ascii="Times New Roman" w:hAnsi="Times New Roman"/>
          <w:noProof/>
          <w:sz w:val="24"/>
          <w:szCs w:val="24"/>
        </w:rPr>
        <w:footnoteReference w:id="5"/>
      </w:r>
      <w:r>
        <w:rPr>
          <w:rFonts w:ascii="Times New Roman" w:hAnsi="Times New Roman"/>
          <w:noProof/>
          <w:sz w:val="24"/>
          <w:szCs w:val="24"/>
        </w:rPr>
        <w:t xml:space="preserve"> la Commissione ha rilevato progressi in relazione a una serie di raccomandazioni, ma ha anche riscontrato che lo slancio riformatore era venuto meno nel corso del 2017 e aveva mess</w:t>
      </w:r>
      <w:r>
        <w:rPr>
          <w:rFonts w:ascii="Times New Roman" w:hAnsi="Times New Roman"/>
          <w:noProof/>
          <w:sz w:val="24"/>
          <w:szCs w:val="24"/>
        </w:rPr>
        <w:t>o in guardia contro il rischio di dover riaprire capitoli che la relazione del gennaio 2017 aveva considerato chiusi. Tali preoccupazioni sono state ribadite dal Consiglio</w:t>
      </w:r>
      <w:r>
        <w:rPr>
          <w:rStyle w:val="FootnoteReference"/>
          <w:rFonts w:ascii="Times New Roman" w:hAnsi="Times New Roman"/>
          <w:noProof/>
          <w:sz w:val="24"/>
          <w:szCs w:val="24"/>
        </w:rPr>
        <w:footnoteReference w:id="6"/>
      </w:r>
      <w:r>
        <w:rPr>
          <w:noProof/>
          <w:sz w:val="24"/>
          <w:szCs w:val="24"/>
        </w:rPr>
        <w:t>.</w:t>
      </w:r>
    </w:p>
    <w:p w:rsidR="00882D23" w:rsidRDefault="000F7DD2">
      <w:pPr>
        <w:autoSpaceDE w:val="0"/>
        <w:autoSpaceDN w:val="0"/>
        <w:adjustRightInd w:val="0"/>
        <w:spacing w:after="120" w:line="240" w:lineRule="auto"/>
        <w:jc w:val="both"/>
        <w:rPr>
          <w:rFonts w:ascii="Times New Roman" w:hAnsi="Times New Roman"/>
          <w:noProof/>
          <w:sz w:val="24"/>
          <w:szCs w:val="24"/>
        </w:rPr>
      </w:pPr>
      <w:r>
        <w:rPr>
          <w:rFonts w:ascii="Times New Roman" w:hAnsi="Times New Roman"/>
          <w:noProof/>
          <w:sz w:val="24"/>
          <w:szCs w:val="24"/>
        </w:rPr>
        <w:t>Nella relazione di novembre 2018</w:t>
      </w:r>
      <w:r>
        <w:rPr>
          <w:rStyle w:val="FootnoteReference"/>
          <w:rFonts w:ascii="Times New Roman" w:hAnsi="Times New Roman"/>
          <w:noProof/>
          <w:sz w:val="24"/>
          <w:szCs w:val="24"/>
        </w:rPr>
        <w:footnoteReference w:id="7"/>
      </w:r>
      <w:r>
        <w:rPr>
          <w:rFonts w:ascii="Times New Roman" w:hAnsi="Times New Roman"/>
          <w:noProof/>
          <w:sz w:val="24"/>
          <w:szCs w:val="24"/>
        </w:rPr>
        <w:t xml:space="preserve"> la Commissione aveva concluso che gli sviluppi avevano invertito o messo in discussione l'irreversibilità del processo. Di conseguenza, poiché le dodici raccomandazioni contenute nella relazione del gennaio 2017 non erano più sufficienti per chiudere il p</w:t>
      </w:r>
      <w:r>
        <w:rPr>
          <w:rFonts w:ascii="Times New Roman" w:hAnsi="Times New Roman"/>
          <w:noProof/>
          <w:sz w:val="24"/>
          <w:szCs w:val="24"/>
        </w:rPr>
        <w:t>rocesso MCV, è stato necessario formulare otto raccomandazioni supplementari. La relazione invitava le principali istituzioni della Romania a dimostrare un forte impegno a favore dell'indipendenza del sistema giudiziario e della lotta contro la corruzione,</w:t>
      </w:r>
      <w:r>
        <w:rPr>
          <w:rFonts w:ascii="Times New Roman" w:hAnsi="Times New Roman"/>
          <w:noProof/>
          <w:sz w:val="24"/>
          <w:szCs w:val="24"/>
        </w:rPr>
        <w:t xml:space="preserve"> considerate condizioni irrinunciabili, e a ripristinare a livello nazionale la capacità di intervento delle salvaguardie e del sistema di bilanciamento dei poteri qualora si palesassero rischi di regresso. Sia il Parlamento europeo che il Consiglio hanno </w:t>
      </w:r>
      <w:r>
        <w:rPr>
          <w:rFonts w:ascii="Times New Roman" w:hAnsi="Times New Roman"/>
          <w:noProof/>
          <w:sz w:val="24"/>
          <w:szCs w:val="24"/>
        </w:rPr>
        <w:t xml:space="preserve">appoggiato questa posizione. Il Parlamento europeo ha adottato una risoluzione che esortava alla </w:t>
      </w:r>
      <w:r>
        <w:rPr>
          <w:rFonts w:ascii="Times New Roman" w:hAnsi="Times New Roman"/>
          <w:noProof/>
          <w:sz w:val="24"/>
          <w:szCs w:val="24"/>
        </w:rPr>
        <w:lastRenderedPageBreak/>
        <w:t>cooperazione e indicava i rischi per lo Stato di diritto</w:t>
      </w:r>
      <w:r>
        <w:rPr>
          <w:rStyle w:val="FootnoteReference"/>
          <w:rFonts w:ascii="Times New Roman" w:hAnsi="Times New Roman"/>
          <w:noProof/>
          <w:sz w:val="24"/>
          <w:szCs w:val="24"/>
        </w:rPr>
        <w:footnoteReference w:id="8"/>
      </w:r>
      <w:r>
        <w:rPr>
          <w:rFonts w:ascii="Times New Roman" w:hAnsi="Times New Roman"/>
          <w:noProof/>
          <w:sz w:val="24"/>
          <w:szCs w:val="24"/>
        </w:rPr>
        <w:t xml:space="preserve">. Le conclusioni del Consiglio del dicembre 2018 invitavano specificamente la Romania ad attuare le </w:t>
      </w:r>
      <w:r>
        <w:rPr>
          <w:rFonts w:ascii="Times New Roman" w:hAnsi="Times New Roman"/>
          <w:noProof/>
          <w:sz w:val="24"/>
          <w:szCs w:val="24"/>
        </w:rPr>
        <w:t>raccomandazioni supplementari</w:t>
      </w:r>
      <w:r>
        <w:rPr>
          <w:rStyle w:val="FootnoteReference"/>
          <w:rFonts w:ascii="Times New Roman" w:hAnsi="Times New Roman"/>
          <w:noProof/>
          <w:sz w:val="24"/>
          <w:szCs w:val="24"/>
        </w:rPr>
        <w:footnoteReference w:id="9"/>
      </w:r>
      <w:r>
        <w:rPr>
          <w:noProof/>
          <w:sz w:val="24"/>
          <w:szCs w:val="24"/>
        </w:rPr>
        <w:t>.</w:t>
      </w:r>
    </w:p>
    <w:p w:rsidR="00882D23" w:rsidRDefault="000F7DD2">
      <w:pPr>
        <w:tabs>
          <w:tab w:val="left" w:pos="2940"/>
        </w:tabs>
        <w:autoSpaceDE w:val="0"/>
        <w:autoSpaceDN w:val="0"/>
        <w:adjustRightInd w:val="0"/>
        <w:spacing w:after="120" w:line="240" w:lineRule="auto"/>
        <w:jc w:val="both"/>
        <w:rPr>
          <w:rFonts w:ascii="Times New Roman" w:hAnsi="Times New Roman"/>
          <w:noProof/>
          <w:sz w:val="24"/>
          <w:szCs w:val="24"/>
        </w:rPr>
      </w:pPr>
      <w:r>
        <w:rPr>
          <w:rFonts w:ascii="Times New Roman" w:hAnsi="Times New Roman"/>
          <w:noProof/>
          <w:sz w:val="24"/>
          <w:szCs w:val="24"/>
        </w:rPr>
        <w:t xml:space="preserve">La presente relazione fa il punto della situazione a partire dal novembre 2018. Nel periodo in esame la Commissione ha dovuto in più occasioni esprimere preoccupazioni in relazione allo Stato di diritto e più specificamente </w:t>
      </w:r>
      <w:r>
        <w:rPr>
          <w:rFonts w:ascii="Times New Roman" w:hAnsi="Times New Roman"/>
          <w:noProof/>
          <w:sz w:val="24"/>
          <w:szCs w:val="24"/>
        </w:rPr>
        <w:t>sui regressi evidenziati rispetto agli anni precedenti. Per gran parte del periodo in esame le autorità rumene hanno dimostrato scarsa o nulla volontà di attuare le raccomandazioni supplementari di novembre 2018 – o le raccomandazioni formulate dalla Commi</w:t>
      </w:r>
      <w:r>
        <w:rPr>
          <w:rFonts w:ascii="Times New Roman" w:hAnsi="Times New Roman"/>
          <w:noProof/>
          <w:sz w:val="24"/>
          <w:szCs w:val="24"/>
        </w:rPr>
        <w:t>ssione di Venezia e dal Gruppo di Stati contro la corruzione del Consiglio d'Europa</w:t>
      </w:r>
      <w:r>
        <w:rPr>
          <w:rStyle w:val="FootnoteReference"/>
          <w:rFonts w:ascii="Times New Roman" w:hAnsi="Times New Roman"/>
          <w:noProof/>
          <w:sz w:val="24"/>
          <w:szCs w:val="24"/>
        </w:rPr>
        <w:footnoteReference w:id="10"/>
      </w:r>
      <w:r>
        <w:rPr>
          <w:noProof/>
          <w:sz w:val="24"/>
          <w:szCs w:val="24"/>
        </w:rPr>
        <w:t>.</w:t>
      </w:r>
      <w:r>
        <w:rPr>
          <w:rFonts w:ascii="Times New Roman" w:hAnsi="Times New Roman"/>
          <w:noProof/>
          <w:sz w:val="24"/>
          <w:szCs w:val="24"/>
        </w:rPr>
        <w:t xml:space="preserve"> Gli sforzi di coloro che hanno cercato di invertire la tendenza negativa - non solo esponenti politici ma anche la società civile e i magistrati - non sono andati a buon </w:t>
      </w:r>
      <w:r>
        <w:rPr>
          <w:rFonts w:ascii="Times New Roman" w:hAnsi="Times New Roman"/>
          <w:noProof/>
          <w:sz w:val="24"/>
          <w:szCs w:val="24"/>
        </w:rPr>
        <w:t>fine, facendo emergere seri dubbi sul funzionamento del sistema di bilanciamento dei poteri riconosciuto nella relazione del gennaio 2017. Nel maggio 2019 la Commissione ha inviato alle autorità rumene una lettera in cui sosteneva che i recenti sviluppi av</w:t>
      </w:r>
      <w:r>
        <w:rPr>
          <w:rFonts w:ascii="Times New Roman" w:hAnsi="Times New Roman"/>
          <w:noProof/>
          <w:sz w:val="24"/>
          <w:szCs w:val="24"/>
        </w:rPr>
        <w:t>evano ulteriormente aggravato i problemi esistenti in materia di rispetto dello Stato di diritto in generale, prospettando la possibilità di adottare misure nell'ambito del "quadro per lo Stato di diritto" qualora la situazione non fosse migliorata</w:t>
      </w:r>
      <w:r>
        <w:rPr>
          <w:rStyle w:val="FootnoteReference"/>
          <w:rFonts w:ascii="Times New Roman" w:hAnsi="Times New Roman"/>
          <w:noProof/>
          <w:sz w:val="24"/>
          <w:szCs w:val="24"/>
        </w:rPr>
        <w:footnoteReference w:id="11"/>
      </w:r>
      <w:r>
        <w:rPr>
          <w:noProof/>
          <w:sz w:val="24"/>
          <w:szCs w:val="24"/>
        </w:rPr>
        <w:t>.</w:t>
      </w:r>
      <w:r>
        <w:rPr>
          <w:rFonts w:ascii="Times New Roman" w:hAnsi="Times New Roman"/>
          <w:noProof/>
          <w:sz w:val="24"/>
          <w:szCs w:val="24"/>
        </w:rPr>
        <w:t xml:space="preserve"> Nel g</w:t>
      </w:r>
      <w:r>
        <w:rPr>
          <w:rFonts w:ascii="Times New Roman" w:hAnsi="Times New Roman"/>
          <w:noProof/>
          <w:sz w:val="24"/>
          <w:szCs w:val="24"/>
        </w:rPr>
        <w:t>iugno 2019, in una riunione con il presidente Juncker e il primo vicepresidente Timmermans, il primo ministro rumeno si è impegnato a non perseguire le controverse riforme giudiziarie e a riprendere immediatamente il dialogo nell'ambito dell'MCV al fine di</w:t>
      </w:r>
      <w:r>
        <w:rPr>
          <w:rFonts w:ascii="Times New Roman" w:hAnsi="Times New Roman"/>
          <w:noProof/>
          <w:sz w:val="24"/>
          <w:szCs w:val="24"/>
        </w:rPr>
        <w:t xml:space="preserve"> realizzare progressi nella riforma giudiziaria e nella lotta alla corruzione. Questo nuovo atteggiamento era inoltre in linea con i risultati di un referendum, promosso dal presidente della Romania e tenutosi nel maggio del 2019, in cui una vastissima mag</w:t>
      </w:r>
      <w:r>
        <w:rPr>
          <w:rFonts w:ascii="Times New Roman" w:hAnsi="Times New Roman"/>
          <w:noProof/>
          <w:sz w:val="24"/>
          <w:szCs w:val="24"/>
        </w:rPr>
        <w:t>gioranza di cittadini rumeni si era espressa a favore delle proposte volte a rafforzare le salvaguardie contro la corruzione e l'uso arbitrario dei decreti d'urgenza</w:t>
      </w:r>
      <w:r>
        <w:rPr>
          <w:rFonts w:ascii="Times New Roman" w:hAnsi="Times New Roman"/>
          <w:noProof/>
          <w:sz w:val="24"/>
          <w:szCs w:val="24"/>
          <w:vertAlign w:val="superscript"/>
        </w:rPr>
        <w:footnoteReference w:id="12"/>
      </w:r>
      <w:r>
        <w:rPr>
          <w:rFonts w:ascii="Times New Roman" w:hAnsi="Times New Roman"/>
          <w:noProof/>
          <w:sz w:val="24"/>
          <w:szCs w:val="24"/>
        </w:rPr>
        <w:t>.</w:t>
      </w:r>
    </w:p>
    <w:p w:rsidR="00882D23" w:rsidRDefault="000F7DD2">
      <w:pPr>
        <w:tabs>
          <w:tab w:val="left" w:pos="2940"/>
        </w:tabs>
        <w:autoSpaceDE w:val="0"/>
        <w:autoSpaceDN w:val="0"/>
        <w:adjustRightInd w:val="0"/>
        <w:spacing w:after="360" w:line="240" w:lineRule="auto"/>
        <w:jc w:val="both"/>
        <w:rPr>
          <w:rFonts w:ascii="Times New Roman" w:hAnsi="Times New Roman"/>
          <w:noProof/>
          <w:sz w:val="24"/>
          <w:szCs w:val="24"/>
        </w:rPr>
      </w:pPr>
      <w:r>
        <w:rPr>
          <w:rFonts w:ascii="Times New Roman" w:hAnsi="Times New Roman"/>
          <w:noProof/>
          <w:sz w:val="24"/>
          <w:szCs w:val="24"/>
        </w:rPr>
        <w:lastRenderedPageBreak/>
        <w:t>Come negli anni scorsi, la relazione è il risultato di un'analisi rigorosa da parte dell</w:t>
      </w:r>
      <w:r>
        <w:rPr>
          <w:rFonts w:ascii="Times New Roman" w:hAnsi="Times New Roman"/>
          <w:noProof/>
          <w:sz w:val="24"/>
          <w:szCs w:val="24"/>
        </w:rPr>
        <w:t>a Commissione basata su una stretta collaborazione con le istituzioni rumene e sugli elementi forniti da altri Stati membri, dalla società civile e da altri portatori di interessi.</w:t>
      </w:r>
    </w:p>
    <w:p w:rsidR="00882D23" w:rsidRDefault="000F7DD2">
      <w:pPr>
        <w:keepNext/>
        <w:spacing w:after="120" w:line="240" w:lineRule="auto"/>
        <w:ind w:left="567" w:hanging="567"/>
        <w:jc w:val="both"/>
        <w:rPr>
          <w:rFonts w:ascii="Times New Roman" w:hAnsi="Times New Roman"/>
          <w:b/>
          <w:noProof/>
          <w:sz w:val="24"/>
          <w:szCs w:val="24"/>
        </w:rPr>
      </w:pPr>
      <w:r>
        <w:rPr>
          <w:rFonts w:ascii="Times New Roman" w:hAnsi="Times New Roman"/>
          <w:b/>
          <w:noProof/>
          <w:sz w:val="24"/>
          <w:szCs w:val="24"/>
        </w:rPr>
        <w:t xml:space="preserve">2. </w:t>
      </w:r>
      <w:r>
        <w:rPr>
          <w:rFonts w:ascii="Times New Roman" w:hAnsi="Times New Roman"/>
          <w:b/>
          <w:noProof/>
          <w:sz w:val="24"/>
          <w:szCs w:val="24"/>
        </w:rPr>
        <w:tab/>
        <w:t>SITUAZIONE GENERALE</w:t>
      </w:r>
    </w:p>
    <w:p w:rsidR="00882D23" w:rsidRDefault="000F7DD2">
      <w:pPr>
        <w:spacing w:after="120" w:line="240" w:lineRule="auto"/>
        <w:jc w:val="both"/>
        <w:rPr>
          <w:rFonts w:ascii="Times New Roman" w:hAnsi="Times New Roman"/>
          <w:noProof/>
          <w:sz w:val="24"/>
          <w:szCs w:val="24"/>
        </w:rPr>
      </w:pPr>
      <w:r>
        <w:rPr>
          <w:rFonts w:ascii="Times New Roman" w:hAnsi="Times New Roman"/>
          <w:noProof/>
          <w:sz w:val="24"/>
          <w:szCs w:val="24"/>
        </w:rPr>
        <w:t>La relazione del gennaio 2017 ha constatato l'esist</w:t>
      </w:r>
      <w:r>
        <w:rPr>
          <w:rFonts w:ascii="Times New Roman" w:hAnsi="Times New Roman"/>
          <w:noProof/>
          <w:sz w:val="24"/>
          <w:szCs w:val="24"/>
        </w:rPr>
        <w:t>enza di più ampi fattori sociali, giuridici e politici che, pur esulando dal campo di applicazione dell'MCV e delle relative raccomandazioni, "hanno un'incidenza diretta sulla capacità di realizzare le riforme e, in particolare, hanno reso più difficile pe</w:t>
      </w:r>
      <w:r>
        <w:rPr>
          <w:rFonts w:ascii="Times New Roman" w:hAnsi="Times New Roman"/>
          <w:noProof/>
          <w:sz w:val="24"/>
          <w:szCs w:val="24"/>
        </w:rPr>
        <w:t>r la Romania dimostrare che le riforme si erano radicate in modo permanente". Tra i problemi segnalati figuravano una prassi legislativa che non ha ancora incorporato i principi volti a una migliore regolamentazione, un clima conflittuale tra diversi organ</w:t>
      </w:r>
      <w:r>
        <w:rPr>
          <w:rFonts w:ascii="Times New Roman" w:hAnsi="Times New Roman"/>
          <w:noProof/>
          <w:sz w:val="24"/>
          <w:szCs w:val="24"/>
        </w:rPr>
        <w:t xml:space="preserve">i dello Stato e il contesto mediatico. Successive relazioni hanno confermato che questi fattori esercitano un chiaro impatto negativo sull'avanzamento della riforma del sistema giudiziario e della lotta alla corruzione. </w:t>
      </w:r>
    </w:p>
    <w:p w:rsidR="00882D23" w:rsidRDefault="000F7DD2">
      <w:pPr>
        <w:spacing w:after="120" w:line="240" w:lineRule="auto"/>
        <w:jc w:val="both"/>
        <w:rPr>
          <w:rFonts w:ascii="Times New Roman" w:hAnsi="Times New Roman"/>
          <w:noProof/>
          <w:sz w:val="24"/>
          <w:szCs w:val="24"/>
        </w:rPr>
      </w:pPr>
      <w:r>
        <w:rPr>
          <w:rFonts w:ascii="Times New Roman" w:hAnsi="Times New Roman"/>
          <w:noProof/>
          <w:sz w:val="24"/>
          <w:szCs w:val="24"/>
        </w:rPr>
        <w:t>Gli sviluppi intervenuti dopo l'ult</w:t>
      </w:r>
      <w:r>
        <w:rPr>
          <w:rFonts w:ascii="Times New Roman" w:hAnsi="Times New Roman"/>
          <w:noProof/>
          <w:sz w:val="24"/>
          <w:szCs w:val="24"/>
        </w:rPr>
        <w:t>ima relazione hanno dimostrato ancora una volta che alcune modifiche legislative di rilievo, anche al di fuori dell'ambito giudiziario, approvate mediante procedure d'urgenza con livelli di consultazione minimi, hanno inciso negativamente sia sulla qualità</w:t>
      </w:r>
      <w:r>
        <w:rPr>
          <w:rFonts w:ascii="Times New Roman" w:hAnsi="Times New Roman"/>
          <w:noProof/>
          <w:sz w:val="24"/>
          <w:szCs w:val="24"/>
        </w:rPr>
        <w:t xml:space="preserve"> della legislazione sia sulla fiducia dei cittadini nella definizione delle politiche. I giudici e i pubblici ministeri hanno continuato ad essere oggetto di notizie tendenziose e di inaccettabili attacchi personali nei media, a fronte di insufficienti mec</w:t>
      </w:r>
      <w:r>
        <w:rPr>
          <w:rFonts w:ascii="Times New Roman" w:hAnsi="Times New Roman"/>
          <w:noProof/>
          <w:sz w:val="24"/>
          <w:szCs w:val="24"/>
        </w:rPr>
        <w:t>canismi di ricorso, con ripercussioni negative sulla reputazione e la credibilità del sistema giudiziario nel suo complesso. Diversi organi dello Stato sono entrati in conflitto tra loro e tali contrasti sono stati portati dinanzi alla Corte costituzionale</w:t>
      </w:r>
      <w:r>
        <w:rPr>
          <w:rFonts w:ascii="Times New Roman" w:hAnsi="Times New Roman"/>
          <w:noProof/>
          <w:sz w:val="24"/>
          <w:szCs w:val="24"/>
        </w:rPr>
        <w:t xml:space="preserve">, incrementando ulteriormente le tensioni ed evidenziando la mancanza di una leale cooperazione. </w:t>
      </w:r>
    </w:p>
    <w:p w:rsidR="00882D23" w:rsidRDefault="000F7DD2">
      <w:pPr>
        <w:spacing w:after="120" w:line="240" w:lineRule="auto"/>
        <w:jc w:val="both"/>
        <w:rPr>
          <w:rFonts w:ascii="Times New Roman" w:hAnsi="Times New Roman"/>
          <w:noProof/>
          <w:sz w:val="24"/>
          <w:szCs w:val="24"/>
        </w:rPr>
      </w:pPr>
      <w:r>
        <w:rPr>
          <w:rFonts w:ascii="Times New Roman" w:hAnsi="Times New Roman"/>
          <w:noProof/>
          <w:sz w:val="24"/>
          <w:szCs w:val="24"/>
        </w:rPr>
        <w:t>Le discussioni sugli accordi di cooperazione tra le istituzioni giudiziarie e i servizi rumeni di intelligence ("protocolli segreti")</w:t>
      </w:r>
      <w:r>
        <w:rPr>
          <w:rStyle w:val="FootnoteReference"/>
          <w:rFonts w:ascii="Times New Roman" w:hAnsi="Times New Roman"/>
          <w:noProof/>
          <w:sz w:val="24"/>
          <w:szCs w:val="24"/>
        </w:rPr>
        <w:footnoteReference w:id="13"/>
      </w:r>
      <w:r>
        <w:rPr>
          <w:rFonts w:ascii="Times New Roman" w:hAnsi="Times New Roman"/>
          <w:noProof/>
          <w:sz w:val="24"/>
          <w:szCs w:val="24"/>
        </w:rPr>
        <w:t xml:space="preserve"> continuano ad essere fo</w:t>
      </w:r>
      <w:r>
        <w:rPr>
          <w:rFonts w:ascii="Times New Roman" w:hAnsi="Times New Roman"/>
          <w:noProof/>
          <w:sz w:val="24"/>
          <w:szCs w:val="24"/>
        </w:rPr>
        <w:t>nte di divisioni. Benché una decisione della Corte costituzionale abbia posto le premesse per consentire ai tribunali di trattare le cause pendenti e future, permane l'incertezza quanto al suo impatto effettivo. La Commissione può soltanto ribadire che l'o</w:t>
      </w:r>
      <w:r>
        <w:rPr>
          <w:rFonts w:ascii="Times New Roman" w:hAnsi="Times New Roman"/>
          <w:noProof/>
          <w:sz w:val="24"/>
          <w:szCs w:val="24"/>
        </w:rPr>
        <w:t>biettivo dovrebbe essere l'istituzione di un quadro giuridico in cui i servizi di intelligence siano sottoposti ad un'appropriata supervisione democratica, in cui i reati possano, nel più completo rispetto dei diritti fondamentali, essere effettivamente og</w:t>
      </w:r>
      <w:r>
        <w:rPr>
          <w:rFonts w:ascii="Times New Roman" w:hAnsi="Times New Roman"/>
          <w:noProof/>
          <w:sz w:val="24"/>
          <w:szCs w:val="24"/>
        </w:rPr>
        <w:t>getto di indagini e di sanzioni adeguate e in cui i cittadini possano avere la certezza che venga garantita l'indipendenza del potere giudiziario. La Commissione ribadisce quanto già suggerito in precedenza, ovvero che le esperienze degli altri Stati membr</w:t>
      </w:r>
      <w:r>
        <w:rPr>
          <w:rFonts w:ascii="Times New Roman" w:hAnsi="Times New Roman"/>
          <w:noProof/>
          <w:sz w:val="24"/>
          <w:szCs w:val="24"/>
        </w:rPr>
        <w:t>i potrebbero essere utili per rafforzare il sistema di misure tecniche di sorveglianza utilizzato dal pubblico ministero e le modalità di collaborazione tra quest'ultimo e i servizi di intelligence, fattori essenziali per il perseguimento delle forme gravi</w:t>
      </w:r>
      <w:r>
        <w:rPr>
          <w:rFonts w:ascii="Times New Roman" w:hAnsi="Times New Roman"/>
          <w:noProof/>
          <w:sz w:val="24"/>
          <w:szCs w:val="24"/>
        </w:rPr>
        <w:t xml:space="preserve"> di criminalità, quali il terrorismo e la criminalità informatica</w:t>
      </w:r>
      <w:r>
        <w:rPr>
          <w:rStyle w:val="FootnoteReference"/>
          <w:rFonts w:ascii="Times New Roman" w:hAnsi="Times New Roman"/>
          <w:noProof/>
          <w:sz w:val="24"/>
          <w:szCs w:val="24"/>
        </w:rPr>
        <w:footnoteReference w:id="14"/>
      </w:r>
      <w:r>
        <w:rPr>
          <w:noProof/>
          <w:sz w:val="24"/>
          <w:szCs w:val="24"/>
        </w:rPr>
        <w:t>.</w:t>
      </w:r>
    </w:p>
    <w:p w:rsidR="00882D23" w:rsidRDefault="000F7DD2">
      <w:pPr>
        <w:spacing w:after="360" w:line="240" w:lineRule="auto"/>
        <w:jc w:val="both"/>
        <w:rPr>
          <w:rFonts w:ascii="Times New Roman" w:hAnsi="Times New Roman"/>
          <w:noProof/>
          <w:sz w:val="24"/>
          <w:szCs w:val="24"/>
        </w:rPr>
      </w:pPr>
      <w:r>
        <w:rPr>
          <w:rFonts w:ascii="Times New Roman" w:hAnsi="Times New Roman"/>
          <w:noProof/>
          <w:sz w:val="24"/>
          <w:szCs w:val="24"/>
        </w:rPr>
        <w:t>L'approccio dell'UE allo Stato di diritto, oltre l'ambito di applicazione dell'MCV, influenza inoltre il contesto generale a livello UE. L'articolo 19, paragrafo 1, del TUE impone una tute</w:t>
      </w:r>
      <w:r>
        <w:rPr>
          <w:rFonts w:ascii="Times New Roman" w:hAnsi="Times New Roman"/>
          <w:noProof/>
          <w:sz w:val="24"/>
          <w:szCs w:val="24"/>
        </w:rPr>
        <w:t xml:space="preserve">la giurisdizionale effettiva da parte di organi giurisdizionali indipendenti in quanto espressione concreta del valore dello Stato di diritto, come confermato dalla giurisprudenza recente della </w:t>
      </w:r>
      <w:r>
        <w:rPr>
          <w:rFonts w:ascii="Times New Roman" w:hAnsi="Times New Roman"/>
          <w:noProof/>
          <w:sz w:val="24"/>
          <w:szCs w:val="24"/>
        </w:rPr>
        <w:lastRenderedPageBreak/>
        <w:t>Corte di giustizia. La comunicazione della Commissione del lug</w:t>
      </w:r>
      <w:r>
        <w:rPr>
          <w:rFonts w:ascii="Times New Roman" w:hAnsi="Times New Roman"/>
          <w:noProof/>
          <w:sz w:val="24"/>
          <w:szCs w:val="24"/>
        </w:rPr>
        <w:t>lio 2019</w:t>
      </w:r>
      <w:r>
        <w:rPr>
          <w:rFonts w:ascii="Times New Roman" w:hAnsi="Times New Roman"/>
          <w:noProof/>
          <w:sz w:val="24"/>
          <w:szCs w:val="24"/>
          <w:vertAlign w:val="superscript"/>
        </w:rPr>
        <w:footnoteReference w:id="15"/>
      </w:r>
      <w:r>
        <w:rPr>
          <w:rFonts w:ascii="Times New Roman" w:hAnsi="Times New Roman"/>
          <w:noProof/>
          <w:sz w:val="24"/>
          <w:szCs w:val="24"/>
        </w:rPr>
        <w:t xml:space="preserve"> elenca azioni concrete volte a rafforzare la capacità dell'Unione di promuovere e sostenere lo Stato di diritto, evitare l'insorgere di problemi per lo Stato di diritto mediante un ciclo di esame dello stesso per monitorarne l'andamento negli Sta</w:t>
      </w:r>
      <w:r>
        <w:rPr>
          <w:rFonts w:ascii="Times New Roman" w:hAnsi="Times New Roman"/>
          <w:noProof/>
          <w:sz w:val="24"/>
          <w:szCs w:val="24"/>
        </w:rPr>
        <w:t>ti membri e garantire una risposta efficace. Negli orientamenti politici per la prossima Commissione è stata formulata l'intenzione di attuare un meccanismo globale per lo Stato di diritto applicabile a tutta l'UE che preveda la redazione di relazioni obie</w:t>
      </w:r>
      <w:r>
        <w:rPr>
          <w:rFonts w:ascii="Times New Roman" w:hAnsi="Times New Roman"/>
          <w:noProof/>
          <w:sz w:val="24"/>
          <w:szCs w:val="24"/>
        </w:rPr>
        <w:t>ttive per tutti gli Stati membri</w:t>
      </w:r>
      <w:r>
        <w:rPr>
          <w:rStyle w:val="FootnoteReference"/>
          <w:rFonts w:ascii="Times New Roman" w:hAnsi="Times New Roman"/>
          <w:noProof/>
          <w:sz w:val="24"/>
          <w:szCs w:val="24"/>
        </w:rPr>
        <w:footnoteReference w:id="16"/>
      </w:r>
      <w:r>
        <w:rPr>
          <w:noProof/>
          <w:sz w:val="24"/>
          <w:szCs w:val="24"/>
        </w:rPr>
        <w:t>.</w:t>
      </w:r>
      <w:r>
        <w:rPr>
          <w:rFonts w:ascii="Times New Roman" w:hAnsi="Times New Roman"/>
          <w:noProof/>
          <w:sz w:val="24"/>
          <w:szCs w:val="24"/>
        </w:rPr>
        <w:t xml:space="preserve"> L'intensificazione di questi processi orizzontali di monitoraggio dello Stato di diritto in tutti gli Stati membri e la prospettiva di una loro ulteriore evoluzione evidenziano la natura specifica dell'MCV in quanto proce</w:t>
      </w:r>
      <w:r>
        <w:rPr>
          <w:rFonts w:ascii="Times New Roman" w:hAnsi="Times New Roman"/>
          <w:noProof/>
          <w:sz w:val="24"/>
          <w:szCs w:val="24"/>
        </w:rPr>
        <w:t>sso di monitoraggio limitato sia in termini di Stati membri interessati che di aspetti trattati. Tali processi orizzontali di monitoraggio dello Stato di diritto in tutti gli Stati membri dovrebbero fornire una base per un ulteriore sostegno dell'UE alle r</w:t>
      </w:r>
      <w:r>
        <w:rPr>
          <w:rFonts w:ascii="Times New Roman" w:hAnsi="Times New Roman"/>
          <w:noProof/>
          <w:sz w:val="24"/>
          <w:szCs w:val="24"/>
        </w:rPr>
        <w:t xml:space="preserve">iforme in Romania, una volta che la Commissione abbia riscontrato che sono stati fatti progressi sufficienti per rispettare gli impegni assunti da tale paese al momento dell'adesione all'UE. Nel frattempo gli aspetti inerenti allo Stato di diritto, ma che </w:t>
      </w:r>
      <w:r>
        <w:rPr>
          <w:rFonts w:ascii="Times New Roman" w:hAnsi="Times New Roman"/>
          <w:noProof/>
          <w:sz w:val="24"/>
          <w:szCs w:val="24"/>
        </w:rPr>
        <w:t xml:space="preserve">non rientrano nell'ambito di applicazione dell'MCV, verrebbero trattati nell'ambito del nuovo meccanismo. </w:t>
      </w:r>
    </w:p>
    <w:p w:rsidR="00882D23" w:rsidRDefault="00882D23">
      <w:pPr>
        <w:spacing w:after="0" w:line="240" w:lineRule="auto"/>
        <w:jc w:val="both"/>
        <w:rPr>
          <w:rFonts w:ascii="Times New Roman" w:hAnsi="Times New Roman"/>
          <w:noProof/>
          <w:sz w:val="24"/>
          <w:szCs w:val="24"/>
        </w:rPr>
      </w:pPr>
    </w:p>
    <w:p w:rsidR="00882D23" w:rsidRDefault="000F7DD2">
      <w:pPr>
        <w:keepNext/>
        <w:spacing w:after="120" w:line="240" w:lineRule="auto"/>
        <w:ind w:left="567" w:hanging="567"/>
        <w:jc w:val="both"/>
        <w:rPr>
          <w:rFonts w:ascii="Times New Roman" w:hAnsi="Times New Roman"/>
          <w:b/>
          <w:noProof/>
          <w:sz w:val="24"/>
          <w:szCs w:val="24"/>
        </w:rPr>
      </w:pPr>
      <w:r>
        <w:rPr>
          <w:rFonts w:ascii="Times New Roman" w:hAnsi="Times New Roman"/>
          <w:b/>
          <w:noProof/>
          <w:sz w:val="24"/>
          <w:szCs w:val="24"/>
        </w:rPr>
        <w:t>3.</w:t>
      </w:r>
      <w:r>
        <w:rPr>
          <w:rFonts w:ascii="Times New Roman" w:hAnsi="Times New Roman"/>
          <w:b/>
          <w:noProof/>
          <w:sz w:val="24"/>
          <w:szCs w:val="24"/>
        </w:rPr>
        <w:tab/>
        <w:t xml:space="preserve">VALUTAZIONE DEI PROGRESSI COMPIUTI NELL'ATTUAZIONE DELLE RACCOMANDAZIONI </w:t>
      </w:r>
    </w:p>
    <w:p w:rsidR="00882D23" w:rsidRDefault="000F7DD2">
      <w:pPr>
        <w:keepNext/>
        <w:spacing w:after="120" w:line="240" w:lineRule="auto"/>
        <w:jc w:val="both"/>
        <w:rPr>
          <w:rFonts w:ascii="Times New Roman" w:hAnsi="Times New Roman"/>
          <w:noProof/>
          <w:sz w:val="24"/>
          <w:szCs w:val="24"/>
        </w:rPr>
      </w:pPr>
      <w:r>
        <w:rPr>
          <w:rFonts w:ascii="Times New Roman" w:hAnsi="Times New Roman"/>
          <w:noProof/>
          <w:sz w:val="24"/>
          <w:szCs w:val="24"/>
        </w:rPr>
        <w:t>La presente sezione valuta i progressi compiuti nell'attuazione delle 1</w:t>
      </w:r>
      <w:r>
        <w:rPr>
          <w:rFonts w:ascii="Times New Roman" w:hAnsi="Times New Roman"/>
          <w:noProof/>
          <w:sz w:val="24"/>
          <w:szCs w:val="24"/>
        </w:rPr>
        <w:t>2 raccomandazioni del gennaio 2017 e delle otto raccomandazioni supplementari del novembre 2018. L'attuazione di queste raccomandazioni supplementari resta essenziale per riavviare il processo di riforma, rimediare agli effetti negativi dei regressi riscon</w:t>
      </w:r>
      <w:r>
        <w:rPr>
          <w:rFonts w:ascii="Times New Roman" w:hAnsi="Times New Roman"/>
          <w:noProof/>
          <w:sz w:val="24"/>
          <w:szCs w:val="24"/>
        </w:rPr>
        <w:t xml:space="preserve">trati nel novembre 2017 e nel novembre 2018 e riprendere il cammino verso il completamento dell'MCV. </w:t>
      </w:r>
    </w:p>
    <w:p w:rsidR="00882D23" w:rsidRDefault="000F7DD2">
      <w:pPr>
        <w:keepNext/>
        <w:spacing w:after="120" w:line="240" w:lineRule="auto"/>
        <w:jc w:val="both"/>
        <w:rPr>
          <w:rFonts w:ascii="Times New Roman" w:hAnsi="Times New Roman"/>
          <w:b/>
          <w:noProof/>
          <w:sz w:val="24"/>
          <w:szCs w:val="24"/>
        </w:rPr>
      </w:pPr>
      <w:r>
        <w:rPr>
          <w:rFonts w:ascii="Times New Roman" w:hAnsi="Times New Roman"/>
          <w:b/>
          <w:noProof/>
          <w:sz w:val="24"/>
          <w:szCs w:val="24"/>
        </w:rPr>
        <w:t xml:space="preserve">3.1. </w:t>
      </w:r>
      <w:r>
        <w:rPr>
          <w:rFonts w:ascii="Times New Roman" w:hAnsi="Times New Roman"/>
          <w:b/>
          <w:noProof/>
          <w:sz w:val="24"/>
          <w:szCs w:val="24"/>
        </w:rPr>
        <w:tab/>
        <w:t>Primo parametro di riferimento: indipendenza della magistratura e riforma giudiziaria</w:t>
      </w:r>
    </w:p>
    <w:p w:rsidR="00882D23" w:rsidRDefault="000F7DD2">
      <w:pPr>
        <w:spacing w:after="120" w:line="240" w:lineRule="auto"/>
        <w:jc w:val="both"/>
        <w:rPr>
          <w:rFonts w:ascii="Times New Roman" w:hAnsi="Times New Roman"/>
          <w:i/>
          <w:noProof/>
          <w:sz w:val="24"/>
          <w:szCs w:val="24"/>
        </w:rPr>
      </w:pPr>
      <w:r>
        <w:rPr>
          <w:rFonts w:ascii="Times New Roman" w:hAnsi="Times New Roman"/>
          <w:b/>
          <w:i/>
          <w:noProof/>
          <w:sz w:val="24"/>
          <w:szCs w:val="24"/>
        </w:rPr>
        <w:t>3.1.1.</w:t>
      </w:r>
      <w:r>
        <w:rPr>
          <w:rFonts w:ascii="Times New Roman" w:hAnsi="Times New Roman"/>
          <w:b/>
          <w:i/>
          <w:noProof/>
          <w:sz w:val="24"/>
          <w:szCs w:val="24"/>
        </w:rPr>
        <w:tab/>
        <w:t>Le raccomandazioni di novembre 2018: riavviare il proce</w:t>
      </w:r>
      <w:r>
        <w:rPr>
          <w:rFonts w:ascii="Times New Roman" w:hAnsi="Times New Roman"/>
          <w:b/>
          <w:i/>
          <w:noProof/>
          <w:sz w:val="24"/>
          <w:szCs w:val="24"/>
        </w:rPr>
        <w:t>sso di riforma</w:t>
      </w:r>
    </w:p>
    <w:p w:rsidR="00882D23" w:rsidRDefault="000F7DD2">
      <w:pPr>
        <w:spacing w:after="120" w:line="240" w:lineRule="auto"/>
        <w:jc w:val="both"/>
        <w:rPr>
          <w:rFonts w:ascii="Times New Roman" w:hAnsi="Times New Roman"/>
          <w:i/>
          <w:noProof/>
          <w:sz w:val="24"/>
          <w:szCs w:val="24"/>
        </w:rPr>
      </w:pPr>
      <w:r>
        <w:rPr>
          <w:rFonts w:ascii="Times New Roman" w:hAnsi="Times New Roman"/>
          <w:i/>
          <w:noProof/>
          <w:sz w:val="24"/>
          <w:szCs w:val="24"/>
        </w:rPr>
        <w:t>Leggi sulla giustizia e garanzie giuridiche dell'indipendenza della magistratura</w:t>
      </w:r>
    </w:p>
    <w:p w:rsidR="00882D23" w:rsidRDefault="000F7DD2">
      <w:pPr>
        <w:spacing w:after="120" w:line="240" w:lineRule="auto"/>
        <w:jc w:val="both"/>
        <w:rPr>
          <w:rFonts w:ascii="Times New Roman" w:hAnsi="Times New Roman"/>
          <w:noProof/>
          <w:sz w:val="24"/>
          <w:szCs w:val="24"/>
        </w:rPr>
      </w:pPr>
      <w:r>
        <w:rPr>
          <w:rFonts w:ascii="Times New Roman" w:hAnsi="Times New Roman"/>
          <w:noProof/>
          <w:sz w:val="24"/>
          <w:szCs w:val="24"/>
        </w:rPr>
        <w:t xml:space="preserve">La relazione del novembre 2018 rilevava che le modifiche alla legge sulla giustizia, entrate in vigore nei mesi di luglio e ottobre 2018, potrebbero esercitare </w:t>
      </w:r>
      <w:r>
        <w:rPr>
          <w:rFonts w:ascii="Times New Roman" w:hAnsi="Times New Roman"/>
          <w:noProof/>
          <w:sz w:val="24"/>
          <w:szCs w:val="24"/>
        </w:rPr>
        <w:t>pressione sui giudici e i pubblici ministeri e, in ultima analisi, minare l'indipendenza, l'efficienza e la qualità della magistratura. Anziché affrontare le questioni sollevate nelle precedenti relazioni sull'MCV, le leggi hanno creato nuovi rischi, in pa</w:t>
      </w:r>
      <w:r>
        <w:rPr>
          <w:rFonts w:ascii="Times New Roman" w:hAnsi="Times New Roman"/>
          <w:noProof/>
          <w:sz w:val="24"/>
          <w:szCs w:val="24"/>
        </w:rPr>
        <w:t>rticolare con l'istituzione della sezione speciale incaricata di indagare sui magistrati e il regime disciplinare e di responsabilità. Per questo la Commissione ha concluso che le leggi in questione rappresentavano un passo indietro rispetto alla valutazio</w:t>
      </w:r>
      <w:r>
        <w:rPr>
          <w:rFonts w:ascii="Times New Roman" w:hAnsi="Times New Roman"/>
          <w:noProof/>
          <w:sz w:val="24"/>
          <w:szCs w:val="24"/>
        </w:rPr>
        <w:t xml:space="preserve">ne del gennaio 2017 e ha proposto una pausa di riflessione mediante congelamento dell'entrata in vigore delle modifiche. </w:t>
      </w:r>
    </w:p>
    <w:tbl>
      <w:tblPr>
        <w:tblW w:w="9270"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70"/>
      </w:tblGrid>
      <w:tr w:rsidR="00882D23">
        <w:trPr>
          <w:trHeight w:val="1090"/>
        </w:trPr>
        <w:tc>
          <w:tcPr>
            <w:tcW w:w="9270" w:type="dxa"/>
          </w:tcPr>
          <w:p w:rsidR="00882D23" w:rsidRDefault="000F7DD2">
            <w:pPr>
              <w:spacing w:after="0" w:line="240" w:lineRule="auto"/>
              <w:contextualSpacing/>
              <w:jc w:val="both"/>
              <w:rPr>
                <w:rFonts w:ascii="Times New Roman" w:hAnsi="Times New Roman"/>
                <w:noProof/>
                <w:sz w:val="24"/>
                <w:szCs w:val="24"/>
              </w:rPr>
            </w:pPr>
            <w:r>
              <w:rPr>
                <w:rFonts w:ascii="Times New Roman" w:hAnsi="Times New Roman"/>
                <w:noProof/>
                <w:sz w:val="24"/>
                <w:szCs w:val="24"/>
              </w:rPr>
              <w:lastRenderedPageBreak/>
              <w:t>La relazione di novembre 2018 raccomandava di:</w:t>
            </w:r>
          </w:p>
          <w:p w:rsidR="00882D23" w:rsidRDefault="000F7DD2">
            <w:pPr>
              <w:numPr>
                <w:ilvl w:val="0"/>
                <w:numId w:val="14"/>
              </w:numPr>
              <w:spacing w:after="0" w:line="240" w:lineRule="auto"/>
              <w:ind w:left="411" w:hanging="396"/>
              <w:contextualSpacing/>
              <w:jc w:val="both"/>
              <w:rPr>
                <w:rFonts w:ascii="Times New Roman" w:hAnsi="Times New Roman"/>
                <w:i/>
                <w:noProof/>
                <w:sz w:val="24"/>
                <w:szCs w:val="24"/>
              </w:rPr>
            </w:pPr>
            <w:r>
              <w:rPr>
                <w:rFonts w:ascii="Times New Roman" w:hAnsi="Times New Roman"/>
                <w:i/>
                <w:noProof/>
                <w:sz w:val="24"/>
                <w:szCs w:val="24"/>
              </w:rPr>
              <w:t xml:space="preserve">sospendere immediatamente l'attuazione delle leggi sulla giustizia e dei successivi </w:t>
            </w:r>
            <w:r>
              <w:rPr>
                <w:rFonts w:ascii="Times New Roman" w:hAnsi="Times New Roman"/>
                <w:i/>
                <w:noProof/>
                <w:sz w:val="24"/>
                <w:szCs w:val="24"/>
              </w:rPr>
              <w:t>decreti d'urgenza;</w:t>
            </w:r>
          </w:p>
          <w:p w:rsidR="00882D23" w:rsidRDefault="000F7DD2">
            <w:pPr>
              <w:numPr>
                <w:ilvl w:val="0"/>
                <w:numId w:val="14"/>
              </w:numPr>
              <w:spacing w:after="0" w:line="240" w:lineRule="auto"/>
              <w:ind w:left="411" w:hanging="396"/>
              <w:contextualSpacing/>
              <w:jc w:val="both"/>
              <w:rPr>
                <w:rFonts w:ascii="Times New Roman" w:hAnsi="Times New Roman"/>
                <w:i/>
                <w:noProof/>
                <w:sz w:val="24"/>
                <w:szCs w:val="24"/>
              </w:rPr>
            </w:pPr>
            <w:r>
              <w:rPr>
                <w:rFonts w:ascii="Times New Roman" w:hAnsi="Times New Roman"/>
                <w:i/>
                <w:noProof/>
                <w:sz w:val="24"/>
                <w:szCs w:val="24"/>
              </w:rPr>
              <w:t xml:space="preserve">rivedere le leggi sulla giustizia tenendo pienamente conto delle raccomandazioni formulate nel quadro dell'MCV e delle raccomandazioni della Commissione di Venezia e del gruppo GRECO. </w:t>
            </w:r>
          </w:p>
        </w:tc>
      </w:tr>
    </w:tbl>
    <w:p w:rsidR="00882D23" w:rsidRDefault="000F7DD2">
      <w:pPr>
        <w:spacing w:before="120" w:after="120" w:line="240" w:lineRule="auto"/>
        <w:jc w:val="both"/>
        <w:rPr>
          <w:rFonts w:ascii="Times New Roman" w:hAnsi="Times New Roman"/>
          <w:noProof/>
          <w:sz w:val="24"/>
          <w:szCs w:val="24"/>
        </w:rPr>
      </w:pPr>
      <w:r>
        <w:rPr>
          <w:rFonts w:ascii="Times New Roman" w:hAnsi="Times New Roman"/>
          <w:noProof/>
          <w:sz w:val="24"/>
          <w:szCs w:val="24"/>
        </w:rPr>
        <w:t>Le raccomandazioni in questione non sono state attu</w:t>
      </w:r>
      <w:r>
        <w:rPr>
          <w:rFonts w:ascii="Times New Roman" w:hAnsi="Times New Roman"/>
          <w:noProof/>
          <w:sz w:val="24"/>
          <w:szCs w:val="24"/>
        </w:rPr>
        <w:t xml:space="preserve">ate dalle autorità rumene, che hanno inoltre sostenuto che le leggi in materia di giustizia avevano effetti giuridici che non potevano essere bloccati. </w:t>
      </w:r>
    </w:p>
    <w:p w:rsidR="00882D23" w:rsidRDefault="000F7DD2">
      <w:pPr>
        <w:spacing w:after="120" w:line="240" w:lineRule="auto"/>
        <w:jc w:val="both"/>
        <w:rPr>
          <w:rFonts w:ascii="Times New Roman" w:hAnsi="Times New Roman"/>
          <w:noProof/>
          <w:sz w:val="24"/>
          <w:szCs w:val="24"/>
        </w:rPr>
      </w:pPr>
      <w:r>
        <w:rPr>
          <w:rFonts w:ascii="Times New Roman" w:hAnsi="Times New Roman"/>
          <w:noProof/>
          <w:sz w:val="24"/>
          <w:szCs w:val="24"/>
        </w:rPr>
        <w:t>Obiettivo della raccomandazione era affrontare nel merito i problemi creati dalle leggi, e le iniziativ</w:t>
      </w:r>
      <w:r>
        <w:rPr>
          <w:rFonts w:ascii="Times New Roman" w:hAnsi="Times New Roman"/>
          <w:noProof/>
          <w:sz w:val="24"/>
          <w:szCs w:val="24"/>
        </w:rPr>
        <w:t>e successive hanno esacerbato questi problemi. Oltre ai tre decreti d'urgenza adottati in settembre e ottobre 2018, all'inizio del 2019 il governo ha adottato altri due decreti di urgenza che modificano le leggi sulla giustizia</w:t>
      </w:r>
      <w:r>
        <w:rPr>
          <w:rFonts w:ascii="Times New Roman" w:hAnsi="Times New Roman"/>
          <w:noProof/>
          <w:sz w:val="24"/>
          <w:szCs w:val="24"/>
          <w:vertAlign w:val="superscript"/>
        </w:rPr>
        <w:footnoteReference w:id="17"/>
      </w:r>
      <w:r>
        <w:rPr>
          <w:rFonts w:ascii="Times New Roman" w:hAnsi="Times New Roman"/>
          <w:noProof/>
          <w:sz w:val="24"/>
          <w:szCs w:val="24"/>
        </w:rPr>
        <w:t>. Come in casi precedenti, l</w:t>
      </w:r>
      <w:r>
        <w:rPr>
          <w:rFonts w:ascii="Times New Roman" w:hAnsi="Times New Roman"/>
          <w:noProof/>
          <w:sz w:val="24"/>
          <w:szCs w:val="24"/>
        </w:rPr>
        <w:t>a rapidità dell'adozione, la mancanza di consultazioni e la logica poco chiara alla base di questi decreti d'urgenza hanno inciso negativamente sulla certezza del diritto e la prevedibilità del procedimento giudiziario. Le modifiche volte ad accelerare l'i</w:t>
      </w:r>
      <w:r>
        <w:rPr>
          <w:rFonts w:ascii="Times New Roman" w:hAnsi="Times New Roman"/>
          <w:noProof/>
          <w:sz w:val="24"/>
          <w:szCs w:val="24"/>
        </w:rPr>
        <w:t>stituzione della sezione speciale per indagare sui reati commessi dai magistrati ed estenderne le competenze o le successive modifiche ai requisiti e alle norme procedurali per la nomina dei procuratori (compresa la gestione) della Direzione nazionale anti</w:t>
      </w:r>
      <w:r>
        <w:rPr>
          <w:rFonts w:ascii="Times New Roman" w:hAnsi="Times New Roman"/>
          <w:noProof/>
          <w:sz w:val="24"/>
          <w:szCs w:val="24"/>
        </w:rPr>
        <w:t>corruzione (DNA) hanno ulteriormente aumentato le preoccupazioni e la sfiducia in queste modifiche</w:t>
      </w:r>
      <w:r>
        <w:rPr>
          <w:rStyle w:val="FootnoteReference"/>
          <w:rFonts w:ascii="Times New Roman" w:hAnsi="Times New Roman"/>
          <w:noProof/>
          <w:sz w:val="24"/>
          <w:szCs w:val="24"/>
        </w:rPr>
        <w:footnoteReference w:id="18"/>
      </w:r>
      <w:r>
        <w:rPr>
          <w:noProof/>
          <w:sz w:val="24"/>
          <w:szCs w:val="24"/>
        </w:rPr>
        <w:t>.</w:t>
      </w:r>
      <w:r>
        <w:rPr>
          <w:rFonts w:ascii="Times New Roman" w:hAnsi="Times New Roman"/>
          <w:noProof/>
          <w:sz w:val="24"/>
          <w:szCs w:val="24"/>
        </w:rPr>
        <w:t xml:space="preserve"> In particolare, sembra che alcune delle modifiche siano state adottate per modificare le leggi nell'interesse di persone specifiche</w:t>
      </w:r>
      <w:r>
        <w:rPr>
          <w:rStyle w:val="FootnoteReference"/>
          <w:rFonts w:ascii="Times New Roman" w:hAnsi="Times New Roman"/>
          <w:noProof/>
          <w:sz w:val="24"/>
          <w:szCs w:val="24"/>
        </w:rPr>
        <w:footnoteReference w:id="19"/>
      </w:r>
      <w:r>
        <w:rPr>
          <w:rStyle w:val="FootnoteReference"/>
          <w:noProof/>
          <w:sz w:val="24"/>
          <w:szCs w:val="24"/>
        </w:rPr>
        <w:t>,</w:t>
      </w:r>
      <w:r>
        <w:rPr>
          <w:rFonts w:ascii="Times New Roman" w:hAnsi="Times New Roman"/>
          <w:noProof/>
          <w:sz w:val="24"/>
          <w:szCs w:val="24"/>
          <w:vertAlign w:val="superscript"/>
        </w:rPr>
        <w:footnoteReference w:id="20"/>
      </w:r>
      <w:r>
        <w:rPr>
          <w:noProof/>
          <w:sz w:val="24"/>
          <w:szCs w:val="24"/>
        </w:rPr>
        <w:t>.</w:t>
      </w:r>
      <w:r>
        <w:rPr>
          <w:rFonts w:ascii="Times New Roman" w:hAnsi="Times New Roman"/>
          <w:noProof/>
          <w:sz w:val="24"/>
          <w:szCs w:val="24"/>
        </w:rPr>
        <w:t xml:space="preserve"> I decreti d'urgenza</w:t>
      </w:r>
      <w:r>
        <w:rPr>
          <w:rFonts w:ascii="Times New Roman" w:hAnsi="Times New Roman"/>
          <w:noProof/>
          <w:sz w:val="24"/>
          <w:szCs w:val="24"/>
        </w:rPr>
        <w:t xml:space="preserve"> hanno suscitato reazioni molto negative che hanno a loro volta contribuito alle reazioni dell'opinione pubblica - manifestatesi nel referendum del 26 maggio 2019 - alle modifiche apportate alle leggi sulla giustizia mediante i decreti d'urgenza. </w:t>
      </w:r>
    </w:p>
    <w:p w:rsidR="00882D23" w:rsidRDefault="000F7DD2">
      <w:pPr>
        <w:spacing w:after="120" w:line="240" w:lineRule="auto"/>
        <w:jc w:val="both"/>
        <w:rPr>
          <w:rFonts w:ascii="Times New Roman" w:hAnsi="Times New Roman"/>
          <w:noProof/>
          <w:sz w:val="24"/>
          <w:szCs w:val="24"/>
        </w:rPr>
      </w:pPr>
      <w:r>
        <w:rPr>
          <w:rFonts w:ascii="Times New Roman" w:hAnsi="Times New Roman"/>
          <w:noProof/>
          <w:sz w:val="24"/>
          <w:szCs w:val="24"/>
        </w:rPr>
        <w:t>L'attuaz</w:t>
      </w:r>
      <w:r>
        <w:rPr>
          <w:rFonts w:ascii="Times New Roman" w:hAnsi="Times New Roman"/>
          <w:noProof/>
          <w:sz w:val="24"/>
          <w:szCs w:val="24"/>
        </w:rPr>
        <w:t>ione delle leggi modificate sulla giustizia ha inoltre confermato nella pratica le preoccupazioni sollevate nella relazione di novembre per quanto riguarda i danni arrecati al sistema giudiziario. In particolare, il funzionamento della sezione speciale inc</w:t>
      </w:r>
      <w:r>
        <w:rPr>
          <w:rFonts w:ascii="Times New Roman" w:hAnsi="Times New Roman"/>
          <w:noProof/>
          <w:sz w:val="24"/>
          <w:szCs w:val="24"/>
        </w:rPr>
        <w:t>aricata di indagare sui reati commessi dai magistrati ha confermato i timori, espressi sia in Romania che al suo esterno, che tale sezione potrebbe essere usata come strumento di pressione politica</w:t>
      </w:r>
      <w:r>
        <w:rPr>
          <w:rStyle w:val="FootnoteReference"/>
          <w:rFonts w:ascii="Times New Roman" w:hAnsi="Times New Roman"/>
          <w:noProof/>
          <w:sz w:val="24"/>
          <w:szCs w:val="24"/>
        </w:rPr>
        <w:footnoteReference w:id="21"/>
      </w:r>
      <w:r>
        <w:rPr>
          <w:noProof/>
          <w:sz w:val="24"/>
          <w:szCs w:val="24"/>
        </w:rPr>
        <w:t>.</w:t>
      </w:r>
      <w:r>
        <w:rPr>
          <w:rFonts w:ascii="Times New Roman" w:hAnsi="Times New Roman"/>
          <w:noProof/>
          <w:sz w:val="24"/>
          <w:szCs w:val="24"/>
        </w:rPr>
        <w:t xml:space="preserve"> Vi sono diversi esempi di come la sezione speciale abbia</w:t>
      </w:r>
      <w:r>
        <w:rPr>
          <w:rFonts w:ascii="Times New Roman" w:hAnsi="Times New Roman"/>
          <w:noProof/>
          <w:sz w:val="24"/>
          <w:szCs w:val="24"/>
        </w:rPr>
        <w:t xml:space="preserve"> esercitato i propri poteri per modificare il corso delle indagini penali, tali da suscitare seri dubbi quanto alla sua obiettività</w:t>
      </w:r>
      <w:r>
        <w:rPr>
          <w:rFonts w:ascii="Times New Roman" w:hAnsi="Times New Roman"/>
          <w:noProof/>
          <w:sz w:val="24"/>
          <w:szCs w:val="24"/>
          <w:vertAlign w:val="superscript"/>
        </w:rPr>
        <w:footnoteReference w:id="22"/>
      </w:r>
      <w:r>
        <w:rPr>
          <w:rFonts w:ascii="Times New Roman" w:hAnsi="Times New Roman"/>
          <w:noProof/>
          <w:sz w:val="24"/>
          <w:szCs w:val="24"/>
        </w:rPr>
        <w:t xml:space="preserve">. Tali esempi comprendono casi in cui la sezione speciale ha avviato indagini nei confronti di giudici e pubblici ministeri </w:t>
      </w:r>
      <w:r>
        <w:rPr>
          <w:rFonts w:ascii="Times New Roman" w:hAnsi="Times New Roman"/>
          <w:noProof/>
          <w:sz w:val="24"/>
          <w:szCs w:val="24"/>
        </w:rPr>
        <w:t>che si erano opposti alle attuali modifiche al sistema giudiziario, come pure cambiamenti repentini delle procedure seguite nei casi pendenti, quali la revoca dei ricorsi presentati in precedenza dalla DNA in casi di corruzione ad alto livello</w:t>
      </w:r>
      <w:r>
        <w:rPr>
          <w:rStyle w:val="FootnoteReference"/>
          <w:rFonts w:ascii="Times New Roman" w:hAnsi="Times New Roman"/>
          <w:noProof/>
          <w:sz w:val="24"/>
          <w:szCs w:val="24"/>
        </w:rPr>
        <w:footnoteReference w:id="23"/>
      </w:r>
      <w:r>
        <w:rPr>
          <w:noProof/>
          <w:sz w:val="24"/>
          <w:szCs w:val="24"/>
        </w:rPr>
        <w:t>.</w:t>
      </w:r>
      <w:r>
        <w:rPr>
          <w:rFonts w:ascii="Times New Roman" w:hAnsi="Times New Roman"/>
          <w:noProof/>
          <w:sz w:val="24"/>
          <w:szCs w:val="24"/>
        </w:rPr>
        <w:t xml:space="preserve"> Anche la g</w:t>
      </w:r>
      <w:r>
        <w:rPr>
          <w:rFonts w:ascii="Times New Roman" w:hAnsi="Times New Roman"/>
          <w:noProof/>
          <w:sz w:val="24"/>
          <w:szCs w:val="24"/>
        </w:rPr>
        <w:t>estione delle nomine per la sezione speciale è stata oggetto di controversie, tanto che molti portatori di interessi in Romania ne hanno chiesto lo scioglimento</w:t>
      </w:r>
      <w:r>
        <w:rPr>
          <w:rFonts w:ascii="Times New Roman" w:hAnsi="Times New Roman"/>
          <w:noProof/>
          <w:sz w:val="24"/>
          <w:szCs w:val="24"/>
          <w:vertAlign w:val="superscript"/>
        </w:rPr>
        <w:footnoteReference w:id="24"/>
      </w:r>
      <w:r>
        <w:rPr>
          <w:rFonts w:ascii="Times New Roman" w:hAnsi="Times New Roman"/>
          <w:noProof/>
          <w:sz w:val="24"/>
          <w:szCs w:val="24"/>
        </w:rPr>
        <w:t>.</w:t>
      </w:r>
    </w:p>
    <w:p w:rsidR="00882D23" w:rsidRDefault="000F7DD2">
      <w:pPr>
        <w:spacing w:after="120" w:line="240" w:lineRule="auto"/>
        <w:jc w:val="both"/>
        <w:rPr>
          <w:rFonts w:ascii="Times New Roman" w:hAnsi="Times New Roman"/>
          <w:noProof/>
          <w:sz w:val="24"/>
          <w:szCs w:val="24"/>
        </w:rPr>
      </w:pPr>
      <w:r>
        <w:rPr>
          <w:rFonts w:ascii="Times New Roman" w:hAnsi="Times New Roman"/>
          <w:noProof/>
          <w:sz w:val="24"/>
          <w:szCs w:val="24"/>
        </w:rPr>
        <w:t>Nel giugno 2019 la Commissione di Venezia ha adottato un parere sui decreti d'urgenza</w:t>
      </w:r>
      <w:r>
        <w:rPr>
          <w:rStyle w:val="FootnoteReference"/>
          <w:rFonts w:ascii="Times New Roman" w:hAnsi="Times New Roman"/>
          <w:noProof/>
          <w:sz w:val="24"/>
          <w:szCs w:val="24"/>
        </w:rPr>
        <w:footnoteReference w:id="25"/>
      </w:r>
      <w:r>
        <w:rPr>
          <w:rFonts w:ascii="Times New Roman" w:hAnsi="Times New Roman"/>
          <w:noProof/>
          <w:sz w:val="24"/>
          <w:szCs w:val="24"/>
        </w:rPr>
        <w:t>, confe</w:t>
      </w:r>
      <w:r>
        <w:rPr>
          <w:rFonts w:ascii="Times New Roman" w:hAnsi="Times New Roman"/>
          <w:noProof/>
          <w:sz w:val="24"/>
          <w:szCs w:val="24"/>
        </w:rPr>
        <w:t>rmando le ulteriori preoccupazioni suscitate dalle nuove modifiche</w:t>
      </w:r>
      <w:r>
        <w:rPr>
          <w:rFonts w:ascii="Times New Roman" w:hAnsi="Times New Roman"/>
          <w:noProof/>
          <w:sz w:val="24"/>
          <w:szCs w:val="24"/>
          <w:vertAlign w:val="superscript"/>
        </w:rPr>
        <w:footnoteReference w:id="26"/>
      </w:r>
      <w:r>
        <w:rPr>
          <w:rFonts w:ascii="Times New Roman" w:hAnsi="Times New Roman"/>
          <w:noProof/>
          <w:sz w:val="24"/>
          <w:szCs w:val="24"/>
        </w:rPr>
        <w:t xml:space="preserve"> e dall'operato della sezione speciale. In due nuove relazioni del giugno 2019, il GRECO ha sollevato preoccupazioni analoghe</w:t>
      </w:r>
      <w:r>
        <w:rPr>
          <w:rStyle w:val="FootnoteReference"/>
          <w:rFonts w:ascii="Times New Roman" w:hAnsi="Times New Roman"/>
          <w:noProof/>
          <w:sz w:val="24"/>
          <w:szCs w:val="24"/>
        </w:rPr>
        <w:footnoteReference w:id="27"/>
      </w:r>
      <w:r>
        <w:rPr>
          <w:noProof/>
          <w:sz w:val="24"/>
          <w:szCs w:val="24"/>
        </w:rPr>
        <w:t>.</w:t>
      </w:r>
    </w:p>
    <w:p w:rsidR="00882D23" w:rsidRDefault="000F7DD2">
      <w:pPr>
        <w:spacing w:after="120" w:line="240" w:lineRule="auto"/>
        <w:jc w:val="both"/>
        <w:rPr>
          <w:rFonts w:ascii="Times New Roman" w:hAnsi="Times New Roman"/>
          <w:noProof/>
          <w:sz w:val="24"/>
          <w:szCs w:val="24"/>
        </w:rPr>
      </w:pPr>
      <w:r>
        <w:rPr>
          <w:rFonts w:ascii="Times New Roman" w:hAnsi="Times New Roman"/>
          <w:noProof/>
          <w:sz w:val="24"/>
          <w:szCs w:val="24"/>
        </w:rPr>
        <w:t>Nel luglio 2019 il ministro della Giustizia ha espresso la vo</w:t>
      </w:r>
      <w:r>
        <w:rPr>
          <w:rFonts w:ascii="Times New Roman" w:hAnsi="Times New Roman"/>
          <w:noProof/>
          <w:sz w:val="24"/>
          <w:szCs w:val="24"/>
        </w:rPr>
        <w:t>lontà di individuare soluzioni legislative adeguate, in consultazione con la magistratura e il Parlamento nell'ambito di un nuovo processo di consultazioni strutturate</w:t>
      </w:r>
      <w:r>
        <w:rPr>
          <w:rStyle w:val="FootnoteReference"/>
          <w:rFonts w:ascii="Times New Roman" w:hAnsi="Times New Roman"/>
          <w:noProof/>
          <w:sz w:val="24"/>
          <w:szCs w:val="24"/>
        </w:rPr>
        <w:footnoteReference w:id="28"/>
      </w:r>
      <w:r>
        <w:rPr>
          <w:noProof/>
          <w:sz w:val="24"/>
          <w:szCs w:val="24"/>
        </w:rPr>
        <w:t>.</w:t>
      </w:r>
      <w:r>
        <w:rPr>
          <w:rFonts w:ascii="Times New Roman" w:hAnsi="Times New Roman"/>
          <w:noProof/>
          <w:sz w:val="24"/>
          <w:szCs w:val="24"/>
        </w:rPr>
        <w:t xml:space="preserve"> Tuttavia, da successive dichiarazioni di esponenti del governo si è appreso che non sa</w:t>
      </w:r>
      <w:r>
        <w:rPr>
          <w:rFonts w:ascii="Times New Roman" w:hAnsi="Times New Roman"/>
          <w:noProof/>
          <w:sz w:val="24"/>
          <w:szCs w:val="24"/>
        </w:rPr>
        <w:t>rebbero stati proposti cambiamenti in relazione alla sezione speciale. Pertanto le questioni sollevate dalla Commissione europea, dalla Commissione di Venezia e dal GRECO non hanno dato luogo a ulteriori modifiche.</w:t>
      </w:r>
    </w:p>
    <w:p w:rsidR="00882D23" w:rsidRDefault="000F7DD2">
      <w:pPr>
        <w:spacing w:after="120" w:line="240" w:lineRule="auto"/>
        <w:jc w:val="both"/>
        <w:rPr>
          <w:noProof/>
          <w:sz w:val="24"/>
          <w:szCs w:val="24"/>
        </w:rPr>
      </w:pPr>
      <w:r>
        <w:rPr>
          <w:rFonts w:ascii="Times New Roman" w:hAnsi="Times New Roman"/>
          <w:i/>
          <w:noProof/>
          <w:sz w:val="24"/>
          <w:szCs w:val="24"/>
        </w:rPr>
        <w:t>Nomine all'interno del sistema giudiziari</w:t>
      </w:r>
      <w:r>
        <w:rPr>
          <w:rFonts w:ascii="Times New Roman" w:hAnsi="Times New Roman"/>
          <w:i/>
          <w:noProof/>
          <w:sz w:val="24"/>
          <w:szCs w:val="24"/>
        </w:rPr>
        <w:t>o e pressioni sulle istituzioni giudiziarie</w:t>
      </w:r>
    </w:p>
    <w:p w:rsidR="00882D23" w:rsidRDefault="000F7DD2">
      <w:pPr>
        <w:pStyle w:val="Body"/>
        <w:spacing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Gli sviluppi intervenuti dal novembre 2018 hanno confermato la pertinenza della raccomandazione formulata in passato dall'MCV di instaurare un sistema più solido e indipendente per la nomina dei procuratori di grado più elevato. La relazione 2018 dell'MCV </w:t>
      </w:r>
      <w:r>
        <w:rPr>
          <w:rFonts w:ascii="Times New Roman" w:hAnsi="Times New Roman"/>
          <w:noProof/>
          <w:sz w:val="24"/>
          <w:szCs w:val="24"/>
        </w:rPr>
        <w:t xml:space="preserve">ha sollevato preoccupazioni in particolare per quanto riguarda le procedure di revoca/nomina del procuratore capo della Direzione nazionale anticorruzione (DNA) e del procuratore generale. </w:t>
      </w:r>
    </w:p>
    <w:tbl>
      <w:tblPr>
        <w:tblW w:w="9270"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70"/>
      </w:tblGrid>
      <w:tr w:rsidR="00882D23">
        <w:trPr>
          <w:trHeight w:val="1090"/>
        </w:trPr>
        <w:tc>
          <w:tcPr>
            <w:tcW w:w="9270" w:type="dxa"/>
          </w:tcPr>
          <w:p w:rsidR="00882D23" w:rsidRDefault="000F7DD2">
            <w:pPr>
              <w:spacing w:after="240" w:line="240" w:lineRule="auto"/>
              <w:contextualSpacing/>
              <w:jc w:val="both"/>
              <w:rPr>
                <w:rFonts w:ascii="Times New Roman" w:hAnsi="Times New Roman"/>
                <w:noProof/>
                <w:sz w:val="24"/>
                <w:szCs w:val="24"/>
              </w:rPr>
            </w:pPr>
            <w:r>
              <w:rPr>
                <w:rFonts w:ascii="Times New Roman" w:hAnsi="Times New Roman"/>
                <w:noProof/>
                <w:sz w:val="24"/>
                <w:szCs w:val="24"/>
              </w:rPr>
              <w:t>La relazione di novembre 2018 raccomandava di:</w:t>
            </w:r>
          </w:p>
          <w:p w:rsidR="00882D23" w:rsidRDefault="00882D23">
            <w:pPr>
              <w:spacing w:after="240" w:line="240" w:lineRule="auto"/>
              <w:contextualSpacing/>
              <w:jc w:val="both"/>
              <w:rPr>
                <w:rFonts w:ascii="Times New Roman" w:hAnsi="Times New Roman"/>
                <w:noProof/>
                <w:sz w:val="24"/>
                <w:szCs w:val="24"/>
              </w:rPr>
            </w:pPr>
          </w:p>
          <w:p w:rsidR="00882D23" w:rsidRDefault="000F7DD2">
            <w:pPr>
              <w:numPr>
                <w:ilvl w:val="0"/>
                <w:numId w:val="14"/>
              </w:numPr>
              <w:spacing w:after="120" w:line="240" w:lineRule="auto"/>
              <w:ind w:left="408" w:hanging="306"/>
              <w:contextualSpacing/>
              <w:jc w:val="both"/>
              <w:rPr>
                <w:rFonts w:ascii="Times New Roman" w:hAnsi="Times New Roman"/>
                <w:i/>
                <w:noProof/>
                <w:sz w:val="24"/>
                <w:szCs w:val="24"/>
              </w:rPr>
            </w:pPr>
            <w:r>
              <w:rPr>
                <w:rFonts w:ascii="Times New Roman" w:hAnsi="Times New Roman"/>
                <w:i/>
                <w:noProof/>
                <w:sz w:val="24"/>
                <w:szCs w:val="24"/>
              </w:rPr>
              <w:t xml:space="preserve">sospendere </w:t>
            </w:r>
            <w:r>
              <w:rPr>
                <w:rFonts w:ascii="Times New Roman" w:hAnsi="Times New Roman"/>
                <w:i/>
                <w:noProof/>
                <w:sz w:val="24"/>
                <w:szCs w:val="24"/>
              </w:rPr>
              <w:t>immediatamente tutte le attuali procedure di nomina e di revoca delle nomine dei magistrati di grado più elevato delle procure;</w:t>
            </w:r>
          </w:p>
          <w:p w:rsidR="00882D23" w:rsidRDefault="000F7DD2">
            <w:pPr>
              <w:numPr>
                <w:ilvl w:val="0"/>
                <w:numId w:val="14"/>
              </w:numPr>
              <w:spacing w:after="120" w:line="240" w:lineRule="auto"/>
              <w:ind w:left="408" w:hanging="306"/>
              <w:contextualSpacing/>
              <w:jc w:val="both"/>
              <w:rPr>
                <w:rFonts w:ascii="Times New Roman" w:hAnsi="Times New Roman"/>
                <w:i/>
                <w:noProof/>
                <w:sz w:val="24"/>
                <w:szCs w:val="24"/>
              </w:rPr>
            </w:pPr>
            <w:r>
              <w:rPr>
                <w:rFonts w:ascii="Times New Roman" w:hAnsi="Times New Roman"/>
                <w:i/>
                <w:noProof/>
                <w:sz w:val="24"/>
                <w:szCs w:val="24"/>
              </w:rPr>
              <w:t>rilanciare la procedura di nomina di un Procuratore capo della DNA con comprovata esperienza nel perseguimento dei reati di corr</w:t>
            </w:r>
            <w:r>
              <w:rPr>
                <w:rFonts w:ascii="Times New Roman" w:hAnsi="Times New Roman"/>
                <w:i/>
                <w:noProof/>
                <w:sz w:val="24"/>
                <w:szCs w:val="24"/>
              </w:rPr>
              <w:t xml:space="preserve">uzione, accompagnata da un mandato chiaro che autorizzi la DNA a continuare ad indagare i casi di corruzione in modo professionale, imparziale e indipendente; </w:t>
            </w:r>
          </w:p>
          <w:p w:rsidR="00882D23" w:rsidRDefault="000F7DD2">
            <w:pPr>
              <w:numPr>
                <w:ilvl w:val="0"/>
                <w:numId w:val="14"/>
              </w:numPr>
              <w:spacing w:after="120" w:line="240" w:lineRule="auto"/>
              <w:ind w:left="408" w:hanging="306"/>
              <w:contextualSpacing/>
              <w:jc w:val="both"/>
              <w:rPr>
                <w:rFonts w:ascii="Times New Roman" w:hAnsi="Times New Roman"/>
                <w:i/>
                <w:noProof/>
                <w:sz w:val="24"/>
                <w:szCs w:val="24"/>
              </w:rPr>
            </w:pPr>
            <w:r>
              <w:rPr>
                <w:rFonts w:ascii="Times New Roman" w:hAnsi="Times New Roman"/>
                <w:i/>
                <w:noProof/>
                <w:sz w:val="24"/>
                <w:szCs w:val="24"/>
              </w:rPr>
              <w:t>rispettare i pareri negativi adottati dal Consiglio superiore della magistratura in tema di nomi</w:t>
            </w:r>
            <w:r>
              <w:rPr>
                <w:rFonts w:ascii="Times New Roman" w:hAnsi="Times New Roman"/>
                <w:i/>
                <w:noProof/>
                <w:sz w:val="24"/>
                <w:szCs w:val="24"/>
              </w:rPr>
              <w:t xml:space="preserve">na o di revoca dei procuratori in posizioni manageriali, fino al momento in cui non sarà entrato in vigore un nuovo quadro legislativo, conformemente alla raccomandazione 1 del gennaio 2017. </w:t>
            </w:r>
          </w:p>
        </w:tc>
      </w:tr>
    </w:tbl>
    <w:p w:rsidR="00882D23" w:rsidRDefault="000F7DD2">
      <w:pPr>
        <w:pStyle w:val="Body"/>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Inizialmente non è stato dato seguito a queste raccomandazioni.</w:t>
      </w:r>
      <w:r>
        <w:rPr>
          <w:rFonts w:ascii="Times New Roman" w:hAnsi="Times New Roman"/>
          <w:noProof/>
          <w:sz w:val="24"/>
          <w:szCs w:val="24"/>
        </w:rPr>
        <w:t xml:space="preserve"> L'allora ministro della Giustizia ha mantenuto la scelta del candidato al posto di procuratore capo della DNA. Nel gennaio 2019 il presidente della Romania si è rifiutato per la seconda volta di ratificare tale candidatura. Da allora la procedura è di fat</w:t>
      </w:r>
      <w:r>
        <w:rPr>
          <w:rFonts w:ascii="Times New Roman" w:hAnsi="Times New Roman"/>
          <w:noProof/>
          <w:sz w:val="24"/>
          <w:szCs w:val="24"/>
        </w:rPr>
        <w:t xml:space="preserve">to sospesa e la DNA è gestita </w:t>
      </w:r>
      <w:r>
        <w:rPr>
          <w:rFonts w:ascii="Times New Roman" w:hAnsi="Times New Roman"/>
          <w:i/>
          <w:noProof/>
          <w:sz w:val="24"/>
          <w:szCs w:val="24"/>
        </w:rPr>
        <w:t>ad interim</w:t>
      </w:r>
      <w:r>
        <w:rPr>
          <w:rFonts w:ascii="Times New Roman" w:hAnsi="Times New Roman"/>
          <w:noProof/>
          <w:sz w:val="24"/>
          <w:szCs w:val="24"/>
        </w:rPr>
        <w:t xml:space="preserve">. L'allora ministro della Giustizia ha inoltre dato seguito alla procedura di revoca del procuratore generale, nonostante il parere negativo del Consiglio superiore della magistratura. Nel gennaio 2019 il presidente </w:t>
      </w:r>
      <w:r>
        <w:rPr>
          <w:rFonts w:ascii="Times New Roman" w:hAnsi="Times New Roman"/>
          <w:noProof/>
          <w:sz w:val="24"/>
          <w:szCs w:val="24"/>
        </w:rPr>
        <w:t>della Romania si è rifiutato di avallare la revoca. Tuttavia, poiché il mandato doveva essere rinnovato nel maggio 2019, in aprile il ministro ha organizzato una procedura di nomina. Come era successo per la procedura di nomina del procuratore capo della D</w:t>
      </w:r>
      <w:r>
        <w:rPr>
          <w:rFonts w:ascii="Times New Roman" w:hAnsi="Times New Roman"/>
          <w:noProof/>
          <w:sz w:val="24"/>
          <w:szCs w:val="24"/>
        </w:rPr>
        <w:t>NA nel luglio 2018, il ministro ha rifiutato tutte le candidature giudicandole non idonee, nonostante il fatto che molti candidati fossero magistrati di grado elevato delle procure in attività, incluso l'allora procuratore generale. A seguito di tutto ques</w:t>
      </w:r>
      <w:r>
        <w:rPr>
          <w:rFonts w:ascii="Times New Roman" w:hAnsi="Times New Roman"/>
          <w:noProof/>
          <w:sz w:val="24"/>
          <w:szCs w:val="24"/>
        </w:rPr>
        <w:t xml:space="preserve">to il procuratore generale ha deciso di andare in pensione ed ora anche questa funzione è esercitata </w:t>
      </w:r>
      <w:r>
        <w:rPr>
          <w:rFonts w:ascii="Times New Roman" w:hAnsi="Times New Roman"/>
          <w:i/>
          <w:noProof/>
          <w:sz w:val="24"/>
          <w:szCs w:val="24"/>
        </w:rPr>
        <w:t>ad interim</w:t>
      </w:r>
      <w:r>
        <w:rPr>
          <w:rStyle w:val="FootnoteReference"/>
          <w:rFonts w:ascii="Times New Roman" w:hAnsi="Times New Roman" w:cs="Times New Roman"/>
          <w:noProof/>
          <w:sz w:val="24"/>
          <w:szCs w:val="24"/>
        </w:rPr>
        <w:footnoteReference w:id="29"/>
      </w:r>
      <w:r>
        <w:rPr>
          <w:noProof/>
          <w:sz w:val="24"/>
          <w:szCs w:val="24"/>
        </w:rPr>
        <w:t>.</w:t>
      </w:r>
      <w:r>
        <w:rPr>
          <w:rFonts w:ascii="Times New Roman" w:hAnsi="Times New Roman"/>
          <w:noProof/>
          <w:sz w:val="24"/>
          <w:szCs w:val="24"/>
        </w:rPr>
        <w:t xml:space="preserve"> L'allora ministro aveva quindi avviato una nuova procedura di nomina del procuratore generale, che è poi stata annullata dal nuovo ministro de</w:t>
      </w:r>
      <w:r>
        <w:rPr>
          <w:rFonts w:ascii="Times New Roman" w:hAnsi="Times New Roman"/>
          <w:noProof/>
          <w:sz w:val="24"/>
          <w:szCs w:val="24"/>
        </w:rPr>
        <w:t>lla Giustizia, entrato in carica nell'aprile 2019. L'approccio dell'attuale ministro ha permesso di evitare un ulteriore deterioramento della situazione, creando margini di manovra per migliorare la procedura. Si tratta di una questione che dovrebbe rientr</w:t>
      </w:r>
      <w:r>
        <w:rPr>
          <w:rFonts w:ascii="Times New Roman" w:hAnsi="Times New Roman"/>
          <w:noProof/>
          <w:sz w:val="24"/>
          <w:szCs w:val="24"/>
        </w:rPr>
        <w:t xml:space="preserve">are tra le priorità del governo rumeno, in quanto l'esperienza degli ultimi anni conferma il fatto che le pressioni politiche in questo processo possono andare a detrimento della qualità delle nomine e della necessità di una soluzione sostenibile di lungo </w:t>
      </w:r>
      <w:r>
        <w:rPr>
          <w:rFonts w:ascii="Times New Roman" w:hAnsi="Times New Roman"/>
          <w:noProof/>
          <w:sz w:val="24"/>
          <w:szCs w:val="24"/>
        </w:rPr>
        <w:t xml:space="preserve">termine. </w:t>
      </w:r>
    </w:p>
    <w:p w:rsidR="00882D23" w:rsidRDefault="000F7DD2">
      <w:pPr>
        <w:spacing w:after="120" w:line="240" w:lineRule="auto"/>
        <w:jc w:val="both"/>
        <w:rPr>
          <w:rFonts w:ascii="Times New Roman" w:eastAsia="SimSun" w:hAnsi="Times New Roman"/>
          <w:noProof/>
          <w:sz w:val="24"/>
          <w:szCs w:val="24"/>
        </w:rPr>
      </w:pPr>
      <w:r>
        <w:rPr>
          <w:rFonts w:ascii="Times New Roman" w:hAnsi="Times New Roman"/>
          <w:noProof/>
          <w:sz w:val="24"/>
          <w:szCs w:val="24"/>
        </w:rPr>
        <w:t>L'Ispettorato giudiziario svolge un ruolo fondamentale per garantire la fiducia dei cittadini nell'indipendenza, professionalità e integrità della magistratura. Dopo anni di valutazioni positive, la relazione del novembre 2018 ha evidenziato note</w:t>
      </w:r>
      <w:r>
        <w:rPr>
          <w:rFonts w:ascii="Times New Roman" w:hAnsi="Times New Roman"/>
          <w:noProof/>
          <w:sz w:val="24"/>
          <w:szCs w:val="24"/>
        </w:rPr>
        <w:t>voli preoccupazioni in relazione all'Ispettorato: una serie di procedimenti disciplinari nei confronti dei magistrati che si oppongono pubblicamente alle modalità di riforma del sistema giudiziario, fughe di documenti - utilizzati poi dai politici per atta</w:t>
      </w:r>
      <w:r>
        <w:rPr>
          <w:rFonts w:ascii="Times New Roman" w:hAnsi="Times New Roman"/>
          <w:noProof/>
          <w:sz w:val="24"/>
          <w:szCs w:val="24"/>
        </w:rPr>
        <w:t>ccare le istituzioni giudiziarie - e la proroga del gruppo di gestione da parte del governo.</w:t>
      </w:r>
    </w:p>
    <w:tbl>
      <w:tblPr>
        <w:tblW w:w="9270"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70"/>
      </w:tblGrid>
      <w:tr w:rsidR="00882D23">
        <w:trPr>
          <w:trHeight w:val="132"/>
        </w:trPr>
        <w:tc>
          <w:tcPr>
            <w:tcW w:w="9270" w:type="dxa"/>
          </w:tcPr>
          <w:p w:rsidR="00882D23" w:rsidRDefault="000F7DD2">
            <w:pPr>
              <w:spacing w:after="0" w:line="240" w:lineRule="auto"/>
              <w:contextualSpacing/>
              <w:jc w:val="both"/>
              <w:rPr>
                <w:rFonts w:ascii="Times New Roman" w:hAnsi="Times New Roman"/>
                <w:noProof/>
                <w:sz w:val="24"/>
                <w:szCs w:val="24"/>
              </w:rPr>
            </w:pPr>
            <w:r>
              <w:rPr>
                <w:rFonts w:ascii="Times New Roman" w:hAnsi="Times New Roman"/>
                <w:noProof/>
                <w:sz w:val="24"/>
                <w:szCs w:val="24"/>
              </w:rPr>
              <w:t xml:space="preserve">La relazione di novembre 2018 raccomandava di: </w:t>
            </w:r>
          </w:p>
          <w:p w:rsidR="00882D23" w:rsidRDefault="000F7DD2">
            <w:pPr>
              <w:numPr>
                <w:ilvl w:val="0"/>
                <w:numId w:val="14"/>
              </w:numPr>
              <w:spacing w:after="0" w:line="240" w:lineRule="auto"/>
              <w:ind w:left="411" w:hanging="309"/>
              <w:contextualSpacing/>
              <w:jc w:val="both"/>
              <w:rPr>
                <w:rFonts w:ascii="Times New Roman" w:hAnsi="Times New Roman"/>
                <w:i/>
                <w:noProof/>
                <w:sz w:val="24"/>
                <w:szCs w:val="24"/>
              </w:rPr>
            </w:pPr>
            <w:r>
              <w:rPr>
                <w:rFonts w:ascii="Times New Roman" w:hAnsi="Times New Roman"/>
                <w:i/>
                <w:noProof/>
                <w:sz w:val="24"/>
                <w:szCs w:val="24"/>
              </w:rPr>
              <w:t xml:space="preserve">affidare al Consiglio superiore della magistratura il compito di nominare immediatamente un gruppo temporaneo di gestione dell'Ispettorato giudiziario e di nominare entro tre mesi, nel quadro di un concorso, un nuovo gruppo di gestione. </w:t>
            </w:r>
          </w:p>
        </w:tc>
      </w:tr>
    </w:tbl>
    <w:p w:rsidR="00882D23" w:rsidRDefault="000F7DD2">
      <w:pPr>
        <w:spacing w:before="120" w:after="120" w:line="240" w:lineRule="auto"/>
        <w:jc w:val="both"/>
        <w:rPr>
          <w:rFonts w:ascii="Times New Roman" w:eastAsia="SimSun" w:hAnsi="Times New Roman"/>
          <w:noProof/>
          <w:sz w:val="24"/>
          <w:szCs w:val="24"/>
        </w:rPr>
      </w:pPr>
      <w:r>
        <w:rPr>
          <w:rFonts w:ascii="Times New Roman" w:hAnsi="Times New Roman"/>
          <w:noProof/>
          <w:sz w:val="24"/>
          <w:szCs w:val="24"/>
        </w:rPr>
        <w:t>Il Consiglio supe</w:t>
      </w:r>
      <w:r>
        <w:rPr>
          <w:rFonts w:ascii="Times New Roman" w:hAnsi="Times New Roman"/>
          <w:noProof/>
          <w:sz w:val="24"/>
          <w:szCs w:val="24"/>
        </w:rPr>
        <w:t xml:space="preserve">riore della magistratura non ha nominato un nuovo gruppo di gestione ad interim e pertanto l'ispettore capo è rimasto </w:t>
      </w:r>
      <w:r>
        <w:rPr>
          <w:rFonts w:ascii="Times New Roman" w:hAnsi="Times New Roman"/>
          <w:i/>
          <w:noProof/>
          <w:sz w:val="24"/>
          <w:szCs w:val="24"/>
        </w:rPr>
        <w:t>ad interim</w:t>
      </w:r>
      <w:r>
        <w:rPr>
          <w:rFonts w:ascii="Times New Roman" w:hAnsi="Times New Roman"/>
          <w:noProof/>
          <w:sz w:val="24"/>
          <w:szCs w:val="24"/>
        </w:rPr>
        <w:t xml:space="preserve"> fino al maggio 2019, quando il Consiglio superiore ha rinominato lo stesso ispettore capo, nonostante le controversie. Contempo</w:t>
      </w:r>
      <w:r>
        <w:rPr>
          <w:rFonts w:ascii="Times New Roman" w:hAnsi="Times New Roman"/>
          <w:noProof/>
          <w:sz w:val="24"/>
          <w:szCs w:val="24"/>
        </w:rPr>
        <w:t>raneamente, dalla pubblicazione dell'ultima relazione sono continuati i procedimenti disciplinari nei confronti dei magistrati</w:t>
      </w:r>
      <w:r>
        <w:rPr>
          <w:rStyle w:val="FootnoteReference"/>
          <w:rFonts w:ascii="Times New Roman" w:eastAsia="SimSun" w:hAnsi="Times New Roman"/>
          <w:noProof/>
          <w:sz w:val="24"/>
          <w:szCs w:val="24"/>
        </w:rPr>
        <w:footnoteReference w:id="30"/>
      </w:r>
      <w:r>
        <w:rPr>
          <w:rFonts w:ascii="Times New Roman" w:hAnsi="Times New Roman"/>
          <w:noProof/>
          <w:sz w:val="24"/>
          <w:szCs w:val="24"/>
        </w:rPr>
        <w:t>, compresi i responsabili delle istituzioni giudiziarie che si oppongono alla riforma della magistratura, come pure le fughe di d</w:t>
      </w:r>
      <w:r>
        <w:rPr>
          <w:rFonts w:ascii="Times New Roman" w:hAnsi="Times New Roman"/>
          <w:noProof/>
          <w:sz w:val="24"/>
          <w:szCs w:val="24"/>
        </w:rPr>
        <w:t>ocumenti</w:t>
      </w:r>
      <w:r>
        <w:rPr>
          <w:rStyle w:val="FootnoteReference"/>
          <w:rFonts w:ascii="Times New Roman" w:eastAsia="SimSun" w:hAnsi="Times New Roman"/>
          <w:noProof/>
          <w:sz w:val="24"/>
          <w:szCs w:val="24"/>
        </w:rPr>
        <w:footnoteReference w:id="31"/>
      </w:r>
      <w:r>
        <w:rPr>
          <w:noProof/>
          <w:sz w:val="24"/>
          <w:szCs w:val="24"/>
        </w:rPr>
        <w:t>.</w:t>
      </w:r>
      <w:r>
        <w:rPr>
          <w:rFonts w:ascii="Times New Roman" w:hAnsi="Times New Roman"/>
          <w:noProof/>
          <w:sz w:val="24"/>
          <w:szCs w:val="24"/>
        </w:rPr>
        <w:t xml:space="preserve"> La raccomandazione di novembre 2018 è stata pertanto superata dagli eventi, ma le preoccupazioni in essa formulate restano pienamente di attualità. </w:t>
      </w:r>
    </w:p>
    <w:p w:rsidR="00882D23" w:rsidRDefault="000F7DD2">
      <w:pPr>
        <w:spacing w:after="120" w:line="240" w:lineRule="auto"/>
        <w:jc w:val="both"/>
        <w:rPr>
          <w:rFonts w:ascii="Times New Roman" w:eastAsia="SimSun" w:hAnsi="Times New Roman"/>
          <w:noProof/>
          <w:sz w:val="24"/>
          <w:szCs w:val="24"/>
        </w:rPr>
      </w:pPr>
      <w:r>
        <w:rPr>
          <w:rFonts w:ascii="Times New Roman" w:hAnsi="Times New Roman"/>
          <w:noProof/>
          <w:sz w:val="24"/>
          <w:szCs w:val="24"/>
        </w:rPr>
        <w:t>Le successive relazioni dell'MCV hanno messo in rilievo la pressione esercitata sui magistrati e</w:t>
      </w:r>
      <w:r>
        <w:rPr>
          <w:rFonts w:ascii="Times New Roman" w:hAnsi="Times New Roman"/>
          <w:noProof/>
          <w:sz w:val="24"/>
          <w:szCs w:val="24"/>
        </w:rPr>
        <w:t xml:space="preserve"> sulle istituzioni giudiziarie dagli attacchi pubblici provenienti dal mondo politico e dai media. Dall'inizio del 2018 la situazione si è aggravata a seguito delle azioni avviate dalle autorità responsabili per le indagini disciplinari e penali dei magist</w:t>
      </w:r>
      <w:r>
        <w:rPr>
          <w:rFonts w:ascii="Times New Roman" w:hAnsi="Times New Roman"/>
          <w:noProof/>
          <w:sz w:val="24"/>
          <w:szCs w:val="24"/>
        </w:rPr>
        <w:t xml:space="preserve">rati. In particolare la Direzione nazionale anticorruzione e l'ufficio del procuratore generale sono da diverso tempo oggetto di tale pressione. Nel periodo di riferimento si è inoltre registrato un forte aumento della pressione esercitata sull'Alta Corte </w:t>
      </w:r>
      <w:r>
        <w:rPr>
          <w:rFonts w:ascii="Times New Roman" w:hAnsi="Times New Roman"/>
          <w:noProof/>
          <w:sz w:val="24"/>
          <w:szCs w:val="24"/>
        </w:rPr>
        <w:t xml:space="preserve">di cassazione e di giustizia che è competente per molti processi sulla corruzione ad alto livello. Due conflitti costituzionali vedono opposti il governo e l'Alta Corte per quanto riguarda l'interpretazione delle norme procedurali sulla costituzione delle </w:t>
      </w:r>
      <w:r>
        <w:rPr>
          <w:rFonts w:ascii="Times New Roman" w:hAnsi="Times New Roman"/>
          <w:noProof/>
          <w:sz w:val="24"/>
          <w:szCs w:val="24"/>
        </w:rPr>
        <w:t>commissioni dei giudici penali</w:t>
      </w:r>
      <w:r>
        <w:rPr>
          <w:rStyle w:val="FootnoteReference"/>
          <w:rFonts w:ascii="Times New Roman" w:eastAsia="SimSun" w:hAnsi="Times New Roman"/>
          <w:noProof/>
          <w:sz w:val="24"/>
          <w:szCs w:val="24"/>
        </w:rPr>
        <w:footnoteReference w:id="32"/>
      </w:r>
      <w:r>
        <w:rPr>
          <w:rFonts w:ascii="Times New Roman" w:hAnsi="Times New Roman"/>
          <w:noProof/>
          <w:sz w:val="24"/>
          <w:szCs w:val="24"/>
          <w:vertAlign w:val="superscript"/>
        </w:rPr>
        <w:t>,</w:t>
      </w:r>
      <w:r>
        <w:rPr>
          <w:rStyle w:val="FootnoteReference"/>
          <w:rFonts w:ascii="Times New Roman" w:eastAsia="SimSun" w:hAnsi="Times New Roman"/>
          <w:noProof/>
          <w:sz w:val="24"/>
          <w:szCs w:val="24"/>
        </w:rPr>
        <w:footnoteReference w:id="33"/>
      </w:r>
      <w:r>
        <w:rPr>
          <w:rFonts w:ascii="Times New Roman" w:hAnsi="Times New Roman"/>
          <w:noProof/>
          <w:sz w:val="24"/>
          <w:szCs w:val="24"/>
        </w:rPr>
        <w:t>. L'Ispettorato giudiziario ha inoltre presentato una denuncia disciplinare contro il suo presidente che la sezione del Consiglio superiore formata da giudici ha invitato a revocare. Questi interventi combinati sembrano ave</w:t>
      </w:r>
      <w:r>
        <w:rPr>
          <w:rFonts w:ascii="Times New Roman" w:hAnsi="Times New Roman"/>
          <w:noProof/>
          <w:sz w:val="24"/>
          <w:szCs w:val="24"/>
        </w:rPr>
        <w:t>re l'obiettivo di esercitare pressione sull'Alta Corte e quando la presidente ha annunciato l'intenzione di non presentarsi per un secondo mandato ha fatto capire chiaramente che tali conflitti ne erano il motivo</w:t>
      </w:r>
      <w:r>
        <w:rPr>
          <w:rStyle w:val="FootnoteReference"/>
          <w:rFonts w:ascii="Times New Roman" w:eastAsia="SimSun" w:hAnsi="Times New Roman"/>
          <w:noProof/>
          <w:sz w:val="24"/>
          <w:szCs w:val="24"/>
        </w:rPr>
        <w:footnoteReference w:id="34"/>
      </w:r>
      <w:r>
        <w:rPr>
          <w:noProof/>
          <w:sz w:val="24"/>
          <w:szCs w:val="24"/>
        </w:rPr>
        <w:t>.</w:t>
      </w:r>
      <w:r>
        <w:rPr>
          <w:rFonts w:ascii="Times New Roman" w:hAnsi="Times New Roman"/>
          <w:noProof/>
          <w:sz w:val="24"/>
          <w:szCs w:val="24"/>
        </w:rPr>
        <w:t xml:space="preserve"> </w:t>
      </w:r>
    </w:p>
    <w:p w:rsidR="00882D23" w:rsidRDefault="000F7DD2">
      <w:pPr>
        <w:spacing w:after="120" w:line="240" w:lineRule="auto"/>
        <w:jc w:val="both"/>
        <w:rPr>
          <w:rFonts w:ascii="Times New Roman" w:eastAsia="SimSun" w:hAnsi="Times New Roman"/>
          <w:noProof/>
          <w:sz w:val="24"/>
          <w:szCs w:val="24"/>
        </w:rPr>
      </w:pPr>
      <w:r>
        <w:rPr>
          <w:rFonts w:ascii="Times New Roman" w:hAnsi="Times New Roman"/>
          <w:noProof/>
          <w:sz w:val="24"/>
          <w:szCs w:val="24"/>
        </w:rPr>
        <w:t xml:space="preserve">Il Consiglio superiore ha nominato di </w:t>
      </w:r>
      <w:r>
        <w:rPr>
          <w:rFonts w:ascii="Times New Roman" w:hAnsi="Times New Roman"/>
          <w:noProof/>
          <w:sz w:val="24"/>
          <w:szCs w:val="24"/>
        </w:rPr>
        <w:t>recente un nuovo presidente dell'Alta Corte. Sarà particolarmente importante che sotto la nuova presidenza l'Alta Corte mantenga la sua indipendenza ed elevata professionalità anche nella lotta contro la corruzione.</w:t>
      </w:r>
    </w:p>
    <w:p w:rsidR="00882D23" w:rsidRDefault="000F7DD2">
      <w:pPr>
        <w:pStyle w:val="Body"/>
        <w:spacing w:after="0" w:line="240" w:lineRule="auto"/>
        <w:jc w:val="both"/>
        <w:rPr>
          <w:rFonts w:ascii="Times New Roman" w:hAnsi="Times New Roman"/>
          <w:noProof/>
          <w:sz w:val="24"/>
          <w:szCs w:val="24"/>
        </w:rPr>
      </w:pPr>
      <w:r>
        <w:rPr>
          <w:rFonts w:ascii="Times New Roman" w:hAnsi="Times New Roman"/>
          <w:noProof/>
          <w:sz w:val="24"/>
          <w:szCs w:val="24"/>
        </w:rPr>
        <w:t>Gli ultimi sviluppi confermano la valuta</w:t>
      </w:r>
      <w:r>
        <w:rPr>
          <w:rFonts w:ascii="Times New Roman" w:hAnsi="Times New Roman"/>
          <w:noProof/>
          <w:sz w:val="24"/>
          <w:szCs w:val="24"/>
        </w:rPr>
        <w:t>zione fatta dalla Commissione nella relazione del novembre 2018 in cui sosteneva che il Consiglio superiore della magistratura non stava svolgendo il suo ruolo, ovvero garantire un efficace equilibrio dei poteri per difendere l'indipendenza delle istituzio</w:t>
      </w:r>
      <w:r>
        <w:rPr>
          <w:rFonts w:ascii="Times New Roman" w:hAnsi="Times New Roman"/>
          <w:noProof/>
          <w:sz w:val="24"/>
          <w:szCs w:val="24"/>
        </w:rPr>
        <w:t>ni giudiziarie sotto pressione (si veda la raccomandazione 7).</w:t>
      </w:r>
    </w:p>
    <w:p w:rsidR="00882D23" w:rsidRDefault="00882D23">
      <w:pPr>
        <w:pStyle w:val="Body"/>
        <w:spacing w:after="0" w:line="240" w:lineRule="auto"/>
        <w:jc w:val="both"/>
        <w:rPr>
          <w:rFonts w:ascii="Times New Roman" w:hAnsi="Times New Roman" w:cs="Times New Roman"/>
          <w:noProof/>
          <w:sz w:val="24"/>
          <w:szCs w:val="24"/>
        </w:rPr>
      </w:pPr>
    </w:p>
    <w:p w:rsidR="00882D23" w:rsidRDefault="000F7DD2">
      <w:pPr>
        <w:pStyle w:val="Body"/>
        <w:spacing w:after="120" w:line="240" w:lineRule="auto"/>
        <w:jc w:val="both"/>
        <w:rPr>
          <w:rFonts w:ascii="Times New Roman" w:hAnsi="Times New Roman" w:cs="Times New Roman"/>
          <w:i/>
          <w:noProof/>
          <w:sz w:val="24"/>
          <w:szCs w:val="24"/>
        </w:rPr>
      </w:pPr>
      <w:r>
        <w:rPr>
          <w:rFonts w:ascii="Times New Roman" w:hAnsi="Times New Roman"/>
          <w:i/>
          <w:noProof/>
          <w:sz w:val="24"/>
          <w:szCs w:val="24"/>
        </w:rPr>
        <w:t>Codici penali</w:t>
      </w:r>
    </w:p>
    <w:p w:rsidR="00882D23" w:rsidRDefault="000F7DD2">
      <w:pPr>
        <w:spacing w:after="120" w:line="240" w:lineRule="auto"/>
        <w:jc w:val="both"/>
        <w:rPr>
          <w:rFonts w:ascii="Times New Roman" w:eastAsia="Times New Roman" w:hAnsi="Times New Roman"/>
          <w:noProof/>
          <w:sz w:val="24"/>
          <w:szCs w:val="24"/>
        </w:rPr>
      </w:pPr>
      <w:r>
        <w:rPr>
          <w:rFonts w:ascii="Times New Roman" w:hAnsi="Times New Roman"/>
          <w:noProof/>
          <w:sz w:val="24"/>
          <w:szCs w:val="24"/>
        </w:rPr>
        <w:t>Nel luglio 2018 il Parlamento rumeno ha adottato con procedura d'urgenza modifiche del codice penale e del codice di procedura penale, che sono state oggetto di forti critiche, a</w:t>
      </w:r>
      <w:r>
        <w:rPr>
          <w:rFonts w:ascii="Times New Roman" w:hAnsi="Times New Roman"/>
          <w:noProof/>
          <w:sz w:val="24"/>
          <w:szCs w:val="24"/>
        </w:rPr>
        <w:t>nche da parte della Commissione europea e della Commissione di Venezia</w:t>
      </w:r>
      <w:r>
        <w:rPr>
          <w:rStyle w:val="FootnoteReference"/>
          <w:rFonts w:ascii="Times New Roman" w:eastAsia="Times New Roman" w:hAnsi="Times New Roman"/>
          <w:noProof/>
          <w:sz w:val="24"/>
          <w:szCs w:val="24"/>
        </w:rPr>
        <w:footnoteReference w:id="35"/>
      </w:r>
      <w:r>
        <w:rPr>
          <w:noProof/>
          <w:sz w:val="24"/>
          <w:szCs w:val="24"/>
        </w:rPr>
        <w:t>.</w:t>
      </w:r>
      <w:r>
        <w:rPr>
          <w:rFonts w:ascii="Times New Roman" w:hAnsi="Times New Roman"/>
          <w:noProof/>
          <w:sz w:val="24"/>
          <w:szCs w:val="24"/>
        </w:rPr>
        <w:t xml:space="preserve"> Una particolare fonte di preoccupazione era il drastico cambiamento nell'equilibrio tra i diritti degli imputati, i diritti delle vittime e il dovere dello Stato di perseguire efficac</w:t>
      </w:r>
      <w:r>
        <w:rPr>
          <w:rFonts w:ascii="Times New Roman" w:hAnsi="Times New Roman"/>
          <w:noProof/>
          <w:sz w:val="24"/>
          <w:szCs w:val="24"/>
        </w:rPr>
        <w:t>emente i reati. Le modifiche erano chiaramente in contrasto con la raccomandazione dell'MCV di migliorare la stabilità dei codici e di modificarli solo qualora ciò fosse specificamente richiesto da decisioni della Corte costituzionale e dal recepimento del</w:t>
      </w:r>
      <w:r>
        <w:rPr>
          <w:rFonts w:ascii="Times New Roman" w:hAnsi="Times New Roman"/>
          <w:noProof/>
          <w:sz w:val="24"/>
          <w:szCs w:val="24"/>
        </w:rPr>
        <w:t xml:space="preserve">le direttive UE. Molti cambiamenti appaiono incompatibili con il diritto dell'UE o con gli obblighi internazionali della Romania. Nell'ottobre 2018 la Corte costituzionale ha stabilito che molti dei cambiamenti erano incostituzionali. </w:t>
      </w:r>
    </w:p>
    <w:tbl>
      <w:tblPr>
        <w:tblStyle w:val="TableGrid"/>
        <w:tblW w:w="0" w:type="auto"/>
        <w:tblLook w:val="04A0" w:firstRow="1" w:lastRow="0" w:firstColumn="1" w:lastColumn="0" w:noHBand="0" w:noVBand="1"/>
      </w:tblPr>
      <w:tblGrid>
        <w:gridCol w:w="9288"/>
      </w:tblGrid>
      <w:tr w:rsidR="00882D23">
        <w:tc>
          <w:tcPr>
            <w:tcW w:w="9288" w:type="dxa"/>
          </w:tcPr>
          <w:p w:rsidR="00882D23" w:rsidRDefault="000F7DD2">
            <w:pPr>
              <w:spacing w:after="0" w:line="240" w:lineRule="auto"/>
              <w:contextualSpacing/>
              <w:jc w:val="both"/>
              <w:rPr>
                <w:rFonts w:ascii="Times New Roman" w:hAnsi="Times New Roman"/>
                <w:noProof/>
                <w:sz w:val="24"/>
                <w:szCs w:val="24"/>
              </w:rPr>
            </w:pPr>
            <w:r>
              <w:rPr>
                <w:rFonts w:ascii="Times New Roman" w:hAnsi="Times New Roman"/>
                <w:noProof/>
                <w:sz w:val="24"/>
                <w:szCs w:val="24"/>
              </w:rPr>
              <w:t>La relazione di nove</w:t>
            </w:r>
            <w:r>
              <w:rPr>
                <w:rFonts w:ascii="Times New Roman" w:hAnsi="Times New Roman"/>
                <w:noProof/>
                <w:sz w:val="24"/>
                <w:szCs w:val="24"/>
              </w:rPr>
              <w:t>mbre 2018 raccomandava di:</w:t>
            </w:r>
          </w:p>
          <w:p w:rsidR="00882D23" w:rsidRDefault="000F7DD2">
            <w:pPr>
              <w:numPr>
                <w:ilvl w:val="0"/>
                <w:numId w:val="14"/>
              </w:numPr>
              <w:spacing w:after="0" w:line="240" w:lineRule="auto"/>
              <w:ind w:left="295" w:hanging="295"/>
              <w:contextualSpacing/>
              <w:jc w:val="both"/>
              <w:rPr>
                <w:rFonts w:ascii="Times New Roman" w:hAnsi="Times New Roman"/>
                <w:i/>
                <w:noProof/>
                <w:sz w:val="24"/>
                <w:szCs w:val="24"/>
              </w:rPr>
            </w:pPr>
            <w:r>
              <w:rPr>
                <w:rFonts w:ascii="Times New Roman" w:hAnsi="Times New Roman"/>
                <w:i/>
                <w:noProof/>
                <w:sz w:val="24"/>
                <w:szCs w:val="24"/>
              </w:rPr>
              <w:t>congelare l'entrata in vigore delle modifiche del codice penale e del codice di procedura penale;</w:t>
            </w:r>
          </w:p>
          <w:p w:rsidR="00882D23" w:rsidRDefault="000F7DD2">
            <w:pPr>
              <w:pStyle w:val="ListParagraph"/>
              <w:numPr>
                <w:ilvl w:val="0"/>
                <w:numId w:val="14"/>
              </w:numPr>
              <w:spacing w:after="0" w:line="240" w:lineRule="auto"/>
              <w:ind w:left="284" w:hanging="294"/>
              <w:jc w:val="both"/>
              <w:rPr>
                <w:rFonts w:ascii="Times New Roman" w:eastAsia="Times New Roman" w:hAnsi="Times New Roman"/>
                <w:noProof/>
                <w:sz w:val="24"/>
                <w:szCs w:val="24"/>
              </w:rPr>
            </w:pPr>
            <w:r>
              <w:rPr>
                <w:rFonts w:ascii="Times New Roman" w:hAnsi="Times New Roman"/>
                <w:i/>
                <w:noProof/>
                <w:sz w:val="24"/>
                <w:szCs w:val="24"/>
              </w:rPr>
              <w:t xml:space="preserve">riavviare la revisione del codice penale e del codice di procedura penale tenendo pienamente conto dell'esigenza di compatibilità </w:t>
            </w:r>
            <w:r>
              <w:rPr>
                <w:rFonts w:ascii="Times New Roman" w:hAnsi="Times New Roman"/>
                <w:i/>
                <w:noProof/>
                <w:sz w:val="24"/>
                <w:szCs w:val="24"/>
              </w:rPr>
              <w:t>con il diritto dell'UE e con gli strumenti internazionali di lotta contro la corruzione, nonché delle raccomandazioni formulate nell'ambito dell'MCV e del parere della Commissione di Venezia.</w:t>
            </w:r>
          </w:p>
        </w:tc>
      </w:tr>
    </w:tbl>
    <w:p w:rsidR="00882D23" w:rsidRDefault="000F7DD2">
      <w:pPr>
        <w:spacing w:before="120" w:after="120" w:line="240" w:lineRule="auto"/>
        <w:jc w:val="both"/>
        <w:rPr>
          <w:rFonts w:ascii="Times New Roman" w:eastAsia="Times New Roman" w:hAnsi="Times New Roman"/>
          <w:noProof/>
          <w:sz w:val="24"/>
          <w:szCs w:val="24"/>
        </w:rPr>
      </w:pPr>
      <w:r>
        <w:rPr>
          <w:rFonts w:ascii="Times New Roman" w:hAnsi="Times New Roman"/>
          <w:noProof/>
          <w:sz w:val="24"/>
          <w:szCs w:val="24"/>
        </w:rPr>
        <w:t>Queste raccomandazioni non sono state seguite. Vi è stata sì un</w:t>
      </w:r>
      <w:r>
        <w:rPr>
          <w:rFonts w:ascii="Times New Roman" w:hAnsi="Times New Roman"/>
          <w:noProof/>
          <w:sz w:val="24"/>
          <w:szCs w:val="24"/>
        </w:rPr>
        <w:t>a pausa, ma senza che fossero riconosciute le preoccupazioni formulate, e questo periodo non è stato utilizzato per approfondire la riflessione e le consultazioni. In aprile il Parlamento ha adottato modifiche dei due codici e la legge speciale sulla corru</w:t>
      </w:r>
      <w:r>
        <w:rPr>
          <w:rFonts w:ascii="Times New Roman" w:hAnsi="Times New Roman"/>
          <w:noProof/>
          <w:sz w:val="24"/>
          <w:szCs w:val="24"/>
        </w:rPr>
        <w:t>zione utilizzando una procedura legislativa d'urgenza. Molte modifiche continuano a destare preoccupazione in ragione del loro impatto sulla capacità delle autorità di contrasto e della magistratura di indagare e sanzionare i reati in generale e quelli leg</w:t>
      </w:r>
      <w:r>
        <w:rPr>
          <w:rFonts w:ascii="Times New Roman" w:hAnsi="Times New Roman"/>
          <w:noProof/>
          <w:sz w:val="24"/>
          <w:szCs w:val="24"/>
        </w:rPr>
        <w:t>ati alla corruzione in particolare. La maggioranza che in Parlamento ha votato per le modifiche ha motivato la propria scelta con la volontà di mantenere soltanto le modifiche giudicate non incostituzionali dalle decisioni della Corte costituzionale dell'o</w:t>
      </w:r>
      <w:r>
        <w:rPr>
          <w:rFonts w:ascii="Times New Roman" w:hAnsi="Times New Roman"/>
          <w:noProof/>
          <w:sz w:val="24"/>
          <w:szCs w:val="24"/>
        </w:rPr>
        <w:t xml:space="preserve">ttobre 2018. I partiti di opposizione e il presidente della Romania hanno impugnato tali modifiche dinanzi alla Corte costituzionale la quale, nel luglio 2019, ha sancito che le modifiche nel loro complesso erano incostituzionali e non in linea con le sue </w:t>
      </w:r>
      <w:r>
        <w:rPr>
          <w:rFonts w:ascii="Times New Roman" w:hAnsi="Times New Roman"/>
          <w:noProof/>
          <w:sz w:val="24"/>
          <w:szCs w:val="24"/>
        </w:rPr>
        <w:t>decisioni precedenti</w:t>
      </w:r>
      <w:r>
        <w:rPr>
          <w:rFonts w:ascii="Times New Roman" w:eastAsia="Times New Roman" w:hAnsi="Times New Roman"/>
          <w:noProof/>
          <w:sz w:val="24"/>
          <w:szCs w:val="24"/>
          <w:vertAlign w:val="superscript"/>
        </w:rPr>
        <w:footnoteReference w:id="36"/>
      </w:r>
      <w:r>
        <w:rPr>
          <w:rFonts w:ascii="Times New Roman" w:hAnsi="Times New Roman"/>
          <w:noProof/>
          <w:sz w:val="24"/>
          <w:szCs w:val="24"/>
        </w:rPr>
        <w:t xml:space="preserve">. </w:t>
      </w:r>
    </w:p>
    <w:p w:rsidR="00882D23" w:rsidRDefault="000F7DD2">
      <w:pPr>
        <w:spacing w:after="120" w:line="240" w:lineRule="auto"/>
        <w:jc w:val="both"/>
        <w:rPr>
          <w:noProof/>
          <w:sz w:val="24"/>
          <w:szCs w:val="24"/>
        </w:rPr>
      </w:pPr>
      <w:r>
        <w:rPr>
          <w:rFonts w:ascii="Times New Roman" w:hAnsi="Times New Roman"/>
          <w:noProof/>
          <w:sz w:val="24"/>
          <w:szCs w:val="24"/>
        </w:rPr>
        <w:t>Benché l'intervento della Corte costituzionale abbia effettivamente messo fine a tale processo legislativo e le modifiche non siano entrate in vigore in quanto incostituzionali, le preoccupazioni della Commissione europea e di molti</w:t>
      </w:r>
      <w:r>
        <w:rPr>
          <w:rFonts w:ascii="Times New Roman" w:hAnsi="Times New Roman"/>
          <w:noProof/>
          <w:sz w:val="24"/>
          <w:szCs w:val="24"/>
        </w:rPr>
        <w:t xml:space="preserve"> altri osservatori riguardano le scelte politiche alla base di tali modifiche. Resta pertanto preoccupante il fatto che non vi sia stata una esplicita rinuncia a tali scelte politiche</w:t>
      </w:r>
      <w:r>
        <w:rPr>
          <w:rStyle w:val="FootnoteReference"/>
          <w:rFonts w:ascii="Times New Roman" w:hAnsi="Times New Roman"/>
          <w:noProof/>
          <w:sz w:val="24"/>
          <w:szCs w:val="24"/>
        </w:rPr>
        <w:footnoteReference w:id="37"/>
      </w:r>
      <w:r>
        <w:rPr>
          <w:noProof/>
          <w:sz w:val="24"/>
          <w:szCs w:val="24"/>
        </w:rPr>
        <w:t>.</w:t>
      </w:r>
    </w:p>
    <w:p w:rsidR="00882D23" w:rsidRDefault="000F7DD2">
      <w:pPr>
        <w:keepNext/>
        <w:spacing w:before="240" w:after="240" w:line="240" w:lineRule="auto"/>
        <w:jc w:val="both"/>
        <w:rPr>
          <w:rFonts w:ascii="Times New Roman" w:hAnsi="Times New Roman"/>
          <w:b/>
          <w:i/>
          <w:noProof/>
          <w:sz w:val="24"/>
          <w:szCs w:val="24"/>
        </w:rPr>
      </w:pPr>
      <w:r>
        <w:rPr>
          <w:rFonts w:ascii="Times New Roman" w:hAnsi="Times New Roman"/>
          <w:b/>
          <w:i/>
          <w:noProof/>
          <w:sz w:val="24"/>
          <w:szCs w:val="24"/>
        </w:rPr>
        <w:t>3.1.2.</w:t>
      </w:r>
      <w:r>
        <w:rPr>
          <w:rFonts w:ascii="Times New Roman" w:hAnsi="Times New Roman"/>
          <w:b/>
          <w:i/>
          <w:noProof/>
          <w:sz w:val="24"/>
          <w:szCs w:val="24"/>
        </w:rPr>
        <w:tab/>
        <w:t>Le raccomandazioni di gennaio 2017: indipendenza della magistra</w:t>
      </w:r>
      <w:r>
        <w:rPr>
          <w:rFonts w:ascii="Times New Roman" w:hAnsi="Times New Roman"/>
          <w:b/>
          <w:i/>
          <w:noProof/>
          <w:sz w:val="24"/>
          <w:szCs w:val="24"/>
        </w:rPr>
        <w:t>tura e riforma giudiziaria</w:t>
      </w:r>
    </w:p>
    <w:p w:rsidR="00882D23" w:rsidRDefault="000F7DD2">
      <w:pPr>
        <w:keepNext/>
        <w:spacing w:before="240" w:after="240" w:line="240" w:lineRule="auto"/>
        <w:jc w:val="both"/>
        <w:rPr>
          <w:rFonts w:ascii="Times New Roman" w:hAnsi="Times New Roman"/>
          <w:b/>
          <w:noProof/>
          <w:sz w:val="24"/>
          <w:szCs w:val="24"/>
        </w:rPr>
      </w:pPr>
      <w:r>
        <w:rPr>
          <w:rFonts w:ascii="Times New Roman" w:hAnsi="Times New Roman"/>
          <w:b/>
          <w:noProof/>
          <w:sz w:val="24"/>
          <w:szCs w:val="24"/>
        </w:rPr>
        <w:t>3.1.2.1</w:t>
      </w:r>
      <w:r>
        <w:rPr>
          <w:rFonts w:ascii="Times New Roman" w:hAnsi="Times New Roman"/>
          <w:b/>
          <w:noProof/>
          <w:sz w:val="24"/>
          <w:szCs w:val="24"/>
        </w:rPr>
        <w:tab/>
        <w:t>Indipendenza della magistratura</w:t>
      </w:r>
    </w:p>
    <w:p w:rsidR="00882D23" w:rsidRDefault="000F7DD2">
      <w:pPr>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i/>
          <w:noProof/>
          <w:sz w:val="24"/>
          <w:szCs w:val="24"/>
        </w:rPr>
      </w:pPr>
      <w:r>
        <w:rPr>
          <w:rFonts w:ascii="Times New Roman" w:hAnsi="Times New Roman"/>
          <w:i/>
          <w:noProof/>
          <w:sz w:val="24"/>
          <w:szCs w:val="24"/>
        </w:rPr>
        <w:t xml:space="preserve">Raccomandazione 1: instaurare un sistema solido e indipendente per la nomina dei procuratori di grado più elevato, basato su criteri chiari e trasparenti, con il sostegno della Commissione </w:t>
      </w:r>
      <w:r>
        <w:rPr>
          <w:rFonts w:ascii="Times New Roman" w:hAnsi="Times New Roman"/>
          <w:i/>
          <w:noProof/>
          <w:sz w:val="24"/>
          <w:szCs w:val="24"/>
        </w:rPr>
        <w:t xml:space="preserve">di Venezia. </w:t>
      </w:r>
    </w:p>
    <w:p w:rsidR="00882D23" w:rsidRDefault="000F7DD2">
      <w:pPr>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i/>
          <w:noProof/>
          <w:sz w:val="24"/>
          <w:szCs w:val="24"/>
        </w:rPr>
      </w:pPr>
      <w:r>
        <w:rPr>
          <w:rFonts w:ascii="Times New Roman" w:hAnsi="Times New Roman"/>
          <w:i/>
          <w:noProof/>
          <w:sz w:val="24"/>
          <w:szCs w:val="24"/>
        </w:rPr>
        <w:t>Raccomandazione 2: garantire che il codice di condotta per i parlamentari attualmente in fase di elaborazione in Parlamento contenga disposizioni chiare sul rispetto reciproco fra le istituzioni e sul fatto che i parlamentari e il processo par</w:t>
      </w:r>
      <w:r>
        <w:rPr>
          <w:rFonts w:ascii="Times New Roman" w:hAnsi="Times New Roman"/>
          <w:i/>
          <w:noProof/>
          <w:sz w:val="24"/>
          <w:szCs w:val="24"/>
        </w:rPr>
        <w:t>lamentare devono rispettare l'indipendenza della magistratura. Potrebbe essere adottato un codice di condotta analogo per i ministri.</w:t>
      </w:r>
    </w:p>
    <w:p w:rsidR="00882D23" w:rsidRDefault="000F7DD2">
      <w:pPr>
        <w:keepNext/>
        <w:spacing w:after="120" w:line="240" w:lineRule="auto"/>
        <w:jc w:val="both"/>
        <w:rPr>
          <w:rFonts w:ascii="Times New Roman" w:hAnsi="Times New Roman"/>
          <w:i/>
          <w:noProof/>
          <w:sz w:val="24"/>
          <w:szCs w:val="24"/>
        </w:rPr>
      </w:pPr>
      <w:r>
        <w:rPr>
          <w:rFonts w:ascii="Times New Roman" w:hAnsi="Times New Roman"/>
          <w:i/>
          <w:noProof/>
          <w:sz w:val="24"/>
          <w:szCs w:val="24"/>
        </w:rPr>
        <w:t>Nomine</w:t>
      </w:r>
    </w:p>
    <w:p w:rsidR="00882D23" w:rsidRDefault="000F7DD2">
      <w:pPr>
        <w:spacing w:after="120" w:line="240" w:lineRule="auto"/>
        <w:jc w:val="both"/>
        <w:rPr>
          <w:rFonts w:ascii="Times New Roman" w:hAnsi="Times New Roman"/>
          <w:noProof/>
          <w:sz w:val="24"/>
          <w:szCs w:val="24"/>
        </w:rPr>
      </w:pPr>
      <w:r>
        <w:rPr>
          <w:rFonts w:ascii="Times New Roman" w:hAnsi="Times New Roman"/>
          <w:noProof/>
          <w:sz w:val="24"/>
          <w:szCs w:val="24"/>
        </w:rPr>
        <w:t>Nel gennaio 2017 la Commissione</w:t>
      </w:r>
      <w:r>
        <w:rPr>
          <w:rFonts w:ascii="Times New Roman" w:hAnsi="Times New Roman"/>
          <w:b/>
          <w:noProof/>
          <w:sz w:val="24"/>
          <w:szCs w:val="24"/>
        </w:rPr>
        <w:t xml:space="preserve"> </w:t>
      </w:r>
      <w:r>
        <w:rPr>
          <w:rFonts w:ascii="Times New Roman" w:hAnsi="Times New Roman"/>
          <w:noProof/>
          <w:sz w:val="24"/>
          <w:szCs w:val="24"/>
        </w:rPr>
        <w:t xml:space="preserve">ha ribadito la sua raccomandazione di instaurare un sistema trasparente e </w:t>
      </w:r>
      <w:r>
        <w:rPr>
          <w:rFonts w:ascii="Times New Roman" w:hAnsi="Times New Roman"/>
          <w:noProof/>
          <w:sz w:val="24"/>
          <w:szCs w:val="24"/>
        </w:rPr>
        <w:t>meritocratico per la nomina dei procuratori di grado più elevato che fornisca garanzie sufficienti contro la politicizzazione. La relazione di novembre 2018 aveva indicato che la situazione era peggiorata e che tale tendenza proseguiva (vedi sopra)</w:t>
      </w:r>
      <w:r>
        <w:rPr>
          <w:rFonts w:ascii="Times New Roman" w:hAnsi="Times New Roman"/>
          <w:noProof/>
          <w:sz w:val="24"/>
          <w:szCs w:val="24"/>
          <w:vertAlign w:val="superscript"/>
        </w:rPr>
        <w:footnoteReference w:id="38"/>
      </w:r>
      <w:r>
        <w:rPr>
          <w:rFonts w:ascii="Times New Roman" w:hAnsi="Times New Roman"/>
          <w:noProof/>
          <w:sz w:val="24"/>
          <w:szCs w:val="24"/>
        </w:rPr>
        <w:t>.</w:t>
      </w:r>
    </w:p>
    <w:p w:rsidR="00882D23" w:rsidRDefault="000F7DD2">
      <w:pPr>
        <w:pStyle w:val="Body"/>
        <w:spacing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La </w:t>
      </w:r>
      <w:r>
        <w:rPr>
          <w:rFonts w:ascii="Times New Roman" w:hAnsi="Times New Roman"/>
          <w:noProof/>
          <w:sz w:val="24"/>
          <w:szCs w:val="24"/>
        </w:rPr>
        <w:t>trasparenza della procedura è migliorata, in particolare grazie alla pubblicazione dei criteri di selezione e valutazione da parte del ministero della Giustizia. L'attuale ministro della Giustizia ha riconosciuto la necessità di ulteriori miglioramenti. Tu</w:t>
      </w:r>
      <w:r>
        <w:rPr>
          <w:rFonts w:ascii="Times New Roman" w:hAnsi="Times New Roman"/>
          <w:noProof/>
          <w:sz w:val="24"/>
          <w:szCs w:val="24"/>
        </w:rPr>
        <w:t>ttavia, il fatto che vi siano state quattro modifiche in meno di sei mesi dimostra che i miglioramenti utili a breve termine non sono comparabili a una soluzione a lungo termine. Come già indicato nelle relazioni dell'MCV, i problemi sono così annosi da re</w:t>
      </w:r>
      <w:r>
        <w:rPr>
          <w:rFonts w:ascii="Times New Roman" w:hAnsi="Times New Roman"/>
          <w:noProof/>
          <w:sz w:val="24"/>
          <w:szCs w:val="24"/>
        </w:rPr>
        <w:t>ndere necessaria la ricerca di cambiamenti basati sul consenso e sanciti dalla legge. La partecipazione della Commissione di Venezia rimane il modo migliore per garantire un coinvolgimento equilibrato del governo e delle autorità giudiziarie in grado di is</w:t>
      </w:r>
      <w:r>
        <w:rPr>
          <w:rFonts w:ascii="Times New Roman" w:hAnsi="Times New Roman"/>
          <w:noProof/>
          <w:sz w:val="24"/>
          <w:szCs w:val="24"/>
        </w:rPr>
        <w:t>pirare fiducia ai cittadini.</w:t>
      </w:r>
    </w:p>
    <w:p w:rsidR="00882D23" w:rsidRDefault="000F7DD2">
      <w:pPr>
        <w:keepNext/>
        <w:spacing w:after="120" w:line="240" w:lineRule="auto"/>
        <w:jc w:val="both"/>
        <w:rPr>
          <w:rFonts w:ascii="Times New Roman" w:hAnsi="Times New Roman"/>
          <w:noProof/>
          <w:sz w:val="24"/>
          <w:szCs w:val="24"/>
        </w:rPr>
      </w:pPr>
      <w:r>
        <w:rPr>
          <w:rFonts w:ascii="Times New Roman" w:hAnsi="Times New Roman"/>
          <w:i/>
          <w:noProof/>
          <w:sz w:val="24"/>
          <w:szCs w:val="24"/>
        </w:rPr>
        <w:t>Codici di condotta</w:t>
      </w:r>
    </w:p>
    <w:p w:rsidR="00882D23" w:rsidRDefault="000F7DD2">
      <w:pPr>
        <w:spacing w:after="120" w:line="240" w:lineRule="auto"/>
        <w:jc w:val="both"/>
        <w:rPr>
          <w:rFonts w:ascii="Times New Roman" w:hAnsi="Times New Roman"/>
          <w:noProof/>
          <w:sz w:val="24"/>
          <w:szCs w:val="24"/>
        </w:rPr>
      </w:pPr>
      <w:r>
        <w:rPr>
          <w:rFonts w:ascii="Times New Roman" w:hAnsi="Times New Roman"/>
          <w:noProof/>
          <w:sz w:val="24"/>
          <w:szCs w:val="24"/>
        </w:rPr>
        <w:t>Nel periodo di riferimento le critiche nei confronti del sistema giudiziario e dei singoli magistrati mosse dai mezzi di comunicazione e dai rappresentanti del governo e del Parlamento sono continuare con una</w:t>
      </w:r>
      <w:r>
        <w:rPr>
          <w:rFonts w:ascii="Times New Roman" w:hAnsi="Times New Roman"/>
          <w:noProof/>
          <w:sz w:val="24"/>
          <w:szCs w:val="24"/>
        </w:rPr>
        <w:t xml:space="preserve"> certa frequenza.</w:t>
      </w:r>
    </w:p>
    <w:p w:rsidR="00882D23" w:rsidRDefault="000F7DD2">
      <w:pPr>
        <w:spacing w:after="120" w:line="240" w:lineRule="auto"/>
        <w:jc w:val="both"/>
        <w:rPr>
          <w:rFonts w:ascii="Times New Roman" w:hAnsi="Times New Roman"/>
          <w:noProof/>
          <w:sz w:val="24"/>
          <w:szCs w:val="24"/>
        </w:rPr>
      </w:pPr>
      <w:r>
        <w:rPr>
          <w:rFonts w:ascii="Times New Roman" w:hAnsi="Times New Roman"/>
          <w:noProof/>
          <w:sz w:val="24"/>
          <w:szCs w:val="24"/>
        </w:rPr>
        <w:t>Dalla fine del 2017 è in vigore un codice di condotta per i parlamentari. La relazione di novembre 2018 ha evidenziato che il codice, privo com'è di disposizioni esplicite sul rispetto dell'indipendenza della magistratura, non svolge anco</w:t>
      </w:r>
      <w:r>
        <w:rPr>
          <w:rFonts w:ascii="Times New Roman" w:hAnsi="Times New Roman"/>
          <w:noProof/>
          <w:sz w:val="24"/>
          <w:szCs w:val="24"/>
        </w:rPr>
        <w:t>ra le funzioni previste. Successivamente alla relazione di novembre 2018, in alcuni casi la Camera dei deputati ha comminato sanzioni per violazioni del codice, che non sembrano tuttavia riguardare i casi di critica nei confronti della magistratura che pot</w:t>
      </w:r>
      <w:r>
        <w:rPr>
          <w:rFonts w:ascii="Times New Roman" w:hAnsi="Times New Roman"/>
          <w:noProof/>
          <w:sz w:val="24"/>
          <w:szCs w:val="24"/>
        </w:rPr>
        <w:t>rebbero comprometterne l'indipendenza</w:t>
      </w:r>
      <w:r>
        <w:rPr>
          <w:rFonts w:ascii="Times New Roman" w:hAnsi="Times New Roman"/>
          <w:noProof/>
          <w:sz w:val="24"/>
          <w:szCs w:val="24"/>
          <w:vertAlign w:val="superscript"/>
        </w:rPr>
        <w:footnoteReference w:id="39"/>
      </w:r>
      <w:r>
        <w:rPr>
          <w:rFonts w:ascii="Times New Roman" w:hAnsi="Times New Roman"/>
          <w:noProof/>
          <w:sz w:val="24"/>
          <w:szCs w:val="24"/>
        </w:rPr>
        <w:t xml:space="preserve">. </w:t>
      </w:r>
    </w:p>
    <w:p w:rsidR="00882D23" w:rsidRDefault="000F7DD2">
      <w:pPr>
        <w:spacing w:after="0" w:line="240" w:lineRule="auto"/>
        <w:jc w:val="both"/>
        <w:rPr>
          <w:rFonts w:ascii="Times New Roman" w:hAnsi="Times New Roman"/>
          <w:noProof/>
          <w:sz w:val="24"/>
          <w:szCs w:val="24"/>
        </w:rPr>
      </w:pPr>
      <w:r>
        <w:rPr>
          <w:rFonts w:ascii="Times New Roman" w:hAnsi="Times New Roman"/>
          <w:noProof/>
          <w:sz w:val="24"/>
          <w:szCs w:val="24"/>
        </w:rPr>
        <w:t>La Commissione aveva inoltre indicato l'utilità di un codice ministeriale e nell'aprile 2019 il governo ha modificato il codice di condotta ministeriale per includervi una menzione esplicita sulla necessità di rispe</w:t>
      </w:r>
      <w:r>
        <w:rPr>
          <w:rFonts w:ascii="Times New Roman" w:hAnsi="Times New Roman"/>
          <w:noProof/>
          <w:sz w:val="24"/>
          <w:szCs w:val="24"/>
        </w:rPr>
        <w:t>ttare l'indipendenza della magistratura. Non è ancora chiaro se tale codice possa fungere da efficace strumento di responsabilizzazione.</w:t>
      </w:r>
    </w:p>
    <w:p w:rsidR="00882D23" w:rsidRDefault="000F7DD2">
      <w:pPr>
        <w:keepNext/>
        <w:spacing w:before="240" w:after="240" w:line="240" w:lineRule="auto"/>
        <w:jc w:val="both"/>
        <w:rPr>
          <w:rFonts w:ascii="Times New Roman" w:hAnsi="Times New Roman"/>
          <w:b/>
          <w:noProof/>
          <w:sz w:val="24"/>
          <w:szCs w:val="24"/>
        </w:rPr>
      </w:pPr>
      <w:r>
        <w:rPr>
          <w:rFonts w:ascii="Times New Roman" w:hAnsi="Times New Roman"/>
          <w:b/>
          <w:noProof/>
          <w:sz w:val="24"/>
          <w:szCs w:val="24"/>
        </w:rPr>
        <w:t>3.1.2.2</w:t>
      </w:r>
      <w:r>
        <w:rPr>
          <w:rFonts w:ascii="Times New Roman" w:hAnsi="Times New Roman"/>
          <w:b/>
          <w:noProof/>
          <w:sz w:val="24"/>
          <w:szCs w:val="24"/>
        </w:rPr>
        <w:tab/>
        <w:t>Riforma giudiziaria</w:t>
      </w:r>
    </w:p>
    <w:p w:rsidR="00882D23" w:rsidRDefault="000F7DD2">
      <w:pPr>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i/>
          <w:noProof/>
          <w:sz w:val="24"/>
          <w:szCs w:val="24"/>
        </w:rPr>
      </w:pPr>
      <w:r>
        <w:rPr>
          <w:rFonts w:ascii="Times New Roman" w:hAnsi="Times New Roman"/>
          <w:i/>
          <w:noProof/>
          <w:sz w:val="24"/>
          <w:szCs w:val="24"/>
        </w:rPr>
        <w:t>Raccomandazione 3: la fase attuale della riforma dei codici penali rumeni dovrebbe essere c</w:t>
      </w:r>
      <w:r>
        <w:rPr>
          <w:rFonts w:ascii="Times New Roman" w:hAnsi="Times New Roman"/>
          <w:i/>
          <w:noProof/>
          <w:sz w:val="24"/>
          <w:szCs w:val="24"/>
        </w:rPr>
        <w:t>onclusa, e a tal fine il Parlamento dovrebbe portare avanti i suoi piani per quanto riguarda l'adozione delle modifiche presentate dal governo nel 2016 previa consultazione delle autorità giudiziarie. Il ministro della Giustizia, il Consiglio superiore del</w:t>
      </w:r>
      <w:r>
        <w:rPr>
          <w:rFonts w:ascii="Times New Roman" w:hAnsi="Times New Roman"/>
          <w:i/>
          <w:noProof/>
          <w:sz w:val="24"/>
          <w:szCs w:val="24"/>
        </w:rPr>
        <w:t>la magistratura</w:t>
      </w:r>
      <w:r>
        <w:rPr>
          <w:rFonts w:ascii="Times New Roman" w:hAnsi="Times New Roman"/>
          <w:noProof/>
          <w:sz w:val="24"/>
          <w:szCs w:val="24"/>
        </w:rPr>
        <w:t xml:space="preserve"> </w:t>
      </w:r>
      <w:r>
        <w:rPr>
          <w:rFonts w:ascii="Times New Roman" w:hAnsi="Times New Roman"/>
          <w:i/>
          <w:noProof/>
          <w:sz w:val="24"/>
          <w:szCs w:val="24"/>
        </w:rPr>
        <w:t>e l'Alta Corte di cassazione e di giustizia dovrebbero portare a termine la stesura di un piano d'azione per garantire il rispetto del nuovo termine fissato per l'applicazione delle disposizioni rimanenti del codice di procedura civile.</w:t>
      </w:r>
    </w:p>
    <w:p w:rsidR="00882D23" w:rsidRDefault="000F7DD2">
      <w:pPr>
        <w:keepLines/>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i/>
          <w:noProof/>
          <w:sz w:val="24"/>
          <w:szCs w:val="24"/>
        </w:rPr>
      </w:pPr>
      <w:r>
        <w:rPr>
          <w:rFonts w:ascii="Times New Roman" w:hAnsi="Times New Roman"/>
          <w:i/>
          <w:noProof/>
          <w:sz w:val="24"/>
          <w:szCs w:val="24"/>
        </w:rPr>
        <w:t>Rac</w:t>
      </w:r>
      <w:r>
        <w:rPr>
          <w:rFonts w:ascii="Times New Roman" w:hAnsi="Times New Roman"/>
          <w:i/>
          <w:noProof/>
          <w:sz w:val="24"/>
          <w:szCs w:val="24"/>
        </w:rPr>
        <w:t>comandazione 4: per migliorare ulteriormente la trasparenza e la prevedibilità del processo legislativo e rafforzare le garanzie interne nell'interesse dell'irreversibilità, il governo e il Parlamento dovrebbero garantire una totale trasparenza e tenere de</w:t>
      </w:r>
      <w:r>
        <w:rPr>
          <w:rFonts w:ascii="Times New Roman" w:hAnsi="Times New Roman"/>
          <w:i/>
          <w:noProof/>
          <w:sz w:val="24"/>
          <w:szCs w:val="24"/>
        </w:rPr>
        <w:t>bitamente conto delle consultazioni con le autorità competenti e le parti interessate nell'ambito del processo decisionale e dell'attività legislativa riguardanti il codice penale e il codice di procedura penale, le leggi sulla corruzione, le leggi sull'in</w:t>
      </w:r>
      <w:r>
        <w:rPr>
          <w:rFonts w:ascii="Times New Roman" w:hAnsi="Times New Roman"/>
          <w:i/>
          <w:noProof/>
          <w:sz w:val="24"/>
          <w:szCs w:val="24"/>
        </w:rPr>
        <w:t>tegrità (incompatibilità, conflitti di interessi e patrimoni ingiustificati), le leggi sulla giustizia (relative all'organizzazione del sistema giudiziario), il codice civile e il codice di procedura civile, ispirandosi alla trasparenza del processo decisi</w:t>
      </w:r>
      <w:r>
        <w:rPr>
          <w:rFonts w:ascii="Times New Roman" w:hAnsi="Times New Roman"/>
          <w:i/>
          <w:noProof/>
          <w:sz w:val="24"/>
          <w:szCs w:val="24"/>
        </w:rPr>
        <w:t>onale instaurato dal governo nel 2016.</w:t>
      </w:r>
    </w:p>
    <w:p w:rsidR="00882D23" w:rsidRDefault="000F7DD2">
      <w:pPr>
        <w:keepNext/>
        <w:spacing w:after="120" w:line="240" w:lineRule="auto"/>
        <w:jc w:val="both"/>
        <w:rPr>
          <w:rFonts w:ascii="Times New Roman" w:hAnsi="Times New Roman"/>
          <w:i/>
          <w:noProof/>
          <w:sz w:val="24"/>
          <w:szCs w:val="24"/>
        </w:rPr>
      </w:pPr>
      <w:r>
        <w:rPr>
          <w:rFonts w:ascii="Times New Roman" w:hAnsi="Times New Roman"/>
          <w:i/>
          <w:noProof/>
          <w:sz w:val="24"/>
          <w:szCs w:val="24"/>
        </w:rPr>
        <w:t>Codice di procedura civile</w:t>
      </w:r>
    </w:p>
    <w:p w:rsidR="00882D23" w:rsidRDefault="000F7DD2">
      <w:pPr>
        <w:spacing w:after="120" w:line="240" w:lineRule="auto"/>
        <w:jc w:val="both"/>
        <w:rPr>
          <w:rFonts w:ascii="Times New Roman" w:hAnsi="Times New Roman"/>
          <w:noProof/>
          <w:sz w:val="24"/>
          <w:szCs w:val="24"/>
        </w:rPr>
      </w:pPr>
      <w:r>
        <w:rPr>
          <w:rFonts w:ascii="Times New Roman" w:hAnsi="Times New Roman"/>
          <w:noProof/>
          <w:sz w:val="24"/>
          <w:szCs w:val="24"/>
        </w:rPr>
        <w:t>La raccomandazione 3 riguarda il completamento della riforma del codice di procedura civile che ha istituito una fase di "camera di consiglio" nella procedura civile. Nel 2018 questa riforma</w:t>
      </w:r>
      <w:r>
        <w:rPr>
          <w:rFonts w:ascii="Times New Roman" w:hAnsi="Times New Roman"/>
          <w:noProof/>
          <w:sz w:val="24"/>
          <w:szCs w:val="24"/>
        </w:rPr>
        <w:t xml:space="preserve"> è stata abbandonata</w:t>
      </w:r>
      <w:r>
        <w:rPr>
          <w:rStyle w:val="FootnoteReference"/>
          <w:rFonts w:ascii="Times New Roman" w:hAnsi="Times New Roman"/>
          <w:noProof/>
          <w:sz w:val="24"/>
          <w:szCs w:val="24"/>
        </w:rPr>
        <w:footnoteReference w:id="40"/>
      </w:r>
      <w:r>
        <w:rPr>
          <w:noProof/>
          <w:sz w:val="24"/>
          <w:szCs w:val="24"/>
        </w:rPr>
        <w:t>.</w:t>
      </w:r>
      <w:r>
        <w:rPr>
          <w:rFonts w:ascii="Times New Roman" w:hAnsi="Times New Roman"/>
          <w:noProof/>
          <w:sz w:val="24"/>
          <w:szCs w:val="24"/>
        </w:rPr>
        <w:t xml:space="preserve"> Ciò implica la rinuncia a un'iniziativa finalizzata a migliorare l'efficienza della giustizia civile che, tuttavia, dovrebbe offrire un periodo di stabilità in questa branca del sistema giudiziario. </w:t>
      </w:r>
    </w:p>
    <w:p w:rsidR="00882D23" w:rsidRDefault="000F7DD2">
      <w:pPr>
        <w:spacing w:after="120" w:line="240" w:lineRule="auto"/>
        <w:jc w:val="both"/>
        <w:rPr>
          <w:rFonts w:ascii="Times New Roman" w:hAnsi="Times New Roman"/>
          <w:noProof/>
          <w:sz w:val="24"/>
          <w:szCs w:val="24"/>
        </w:rPr>
      </w:pPr>
      <w:r>
        <w:rPr>
          <w:rFonts w:ascii="Times New Roman" w:hAnsi="Times New Roman"/>
          <w:i/>
          <w:noProof/>
          <w:sz w:val="24"/>
          <w:szCs w:val="24"/>
        </w:rPr>
        <w:t xml:space="preserve">Trasparenza e prevedibilità del </w:t>
      </w:r>
      <w:r>
        <w:rPr>
          <w:rFonts w:ascii="Times New Roman" w:hAnsi="Times New Roman"/>
          <w:i/>
          <w:noProof/>
          <w:sz w:val="24"/>
          <w:szCs w:val="24"/>
        </w:rPr>
        <w:t>processo legislativo per la legislazione sulla riforma giudiziaria e le misure di lotta alla corruzione (per i codici penali si veda sopra)</w:t>
      </w:r>
    </w:p>
    <w:p w:rsidR="00882D23" w:rsidRDefault="000F7DD2">
      <w:pPr>
        <w:spacing w:after="120" w:line="240" w:lineRule="auto"/>
        <w:jc w:val="both"/>
        <w:rPr>
          <w:rFonts w:ascii="Times New Roman" w:hAnsi="Times New Roman"/>
          <w:noProof/>
          <w:sz w:val="24"/>
          <w:szCs w:val="24"/>
        </w:rPr>
      </w:pPr>
      <w:r>
        <w:rPr>
          <w:rFonts w:ascii="Times New Roman" w:hAnsi="Times New Roman"/>
          <w:noProof/>
          <w:sz w:val="24"/>
          <w:szCs w:val="24"/>
        </w:rPr>
        <w:t xml:space="preserve">La relazione del gennaio 2017 ha chiarito che il </w:t>
      </w:r>
      <w:r>
        <w:rPr>
          <w:rFonts w:ascii="Times New Roman" w:hAnsi="Times New Roman"/>
          <w:i/>
          <w:iCs/>
          <w:noProof/>
          <w:sz w:val="24"/>
          <w:szCs w:val="24"/>
        </w:rPr>
        <w:t>processo</w:t>
      </w:r>
      <w:r>
        <w:rPr>
          <w:rFonts w:ascii="Times New Roman" w:hAnsi="Times New Roman"/>
          <w:noProof/>
          <w:sz w:val="24"/>
          <w:szCs w:val="24"/>
        </w:rPr>
        <w:t xml:space="preserve"> legislativo è di per sé importante. Questo aspetto continu</w:t>
      </w:r>
      <w:r>
        <w:rPr>
          <w:rFonts w:ascii="Times New Roman" w:hAnsi="Times New Roman"/>
          <w:noProof/>
          <w:sz w:val="24"/>
          <w:szCs w:val="24"/>
        </w:rPr>
        <w:t>a a suscitare preoccupazioni. La procedura di modifica delle leggi sulla giustizia mediante una serie di decreti d'urgenza è stata fortemente criticata dalla Commissione di Venezia</w:t>
      </w:r>
      <w:r>
        <w:rPr>
          <w:rFonts w:ascii="Times New Roman" w:hAnsi="Times New Roman"/>
          <w:noProof/>
          <w:sz w:val="24"/>
          <w:szCs w:val="24"/>
          <w:vertAlign w:val="superscript"/>
        </w:rPr>
        <w:footnoteReference w:id="41"/>
      </w:r>
      <w:r>
        <w:rPr>
          <w:rFonts w:ascii="Times New Roman" w:hAnsi="Times New Roman"/>
          <w:noProof/>
          <w:sz w:val="24"/>
          <w:szCs w:val="24"/>
        </w:rPr>
        <w:t>, dato il suo impatto sulla qualità della legislazione, la certezza del dir</w:t>
      </w:r>
      <w:r>
        <w:rPr>
          <w:rFonts w:ascii="Times New Roman" w:hAnsi="Times New Roman"/>
          <w:noProof/>
          <w:sz w:val="24"/>
          <w:szCs w:val="24"/>
        </w:rPr>
        <w:t>itto, i controlli esterni sul governo e il principio della separazione dei poteri</w:t>
      </w:r>
      <w:r>
        <w:rPr>
          <w:rFonts w:ascii="Times New Roman" w:hAnsi="Times New Roman"/>
          <w:noProof/>
          <w:sz w:val="24"/>
          <w:szCs w:val="24"/>
          <w:vertAlign w:val="superscript"/>
        </w:rPr>
        <w:footnoteReference w:id="42"/>
      </w:r>
      <w:r>
        <w:rPr>
          <w:rFonts w:ascii="Times New Roman" w:hAnsi="Times New Roman"/>
          <w:noProof/>
          <w:sz w:val="24"/>
          <w:szCs w:val="24"/>
        </w:rPr>
        <w:t>. Analogamente, come rilevato in precedenza, il processo legislativo dell'aprile 2019 con cui il Parlamento ha modificato il codice penale e il codice di procedura penale e l</w:t>
      </w:r>
      <w:r>
        <w:rPr>
          <w:rFonts w:ascii="Times New Roman" w:hAnsi="Times New Roman"/>
          <w:noProof/>
          <w:sz w:val="24"/>
          <w:szCs w:val="24"/>
        </w:rPr>
        <w:t xml:space="preserve">a legge speciale sulla corruzione è durato appena una settimana. </w:t>
      </w:r>
    </w:p>
    <w:p w:rsidR="00882D23" w:rsidRDefault="000F7DD2">
      <w:pPr>
        <w:spacing w:after="120" w:line="240" w:lineRule="auto"/>
        <w:jc w:val="both"/>
        <w:rPr>
          <w:rFonts w:ascii="Times New Roman" w:hAnsi="Times New Roman"/>
          <w:iCs/>
          <w:noProof/>
          <w:sz w:val="24"/>
          <w:szCs w:val="24"/>
        </w:rPr>
      </w:pPr>
      <w:r>
        <w:rPr>
          <w:rFonts w:ascii="Times New Roman" w:hAnsi="Times New Roman"/>
          <w:noProof/>
          <w:sz w:val="24"/>
          <w:szCs w:val="24"/>
        </w:rPr>
        <w:t xml:space="preserve">Si tratta di uno dei punti principali sollevati nella lettera della Commissione del maggio 2019 che formulava preoccupazioni sui rischi per lo Stato di diritto. Tale preoccupazione ha </w:t>
      </w:r>
      <w:r>
        <w:rPr>
          <w:rFonts w:ascii="Times New Roman" w:hAnsi="Times New Roman"/>
          <w:noProof/>
          <w:sz w:val="24"/>
          <w:szCs w:val="24"/>
        </w:rPr>
        <w:t>trovato espressione anche nel referendum di maggio, in cui l'opinione pubblica ha manifestato un forte sostegno per un processo legislativo più ordinato. Il primo ministro ha dichiarato che il governo ne avrebbe rispettato i risultati e si sarebbe astenuto</w:t>
      </w:r>
      <w:r>
        <w:rPr>
          <w:rFonts w:ascii="Times New Roman" w:hAnsi="Times New Roman"/>
          <w:noProof/>
          <w:sz w:val="24"/>
          <w:szCs w:val="24"/>
        </w:rPr>
        <w:t xml:space="preserve"> dall'adottare decreti d'urgenza nel settore della giustizia. Nel settembre 2019 il Parlamento ha inoltre sciolto la commissione parlamentare speciale per la sistematizzazione, l'unificazione e la garanzia della stabilità legislativa nel sistema giudiziari</w:t>
      </w:r>
      <w:r>
        <w:rPr>
          <w:rFonts w:ascii="Times New Roman" w:hAnsi="Times New Roman"/>
          <w:noProof/>
          <w:sz w:val="24"/>
          <w:szCs w:val="24"/>
        </w:rPr>
        <w:t>o, responsabile di alcune delle procedure meno ortodosse utilizzate.</w:t>
      </w:r>
    </w:p>
    <w:p w:rsidR="00882D23" w:rsidRDefault="000F7DD2">
      <w:pPr>
        <w:spacing w:after="240" w:line="240" w:lineRule="auto"/>
        <w:jc w:val="both"/>
        <w:rPr>
          <w:rFonts w:ascii="Times New Roman" w:hAnsi="Times New Roman"/>
          <w:iCs/>
          <w:noProof/>
          <w:sz w:val="24"/>
          <w:szCs w:val="24"/>
        </w:rPr>
      </w:pPr>
      <w:r>
        <w:rPr>
          <w:rFonts w:ascii="Times New Roman" w:hAnsi="Times New Roman"/>
          <w:iCs/>
          <w:noProof/>
          <w:sz w:val="24"/>
          <w:szCs w:val="24"/>
        </w:rPr>
        <w:t>Dopo la relazione di novembre 2018 gli sviluppi legislativi relativi al quadro giuridico per l'integrità hanno suscitato preoccupazioni simili. Le modifiche successive delle leggi sull'in</w:t>
      </w:r>
      <w:r>
        <w:rPr>
          <w:rFonts w:ascii="Times New Roman" w:hAnsi="Times New Roman"/>
          <w:iCs/>
          <w:noProof/>
          <w:sz w:val="24"/>
          <w:szCs w:val="24"/>
        </w:rPr>
        <w:t>tegrità hanno aumentato in modo significativo la mancanza di chiarezza e di certezza del diritto (si veda il secondo parametro di riferimento).</w:t>
      </w:r>
    </w:p>
    <w:p w:rsidR="00882D23" w:rsidRDefault="000F7DD2">
      <w:pPr>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i/>
          <w:noProof/>
          <w:sz w:val="24"/>
          <w:szCs w:val="24"/>
        </w:rPr>
      </w:pPr>
      <w:r>
        <w:rPr>
          <w:rFonts w:ascii="Times New Roman" w:hAnsi="Times New Roman"/>
          <w:i/>
          <w:noProof/>
          <w:sz w:val="24"/>
          <w:szCs w:val="24"/>
        </w:rPr>
        <w:t>Raccomandazione 5: il governo dovrebbe elaborare un piano d'azione adeguato per affrontare la questione dell'ese</w:t>
      </w:r>
      <w:r>
        <w:rPr>
          <w:rFonts w:ascii="Times New Roman" w:hAnsi="Times New Roman"/>
          <w:i/>
          <w:noProof/>
          <w:sz w:val="24"/>
          <w:szCs w:val="24"/>
        </w:rPr>
        <w:t>cuzione delle decisioni giudiziarie e dell'applicazione della giurisprudenza dei tribunali da parte della pubblica amministrazione, comprendente un meccanismo che fornisca statistiche affidabili ai fini di un futuro monitoraggio. Il governo dovrebbe inoltr</w:t>
      </w:r>
      <w:r>
        <w:rPr>
          <w:rFonts w:ascii="Times New Roman" w:hAnsi="Times New Roman"/>
          <w:i/>
          <w:noProof/>
          <w:sz w:val="24"/>
          <w:szCs w:val="24"/>
        </w:rPr>
        <w:t>e predisporre un sistema di monitoraggio interno, con il coinvolgimento del Consiglio superiore della magistratura e la Corte dei conti, per garantire la corretta attuazione del piano d'azione.</w:t>
      </w:r>
    </w:p>
    <w:p w:rsidR="00882D23" w:rsidRDefault="000F7DD2">
      <w:pPr>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i/>
          <w:noProof/>
          <w:sz w:val="24"/>
          <w:szCs w:val="24"/>
        </w:rPr>
      </w:pPr>
      <w:r>
        <w:rPr>
          <w:rFonts w:ascii="Times New Roman" w:hAnsi="Times New Roman"/>
          <w:i/>
          <w:noProof/>
          <w:sz w:val="24"/>
          <w:szCs w:val="24"/>
        </w:rPr>
        <w:t>Raccomandazione 6: i responsabili strategici della gestione de</w:t>
      </w:r>
      <w:r>
        <w:rPr>
          <w:rFonts w:ascii="Times New Roman" w:hAnsi="Times New Roman"/>
          <w:i/>
          <w:noProof/>
          <w:sz w:val="24"/>
          <w:szCs w:val="24"/>
        </w:rPr>
        <w:t>l sistema giudiziario, cioè il ministro della giustizia, il Consiglio superiore della magistratura, l'Alta Corte di cassazione e di giustizia e il procuratore generale, dovrebbero garantire l'attuazione del piano d'azione adottato e rendere conto periodica</w:t>
      </w:r>
      <w:r>
        <w:rPr>
          <w:rFonts w:ascii="Times New Roman" w:hAnsi="Times New Roman"/>
          <w:i/>
          <w:noProof/>
          <w:sz w:val="24"/>
          <w:szCs w:val="24"/>
        </w:rPr>
        <w:t>mente ai cittadini su tale attuazione, comprese le soluzioni ai problemi di carenza di cancellieri, carico di lavoro eccessivo e ritardi nella motivazione delle decisioni.</w:t>
      </w:r>
    </w:p>
    <w:p w:rsidR="00882D23" w:rsidRDefault="000F7DD2">
      <w:pPr>
        <w:keepNext/>
        <w:spacing w:after="120" w:line="240" w:lineRule="auto"/>
        <w:jc w:val="both"/>
        <w:rPr>
          <w:rFonts w:ascii="Times New Roman" w:hAnsi="Times New Roman"/>
          <w:i/>
          <w:noProof/>
          <w:sz w:val="24"/>
          <w:szCs w:val="24"/>
        </w:rPr>
      </w:pPr>
      <w:r>
        <w:rPr>
          <w:rFonts w:ascii="Times New Roman" w:hAnsi="Times New Roman"/>
          <w:i/>
          <w:noProof/>
          <w:sz w:val="24"/>
          <w:szCs w:val="24"/>
        </w:rPr>
        <w:t>Rispetto delle decisioni giudiziarie</w:t>
      </w:r>
    </w:p>
    <w:p w:rsidR="00882D23" w:rsidRDefault="000F7DD2">
      <w:pPr>
        <w:spacing w:after="120" w:line="240" w:lineRule="auto"/>
        <w:jc w:val="both"/>
        <w:rPr>
          <w:rFonts w:ascii="Times New Roman" w:eastAsia="Times New Roman" w:hAnsi="Times New Roman"/>
          <w:noProof/>
          <w:sz w:val="24"/>
          <w:szCs w:val="24"/>
        </w:rPr>
      </w:pPr>
      <w:r>
        <w:rPr>
          <w:rFonts w:ascii="Times New Roman" w:hAnsi="Times New Roman"/>
          <w:noProof/>
          <w:sz w:val="24"/>
          <w:szCs w:val="24"/>
        </w:rPr>
        <w:t>Il 3 aprile 2019 il governo rumeno ha approvato</w:t>
      </w:r>
      <w:r>
        <w:rPr>
          <w:rFonts w:ascii="Times New Roman" w:hAnsi="Times New Roman"/>
          <w:noProof/>
          <w:sz w:val="24"/>
          <w:szCs w:val="24"/>
        </w:rPr>
        <w:t xml:space="preserve"> un memorandum sulle "misure volte a garantire l'esecuzione delle sentenze nei confronti di un debitore pubblico, conformemente alla giurisprudenza della Corte europea dei diritti dell'uomo per quanto riguarda la mancata esecuzione o l'esecuzione tardiva d</w:t>
      </w:r>
      <w:r>
        <w:rPr>
          <w:rFonts w:ascii="Times New Roman" w:hAnsi="Times New Roman"/>
          <w:noProof/>
          <w:sz w:val="24"/>
          <w:szCs w:val="24"/>
        </w:rPr>
        <w:t>elle sentenze pronunciate nei confronti di un debitore pubblico". Si tratta del seguito del gruppo di cause "Săcăleanu/Romania" della Corte europea dei diritti umani</w:t>
      </w:r>
      <w:r>
        <w:rPr>
          <w:rStyle w:val="FootnoteReference"/>
          <w:rFonts w:ascii="Times New Roman" w:hAnsi="Times New Roman"/>
          <w:noProof/>
          <w:sz w:val="24"/>
          <w:szCs w:val="24"/>
        </w:rPr>
        <w:footnoteReference w:id="43"/>
      </w:r>
      <w:r>
        <w:rPr>
          <w:noProof/>
          <w:sz w:val="24"/>
          <w:szCs w:val="24"/>
        </w:rPr>
        <w:t>.</w:t>
      </w:r>
    </w:p>
    <w:p w:rsidR="00882D23" w:rsidRDefault="000F7DD2">
      <w:pPr>
        <w:spacing w:after="120" w:line="240" w:lineRule="auto"/>
        <w:jc w:val="both"/>
        <w:rPr>
          <w:rFonts w:ascii="Times New Roman" w:hAnsi="Times New Roman"/>
          <w:noProof/>
          <w:sz w:val="24"/>
          <w:szCs w:val="24"/>
        </w:rPr>
      </w:pPr>
      <w:r>
        <w:rPr>
          <w:rFonts w:ascii="Times New Roman" w:hAnsi="Times New Roman"/>
          <w:noProof/>
          <w:sz w:val="24"/>
          <w:szCs w:val="24"/>
        </w:rPr>
        <w:t>Le proposte contenute nel memorandum, comprese le necessarie misure di regolamentazione,</w:t>
      </w:r>
      <w:r>
        <w:rPr>
          <w:rFonts w:ascii="Times New Roman" w:hAnsi="Times New Roman"/>
          <w:noProof/>
          <w:sz w:val="24"/>
          <w:szCs w:val="24"/>
        </w:rPr>
        <w:t xml:space="preserve"> sono ora oggetto di un'analisi da parte delle autorità rumene per predisporne l'attuazione. Presso il ministero della Giustizia e il Consiglio superiore della magistratura sono in corso le ultime fasi di elaborazione dell'applicazione informatica "ECRIS" </w:t>
      </w:r>
      <w:r>
        <w:rPr>
          <w:rFonts w:ascii="Times New Roman" w:hAnsi="Times New Roman"/>
          <w:noProof/>
          <w:sz w:val="24"/>
          <w:szCs w:val="24"/>
        </w:rPr>
        <w:t>che sarà utilizzata per individuare il numero di sentenze definitive in cui le istituzioni pubbliche sono debitori o creditori</w:t>
      </w:r>
      <w:r>
        <w:rPr>
          <w:rStyle w:val="FootnoteReference"/>
          <w:rFonts w:ascii="Times New Roman" w:hAnsi="Times New Roman"/>
          <w:noProof/>
          <w:sz w:val="24"/>
          <w:szCs w:val="24"/>
        </w:rPr>
        <w:footnoteReference w:id="44"/>
      </w:r>
      <w:r>
        <w:rPr>
          <w:rFonts w:ascii="Times New Roman" w:hAnsi="Times New Roman"/>
          <w:noProof/>
          <w:sz w:val="24"/>
          <w:szCs w:val="24"/>
        </w:rPr>
        <w:t xml:space="preserve">. </w:t>
      </w:r>
    </w:p>
    <w:p w:rsidR="00882D23" w:rsidRDefault="000F7DD2">
      <w:pPr>
        <w:spacing w:after="120" w:line="240" w:lineRule="auto"/>
        <w:jc w:val="both"/>
        <w:rPr>
          <w:rFonts w:ascii="Times New Roman" w:eastAsia="Times New Roman" w:hAnsi="Times New Roman"/>
          <w:i/>
          <w:noProof/>
          <w:sz w:val="24"/>
          <w:szCs w:val="24"/>
        </w:rPr>
      </w:pPr>
      <w:r>
        <w:rPr>
          <w:rFonts w:ascii="Times New Roman" w:hAnsi="Times New Roman"/>
          <w:i/>
          <w:noProof/>
          <w:sz w:val="24"/>
          <w:szCs w:val="24"/>
        </w:rPr>
        <w:t>Riforme strutturali del sistema giudiziario</w:t>
      </w:r>
    </w:p>
    <w:p w:rsidR="00882D23" w:rsidRDefault="000F7DD2">
      <w:pPr>
        <w:spacing w:after="240" w:line="240" w:lineRule="auto"/>
        <w:jc w:val="both"/>
        <w:rPr>
          <w:rFonts w:ascii="Times New Roman" w:hAnsi="Times New Roman"/>
          <w:noProof/>
          <w:sz w:val="24"/>
          <w:szCs w:val="24"/>
        </w:rPr>
      </w:pPr>
      <w:r>
        <w:rPr>
          <w:rFonts w:ascii="Times New Roman" w:hAnsi="Times New Roman"/>
          <w:noProof/>
          <w:sz w:val="24"/>
          <w:szCs w:val="24"/>
        </w:rPr>
        <w:t>La gestione strategica del sistema giudiziario non ha funzionato come previsto per</w:t>
      </w:r>
      <w:r>
        <w:rPr>
          <w:rFonts w:ascii="Times New Roman" w:hAnsi="Times New Roman"/>
          <w:noProof/>
          <w:sz w:val="24"/>
          <w:szCs w:val="24"/>
        </w:rPr>
        <w:t xml:space="preserve"> la maggior parte del periodo di riferimento</w:t>
      </w:r>
      <w:r>
        <w:rPr>
          <w:rStyle w:val="FootnoteReference"/>
          <w:rFonts w:ascii="Times New Roman" w:hAnsi="Times New Roman"/>
          <w:noProof/>
          <w:sz w:val="24"/>
          <w:szCs w:val="24"/>
        </w:rPr>
        <w:footnoteReference w:id="45"/>
      </w:r>
      <w:r>
        <w:rPr>
          <w:noProof/>
          <w:sz w:val="24"/>
          <w:szCs w:val="24"/>
        </w:rPr>
        <w:t>.</w:t>
      </w:r>
      <w:r>
        <w:rPr>
          <w:rFonts w:ascii="Times New Roman" w:hAnsi="Times New Roman"/>
          <w:noProof/>
          <w:sz w:val="24"/>
          <w:szCs w:val="24"/>
        </w:rPr>
        <w:t xml:space="preserve"> Le riunioni sono riprese nel settembre 2019 con il supporto di nuovi meccanismi di coordinamento e sforzi per costruire un dialogo con i magistrati, le associazioni professionali e la società civile</w:t>
      </w:r>
      <w:r>
        <w:rPr>
          <w:rStyle w:val="FootnoteReference"/>
          <w:rFonts w:ascii="Times New Roman" w:hAnsi="Times New Roman"/>
          <w:noProof/>
          <w:sz w:val="24"/>
          <w:szCs w:val="24"/>
        </w:rPr>
        <w:footnoteReference w:id="46"/>
      </w:r>
      <w:r>
        <w:rPr>
          <w:noProof/>
          <w:sz w:val="24"/>
          <w:szCs w:val="24"/>
        </w:rPr>
        <w:t>.</w:t>
      </w:r>
      <w:r>
        <w:rPr>
          <w:rFonts w:ascii="Times New Roman" w:hAnsi="Times New Roman"/>
          <w:noProof/>
          <w:sz w:val="24"/>
          <w:szCs w:val="24"/>
        </w:rPr>
        <w:t xml:space="preserve"> Dati i p</w:t>
      </w:r>
      <w:r>
        <w:rPr>
          <w:rFonts w:ascii="Times New Roman" w:hAnsi="Times New Roman"/>
          <w:noProof/>
          <w:sz w:val="24"/>
          <w:szCs w:val="24"/>
        </w:rPr>
        <w:t>roblemi attuali è essenziale che la gestione strategica del sistema giudiziario si trasformi in un forum capace di affrontare le principali questioni strategiche del sistema giudiziario. In questo modo potrebbe fungere da strumento per ripristinare la fidu</w:t>
      </w:r>
      <w:r>
        <w:rPr>
          <w:rFonts w:ascii="Times New Roman" w:hAnsi="Times New Roman"/>
          <w:noProof/>
          <w:sz w:val="24"/>
          <w:szCs w:val="24"/>
        </w:rPr>
        <w:t>cia tra le principali istituzioni giudiziarie e governative. Il fatto che le principali modifiche fondamentali al funzionamento e all'organizzazione del sistema giudiziario siano state attuate con decreti d'urgenza anziché mediante decisioni consensuali de</w:t>
      </w:r>
      <w:r>
        <w:rPr>
          <w:rFonts w:ascii="Times New Roman" w:hAnsi="Times New Roman"/>
          <w:noProof/>
          <w:sz w:val="24"/>
          <w:szCs w:val="24"/>
        </w:rPr>
        <w:t>l gruppo di gestione strategica del sistema giudiziario può solo ridurne l'efficacia e la sostenibilità</w:t>
      </w:r>
      <w:r>
        <w:rPr>
          <w:rFonts w:ascii="Times New Roman" w:hAnsi="Times New Roman"/>
          <w:noProof/>
          <w:sz w:val="24"/>
          <w:szCs w:val="24"/>
          <w:vertAlign w:val="superscript"/>
        </w:rPr>
        <w:footnoteReference w:id="47"/>
      </w:r>
      <w:r>
        <w:rPr>
          <w:rFonts w:ascii="Times New Roman" w:hAnsi="Times New Roman"/>
          <w:noProof/>
          <w:sz w:val="24"/>
          <w:szCs w:val="24"/>
        </w:rPr>
        <w:t xml:space="preserve">. </w:t>
      </w:r>
    </w:p>
    <w:p w:rsidR="00882D23" w:rsidRDefault="000F7DD2">
      <w:pPr>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i/>
          <w:noProof/>
          <w:sz w:val="24"/>
          <w:szCs w:val="24"/>
        </w:rPr>
      </w:pPr>
      <w:r>
        <w:rPr>
          <w:rFonts w:ascii="Times New Roman" w:hAnsi="Times New Roman"/>
          <w:i/>
          <w:noProof/>
          <w:sz w:val="24"/>
          <w:szCs w:val="24"/>
        </w:rPr>
        <w:t>Raccomandazione 7: il nuovo Consiglio superiore della magistratura</w:t>
      </w:r>
      <w:r>
        <w:rPr>
          <w:rFonts w:ascii="Times New Roman" w:hAnsi="Times New Roman"/>
          <w:noProof/>
          <w:sz w:val="24"/>
          <w:szCs w:val="24"/>
        </w:rPr>
        <w:t xml:space="preserve"> </w:t>
      </w:r>
      <w:r>
        <w:rPr>
          <w:rFonts w:ascii="Times New Roman" w:hAnsi="Times New Roman"/>
          <w:i/>
          <w:noProof/>
          <w:sz w:val="24"/>
          <w:szCs w:val="24"/>
        </w:rPr>
        <w:t>dovrebbe preparare un programma collettivo per il suo mandato, comprendente misure</w:t>
      </w:r>
      <w:r>
        <w:rPr>
          <w:rFonts w:ascii="Times New Roman" w:hAnsi="Times New Roman"/>
          <w:i/>
          <w:noProof/>
          <w:sz w:val="24"/>
          <w:szCs w:val="24"/>
        </w:rPr>
        <w:t xml:space="preserve"> volte a migliorare la trasparenza e la responsabilità. Il programma dovrebbe includere una strategia di sensibilizzazione, prevedendo periodicamente riunioni aperte con assemblee di giudici e pubblici ministeri a tutti i livelli, con la società civile e c</w:t>
      </w:r>
      <w:r>
        <w:rPr>
          <w:rFonts w:ascii="Times New Roman" w:hAnsi="Times New Roman"/>
          <w:i/>
          <w:noProof/>
          <w:sz w:val="24"/>
          <w:szCs w:val="24"/>
        </w:rPr>
        <w:t>on le organizzazioni professionali, e la presentazione di una relazione annuale da discutere durante le assemblee generali dei tribunali e delle procure.</w:t>
      </w:r>
    </w:p>
    <w:p w:rsidR="00882D23" w:rsidRDefault="000F7DD2">
      <w:pPr>
        <w:pStyle w:val="PlainText"/>
        <w:keepNext/>
        <w:spacing w:after="120"/>
        <w:jc w:val="both"/>
        <w:rPr>
          <w:noProof/>
          <w:sz w:val="24"/>
          <w:szCs w:val="24"/>
        </w:rPr>
      </w:pPr>
      <w:r>
        <w:rPr>
          <w:rFonts w:ascii="Times New Roman" w:hAnsi="Times New Roman"/>
          <w:i/>
          <w:noProof/>
          <w:sz w:val="24"/>
          <w:szCs w:val="24"/>
        </w:rPr>
        <w:t>Trasparenza e responsabilità del Consiglio superiore della magistratura</w:t>
      </w:r>
      <w:r>
        <w:rPr>
          <w:rFonts w:ascii="Times New Roman" w:hAnsi="Times New Roman"/>
          <w:noProof/>
          <w:sz w:val="24"/>
          <w:szCs w:val="24"/>
        </w:rPr>
        <w:t xml:space="preserve"> </w:t>
      </w:r>
    </w:p>
    <w:p w:rsidR="00882D23" w:rsidRDefault="000F7DD2">
      <w:pPr>
        <w:spacing w:after="120" w:line="240" w:lineRule="auto"/>
        <w:jc w:val="both"/>
        <w:rPr>
          <w:rFonts w:ascii="Times New Roman" w:eastAsia="SimSun" w:hAnsi="Times New Roman"/>
          <w:noProof/>
          <w:sz w:val="24"/>
          <w:szCs w:val="24"/>
        </w:rPr>
      </w:pPr>
      <w:r>
        <w:rPr>
          <w:rFonts w:ascii="Times New Roman" w:hAnsi="Times New Roman"/>
          <w:noProof/>
          <w:sz w:val="24"/>
          <w:szCs w:val="24"/>
        </w:rPr>
        <w:t>Mentre il Consiglio superiore</w:t>
      </w:r>
      <w:r>
        <w:rPr>
          <w:rFonts w:ascii="Times New Roman" w:hAnsi="Times New Roman"/>
          <w:noProof/>
          <w:sz w:val="24"/>
          <w:szCs w:val="24"/>
        </w:rPr>
        <w:t xml:space="preserve"> della magistratura sostiene di continuare ad attuare le priorità del proprio mandato</w:t>
      </w:r>
      <w:r>
        <w:rPr>
          <w:rStyle w:val="FootnoteReference"/>
          <w:rFonts w:ascii="Times New Roman" w:eastAsia="SimSun" w:hAnsi="Times New Roman"/>
          <w:noProof/>
          <w:sz w:val="24"/>
          <w:szCs w:val="24"/>
        </w:rPr>
        <w:footnoteReference w:id="48"/>
      </w:r>
      <w:r>
        <w:rPr>
          <w:rFonts w:ascii="Times New Roman" w:hAnsi="Times New Roman"/>
          <w:noProof/>
          <w:sz w:val="24"/>
          <w:szCs w:val="24"/>
        </w:rPr>
        <w:t>, il periodo successivo alla relazione del novembre 2018 è stato segnato da divisioni e controversie al suo interno. Inoltre, tale organo è stato spesso marginalizzato da</w:t>
      </w:r>
      <w:r>
        <w:rPr>
          <w:rFonts w:ascii="Times New Roman" w:hAnsi="Times New Roman"/>
          <w:noProof/>
          <w:sz w:val="24"/>
          <w:szCs w:val="24"/>
        </w:rPr>
        <w:t>l governo o dal Parlamento al momento dell'adozione di decisioni essenziali sull'organizzazione e il funzionamento del sistema giudiziario. Le posizioni all'interno del Consiglio superiore in materie fondamentali per il funzionamento del sistema giudiziari</w:t>
      </w:r>
      <w:r>
        <w:rPr>
          <w:rFonts w:ascii="Times New Roman" w:hAnsi="Times New Roman"/>
          <w:noProof/>
          <w:sz w:val="24"/>
          <w:szCs w:val="24"/>
        </w:rPr>
        <w:t>o rumeno, quali la sezione speciale incaricata di indagare sui magistrati o le nomine in posti chiave o ancora la difesa dell'indipendenza della giustizia, sollevano preoccupazioni quanto alla sua indipendenza istituzionale e autorità. Ciò è stato ulterior</w:t>
      </w:r>
      <w:r>
        <w:rPr>
          <w:rFonts w:ascii="Times New Roman" w:hAnsi="Times New Roman"/>
          <w:noProof/>
          <w:sz w:val="24"/>
          <w:szCs w:val="24"/>
        </w:rPr>
        <w:t>mente esacerbato dalle modifiche alle leggi sulla giustizia che hanno conferito a pochi membri del Consiglio superiore la possibilità di adottare decisioni su aspetti fondamentali (si veda sopra). Ciò trova conferma in dichiarazioni rilasciate a nome del C</w:t>
      </w:r>
      <w:r>
        <w:rPr>
          <w:rFonts w:ascii="Times New Roman" w:hAnsi="Times New Roman"/>
          <w:noProof/>
          <w:sz w:val="24"/>
          <w:szCs w:val="24"/>
        </w:rPr>
        <w:t>onsiglio superiore ma sottoscritte soltanto da una parte dei suoi membri. E questa tendenza trova riscontro anche nella mancanza di sostegno delle associazioni professionali o di concertazione con i magistrati nei tribunali e nelle procure. Il Consiglio su</w:t>
      </w:r>
      <w:r>
        <w:rPr>
          <w:rFonts w:ascii="Times New Roman" w:hAnsi="Times New Roman"/>
          <w:noProof/>
          <w:sz w:val="24"/>
          <w:szCs w:val="24"/>
        </w:rPr>
        <w:t xml:space="preserve">periore si è diviso sulla posizione da assumere in relazione alle raccomandazioni della Commissione europea, della Commissione di Venezia e del GRECO e, più in generale, su quando intervenire in difesa dell'indipendenza della giustizia, dato che l'attuale </w:t>
      </w:r>
      <w:r>
        <w:rPr>
          <w:rFonts w:ascii="Times New Roman" w:hAnsi="Times New Roman"/>
          <w:noProof/>
          <w:sz w:val="24"/>
          <w:szCs w:val="24"/>
        </w:rPr>
        <w:t>presidente del Consiglio superiore e una parte dei suoi membri continuano a difendere i testi delle leggi sulla giustizia nella loro formulazione attuale. Il Consiglio superiore ha reagito ad alcune denunce che gli sono state presentate in relazione alla d</w:t>
      </w:r>
      <w:r>
        <w:rPr>
          <w:rFonts w:ascii="Times New Roman" w:hAnsi="Times New Roman"/>
          <w:noProof/>
          <w:sz w:val="24"/>
          <w:szCs w:val="24"/>
        </w:rPr>
        <w:t>ifesa della reputazione, indipendenza e imparzialità dei magistrati, ma la sua reazione sembra piuttosto modesta in relazione alla portata del problema. Laddove il Consiglio superiore ha menzionato una difesa dell'indipendenza della magistratura, ha talvol</w:t>
      </w:r>
      <w:r>
        <w:rPr>
          <w:rFonts w:ascii="Times New Roman" w:hAnsi="Times New Roman"/>
          <w:noProof/>
          <w:sz w:val="24"/>
          <w:szCs w:val="24"/>
        </w:rPr>
        <w:t>ta sollevato problemi di possibile parzialità politica</w:t>
      </w:r>
      <w:r>
        <w:rPr>
          <w:rFonts w:ascii="Times New Roman" w:eastAsia="SimSun" w:hAnsi="Times New Roman"/>
          <w:noProof/>
          <w:sz w:val="24"/>
          <w:szCs w:val="24"/>
          <w:vertAlign w:val="superscript"/>
        </w:rPr>
        <w:footnoteReference w:id="49"/>
      </w:r>
      <w:r>
        <w:rPr>
          <w:rFonts w:ascii="Times New Roman" w:hAnsi="Times New Roman"/>
          <w:noProof/>
          <w:sz w:val="24"/>
          <w:szCs w:val="24"/>
        </w:rPr>
        <w:t xml:space="preserve">. </w:t>
      </w:r>
    </w:p>
    <w:p w:rsidR="00882D23" w:rsidRDefault="000F7DD2">
      <w:pPr>
        <w:keepLines/>
        <w:spacing w:after="120" w:line="240" w:lineRule="auto"/>
        <w:jc w:val="both"/>
        <w:rPr>
          <w:rFonts w:ascii="Times New Roman" w:hAnsi="Times New Roman"/>
          <w:b/>
          <w:noProof/>
          <w:sz w:val="24"/>
          <w:szCs w:val="24"/>
        </w:rPr>
      </w:pPr>
      <w:r>
        <w:rPr>
          <w:rFonts w:ascii="Times New Roman" w:hAnsi="Times New Roman"/>
          <w:i/>
          <w:noProof/>
          <w:sz w:val="24"/>
          <w:szCs w:val="24"/>
        </w:rPr>
        <w:t>Sono continuati i progressi sul primo parametro di riferimento in relazione alla raccomandazione 5 (esecuzione delle sentenze) e alla raccomandazione 3 (soltanto per quanto riguarda il codice di pro</w:t>
      </w:r>
      <w:r>
        <w:rPr>
          <w:rFonts w:ascii="Times New Roman" w:hAnsi="Times New Roman"/>
          <w:i/>
          <w:noProof/>
          <w:sz w:val="24"/>
          <w:szCs w:val="24"/>
        </w:rPr>
        <w:t>cedura civile). Le raccomandazioni 1, 3 e 4 non sono state attuate. Per quanto riguarda le raccomandazioni 2, 6 e 7 non si sono registrati progressi verso risultati significativi. Per quanto riguarda le raccomandazioni supplementari del novembre 2018, la s</w:t>
      </w:r>
      <w:r>
        <w:rPr>
          <w:rFonts w:ascii="Times New Roman" w:hAnsi="Times New Roman"/>
          <w:i/>
          <w:noProof/>
          <w:sz w:val="24"/>
          <w:szCs w:val="24"/>
        </w:rPr>
        <w:t>ituazione è peggiorata ulteriormente e un approccio positivo adottato più di recente non ha ancora dato i suoi frutti in termini di misure concrete per porre rimedio alla situazione. Sono state confermate le preoccupazioni sui rischi per l'efficacia e l'in</w:t>
      </w:r>
      <w:r>
        <w:rPr>
          <w:rFonts w:ascii="Times New Roman" w:hAnsi="Times New Roman"/>
          <w:i/>
          <w:noProof/>
          <w:sz w:val="24"/>
          <w:szCs w:val="24"/>
        </w:rPr>
        <w:t>dipendenza del sistema giudiziario Di conseguenza, la Commissione ritiene che il primo parametro di riferimento non possa essere considerato soddisfatto e che le autorità rumene debbano adottare misure per tradurre in pratica tutte le raccomandazioni di ge</w:t>
      </w:r>
      <w:r>
        <w:rPr>
          <w:rFonts w:ascii="Times New Roman" w:hAnsi="Times New Roman"/>
          <w:i/>
          <w:noProof/>
          <w:sz w:val="24"/>
          <w:szCs w:val="24"/>
        </w:rPr>
        <w:t xml:space="preserve">nnaio 2017 e novembre 2018. </w:t>
      </w:r>
    </w:p>
    <w:p w:rsidR="00882D23" w:rsidRDefault="000F7DD2">
      <w:pPr>
        <w:keepNext/>
        <w:widowControl w:val="0"/>
        <w:spacing w:after="120" w:line="240" w:lineRule="auto"/>
        <w:jc w:val="both"/>
        <w:rPr>
          <w:rFonts w:ascii="Times New Roman" w:hAnsi="Times New Roman"/>
          <w:b/>
          <w:noProof/>
          <w:sz w:val="24"/>
          <w:szCs w:val="24"/>
        </w:rPr>
      </w:pPr>
      <w:r>
        <w:rPr>
          <w:rFonts w:ascii="Times New Roman" w:hAnsi="Times New Roman"/>
          <w:b/>
          <w:noProof/>
          <w:sz w:val="24"/>
          <w:szCs w:val="24"/>
        </w:rPr>
        <w:t xml:space="preserve">3.2. </w:t>
      </w:r>
      <w:r>
        <w:rPr>
          <w:rFonts w:ascii="Times New Roman" w:hAnsi="Times New Roman"/>
          <w:b/>
          <w:noProof/>
          <w:sz w:val="24"/>
          <w:szCs w:val="24"/>
        </w:rPr>
        <w:tab/>
        <w:t>Secondo parametro di riferimento: quadro per l'integrità e Agenzia nazionale per l'integrità</w:t>
      </w:r>
    </w:p>
    <w:p w:rsidR="00882D23" w:rsidRDefault="000F7DD2">
      <w:pPr>
        <w:keepNext/>
        <w:spacing w:after="120" w:line="240" w:lineRule="auto"/>
        <w:jc w:val="both"/>
        <w:rPr>
          <w:rFonts w:ascii="Times New Roman" w:hAnsi="Times New Roman"/>
          <w:noProof/>
          <w:sz w:val="24"/>
          <w:szCs w:val="24"/>
        </w:rPr>
      </w:pPr>
      <w:r>
        <w:rPr>
          <w:rFonts w:ascii="Times New Roman" w:hAnsi="Times New Roman"/>
          <w:i/>
          <w:noProof/>
          <w:sz w:val="24"/>
          <w:szCs w:val="24"/>
        </w:rPr>
        <w:t>Prevedibilità e certezza del diritto per quanto riguarda l'integrità del quadro giuridico</w:t>
      </w:r>
    </w:p>
    <w:p w:rsidR="00882D23" w:rsidRDefault="000F7DD2">
      <w:pPr>
        <w:keepNext/>
        <w:spacing w:after="120" w:line="240" w:lineRule="auto"/>
        <w:jc w:val="both"/>
        <w:rPr>
          <w:rFonts w:ascii="Times New Roman" w:hAnsi="Times New Roman"/>
          <w:noProof/>
          <w:sz w:val="24"/>
          <w:szCs w:val="24"/>
        </w:rPr>
      </w:pPr>
      <w:r>
        <w:rPr>
          <w:rFonts w:ascii="Times New Roman" w:hAnsi="Times New Roman"/>
          <w:noProof/>
          <w:sz w:val="24"/>
          <w:szCs w:val="24"/>
        </w:rPr>
        <w:t xml:space="preserve">Le precedenti relazioni dell'MCV avevano messo in evidenza i problemi continui di stabilità del quadro giuridico e la necessità di stabilità e chiarezza. Negli ultimi due anni e mezzo sono state adottate cinque proposte legislative di modifica delle leggi </w:t>
      </w:r>
      <w:r>
        <w:rPr>
          <w:rFonts w:ascii="Times New Roman" w:hAnsi="Times New Roman"/>
          <w:noProof/>
          <w:sz w:val="24"/>
          <w:szCs w:val="24"/>
        </w:rPr>
        <w:t>sull'integrità. Oltre ad attenuare l'efficacia di talune disposizioni e la capacità dell'Agenzia nazionale per l'integrità (ANI) di continuare a svolgere il proprio lavoro, questa serie di modifiche ha ulteriormente contribuito a mantenere un panorama giur</w:t>
      </w:r>
      <w:r>
        <w:rPr>
          <w:rFonts w:ascii="Times New Roman" w:hAnsi="Times New Roman"/>
          <w:noProof/>
          <w:sz w:val="24"/>
          <w:szCs w:val="24"/>
        </w:rPr>
        <w:t xml:space="preserve">idico frammentato. </w:t>
      </w:r>
    </w:p>
    <w:p w:rsidR="00882D23" w:rsidRDefault="000F7DD2">
      <w:pPr>
        <w:keepNext/>
        <w:spacing w:after="240" w:line="240" w:lineRule="auto"/>
        <w:jc w:val="both"/>
        <w:rPr>
          <w:rFonts w:ascii="Times New Roman" w:hAnsi="Times New Roman"/>
          <w:noProof/>
          <w:sz w:val="24"/>
          <w:szCs w:val="24"/>
        </w:rPr>
      </w:pPr>
      <w:r>
        <w:rPr>
          <w:rFonts w:ascii="Times New Roman" w:hAnsi="Times New Roman"/>
          <w:noProof/>
          <w:sz w:val="24"/>
          <w:szCs w:val="24"/>
        </w:rPr>
        <w:t>Due proposte che entreranno in vigore nel 2019 suscitano particolari preoccupazioni. La prima proposta fissa un termine di prescrizione di tre anni a partire dai fatti che determinano l'esistenza del conflitto di interessi o dell'incomp</w:t>
      </w:r>
      <w:r>
        <w:rPr>
          <w:rFonts w:ascii="Times New Roman" w:hAnsi="Times New Roman"/>
          <w:noProof/>
          <w:sz w:val="24"/>
          <w:szCs w:val="24"/>
        </w:rPr>
        <w:t xml:space="preserve">atibilità. La prima ha un impatto concreto sulle cause pendenti con l'ANI che prevede di dover chiudere circa 200 inchieste entro la fine dell'anno in corso. In secondo luogo essa crea un'incongruenza con altre disposizioni del quadro per l'integrità, con </w:t>
      </w:r>
      <w:r>
        <w:rPr>
          <w:rFonts w:ascii="Times New Roman" w:hAnsi="Times New Roman"/>
          <w:noProof/>
          <w:sz w:val="24"/>
          <w:szCs w:val="24"/>
        </w:rPr>
        <w:t>il risultato che ora non è più chiaro se una sanzione possa ancora essere irrogata a seguito di una sentenza definitiva del tribunale se essa (e non tanto la relazione dell'ANI) è pronunciata dopo la fine del periodo di tre anni. La seconda proposta modifi</w:t>
      </w:r>
      <w:r>
        <w:rPr>
          <w:rFonts w:ascii="Times New Roman" w:hAnsi="Times New Roman"/>
          <w:noProof/>
          <w:sz w:val="24"/>
          <w:szCs w:val="24"/>
        </w:rPr>
        <w:t>ca il regime sanzionatorio relativo ai conflitti di interesse riguardanti i funzionari eletti a livello locale, introducendo un nuovo regime di sanzioni amministrative meno esigente di quello attuale e che, secondo l'ANI, non consente di comminare sanzioni</w:t>
      </w:r>
      <w:r>
        <w:rPr>
          <w:rFonts w:ascii="Times New Roman" w:hAnsi="Times New Roman"/>
          <w:noProof/>
          <w:sz w:val="24"/>
          <w:szCs w:val="24"/>
        </w:rPr>
        <w:t xml:space="preserve"> dissuasive. Sanzioni sufficientemente dissuasive per i casi di incompatibilità e conflitto di interesse costituiscono un elemento importante nella prevenzione della corruzione. Le due proposte in questione aumentano l'incertezza del diritto per quanto rig</w:t>
      </w:r>
      <w:r>
        <w:rPr>
          <w:rFonts w:ascii="Times New Roman" w:hAnsi="Times New Roman"/>
          <w:noProof/>
          <w:sz w:val="24"/>
          <w:szCs w:val="24"/>
        </w:rPr>
        <w:t xml:space="preserve">uarda il regime di integrità applicabile e creano un rischio di regresso per quanto riguarda il secondo parametro di riferimento qualora non possano più essere comminate "sanzioni dissuasive" (nonostante una sentenza definitiva del tribunale). </w:t>
      </w:r>
    </w:p>
    <w:p w:rsidR="00882D23" w:rsidRDefault="000F7DD2">
      <w:pPr>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i/>
          <w:noProof/>
          <w:sz w:val="24"/>
          <w:szCs w:val="24"/>
        </w:rPr>
      </w:pPr>
      <w:r>
        <w:rPr>
          <w:rFonts w:ascii="Times New Roman" w:hAnsi="Times New Roman"/>
          <w:i/>
          <w:noProof/>
          <w:sz w:val="24"/>
          <w:szCs w:val="24"/>
        </w:rPr>
        <w:t>Raccomandaz</w:t>
      </w:r>
      <w:r>
        <w:rPr>
          <w:rFonts w:ascii="Times New Roman" w:hAnsi="Times New Roman"/>
          <w:i/>
          <w:noProof/>
          <w:sz w:val="24"/>
          <w:szCs w:val="24"/>
        </w:rPr>
        <w:t>ione 8: garantire l'entrata in funzione del sistema PREVENT. L'Agenzia nazionale per l'integrità e l'Agenzia nazionale per gli appalti pubblici dovrebbero prevedere la presentazione di relazioni sui controlli ex ante delle procedure nel settore degli appal</w:t>
      </w:r>
      <w:r>
        <w:rPr>
          <w:rFonts w:ascii="Times New Roman" w:hAnsi="Times New Roman"/>
          <w:i/>
          <w:noProof/>
          <w:sz w:val="24"/>
          <w:szCs w:val="24"/>
        </w:rPr>
        <w:t>ti pubblici e sul relativo follow-up, compresi i controlli ex post, nonché sui casi di conflitti di interessi o di corruzione individuati, organizzando inoltre dibattiti pubblici affinché il governo, le autorità locali, gli organi giudiziari e la società c</w:t>
      </w:r>
      <w:r>
        <w:rPr>
          <w:rFonts w:ascii="Times New Roman" w:hAnsi="Times New Roman"/>
          <w:i/>
          <w:noProof/>
          <w:sz w:val="24"/>
          <w:szCs w:val="24"/>
        </w:rPr>
        <w:t>ivile possano esprimere la loro posizione.</w:t>
      </w:r>
    </w:p>
    <w:p w:rsidR="00882D23" w:rsidRDefault="000F7DD2">
      <w:pPr>
        <w:keepLines/>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i/>
          <w:noProof/>
          <w:sz w:val="24"/>
          <w:szCs w:val="24"/>
        </w:rPr>
      </w:pPr>
      <w:r>
        <w:rPr>
          <w:rFonts w:ascii="Times New Roman" w:hAnsi="Times New Roman"/>
          <w:i/>
          <w:noProof/>
          <w:sz w:val="24"/>
          <w:szCs w:val="24"/>
        </w:rPr>
        <w:t>Raccomandazione 9: il Parlamento dovrebbe dar prova di trasparenza nel suo processo decisionale per quanto riguarda il seguito dato alle decisioni definitive e irrevocabili su incompatibilità, conflitti di interes</w:t>
      </w:r>
      <w:r>
        <w:rPr>
          <w:rFonts w:ascii="Times New Roman" w:hAnsi="Times New Roman"/>
          <w:i/>
          <w:noProof/>
          <w:sz w:val="24"/>
          <w:szCs w:val="24"/>
        </w:rPr>
        <w:t>si e patrimoni ingiustificati emesse nei confronti dei suoi membri.</w:t>
      </w:r>
    </w:p>
    <w:p w:rsidR="00882D23" w:rsidRDefault="000F7DD2">
      <w:pPr>
        <w:spacing w:after="120" w:line="240" w:lineRule="auto"/>
        <w:jc w:val="both"/>
        <w:rPr>
          <w:rFonts w:ascii="Times New Roman" w:hAnsi="Times New Roman"/>
          <w:i/>
          <w:noProof/>
          <w:sz w:val="24"/>
          <w:szCs w:val="24"/>
        </w:rPr>
      </w:pPr>
      <w:r>
        <w:rPr>
          <w:rFonts w:ascii="Times New Roman" w:hAnsi="Times New Roman"/>
          <w:i/>
          <w:noProof/>
          <w:sz w:val="24"/>
          <w:szCs w:val="24"/>
        </w:rPr>
        <w:t>Il sistema PREVENT</w:t>
      </w:r>
    </w:p>
    <w:p w:rsidR="00882D23" w:rsidRDefault="000F7DD2">
      <w:pPr>
        <w:spacing w:after="120" w:line="240" w:lineRule="auto"/>
        <w:jc w:val="both"/>
        <w:rPr>
          <w:rFonts w:ascii="Times New Roman" w:hAnsi="Times New Roman"/>
          <w:noProof/>
          <w:sz w:val="24"/>
          <w:szCs w:val="24"/>
        </w:rPr>
      </w:pPr>
      <w:r>
        <w:rPr>
          <w:rFonts w:ascii="Times New Roman" w:hAnsi="Times New Roman"/>
          <w:noProof/>
          <w:sz w:val="24"/>
          <w:szCs w:val="24"/>
        </w:rPr>
        <w:t>La relazione del novembre 2018 aveva considerato tale raccomandazione soddisfatta. Il sistema PREVENT resta pienamente operativo e l'ANI ha comunicato risultati positivi</w:t>
      </w:r>
      <w:r>
        <w:rPr>
          <w:rFonts w:ascii="Times New Roman" w:hAnsi="Times New Roman"/>
          <w:noProof/>
          <w:sz w:val="24"/>
          <w:szCs w:val="24"/>
        </w:rPr>
        <w:t>.</w:t>
      </w:r>
      <w:r>
        <w:rPr>
          <w:rStyle w:val="FootnoteReference"/>
          <w:rFonts w:ascii="Times New Roman" w:hAnsi="Times New Roman"/>
          <w:noProof/>
          <w:sz w:val="24"/>
          <w:szCs w:val="24"/>
        </w:rPr>
        <w:t xml:space="preserve"> </w:t>
      </w:r>
      <w:r>
        <w:rPr>
          <w:rFonts w:ascii="Times New Roman" w:hAnsi="Times New Roman"/>
          <w:noProof/>
          <w:sz w:val="24"/>
          <w:szCs w:val="24"/>
        </w:rPr>
        <w:t>Più in generale, i risultati che l'agenzia ha ottenuto nelle indagini sui casi di incompatibilità e di conflitto di interessi amministrativi sono rimasti costanti</w:t>
      </w:r>
      <w:r>
        <w:rPr>
          <w:rStyle w:val="FootnoteReference"/>
          <w:rFonts w:ascii="Times New Roman" w:hAnsi="Times New Roman"/>
          <w:noProof/>
          <w:sz w:val="24"/>
          <w:szCs w:val="24"/>
        </w:rPr>
        <w:footnoteReference w:id="50"/>
      </w:r>
      <w:r>
        <w:rPr>
          <w:noProof/>
          <w:sz w:val="24"/>
          <w:szCs w:val="24"/>
        </w:rPr>
        <w:t>.</w:t>
      </w:r>
      <w:r>
        <w:rPr>
          <w:rStyle w:val="FootnoteReference"/>
          <w:rFonts w:ascii="Times New Roman" w:hAnsi="Times New Roman"/>
          <w:noProof/>
          <w:sz w:val="24"/>
          <w:szCs w:val="24"/>
        </w:rPr>
        <w:t xml:space="preserve"> </w:t>
      </w:r>
    </w:p>
    <w:p w:rsidR="00882D23" w:rsidRDefault="000F7DD2">
      <w:pPr>
        <w:spacing w:after="120" w:line="240" w:lineRule="auto"/>
        <w:jc w:val="both"/>
        <w:rPr>
          <w:rFonts w:ascii="Times New Roman" w:hAnsi="Times New Roman"/>
          <w:noProof/>
          <w:sz w:val="24"/>
          <w:szCs w:val="24"/>
        </w:rPr>
      </w:pPr>
      <w:r>
        <w:rPr>
          <w:rFonts w:ascii="Times New Roman" w:hAnsi="Times New Roman"/>
          <w:i/>
          <w:noProof/>
          <w:sz w:val="24"/>
          <w:szCs w:val="24"/>
        </w:rPr>
        <w:t>Seguito dato alle decisioni giudiziarie concernenti i parlamentari</w:t>
      </w:r>
    </w:p>
    <w:p w:rsidR="00882D23" w:rsidRDefault="000F7DD2">
      <w:pPr>
        <w:spacing w:after="120" w:line="240" w:lineRule="auto"/>
        <w:jc w:val="both"/>
        <w:rPr>
          <w:rFonts w:ascii="Times New Roman" w:hAnsi="Times New Roman"/>
          <w:noProof/>
          <w:sz w:val="24"/>
          <w:szCs w:val="24"/>
        </w:rPr>
      </w:pPr>
      <w:r>
        <w:rPr>
          <w:rFonts w:ascii="Times New Roman" w:hAnsi="Times New Roman"/>
          <w:noProof/>
          <w:sz w:val="24"/>
          <w:szCs w:val="24"/>
        </w:rPr>
        <w:t xml:space="preserve">La relazione di </w:t>
      </w:r>
      <w:r>
        <w:rPr>
          <w:rFonts w:ascii="Times New Roman" w:hAnsi="Times New Roman"/>
          <w:noProof/>
          <w:sz w:val="24"/>
          <w:szCs w:val="24"/>
        </w:rPr>
        <w:t>novembre 2018 ha evidenziato ritardi ed evidenti incongruenze nell'applicazione di sanzioni nei confronti dei deputati che svolgevano funzioni incompatibili o che si trovavano in situazione di conflitto di interessi a seguito di una sentenza definitiva res</w:t>
      </w:r>
      <w:r>
        <w:rPr>
          <w:rFonts w:ascii="Times New Roman" w:hAnsi="Times New Roman"/>
          <w:noProof/>
          <w:sz w:val="24"/>
          <w:szCs w:val="24"/>
        </w:rPr>
        <w:t>a da un tribunale sulla base di una relazione dell'ANI. La relazione ha evidenziato altresì una possibile interpretazione divergente delle norme (in particolare quando i problemi di integrità in questione si riferivano a mandati o incarichi precedenti). Ep</w:t>
      </w:r>
      <w:r>
        <w:rPr>
          <w:rFonts w:ascii="Times New Roman" w:hAnsi="Times New Roman"/>
          <w:noProof/>
          <w:sz w:val="24"/>
          <w:szCs w:val="24"/>
        </w:rPr>
        <w:t>isodi di questo tipo indicano che vi è bisogno di chiarezza sulle norme relative alle incompatibilità e ai conflitti di interessi per rispettare il parametro di riferimento MCV di garantire "l'emissione di decisioni vincolanti sui cui basare eventuali sanz</w:t>
      </w:r>
      <w:r>
        <w:rPr>
          <w:rFonts w:ascii="Times New Roman" w:hAnsi="Times New Roman"/>
          <w:noProof/>
          <w:sz w:val="24"/>
          <w:szCs w:val="24"/>
        </w:rPr>
        <w:t>ioni dissuasive". Dalla relazione di novembre 2018 non si sono registrati nuovi sviluppi al riguardo. Nel luglio 2019 il ministro della Giustizia ha proposto di organizzare una riunione con tutte le autorità interessate per affrontare la questione, che pot</w:t>
      </w:r>
      <w:r>
        <w:rPr>
          <w:rFonts w:ascii="Times New Roman" w:hAnsi="Times New Roman"/>
          <w:noProof/>
          <w:sz w:val="24"/>
          <w:szCs w:val="24"/>
        </w:rPr>
        <w:t>rebbe costituire un primo passo costruttivo e dovrebbe mirare a una soluzione duratura che garantisca la necessaria chiarezza.</w:t>
      </w:r>
    </w:p>
    <w:p w:rsidR="00882D23" w:rsidRDefault="000F7DD2">
      <w:pPr>
        <w:spacing w:after="240" w:line="240" w:lineRule="auto"/>
        <w:jc w:val="both"/>
        <w:rPr>
          <w:rFonts w:ascii="Times New Roman" w:hAnsi="Times New Roman"/>
          <w:i/>
          <w:noProof/>
          <w:sz w:val="24"/>
          <w:szCs w:val="24"/>
        </w:rPr>
      </w:pPr>
      <w:r>
        <w:rPr>
          <w:rFonts w:ascii="Times New Roman" w:hAnsi="Times New Roman"/>
          <w:i/>
          <w:noProof/>
          <w:sz w:val="24"/>
          <w:szCs w:val="24"/>
        </w:rPr>
        <w:t>La raccomandazione 8 continua a essere attuata. Per mettere a segno progressi relativamente alla raccomandazione 9 è necessario p</w:t>
      </w:r>
      <w:r>
        <w:rPr>
          <w:rFonts w:ascii="Times New Roman" w:hAnsi="Times New Roman"/>
          <w:i/>
          <w:noProof/>
          <w:sz w:val="24"/>
          <w:szCs w:val="24"/>
        </w:rPr>
        <w:t>orre rimedio all'attuale mancanza di chiarezza sulle norme. Gli sviluppi legislativi per quanto riguarda le leggi sull'integrità dovranno essere chiariti per evitare il rischio di non poter applicare sanzioni dissuasive a seguito di una sentenza definitiva</w:t>
      </w:r>
      <w:r>
        <w:rPr>
          <w:rFonts w:ascii="Times New Roman" w:hAnsi="Times New Roman"/>
          <w:i/>
          <w:noProof/>
          <w:sz w:val="24"/>
          <w:szCs w:val="24"/>
        </w:rPr>
        <w:t>, rappresentando un regresso per quanto riguarda il secondo parametro di riferimento. Il secondo parametro di riferimento non è pertanto ancora soddisfatto.</w:t>
      </w:r>
    </w:p>
    <w:p w:rsidR="00882D23" w:rsidRDefault="000F7DD2">
      <w:pPr>
        <w:spacing w:after="120" w:line="240" w:lineRule="auto"/>
        <w:jc w:val="both"/>
        <w:rPr>
          <w:rFonts w:ascii="Times New Roman" w:hAnsi="Times New Roman"/>
          <w:b/>
          <w:noProof/>
          <w:sz w:val="24"/>
          <w:szCs w:val="24"/>
        </w:rPr>
      </w:pPr>
      <w:r>
        <w:rPr>
          <w:rFonts w:ascii="Times New Roman" w:hAnsi="Times New Roman"/>
          <w:b/>
          <w:noProof/>
          <w:sz w:val="24"/>
          <w:szCs w:val="24"/>
        </w:rPr>
        <w:t xml:space="preserve">3.3 </w:t>
      </w:r>
      <w:r>
        <w:rPr>
          <w:rFonts w:ascii="Times New Roman" w:hAnsi="Times New Roman"/>
          <w:b/>
          <w:noProof/>
          <w:sz w:val="24"/>
          <w:szCs w:val="24"/>
        </w:rPr>
        <w:tab/>
        <w:t>Terzo parametro di riferimento: combattere la corruzione ad alto livello</w:t>
      </w:r>
    </w:p>
    <w:p w:rsidR="00882D23" w:rsidRDefault="000F7DD2">
      <w:pPr>
        <w:spacing w:after="120" w:line="240" w:lineRule="auto"/>
        <w:jc w:val="both"/>
        <w:rPr>
          <w:rFonts w:ascii="Times New Roman" w:hAnsi="Times New Roman"/>
          <w:i/>
          <w:noProof/>
          <w:sz w:val="24"/>
          <w:szCs w:val="24"/>
        </w:rPr>
      </w:pPr>
      <w:r>
        <w:rPr>
          <w:rFonts w:ascii="Times New Roman" w:hAnsi="Times New Roman"/>
          <w:i/>
          <w:noProof/>
          <w:sz w:val="24"/>
          <w:szCs w:val="24"/>
        </w:rPr>
        <w:t>Sostenibilità della D</w:t>
      </w:r>
      <w:r>
        <w:rPr>
          <w:rFonts w:ascii="Times New Roman" w:hAnsi="Times New Roman"/>
          <w:i/>
          <w:noProof/>
          <w:sz w:val="24"/>
          <w:szCs w:val="24"/>
        </w:rPr>
        <w:t>irezione nazionale anticorruzione e irreversibilità della lotta contro la corruzione</w:t>
      </w:r>
    </w:p>
    <w:p w:rsidR="00882D23" w:rsidRDefault="000F7DD2">
      <w:pPr>
        <w:spacing w:after="120" w:line="240" w:lineRule="auto"/>
        <w:jc w:val="both"/>
        <w:rPr>
          <w:rFonts w:ascii="Times New Roman" w:hAnsi="Times New Roman"/>
          <w:noProof/>
          <w:sz w:val="24"/>
          <w:szCs w:val="24"/>
        </w:rPr>
      </w:pPr>
      <w:r>
        <w:rPr>
          <w:rFonts w:ascii="Times New Roman" w:hAnsi="Times New Roman"/>
          <w:noProof/>
          <w:sz w:val="24"/>
          <w:szCs w:val="24"/>
        </w:rPr>
        <w:t>Dalla relazione di novembre 2018, e nonostante le circostanze molto difficili, le istituzioni giudiziarie incaricate di combattere la corruzione ad alto livello hanno cont</w:t>
      </w:r>
      <w:r>
        <w:rPr>
          <w:rFonts w:ascii="Times New Roman" w:hAnsi="Times New Roman"/>
          <w:noProof/>
          <w:sz w:val="24"/>
          <w:szCs w:val="24"/>
        </w:rPr>
        <w:t xml:space="preserve">inuato a indagare sulle accuse e a sanzionare i reati gravi di corruzione ad alto livello. </w:t>
      </w:r>
    </w:p>
    <w:p w:rsidR="00882D23" w:rsidRDefault="000F7DD2">
      <w:pPr>
        <w:spacing w:after="120" w:line="240" w:lineRule="auto"/>
        <w:jc w:val="both"/>
        <w:rPr>
          <w:rFonts w:ascii="Times New Roman" w:hAnsi="Times New Roman"/>
          <w:noProof/>
          <w:sz w:val="24"/>
          <w:szCs w:val="24"/>
        </w:rPr>
      </w:pPr>
      <w:r>
        <w:rPr>
          <w:rFonts w:ascii="Times New Roman" w:hAnsi="Times New Roman"/>
          <w:noProof/>
          <w:sz w:val="24"/>
          <w:szCs w:val="24"/>
        </w:rPr>
        <w:t>La relazione di novembre 2018 ha evidenziato una tendenza ad esercitare pressioni sulle principali istituzioni anticorruzione, in particolare sulla Direzione nazion</w:t>
      </w:r>
      <w:r>
        <w:rPr>
          <w:rFonts w:ascii="Times New Roman" w:hAnsi="Times New Roman"/>
          <w:noProof/>
          <w:sz w:val="24"/>
          <w:szCs w:val="24"/>
        </w:rPr>
        <w:t>ale anticorruzione (DNA) e sull'Alta Corte di cassazione e di giustizia, e una preoccupazione crescente sulla capacità di tali organismi di continuare a svolgere le loro funzioni e con conseguenze sul carattere irreversibile della lotta alla corruzione. Be</w:t>
      </w:r>
      <w:r>
        <w:rPr>
          <w:rFonts w:ascii="Times New Roman" w:hAnsi="Times New Roman"/>
          <w:noProof/>
          <w:sz w:val="24"/>
          <w:szCs w:val="24"/>
        </w:rPr>
        <w:t>nché tali istituzioni possano tuttora vantare un bilancio positivo, vi sono segnali che la continua pressione esercitata sulle stesse abbia avuto un impatto negativo.</w:t>
      </w:r>
    </w:p>
    <w:p w:rsidR="00882D23" w:rsidRDefault="000F7DD2">
      <w:pPr>
        <w:spacing w:after="120" w:line="240" w:lineRule="auto"/>
        <w:jc w:val="both"/>
        <w:rPr>
          <w:rFonts w:ascii="Times New Roman" w:hAnsi="Times New Roman"/>
          <w:noProof/>
          <w:sz w:val="24"/>
          <w:szCs w:val="24"/>
        </w:rPr>
      </w:pPr>
      <w:r>
        <w:rPr>
          <w:rFonts w:ascii="Times New Roman" w:hAnsi="Times New Roman"/>
          <w:noProof/>
          <w:sz w:val="24"/>
          <w:szCs w:val="24"/>
        </w:rPr>
        <w:t xml:space="preserve">Le leggi sulla giustizia modificate hanno introdotto cambiamenti repentini dei requisiti </w:t>
      </w:r>
      <w:r>
        <w:rPr>
          <w:rFonts w:ascii="Times New Roman" w:hAnsi="Times New Roman"/>
          <w:noProof/>
          <w:sz w:val="24"/>
          <w:szCs w:val="24"/>
        </w:rPr>
        <w:t>di anzianità con ricadute negative sul funzionamento della DNA. Sul trattamento efficace dei casi di corruzione ad alto livello ha inciso negativamente in molti casi il trasferimento di competenze alla sezione speciale, che non solo è competente per le ind</w:t>
      </w:r>
      <w:r>
        <w:rPr>
          <w:rFonts w:ascii="Times New Roman" w:hAnsi="Times New Roman"/>
          <w:noProof/>
          <w:sz w:val="24"/>
          <w:szCs w:val="24"/>
        </w:rPr>
        <w:t>agini sui reati commessi dai magistrati ma anche per i reati ad essi correlati commessi da altre persone. E si è concretizzato il rischio paventato nel novembre 2018, ovvero che la sezione speciale potesse essere usata come mezzo per cambiare l'andamento d</w:t>
      </w:r>
      <w:r>
        <w:rPr>
          <w:rFonts w:ascii="Times New Roman" w:hAnsi="Times New Roman"/>
          <w:noProof/>
          <w:sz w:val="24"/>
          <w:szCs w:val="24"/>
        </w:rPr>
        <w:t xml:space="preserve">elle cause di corruzione ad alto livello e per esercitare pressioni sui magistrati (si veda il primo parametro di riferimento). L'interruzione della procedura di nomina ha lasciato la DNA senza procuratore capo. Benché l'attuale direzione </w:t>
      </w:r>
      <w:r>
        <w:rPr>
          <w:rFonts w:ascii="Times New Roman" w:hAnsi="Times New Roman"/>
          <w:i/>
          <w:noProof/>
          <w:sz w:val="24"/>
          <w:szCs w:val="24"/>
        </w:rPr>
        <w:t>ad interim</w:t>
      </w:r>
      <w:r>
        <w:rPr>
          <w:rFonts w:ascii="Times New Roman" w:hAnsi="Times New Roman"/>
          <w:noProof/>
          <w:sz w:val="24"/>
          <w:szCs w:val="24"/>
        </w:rPr>
        <w:t xml:space="preserve"> abbia </w:t>
      </w:r>
      <w:r>
        <w:rPr>
          <w:rFonts w:ascii="Times New Roman" w:hAnsi="Times New Roman"/>
          <w:noProof/>
          <w:sz w:val="24"/>
          <w:szCs w:val="24"/>
        </w:rPr>
        <w:t xml:space="preserve">proseguito con successo il proprio lavoro, la natura temporanea delle nomine </w:t>
      </w:r>
      <w:r>
        <w:rPr>
          <w:rFonts w:ascii="Times New Roman" w:hAnsi="Times New Roman"/>
          <w:i/>
          <w:noProof/>
          <w:sz w:val="24"/>
          <w:szCs w:val="24"/>
        </w:rPr>
        <w:t>ad interim</w:t>
      </w:r>
      <w:r>
        <w:rPr>
          <w:rFonts w:ascii="Times New Roman" w:hAnsi="Times New Roman"/>
          <w:noProof/>
          <w:sz w:val="24"/>
          <w:szCs w:val="24"/>
        </w:rPr>
        <w:t xml:space="preserve"> aggiunge elementi di incertezza e vulnerabilità.</w:t>
      </w:r>
    </w:p>
    <w:p w:rsidR="00882D23" w:rsidRDefault="000F7DD2">
      <w:pPr>
        <w:spacing w:after="120" w:line="240" w:lineRule="auto"/>
        <w:jc w:val="both"/>
        <w:rPr>
          <w:rFonts w:ascii="Times New Roman" w:hAnsi="Times New Roman"/>
          <w:noProof/>
          <w:sz w:val="24"/>
          <w:szCs w:val="24"/>
        </w:rPr>
      </w:pPr>
      <w:r>
        <w:rPr>
          <w:rFonts w:ascii="Times New Roman" w:hAnsi="Times New Roman"/>
          <w:noProof/>
          <w:sz w:val="24"/>
          <w:szCs w:val="24"/>
        </w:rPr>
        <w:t>Anche il fortissimo aumento della pressione esercitata sull'Alta Corte (si veda il primo parametro di riferimento) ha avuto un impatto sull'efficacia della giustizia nei casi di corruzione ad alto livello. In particolare, l'Alta Corte di cassazione e di gi</w:t>
      </w:r>
      <w:r>
        <w:rPr>
          <w:rFonts w:ascii="Times New Roman" w:hAnsi="Times New Roman"/>
          <w:noProof/>
          <w:sz w:val="24"/>
          <w:szCs w:val="24"/>
        </w:rPr>
        <w:t>ustizia è stata deferita alla Corte costituzionale in due procedure relative a conflitti costituzionali avviati dal governo sull'interpretazione delle norme procedurali sulla costituzione delle commissioni di ricorso composte da 5 giudici e delle commissio</w:t>
      </w:r>
      <w:r>
        <w:rPr>
          <w:rFonts w:ascii="Times New Roman" w:hAnsi="Times New Roman"/>
          <w:noProof/>
          <w:sz w:val="24"/>
          <w:szCs w:val="24"/>
        </w:rPr>
        <w:t>ni composte da 3 giudici per i processi di corruzione di primo grado. Benché le sentenze della Corte costituzionale non si applichino ai procedimenti giudiziari chiusi, il seguito dato alla sentenza sulle commissioni di ricorso composte da 5 giudici ha cre</w:t>
      </w:r>
      <w:r>
        <w:rPr>
          <w:rFonts w:ascii="Times New Roman" w:hAnsi="Times New Roman"/>
          <w:noProof/>
          <w:sz w:val="24"/>
          <w:szCs w:val="24"/>
        </w:rPr>
        <w:t>ato a una notevole incertezza. All'inizio del 2019 è stata presa in considerazione l'adozione di un decreto d'urgenza che, se adottato, avrebbe consentito di riaprire tutti i casi di corruzione ad alto livello chiusi da una sentenza definitiva dell'Alta Co</w:t>
      </w:r>
      <w:r>
        <w:rPr>
          <w:rFonts w:ascii="Times New Roman" w:hAnsi="Times New Roman"/>
          <w:noProof/>
          <w:sz w:val="24"/>
          <w:szCs w:val="24"/>
        </w:rPr>
        <w:t xml:space="preserve">rte pronunciata nel 2014 da una commissione composta da 5 giudici. Benché il decreto d'urgenza non sia poi stato adottato a seguito delle critiche formulate a livello nazionale e internazionale, sarebbe importante che le autorità </w:t>
      </w:r>
      <w:r w:rsidRPr="000F7DD2">
        <w:rPr>
          <w:rFonts w:ascii="Times New Roman" w:hAnsi="Times New Roman"/>
          <w:noProof/>
          <w:sz w:val="24"/>
          <w:szCs w:val="24"/>
        </w:rPr>
        <w:t xml:space="preserve">rumene </w:t>
      </w:r>
      <w:r w:rsidRPr="000F7DD2">
        <w:rPr>
          <w:rFonts w:ascii="Times New Roman" w:hAnsi="Times New Roman"/>
          <w:noProof/>
          <w:sz w:val="24"/>
          <w:szCs w:val="24"/>
        </w:rPr>
        <w:t>rinunciassero a per</w:t>
      </w:r>
      <w:r w:rsidRPr="000F7DD2">
        <w:rPr>
          <w:rFonts w:ascii="Times New Roman" w:hAnsi="Times New Roman"/>
          <w:noProof/>
          <w:sz w:val="24"/>
          <w:szCs w:val="24"/>
        </w:rPr>
        <w:t xml:space="preserve">seguire gli obiettivi di una tale misura e </w:t>
      </w:r>
      <w:r w:rsidRPr="000F7DD2">
        <w:rPr>
          <w:rFonts w:ascii="Times New Roman" w:hAnsi="Times New Roman"/>
          <w:noProof/>
          <w:sz w:val="24"/>
          <w:szCs w:val="24"/>
        </w:rPr>
        <w:t>chiarissero che non è necessaria una legislazione con effetti sulle</w:t>
      </w:r>
      <w:r>
        <w:rPr>
          <w:rFonts w:ascii="Times New Roman" w:hAnsi="Times New Roman"/>
          <w:noProof/>
          <w:sz w:val="24"/>
          <w:szCs w:val="24"/>
        </w:rPr>
        <w:t xml:space="preserve"> cause passate, a seguito delle sentenze della Corte costituzionale, oltre a ribadire il loro impegno a contrastare efficacemente la corruzione.</w:t>
      </w:r>
    </w:p>
    <w:p w:rsidR="00882D23" w:rsidRDefault="000F7DD2">
      <w:pPr>
        <w:spacing w:after="240" w:line="240" w:lineRule="auto"/>
        <w:jc w:val="both"/>
        <w:rPr>
          <w:rFonts w:ascii="Times New Roman" w:hAnsi="Times New Roman"/>
          <w:noProof/>
          <w:sz w:val="24"/>
          <w:szCs w:val="24"/>
        </w:rPr>
      </w:pPr>
      <w:r>
        <w:rPr>
          <w:rFonts w:ascii="Times New Roman" w:hAnsi="Times New Roman"/>
          <w:noProof/>
          <w:sz w:val="24"/>
          <w:szCs w:val="24"/>
        </w:rPr>
        <w:t>L</w:t>
      </w:r>
      <w:r>
        <w:rPr>
          <w:rFonts w:ascii="Times New Roman" w:hAnsi="Times New Roman"/>
          <w:noProof/>
          <w:sz w:val="24"/>
          <w:szCs w:val="24"/>
        </w:rPr>
        <w:t>e sentenze della Corte costituzionale hanno un impatto diretto sulle cause di corruzione ad alto livello attualmente in corso, comportando ritardi e la riapertura dei processi, e hanno consentito, a determinate condizioni, la riapertura di più casi che era</w:t>
      </w:r>
      <w:r>
        <w:rPr>
          <w:rFonts w:ascii="Times New Roman" w:hAnsi="Times New Roman"/>
          <w:noProof/>
          <w:sz w:val="24"/>
          <w:szCs w:val="24"/>
        </w:rPr>
        <w:t>no stati chiusi in via definitiva, con conseguenze che non si sono ancora pienamente manifestate. Questo chiaro effetto a catena sull'andamento della giustizia ha inoltre suscitato maggiori dubbi sulla sostenibilità dei progressi compiuti finora dalla Roma</w:t>
      </w:r>
      <w:r>
        <w:rPr>
          <w:rFonts w:ascii="Times New Roman" w:hAnsi="Times New Roman"/>
          <w:noProof/>
          <w:sz w:val="24"/>
          <w:szCs w:val="24"/>
        </w:rPr>
        <w:t>nia nella lotta alla corruzione – tanto più che ciò è avvenuto in concomitanza con le modifiche al codice penale e al codice di procedura penale che non hanno tenuto conto della raccomandazione di novembre 2018 relativa alla compatibilità con il diritto de</w:t>
      </w:r>
      <w:r>
        <w:rPr>
          <w:rFonts w:ascii="Times New Roman" w:hAnsi="Times New Roman"/>
          <w:noProof/>
          <w:sz w:val="24"/>
          <w:szCs w:val="24"/>
        </w:rPr>
        <w:t>ll'UE e con gli strumenti internazionali anticorruzione (si veda anche il primo parametro di riferimento).</w:t>
      </w:r>
    </w:p>
    <w:tbl>
      <w:tblPr>
        <w:tblStyle w:val="TableGrid"/>
        <w:tblW w:w="0" w:type="auto"/>
        <w:tblLook w:val="04A0" w:firstRow="1" w:lastRow="0" w:firstColumn="1" w:lastColumn="0" w:noHBand="0" w:noVBand="1"/>
      </w:tblPr>
      <w:tblGrid>
        <w:gridCol w:w="9288"/>
      </w:tblGrid>
      <w:tr w:rsidR="00882D23">
        <w:tc>
          <w:tcPr>
            <w:tcW w:w="9288" w:type="dxa"/>
          </w:tcPr>
          <w:p w:rsidR="00882D23" w:rsidRDefault="000F7DD2">
            <w:pPr>
              <w:spacing w:after="120" w:line="240" w:lineRule="auto"/>
              <w:jc w:val="both"/>
              <w:rPr>
                <w:rFonts w:ascii="Times New Roman" w:eastAsia="SimSun" w:hAnsi="Times New Roman"/>
                <w:b/>
                <w:i/>
                <w:noProof/>
                <w:sz w:val="24"/>
                <w:szCs w:val="24"/>
              </w:rPr>
            </w:pPr>
            <w:r>
              <w:rPr>
                <w:rFonts w:ascii="Times New Roman" w:hAnsi="Times New Roman"/>
                <w:i/>
                <w:noProof/>
                <w:sz w:val="24"/>
                <w:szCs w:val="24"/>
              </w:rPr>
              <w:t xml:space="preserve">Raccomandazione 10: adottare criteri obiettivi per decidere e motivare la revoca dell'immunità dei membri del Parlamento e prendere disposizioni per </w:t>
            </w:r>
            <w:r>
              <w:rPr>
                <w:rFonts w:ascii="Times New Roman" w:hAnsi="Times New Roman"/>
                <w:i/>
                <w:noProof/>
                <w:sz w:val="24"/>
                <w:szCs w:val="24"/>
              </w:rPr>
              <w:t>contribuire a impedire che l'immunità venga utilizzata per evitare indagini e azioni penali sui reati di corruzione. Il governo potrebbe inoltre vagliare l'opportunità di modificare la legge per limitare l'immunità dei ministri alla durata del mandato. Que</w:t>
            </w:r>
            <w:r>
              <w:rPr>
                <w:rFonts w:ascii="Times New Roman" w:hAnsi="Times New Roman"/>
                <w:i/>
                <w:noProof/>
                <w:sz w:val="24"/>
                <w:szCs w:val="24"/>
              </w:rPr>
              <w:t>sti provvedimenti potrebbero essere sostenuti dalla Commissione di Venezia e dal gruppo GRECO. Il Parlamento dovrebbe istituire un sistema di rendicontazione periodica sulle decisioni adottate dalle camere in merito alle richieste di revoca dell'immunità e</w:t>
            </w:r>
            <w:r>
              <w:rPr>
                <w:rFonts w:ascii="Times New Roman" w:hAnsi="Times New Roman"/>
                <w:i/>
                <w:noProof/>
                <w:sz w:val="24"/>
                <w:szCs w:val="24"/>
              </w:rPr>
              <w:t xml:space="preserve"> potrebbe organizzare un dibattito pubblico per dare al Consiglio superiore della magistratura e alla società civile la possibilità di rispondere.</w:t>
            </w:r>
          </w:p>
        </w:tc>
      </w:tr>
    </w:tbl>
    <w:p w:rsidR="00882D23" w:rsidRDefault="000F7DD2">
      <w:pPr>
        <w:spacing w:before="120" w:after="120" w:line="240" w:lineRule="auto"/>
        <w:jc w:val="both"/>
        <w:rPr>
          <w:rFonts w:ascii="Times New Roman" w:eastAsia="SimSun" w:hAnsi="Times New Roman"/>
          <w:noProof/>
          <w:sz w:val="24"/>
          <w:szCs w:val="24"/>
        </w:rPr>
      </w:pPr>
      <w:r>
        <w:rPr>
          <w:rFonts w:ascii="Times New Roman" w:hAnsi="Times New Roman"/>
          <w:noProof/>
          <w:sz w:val="24"/>
          <w:szCs w:val="24"/>
        </w:rPr>
        <w:t>La raccomandazione 10 riguarda la responsabilità del Parlamento per quanto riguarda le sue decisioni sulle r</w:t>
      </w:r>
      <w:r>
        <w:rPr>
          <w:rFonts w:ascii="Times New Roman" w:hAnsi="Times New Roman"/>
          <w:noProof/>
          <w:sz w:val="24"/>
          <w:szCs w:val="24"/>
        </w:rPr>
        <w:t>ichieste della procura di autorizzare misure preventive quali perquisizioni o arresti e le richieste di autorizzare indagini su parlamentari che siano o siano stati anche ministri. La mancanza di spiegazione delle decisioni adottate dal Parlamento — nonché</w:t>
      </w:r>
      <w:r>
        <w:rPr>
          <w:rFonts w:ascii="Times New Roman" w:hAnsi="Times New Roman"/>
          <w:noProof/>
          <w:sz w:val="24"/>
          <w:szCs w:val="24"/>
        </w:rPr>
        <w:t xml:space="preserve"> il numero di volte in cui il Parlamento non ha autorizzato la prosecuzione delle indagini — ha suscitato preoccupazioni circa l'obiettività di tali decisioni. </w:t>
      </w:r>
    </w:p>
    <w:p w:rsidR="00882D23" w:rsidRDefault="000F7DD2">
      <w:pPr>
        <w:spacing w:after="120" w:line="240" w:lineRule="auto"/>
        <w:jc w:val="both"/>
        <w:rPr>
          <w:rFonts w:ascii="Times New Roman" w:hAnsi="Times New Roman"/>
          <w:noProof/>
          <w:sz w:val="24"/>
          <w:szCs w:val="24"/>
        </w:rPr>
      </w:pPr>
      <w:r>
        <w:rPr>
          <w:rFonts w:ascii="Times New Roman" w:hAnsi="Times New Roman"/>
          <w:noProof/>
          <w:sz w:val="24"/>
          <w:szCs w:val="24"/>
        </w:rPr>
        <w:t>Il 5 giugno 2019 la Camera dei deputati ha modificato il proprio regolamento interno per quanto</w:t>
      </w:r>
      <w:r>
        <w:rPr>
          <w:rFonts w:ascii="Times New Roman" w:hAnsi="Times New Roman"/>
          <w:noProof/>
          <w:sz w:val="24"/>
          <w:szCs w:val="24"/>
        </w:rPr>
        <w:t xml:space="preserve"> riguarda le azioni penali nei confronti di membri o ex membri del governo che sono parlamentari. In particolare si è fatto esplicito riferimento ai criteri stabiliti nella relazione della Commissione di Venezia sugli obiettivi e la revoca dell'immunità pa</w:t>
      </w:r>
      <w:r>
        <w:rPr>
          <w:rFonts w:ascii="Times New Roman" w:hAnsi="Times New Roman"/>
          <w:noProof/>
          <w:sz w:val="24"/>
          <w:szCs w:val="24"/>
        </w:rPr>
        <w:t>rlamentare</w:t>
      </w:r>
      <w:r>
        <w:rPr>
          <w:rStyle w:val="FootnoteReference"/>
          <w:rFonts w:ascii="Times New Roman" w:hAnsi="Times New Roman"/>
          <w:noProof/>
          <w:sz w:val="24"/>
          <w:szCs w:val="24"/>
        </w:rPr>
        <w:footnoteReference w:id="51"/>
      </w:r>
      <w:r>
        <w:rPr>
          <w:noProof/>
          <w:sz w:val="24"/>
          <w:szCs w:val="24"/>
        </w:rPr>
        <w:t>.</w:t>
      </w:r>
      <w:r>
        <w:rPr>
          <w:rFonts w:ascii="Times New Roman" w:hAnsi="Times New Roman"/>
          <w:noProof/>
          <w:sz w:val="24"/>
          <w:szCs w:val="24"/>
        </w:rPr>
        <w:t xml:space="preserve"> Si tratta di un cambiamento che va accolto favorevolmente e la Commissione attende con interesse la sua effettiva attuazione, anche alla luce della raccomandazione di coinvolgere nel dibattito le autorità giudiziarie e la società civile. </w:t>
      </w:r>
    </w:p>
    <w:p w:rsidR="00882D23" w:rsidRDefault="000F7DD2">
      <w:pPr>
        <w:spacing w:after="120" w:line="240" w:lineRule="auto"/>
        <w:jc w:val="both"/>
        <w:rPr>
          <w:rFonts w:ascii="Times New Roman" w:hAnsi="Times New Roman"/>
          <w:noProof/>
          <w:sz w:val="24"/>
          <w:szCs w:val="24"/>
        </w:rPr>
      </w:pPr>
      <w:r>
        <w:rPr>
          <w:rFonts w:ascii="Times New Roman" w:hAnsi="Times New Roman"/>
          <w:noProof/>
          <w:sz w:val="24"/>
          <w:szCs w:val="24"/>
        </w:rPr>
        <w:t xml:space="preserve">Il </w:t>
      </w:r>
      <w:r>
        <w:rPr>
          <w:rFonts w:ascii="Times New Roman" w:hAnsi="Times New Roman"/>
          <w:noProof/>
          <w:sz w:val="24"/>
          <w:szCs w:val="24"/>
        </w:rPr>
        <w:t>Senato è incoraggiato ad adottare norme analoghe. All'inizio di giugno, è stata respinta la richiesta della procura di revocare l'immunità del presidente del Senato. In settembre il Senato ha respinto la richiesta di autorizzazione a procedere nei confront</w:t>
      </w:r>
      <w:r>
        <w:rPr>
          <w:rFonts w:ascii="Times New Roman" w:hAnsi="Times New Roman"/>
          <w:noProof/>
          <w:sz w:val="24"/>
          <w:szCs w:val="24"/>
        </w:rPr>
        <w:t>i di un senatore che era stato ministro della Sanità.</w:t>
      </w:r>
    </w:p>
    <w:p w:rsidR="00882D23" w:rsidRDefault="000F7DD2">
      <w:pPr>
        <w:spacing w:after="240" w:line="240" w:lineRule="auto"/>
        <w:jc w:val="both"/>
        <w:rPr>
          <w:rFonts w:ascii="Times New Roman" w:hAnsi="Times New Roman"/>
          <w:i/>
          <w:noProof/>
          <w:sz w:val="24"/>
          <w:szCs w:val="24"/>
        </w:rPr>
      </w:pPr>
      <w:r>
        <w:rPr>
          <w:rFonts w:ascii="Times New Roman" w:hAnsi="Times New Roman"/>
          <w:i/>
          <w:noProof/>
          <w:sz w:val="24"/>
          <w:szCs w:val="24"/>
        </w:rPr>
        <w:t>La Commissione ribadisce le conclusioni formulate nel novembre 2018, ovvero che i motivi che hanno indotto una valutazione positiva del gennaio 2017 relativa al terzo parametro di riferimento andrebbero</w:t>
      </w:r>
      <w:r>
        <w:rPr>
          <w:rFonts w:ascii="Times New Roman" w:hAnsi="Times New Roman"/>
          <w:i/>
          <w:noProof/>
          <w:sz w:val="24"/>
          <w:szCs w:val="24"/>
        </w:rPr>
        <w:t xml:space="preserve"> rivisti alla luce dell'evoluzione della situazione in Romania. Nonostante il fatto che sia la DNA che l'Alta Corte di cassazione e giustizia abbiano continuato a indagare e sanzionare la corruzione ad alto livello e fatto prova di professionalità in circo</w:t>
      </w:r>
      <w:r>
        <w:rPr>
          <w:rFonts w:ascii="Times New Roman" w:hAnsi="Times New Roman"/>
          <w:i/>
          <w:noProof/>
          <w:sz w:val="24"/>
          <w:szCs w:val="24"/>
        </w:rPr>
        <w:t>stanze molto difficili, gli attacchi alle loro attività, le modifiche successive del quadro giuridico applicabile e la possibile contestazione delle sentenze definitive sollevano interrogativi circa la sostenibilità dei risultati conseguiti dalla Romania n</w:t>
      </w:r>
      <w:r>
        <w:rPr>
          <w:rFonts w:ascii="Times New Roman" w:hAnsi="Times New Roman"/>
          <w:i/>
          <w:noProof/>
          <w:sz w:val="24"/>
          <w:szCs w:val="24"/>
        </w:rPr>
        <w:t xml:space="preserve">ella lotta alla corruzione ad alto livello. Pertanto, nonostante alcuni recenti sviluppi positivi, la raccomandazione 10 non può più essere considerata sufficiente per considerare soddisfatto il parametro di riferimento. </w:t>
      </w:r>
    </w:p>
    <w:p w:rsidR="00882D23" w:rsidRDefault="000F7DD2">
      <w:pPr>
        <w:spacing w:after="0" w:line="240" w:lineRule="auto"/>
        <w:rPr>
          <w:rFonts w:ascii="Times New Roman" w:hAnsi="Times New Roman"/>
          <w:b/>
          <w:noProof/>
          <w:sz w:val="24"/>
          <w:szCs w:val="24"/>
        </w:rPr>
      </w:pPr>
      <w:r>
        <w:rPr>
          <w:noProof/>
          <w:sz w:val="24"/>
          <w:szCs w:val="24"/>
        </w:rPr>
        <w:br w:type="page"/>
      </w:r>
    </w:p>
    <w:p w:rsidR="00882D23" w:rsidRDefault="000F7DD2">
      <w:pPr>
        <w:spacing w:after="120" w:line="240" w:lineRule="auto"/>
        <w:jc w:val="both"/>
        <w:rPr>
          <w:rFonts w:ascii="Times New Roman" w:hAnsi="Times New Roman"/>
          <w:b/>
          <w:noProof/>
          <w:sz w:val="24"/>
          <w:szCs w:val="24"/>
        </w:rPr>
      </w:pPr>
      <w:r>
        <w:rPr>
          <w:rFonts w:ascii="Times New Roman" w:hAnsi="Times New Roman"/>
          <w:b/>
          <w:noProof/>
          <w:sz w:val="24"/>
          <w:szCs w:val="24"/>
        </w:rPr>
        <w:t>3.4</w:t>
      </w:r>
      <w:r>
        <w:rPr>
          <w:rFonts w:ascii="Times New Roman" w:hAnsi="Times New Roman"/>
          <w:b/>
          <w:noProof/>
          <w:sz w:val="24"/>
          <w:szCs w:val="24"/>
        </w:rPr>
        <w:tab/>
        <w:t>Quarto parametro di riferime</w:t>
      </w:r>
      <w:r>
        <w:rPr>
          <w:rFonts w:ascii="Times New Roman" w:hAnsi="Times New Roman"/>
          <w:b/>
          <w:noProof/>
          <w:sz w:val="24"/>
          <w:szCs w:val="24"/>
        </w:rPr>
        <w:t>nto: combattere la corruzione a tutti i livelli</w:t>
      </w:r>
    </w:p>
    <w:p w:rsidR="00882D23" w:rsidRDefault="000F7DD2">
      <w:pPr>
        <w:keepNext/>
        <w:pBdr>
          <w:top w:val="single" w:sz="4" w:space="1" w:color="auto"/>
          <w:left w:val="single" w:sz="4" w:space="4" w:color="auto"/>
          <w:bottom w:val="single" w:sz="4" w:space="1" w:color="auto"/>
          <w:right w:val="single" w:sz="4" w:space="4" w:color="auto"/>
        </w:pBdr>
        <w:spacing w:after="0" w:line="240" w:lineRule="auto"/>
        <w:jc w:val="both"/>
        <w:rPr>
          <w:rFonts w:ascii="Times New Roman" w:eastAsia="SimSun" w:hAnsi="Times New Roman"/>
          <w:i/>
          <w:noProof/>
          <w:sz w:val="24"/>
          <w:szCs w:val="24"/>
        </w:rPr>
      </w:pPr>
      <w:r>
        <w:rPr>
          <w:rFonts w:ascii="Times New Roman" w:hAnsi="Times New Roman"/>
          <w:i/>
          <w:noProof/>
          <w:sz w:val="24"/>
          <w:szCs w:val="24"/>
        </w:rPr>
        <w:t>Raccomandazione 11:</w:t>
      </w:r>
      <w:r>
        <w:rPr>
          <w:rFonts w:ascii="Times New Roman" w:hAnsi="Times New Roman"/>
          <w:b/>
          <w:i/>
          <w:noProof/>
          <w:sz w:val="24"/>
          <w:szCs w:val="24"/>
        </w:rPr>
        <w:t xml:space="preserve"> </w:t>
      </w:r>
      <w:r>
        <w:rPr>
          <w:rFonts w:ascii="Times New Roman" w:hAnsi="Times New Roman"/>
          <w:i/>
          <w:noProof/>
          <w:sz w:val="24"/>
          <w:szCs w:val="24"/>
        </w:rPr>
        <w:t>continuare ad attuare la strategia nazionale anticorruzione, rispettando i termini fissati dal governo nell'agosto 2016. Il ministero della Giustizia dovrebbe istituire un sistema di rendi</w:t>
      </w:r>
      <w:r>
        <w:rPr>
          <w:rFonts w:ascii="Times New Roman" w:hAnsi="Times New Roman"/>
          <w:i/>
          <w:noProof/>
          <w:sz w:val="24"/>
          <w:szCs w:val="24"/>
        </w:rPr>
        <w:t>contazione sull'effettiva attuazione della strategia nazionale anticorruzione (comprendente statistiche sui problemi di integrità nella pubblica amministrazione, dati precisi sulle procedure e sulle sanzioni disciplinari e informazioni sulle misure struttu</w:t>
      </w:r>
      <w:r>
        <w:rPr>
          <w:rFonts w:ascii="Times New Roman" w:hAnsi="Times New Roman"/>
          <w:i/>
          <w:noProof/>
          <w:sz w:val="24"/>
          <w:szCs w:val="24"/>
        </w:rPr>
        <w:t>rali applicate in ambiti vulnerabili).</w:t>
      </w:r>
    </w:p>
    <w:p w:rsidR="00882D23" w:rsidRDefault="000F7DD2">
      <w:pPr>
        <w:keepNext/>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b/>
          <w:i/>
          <w:noProof/>
          <w:sz w:val="24"/>
          <w:szCs w:val="24"/>
        </w:rPr>
      </w:pPr>
      <w:r>
        <w:rPr>
          <w:rFonts w:ascii="Times New Roman" w:hAnsi="Times New Roman"/>
          <w:i/>
          <w:noProof/>
          <w:sz w:val="24"/>
          <w:szCs w:val="24"/>
        </w:rPr>
        <w:t>Raccomandazione 12:</w:t>
      </w:r>
      <w:r>
        <w:rPr>
          <w:rFonts w:ascii="Times New Roman" w:hAnsi="Times New Roman"/>
          <w:b/>
          <w:i/>
          <w:noProof/>
          <w:sz w:val="24"/>
          <w:szCs w:val="24"/>
        </w:rPr>
        <w:t xml:space="preserve"> </w:t>
      </w:r>
      <w:r>
        <w:rPr>
          <w:rFonts w:ascii="Times New Roman" w:hAnsi="Times New Roman"/>
          <w:i/>
          <w:noProof/>
          <w:sz w:val="24"/>
          <w:szCs w:val="24"/>
        </w:rPr>
        <w:t xml:space="preserve">garantire la piena ed effettiva operatività dell'Agenzia nazionale per la gestione dei beni confiscati affinché possa presentare una prima relazione annuale contenente dati statistici affidabili </w:t>
      </w:r>
      <w:r>
        <w:rPr>
          <w:rFonts w:ascii="Times New Roman" w:hAnsi="Times New Roman"/>
          <w:i/>
          <w:noProof/>
          <w:sz w:val="24"/>
          <w:szCs w:val="24"/>
        </w:rPr>
        <w:t>sulla confisca dei proventi di reato. L'agenzia dovrebbe predisporre un sistema di rendicontazione periodica sullo sviluppo della capacità amministrativa, sui risultati delle confische e sulla gestione dei proventi di reato.</w:t>
      </w:r>
      <w:r>
        <w:rPr>
          <w:rFonts w:ascii="Times New Roman" w:hAnsi="Times New Roman"/>
          <w:b/>
          <w:i/>
          <w:noProof/>
          <w:sz w:val="24"/>
          <w:szCs w:val="24"/>
        </w:rPr>
        <w:t xml:space="preserve"> </w:t>
      </w:r>
    </w:p>
    <w:p w:rsidR="00882D23" w:rsidRDefault="000F7DD2">
      <w:pPr>
        <w:keepNext/>
        <w:spacing w:before="60" w:after="0" w:line="240" w:lineRule="auto"/>
        <w:jc w:val="both"/>
        <w:rPr>
          <w:rFonts w:ascii="Times New Roman" w:hAnsi="Times New Roman"/>
          <w:i/>
          <w:noProof/>
          <w:sz w:val="24"/>
          <w:szCs w:val="24"/>
        </w:rPr>
      </w:pPr>
      <w:r>
        <w:rPr>
          <w:rFonts w:ascii="Times New Roman" w:hAnsi="Times New Roman"/>
          <w:i/>
          <w:noProof/>
          <w:sz w:val="24"/>
          <w:szCs w:val="24"/>
        </w:rPr>
        <w:t>Strategia nazionale anticorruz</w:t>
      </w:r>
      <w:r>
        <w:rPr>
          <w:rFonts w:ascii="Times New Roman" w:hAnsi="Times New Roman"/>
          <w:i/>
          <w:noProof/>
          <w:sz w:val="24"/>
          <w:szCs w:val="24"/>
        </w:rPr>
        <w:t>ione</w:t>
      </w:r>
    </w:p>
    <w:p w:rsidR="00882D23" w:rsidRDefault="000F7DD2">
      <w:pPr>
        <w:spacing w:after="60" w:line="240" w:lineRule="auto"/>
        <w:jc w:val="both"/>
        <w:rPr>
          <w:rFonts w:ascii="Times New Roman" w:hAnsi="Times New Roman"/>
          <w:noProof/>
          <w:sz w:val="24"/>
          <w:szCs w:val="24"/>
        </w:rPr>
      </w:pPr>
      <w:r>
        <w:rPr>
          <w:rFonts w:ascii="Times New Roman" w:hAnsi="Times New Roman"/>
          <w:noProof/>
          <w:sz w:val="24"/>
          <w:szCs w:val="24"/>
        </w:rPr>
        <w:t>L'attuazione della strategia nazionale anticorruzione è proseguita a livello tecnico. Sono state avviate misure di prevenzione della corruzione, quali gli audit interni da parte di ciascuna delle istituzioni pubbliche partecipanti, e le missioni di va</w:t>
      </w:r>
      <w:r>
        <w:rPr>
          <w:rFonts w:ascii="Times New Roman" w:hAnsi="Times New Roman"/>
          <w:noProof/>
          <w:sz w:val="24"/>
          <w:szCs w:val="24"/>
        </w:rPr>
        <w:t>lutazione inter pares pianificate per il 2018, sia a livello di istituzioni centrali che locali (consigli di contea e municipi). Nell'aprile 2019 si sono riunite le piattaforme di cooperazione interistituzionale. Le autorità hanno inoltre comunicato che pr</w:t>
      </w:r>
      <w:r>
        <w:rPr>
          <w:rFonts w:ascii="Times New Roman" w:hAnsi="Times New Roman"/>
          <w:noProof/>
          <w:sz w:val="24"/>
          <w:szCs w:val="24"/>
        </w:rPr>
        <w:t>oseguono le misure e le attività di prevenzione della corruzione nei ministeri centrali e nelle istituzioni pubbliche in settori vulnerabili, tra cui l'istruzione, il ministero degli Interni e le finanze. Tuttavia, non sembra che la prevenzione della corru</w:t>
      </w:r>
      <w:r>
        <w:rPr>
          <w:rFonts w:ascii="Times New Roman" w:hAnsi="Times New Roman"/>
          <w:noProof/>
          <w:sz w:val="24"/>
          <w:szCs w:val="24"/>
        </w:rPr>
        <w:t>zione sia considerata una priorità politica importante.</w:t>
      </w:r>
    </w:p>
    <w:p w:rsidR="00882D23" w:rsidRDefault="000F7DD2">
      <w:pPr>
        <w:spacing w:after="60" w:line="240" w:lineRule="auto"/>
        <w:jc w:val="both"/>
        <w:rPr>
          <w:rFonts w:ascii="Times New Roman" w:hAnsi="Times New Roman"/>
          <w:noProof/>
          <w:sz w:val="24"/>
          <w:szCs w:val="24"/>
        </w:rPr>
      </w:pPr>
      <w:r>
        <w:rPr>
          <w:rFonts w:ascii="Times New Roman" w:hAnsi="Times New Roman"/>
          <w:noProof/>
          <w:sz w:val="24"/>
          <w:szCs w:val="24"/>
        </w:rPr>
        <w:t>Uno degli obiettivi della strategia consiste nel migliorare i risultati della lotta contro la corruzione mediante l'applicazione di sanzioni penali e amministrative. Dalla relazione di novembre 2018 l</w:t>
      </w:r>
      <w:r>
        <w:rPr>
          <w:rFonts w:ascii="Times New Roman" w:hAnsi="Times New Roman"/>
          <w:noProof/>
          <w:sz w:val="24"/>
          <w:szCs w:val="24"/>
        </w:rPr>
        <w:t>a procura generale ha proseguito un'efficace azione penale nei confronti dei reati di corruzione che non rientrano tra le competenze della DNA</w:t>
      </w:r>
      <w:r>
        <w:rPr>
          <w:rStyle w:val="FootnoteReference"/>
          <w:rFonts w:ascii="Times New Roman" w:hAnsi="Times New Roman"/>
          <w:noProof/>
          <w:sz w:val="24"/>
          <w:szCs w:val="24"/>
        </w:rPr>
        <w:footnoteReference w:id="52"/>
      </w:r>
      <w:r>
        <w:rPr>
          <w:noProof/>
          <w:sz w:val="24"/>
          <w:szCs w:val="24"/>
        </w:rPr>
        <w:t>.</w:t>
      </w:r>
      <w:r>
        <w:rPr>
          <w:rStyle w:val="FootnoteReference"/>
          <w:rFonts w:ascii="Times New Roman" w:hAnsi="Times New Roman"/>
          <w:noProof/>
          <w:sz w:val="24"/>
          <w:szCs w:val="24"/>
        </w:rPr>
        <w:t xml:space="preserve"> </w:t>
      </w:r>
      <w:r>
        <w:rPr>
          <w:rFonts w:ascii="Times New Roman" w:hAnsi="Times New Roman"/>
          <w:noProof/>
          <w:sz w:val="24"/>
          <w:szCs w:val="24"/>
        </w:rPr>
        <w:t>Tuttavia, la pressione su tali istituzioni chiave descritta in precedenza</w:t>
      </w:r>
      <w:r>
        <w:rPr>
          <w:rStyle w:val="FootnoteReference"/>
          <w:rFonts w:ascii="Times New Roman" w:hAnsi="Times New Roman"/>
          <w:noProof/>
          <w:sz w:val="24"/>
          <w:szCs w:val="24"/>
        </w:rPr>
        <w:footnoteReference w:id="53"/>
      </w:r>
      <w:r>
        <w:rPr>
          <w:rFonts w:ascii="Times New Roman" w:hAnsi="Times New Roman"/>
          <w:noProof/>
          <w:sz w:val="24"/>
          <w:szCs w:val="24"/>
        </w:rPr>
        <w:t xml:space="preserve"> e le modifiche legislative in vigore</w:t>
      </w:r>
      <w:r>
        <w:rPr>
          <w:rFonts w:ascii="Times New Roman" w:hAnsi="Times New Roman"/>
          <w:noProof/>
          <w:sz w:val="24"/>
          <w:szCs w:val="24"/>
        </w:rPr>
        <w:t xml:space="preserve"> o adottate dal Parlamento hanno inevitabilmente avuto un impatto negativo sulla lotta alla corruzione, non da ultimo per il fatto di avere inviato un segnale contraddittorio in termini di sostegno politico al proseguimento delle azioni per prevenire e san</w:t>
      </w:r>
      <w:r>
        <w:rPr>
          <w:rFonts w:ascii="Times New Roman" w:hAnsi="Times New Roman"/>
          <w:noProof/>
          <w:sz w:val="24"/>
          <w:szCs w:val="24"/>
        </w:rPr>
        <w:t xml:space="preserve">zionare la corruzione. Tra tali iniziative figurano le modifiche del codice penale e del codice di procedura penale e del quadro in materia di integrità, che rischiano di avere ripercussioni su tutti i livelli della pubblica amministrazione. </w:t>
      </w:r>
    </w:p>
    <w:p w:rsidR="00882D23" w:rsidRDefault="000F7DD2">
      <w:pPr>
        <w:spacing w:after="0" w:line="240" w:lineRule="auto"/>
        <w:jc w:val="both"/>
        <w:rPr>
          <w:rFonts w:ascii="Times New Roman" w:eastAsia="Times New Roman" w:hAnsi="Times New Roman"/>
          <w:i/>
          <w:noProof/>
          <w:sz w:val="24"/>
          <w:szCs w:val="24"/>
        </w:rPr>
      </w:pPr>
      <w:r>
        <w:rPr>
          <w:rFonts w:ascii="Times New Roman" w:hAnsi="Times New Roman"/>
          <w:i/>
          <w:noProof/>
          <w:sz w:val="24"/>
          <w:szCs w:val="24"/>
        </w:rPr>
        <w:t xml:space="preserve">Agenzia </w:t>
      </w:r>
      <w:r>
        <w:rPr>
          <w:rFonts w:ascii="Times New Roman" w:hAnsi="Times New Roman"/>
          <w:i/>
          <w:noProof/>
          <w:sz w:val="24"/>
          <w:szCs w:val="24"/>
        </w:rPr>
        <w:t>nazionale per la gestione dei beni confiscati</w:t>
      </w:r>
    </w:p>
    <w:p w:rsidR="00882D23" w:rsidRDefault="000F7DD2">
      <w:pPr>
        <w:autoSpaceDE w:val="0"/>
        <w:autoSpaceDN w:val="0"/>
        <w:adjustRightInd w:val="0"/>
        <w:spacing w:after="60" w:line="240" w:lineRule="auto"/>
        <w:jc w:val="both"/>
        <w:rPr>
          <w:rFonts w:ascii="Times New Roman" w:hAnsi="Times New Roman"/>
          <w:noProof/>
          <w:color w:val="000000"/>
          <w:sz w:val="24"/>
          <w:szCs w:val="24"/>
        </w:rPr>
      </w:pPr>
      <w:r>
        <w:rPr>
          <w:rFonts w:ascii="Times New Roman" w:hAnsi="Times New Roman"/>
          <w:noProof/>
          <w:sz w:val="24"/>
          <w:szCs w:val="24"/>
        </w:rPr>
        <w:t>L'Agenzia nazionale per la gestione dei beni confiscati (ANABI) è ormai pienamente operativa e continua a espletare i sui compiti, come descrivono chiaramente le sue relazioni annuali. Si tratta di un esempio p</w:t>
      </w:r>
      <w:r>
        <w:rPr>
          <w:rFonts w:ascii="Times New Roman" w:hAnsi="Times New Roman"/>
          <w:noProof/>
          <w:sz w:val="24"/>
          <w:szCs w:val="24"/>
        </w:rPr>
        <w:t xml:space="preserve">ositivo di come la presa in considerazione delle migliori pratiche in uso in altri Stati membri (Belgio, Francia, Italia e Paesi Bassi) e altri paesi abbia contribuito a definire una strategia di successo. </w:t>
      </w:r>
    </w:p>
    <w:p w:rsidR="00882D23" w:rsidRDefault="000F7DD2">
      <w:pPr>
        <w:spacing w:after="60" w:line="240" w:lineRule="auto"/>
        <w:jc w:val="both"/>
        <w:rPr>
          <w:rFonts w:ascii="Times New Roman" w:eastAsia="Times New Roman" w:hAnsi="Times New Roman"/>
          <w:i/>
          <w:noProof/>
          <w:sz w:val="24"/>
          <w:szCs w:val="24"/>
        </w:rPr>
      </w:pPr>
      <w:r>
        <w:rPr>
          <w:rFonts w:ascii="Times New Roman" w:hAnsi="Times New Roman"/>
          <w:i/>
          <w:iCs/>
          <w:noProof/>
          <w:sz w:val="24"/>
          <w:szCs w:val="24"/>
        </w:rPr>
        <w:t xml:space="preserve">Sulla base di un'analisi del quarto parametro di </w:t>
      </w:r>
      <w:r>
        <w:rPr>
          <w:rFonts w:ascii="Times New Roman" w:hAnsi="Times New Roman"/>
          <w:i/>
          <w:iCs/>
          <w:noProof/>
          <w:sz w:val="24"/>
          <w:szCs w:val="24"/>
        </w:rPr>
        <w:t xml:space="preserve">riferimento, </w:t>
      </w:r>
      <w:r>
        <w:rPr>
          <w:rFonts w:ascii="Times New Roman" w:hAnsi="Times New Roman"/>
          <w:i/>
          <w:noProof/>
          <w:sz w:val="24"/>
          <w:szCs w:val="24"/>
        </w:rPr>
        <w:t xml:space="preserve">la Commissione può confermare le sue conclusioni di novembre 2018, </w:t>
      </w:r>
      <w:r>
        <w:rPr>
          <w:rFonts w:ascii="Times New Roman" w:hAnsi="Times New Roman"/>
          <w:i/>
          <w:iCs/>
          <w:noProof/>
          <w:sz w:val="24"/>
          <w:szCs w:val="24"/>
        </w:rPr>
        <w:t>secondo cui è necessario compiere ulteriori sforzi per progredire verso il conseguimento del parametro. La prevenzione della corruzione è ostacolata dagli sviluppi politici, ch</w:t>
      </w:r>
      <w:r>
        <w:rPr>
          <w:rFonts w:ascii="Times New Roman" w:hAnsi="Times New Roman"/>
          <w:i/>
          <w:iCs/>
          <w:noProof/>
          <w:sz w:val="24"/>
          <w:szCs w:val="24"/>
        </w:rPr>
        <w:t>e compromettono la credibilità dei progressi (raccomandazione 11). Per quanto concerne la raccomandazione 12, la Commissione conferma che essa viene rispettata.</w:t>
      </w:r>
    </w:p>
    <w:p w:rsidR="00882D23" w:rsidRDefault="000F7DD2">
      <w:pPr>
        <w:keepNext/>
        <w:spacing w:before="360" w:after="120" w:line="240" w:lineRule="auto"/>
        <w:jc w:val="both"/>
        <w:rPr>
          <w:rFonts w:ascii="Times New Roman" w:hAnsi="Times New Roman"/>
          <w:b/>
          <w:noProof/>
          <w:sz w:val="24"/>
          <w:szCs w:val="24"/>
        </w:rPr>
      </w:pPr>
      <w:r>
        <w:rPr>
          <w:rFonts w:ascii="Times New Roman" w:hAnsi="Times New Roman"/>
          <w:b/>
          <w:noProof/>
          <w:sz w:val="24"/>
          <w:szCs w:val="24"/>
        </w:rPr>
        <w:t xml:space="preserve">4. </w:t>
      </w:r>
      <w:r>
        <w:rPr>
          <w:rFonts w:ascii="Times New Roman" w:hAnsi="Times New Roman"/>
          <w:b/>
          <w:noProof/>
          <w:sz w:val="24"/>
          <w:szCs w:val="24"/>
        </w:rPr>
        <w:tab/>
        <w:t xml:space="preserve">CONCLUSIONI </w:t>
      </w:r>
    </w:p>
    <w:p w:rsidR="00882D23" w:rsidRDefault="000F7DD2">
      <w:pPr>
        <w:spacing w:after="120" w:line="240" w:lineRule="auto"/>
        <w:jc w:val="both"/>
        <w:rPr>
          <w:rFonts w:ascii="Times New Roman" w:hAnsi="Times New Roman"/>
          <w:noProof/>
          <w:sz w:val="24"/>
          <w:szCs w:val="24"/>
        </w:rPr>
      </w:pPr>
      <w:r>
        <w:rPr>
          <w:rFonts w:ascii="Times New Roman" w:hAnsi="Times New Roman"/>
          <w:noProof/>
          <w:sz w:val="24"/>
          <w:szCs w:val="24"/>
        </w:rPr>
        <w:t>Dall'ultima relazione la Commissione è stata costretta a occuparsi a più ripre</w:t>
      </w:r>
      <w:r>
        <w:rPr>
          <w:rFonts w:ascii="Times New Roman" w:hAnsi="Times New Roman"/>
          <w:noProof/>
          <w:sz w:val="24"/>
          <w:szCs w:val="24"/>
        </w:rPr>
        <w:t>se degli avvenimenti in Romania per quanto riguarda la riforma giudiziaria e la lotta alla corruzione. In ognuna di queste occasioni la Commissione ha confermato i passi indietro rispetto ai progressi compiuti negli ultimi anni e indicati nella relazione d</w:t>
      </w:r>
      <w:r>
        <w:rPr>
          <w:rFonts w:ascii="Times New Roman" w:hAnsi="Times New Roman"/>
          <w:noProof/>
          <w:sz w:val="24"/>
          <w:szCs w:val="24"/>
        </w:rPr>
        <w:t>i novembre 2018.</w:t>
      </w:r>
    </w:p>
    <w:p w:rsidR="00882D23" w:rsidRDefault="000F7DD2">
      <w:pPr>
        <w:spacing w:after="120" w:line="240" w:lineRule="auto"/>
        <w:jc w:val="both"/>
        <w:rPr>
          <w:rFonts w:ascii="Times New Roman" w:hAnsi="Times New Roman"/>
          <w:noProof/>
          <w:sz w:val="24"/>
          <w:szCs w:val="24"/>
        </w:rPr>
      </w:pPr>
      <w:r>
        <w:rPr>
          <w:rFonts w:ascii="Times New Roman" w:hAnsi="Times New Roman"/>
          <w:noProof/>
          <w:sz w:val="24"/>
          <w:szCs w:val="24"/>
        </w:rPr>
        <w:t xml:space="preserve">L'andamento della situazione nei primi mesi del 2019 ha destato grande preoccupazione. Nel maggio 2019 la Commissione ha dovuto pertanto informare le autorità rumene che, in assenza di necessari miglioramenti a breve termine, o in caso di </w:t>
      </w:r>
      <w:r>
        <w:rPr>
          <w:rFonts w:ascii="Times New Roman" w:hAnsi="Times New Roman"/>
          <w:noProof/>
          <w:sz w:val="24"/>
          <w:szCs w:val="24"/>
        </w:rPr>
        <w:t xml:space="preserve">adozione di ulteriori misure negative, avrebbe adottato misure nel quadro per lo Stato di diritto che prevedono un dialogo per affrontare aspetti problematici relativi allo Stato di diritto (e che pertanto può andare oltre i parametri dell'MCV). </w:t>
      </w:r>
    </w:p>
    <w:p w:rsidR="00882D23" w:rsidRDefault="000F7DD2">
      <w:pPr>
        <w:spacing w:after="120" w:line="240" w:lineRule="auto"/>
        <w:jc w:val="both"/>
        <w:rPr>
          <w:rFonts w:ascii="Times New Roman" w:hAnsi="Times New Roman"/>
          <w:noProof/>
          <w:sz w:val="24"/>
          <w:szCs w:val="24"/>
        </w:rPr>
      </w:pPr>
      <w:r>
        <w:rPr>
          <w:rFonts w:ascii="Times New Roman" w:hAnsi="Times New Roman"/>
          <w:noProof/>
          <w:sz w:val="24"/>
          <w:szCs w:val="24"/>
        </w:rPr>
        <w:t>La Commis</w:t>
      </w:r>
      <w:r>
        <w:rPr>
          <w:rFonts w:ascii="Times New Roman" w:hAnsi="Times New Roman"/>
          <w:noProof/>
          <w:sz w:val="24"/>
          <w:szCs w:val="24"/>
        </w:rPr>
        <w:t>sione si compiace del fatto che in giugno il governo rumeno abbia espresso il desiderio di ridefinire l'approccio seguito e si sia prodigato per elaborare nuovi meccanismi di consultazione e un dialogo con il sistema giudiziario. La Commissione attende ora</w:t>
      </w:r>
      <w:r>
        <w:rPr>
          <w:rFonts w:ascii="Times New Roman" w:hAnsi="Times New Roman"/>
          <w:noProof/>
          <w:sz w:val="24"/>
          <w:szCs w:val="24"/>
        </w:rPr>
        <w:t xml:space="preserve"> che le autorità competenti rumene traducano questo impegno in concrete misure legislative o di altro tipo. Saranno necessari interventi tangibili, di tipo legislativo e amministrativo, per tradurre in pratica le raccomandazioni sintetizzate nella presente</w:t>
      </w:r>
      <w:r>
        <w:rPr>
          <w:rFonts w:ascii="Times New Roman" w:hAnsi="Times New Roman"/>
          <w:noProof/>
          <w:sz w:val="24"/>
          <w:szCs w:val="24"/>
        </w:rPr>
        <w:t xml:space="preserve"> relazione. A tal fine, le istituzioni chiave della Romania dovranno dimostrare un forte impegno a favore dell'indipendenza del sistema giudiziario e della lotta contro la corruzione, considerate condizioni irrinunciabili, e garantire la capacità di interv</w:t>
      </w:r>
      <w:r>
        <w:rPr>
          <w:rFonts w:ascii="Times New Roman" w:hAnsi="Times New Roman"/>
          <w:noProof/>
          <w:sz w:val="24"/>
          <w:szCs w:val="24"/>
        </w:rPr>
        <w:t>ento delle salvaguardie e del sistema di bilanciamento dei poteri qualora si palesino rischi di regresso.</w:t>
      </w:r>
    </w:p>
    <w:p w:rsidR="00882D23" w:rsidRDefault="000F7DD2">
      <w:pPr>
        <w:spacing w:after="120" w:line="240" w:lineRule="auto"/>
        <w:jc w:val="both"/>
        <w:rPr>
          <w:rFonts w:ascii="Times New Roman" w:hAnsi="Times New Roman"/>
          <w:noProof/>
          <w:sz w:val="24"/>
          <w:szCs w:val="24"/>
          <w:highlight w:val="yellow"/>
        </w:rPr>
      </w:pPr>
      <w:r>
        <w:rPr>
          <w:rFonts w:ascii="Times New Roman" w:hAnsi="Times New Roman"/>
          <w:noProof/>
          <w:sz w:val="24"/>
          <w:szCs w:val="24"/>
        </w:rPr>
        <w:t>Nell'ambito dell'MCV la Commissione continuerà a seguire da vicino gli sviluppi. Essa si rammarica del fatto che la Romania non abbia dato seguito all</w:t>
      </w:r>
      <w:r>
        <w:rPr>
          <w:rFonts w:ascii="Times New Roman" w:hAnsi="Times New Roman"/>
          <w:noProof/>
          <w:sz w:val="24"/>
          <w:szCs w:val="24"/>
        </w:rPr>
        <w:t>e raccomandazioni formulate nel novembre 2018 che erano pienamente in linea con le posizioni delle altre istituzioni dell'UE. Le raccomandazioni in questione devono essere attuate per riavviare il processo di riforma e riprendere il cammino verso la conclu</w:t>
      </w:r>
      <w:r>
        <w:rPr>
          <w:rFonts w:ascii="Times New Roman" w:hAnsi="Times New Roman"/>
          <w:noProof/>
          <w:sz w:val="24"/>
          <w:szCs w:val="24"/>
        </w:rPr>
        <w:t>sione del processo MCV, come indicato nella relazione del gennaio 2017. La Commissione è fiduciosa che la Romania possa dare nuovo impulso al conseguimento degli obiettivi dell'MCV ed è pronta ad aiutare le autorità rumene a tal fine.</w:t>
      </w:r>
    </w:p>
    <w:sectPr w:rsidR="00882D23">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2D23" w:rsidRDefault="000F7DD2">
      <w:pPr>
        <w:spacing w:after="0" w:line="240" w:lineRule="auto"/>
      </w:pPr>
      <w:r>
        <w:separator/>
      </w:r>
    </w:p>
  </w:endnote>
  <w:endnote w:type="continuationSeparator" w:id="0">
    <w:p w:rsidR="00882D23" w:rsidRDefault="000F7DD2">
      <w:pPr>
        <w:spacing w:after="0" w:line="240" w:lineRule="auto"/>
      </w:pPr>
      <w:r>
        <w:continuationSeparator/>
      </w:r>
    </w:p>
  </w:endnote>
  <w:endnote w:type="continuationNotice" w:id="1">
    <w:p w:rsidR="00882D23" w:rsidRDefault="00882D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D23" w:rsidRDefault="00882D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D23" w:rsidRDefault="000F7DD2">
    <w:pPr>
      <w:pStyle w:val="FooterCoverPage"/>
      <w:rPr>
        <w:rFonts w:ascii="Arial" w:hAnsi="Arial" w:cs="Arial"/>
        <w:b/>
        <w:sz w:val="48"/>
      </w:rPr>
    </w:pPr>
    <w:r>
      <w:rPr>
        <w:rFonts w:ascii="Arial" w:hAnsi="Arial" w:cs="Arial"/>
        <w:b/>
        <w:sz w:val="48"/>
      </w:rPr>
      <w:t>IT</w:t>
    </w:r>
    <w:r>
      <w:rPr>
        <w:rFonts w:ascii="Arial" w:hAnsi="Arial" w:cs="Arial"/>
        <w:b/>
        <w:sz w:val="48"/>
      </w:rPr>
      <w:tab/>
    </w:r>
    <w:r>
      <w:rPr>
        <w:rFonts w:ascii="Arial" w:hAnsi="Arial" w:cs="Arial"/>
        <w:b/>
        <w:sz w:val="48"/>
      </w:rPr>
      <w:tab/>
    </w:r>
    <w:r>
      <w:tab/>
    </w:r>
    <w:r>
      <w:rPr>
        <w:rFonts w:ascii="Arial" w:hAnsi="Arial" w:cs="Arial"/>
        <w:b/>
        <w:sz w:val="48"/>
      </w:rPr>
      <w:t>IT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D23" w:rsidRDefault="00882D23">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D23" w:rsidRDefault="00882D2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D23" w:rsidRDefault="000F7DD2">
    <w:pPr>
      <w:pStyle w:val="Footer"/>
      <w:jc w:val="center"/>
    </w:pPr>
    <w:r>
      <w:fldChar w:fldCharType="begin"/>
    </w:r>
    <w:r>
      <w:instrText xml:space="preserve"> PAGE   \* MERGEFORMAT </w:instrText>
    </w:r>
    <w:r>
      <w:fldChar w:fldCharType="separate"/>
    </w:r>
    <w:r>
      <w:rPr>
        <w:noProof/>
      </w:rPr>
      <w:t>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D23" w:rsidRDefault="00882D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2D23" w:rsidRDefault="000F7DD2">
      <w:pPr>
        <w:spacing w:after="0" w:line="240" w:lineRule="auto"/>
      </w:pPr>
      <w:r>
        <w:separator/>
      </w:r>
    </w:p>
  </w:footnote>
  <w:footnote w:type="continuationSeparator" w:id="0">
    <w:p w:rsidR="00882D23" w:rsidRDefault="000F7DD2">
      <w:pPr>
        <w:spacing w:after="0" w:line="240" w:lineRule="auto"/>
      </w:pPr>
      <w:r>
        <w:continuationSeparator/>
      </w:r>
    </w:p>
  </w:footnote>
  <w:footnote w:type="continuationNotice" w:id="1">
    <w:p w:rsidR="00882D23" w:rsidRDefault="00882D23">
      <w:pPr>
        <w:spacing w:after="0" w:line="240" w:lineRule="auto"/>
      </w:pPr>
    </w:p>
  </w:footnote>
  <w:footnote w:id="2">
    <w:p w:rsidR="00882D23" w:rsidRDefault="000F7DD2">
      <w:pPr>
        <w:pStyle w:val="FootnoteText"/>
        <w:spacing w:after="0" w:line="240" w:lineRule="auto"/>
        <w:ind w:left="380" w:hanging="380"/>
        <w:contextualSpacing/>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A seguito delle conclusioni del Consiglio dei ministri del 17 ottobre 2006 (13339/06), il meccanismo è stato adottato con decisione della Commissione del 13 dicembre 2006 [C(2006) 6569].</w:t>
      </w:r>
    </w:p>
  </w:footnote>
  <w:footnote w:id="3">
    <w:p w:rsidR="00882D23" w:rsidRDefault="000F7DD2">
      <w:pPr>
        <w:pStyle w:val="FootnoteText"/>
        <w:spacing w:after="0" w:line="240" w:lineRule="auto"/>
        <w:ind w:left="380" w:hanging="380"/>
        <w:contextualSpacing/>
        <w:jc w:val="both"/>
        <w:rPr>
          <w:rFonts w:ascii="Times New Roman" w:hAnsi="Times New Roman"/>
        </w:rPr>
      </w:pPr>
      <w:r>
        <w:rPr>
          <w:rStyle w:val="FootnoteReference"/>
          <w:rFonts w:ascii="Times New Roman" w:hAnsi="Times New Roman"/>
        </w:rPr>
        <w:footnoteRef/>
      </w:r>
      <w:r>
        <w:rPr>
          <w:rStyle w:val="FootnoteReference"/>
          <w:rFonts w:ascii="Times New Roman" w:hAnsi="Times New Roman"/>
        </w:rPr>
        <w:t xml:space="preserve"> </w:t>
      </w:r>
      <w:r>
        <w:rPr>
          <w:rFonts w:ascii="Times New Roman" w:hAnsi="Times New Roman"/>
        </w:rPr>
        <w:tab/>
      </w:r>
      <w:r>
        <w:rPr>
          <w:rFonts w:ascii="Times New Roman" w:hAnsi="Times New Roman"/>
        </w:rPr>
        <w:t xml:space="preserve">Conclusioni del Consiglio sul meccanismo di cooperazione e verifica, 12 dicembre 2017 - </w:t>
      </w:r>
      <w:hyperlink r:id="rId1" w:history="1">
        <w:r>
          <w:rPr>
            <w:rStyle w:val="Hyperlink"/>
            <w:rFonts w:ascii="Times New Roman" w:hAnsi="Times New Roman"/>
          </w:rPr>
          <w:t>https://ec.europa.eu/info/sites/info/files/20171212-st15587_en.pdf</w:t>
        </w:r>
      </w:hyperlink>
      <w:r>
        <w:rPr>
          <w:rStyle w:val="Hyperlink"/>
          <w:rFonts w:ascii="Times New Roman" w:hAnsi="Times New Roman"/>
        </w:rPr>
        <w:t>.</w:t>
      </w:r>
      <w:r>
        <w:rPr>
          <w:rFonts w:ascii="Times New Roman" w:hAnsi="Times New Roman"/>
        </w:rPr>
        <w:t xml:space="preserve"> I quattro paramet</w:t>
      </w:r>
      <w:r>
        <w:rPr>
          <w:rFonts w:ascii="Times New Roman" w:hAnsi="Times New Roman"/>
        </w:rPr>
        <w:t>ri di riferimento applicabili alla Romania sono indicati nella relazione tecnica (pag. 1).</w:t>
      </w:r>
    </w:p>
  </w:footnote>
  <w:footnote w:id="4">
    <w:p w:rsidR="00882D23" w:rsidRPr="000F7DD2" w:rsidRDefault="000F7DD2">
      <w:pPr>
        <w:pStyle w:val="FootnoteText"/>
        <w:tabs>
          <w:tab w:val="left" w:pos="0"/>
        </w:tabs>
        <w:spacing w:after="0" w:line="240" w:lineRule="auto"/>
        <w:ind w:left="380" w:hanging="380"/>
        <w:contextualSpacing/>
        <w:jc w:val="both"/>
        <w:rPr>
          <w:rFonts w:ascii="Times New Roman" w:hAnsi="Times New Roman"/>
        </w:rPr>
      </w:pPr>
      <w:r>
        <w:rPr>
          <w:rStyle w:val="FootnoteReference"/>
          <w:rFonts w:ascii="Times New Roman" w:hAnsi="Times New Roman"/>
        </w:rPr>
        <w:footnoteRef/>
      </w:r>
      <w:r w:rsidRPr="000F7DD2">
        <w:rPr>
          <w:rStyle w:val="FootnoteReference"/>
          <w:rFonts w:ascii="Times New Roman" w:hAnsi="Times New Roman"/>
        </w:rPr>
        <w:t xml:space="preserve"> </w:t>
      </w:r>
      <w:r w:rsidRPr="000F7DD2">
        <w:rPr>
          <w:rFonts w:ascii="Times New Roman" w:hAnsi="Times New Roman"/>
        </w:rPr>
        <w:tab/>
        <w:t xml:space="preserve">COM (2017) 44 - </w:t>
      </w:r>
      <w:hyperlink r:id="rId2" w:history="1">
        <w:r w:rsidRPr="000F7DD2">
          <w:rPr>
            <w:rStyle w:val="Hyperlink"/>
            <w:rFonts w:ascii="Times New Roman" w:hAnsi="Times New Roman"/>
          </w:rPr>
          <w:t>https://ec.europa.eu/info/files/progress-report-romani</w:t>
        </w:r>
        <w:r w:rsidRPr="000F7DD2">
          <w:rPr>
            <w:rStyle w:val="Hyperlink"/>
            <w:rFonts w:ascii="Times New Roman" w:hAnsi="Times New Roman"/>
          </w:rPr>
          <w:t>a-2017-com-2017-44_en</w:t>
        </w:r>
      </w:hyperlink>
      <w:r w:rsidRPr="000F7DD2">
        <w:rPr>
          <w:rFonts w:ascii="Times New Roman" w:hAnsi="Times New Roman"/>
        </w:rPr>
        <w:t xml:space="preserve">. </w:t>
      </w:r>
    </w:p>
  </w:footnote>
  <w:footnote w:id="5">
    <w:p w:rsidR="00882D23" w:rsidRDefault="000F7DD2">
      <w:pPr>
        <w:pStyle w:val="FootnoteText"/>
        <w:tabs>
          <w:tab w:val="left" w:pos="0"/>
        </w:tabs>
        <w:spacing w:after="0" w:line="240" w:lineRule="auto"/>
        <w:ind w:left="380" w:hanging="380"/>
        <w:contextualSpacing/>
        <w:jc w:val="both"/>
        <w:rPr>
          <w:rFonts w:ascii="Times New Roman" w:hAnsi="Times New Roman"/>
          <w:lang w:val="en-US"/>
        </w:rPr>
      </w:pPr>
      <w:r>
        <w:rPr>
          <w:rStyle w:val="FootnoteReference"/>
          <w:rFonts w:ascii="Times New Roman" w:hAnsi="Times New Roman"/>
        </w:rPr>
        <w:footnoteRef/>
      </w:r>
      <w:r>
        <w:rPr>
          <w:rStyle w:val="FootnoteReference"/>
          <w:rFonts w:ascii="Times New Roman" w:hAnsi="Times New Roman"/>
          <w:lang w:val="en-US"/>
        </w:rPr>
        <w:t xml:space="preserve"> </w:t>
      </w:r>
      <w:r>
        <w:rPr>
          <w:rFonts w:ascii="Times New Roman" w:hAnsi="Times New Roman"/>
          <w:lang w:val="en-US"/>
        </w:rPr>
        <w:tab/>
        <w:t xml:space="preserve">COM(2017) 751 - </w:t>
      </w:r>
      <w:hyperlink r:id="rId3" w:history="1">
        <w:r>
          <w:rPr>
            <w:rStyle w:val="Hyperlink"/>
            <w:rFonts w:ascii="Times New Roman" w:hAnsi="Times New Roman"/>
            <w:lang w:val="en-US"/>
          </w:rPr>
          <w:t>https://ec.europa.eu/info/files/progress-report-romania-2017-com-2017-751_en</w:t>
        </w:r>
      </w:hyperlink>
      <w:r>
        <w:rPr>
          <w:rStyle w:val="Hyperlink"/>
          <w:rFonts w:ascii="Times New Roman" w:hAnsi="Times New Roman"/>
          <w:lang w:val="en-US"/>
        </w:rPr>
        <w:t>.</w:t>
      </w:r>
    </w:p>
  </w:footnote>
  <w:footnote w:id="6">
    <w:p w:rsidR="00882D23" w:rsidRDefault="000F7DD2">
      <w:pPr>
        <w:pStyle w:val="FootnoteText"/>
        <w:spacing w:after="0" w:line="240" w:lineRule="auto"/>
        <w:ind w:left="380" w:hanging="380"/>
        <w:contextualSpacing/>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Conclusioni del Consiglio sul meccanism</w:t>
      </w:r>
      <w:r>
        <w:rPr>
          <w:rFonts w:ascii="Times New Roman" w:hAnsi="Times New Roman"/>
        </w:rPr>
        <w:t xml:space="preserve">o di cooperazione e verifica, 12 dicembre 2017 - </w:t>
      </w:r>
      <w:hyperlink r:id="rId4" w:history="1">
        <w:r>
          <w:rPr>
            <w:rStyle w:val="Hyperlink"/>
            <w:rFonts w:ascii="Times New Roman" w:hAnsi="Times New Roman"/>
          </w:rPr>
          <w:t>https://ec.europa.eu/info/sites/info/files/20171212-st15587_en.pdf</w:t>
        </w:r>
      </w:hyperlink>
      <w:r>
        <w:rPr>
          <w:rStyle w:val="Hyperlink"/>
          <w:rFonts w:ascii="Times New Roman" w:hAnsi="Times New Roman"/>
        </w:rPr>
        <w:t>.</w:t>
      </w:r>
    </w:p>
  </w:footnote>
  <w:footnote w:id="7">
    <w:p w:rsidR="00882D23" w:rsidRDefault="000F7DD2">
      <w:pPr>
        <w:pStyle w:val="FootnoteText"/>
        <w:spacing w:after="0" w:line="240" w:lineRule="auto"/>
        <w:ind w:left="380" w:hanging="380"/>
        <w:contextualSpacing/>
        <w:jc w:val="both"/>
        <w:rPr>
          <w:rFonts w:ascii="Times New Roman" w:hAnsi="Times New Roman"/>
          <w:lang w:val="en-US"/>
        </w:rPr>
      </w:pPr>
      <w:r>
        <w:rPr>
          <w:rStyle w:val="FootnoteReference"/>
          <w:rFonts w:ascii="Times New Roman" w:hAnsi="Times New Roman"/>
        </w:rPr>
        <w:footnoteRef/>
      </w:r>
      <w:r>
        <w:rPr>
          <w:rFonts w:ascii="Times New Roman" w:hAnsi="Times New Roman"/>
          <w:lang w:val="en-US"/>
        </w:rPr>
        <w:t xml:space="preserve"> </w:t>
      </w:r>
      <w:r>
        <w:rPr>
          <w:rFonts w:ascii="Times New Roman" w:hAnsi="Times New Roman"/>
          <w:lang w:val="en-US"/>
        </w:rPr>
        <w:tab/>
        <w:t xml:space="preserve">COM(2018) 851 final - </w:t>
      </w:r>
      <w:hyperlink r:id="rId5" w:history="1">
        <w:r>
          <w:rPr>
            <w:rStyle w:val="Hyperlink"/>
            <w:rFonts w:ascii="Times New Roman" w:hAnsi="Times New Roman"/>
            <w:lang w:val="en-US"/>
          </w:rPr>
          <w:t>https://ec.europa.eu/info/sites/info/files/progress-report-romania-2018-com-2018-com-2018-851_en.pdf</w:t>
        </w:r>
      </w:hyperlink>
      <w:r>
        <w:rPr>
          <w:rFonts w:ascii="Times New Roman" w:hAnsi="Times New Roman"/>
          <w:lang w:val="en-US"/>
        </w:rPr>
        <w:t xml:space="preserve"> </w:t>
      </w:r>
    </w:p>
  </w:footnote>
  <w:footnote w:id="8">
    <w:p w:rsidR="00882D23" w:rsidRDefault="000F7DD2">
      <w:pPr>
        <w:pStyle w:val="FootnoteText"/>
        <w:spacing w:after="0" w:line="240" w:lineRule="auto"/>
        <w:ind w:left="380" w:hanging="380"/>
        <w:contextualSpacing/>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Risoluzione non legislativa del Parlamento europeo sullo Stato di</w:t>
      </w:r>
      <w:r>
        <w:rPr>
          <w:rFonts w:ascii="Times New Roman" w:hAnsi="Times New Roman"/>
        </w:rPr>
        <w:t xml:space="preserve"> diritto in Romania del 13 novembre 2018, P8_TA-PROV(2018)0446. La risoluzione invitava il parlamento e il governo rumeni ad affrontare tali aspetti sulla base di un processo trasparente e inclusivo e di cooperare con la Commissione europea, il gruppo di S</w:t>
      </w:r>
      <w:r>
        <w:rPr>
          <w:rFonts w:ascii="Times New Roman" w:hAnsi="Times New Roman"/>
        </w:rPr>
        <w:t>tati contro la corruzione del Consiglio d'Europa (GRECO) e la Commissione di Venezia, e di attuarne integralmente le raccomandazioni, astenendosi da realizzare riforme che comportassero rischi per lo Stato di diritto, compresa l'indipendenza della magistra</w:t>
      </w:r>
      <w:r>
        <w:rPr>
          <w:rFonts w:ascii="Times New Roman" w:hAnsi="Times New Roman"/>
        </w:rPr>
        <w:t>tura.</w:t>
      </w:r>
    </w:p>
  </w:footnote>
  <w:footnote w:id="9">
    <w:p w:rsidR="00882D23" w:rsidRDefault="000F7DD2">
      <w:pPr>
        <w:pStyle w:val="FootnoteText"/>
        <w:spacing w:after="0" w:line="240" w:lineRule="auto"/>
        <w:ind w:left="380" w:hanging="380"/>
        <w:contextualSpacing/>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Le conclusioni del Consiglio del 12 dicembre 2018 indicavano la necessità che la Romania "ripristini lo slancio positivo delle riforme e agisca rapidamente, in particolare per quanto riguarda le ulteriori raccomandazioni fondamentali formulate dal</w:t>
      </w:r>
      <w:r>
        <w:rPr>
          <w:rFonts w:ascii="Times New Roman" w:hAnsi="Times New Roman"/>
        </w:rPr>
        <w:t>la Commissione relativamente all'indipendenza della magistratura e alla riforma giudiziaria, alla lotta contro la corruzione a tutti i livelli e alle altre questioni connesse all'integrità evidenziate nella relazione" (</w:t>
      </w:r>
      <w:hyperlink r:id="rId6" w:history="1">
        <w:r>
          <w:rPr>
            <w:rStyle w:val="Hyperlink"/>
            <w:rFonts w:ascii="Times New Roman" w:hAnsi="Times New Roman"/>
          </w:rPr>
          <w:t>https://ec.europa.eu/info/sites/info/files/2018-st15187_en.pdf</w:t>
        </w:r>
      </w:hyperlink>
      <w:r>
        <w:rPr>
          <w:rFonts w:ascii="Times New Roman" w:hAnsi="Times New Roman"/>
        </w:rPr>
        <w:t>).</w:t>
      </w:r>
    </w:p>
  </w:footnote>
  <w:footnote w:id="10">
    <w:p w:rsidR="00882D23" w:rsidRDefault="000F7DD2">
      <w:pPr>
        <w:pStyle w:val="FootnoteText"/>
        <w:spacing w:after="0" w:line="240" w:lineRule="auto"/>
        <w:ind w:left="380" w:hanging="380"/>
        <w:contextualSpacing/>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In particolare, i pareri della Commissione di Venezia 924/2018 sulle modifiche alle leggi sulla giustizia e 930/2018 sulle modifiche dei codici pe</w:t>
      </w:r>
      <w:r>
        <w:rPr>
          <w:rFonts w:ascii="Times New Roman" w:hAnsi="Times New Roman"/>
        </w:rPr>
        <w:t>nali. GRECO AdHocRep(2018) 2 sulle modifiche alle leggi sulla giustizia. Il Gruppo di Stati contro la corruzione (GRECO) è stato istituito nel 1999 dal Consiglio d'Europa per verificare la conformità con le norme anticorruzione di questa organizzazione.</w:t>
      </w:r>
    </w:p>
  </w:footnote>
  <w:footnote w:id="11">
    <w:p w:rsidR="00882D23" w:rsidRDefault="000F7DD2">
      <w:pPr>
        <w:pStyle w:val="FootnoteText"/>
        <w:spacing w:after="0" w:line="240" w:lineRule="auto"/>
        <w:ind w:left="380" w:hanging="380"/>
        <w:contextualSpacing/>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Il quadro per lo Stato di diritto è stato istituito dalla Commissione nel 2014 al fine di prevenire eventuali minacce sistemiche per lo Stato di diritto, che richiederebbero l'avvio della procedura di cui all'articolo 7 del TUE. Esso prevede un processo d</w:t>
      </w:r>
      <w:r>
        <w:rPr>
          <w:rFonts w:ascii="Times New Roman" w:hAnsi="Times New Roman"/>
        </w:rPr>
        <w:t xml:space="preserve">i dialogo in più fasi con uno Stato membro, strutturato con pareri e raccomandazioni della Commissione. L'ambito di applicazione del quadro per lo Stato di diritto è più ampio dei parametri di riferimento dell'MCV e interessa tutti gli aspetti dello Stato </w:t>
      </w:r>
      <w:r>
        <w:rPr>
          <w:rFonts w:ascii="Times New Roman" w:hAnsi="Times New Roman"/>
        </w:rPr>
        <w:t>di diritto.</w:t>
      </w:r>
    </w:p>
  </w:footnote>
  <w:footnote w:id="12">
    <w:p w:rsidR="00882D23" w:rsidRDefault="000F7DD2">
      <w:pPr>
        <w:pStyle w:val="FootnoteText"/>
        <w:spacing w:after="0" w:line="240" w:lineRule="auto"/>
        <w:ind w:left="380" w:hanging="380"/>
        <w:contextualSpacing/>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Il referendum sulla giustizia promosso dal presidente della Romania si è tenuto il 26 maggio e ha visto un tasso di partecipazione superiore al 40 %. Oltre l'80 % degli elettori ha votato a favore del divieto di amnistia e grazia per i reati</w:t>
      </w:r>
      <w:r>
        <w:rPr>
          <w:rFonts w:ascii="Times New Roman" w:hAnsi="Times New Roman"/>
        </w:rPr>
        <w:t xml:space="preserve"> di corruzione e l'81 % a favore del divieto di adozione da parte del governo di decreti d'urgenza in materia di reati, pene e organizzazione giudiziaria, nonché dell'estensione del diritto di impugnare i decreti direttamente dinanzi alla Corte costituzion</w:t>
      </w:r>
      <w:r>
        <w:rPr>
          <w:rFonts w:ascii="Times New Roman" w:hAnsi="Times New Roman"/>
        </w:rPr>
        <w:t>ale.</w:t>
      </w:r>
    </w:p>
  </w:footnote>
  <w:footnote w:id="13">
    <w:p w:rsidR="00882D23" w:rsidRDefault="000F7DD2">
      <w:pPr>
        <w:pStyle w:val="FootnoteText"/>
        <w:spacing w:after="0" w:line="240" w:lineRule="auto"/>
        <w:ind w:left="380" w:hanging="380"/>
        <w:contextualSpacing/>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Si veda la relazione 2018 sui progressi compiuti, pag. 2.</w:t>
      </w:r>
    </w:p>
  </w:footnote>
  <w:footnote w:id="14">
    <w:p w:rsidR="00882D23" w:rsidRDefault="000F7DD2">
      <w:pPr>
        <w:pStyle w:val="FootnoteText"/>
        <w:spacing w:after="0" w:line="240" w:lineRule="auto"/>
        <w:ind w:left="380" w:hanging="380"/>
        <w:contextualSpacing/>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Il funzionamento dei servizi di intelligence non è una questione di competenza dell'UE e non rientra nell'ambito di applicazione dei parametri di riferimento MCV.</w:t>
      </w:r>
    </w:p>
  </w:footnote>
  <w:footnote w:id="15">
    <w:p w:rsidR="00882D23" w:rsidRDefault="000F7DD2">
      <w:pPr>
        <w:pStyle w:val="FootnoteText"/>
        <w:spacing w:after="0" w:line="240" w:lineRule="auto"/>
        <w:ind w:left="380" w:hanging="380"/>
        <w:jc w:val="both"/>
        <w:rPr>
          <w:rFonts w:ascii="Times New Roman" w:hAnsi="Times New Roman"/>
        </w:rPr>
      </w:pPr>
      <w:r>
        <w:rPr>
          <w:rFonts w:ascii="Times New Roman" w:hAnsi="Times New Roman"/>
          <w:vertAlign w:val="superscript"/>
        </w:rPr>
        <w:footnoteRef/>
      </w:r>
      <w:r>
        <w:rPr>
          <w:rFonts w:ascii="Times New Roman" w:hAnsi="Times New Roman"/>
          <w:vertAlign w:val="superscript"/>
        </w:rPr>
        <w:t xml:space="preserve"> </w:t>
      </w:r>
      <w:r>
        <w:rPr>
          <w:rFonts w:ascii="Times New Roman" w:hAnsi="Times New Roman"/>
        </w:rPr>
        <w:tab/>
      </w:r>
      <w:r>
        <w:rPr>
          <w:rFonts w:ascii="Times New Roman" w:hAnsi="Times New Roman"/>
          <w:i/>
        </w:rPr>
        <w:t xml:space="preserve">Rafforzare lo Stato </w:t>
      </w:r>
      <w:r>
        <w:rPr>
          <w:rFonts w:ascii="Times New Roman" w:hAnsi="Times New Roman"/>
          <w:i/>
        </w:rPr>
        <w:t>di diritto nell'Unione Programma d'azione</w:t>
      </w:r>
      <w:r>
        <w:rPr>
          <w:rFonts w:ascii="Times New Roman" w:hAnsi="Times New Roman"/>
        </w:rPr>
        <w:t>,</w:t>
      </w:r>
      <w:r>
        <w:t xml:space="preserve"> </w:t>
      </w:r>
      <w:r>
        <w:rPr>
          <w:rFonts w:ascii="Times New Roman" w:hAnsi="Times New Roman"/>
        </w:rPr>
        <w:t xml:space="preserve">COM/2019/343 final. Ciò permetterà di integrare il quadro per lo Stato di diritto del 2014. </w:t>
      </w:r>
    </w:p>
  </w:footnote>
  <w:footnote w:id="16">
    <w:p w:rsidR="00882D23" w:rsidRDefault="000F7DD2">
      <w:pPr>
        <w:pStyle w:val="FootnoteText"/>
        <w:tabs>
          <w:tab w:val="left" w:pos="0"/>
        </w:tabs>
        <w:spacing w:after="0" w:line="240" w:lineRule="auto"/>
        <w:ind w:left="380" w:hanging="380"/>
        <w:jc w:val="both"/>
        <w:rPr>
          <w:rFonts w:ascii="Times New Roman" w:hAnsi="Times New Roman"/>
        </w:rPr>
      </w:pPr>
      <w:r>
        <w:rPr>
          <w:rFonts w:ascii="Times New Roman" w:hAnsi="Times New Roman"/>
          <w:vertAlign w:val="superscript"/>
        </w:rPr>
        <w:footnoteRef/>
      </w:r>
      <w:r>
        <w:rPr>
          <w:rFonts w:ascii="Times New Roman" w:hAnsi="Times New Roman"/>
          <w:vertAlign w:val="superscript"/>
        </w:rPr>
        <w:t xml:space="preserve"> </w:t>
      </w:r>
      <w:r>
        <w:rPr>
          <w:rFonts w:ascii="Times New Roman" w:hAnsi="Times New Roman"/>
        </w:rPr>
        <w:tab/>
      </w:r>
      <w:r>
        <w:rPr>
          <w:rFonts w:ascii="Times New Roman" w:hAnsi="Times New Roman"/>
          <w:i/>
        </w:rPr>
        <w:t xml:space="preserve">Orientamenti politici per la prossima Commissione europea 2019-2024 - "Un'Unione più ambiziosa: il mio programma per </w:t>
      </w:r>
      <w:r>
        <w:rPr>
          <w:rFonts w:ascii="Times New Roman" w:hAnsi="Times New Roman"/>
          <w:i/>
        </w:rPr>
        <w:t xml:space="preserve">l'Europa" pagg. 14-15, </w:t>
      </w:r>
      <w:r>
        <w:rPr>
          <w:rFonts w:ascii="Times New Roman" w:hAnsi="Times New Roman"/>
        </w:rPr>
        <w:t xml:space="preserve">si veda </w:t>
      </w:r>
      <w:hyperlink r:id="rId7" w:history="1">
        <w:r>
          <w:rPr>
            <w:rStyle w:val="Hyperlink"/>
            <w:rFonts w:ascii="Times New Roman" w:hAnsi="Times New Roman"/>
          </w:rPr>
          <w:t>https://ec.europa.eu/commission/sites/beta-political/files/political-guidelines-next-commission_it.pdf</w:t>
        </w:r>
      </w:hyperlink>
      <w:r>
        <w:rPr>
          <w:rFonts w:ascii="Times New Roman" w:hAnsi="Times New Roman"/>
        </w:rPr>
        <w:t xml:space="preserve">. </w:t>
      </w:r>
    </w:p>
  </w:footnote>
  <w:footnote w:id="17">
    <w:p w:rsidR="00882D23" w:rsidRDefault="000F7DD2">
      <w:pPr>
        <w:pStyle w:val="FootnoteText"/>
        <w:spacing w:after="0" w:line="240" w:lineRule="auto"/>
        <w:ind w:left="380" w:hanging="380"/>
        <w:contextualSpacing/>
        <w:jc w:val="both"/>
        <w:rPr>
          <w:rFonts w:ascii="Times New Roman" w:hAnsi="Times New Roman"/>
          <w:i/>
          <w:iCs/>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r>
      <w:r>
        <w:rPr>
          <w:rFonts w:ascii="Times New Roman" w:hAnsi="Times New Roman"/>
          <w:iCs/>
        </w:rPr>
        <w:t xml:space="preserve">Decreti d'urgenza n. 7/2019 del 20 febbraio 2019 e n. 12/2019 </w:t>
      </w:r>
      <w:r>
        <w:rPr>
          <w:rFonts w:ascii="Times New Roman" w:hAnsi="Times New Roman"/>
        </w:rPr>
        <w:t>del 5 marzo 2019.</w:t>
      </w:r>
    </w:p>
  </w:footnote>
  <w:footnote w:id="18">
    <w:p w:rsidR="00882D23" w:rsidRDefault="000F7DD2">
      <w:pPr>
        <w:pStyle w:val="FootnoteText"/>
        <w:spacing w:after="0" w:line="240" w:lineRule="auto"/>
        <w:ind w:left="380" w:hanging="380"/>
        <w:contextualSpacing/>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Per ulteriori dettagli sulle modifiche in questione si veda anche la relazione tecnica.</w:t>
      </w:r>
    </w:p>
  </w:footnote>
  <w:footnote w:id="19">
    <w:p w:rsidR="00882D23" w:rsidRDefault="000F7DD2">
      <w:pPr>
        <w:pStyle w:val="FootnoteText"/>
        <w:spacing w:after="0" w:line="240" w:lineRule="auto"/>
        <w:ind w:left="380" w:hanging="380"/>
        <w:contextualSpacing/>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A titolo di esempio si può indicare: l'aumento retroattivo dei requisiti di anzi</w:t>
      </w:r>
      <w:r>
        <w:rPr>
          <w:rFonts w:ascii="Times New Roman" w:hAnsi="Times New Roman"/>
        </w:rPr>
        <w:t>anità per i procuratori, che ha precluso ad alcuni l'accesso a determinate funzioni; l'abbassamento dei requisiti e la modifica delle procedure di nomina per la gestione della sezione speciale, consentendo la nomina di determinate persone; e l'approvazione</w:t>
      </w:r>
      <w:r>
        <w:rPr>
          <w:rFonts w:ascii="Times New Roman" w:hAnsi="Times New Roman"/>
        </w:rPr>
        <w:t xml:space="preserve"> delle nomine dei procuratori capo da parte del plenum del Consiglio superiore della magistratura che ha permesso di evitare un parere negativo della sezione speciale di indagine.</w:t>
      </w:r>
    </w:p>
  </w:footnote>
  <w:footnote w:id="20">
    <w:p w:rsidR="00882D23" w:rsidRDefault="000F7DD2">
      <w:pPr>
        <w:pStyle w:val="FootnoteText"/>
        <w:spacing w:after="0" w:line="240" w:lineRule="auto"/>
        <w:ind w:left="380" w:hanging="380"/>
        <w:contextualSpacing/>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Parere n. 950/2019 della Commissione di Venezia, par. 49.</w:t>
      </w:r>
    </w:p>
  </w:footnote>
  <w:footnote w:id="21">
    <w:p w:rsidR="00882D23" w:rsidRDefault="000F7DD2">
      <w:pPr>
        <w:pStyle w:val="FootnoteText"/>
        <w:spacing w:after="0" w:line="240" w:lineRule="auto"/>
        <w:ind w:left="380" w:hanging="380"/>
        <w:contextualSpacing/>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In questo co</w:t>
      </w:r>
      <w:r>
        <w:rPr>
          <w:rFonts w:ascii="Times New Roman" w:hAnsi="Times New Roman"/>
        </w:rPr>
        <w:t>ntesto va inoltre menzionato che la sezione speciale ha registrato un'indagine penale nei confronti di diversi membri della Commissione e del suo personale a seguito di una denuncia presentata il 30 gennaio 2019 che li accusava di abusi nell'esercizio dell</w:t>
      </w:r>
      <w:r>
        <w:rPr>
          <w:rFonts w:ascii="Times New Roman" w:hAnsi="Times New Roman"/>
        </w:rPr>
        <w:t>e loro funzioni, comunicazione di informazioni false e istituzione di un gruppo dedito al crimine organizzato in relazione alla stesura della relazione dell'MCV del novembre 2018. L'indagine riguardava anche il procuratore generale in carica. La Commission</w:t>
      </w:r>
      <w:r>
        <w:rPr>
          <w:rFonts w:ascii="Times New Roman" w:hAnsi="Times New Roman"/>
        </w:rPr>
        <w:t>e ricorda che, nel territorio di ciascuno Stato membro, i membri della Commissione e il suo personale beneficiano dell'immunità da procedimenti giudiziari per gli atti compiuti in veste ufficiale, in virtù del protocollo sui privilegi e le immunità allegat</w:t>
      </w:r>
      <w:r>
        <w:rPr>
          <w:rFonts w:ascii="Times New Roman" w:hAnsi="Times New Roman"/>
        </w:rPr>
        <w:t>o ai trattati.</w:t>
      </w:r>
      <w:r>
        <w:t xml:space="preserve"> </w:t>
      </w:r>
      <w:r>
        <w:rPr>
          <w:rFonts w:ascii="Times New Roman" w:hAnsi="Times New Roman"/>
        </w:rPr>
        <w:t>Nonostante il fatto che le autorità rumene non avessero competenza in materia, la sezione speciale ha registrato il caso l'11 febbraio e lo ha chiuso soltanto il 27 marzo adducendo la mancanza di prove. http://www.mpublic.ro/ro/content/c_28-</w:t>
      </w:r>
      <w:r>
        <w:rPr>
          <w:rFonts w:ascii="Times New Roman" w:hAnsi="Times New Roman"/>
        </w:rPr>
        <w:t>03-2019-13-03.</w:t>
      </w:r>
    </w:p>
  </w:footnote>
  <w:footnote w:id="22">
    <w:p w:rsidR="00882D23" w:rsidRDefault="000F7DD2">
      <w:pPr>
        <w:pStyle w:val="FootnoteText"/>
        <w:spacing w:after="0" w:line="240" w:lineRule="auto"/>
        <w:ind w:left="380" w:hanging="380"/>
        <w:contextualSpacing/>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Un esempio significativo è costituito dalla causa penale intentata contro l'ex procuratrice capo della direzione nazionale anticorruzione nel momento in cui era candidata alla Procura europea. La tempistica dell'avvio della causa penale e</w:t>
      </w:r>
      <w:r>
        <w:rPr>
          <w:rFonts w:ascii="Times New Roman" w:hAnsi="Times New Roman"/>
        </w:rPr>
        <w:t xml:space="preserve"> il calendario delle convocazioni sembravano scelti ad hoc per ostacolare la sua candidatura. L'Alta Corte di cassazione e di giustizia ha quindi adottato una decisione sulle misure preventive applicate in cui qualificava la causa come illegittima. La regi</w:t>
      </w:r>
      <w:r>
        <w:rPr>
          <w:rFonts w:ascii="Times New Roman" w:hAnsi="Times New Roman"/>
        </w:rPr>
        <w:t xml:space="preserve">strazione di un'altra causa nei confronti del procuratore generale sembra confermare l'esistenza di un denominatore comune nelle azioni intraprese contro gli alti magistrati critici nei confronti della sezione. </w:t>
      </w:r>
    </w:p>
  </w:footnote>
  <w:footnote w:id="23">
    <w:p w:rsidR="00882D23" w:rsidRDefault="000F7DD2">
      <w:pPr>
        <w:pStyle w:val="FootnoteText"/>
        <w:spacing w:after="0" w:line="240" w:lineRule="auto"/>
        <w:ind w:left="380" w:hanging="380"/>
        <w:contextualSpacing/>
        <w:jc w:val="both"/>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Si veda la relazione tecnica per esempi e</w:t>
      </w:r>
      <w:r>
        <w:rPr>
          <w:rFonts w:ascii="Times New Roman" w:hAnsi="Times New Roman"/>
        </w:rPr>
        <w:t xml:space="preserve"> informazioni dettagliate.</w:t>
      </w:r>
    </w:p>
  </w:footnote>
  <w:footnote w:id="24">
    <w:p w:rsidR="00882D23" w:rsidRDefault="000F7DD2">
      <w:pPr>
        <w:pStyle w:val="FootnoteText"/>
        <w:spacing w:after="0" w:line="240" w:lineRule="auto"/>
        <w:ind w:left="380" w:hanging="380"/>
        <w:contextualSpacing/>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Tra questi, associazioni dei magistrati, organizzazioni della società civile e partiti di opposizione.</w:t>
      </w:r>
    </w:p>
  </w:footnote>
  <w:footnote w:id="25">
    <w:p w:rsidR="00882D23" w:rsidRDefault="000F7DD2">
      <w:pPr>
        <w:pStyle w:val="FootnoteText"/>
        <w:spacing w:after="0" w:line="240" w:lineRule="auto"/>
        <w:ind w:left="380" w:hanging="380"/>
        <w:contextualSpacing/>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Parere sui decreti d'urgenza Geo No. 7 e Geo No. 12 recanti modifica delle leggi sulla giustizia, CDL-AD(2019)014, del 2</w:t>
      </w:r>
      <w:r>
        <w:rPr>
          <w:rFonts w:ascii="Times New Roman" w:hAnsi="Times New Roman"/>
        </w:rPr>
        <w:t xml:space="preserve">1-22 giugno 2019) - </w:t>
      </w:r>
      <w:hyperlink r:id="rId8" w:history="1">
        <w:r>
          <w:rPr>
            <w:rStyle w:val="Hyperlink"/>
            <w:rFonts w:ascii="Times New Roman" w:hAnsi="Times New Roman"/>
          </w:rPr>
          <w:t>https://www.venice.coe.int/webforms/documents/?pdf=CDL-AD(2019)014-e</w:t>
        </w:r>
      </w:hyperlink>
      <w:r>
        <w:rPr>
          <w:rFonts w:ascii="Times New Roman" w:hAnsi="Times New Roman"/>
        </w:rPr>
        <w:t xml:space="preserve"> </w:t>
      </w:r>
    </w:p>
  </w:footnote>
  <w:footnote w:id="26">
    <w:p w:rsidR="00882D23" w:rsidRDefault="000F7DD2">
      <w:pPr>
        <w:pStyle w:val="FootnoteText"/>
        <w:spacing w:after="0" w:line="240" w:lineRule="auto"/>
        <w:ind w:left="380" w:hanging="380"/>
        <w:contextualSpacing/>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Il parere solleva seri interrogativi sulla fondatezza e la logica di alcuni ca</w:t>
      </w:r>
      <w:r>
        <w:rPr>
          <w:rFonts w:ascii="Times New Roman" w:hAnsi="Times New Roman"/>
        </w:rPr>
        <w:t>mbiamenti.</w:t>
      </w:r>
    </w:p>
  </w:footnote>
  <w:footnote w:id="27">
    <w:p w:rsidR="00882D23" w:rsidRDefault="000F7DD2">
      <w:pPr>
        <w:pStyle w:val="FootnoteText"/>
        <w:spacing w:after="0" w:line="240" w:lineRule="auto"/>
        <w:ind w:left="380" w:hanging="380"/>
        <w:contextualSpacing/>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GRECO AdHocRep(2019)1 e GRECO RC4(2019)11.</w:t>
      </w:r>
    </w:p>
  </w:footnote>
  <w:footnote w:id="28">
    <w:p w:rsidR="00882D23" w:rsidRDefault="000F7DD2">
      <w:pPr>
        <w:pStyle w:val="FootnoteText"/>
        <w:spacing w:after="0" w:line="240" w:lineRule="auto"/>
        <w:ind w:left="380" w:hanging="380"/>
        <w:contextualSpacing/>
        <w:jc w:val="both"/>
        <w:rPr>
          <w:rFonts w:ascii="Times New Roman" w:hAnsi="Times New Roman"/>
          <w:sz w:val="18"/>
          <w:szCs w:val="18"/>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 xml:space="preserve">Un gruppo di lavoro del ministero della Giustizia sta lavorando a una valutazione, in consultazione con tutti gli organi giudiziari e le associazioni professionali dei magistrati. Il 17 settembre </w:t>
      </w:r>
      <w:r>
        <w:rPr>
          <w:rFonts w:ascii="Times New Roman" w:hAnsi="Times New Roman"/>
        </w:rPr>
        <w:t>2019 il ministero della Giustizia ha annunciato che le conclusioni raggiunte dal gruppo di lavoro mettevano in discussione il funzionamento della sezione speciale nella sua forma attuale.</w:t>
      </w:r>
    </w:p>
  </w:footnote>
  <w:footnote w:id="29">
    <w:p w:rsidR="00882D23" w:rsidRDefault="000F7DD2">
      <w:pPr>
        <w:pStyle w:val="FootnoteText"/>
        <w:spacing w:after="0" w:line="240" w:lineRule="auto"/>
        <w:ind w:left="380" w:hanging="380"/>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Il 2 ottobre 2019 il procuratore capo della Direzione investigati</w:t>
      </w:r>
      <w:r>
        <w:rPr>
          <w:rFonts w:ascii="Times New Roman" w:hAnsi="Times New Roman"/>
        </w:rPr>
        <w:t>va per la lotta contro la criminalità organizzata ed il terrorismo (DIICOT) si è dimesso a seguito di scandali relativi alle indagini in corso e alla pressione politica. Tutte le principali funzioni relative all'esercizio dell'azione penale sono ora eserci</w:t>
      </w:r>
      <w:r>
        <w:rPr>
          <w:rFonts w:ascii="Times New Roman" w:hAnsi="Times New Roman"/>
        </w:rPr>
        <w:t xml:space="preserve">tate </w:t>
      </w:r>
      <w:r>
        <w:rPr>
          <w:rFonts w:ascii="Times New Roman" w:hAnsi="Times New Roman"/>
          <w:i/>
        </w:rPr>
        <w:t>ad interim</w:t>
      </w:r>
      <w:r>
        <w:rPr>
          <w:rFonts w:ascii="Times New Roman" w:hAnsi="Times New Roman"/>
        </w:rPr>
        <w:t>.</w:t>
      </w:r>
    </w:p>
  </w:footnote>
  <w:footnote w:id="30">
    <w:p w:rsidR="00882D23" w:rsidRDefault="000F7DD2">
      <w:pPr>
        <w:pStyle w:val="FootnoteText"/>
        <w:spacing w:after="0" w:line="240" w:lineRule="auto"/>
        <w:ind w:left="380" w:hanging="380"/>
        <w:contextualSpacing/>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Esempi di indagini disciplinari avviate a seguito di dichiarazioni pubbliche di critica delle riforme in corso:</w:t>
      </w:r>
    </w:p>
    <w:p w:rsidR="00882D23" w:rsidRDefault="000F7DD2">
      <w:pPr>
        <w:pStyle w:val="FootnoteText"/>
        <w:spacing w:after="0" w:line="240" w:lineRule="auto"/>
        <w:ind w:left="380" w:firstLine="46"/>
        <w:contextualSpacing/>
        <w:jc w:val="both"/>
        <w:rPr>
          <w:rFonts w:ascii="Times New Roman" w:hAnsi="Times New Roman"/>
        </w:rPr>
      </w:pPr>
      <w:hyperlink r:id="rId9" w:history="1">
        <w:r>
          <w:rPr>
            <w:rStyle w:val="Hyperlink"/>
            <w:rFonts w:ascii="Times New Roman" w:hAnsi="Times New Roman"/>
          </w:rPr>
          <w:t>https://www.csm1909.ro/ViewFile.ashx?guid=2be852a5-365b-44e2-990d-47696231789a|InfoCSM</w:t>
        </w:r>
      </w:hyperlink>
      <w:r>
        <w:rPr>
          <w:rFonts w:ascii="Times New Roman" w:hAnsi="Times New Roman"/>
        </w:rPr>
        <w:t xml:space="preserve">; </w:t>
      </w:r>
    </w:p>
    <w:p w:rsidR="00882D23" w:rsidRDefault="000F7DD2">
      <w:pPr>
        <w:pStyle w:val="FootnoteText"/>
        <w:spacing w:after="0" w:line="240" w:lineRule="auto"/>
        <w:ind w:left="380" w:firstLine="46"/>
        <w:contextualSpacing/>
        <w:jc w:val="both"/>
        <w:rPr>
          <w:rFonts w:ascii="Times New Roman" w:hAnsi="Times New Roman"/>
        </w:rPr>
      </w:pPr>
      <w:hyperlink r:id="rId10" w:history="1">
        <w:r>
          <w:rPr>
            <w:rStyle w:val="Hyperlink"/>
            <w:rFonts w:ascii="Times New Roman" w:hAnsi="Times New Roman"/>
          </w:rPr>
          <w:t>https://www.csm1909.ro/ViewFile.ashx?guid=38b70eb6-641a-4794-910</w:t>
        </w:r>
        <w:r>
          <w:rPr>
            <w:rStyle w:val="Hyperlink"/>
            <w:rFonts w:ascii="Times New Roman" w:hAnsi="Times New Roman"/>
          </w:rPr>
          <w:t>9-e6805dfd778e|InfoCSM</w:t>
        </w:r>
      </w:hyperlink>
      <w:r>
        <w:rPr>
          <w:rFonts w:ascii="Times New Roman" w:hAnsi="Times New Roman"/>
        </w:rPr>
        <w:t>,</w:t>
      </w:r>
    </w:p>
    <w:p w:rsidR="00882D23" w:rsidRDefault="000F7DD2">
      <w:pPr>
        <w:pStyle w:val="FootnoteText"/>
        <w:spacing w:after="0" w:line="240" w:lineRule="auto"/>
        <w:ind w:left="380" w:firstLine="46"/>
        <w:contextualSpacing/>
        <w:jc w:val="both"/>
        <w:rPr>
          <w:rFonts w:ascii="Times New Roman" w:hAnsi="Times New Roman"/>
        </w:rPr>
      </w:pPr>
      <w:hyperlink r:id="rId11" w:history="1">
        <w:r>
          <w:rPr>
            <w:rStyle w:val="Hyperlink"/>
            <w:rFonts w:ascii="Times New Roman" w:hAnsi="Times New Roman"/>
          </w:rPr>
          <w:t>http://www.inspectiajudiciara.ro/Download.aspx?guid=7c561595-2efe-4ce4-abd7-3150b5d52274|InfoCSM</w:t>
        </w:r>
      </w:hyperlink>
    </w:p>
    <w:p w:rsidR="00882D23" w:rsidRDefault="000F7DD2">
      <w:pPr>
        <w:pStyle w:val="FootnoteText"/>
        <w:spacing w:after="0" w:line="240" w:lineRule="auto"/>
        <w:ind w:left="380" w:firstLine="46"/>
        <w:contextualSpacing/>
        <w:jc w:val="both"/>
        <w:rPr>
          <w:rFonts w:ascii="Times New Roman" w:hAnsi="Times New Roman"/>
        </w:rPr>
      </w:pPr>
      <w:hyperlink r:id="rId12" w:history="1">
        <w:r>
          <w:rPr>
            <w:rStyle w:val="Hyperlink"/>
            <w:rFonts w:ascii="Times New Roman" w:hAnsi="Times New Roman"/>
          </w:rPr>
          <w:t>http://portal.just.ro/36/SitePages/Dosar.aspx?id_dosar=200000000361685&amp;id_inst=36</w:t>
        </w:r>
      </w:hyperlink>
    </w:p>
    <w:p w:rsidR="00882D23" w:rsidRDefault="000F7DD2">
      <w:pPr>
        <w:pStyle w:val="FootnoteText"/>
        <w:spacing w:after="0" w:line="240" w:lineRule="auto"/>
        <w:ind w:left="380" w:firstLine="46"/>
        <w:contextualSpacing/>
        <w:jc w:val="both"/>
        <w:rPr>
          <w:rFonts w:ascii="Times New Roman" w:hAnsi="Times New Roman"/>
        </w:rPr>
      </w:pPr>
      <w:hyperlink r:id="rId13" w:history="1">
        <w:r>
          <w:rPr>
            <w:rStyle w:val="Hyperlink"/>
            <w:rFonts w:ascii="Times New Roman" w:hAnsi="Times New Roman"/>
          </w:rPr>
          <w:t>https://cursdeguvernare.ro/asociatia-initiativa-pentru-justiti</w:t>
        </w:r>
        <w:r>
          <w:rPr>
            <w:rStyle w:val="Hyperlink"/>
            <w:rFonts w:ascii="Times New Roman" w:hAnsi="Times New Roman"/>
          </w:rPr>
          <w:t>e-inspectia-judiciara-incearca-sa-i-intimideze-pe-magistratii-care-lupta-pentru-apararea-independentei-justitiei.html</w:t>
        </w:r>
      </w:hyperlink>
      <w:r>
        <w:rPr>
          <w:rFonts w:ascii="Times New Roman" w:hAnsi="Times New Roman"/>
        </w:rPr>
        <w:t>.</w:t>
      </w:r>
    </w:p>
  </w:footnote>
  <w:footnote w:id="31">
    <w:p w:rsidR="00882D23" w:rsidRDefault="000F7DD2">
      <w:pPr>
        <w:pStyle w:val="FootnoteText"/>
        <w:spacing w:after="0" w:line="240" w:lineRule="auto"/>
        <w:ind w:left="380" w:hanging="380"/>
        <w:contextualSpacing/>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Un esempio recente riguarda la relazione dell'Ispettorato giudiziario sull'uso degli accordi di cooperazione tra la procura e i serviz</w:t>
      </w:r>
      <w:r>
        <w:rPr>
          <w:rFonts w:ascii="Times New Roman" w:hAnsi="Times New Roman"/>
        </w:rPr>
        <w:t>i di intelligence per le intercettazioni telefoniche. La relazione è stata fatta pervenire ai media prima che il Consiglio superiore potesse analizzarla.</w:t>
      </w:r>
    </w:p>
  </w:footnote>
  <w:footnote w:id="32">
    <w:p w:rsidR="00882D23" w:rsidRDefault="000F7DD2">
      <w:pPr>
        <w:pStyle w:val="FootnoteText"/>
        <w:spacing w:after="0" w:line="240" w:lineRule="auto"/>
        <w:ind w:left="380" w:hanging="380"/>
        <w:contextualSpacing/>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In relazione a questi conflitti costituzionali il governo ha adito la Corte costituzionale, adducen</w:t>
      </w:r>
      <w:r>
        <w:rPr>
          <w:rFonts w:ascii="Times New Roman" w:hAnsi="Times New Roman"/>
        </w:rPr>
        <w:t xml:space="preserve">do un conflitto tra il Parlamento (in quanto legislatore) e l'Alta Corte, sostenendo che quest'ultima era andata oltre le sue prerogative costituzionali nell'interpretazione della legge, sostituendosi così al legislatore. </w:t>
      </w:r>
    </w:p>
  </w:footnote>
  <w:footnote w:id="33">
    <w:p w:rsidR="00882D23" w:rsidRDefault="000F7DD2">
      <w:pPr>
        <w:pStyle w:val="FootnoteText"/>
        <w:spacing w:after="0" w:line="240" w:lineRule="auto"/>
        <w:ind w:left="380" w:hanging="380"/>
        <w:contextualSpacing/>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Sono stati sollevati dubbi sul</w:t>
      </w:r>
      <w:r>
        <w:rPr>
          <w:rFonts w:ascii="Times New Roman" w:hAnsi="Times New Roman"/>
        </w:rPr>
        <w:t xml:space="preserve"> fatto che fosse prerogativa della Corte costituzionale statuire sull'interpretazione legale data dall'Alta Corte.</w:t>
      </w:r>
    </w:p>
  </w:footnote>
  <w:footnote w:id="34">
    <w:p w:rsidR="00882D23" w:rsidRDefault="000F7DD2">
      <w:pPr>
        <w:pStyle w:val="FootnoteText"/>
        <w:spacing w:after="0" w:line="240" w:lineRule="auto"/>
        <w:ind w:left="380" w:hanging="380"/>
        <w:jc w:val="both"/>
        <w:rPr>
          <w:rFonts w:ascii="Times New Roman" w:hAnsi="Times New Roman"/>
        </w:rPr>
      </w:pPr>
      <w:r>
        <w:rPr>
          <w:rStyle w:val="FootnoteReference"/>
          <w:rFonts w:ascii="Times New Roman" w:hAnsi="Times New Roman"/>
        </w:rPr>
        <w:footnoteRef/>
      </w:r>
      <w:r>
        <w:rPr>
          <w:rFonts w:ascii="Times New Roman" w:hAnsi="Times New Roman"/>
        </w:rPr>
        <w:t xml:space="preserve"> https://www.mediafax.ro/social/tarcea-despre-refuzul-de-a-mai-candida-la-inalta-curte-m-a-facut-sa-imi-fie-dor-sa-traiesc-printre-oameni-cu</w:t>
      </w:r>
      <w:r>
        <w:rPr>
          <w:rFonts w:ascii="Times New Roman" w:hAnsi="Times New Roman"/>
        </w:rPr>
        <w:t xml:space="preserve">-bun-simt-18218170. </w:t>
      </w:r>
    </w:p>
  </w:footnote>
  <w:footnote w:id="35">
    <w:p w:rsidR="00882D23" w:rsidRDefault="000F7DD2">
      <w:pPr>
        <w:pStyle w:val="FootnoteText"/>
        <w:spacing w:after="0" w:line="240" w:lineRule="auto"/>
        <w:ind w:left="380" w:hanging="380"/>
        <w:contextualSpacing/>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Parere n. 930/2018 della Commissione di Venezia.</w:t>
      </w:r>
    </w:p>
  </w:footnote>
  <w:footnote w:id="36">
    <w:p w:rsidR="00882D23" w:rsidRDefault="000F7DD2">
      <w:pPr>
        <w:pStyle w:val="FootnoteText"/>
        <w:spacing w:after="0" w:line="240" w:lineRule="auto"/>
        <w:ind w:left="380" w:hanging="380"/>
        <w:contextualSpacing/>
        <w:jc w:val="both"/>
        <w:rPr>
          <w:rFonts w:ascii="Times New Roman" w:hAnsi="Times New Roman"/>
        </w:rPr>
      </w:pPr>
      <w:r>
        <w:rPr>
          <w:rFonts w:ascii="Times New Roman" w:hAnsi="Times New Roman"/>
          <w:vertAlign w:val="superscript"/>
        </w:rPr>
        <w:footnoteRef/>
      </w:r>
      <w:r>
        <w:rPr>
          <w:rFonts w:ascii="Times New Roman" w:hAnsi="Times New Roman"/>
          <w:vertAlign w:val="superscript"/>
        </w:rPr>
        <w:t xml:space="preserve"> </w:t>
      </w:r>
      <w:r>
        <w:rPr>
          <w:rFonts w:ascii="Times New Roman" w:hAnsi="Times New Roman"/>
        </w:rPr>
        <w:tab/>
      </w:r>
      <w:r>
        <w:rPr>
          <w:rStyle w:val="Hyperlink"/>
          <w:rFonts w:ascii="Times New Roman" w:hAnsi="Times New Roman"/>
          <w:u w:val="none"/>
        </w:rPr>
        <w:t xml:space="preserve">Le motivazioni delle sentenze non sono ancora state pubblicate. </w:t>
      </w:r>
    </w:p>
  </w:footnote>
  <w:footnote w:id="37">
    <w:p w:rsidR="00882D23" w:rsidRDefault="000F7DD2">
      <w:pPr>
        <w:pStyle w:val="FootnoteText"/>
        <w:spacing w:after="0" w:line="240" w:lineRule="auto"/>
        <w:ind w:left="380" w:hanging="380"/>
        <w:contextualSpacing/>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Nell'agosto 2019 il Parlamento ha formalmente respinto una legge sull'amnistia e la grazia del febbraio 2017 che</w:t>
      </w:r>
      <w:r>
        <w:rPr>
          <w:rFonts w:ascii="Times New Roman" w:hAnsi="Times New Roman"/>
        </w:rPr>
        <w:t xml:space="preserve"> era rimasta nell'iter parlamentare.</w:t>
      </w:r>
    </w:p>
  </w:footnote>
  <w:footnote w:id="38">
    <w:p w:rsidR="00882D23" w:rsidRDefault="000F7DD2">
      <w:pPr>
        <w:pStyle w:val="FootnoteText"/>
        <w:spacing w:after="0" w:line="240" w:lineRule="auto"/>
        <w:ind w:left="380" w:hanging="380"/>
        <w:contextualSpacing/>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COM(2018) 851 e SWD(2018) 551. Si veda anche il parere n. 924/2018 della Commissione di Venezia del 20 ottobre 2018.</w:t>
      </w:r>
    </w:p>
  </w:footnote>
  <w:footnote w:id="39">
    <w:p w:rsidR="00882D23" w:rsidRDefault="000F7DD2">
      <w:pPr>
        <w:pStyle w:val="FootnoteText"/>
        <w:spacing w:after="0" w:line="240" w:lineRule="auto"/>
        <w:ind w:left="380" w:hanging="380"/>
        <w:contextualSpacing/>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r>
      <w:hyperlink r:id="rId14" w:history="1">
        <w:r>
          <w:rPr>
            <w:rStyle w:val="Hyperlink"/>
            <w:rFonts w:ascii="Times New Roman" w:hAnsi="Times New Roman"/>
          </w:rPr>
          <w:t>http://www.cdep.ro/pls/dic/site</w:t>
        </w:r>
        <w:r>
          <w:rPr>
            <w:rStyle w:val="Hyperlink"/>
            <w:rFonts w:ascii="Times New Roman" w:hAnsi="Times New Roman"/>
          </w:rPr>
          <w:t>2015.page?id=1046</w:t>
        </w:r>
      </w:hyperlink>
      <w:r>
        <w:rPr>
          <w:rFonts w:ascii="Times New Roman" w:hAnsi="Times New Roman"/>
        </w:rPr>
        <w:t xml:space="preserve"> </w:t>
      </w:r>
    </w:p>
  </w:footnote>
  <w:footnote w:id="40">
    <w:p w:rsidR="00882D23" w:rsidRDefault="000F7DD2">
      <w:pPr>
        <w:pStyle w:val="FootnoteText"/>
        <w:spacing w:after="0" w:line="240" w:lineRule="auto"/>
        <w:ind w:left="380" w:hanging="380"/>
        <w:contextualSpacing/>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Le leggi modificate sono entrate in vigore nel dicembre 2018. Legge 310/2018, del 17 dicembre 2018, recante modifica e integrazione della legge 134/2010 sul codice di procedura civile.</w:t>
      </w:r>
    </w:p>
  </w:footnote>
  <w:footnote w:id="41">
    <w:p w:rsidR="00882D23" w:rsidRDefault="000F7DD2">
      <w:pPr>
        <w:pStyle w:val="FootnoteText"/>
        <w:spacing w:after="0" w:line="240" w:lineRule="auto"/>
        <w:ind w:left="380" w:hanging="380"/>
        <w:contextualSpacing/>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Parere n. 950/2019 della Commissione di Venezi</w:t>
      </w:r>
      <w:r>
        <w:rPr>
          <w:rFonts w:ascii="Times New Roman" w:hAnsi="Times New Roman"/>
        </w:rPr>
        <w:t>a.</w:t>
      </w:r>
    </w:p>
  </w:footnote>
  <w:footnote w:id="42">
    <w:p w:rsidR="00882D23" w:rsidRDefault="000F7DD2">
      <w:pPr>
        <w:pStyle w:val="FootnoteText"/>
        <w:spacing w:after="0" w:line="240" w:lineRule="auto"/>
        <w:ind w:left="380" w:hanging="380"/>
        <w:contextualSpacing/>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Il parere ha concluso: "è estremamente allarmante che il governo continui a presentare modifiche legislative con decreti d'urgenza. Benché la costituzione indichi chiaramente che si tratta di una misura eccezionale, la legislazione mediante i GEO è d</w:t>
      </w:r>
      <w:r>
        <w:rPr>
          <w:rFonts w:ascii="Times New Roman" w:hAnsi="Times New Roman"/>
        </w:rPr>
        <w:t>ivenuta la norma. Le norme fondamentali in materia di funzionamento delle principali istituzioni statali sono cambiate troppo rapidamente e troppo spesso, senza preparazione e consultazione, sollevando interrogativi legittimi sulla fondatezza dei risultati</w:t>
      </w:r>
      <w:r>
        <w:rPr>
          <w:rFonts w:ascii="Times New Roman" w:hAnsi="Times New Roman"/>
        </w:rPr>
        <w:t xml:space="preserve"> e dei veri motivi alla base di alcune di tali modifiche. I testi legislativi che ne risultano non sono chiari. Tale pratica indebolisce i controlli esterni sul governo, è contraria al principio della separazione dei poteri e pregiudica la certezza del dir</w:t>
      </w:r>
      <w:r>
        <w:rPr>
          <w:rFonts w:ascii="Times New Roman" w:hAnsi="Times New Roman"/>
        </w:rPr>
        <w:t>itto".</w:t>
      </w:r>
    </w:p>
  </w:footnote>
  <w:footnote w:id="43">
    <w:p w:rsidR="00882D23" w:rsidRDefault="000F7DD2">
      <w:pPr>
        <w:pStyle w:val="FootnoteText"/>
        <w:spacing w:after="0" w:line="240" w:lineRule="auto"/>
        <w:ind w:left="380" w:hanging="380"/>
        <w:contextualSpacing/>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Il piano d'azione per le misure strutturali in relazione al gruppo di cause Săcăleanu è reperibile al seguente indirizzo</w:t>
      </w:r>
    </w:p>
    <w:p w:rsidR="00882D23" w:rsidRDefault="000F7DD2">
      <w:pPr>
        <w:pStyle w:val="FootnoteText"/>
        <w:spacing w:after="0" w:line="240" w:lineRule="auto"/>
        <w:ind w:left="380"/>
        <w:contextualSpacing/>
        <w:jc w:val="both"/>
        <w:rPr>
          <w:rFonts w:ascii="Times New Roman" w:hAnsi="Times New Roman"/>
          <w:sz w:val="18"/>
          <w:szCs w:val="18"/>
        </w:rPr>
      </w:pPr>
      <w:hyperlink r:id="rId15" w:history="1">
        <w:r>
          <w:rPr>
            <w:rStyle w:val="Hyperlink"/>
            <w:rFonts w:ascii="Times New Roman" w:hAnsi="Times New Roman"/>
            <w:sz w:val="18"/>
            <w:szCs w:val="18"/>
          </w:rPr>
          <w:t>https://rm.coe.int/CoERMPublicCommonSearchServices/DisplayDCTMContent?documentId=09000016806dda63</w:t>
        </w:r>
      </w:hyperlink>
      <w:r>
        <w:rPr>
          <w:rFonts w:ascii="Times New Roman" w:hAnsi="Times New Roman"/>
          <w:sz w:val="18"/>
          <w:szCs w:val="18"/>
          <w:u w:val="single"/>
        </w:rPr>
        <w:t xml:space="preserve"> </w:t>
      </w:r>
    </w:p>
  </w:footnote>
  <w:footnote w:id="44">
    <w:p w:rsidR="00882D23" w:rsidRDefault="000F7DD2">
      <w:pPr>
        <w:pStyle w:val="FootnoteText"/>
        <w:tabs>
          <w:tab w:val="left" w:pos="426"/>
        </w:tabs>
        <w:spacing w:after="0" w:line="240" w:lineRule="auto"/>
        <w:ind w:left="380" w:hanging="380"/>
        <w:contextualSpacing/>
        <w:jc w:val="both"/>
        <w:rPr>
          <w:rFonts w:ascii="Times New Roman" w:hAnsi="Times New Roman"/>
        </w:rPr>
      </w:pPr>
      <w:r>
        <w:rPr>
          <w:rFonts w:ascii="Times New Roman" w:hAnsi="Times New Roman"/>
          <w:vertAlign w:val="superscript"/>
        </w:rPr>
        <w:footnoteRef/>
      </w:r>
      <w:r>
        <w:rPr>
          <w:rFonts w:ascii="Times New Roman" w:hAnsi="Times New Roman"/>
          <w:vertAlign w:val="superscript"/>
        </w:rPr>
        <w:t xml:space="preserve"> </w:t>
      </w:r>
      <w:r>
        <w:rPr>
          <w:rFonts w:ascii="Times New Roman" w:hAnsi="Times New Roman"/>
          <w:vertAlign w:val="superscript"/>
        </w:rPr>
        <w:tab/>
      </w:r>
      <w:r>
        <w:rPr>
          <w:rFonts w:ascii="Times New Roman" w:hAnsi="Times New Roman"/>
        </w:rPr>
        <w:t>Si veda la relazione tecnica - Raccomandazione n. 5.</w:t>
      </w:r>
    </w:p>
  </w:footnote>
  <w:footnote w:id="45">
    <w:p w:rsidR="00882D23" w:rsidRDefault="000F7DD2">
      <w:pPr>
        <w:pStyle w:val="FootnoteText"/>
        <w:spacing w:after="0" w:line="240" w:lineRule="auto"/>
        <w:ind w:left="380" w:hanging="380"/>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 xml:space="preserve">La gestione strategica del sistema giudiziario riunisce il ministro della Giustizia, il Consiglio </w:t>
      </w:r>
      <w:r>
        <w:rPr>
          <w:rFonts w:ascii="Times New Roman" w:hAnsi="Times New Roman"/>
        </w:rPr>
        <w:t>superiore, l'Alta Corte e il procuratore generale. Essa è stata istituita nel 2016 come forum per facilitare il dibattito e il processo decisionale consensuale in materia di orientamenti strategici e risorse per il sistema giudiziario. Sovraintende inoltre</w:t>
      </w:r>
      <w:r>
        <w:rPr>
          <w:rFonts w:ascii="Times New Roman" w:hAnsi="Times New Roman"/>
        </w:rPr>
        <w:t xml:space="preserve"> all'attuazione della strategia per lo sviluppo della magistratura.</w:t>
      </w:r>
    </w:p>
  </w:footnote>
  <w:footnote w:id="46">
    <w:p w:rsidR="00882D23" w:rsidRDefault="000F7DD2">
      <w:pPr>
        <w:pStyle w:val="FootnoteText"/>
        <w:spacing w:after="0" w:line="240" w:lineRule="auto"/>
        <w:ind w:left="380" w:hanging="380"/>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Il 17 settembre si è tenuta una riunione del Consiglio di gestione strategica. L'attuale ministro della Giustizia prevede di tenere riunioni ogni sei settimane. In parallelo si sono ten</w:t>
      </w:r>
      <w:r>
        <w:rPr>
          <w:rFonts w:ascii="Times New Roman" w:hAnsi="Times New Roman"/>
        </w:rPr>
        <w:t>uti gruppi di lavoro e consultazioni relativi alla sezione speciale incaricata di indagare sui reati commessi dai magistrati e sui codici penali.</w:t>
      </w:r>
    </w:p>
  </w:footnote>
  <w:footnote w:id="47">
    <w:p w:rsidR="00882D23" w:rsidRDefault="000F7DD2">
      <w:pPr>
        <w:pStyle w:val="FootnoteText"/>
        <w:tabs>
          <w:tab w:val="left" w:pos="426"/>
        </w:tabs>
        <w:spacing w:after="0" w:line="240" w:lineRule="auto"/>
        <w:ind w:left="380" w:hanging="380"/>
        <w:contextualSpacing/>
        <w:jc w:val="both"/>
        <w:rPr>
          <w:rFonts w:ascii="Times New Roman" w:hAnsi="Times New Roman"/>
        </w:rPr>
      </w:pPr>
      <w:r>
        <w:rPr>
          <w:rFonts w:ascii="Times New Roman" w:hAnsi="Times New Roman"/>
          <w:vertAlign w:val="superscript"/>
        </w:rPr>
        <w:footnoteRef/>
      </w:r>
      <w:r>
        <w:rPr>
          <w:rFonts w:ascii="Times New Roman" w:hAnsi="Times New Roman"/>
        </w:rPr>
        <w:t xml:space="preserve"> </w:t>
      </w:r>
      <w:r>
        <w:rPr>
          <w:rFonts w:ascii="Times New Roman" w:hAnsi="Times New Roman"/>
        </w:rPr>
        <w:tab/>
        <w:t>Come i decreti d'urgenza sulle leggi in materia di giustizia adottati tra settembre 2018 e marzo 2019.</w:t>
      </w:r>
    </w:p>
  </w:footnote>
  <w:footnote w:id="48">
    <w:p w:rsidR="00882D23" w:rsidRDefault="000F7DD2">
      <w:pPr>
        <w:pStyle w:val="FootnoteText"/>
        <w:spacing w:after="0" w:line="240" w:lineRule="auto"/>
        <w:ind w:left="380" w:hanging="380"/>
        <w:contextualSpacing/>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r>
      <w:r>
        <w:rPr>
          <w:rFonts w:ascii="Times New Roman" w:hAnsi="Times New Roman"/>
        </w:rPr>
        <w:t>Per il periodo 2017-2022.</w:t>
      </w:r>
    </w:p>
  </w:footnote>
  <w:footnote w:id="49">
    <w:p w:rsidR="00882D23" w:rsidRDefault="000F7DD2">
      <w:pPr>
        <w:pStyle w:val="FootnoteText"/>
        <w:spacing w:after="0" w:line="240" w:lineRule="auto"/>
        <w:ind w:left="380" w:hanging="380"/>
        <w:contextualSpacing/>
        <w:jc w:val="both"/>
        <w:rPr>
          <w:sz w:val="18"/>
          <w:szCs w:val="18"/>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Ad esempio reazioni di condanna delle dichiarazioni del presidente del Parlamento europeo che aveva criticato le misure preventive adottate dalla sezione speciale incaricata di indagare su magistrati con cui si era impedito all</w:t>
      </w:r>
      <w:r>
        <w:rPr>
          <w:rFonts w:ascii="Times New Roman" w:hAnsi="Times New Roman"/>
        </w:rPr>
        <w:t>a candidata alla Procura europea di partecipare all'audizione presso il Parlamento europeo; e del presidente della Romania che nell'agosto 2019 aveva respinto la nomina del candidato ministro della Giustizia proposto dal primo ministro.</w:t>
      </w:r>
    </w:p>
  </w:footnote>
  <w:footnote w:id="50">
    <w:p w:rsidR="00882D23" w:rsidRDefault="000F7DD2">
      <w:pPr>
        <w:pStyle w:val="FootnoteText"/>
        <w:tabs>
          <w:tab w:val="left" w:pos="284"/>
        </w:tabs>
        <w:spacing w:after="0" w:line="240" w:lineRule="auto"/>
        <w:ind w:left="380" w:hanging="380"/>
        <w:contextualSpacing/>
        <w:jc w:val="both"/>
        <w:rPr>
          <w:rFonts w:ascii="Times New Roman" w:hAnsi="Times New Roman"/>
        </w:rPr>
      </w:pPr>
      <w:r>
        <w:rPr>
          <w:rFonts w:ascii="Times New Roman" w:hAnsi="Times New Roman"/>
          <w:vertAlign w:val="superscript"/>
        </w:rPr>
        <w:footnoteRef/>
      </w:r>
      <w:r>
        <w:rPr>
          <w:rFonts w:ascii="Times New Roman" w:hAnsi="Times New Roman"/>
        </w:rPr>
        <w:t xml:space="preserve"> </w:t>
      </w:r>
      <w:r>
        <w:rPr>
          <w:rFonts w:ascii="Times New Roman" w:hAnsi="Times New Roman"/>
        </w:rPr>
        <w:tab/>
        <w:t>Si veda la relaz</w:t>
      </w:r>
      <w:r>
        <w:rPr>
          <w:rFonts w:ascii="Times New Roman" w:hAnsi="Times New Roman"/>
        </w:rPr>
        <w:t>ione tecnica - Secondo parametro di riferimento.</w:t>
      </w:r>
    </w:p>
  </w:footnote>
  <w:footnote w:id="51">
    <w:p w:rsidR="00882D23" w:rsidRDefault="000F7DD2">
      <w:pPr>
        <w:pStyle w:val="FootnoteText"/>
        <w:spacing w:after="0" w:line="240" w:lineRule="auto"/>
        <w:ind w:left="380" w:hanging="380"/>
        <w:contextualSpacing/>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CDL-AD (2014) 011.</w:t>
      </w:r>
    </w:p>
  </w:footnote>
  <w:footnote w:id="52">
    <w:p w:rsidR="00882D23" w:rsidRDefault="000F7DD2">
      <w:pPr>
        <w:pStyle w:val="FootnoteText"/>
        <w:tabs>
          <w:tab w:val="left" w:pos="0"/>
        </w:tabs>
        <w:spacing w:after="0" w:line="240" w:lineRule="auto"/>
        <w:ind w:left="380" w:hanging="380"/>
        <w:contextualSpacing/>
        <w:jc w:val="both"/>
        <w:rPr>
          <w:rFonts w:ascii="Times New Roman" w:hAnsi="Times New Roman"/>
        </w:rPr>
      </w:pPr>
      <w:r>
        <w:rPr>
          <w:rFonts w:ascii="Times New Roman" w:hAnsi="Times New Roman"/>
          <w:vertAlign w:val="superscript"/>
        </w:rPr>
        <w:footnoteRef/>
      </w:r>
      <w:r>
        <w:rPr>
          <w:rFonts w:ascii="Times New Roman" w:hAnsi="Times New Roman"/>
        </w:rPr>
        <w:t xml:space="preserve"> </w:t>
      </w:r>
      <w:r>
        <w:rPr>
          <w:rFonts w:ascii="Times New Roman" w:hAnsi="Times New Roman"/>
        </w:rPr>
        <w:tab/>
        <w:t>I risultati conseguiti dalle istituzioni sono illustrati nella relazione tecnica.</w:t>
      </w:r>
    </w:p>
  </w:footnote>
  <w:footnote w:id="53">
    <w:p w:rsidR="00882D23" w:rsidRDefault="000F7DD2">
      <w:pPr>
        <w:pStyle w:val="FootnoteText"/>
        <w:spacing w:after="0" w:line="240" w:lineRule="auto"/>
        <w:ind w:left="380" w:hanging="380"/>
        <w:contextualSpacing/>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Si vedano il primo e il terzo parametro di riferimento.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D23" w:rsidRDefault="00882D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D23" w:rsidRDefault="00882D23">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D23" w:rsidRDefault="00882D23">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D23" w:rsidRDefault="00882D2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D23" w:rsidRDefault="00882D2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D23" w:rsidRDefault="00882D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E3851"/>
    <w:multiLevelType w:val="hybridMultilevel"/>
    <w:tmpl w:val="690459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9C0315"/>
    <w:multiLevelType w:val="hybridMultilevel"/>
    <w:tmpl w:val="7D7A33D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0B56E7"/>
    <w:multiLevelType w:val="hybridMultilevel"/>
    <w:tmpl w:val="A9860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07692D"/>
    <w:multiLevelType w:val="hybridMultilevel"/>
    <w:tmpl w:val="DF3C9F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CC43D57"/>
    <w:multiLevelType w:val="hybridMultilevel"/>
    <w:tmpl w:val="FAF065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3770F83"/>
    <w:multiLevelType w:val="hybridMultilevel"/>
    <w:tmpl w:val="690A0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0B3E6B"/>
    <w:multiLevelType w:val="hybridMultilevel"/>
    <w:tmpl w:val="EE2CC4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8A252E1"/>
    <w:multiLevelType w:val="hybridMultilevel"/>
    <w:tmpl w:val="F2622C8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7366EE"/>
    <w:multiLevelType w:val="hybridMultilevel"/>
    <w:tmpl w:val="6A0815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65D2B46"/>
    <w:multiLevelType w:val="hybridMultilevel"/>
    <w:tmpl w:val="8F600044"/>
    <w:lvl w:ilvl="0" w:tplc="903CBA98">
      <w:numFmt w:val="bullet"/>
      <w:lvlText w:val="•"/>
      <w:lvlJc w:val="left"/>
      <w:pPr>
        <w:ind w:left="720" w:hanging="720"/>
      </w:pPr>
      <w:rPr>
        <w:rFonts w:ascii="Times New Roman" w:eastAsia="Calibri"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4BBE03C6"/>
    <w:multiLevelType w:val="hybridMultilevel"/>
    <w:tmpl w:val="A086A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400B5F"/>
    <w:multiLevelType w:val="hybridMultilevel"/>
    <w:tmpl w:val="BA2A8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A217BB"/>
    <w:multiLevelType w:val="hybridMultilevel"/>
    <w:tmpl w:val="2D6E1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6404E55"/>
    <w:multiLevelType w:val="hybridMultilevel"/>
    <w:tmpl w:val="9EFEE4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0"/>
  </w:num>
  <w:num w:numId="4">
    <w:abstractNumId w:val="2"/>
  </w:num>
  <w:num w:numId="5">
    <w:abstractNumId w:val="11"/>
  </w:num>
  <w:num w:numId="6">
    <w:abstractNumId w:val="10"/>
  </w:num>
  <w:num w:numId="7">
    <w:abstractNumId w:val="5"/>
  </w:num>
  <w:num w:numId="8">
    <w:abstractNumId w:val="3"/>
  </w:num>
  <w:num w:numId="9">
    <w:abstractNumId w:val="7"/>
  </w:num>
  <w:num w:numId="10">
    <w:abstractNumId w:val="6"/>
  </w:num>
  <w:num w:numId="11">
    <w:abstractNumId w:val="8"/>
  </w:num>
  <w:num w:numId="12">
    <w:abstractNumId w:val="1"/>
  </w:num>
  <w:num w:numId="13">
    <w:abstractNumId w:val="1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hideGrammaticalErrors/>
  <w:activeWritingStyle w:appName="MSWord" w:lang="pt-PT"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it-IT" w:vendorID="64" w:dllVersion="131078" w:nlCheck="1" w:checkStyle="0"/>
  <w:defaultTabStop w:val="720"/>
  <w:hyphenationZone w:val="283"/>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C0506351-4F11-4E86-88D1-D45B01544128"/>
    <w:docVar w:name="LW_COVERPAGE_TYPE" w:val="1"/>
    <w:docVar w:name="LW_CROSSREFERENCE" w:val="{SWD(2019) 393 final}"/>
    <w:docVar w:name="LW_DocType" w:val="NORMAL"/>
    <w:docVar w:name="LW_EMISSION" w:val="22.10.2019"/>
    <w:docVar w:name="LW_EMISSION_ISODATE" w:val="2019-10-22"/>
    <w:docVar w:name="LW_EMISSION_LOCATION" w:val="BRX"/>
    <w:docVar w:name="LW_EMISSION_PREFIX" w:val="Bruxelles, "/>
    <w:docVar w:name="LW_EMISSION_SUFFIX" w:val=" "/>
    <w:docVar w:name="LW_ID_DOCTYPE_NONLW" w:val="CP-006"/>
    <w:docVar w:name="LW_LANGUE" w:val="IT"/>
    <w:docVar w:name="LW_LEVEL_OF_SENSITIVITY" w:val="Standard treatment"/>
    <w:docVar w:name="LW_NOM.INST" w:val="COMMISSIONE EUROPEA"/>
    <w:docVar w:name="LW_NOM.INST_JOINTDOC" w:val="&lt;EMPTY&gt;"/>
    <w:docVar w:name="LW_PART_NBR" w:val="1"/>
    <w:docVar w:name="LW_PART_NBR_TOTAL" w:val="1"/>
    <w:docVar w:name="LW_REF.INST.NEW" w:val="COM"/>
    <w:docVar w:name="LW_REF.INST.NEW_ADOPTED" w:val="final"/>
    <w:docVar w:name="LW_REF.INST.NEW_TEXT" w:val="(2019) 499"/>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OUS.TITRE.OBJ.CP" w:val="&lt;UNUSED&gt;"/>
    <w:docVar w:name="LW_SUPERTITRE" w:val="&lt;UNUSED&gt;"/>
    <w:docVar w:name="LW_TITRE.OBJ.CP" w:val="sui progressi compiuti dalla Romania nel quadro del meccanismo di cooperazione e verifica "/>
    <w:docVar w:name="LW_TYPE.DOC.CP" w:val="RELAZIONE DELLA COMMISSIONE AL PARLAMENTO EUROPEO E AL CONSIGLIO"/>
  </w:docVars>
  <w:rsids>
    <w:rsidRoot w:val="00882D23"/>
    <w:rsid w:val="000F7DD2"/>
    <w:rsid w:val="00882D2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4FC5342B-73F3-48D5-B33F-DCF648302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it-IT"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autoSpaceDE w:val="0"/>
      <w:autoSpaceDN w:val="0"/>
      <w:adjustRightInd w:val="0"/>
    </w:pPr>
    <w:rPr>
      <w:rFonts w:ascii="Times New Roman" w:hAnsi="Times New Roman"/>
      <w:color w:val="000000"/>
      <w:sz w:val="24"/>
      <w:szCs w:val="24"/>
    </w:rPr>
  </w:style>
  <w:style w:type="paragraph" w:styleId="FootnoteText">
    <w:name w:val="footnote text"/>
    <w:basedOn w:val="Normal"/>
    <w:link w:val="FootnoteTextChar"/>
    <w:uiPriority w:val="99"/>
    <w:unhideWhenUsed/>
    <w:rPr>
      <w:sz w:val="20"/>
      <w:szCs w:val="20"/>
    </w:rPr>
  </w:style>
  <w:style w:type="character" w:customStyle="1" w:styleId="FootnoteTextChar">
    <w:name w:val="Footnote Text Char"/>
    <w:link w:val="FootnoteText"/>
    <w:uiPriority w:val="99"/>
    <w:rPr>
      <w:lang w:eastAsia="en-US"/>
    </w:rPr>
  </w:style>
  <w:style w:type="paragraph" w:customStyle="1" w:styleId="Pagedecouverture">
    <w:name w:val="Page de couverture"/>
    <w:basedOn w:val="Normal"/>
    <w:next w:val="Normal"/>
    <w:pPr>
      <w:spacing w:after="0" w:line="240" w:lineRule="auto"/>
      <w:jc w:val="both"/>
    </w:pPr>
    <w:rPr>
      <w:rFonts w:ascii="Times New Roman" w:hAnsi="Times New Roman"/>
      <w:sz w:val="24"/>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eastAsia="en-US"/>
    </w:rPr>
  </w:style>
  <w:style w:type="character" w:customStyle="1" w:styleId="Marker">
    <w:name w:val="Marker"/>
    <w:rPr>
      <w:color w:val="0000FF"/>
      <w:shd w:val="clear" w:color="auto" w:fill="auto"/>
    </w:rPr>
  </w:style>
  <w:style w:type="paragraph" w:styleId="Header">
    <w:name w:val="header"/>
    <w:basedOn w:val="Normal"/>
    <w:link w:val="HeaderChar"/>
    <w:uiPriority w:val="99"/>
    <w:unhideWhenUsed/>
    <w:pPr>
      <w:tabs>
        <w:tab w:val="center" w:pos="4535"/>
        <w:tab w:val="right" w:pos="9071"/>
      </w:tabs>
      <w:spacing w:after="120" w:line="240" w:lineRule="auto"/>
      <w:jc w:val="both"/>
    </w:pPr>
    <w:rPr>
      <w:rFonts w:ascii="Times New Roman" w:eastAsiaTheme="minorHAnsi" w:hAnsi="Times New Roman"/>
      <w:sz w:val="24"/>
    </w:rPr>
  </w:style>
  <w:style w:type="character" w:customStyle="1" w:styleId="HeaderChar">
    <w:name w:val="Header Char"/>
    <w:basedOn w:val="DefaultParagraphFont"/>
    <w:link w:val="Header"/>
    <w:uiPriority w:val="99"/>
    <w:rPr>
      <w:rFonts w:ascii="Times New Roman" w:eastAsiaTheme="minorHAnsi" w:hAnsi="Times New Roman"/>
      <w:sz w:val="24"/>
      <w:szCs w:val="22"/>
      <w:lang w:eastAsia="en-US"/>
    </w:rPr>
  </w:style>
  <w:style w:type="paragraph" w:styleId="Footer">
    <w:name w:val="footer"/>
    <w:basedOn w:val="Normal"/>
    <w:link w:val="FooterChar"/>
    <w:uiPriority w:val="99"/>
    <w:unhideWhenUsed/>
    <w:pPr>
      <w:tabs>
        <w:tab w:val="center" w:pos="4535"/>
        <w:tab w:val="right" w:pos="9071"/>
        <w:tab w:val="right" w:pos="9921"/>
      </w:tabs>
      <w:spacing w:before="360" w:after="0" w:line="240" w:lineRule="auto"/>
      <w:ind w:left="-850" w:right="-850"/>
    </w:pPr>
    <w:rPr>
      <w:rFonts w:ascii="Times New Roman" w:eastAsiaTheme="minorHAnsi" w:hAnsi="Times New Roman"/>
      <w:sz w:val="24"/>
    </w:rPr>
  </w:style>
  <w:style w:type="character" w:customStyle="1" w:styleId="FooterChar">
    <w:name w:val="Footer Char"/>
    <w:basedOn w:val="DefaultParagraphFont"/>
    <w:link w:val="Footer"/>
    <w:uiPriority w:val="99"/>
    <w:rPr>
      <w:rFonts w:ascii="Times New Roman" w:eastAsiaTheme="minorHAnsi" w:hAnsi="Times New Roman"/>
      <w:sz w:val="24"/>
      <w:szCs w:val="22"/>
      <w:lang w:eastAsia="en-US"/>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sz w:val="24"/>
    </w:rPr>
  </w:style>
  <w:style w:type="character" w:customStyle="1" w:styleId="FooterCoverPageChar">
    <w:name w:val="Footer Cover Page Char"/>
    <w:link w:val="FooterCoverPage"/>
    <w:rPr>
      <w:rFonts w:ascii="Times New Roman" w:hAnsi="Times New Roman"/>
      <w:sz w:val="24"/>
      <w:szCs w:val="22"/>
      <w:lang w:eastAsia="en-US"/>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sz w:val="24"/>
    </w:rPr>
  </w:style>
  <w:style w:type="character" w:customStyle="1" w:styleId="HeaderCoverPageChar">
    <w:name w:val="Header Cover Page Char"/>
    <w:link w:val="HeaderCoverPage"/>
    <w:rPr>
      <w:rFonts w:ascii="Times New Roman" w:hAnsi="Times New Roman"/>
      <w:sz w:val="24"/>
      <w:szCs w:val="22"/>
      <w:lang w:eastAsia="en-US"/>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link w:val="CommentText"/>
    <w:uiPriority w:val="99"/>
    <w:semiHidden/>
    <w:rPr>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lang w:eastAsia="en-US"/>
    </w:rPr>
  </w:style>
  <w:style w:type="paragraph" w:styleId="PlainText">
    <w:name w:val="Plain Text"/>
    <w:basedOn w:val="Normal"/>
    <w:link w:val="PlainTextChar"/>
    <w:uiPriority w:val="99"/>
    <w:unhideWhenUsed/>
    <w:pPr>
      <w:spacing w:after="0" w:line="240" w:lineRule="auto"/>
    </w:pPr>
    <w:rPr>
      <w:rFonts w:eastAsia="SimSun"/>
      <w:szCs w:val="21"/>
      <w:lang w:eastAsia="zh-TW"/>
    </w:rPr>
  </w:style>
  <w:style w:type="character" w:customStyle="1" w:styleId="PlainTextChar">
    <w:name w:val="Plain Text Char"/>
    <w:link w:val="PlainText"/>
    <w:uiPriority w:val="99"/>
    <w:rPr>
      <w:rFonts w:eastAsia="SimSun"/>
      <w:sz w:val="22"/>
      <w:szCs w:val="21"/>
      <w:lang w:val="it-IT" w:eastAsia="zh-TW"/>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rPr>
      <w:rFonts w:eastAsia="SimSun"/>
    </w:rPr>
  </w:style>
  <w:style w:type="paragraph" w:styleId="Revision">
    <w:name w:val="Revision"/>
    <w:hidden/>
    <w:uiPriority w:val="99"/>
    <w:semiHidden/>
    <w:rPr>
      <w:sz w:val="22"/>
      <w:szCs w:val="22"/>
      <w:lang w:eastAsia="en-US"/>
    </w:rPr>
  </w:style>
  <w:style w:type="paragraph" w:customStyle="1" w:styleId="Declassification">
    <w:name w:val="Declassification"/>
    <w:basedOn w:val="Normal"/>
    <w:next w:val="Normal"/>
    <w:pPr>
      <w:spacing w:after="0" w:line="240" w:lineRule="auto"/>
      <w:jc w:val="both"/>
    </w:pPr>
    <w:rPr>
      <w:rFonts w:ascii="Times New Roman" w:eastAsiaTheme="minorHAnsi" w:hAnsi="Times New Roman"/>
      <w:sz w:val="24"/>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eastAsiaTheme="minorHAnsi" w:hAnsi="Times New Roman"/>
      <w:sz w:val="24"/>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b/>
      <w:sz w:val="32"/>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eastAsiaTheme="minorHAnsi" w:hAnsi="Times New Roman"/>
      <w:sz w:val="24"/>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b/>
      <w:sz w:val="32"/>
    </w:rPr>
  </w:style>
  <w:style w:type="paragraph" w:customStyle="1" w:styleId="Body">
    <w:name w:val="Body"/>
    <w:pPr>
      <w:pBdr>
        <w:top w:val="nil"/>
        <w:left w:val="nil"/>
        <w:bottom w:val="nil"/>
        <w:right w:val="nil"/>
        <w:between w:val="nil"/>
        <w:bar w:val="nil"/>
      </w:pBdr>
      <w:spacing w:after="200" w:line="276" w:lineRule="auto"/>
    </w:pPr>
    <w:rPr>
      <w:rFonts w:cs="Calibri"/>
      <w:color w:val="000000"/>
      <w:sz w:val="22"/>
      <w:szCs w:val="22"/>
      <w:u w:color="000000"/>
      <w:bdr w:val="nil"/>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qFormat/>
    <w:rPr>
      <w:vertAlign w:val="superscript"/>
    </w:rPr>
  </w:style>
  <w:style w:type="paragraph" w:customStyle="1" w:styleId="SecurityMarking">
    <w:name w:val="SecurityMarking"/>
    <w:basedOn w:val="Normal"/>
    <w:pPr>
      <w:spacing w:after="0"/>
      <w:ind w:left="5103"/>
    </w:pPr>
    <w:rPr>
      <w:rFonts w:ascii="Times New Roman" w:eastAsiaTheme="minorHAnsi" w:hAnsi="Times New Roman"/>
      <w:sz w:val="28"/>
    </w:rPr>
  </w:style>
  <w:style w:type="paragraph" w:customStyle="1" w:styleId="DateMarking">
    <w:name w:val="DateMarking"/>
    <w:basedOn w:val="Normal"/>
    <w:pPr>
      <w:spacing w:after="0"/>
      <w:ind w:left="5103"/>
    </w:pPr>
    <w:rPr>
      <w:rFonts w:ascii="Times New Roman" w:eastAsiaTheme="minorHAnsi" w:hAnsi="Times New Roman"/>
      <w:i/>
      <w:sz w:val="28"/>
    </w:rPr>
  </w:style>
  <w:style w:type="paragraph" w:customStyle="1" w:styleId="ReleasableTo">
    <w:name w:val="ReleasableTo"/>
    <w:basedOn w:val="Normal"/>
    <w:pPr>
      <w:spacing w:after="0"/>
      <w:ind w:left="5103"/>
    </w:pPr>
    <w:rPr>
      <w:rFonts w:ascii="Times New Roman" w:eastAsiaTheme="minorHAnsi" w:hAnsi="Times New Roman"/>
      <w:i/>
      <w:sz w:val="28"/>
    </w:rPr>
  </w:style>
  <w:style w:type="paragraph" w:customStyle="1" w:styleId="HeaderSensitivityRight">
    <w:name w:val="Header Sensitivity Right"/>
    <w:basedOn w:val="Normal"/>
    <w:pPr>
      <w:spacing w:after="120" w:line="240" w:lineRule="auto"/>
      <w:jc w:val="right"/>
    </w:pPr>
    <w:rPr>
      <w:rFonts w:ascii="Times New Roman" w:hAnsi="Times New Roman"/>
      <w:sz w:val="28"/>
    </w:rPr>
  </w:style>
  <w:style w:type="paragraph" w:customStyle="1" w:styleId="Typedudocument">
    <w:name w:val="Type du document"/>
    <w:basedOn w:val="Normal"/>
    <w:next w:val="Normal"/>
    <w:pPr>
      <w:spacing w:before="360" w:after="0" w:line="240" w:lineRule="auto"/>
      <w:jc w:val="center"/>
    </w:pPr>
    <w:rPr>
      <w:rFonts w:ascii="Times New Roman" w:eastAsiaTheme="minorHAnsi" w:hAnsi="Times New Roman"/>
      <w:b/>
      <w:sz w:val="24"/>
    </w:rPr>
  </w:style>
  <w:style w:type="paragraph" w:customStyle="1" w:styleId="Titreobjet">
    <w:name w:val="Titre objet"/>
    <w:basedOn w:val="Normal"/>
    <w:next w:val="Normal"/>
    <w:pPr>
      <w:spacing w:before="360" w:after="360" w:line="240" w:lineRule="auto"/>
      <w:jc w:val="center"/>
    </w:pPr>
    <w:rPr>
      <w:rFonts w:ascii="Times New Roman" w:eastAsiaTheme="minorHAnsi" w:hAnsi="Times New Roman"/>
      <w:b/>
      <w:sz w:val="24"/>
    </w:rPr>
  </w:style>
  <w:style w:type="character" w:styleId="FollowedHyperlink">
    <w:name w:val="FollowedHyperlink"/>
    <w:basedOn w:val="DefaultParagraphFont"/>
    <w:uiPriority w:val="99"/>
    <w:semiHidden/>
    <w:unhideWhenUs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811618">
      <w:bodyDiv w:val="1"/>
      <w:marLeft w:val="0"/>
      <w:marRight w:val="0"/>
      <w:marTop w:val="0"/>
      <w:marBottom w:val="0"/>
      <w:divBdr>
        <w:top w:val="none" w:sz="0" w:space="0" w:color="auto"/>
        <w:left w:val="none" w:sz="0" w:space="0" w:color="auto"/>
        <w:bottom w:val="none" w:sz="0" w:space="0" w:color="auto"/>
        <w:right w:val="none" w:sz="0" w:space="0" w:color="auto"/>
      </w:divBdr>
    </w:div>
    <w:div w:id="307638370">
      <w:bodyDiv w:val="1"/>
      <w:marLeft w:val="0"/>
      <w:marRight w:val="0"/>
      <w:marTop w:val="0"/>
      <w:marBottom w:val="0"/>
      <w:divBdr>
        <w:top w:val="none" w:sz="0" w:space="0" w:color="auto"/>
        <w:left w:val="none" w:sz="0" w:space="0" w:color="auto"/>
        <w:bottom w:val="none" w:sz="0" w:space="0" w:color="auto"/>
        <w:right w:val="none" w:sz="0" w:space="0" w:color="auto"/>
      </w:divBdr>
    </w:div>
    <w:div w:id="344674016">
      <w:bodyDiv w:val="1"/>
      <w:marLeft w:val="0"/>
      <w:marRight w:val="0"/>
      <w:marTop w:val="0"/>
      <w:marBottom w:val="0"/>
      <w:divBdr>
        <w:top w:val="none" w:sz="0" w:space="0" w:color="auto"/>
        <w:left w:val="none" w:sz="0" w:space="0" w:color="auto"/>
        <w:bottom w:val="none" w:sz="0" w:space="0" w:color="auto"/>
        <w:right w:val="none" w:sz="0" w:space="0" w:color="auto"/>
      </w:divBdr>
    </w:div>
    <w:div w:id="381104645">
      <w:bodyDiv w:val="1"/>
      <w:marLeft w:val="0"/>
      <w:marRight w:val="0"/>
      <w:marTop w:val="0"/>
      <w:marBottom w:val="0"/>
      <w:divBdr>
        <w:top w:val="none" w:sz="0" w:space="0" w:color="auto"/>
        <w:left w:val="none" w:sz="0" w:space="0" w:color="auto"/>
        <w:bottom w:val="none" w:sz="0" w:space="0" w:color="auto"/>
        <w:right w:val="none" w:sz="0" w:space="0" w:color="auto"/>
      </w:divBdr>
    </w:div>
    <w:div w:id="453644457">
      <w:bodyDiv w:val="1"/>
      <w:marLeft w:val="0"/>
      <w:marRight w:val="0"/>
      <w:marTop w:val="0"/>
      <w:marBottom w:val="0"/>
      <w:divBdr>
        <w:top w:val="none" w:sz="0" w:space="0" w:color="auto"/>
        <w:left w:val="none" w:sz="0" w:space="0" w:color="auto"/>
        <w:bottom w:val="none" w:sz="0" w:space="0" w:color="auto"/>
        <w:right w:val="none" w:sz="0" w:space="0" w:color="auto"/>
      </w:divBdr>
    </w:div>
    <w:div w:id="601567382">
      <w:bodyDiv w:val="1"/>
      <w:marLeft w:val="0"/>
      <w:marRight w:val="0"/>
      <w:marTop w:val="0"/>
      <w:marBottom w:val="0"/>
      <w:divBdr>
        <w:top w:val="none" w:sz="0" w:space="0" w:color="auto"/>
        <w:left w:val="none" w:sz="0" w:space="0" w:color="auto"/>
        <w:bottom w:val="none" w:sz="0" w:space="0" w:color="auto"/>
        <w:right w:val="none" w:sz="0" w:space="0" w:color="auto"/>
      </w:divBdr>
    </w:div>
    <w:div w:id="606276243">
      <w:bodyDiv w:val="1"/>
      <w:marLeft w:val="0"/>
      <w:marRight w:val="0"/>
      <w:marTop w:val="0"/>
      <w:marBottom w:val="0"/>
      <w:divBdr>
        <w:top w:val="none" w:sz="0" w:space="0" w:color="auto"/>
        <w:left w:val="none" w:sz="0" w:space="0" w:color="auto"/>
        <w:bottom w:val="none" w:sz="0" w:space="0" w:color="auto"/>
        <w:right w:val="none" w:sz="0" w:space="0" w:color="auto"/>
      </w:divBdr>
    </w:div>
    <w:div w:id="608969553">
      <w:bodyDiv w:val="1"/>
      <w:marLeft w:val="0"/>
      <w:marRight w:val="0"/>
      <w:marTop w:val="0"/>
      <w:marBottom w:val="0"/>
      <w:divBdr>
        <w:top w:val="none" w:sz="0" w:space="0" w:color="auto"/>
        <w:left w:val="none" w:sz="0" w:space="0" w:color="auto"/>
        <w:bottom w:val="none" w:sz="0" w:space="0" w:color="auto"/>
        <w:right w:val="none" w:sz="0" w:space="0" w:color="auto"/>
      </w:divBdr>
    </w:div>
    <w:div w:id="617226997">
      <w:bodyDiv w:val="1"/>
      <w:marLeft w:val="0"/>
      <w:marRight w:val="0"/>
      <w:marTop w:val="0"/>
      <w:marBottom w:val="0"/>
      <w:divBdr>
        <w:top w:val="none" w:sz="0" w:space="0" w:color="auto"/>
        <w:left w:val="none" w:sz="0" w:space="0" w:color="auto"/>
        <w:bottom w:val="none" w:sz="0" w:space="0" w:color="auto"/>
        <w:right w:val="none" w:sz="0" w:space="0" w:color="auto"/>
      </w:divBdr>
    </w:div>
    <w:div w:id="886795807">
      <w:bodyDiv w:val="1"/>
      <w:marLeft w:val="0"/>
      <w:marRight w:val="0"/>
      <w:marTop w:val="0"/>
      <w:marBottom w:val="0"/>
      <w:divBdr>
        <w:top w:val="none" w:sz="0" w:space="0" w:color="auto"/>
        <w:left w:val="none" w:sz="0" w:space="0" w:color="auto"/>
        <w:bottom w:val="none" w:sz="0" w:space="0" w:color="auto"/>
        <w:right w:val="none" w:sz="0" w:space="0" w:color="auto"/>
      </w:divBdr>
    </w:div>
    <w:div w:id="909924317">
      <w:bodyDiv w:val="1"/>
      <w:marLeft w:val="0"/>
      <w:marRight w:val="0"/>
      <w:marTop w:val="0"/>
      <w:marBottom w:val="0"/>
      <w:divBdr>
        <w:top w:val="none" w:sz="0" w:space="0" w:color="auto"/>
        <w:left w:val="none" w:sz="0" w:space="0" w:color="auto"/>
        <w:bottom w:val="none" w:sz="0" w:space="0" w:color="auto"/>
        <w:right w:val="none" w:sz="0" w:space="0" w:color="auto"/>
      </w:divBdr>
    </w:div>
    <w:div w:id="968976283">
      <w:bodyDiv w:val="1"/>
      <w:marLeft w:val="0"/>
      <w:marRight w:val="0"/>
      <w:marTop w:val="0"/>
      <w:marBottom w:val="0"/>
      <w:divBdr>
        <w:top w:val="none" w:sz="0" w:space="0" w:color="auto"/>
        <w:left w:val="none" w:sz="0" w:space="0" w:color="auto"/>
        <w:bottom w:val="none" w:sz="0" w:space="0" w:color="auto"/>
        <w:right w:val="none" w:sz="0" w:space="0" w:color="auto"/>
      </w:divBdr>
    </w:div>
    <w:div w:id="1000960405">
      <w:bodyDiv w:val="1"/>
      <w:marLeft w:val="0"/>
      <w:marRight w:val="0"/>
      <w:marTop w:val="0"/>
      <w:marBottom w:val="0"/>
      <w:divBdr>
        <w:top w:val="none" w:sz="0" w:space="0" w:color="auto"/>
        <w:left w:val="none" w:sz="0" w:space="0" w:color="auto"/>
        <w:bottom w:val="none" w:sz="0" w:space="0" w:color="auto"/>
        <w:right w:val="none" w:sz="0" w:space="0" w:color="auto"/>
      </w:divBdr>
    </w:div>
    <w:div w:id="1056513186">
      <w:bodyDiv w:val="1"/>
      <w:marLeft w:val="0"/>
      <w:marRight w:val="0"/>
      <w:marTop w:val="0"/>
      <w:marBottom w:val="0"/>
      <w:divBdr>
        <w:top w:val="none" w:sz="0" w:space="0" w:color="auto"/>
        <w:left w:val="none" w:sz="0" w:space="0" w:color="auto"/>
        <w:bottom w:val="none" w:sz="0" w:space="0" w:color="auto"/>
        <w:right w:val="none" w:sz="0" w:space="0" w:color="auto"/>
      </w:divBdr>
    </w:div>
    <w:div w:id="1079330659">
      <w:bodyDiv w:val="1"/>
      <w:marLeft w:val="0"/>
      <w:marRight w:val="0"/>
      <w:marTop w:val="0"/>
      <w:marBottom w:val="0"/>
      <w:divBdr>
        <w:top w:val="none" w:sz="0" w:space="0" w:color="auto"/>
        <w:left w:val="none" w:sz="0" w:space="0" w:color="auto"/>
        <w:bottom w:val="none" w:sz="0" w:space="0" w:color="auto"/>
        <w:right w:val="none" w:sz="0" w:space="0" w:color="auto"/>
      </w:divBdr>
    </w:div>
    <w:div w:id="1140417497">
      <w:bodyDiv w:val="1"/>
      <w:marLeft w:val="0"/>
      <w:marRight w:val="0"/>
      <w:marTop w:val="0"/>
      <w:marBottom w:val="0"/>
      <w:divBdr>
        <w:top w:val="none" w:sz="0" w:space="0" w:color="auto"/>
        <w:left w:val="none" w:sz="0" w:space="0" w:color="auto"/>
        <w:bottom w:val="none" w:sz="0" w:space="0" w:color="auto"/>
        <w:right w:val="none" w:sz="0" w:space="0" w:color="auto"/>
      </w:divBdr>
    </w:div>
    <w:div w:id="1182671814">
      <w:bodyDiv w:val="1"/>
      <w:marLeft w:val="0"/>
      <w:marRight w:val="0"/>
      <w:marTop w:val="0"/>
      <w:marBottom w:val="0"/>
      <w:divBdr>
        <w:top w:val="none" w:sz="0" w:space="0" w:color="auto"/>
        <w:left w:val="none" w:sz="0" w:space="0" w:color="auto"/>
        <w:bottom w:val="none" w:sz="0" w:space="0" w:color="auto"/>
        <w:right w:val="none" w:sz="0" w:space="0" w:color="auto"/>
      </w:divBdr>
    </w:div>
    <w:div w:id="1211918705">
      <w:bodyDiv w:val="1"/>
      <w:marLeft w:val="0"/>
      <w:marRight w:val="0"/>
      <w:marTop w:val="0"/>
      <w:marBottom w:val="0"/>
      <w:divBdr>
        <w:top w:val="none" w:sz="0" w:space="0" w:color="auto"/>
        <w:left w:val="none" w:sz="0" w:space="0" w:color="auto"/>
        <w:bottom w:val="none" w:sz="0" w:space="0" w:color="auto"/>
        <w:right w:val="none" w:sz="0" w:space="0" w:color="auto"/>
      </w:divBdr>
    </w:div>
    <w:div w:id="1247576016">
      <w:bodyDiv w:val="1"/>
      <w:marLeft w:val="0"/>
      <w:marRight w:val="0"/>
      <w:marTop w:val="0"/>
      <w:marBottom w:val="0"/>
      <w:divBdr>
        <w:top w:val="none" w:sz="0" w:space="0" w:color="auto"/>
        <w:left w:val="none" w:sz="0" w:space="0" w:color="auto"/>
        <w:bottom w:val="none" w:sz="0" w:space="0" w:color="auto"/>
        <w:right w:val="none" w:sz="0" w:space="0" w:color="auto"/>
      </w:divBdr>
    </w:div>
    <w:div w:id="1277716144">
      <w:bodyDiv w:val="1"/>
      <w:marLeft w:val="0"/>
      <w:marRight w:val="0"/>
      <w:marTop w:val="0"/>
      <w:marBottom w:val="0"/>
      <w:divBdr>
        <w:top w:val="none" w:sz="0" w:space="0" w:color="auto"/>
        <w:left w:val="none" w:sz="0" w:space="0" w:color="auto"/>
        <w:bottom w:val="none" w:sz="0" w:space="0" w:color="auto"/>
        <w:right w:val="none" w:sz="0" w:space="0" w:color="auto"/>
      </w:divBdr>
    </w:div>
    <w:div w:id="1281763777">
      <w:bodyDiv w:val="1"/>
      <w:marLeft w:val="0"/>
      <w:marRight w:val="0"/>
      <w:marTop w:val="0"/>
      <w:marBottom w:val="0"/>
      <w:divBdr>
        <w:top w:val="none" w:sz="0" w:space="0" w:color="auto"/>
        <w:left w:val="none" w:sz="0" w:space="0" w:color="auto"/>
        <w:bottom w:val="none" w:sz="0" w:space="0" w:color="auto"/>
        <w:right w:val="none" w:sz="0" w:space="0" w:color="auto"/>
      </w:divBdr>
    </w:div>
    <w:div w:id="1317302152">
      <w:bodyDiv w:val="1"/>
      <w:marLeft w:val="0"/>
      <w:marRight w:val="0"/>
      <w:marTop w:val="0"/>
      <w:marBottom w:val="0"/>
      <w:divBdr>
        <w:top w:val="none" w:sz="0" w:space="0" w:color="auto"/>
        <w:left w:val="none" w:sz="0" w:space="0" w:color="auto"/>
        <w:bottom w:val="none" w:sz="0" w:space="0" w:color="auto"/>
        <w:right w:val="none" w:sz="0" w:space="0" w:color="auto"/>
      </w:divBdr>
    </w:div>
    <w:div w:id="1579513600">
      <w:bodyDiv w:val="1"/>
      <w:marLeft w:val="0"/>
      <w:marRight w:val="0"/>
      <w:marTop w:val="0"/>
      <w:marBottom w:val="0"/>
      <w:divBdr>
        <w:top w:val="none" w:sz="0" w:space="0" w:color="auto"/>
        <w:left w:val="none" w:sz="0" w:space="0" w:color="auto"/>
        <w:bottom w:val="none" w:sz="0" w:space="0" w:color="auto"/>
        <w:right w:val="none" w:sz="0" w:space="0" w:color="auto"/>
      </w:divBdr>
    </w:div>
    <w:div w:id="2014408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venice.coe.int/webforms/documents/?pdf=CDL-AD(2019)014-e" TargetMode="External"/><Relationship Id="rId13" Type="http://schemas.openxmlformats.org/officeDocument/2006/relationships/hyperlink" Target="https://cursdeguvernare.ro/asociatia-initiativa-pentru-justitie-inspectia-judiciara-incearca-sa-i-intimideze-pe-magistratii-care-lupta-pentru-apararea-independentei-justitiei.html" TargetMode="External"/><Relationship Id="rId3" Type="http://schemas.openxmlformats.org/officeDocument/2006/relationships/hyperlink" Target="https://ec.europa.eu/info/files/progress-report-romania-2017-com-2017-751_en" TargetMode="External"/><Relationship Id="rId7" Type="http://schemas.openxmlformats.org/officeDocument/2006/relationships/hyperlink" Target="https://ec.europa.eu/commission/sites/beta-political/files/political-guidelines-next-commission_it.pdf" TargetMode="External"/><Relationship Id="rId12" Type="http://schemas.openxmlformats.org/officeDocument/2006/relationships/hyperlink" Target="http://portal.just.ro/36/SitePages/Dosar.aspx?id_dosar=200000000361685&amp;id_inst=36" TargetMode="External"/><Relationship Id="rId2" Type="http://schemas.openxmlformats.org/officeDocument/2006/relationships/hyperlink" Target="https://ec.europa.eu/info/files/progress-report-romania-2017-com-2017-44_en" TargetMode="External"/><Relationship Id="rId1" Type="http://schemas.openxmlformats.org/officeDocument/2006/relationships/hyperlink" Target="https://ec.europa.eu/info/sites/info/files/20171212-st15587_en.pdf" TargetMode="External"/><Relationship Id="rId6" Type="http://schemas.openxmlformats.org/officeDocument/2006/relationships/hyperlink" Target="https://ec.europa.eu/info/sites/info/files/2018-st15187_en.pdf" TargetMode="External"/><Relationship Id="rId11" Type="http://schemas.openxmlformats.org/officeDocument/2006/relationships/hyperlink" Target="http://www.inspectiajudiciara.ro/Download.aspx?guid=7c561595-2efe-4ce4-abd7-3150b5d52274|InfoCSM" TargetMode="External"/><Relationship Id="rId5" Type="http://schemas.openxmlformats.org/officeDocument/2006/relationships/hyperlink" Target="https://ec.europa.eu/info/sites/info/files/progress-report-romania-2018-com-2018-com-2018-851_en.pdf" TargetMode="External"/><Relationship Id="rId15" Type="http://schemas.openxmlformats.org/officeDocument/2006/relationships/hyperlink" Target="https://rm.coe.int/CoERMPublicCommonSearchServices/DisplayDCTMContent?documentId=09000016806dda63" TargetMode="External"/><Relationship Id="rId10" Type="http://schemas.openxmlformats.org/officeDocument/2006/relationships/hyperlink" Target="https://www.csm1909.ro/ViewFile.ashx?guid=38b70eb6-641a-4794-9109-e6805dfd778e|InfoCSM" TargetMode="External"/><Relationship Id="rId4" Type="http://schemas.openxmlformats.org/officeDocument/2006/relationships/hyperlink" Target="https://ec.europa.eu/info/sites/info/files/20171212-st15587_en.pdf" TargetMode="External"/><Relationship Id="rId9" Type="http://schemas.openxmlformats.org/officeDocument/2006/relationships/hyperlink" Target="https://www.csm1909.ro/ViewFile.ashx?guid=2be852a5-365b-44e2-990d-47696231789a|InfoCSM" TargetMode="External"/><Relationship Id="rId14" Type="http://schemas.openxmlformats.org/officeDocument/2006/relationships/hyperlink" Target="http://www.cdep.ro/pls/dic/site2015.page?id=10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7E481E-DF4F-41BC-9F9D-253185377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7207</Words>
  <Characters>50456</Characters>
  <Application>Microsoft Office Word</Application>
  <DocSecurity>0</DocSecurity>
  <Lines>655</Lines>
  <Paragraphs>149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57514</CharactersWithSpaces>
  <SharedDoc>false</SharedDoc>
  <HLinks>
    <vt:vector size="24" baseType="variant">
      <vt:variant>
        <vt:i4>3407895</vt:i4>
      </vt:variant>
      <vt:variant>
        <vt:i4>9</vt:i4>
      </vt:variant>
      <vt:variant>
        <vt:i4>0</vt:i4>
      </vt:variant>
      <vt:variant>
        <vt:i4>5</vt:i4>
      </vt:variant>
      <vt:variant>
        <vt:lpwstr>http://www.echr.coe.int/Documents/Guide_Art_6_ENG.pdf</vt:lpwstr>
      </vt:variant>
      <vt:variant>
        <vt:lpwstr/>
      </vt:variant>
      <vt:variant>
        <vt:i4>6946874</vt:i4>
      </vt:variant>
      <vt:variant>
        <vt:i4>6</vt:i4>
      </vt:variant>
      <vt:variant>
        <vt:i4>0</vt:i4>
      </vt:variant>
      <vt:variant>
        <vt:i4>5</vt:i4>
      </vt:variant>
      <vt:variant>
        <vt:lpwstr>http://ec.europa.eu/COMMFrontOffice/PublicOpinion/index.cfm/Survey/getSurveyDetail/instruments/FLASH/surveyKy/2084</vt:lpwstr>
      </vt:variant>
      <vt:variant>
        <vt:lpwstr/>
      </vt:variant>
      <vt:variant>
        <vt:i4>1441889</vt:i4>
      </vt:variant>
      <vt:variant>
        <vt:i4>3</vt:i4>
      </vt:variant>
      <vt:variant>
        <vt:i4>0</vt:i4>
      </vt:variant>
      <vt:variant>
        <vt:i4>5</vt:i4>
      </vt:variant>
      <vt:variant>
        <vt:lpwstr>https://search.coe.int/cm/Pages/result_details.aspx?ObjectId=09000016806d8adb</vt:lpwstr>
      </vt:variant>
      <vt:variant>
        <vt:lpwstr/>
      </vt:variant>
      <vt:variant>
        <vt:i4>7209018</vt:i4>
      </vt:variant>
      <vt:variant>
        <vt:i4>0</vt:i4>
      </vt:variant>
      <vt:variant>
        <vt:i4>0</vt:i4>
      </vt:variant>
      <vt:variant>
        <vt:i4>5</vt:i4>
      </vt:variant>
      <vt:variant>
        <vt:lpwstr>http://www.inscop.ro/wp-content/uploads/2016/04/INSCOP-raport-martie-2016-INCREDERE-INSTITUTII.pdf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18</cp:revision>
  <cp:lastPrinted>2019-10-21T07:08:00Z</cp:lastPrinted>
  <dcterms:created xsi:type="dcterms:W3CDTF">2019-10-25T12:20:00Z</dcterms:created>
  <dcterms:modified xsi:type="dcterms:W3CDTF">2019-10-28T09:43:00Z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Level of sensitivity">
    <vt:lpwstr>Standard treatment</vt:lpwstr>
  </property>
  <property fmtid="{D5CDD505-2E9C-101B-9397-08002B2CF9AE}" pid="6" name="Last edited using">
    <vt:lpwstr>LW 7.0, Build 20190717</vt:lpwstr>
  </property>
  <property fmtid="{D5CDD505-2E9C-101B-9397-08002B2CF9AE}" pid="7" name="Created using">
    <vt:lpwstr>LW 6.0.1, Build 20180503</vt:lpwstr>
  </property>
  <property fmtid="{D5CDD505-2E9C-101B-9397-08002B2CF9AE}" pid="8" name="CPTemplateID">
    <vt:lpwstr>CP-006</vt:lpwstr>
  </property>
  <property name="OP_sanitized" fmtid="{D5CDD505-2E9C-101B-9397-08002B2CF9AE}" pid="9">
    <vt:lpwstr>True</vt:lpwstr>
  </property>
</Properties>
</file>