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FDD6595ECFC49A7A061B0FC1C42BB7B" style="width:450.35pt;height:599.75pt">
            <v:imagedata r:id="rId9" o:title=""/>
          </v:shape>
        </w:pict>
      </w:r>
    </w:p>
    <w:bookmarkEnd w:id="0"/>
    <w:p>
      <w:pPr>
        <w:spacing w:line="240" w:lineRule="auto"/>
        <w:rPr>
          <w:rFonts w:ascii="Times New Roman" w:hAnsi="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tbl>
      <w:tblPr>
        <w:tblStyle w:val="TableGrid3"/>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line="240" w:lineRule="auto"/>
              <w:jc w:val="center"/>
              <w:rPr>
                <w:b/>
                <w:noProof/>
                <w:sz w:val="24"/>
                <w:szCs w:val="24"/>
              </w:rPr>
            </w:pPr>
            <w:bookmarkStart w:id="1" w:name="_Toc421891865"/>
            <w:bookmarkStart w:id="2" w:name="_GoBack"/>
            <w:bookmarkEnd w:id="2"/>
            <w:r>
              <w:rPr>
                <w:b/>
                <w:noProof/>
                <w:sz w:val="24"/>
              </w:rPr>
              <w:t>Scheda di sintesi</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line="240" w:lineRule="auto"/>
              <w:jc w:val="both"/>
              <w:rPr>
                <w:noProof/>
                <w:sz w:val="24"/>
                <w:szCs w:val="24"/>
              </w:rPr>
            </w:pPr>
            <w:r>
              <w:rPr>
                <w:noProof/>
                <w:color w:val="FFFFFF" w:themeColor="background1"/>
                <w:sz w:val="24"/>
              </w:rPr>
              <w:t>Valutazione d'impatto relativa alla proposta di regolamento sulle cartolarizzazioni</w:t>
            </w:r>
          </w:p>
        </w:tc>
      </w:tr>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A. Necessità di agire</w:t>
            </w:r>
          </w:p>
        </w:tc>
      </w:tr>
      <w:tr>
        <w:tc>
          <w:tcPr>
            <w:tcW w:w="10188" w:type="dxa"/>
            <w:tcBorders>
              <w:bottom w:val="single" w:sz="4" w:space="0" w:color="auto"/>
            </w:tcBorders>
            <w:shd w:val="clear" w:color="auto" w:fill="E0E0E0"/>
          </w:tcPr>
          <w:p>
            <w:pPr>
              <w:spacing w:before="60" w:after="60" w:line="240" w:lineRule="auto"/>
              <w:jc w:val="both"/>
              <w:rPr>
                <w:noProof/>
                <w:sz w:val="24"/>
                <w:szCs w:val="24"/>
              </w:rPr>
            </w:pPr>
            <w:r>
              <w:rPr>
                <w:b/>
                <w:noProof/>
                <w:sz w:val="24"/>
              </w:rPr>
              <w:t xml:space="preserve">Per quale motivo? Qual è il problema affrontato?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 xml:space="preserve">Prima della crisi il mercato delle cartolarizzazioni andava sempre più affermandosi come canale di finanziamento per l'economia europea. Anche durante la crisi ha ottenuto buoni risultati, con perdite solo trascurabili. A seguito della crisi, ha tuttavia subito il grave contraccolpo in termini di reputazione di pratiche e eventi verificatisi altrove, soprattutto negli USA. Si è quindi affermata tra gli investitori una percezione negativa sia della rischiosità delle cartolarizzazioni dell'UE sia della disciplina normativa applicabile, percezione derivante soprattutto dalle perdite registrate sui mercati statunitensi. Poiché queste perdite sui mercati statunitensi sono state esponenzialmente più elevate di quelle subite in Europa, la disciplina normativa applicabile penalizza le cartolarizzazioni dell'UE. </w:t>
            </w:r>
          </w:p>
          <w:p>
            <w:pPr>
              <w:spacing w:after="0" w:line="240" w:lineRule="auto"/>
              <w:jc w:val="both"/>
              <w:rPr>
                <w:noProof/>
                <w:sz w:val="24"/>
                <w:szCs w:val="24"/>
              </w:rPr>
            </w:pPr>
            <w:r>
              <w:rPr>
                <w:noProof/>
                <w:sz w:val="24"/>
              </w:rPr>
              <w:t xml:space="preserve">Percezione negativa e disciplina normativa hanno determinato uno stallo del mercato delle cartolarizzazioni nell'UE, con conseguente perdita di uno dei canali di finanziamento per l'economia dell'Unione. L'assenza di cartolarizzazioni limita la capacità delle banche di vendere attività. Di conseguenza, l'attuale necessità di ridurre l'indebitamento obbliga spesso le banche a contenere i bilancio riducendo l'offerta di credito. In un contesto, come quello europeo, in cui l'80% dell'intermediazione finanziaria passa per le banche, questa situazione ha ripercussioni pesanti sulla crescita: si assiste al protrarsi di una ripresa senza credito, che rallenta la crescita e la creazione di occupazione.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 xml:space="preserve">Qual è l'obiettivo di quest'iniziativa?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La finalità generale dell'iniziativa è rilanciare un mercato delle cartolarizzazioni sicuro che migliori il finanziamento dell'economia dell'UE, allenti a breve termine il legame tra riduzione dell'indebitamento delle banche e stretta creditizia e a lungo termine crei una struttura più equilibrata e stabile di finanziamento dell'economia dell'Unione. Nello specifico, il primo obiettivo è la differenziazione dei prodotti di cartolarizzazioni semplici, trasparenti e standardizzate (STS), in grado di offrire all'economia dell'UE un canale di finanziamento sostenibile, dalle altre tipologie più opache e complesse. Il secondo obiettivo è la standardizzazione delle procedure e pratiche seguite sui mercati della cartolarizzazione e il superamento delle incoerenze normative. Il grado di conseguimento dei due obiettivi sarà misurato in funzione della differenza di prezzo e di livello di emissione tra i prodotti STS e i prodotti non STS.</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Qual è il valore aggiunto dell'azione a livello dell'UE?</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I prodotti della cartolarizzazione costituiscono uno degli elementi dei mercati finanziari dell'UE, che sono aperti e integrati. La cartolarizzazione mette in collegamento enti finanziari diversi di Stati membri e paesi terzi diversi: spesso sono le banche a creare i crediti che vengono cartolarizzati, mentre ad investire in questi prodotti, attraverso le frontiere dell'Europa, sono enti finanziari quali le imprese di assicurazione e i fondi di investimento. Inoltre, poiché in materia di cartolarizzazioni il quadro regolamentare si fonda in gran parte sulla normativa dell'UE, i prodotti STS possono essere differenziati solo con un'iniziativa a livello di UE.</w:t>
            </w:r>
          </w:p>
        </w:tc>
      </w:tr>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B. Soluzioni</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Quali opzioni strategiche, di carattere legislativo e di altro tipo, sono state prese in considerazione?</w:t>
            </w:r>
            <w:r>
              <w:rPr>
                <w:noProof/>
                <w:sz w:val="24"/>
              </w:rPr>
              <w:t xml:space="preserve"> </w:t>
            </w:r>
            <w:r>
              <w:rPr>
                <w:b/>
                <w:noProof/>
                <w:sz w:val="24"/>
              </w:rPr>
              <w:t xml:space="preserve">È stata preferita un'opzione? Per quale motivo?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 xml:space="preserve">Sono state vagliate varie ipotesi d'intervento alternative per introduzione i criteri STS: adeguamento del quadro normativo per distinguere il diverso profilo di rischio dei prodotti STS e standardizzazione degli elementi fondanti della normativa in materia di cartolarizzazioni (ossia definizioni e obblighi d'informativa e di </w:t>
            </w:r>
            <w:r>
              <w:rPr>
                <w:i/>
                <w:noProof/>
                <w:sz w:val="24"/>
              </w:rPr>
              <w:t>due diligence</w:t>
            </w:r>
            <w:r>
              <w:rPr>
                <w:noProof/>
                <w:sz w:val="24"/>
              </w:rPr>
              <w:t xml:space="preserve">). Per ciascun elemento sono state prese in considerazione tre opzioni: mantenimento dello </w:t>
            </w:r>
            <w:r>
              <w:rPr>
                <w:i/>
                <w:noProof/>
                <w:sz w:val="24"/>
              </w:rPr>
              <w:t>status quo</w:t>
            </w:r>
            <w:r>
              <w:rPr>
                <w:noProof/>
                <w:sz w:val="24"/>
              </w:rPr>
              <w:t>, intervento extranormativo e intervento normativo.</w:t>
            </w:r>
          </w:p>
          <w:p>
            <w:pPr>
              <w:spacing w:after="0" w:line="240" w:lineRule="auto"/>
              <w:jc w:val="both"/>
              <w:rPr>
                <w:noProof/>
                <w:sz w:val="24"/>
                <w:szCs w:val="24"/>
              </w:rPr>
            </w:pPr>
            <w:r>
              <w:rPr>
                <w:noProof/>
                <w:sz w:val="24"/>
              </w:rPr>
              <w:t xml:space="preserve">L'opzione che è stata privilegiata è un intervento normativo che introduca criteri STS, differenzi il quadro normativo applicabile ai prodotti STS e standardizzi gli elementi fondanti della normativa in materia di cartolarizzazioni (ossia definizioni e obblighi d'informativa e di </w:t>
            </w:r>
            <w:r>
              <w:rPr>
                <w:i/>
                <w:noProof/>
                <w:sz w:val="24"/>
              </w:rPr>
              <w:t>due diligence</w:t>
            </w:r>
            <w:r>
              <w:rPr>
                <w:noProof/>
                <w:sz w:val="24"/>
              </w:rPr>
              <w:t xml:space="preserve">). Quest'opzione dovrebbe permettere la differenziazione ricercata e instaurare una disciplina normativa più sensibile al rischio rispetto a quella attuale. Dovrebbe altresì uniformare le disposizioni della normativa dell'UE sulle definizioni e sugli obblighi d'informativa e di </w:t>
            </w:r>
            <w:r>
              <w:rPr>
                <w:i/>
                <w:noProof/>
                <w:sz w:val="24"/>
              </w:rPr>
              <w:t>due diligence</w:t>
            </w:r>
            <w:r>
              <w:rPr>
                <w:noProof/>
                <w:sz w:val="24"/>
              </w:rPr>
              <w:t xml:space="preserve"> nel campo delle cartolarizzazioni, attualmente eterogenee. Questi interventi dovrebbero a loro volta fugare la percezione negativa e promuovere il rilancio di un mercato delle cartolarizzazioni sicuro e sostenibile.</w:t>
            </w:r>
          </w:p>
        </w:tc>
      </w:tr>
      <w:tr>
        <w:tc>
          <w:tcPr>
            <w:tcW w:w="10188" w:type="dxa"/>
            <w:shd w:val="clear" w:color="auto" w:fill="CCCCCC"/>
          </w:tcPr>
          <w:p>
            <w:pPr>
              <w:spacing w:before="60" w:after="0" w:line="240" w:lineRule="auto"/>
              <w:jc w:val="both"/>
              <w:rPr>
                <w:noProof/>
                <w:sz w:val="24"/>
                <w:szCs w:val="24"/>
              </w:rPr>
            </w:pPr>
            <w:r>
              <w:rPr>
                <w:b/>
                <w:noProof/>
                <w:sz w:val="24"/>
              </w:rPr>
              <w:t xml:space="preserve">Quali sono i sostenitori delle varie opzioni? </w:t>
            </w:r>
          </w:p>
        </w:tc>
      </w:tr>
      <w:tr>
        <w:tc>
          <w:tcPr>
            <w:tcW w:w="10188" w:type="dxa"/>
            <w:shd w:val="clear" w:color="auto" w:fill="auto"/>
          </w:tcPr>
          <w:p>
            <w:pPr>
              <w:spacing w:after="0" w:line="240" w:lineRule="auto"/>
              <w:jc w:val="both"/>
              <w:rPr>
                <w:noProof/>
                <w:sz w:val="24"/>
                <w:szCs w:val="24"/>
              </w:rPr>
            </w:pPr>
            <w:r>
              <w:rPr>
                <w:noProof/>
                <w:sz w:val="24"/>
              </w:rPr>
              <w:t xml:space="preserve">La larga maggioranza dei portatori d'interesse sostiene l'iniziativa, senza distinzione tra le diverse categorie rappresentate nelle risposte: legislatori, banche centrali, autorità di regolamentazione, autorità di vigilanza, operatori di mercato e gruppi di riflessione. </w:t>
            </w:r>
          </w:p>
        </w:tc>
      </w:tr>
    </w:tbl>
    <w:p>
      <w:pPr>
        <w:spacing w:after="0" w:line="240" w:lineRule="auto"/>
        <w:rPr>
          <w:rFonts w:ascii="Times New Roman" w:eastAsia="Times New Roman" w:hAnsi="Times New Roman"/>
          <w:noProof/>
          <w:sz w:val="24"/>
          <w:szCs w:val="24"/>
        </w:rPr>
      </w:pPr>
    </w:p>
    <w:tbl>
      <w:tblPr>
        <w:tblStyle w:val="TableGrid3"/>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line="240" w:lineRule="auto"/>
              <w:jc w:val="center"/>
              <w:rPr>
                <w:b/>
                <w:noProof/>
                <w:sz w:val="24"/>
                <w:szCs w:val="24"/>
              </w:rPr>
            </w:pPr>
            <w:r>
              <w:rPr>
                <w:b/>
                <w:noProof/>
                <w:sz w:val="24"/>
              </w:rPr>
              <w:t>C. Impatto dell'opzione preferita</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Quali sono i vantaggi</w:t>
            </w:r>
            <w:r>
              <w:rPr>
                <w:noProof/>
              </w:rPr>
              <w:t xml:space="preserve"> </w:t>
            </w:r>
            <w:r>
              <w:rPr>
                <w:b/>
                <w:noProof/>
                <w:sz w:val="24"/>
              </w:rPr>
              <w:t>dell'opzione preferita (se ne esiste una, altrimenti delle opzioni principali)?</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 xml:space="preserve">Nella misura in cui apriranno per l'economia dell'UE un nuovo canale di finanziamento, meno dipendente dai vincoli che contraddistinguono il settore bancario, le misure proposte attutiranno l'effetto delle crisi finanziarie sull'offerta di credito e, quindi, sulla crescita e sull'occupazione. Ridurranno anche i costi sociali di tali crisi. Favorendo la diffusione di strutture di cartolarizzazione di cui è possibile analizzare, comprendere e tariffare il rischio, gli interventi proposti promuoveranno inoltre un mercato delle cartolarizzazioni foriero di un migliore finanziamento dell'economia in un contesto di stabilità finanziaria. </w:t>
            </w:r>
          </w:p>
          <w:p>
            <w:pPr>
              <w:spacing w:after="0" w:line="240" w:lineRule="auto"/>
              <w:jc w:val="both"/>
              <w:rPr>
                <w:i/>
                <w:noProof/>
                <w:sz w:val="24"/>
                <w:szCs w:val="24"/>
              </w:rPr>
            </w:pPr>
            <w:r>
              <w:rPr>
                <w:noProof/>
                <w:sz w:val="24"/>
              </w:rPr>
              <w:t>Nulla lascia supporre che gli interventi proposti abbiano effetti ambientali diretti o indiretti.</w:t>
            </w:r>
            <w:r>
              <w:rPr>
                <w:i/>
                <w:noProof/>
                <w:sz w:val="24"/>
              </w:rPr>
              <w:t xml:space="preserve">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Quali sono i costi dell'opzione preferita (se ne esiste una, altrimenti delle opzioni principali)?</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i/>
                <w:noProof/>
                <w:sz w:val="24"/>
                <w:szCs w:val="24"/>
              </w:rPr>
            </w:pPr>
            <w:r>
              <w:rPr>
                <w:noProof/>
                <w:sz w:val="24"/>
              </w:rPr>
              <w:t>A parte i costi di adeguamento al nuovo quadro normativo a carico dei partecipanti al mercato e delle autorità pubbliche, l'opzione privilegiata non dovrebbe comportare costi sociali o economici. Nulla lascia supporre che gli interventi proposti abbiano effetti ambientali diretti o indiretti.</w:t>
            </w:r>
            <w:r>
              <w:rPr>
                <w:i/>
                <w:noProof/>
                <w:sz w:val="24"/>
              </w:rPr>
              <w:t xml:space="preserve"> </w:t>
            </w:r>
          </w:p>
        </w:tc>
      </w:tr>
      <w:tr>
        <w:tc>
          <w:tcPr>
            <w:tcW w:w="10188" w:type="dxa"/>
            <w:tcBorders>
              <w:bottom w:val="single" w:sz="4" w:space="0" w:color="auto"/>
            </w:tcBorders>
            <w:shd w:val="clear" w:color="auto" w:fill="E6E6E6"/>
          </w:tcPr>
          <w:p>
            <w:pPr>
              <w:spacing w:before="60" w:after="60" w:line="240" w:lineRule="auto"/>
              <w:jc w:val="both"/>
              <w:rPr>
                <w:noProof/>
                <w:sz w:val="24"/>
                <w:szCs w:val="24"/>
              </w:rPr>
            </w:pPr>
            <w:r>
              <w:rPr>
                <w:b/>
                <w:noProof/>
                <w:sz w:val="24"/>
              </w:rPr>
              <w:t xml:space="preserve">Quale sarà l'incidenza su aziende, PMI e microimprese? </w:t>
            </w:r>
          </w:p>
        </w:tc>
      </w:tr>
      <w:tr>
        <w:tc>
          <w:tcPr>
            <w:tcW w:w="10188" w:type="dxa"/>
            <w:tcBorders>
              <w:bottom w:val="single" w:sz="4" w:space="0" w:color="auto"/>
            </w:tcBorders>
            <w:shd w:val="clear" w:color="auto" w:fill="auto"/>
          </w:tcPr>
          <w:p>
            <w:pPr>
              <w:spacing w:before="60" w:after="60" w:line="240" w:lineRule="auto"/>
              <w:jc w:val="both"/>
              <w:rPr>
                <w:noProof/>
                <w:sz w:val="24"/>
                <w:szCs w:val="24"/>
              </w:rPr>
            </w:pPr>
            <w:r>
              <w:rPr>
                <w:noProof/>
                <w:sz w:val="24"/>
              </w:rPr>
              <w:t xml:space="preserve">L'opzione privilegiata dovrebbe produrre vari effetti positivi sul finanziamento delle PMI. Anzitutto, l'inquadramento nella disciplina STS delle cartolarizzazioni a breve termine, quali i commercial paper garantiti da attività (ABCP), con il conseguente miglioramento del relativo trattamento a fini patrimoniali, dovrebbe favorire la crescita di quest'importante fonte di finanziamento per le PMI. </w:t>
            </w:r>
          </w:p>
          <w:p>
            <w:pPr>
              <w:spacing w:before="60" w:after="60" w:line="240" w:lineRule="auto"/>
              <w:jc w:val="both"/>
              <w:rPr>
                <w:noProof/>
                <w:sz w:val="24"/>
                <w:szCs w:val="24"/>
              </w:rPr>
            </w:pPr>
            <w:r>
              <w:rPr>
                <w:noProof/>
                <w:sz w:val="24"/>
              </w:rPr>
              <w:t>L'iniziativa dovrebbe mettere poi a disposizione delle banche uno strumento per trasferire il rischio fuori bilancio. Di conseguenza, le banche dovrebbero sempre più usare i capitali così liberati per erogare nuovi prestiti alle famiglie e alle imprese, che nell'UE sono per la maggior parte PMI.</w:t>
            </w:r>
          </w:p>
          <w:p>
            <w:pPr>
              <w:spacing w:before="60" w:after="60" w:line="240" w:lineRule="auto"/>
              <w:jc w:val="both"/>
              <w:rPr>
                <w:i/>
                <w:noProof/>
                <w:sz w:val="24"/>
                <w:szCs w:val="24"/>
              </w:rPr>
            </w:pPr>
            <w:r>
              <w:rPr>
                <w:noProof/>
                <w:sz w:val="24"/>
              </w:rPr>
              <w:t>Introducendo un quadro unico e coerente delle cartolarizzazioni nell'UE e incoraggiando i partecipanti al mercato a spingersi oltre nella standardizzazione, l'iniziativa dovrebbe infine ridurre i costi operativi delle cartolarizzazioni. Poiché tali costi sono più elevati della media per la cartolarizzazione dei prestiti alle PMI, la riduzione dovrebbe ripercuotersi positivamente sul costo del credito per le PMI.</w:t>
            </w:r>
          </w:p>
        </w:tc>
      </w:tr>
      <w:tr>
        <w:tc>
          <w:tcPr>
            <w:tcW w:w="10188" w:type="dxa"/>
            <w:tcBorders>
              <w:bottom w:val="single" w:sz="4" w:space="0" w:color="auto"/>
            </w:tcBorders>
            <w:shd w:val="clear" w:color="auto" w:fill="E6E6E6"/>
          </w:tcPr>
          <w:p>
            <w:pPr>
              <w:spacing w:before="60" w:after="0" w:line="240" w:lineRule="auto"/>
              <w:jc w:val="both"/>
              <w:rPr>
                <w:b/>
                <w:i/>
                <w:noProof/>
                <w:sz w:val="24"/>
                <w:szCs w:val="24"/>
              </w:rPr>
            </w:pPr>
            <w:r>
              <w:rPr>
                <w:b/>
                <w:noProof/>
                <w:sz w:val="24"/>
              </w:rPr>
              <w:t>L'impatto sui bilanci nazionali e sulle amministrazioni sarà importante?</w:t>
            </w:r>
          </w:p>
        </w:tc>
      </w:tr>
      <w:tr>
        <w:tc>
          <w:tcPr>
            <w:tcW w:w="10188" w:type="dxa"/>
            <w:shd w:val="clear" w:color="auto" w:fill="auto"/>
          </w:tcPr>
          <w:p>
            <w:pPr>
              <w:spacing w:after="0" w:line="240" w:lineRule="auto"/>
              <w:jc w:val="both"/>
              <w:rPr>
                <w:noProof/>
                <w:sz w:val="24"/>
                <w:szCs w:val="24"/>
              </w:rPr>
            </w:pPr>
            <w:r>
              <w:rPr>
                <w:noProof/>
                <w:sz w:val="24"/>
              </w:rPr>
              <w:t>No</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Sono previsti altri impatti significativi?</w:t>
            </w:r>
            <w:r>
              <w:rPr>
                <w:noProof/>
                <w:sz w:val="24"/>
              </w:rPr>
              <w:t xml:space="preserve"> </w:t>
            </w:r>
          </w:p>
        </w:tc>
      </w:tr>
      <w:tr>
        <w:tc>
          <w:tcPr>
            <w:tcW w:w="10188" w:type="dxa"/>
            <w:tcBorders>
              <w:bottom w:val="single" w:sz="4" w:space="0" w:color="auto"/>
            </w:tcBorders>
            <w:shd w:val="clear" w:color="auto" w:fill="auto"/>
          </w:tcPr>
          <w:p>
            <w:pPr>
              <w:spacing w:after="0" w:line="240" w:lineRule="auto"/>
              <w:jc w:val="both"/>
              <w:rPr>
                <w:noProof/>
                <w:sz w:val="24"/>
                <w:szCs w:val="24"/>
              </w:rPr>
            </w:pPr>
            <w:r>
              <w:rPr>
                <w:noProof/>
                <w:sz w:val="24"/>
              </w:rPr>
              <w:t>No</w:t>
            </w:r>
          </w:p>
        </w:tc>
      </w:tr>
      <w:tr>
        <w:tc>
          <w:tcPr>
            <w:tcW w:w="10188" w:type="dxa"/>
            <w:tcBorders>
              <w:bottom w:val="single" w:sz="4" w:space="0" w:color="auto"/>
            </w:tcBorders>
            <w:shd w:val="clear" w:color="auto" w:fill="C0C0C0"/>
          </w:tcPr>
          <w:p>
            <w:pPr>
              <w:spacing w:before="60" w:after="60" w:line="240" w:lineRule="auto"/>
              <w:jc w:val="center"/>
              <w:rPr>
                <w:b/>
                <w:noProof/>
                <w:sz w:val="24"/>
                <w:szCs w:val="24"/>
              </w:rPr>
            </w:pPr>
            <w:r>
              <w:rPr>
                <w:b/>
                <w:noProof/>
                <w:sz w:val="24"/>
              </w:rPr>
              <w:t>D. Follow up</w:t>
            </w:r>
          </w:p>
        </w:tc>
      </w:tr>
      <w:tr>
        <w:tc>
          <w:tcPr>
            <w:tcW w:w="10188" w:type="dxa"/>
            <w:tcBorders>
              <w:bottom w:val="single" w:sz="4" w:space="0" w:color="auto"/>
            </w:tcBorders>
            <w:shd w:val="clear" w:color="auto" w:fill="E6E6E6"/>
          </w:tcPr>
          <w:p>
            <w:pPr>
              <w:spacing w:before="60" w:after="0" w:line="240" w:lineRule="auto"/>
              <w:jc w:val="both"/>
              <w:rPr>
                <w:noProof/>
                <w:sz w:val="24"/>
                <w:szCs w:val="24"/>
              </w:rPr>
            </w:pPr>
            <w:r>
              <w:rPr>
                <w:b/>
                <w:noProof/>
                <w:sz w:val="24"/>
              </w:rPr>
              <w:t xml:space="preserve">Quando saranno riesaminate le misure proposte? </w:t>
            </w:r>
          </w:p>
        </w:tc>
      </w:tr>
      <w:tr>
        <w:tc>
          <w:tcPr>
            <w:tcW w:w="10188" w:type="dxa"/>
            <w:tcBorders>
              <w:bottom w:val="single" w:sz="4" w:space="0" w:color="auto"/>
            </w:tcBorders>
            <w:shd w:val="clear" w:color="auto" w:fill="auto"/>
          </w:tcPr>
          <w:p>
            <w:pPr>
              <w:spacing w:after="0" w:line="240" w:lineRule="auto"/>
              <w:jc w:val="both"/>
              <w:rPr>
                <w:b/>
                <w:noProof/>
                <w:sz w:val="24"/>
                <w:szCs w:val="24"/>
              </w:rPr>
            </w:pPr>
            <w:r>
              <w:rPr>
                <w:noProof/>
                <w:sz w:val="24"/>
              </w:rPr>
              <w:t>La futura normativa sarà sottoposta a una valutazione globale (trascorsi circa 4 anni dalla data di applicazione) che permetterà di appurarne, fra l'altro, l'efficacia e l'efficienza in termini di conseguimento degli obiettivi illustrati nella presente relazione e di decidere se siano necessarie misure nuove o modifiche delle misure vigenti.</w:t>
            </w:r>
          </w:p>
        </w:tc>
      </w:tr>
      <w:bookmarkEnd w:id="1"/>
    </w:tbl>
    <w:p>
      <w:pPr>
        <w:spacing w:line="240" w:lineRule="auto"/>
        <w:jc w:val="both"/>
        <w:rPr>
          <w:rFonts w:ascii="Times New Roman" w:hAnsi="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849"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3">
    <w:nsid w:val="1F734306"/>
    <w:multiLevelType w:val="multilevel"/>
    <w:tmpl w:val="09705662"/>
    <w:lvl w:ilvl="0">
      <w:start w:val="1"/>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numFmt w:val="none"/>
      <w:pStyle w:val="Heading3"/>
      <w:lvlText w:val=""/>
      <w:lvlJc w:val="left"/>
      <w:pPr>
        <w:tabs>
          <w:tab w:val="num" w:pos="360"/>
        </w:tabs>
      </w:pPr>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7">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9">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2">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4">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6">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17">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19">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1">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3">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24">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26">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27">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28">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29">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3"/>
  </w:num>
  <w:num w:numId="3">
    <w:abstractNumId w:val="21"/>
  </w:num>
  <w:num w:numId="4">
    <w:abstractNumId w:val="23"/>
  </w:num>
  <w:num w:numId="5">
    <w:abstractNumId w:val="8"/>
  </w:num>
  <w:num w:numId="6">
    <w:abstractNumId w:val="11"/>
  </w:num>
  <w:num w:numId="7">
    <w:abstractNumId w:val="26"/>
  </w:num>
  <w:num w:numId="8">
    <w:abstractNumId w:val="1"/>
  </w:num>
  <w:num w:numId="9">
    <w:abstractNumId w:val="6"/>
  </w:num>
  <w:num w:numId="10">
    <w:abstractNumId w:val="28"/>
  </w:num>
  <w:num w:numId="11">
    <w:abstractNumId w:val="16"/>
  </w:num>
  <w:num w:numId="12">
    <w:abstractNumId w:val="2"/>
  </w:num>
  <w:num w:numId="13">
    <w:abstractNumId w:val="4"/>
  </w:num>
  <w:num w:numId="14">
    <w:abstractNumId w:val="18"/>
  </w:num>
  <w:num w:numId="15">
    <w:abstractNumId w:val="25"/>
  </w:num>
  <w:num w:numId="16">
    <w:abstractNumId w:val="22"/>
  </w:num>
  <w:num w:numId="17">
    <w:abstractNumId w:val="0"/>
  </w:num>
  <w:num w:numId="18">
    <w:abstractNumId w:val="20"/>
  </w:num>
  <w:num w:numId="19">
    <w:abstractNumId w:val="27"/>
  </w:num>
  <w:num w:numId="20">
    <w:abstractNumId w:val="13"/>
  </w:num>
  <w:num w:numId="21">
    <w:abstractNumId w:val="15"/>
  </w:num>
  <w:num w:numId="22">
    <w:abstractNumId w:val="5"/>
  </w:num>
  <w:num w:numId="23">
    <w:abstractNumId w:val="7"/>
  </w:num>
  <w:num w:numId="24">
    <w:abstractNumId w:val="12"/>
  </w:num>
  <w:num w:numId="25">
    <w:abstractNumId w:val="19"/>
  </w:num>
  <w:num w:numId="26">
    <w:abstractNumId w:val="24"/>
  </w:num>
  <w:num w:numId="27">
    <w:abstractNumId w:val="17"/>
  </w:num>
  <w:num w:numId="28">
    <w:abstractNumId w:val="10"/>
  </w:num>
  <w:num w:numId="29">
    <w:abstractNumId w:val="29"/>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che accompagna il documento"/>
    <w:docVar w:name="LW_CONFIDENCE" w:val=" "/>
    <w:docVar w:name="LW_CONST_RESTREINT_UE" w:val="RESTREINT UE"/>
    <w:docVar w:name="LW_CORRIGENDUM" w:val="&lt;UNUSED&gt;"/>
    <w:docVar w:name="LW_COVERPAGE_GUID" w:val="CFDD6595ECFC49A7A061B0FC1C42BB7B"/>
    <w:docVar w:name="LW_CROSSREFERENCE" w:val="{COM(2015) 472 final}_x000b_{SWD(2015) 185 final}"/>
    <w:docVar w:name="LW_DocType" w:val="NORMAL"/>
    <w:docVar w:name="LW_EMISSION" w:val="30.9.2015"/>
    <w:docVar w:name="LW_EMISSION_ISODATE" w:val="2015-09-30"/>
    <w:docVar w:name="LW_EMISSION_LOCATION" w:val="BRX"/>
    <w:docVar w:name="LW_EMISSION_PREFIX" w:val="Bruxelles, "/>
    <w:docVar w:name="LW_EMISSION_SUFFIX" w:val=" "/>
    <w:docVar w:name="LW_ID_DOCTYPE_NONLW" w:val="CP-027"/>
    <w:docVar w:name="LW_LANGUE" w:val="IT"/>
    <w:docVar w:name="LW_MARKING" w:val="&lt;UNUSED&gt;"/>
    <w:docVar w:name="LW_NOM.INST" w:val="COMMISSIONE EUROPEA"/>
    <w:docVar w:name="LW_NOM.INST_JOINTDOC" w:val="&lt;EMPTY&gt;"/>
    <w:docVar w:name="LW_OBJETACTEPRINCIPAL.CP" w:val="che stabilisce norme comuni sulla cartolarizzazione, instaura un quadro europeo per cartolarizzazioni semplici, trasparenti e standardizzate e modifica le direttive 2009/65/CE, 2009/138/CE e 2011/61/UE e i regolamenti (CE) n. 1060/2009 e (UE) n. 648/2012_x000b__x000b_e _x000b__x000b_Proposta di_x000b__x000b_REGOLAMENTO DEL PARLAMENTO EUROPEO E DEL CONSIGLIO_x000b__x000b_che modifica il regolamento (UE) n. 575/2013 relativo ai requisiti prudenziali per gli enti creditizi e le imprese di investimento"/>
    <w:docVar w:name="LW_PART_NBR" w:val="1"/>
    <w:docVar w:name="LW_PART_NBR_TOTAL" w:val="1"/>
    <w:docVar w:name="LW_REF.INST.NEW" w:val="SWD"/>
    <w:docVar w:name="LW_REF.INST.NEW_ADOPTED" w:val="final"/>
    <w:docVar w:name="LW_REF.INST.NEW_TEXT" w:val="(2015) 186"/>
    <w:docVar w:name="LW_REF.INTERNE" w:val="&lt;UNUSED&gt;"/>
    <w:docVar w:name="LW_SUPERTITRE" w:val="&lt;UNUSED&gt;"/>
    <w:docVar w:name="LW_TITRE.OBJ.CP" w:val="&lt;UNUSED&gt;"/>
    <w:docVar w:name="LW_TYPE.DOC.CP" w:val="DOCUMENTO DI LAVORO DEI SERVIZI DELLA COMMISSIONE_x000b__x000b_SINTESI DELLA VALUTAZIONE D'IMPATTO_x000b_"/>
    <w:docVar w:name="LW_TYPEACTEPRINCIPAL.CP" w:val="Proposta di_x000b__x000b_REGOLAMENTO DEL PARLAMENTO EUROPEO E DEL CONSIGLIO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it-IT"/>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it-I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it-I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it-IT"/>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it-IT"/>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it-IT"/>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it-IT"/>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it-IT"/>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it-IT"/>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numPr>
        <w:ilvl w:val="1"/>
        <w:numId w:val="2"/>
      </w:numPr>
      <w:spacing w:after="240" w:line="240" w:lineRule="auto"/>
      <w:jc w:val="both"/>
      <w:outlineLvl w:val="1"/>
    </w:pPr>
    <w:rPr>
      <w:rFonts w:ascii="Times New Roman" w:eastAsia="Times New Roman" w:hAnsi="Times New Roman"/>
      <w:b/>
      <w:sz w:val="24"/>
      <w:szCs w:val="20"/>
    </w:rPr>
  </w:style>
  <w:style w:type="paragraph" w:styleId="Heading3">
    <w:name w:val="heading 3"/>
    <w:basedOn w:val="Normal"/>
    <w:next w:val="Normal"/>
    <w:link w:val="Heading3Char"/>
    <w:qFormat/>
    <w:pPr>
      <w:keepNext/>
      <w:numPr>
        <w:ilvl w:val="2"/>
        <w:numId w:val="2"/>
      </w:numPr>
      <w:spacing w:after="240" w:line="240" w:lineRule="auto"/>
      <w:jc w:val="both"/>
      <w:outlineLvl w:val="2"/>
    </w:pPr>
    <w:rPr>
      <w:rFonts w:ascii="Times New Roman" w:eastAsia="Times New Roman" w:hAnsi="Times New Roman"/>
      <w:i/>
      <w:sz w:val="24"/>
      <w:szCs w:val="20"/>
    </w:rPr>
  </w:style>
  <w:style w:type="paragraph" w:styleId="Heading4">
    <w:name w:val="heading 4"/>
    <w:basedOn w:val="Normal"/>
    <w:next w:val="Normal"/>
    <w:link w:val="Heading4Char"/>
    <w:qFormat/>
    <w:pPr>
      <w:keepNext/>
      <w:numPr>
        <w:ilvl w:val="3"/>
        <w:numId w:val="2"/>
      </w:numPr>
      <w:spacing w:after="24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Pr>
      <w:sz w:val="20"/>
      <w:szCs w:val="20"/>
    </w:rPr>
  </w:style>
  <w:style w:type="character" w:customStyle="1" w:styleId="FootnoteTextChar">
    <w:name w:val="Footnote Text Char"/>
    <w:link w:val="FootnoteText"/>
    <w:uiPriority w:val="99"/>
    <w:rPr>
      <w:lang w:eastAsia="it-IT"/>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it-I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it-I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it-IT"/>
    </w:rPr>
  </w:style>
  <w:style w:type="paragraph" w:customStyle="1" w:styleId="numberedparagraph">
    <w:name w:val="numbered paragraph"/>
    <w:basedOn w:val="Normal"/>
    <w:qFormat/>
    <w:pPr>
      <w:numPr>
        <w:numId w:val="1"/>
      </w:numPr>
      <w:spacing w:before="240" w:after="120"/>
      <w:jc w:val="both"/>
    </w:pPr>
    <w:rPr>
      <w:rFonts w:eastAsia="MS PGothic"/>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it-IT"/>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it-IT"/>
    </w:rPr>
  </w:style>
  <w:style w:type="table" w:styleId="TableGrid">
    <w:name w:val="Table Grid"/>
    <w:basedOn w:val="TableNormal"/>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tandard3520normal">
    <w:name w:val="a_standard__35__20_normal"/>
    <w:basedOn w:val="Normal"/>
    <w:pPr>
      <w:spacing w:after="120" w:line="240" w:lineRule="auto"/>
      <w:ind w:right="57"/>
      <w:jc w:val="both"/>
    </w:pPr>
    <w:rPr>
      <w:rFonts w:ascii="Times New Roman" w:eastAsia="Times New Roman" w:hAnsi="Times New Roman"/>
      <w:sz w:val="24"/>
      <w:szCs w:val="24"/>
    </w:rPr>
  </w:style>
  <w:style w:type="paragraph" w:styleId="Revision">
    <w:name w:val="Revision"/>
    <w:hidden/>
    <w:uiPriority w:val="99"/>
    <w:semiHidden/>
    <w:rPr>
      <w:sz w:val="22"/>
      <w:szCs w:val="22"/>
    </w:rPr>
  </w:style>
  <w:style w:type="table" w:customStyle="1" w:styleId="TableGrid2">
    <w:name w:val="Table Grid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b/>
      <w:sz w:val="24"/>
    </w:rPr>
  </w:style>
  <w:style w:type="character" w:customStyle="1" w:styleId="Heading3Char">
    <w:name w:val="Heading 3 Char"/>
    <w:link w:val="Heading3"/>
    <w:rPr>
      <w:rFonts w:ascii="Times New Roman" w:eastAsia="Times New Roman" w:hAnsi="Times New Roman"/>
      <w:i/>
      <w:sz w:val="24"/>
    </w:rPr>
  </w:style>
  <w:style w:type="character" w:customStyle="1" w:styleId="Heading4Char">
    <w:name w:val="Heading 4 Char"/>
    <w:link w:val="Heading4"/>
    <w:rPr>
      <w:rFonts w:ascii="Times New Roman" w:eastAsia="Times New Roman" w:hAnsi="Times New Roman"/>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8"/>
    </w:rPr>
  </w:style>
  <w:style w:type="character" w:customStyle="1" w:styleId="FooterCoverPageChar">
    <w:name w:val="Footer Cover Page Char"/>
    <w:link w:val="FooterCoverPage"/>
    <w:rPr>
      <w:rFonts w:ascii="Times New Roman" w:hAnsi="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8"/>
    </w:rPr>
  </w:style>
  <w:style w:type="character" w:customStyle="1" w:styleId="HeaderCoverPageChar">
    <w:name w:val="Header Cover Page Char"/>
    <w:link w:val="HeaderCoverPage"/>
    <w:rPr>
      <w:rFonts w:ascii="Times New Roman" w:hAnsi="Times New Roman"/>
      <w:sz w:val="24"/>
      <w:szCs w:val="28"/>
    </w:rPr>
  </w:style>
  <w:style w:type="character" w:customStyle="1" w:styleId="Heading1Char">
    <w:name w:val="Heading 1 Char"/>
    <w:link w:val="Heading1"/>
    <w:uiPriority w:val="9"/>
    <w:rPr>
      <w:rFonts w:ascii="Cambria" w:eastAsia="Times New Roman" w:hAnsi="Cambria" w:cs="Times New Roman"/>
      <w:b/>
      <w:bCs/>
      <w:kern w:val="32"/>
      <w:sz w:val="32"/>
      <w:szCs w:val="32"/>
      <w:lang w:eastAsia="it-IT"/>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b/>
      <w:sz w:val="24"/>
      <w:szCs w:val="20"/>
      <w:lang w:eastAsia="en-US" w:bidi="ar-SA"/>
    </w:rPr>
  </w:style>
  <w:style w:type="paragraph" w:styleId="TOC1">
    <w:name w:val="toc 1"/>
    <w:basedOn w:val="Normal"/>
    <w:next w:val="Normal"/>
    <w:pPr>
      <w:tabs>
        <w:tab w:val="right" w:leader="dot" w:pos="8640"/>
      </w:tabs>
      <w:spacing w:before="120" w:after="120" w:line="240" w:lineRule="auto"/>
      <w:ind w:left="1440" w:right="720" w:hanging="1440"/>
      <w:jc w:val="both"/>
    </w:pPr>
    <w:rPr>
      <w:rFonts w:ascii="Times New Roman" w:eastAsia="Times New Roman" w:hAnsi="Times New Roman"/>
      <w:caps/>
      <w:sz w:val="24"/>
      <w:szCs w:val="20"/>
    </w:rPr>
  </w:style>
  <w:style w:type="paragraph" w:styleId="TOC2">
    <w:name w:val="toc 2"/>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paragraph" w:styleId="TOC3">
    <w:name w:val="toc 3"/>
    <w:basedOn w:val="Normal"/>
    <w:next w:val="Normal"/>
    <w:pPr>
      <w:tabs>
        <w:tab w:val="right" w:leader="dot" w:pos="8640"/>
      </w:tabs>
      <w:spacing w:before="60" w:after="60" w:line="240" w:lineRule="auto"/>
      <w:ind w:left="1440" w:right="720" w:hanging="1440"/>
      <w:jc w:val="both"/>
    </w:pPr>
    <w:rPr>
      <w:rFonts w:ascii="Times New Roman" w:eastAsia="Times New Roman" w:hAnsi="Times New Roman"/>
      <w:sz w:val="24"/>
      <w:szCs w:val="20"/>
    </w:rPr>
  </w:style>
  <w:style w:type="table" w:customStyle="1" w:styleId="TableGrid3">
    <w:name w:val="Table Grid3"/>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
    <w:name w:val="Contact"/>
    <w:basedOn w:val="Normal"/>
    <w:next w:val="Normal"/>
    <w:pPr>
      <w:spacing w:after="480" w:line="240" w:lineRule="auto"/>
      <w:ind w:left="567" w:hanging="567"/>
    </w:pPr>
    <w:rPr>
      <w:rFonts w:ascii="Times New Roman" w:eastAsia="Times New Roman" w:hAnsi="Times New Roman"/>
      <w:sz w:val="24"/>
      <w:szCs w:val="20"/>
      <w:lang w:eastAsia="en-US" w:bidi="ar-SA"/>
    </w:rPr>
  </w:style>
  <w:style w:type="paragraph" w:styleId="ListBullet">
    <w:name w:val="List Bullet"/>
    <w:basedOn w:val="Normal"/>
    <w:pPr>
      <w:numPr>
        <w:numId w:val="4"/>
      </w:numPr>
      <w:spacing w:after="240" w:line="240" w:lineRule="auto"/>
      <w:jc w:val="both"/>
    </w:pPr>
    <w:rPr>
      <w:rFonts w:ascii="Times New Roman" w:eastAsia="Times New Roman" w:hAnsi="Times New Roman"/>
      <w:sz w:val="24"/>
      <w:szCs w:val="20"/>
      <w:lang w:eastAsia="en-US" w:bidi="ar-SA"/>
    </w:rPr>
  </w:style>
  <w:style w:type="paragraph" w:customStyle="1" w:styleId="ListBullet1">
    <w:name w:val="List Bullet 1"/>
    <w:basedOn w:val="Normal"/>
    <w:pPr>
      <w:numPr>
        <w:numId w:val="5"/>
      </w:numPr>
      <w:spacing w:after="240" w:line="240" w:lineRule="auto"/>
      <w:jc w:val="both"/>
    </w:pPr>
    <w:rPr>
      <w:rFonts w:ascii="Times New Roman" w:eastAsia="Times New Roman" w:hAnsi="Times New Roman"/>
      <w:sz w:val="24"/>
      <w:szCs w:val="20"/>
      <w:lang w:eastAsia="en-US" w:bidi="ar-SA"/>
    </w:rPr>
  </w:style>
  <w:style w:type="paragraph" w:styleId="ListBullet2">
    <w:name w:val="List Bullet 2"/>
    <w:basedOn w:val="Normal"/>
    <w:pPr>
      <w:numPr>
        <w:numId w:val="6"/>
      </w:numPr>
      <w:spacing w:after="240" w:line="240" w:lineRule="auto"/>
      <w:jc w:val="both"/>
    </w:pPr>
    <w:rPr>
      <w:rFonts w:ascii="Times New Roman" w:eastAsia="Times New Roman" w:hAnsi="Times New Roman"/>
      <w:sz w:val="24"/>
      <w:szCs w:val="20"/>
      <w:lang w:eastAsia="en-US" w:bidi="ar-SA"/>
    </w:rPr>
  </w:style>
  <w:style w:type="paragraph" w:styleId="ListBullet3">
    <w:name w:val="List Bullet 3"/>
    <w:basedOn w:val="Normal"/>
    <w:pPr>
      <w:numPr>
        <w:numId w:val="7"/>
      </w:numPr>
      <w:spacing w:after="240" w:line="240" w:lineRule="auto"/>
      <w:jc w:val="both"/>
    </w:pPr>
    <w:rPr>
      <w:rFonts w:ascii="Times New Roman" w:eastAsia="Times New Roman" w:hAnsi="Times New Roman"/>
      <w:sz w:val="24"/>
      <w:szCs w:val="20"/>
      <w:lang w:eastAsia="en-US" w:bidi="ar-SA"/>
    </w:rPr>
  </w:style>
  <w:style w:type="paragraph" w:styleId="ListBullet4">
    <w:name w:val="List Bullet 4"/>
    <w:basedOn w:val="Normal"/>
    <w:pPr>
      <w:numPr>
        <w:numId w:val="8"/>
      </w:numPr>
      <w:spacing w:after="240" w:line="240" w:lineRule="auto"/>
      <w:jc w:val="both"/>
    </w:pPr>
    <w:rPr>
      <w:rFonts w:ascii="Times New Roman" w:eastAsia="Times New Roman" w:hAnsi="Times New Roman"/>
      <w:sz w:val="24"/>
      <w:szCs w:val="20"/>
      <w:lang w:eastAsia="en-US" w:bidi="ar-SA"/>
    </w:rPr>
  </w:style>
  <w:style w:type="paragraph" w:styleId="ListBullet5">
    <w:name w:val="List Bullet 5"/>
    <w:basedOn w:val="Normal"/>
    <w:pPr>
      <w:numPr>
        <w:numId w:val="9"/>
      </w:numPr>
      <w:spacing w:after="240" w:line="240" w:lineRule="auto"/>
      <w:jc w:val="both"/>
    </w:pPr>
    <w:rPr>
      <w:rFonts w:ascii="Times New Roman" w:eastAsia="Times New Roman" w:hAnsi="Times New Roman"/>
      <w:sz w:val="24"/>
      <w:szCs w:val="20"/>
      <w:lang w:eastAsia="en-US" w:bidi="ar-SA"/>
    </w:rPr>
  </w:style>
  <w:style w:type="paragraph" w:customStyle="1" w:styleId="ListBullet6">
    <w:name w:val="List Bullet 6"/>
    <w:basedOn w:val="Normal"/>
    <w:pPr>
      <w:numPr>
        <w:numId w:val="10"/>
      </w:numPr>
      <w:spacing w:after="240" w:line="240" w:lineRule="auto"/>
      <w:jc w:val="both"/>
    </w:pPr>
    <w:rPr>
      <w:rFonts w:ascii="Times New Roman" w:eastAsia="Times New Roman" w:hAnsi="Times New Roman"/>
      <w:sz w:val="24"/>
      <w:szCs w:val="20"/>
      <w:lang w:eastAsia="en-US" w:bidi="ar-SA"/>
    </w:rPr>
  </w:style>
  <w:style w:type="paragraph" w:customStyle="1" w:styleId="ListBullet7">
    <w:name w:val="List Bullet 7"/>
    <w:basedOn w:val="Normal"/>
    <w:pPr>
      <w:numPr>
        <w:numId w:val="11"/>
      </w:numPr>
      <w:spacing w:after="240" w:line="240" w:lineRule="auto"/>
      <w:jc w:val="both"/>
    </w:pPr>
    <w:rPr>
      <w:rFonts w:ascii="Times New Roman" w:eastAsia="Times New Roman" w:hAnsi="Times New Roman"/>
      <w:sz w:val="24"/>
      <w:szCs w:val="20"/>
      <w:lang w:eastAsia="en-US" w:bidi="ar-SA"/>
    </w:rPr>
  </w:style>
  <w:style w:type="paragraph" w:customStyle="1" w:styleId="ListBullet8">
    <w:name w:val="List Bullet 8"/>
    <w:basedOn w:val="Normal"/>
    <w:pPr>
      <w:numPr>
        <w:numId w:val="12"/>
      </w:numPr>
      <w:spacing w:after="240" w:line="240" w:lineRule="auto"/>
      <w:jc w:val="both"/>
    </w:pPr>
    <w:rPr>
      <w:rFonts w:ascii="Times New Roman" w:eastAsia="Times New Roman" w:hAnsi="Times New Roman"/>
      <w:sz w:val="24"/>
      <w:szCs w:val="20"/>
      <w:lang w:eastAsia="en-US" w:bidi="ar-SA"/>
    </w:rPr>
  </w:style>
  <w:style w:type="paragraph" w:customStyle="1" w:styleId="ListDash">
    <w:name w:val="List Dash"/>
    <w:basedOn w:val="Normal"/>
    <w:pPr>
      <w:numPr>
        <w:numId w:val="13"/>
      </w:numPr>
      <w:spacing w:after="240" w:line="240" w:lineRule="auto"/>
      <w:jc w:val="both"/>
    </w:pPr>
    <w:rPr>
      <w:rFonts w:ascii="Times New Roman" w:eastAsia="Times New Roman" w:hAnsi="Times New Roman"/>
      <w:sz w:val="24"/>
      <w:szCs w:val="20"/>
      <w:lang w:eastAsia="en-US" w:bidi="ar-SA"/>
    </w:rPr>
  </w:style>
  <w:style w:type="paragraph" w:customStyle="1" w:styleId="ListDash1">
    <w:name w:val="List Dash 1"/>
    <w:basedOn w:val="Normal"/>
    <w:pPr>
      <w:numPr>
        <w:numId w:val="14"/>
      </w:numPr>
      <w:spacing w:after="240" w:line="240" w:lineRule="auto"/>
      <w:jc w:val="both"/>
    </w:pPr>
    <w:rPr>
      <w:rFonts w:ascii="Times New Roman" w:eastAsia="Times New Roman" w:hAnsi="Times New Roman"/>
      <w:sz w:val="24"/>
      <w:szCs w:val="20"/>
      <w:lang w:eastAsia="en-US" w:bidi="ar-SA"/>
    </w:rPr>
  </w:style>
  <w:style w:type="paragraph" w:customStyle="1" w:styleId="ListDash2">
    <w:name w:val="List Dash 2"/>
    <w:basedOn w:val="Normal"/>
    <w:pPr>
      <w:numPr>
        <w:numId w:val="15"/>
      </w:numPr>
      <w:spacing w:after="240" w:line="240" w:lineRule="auto"/>
      <w:jc w:val="both"/>
    </w:pPr>
    <w:rPr>
      <w:rFonts w:ascii="Times New Roman" w:eastAsia="Times New Roman" w:hAnsi="Times New Roman"/>
      <w:sz w:val="24"/>
      <w:szCs w:val="20"/>
      <w:lang w:eastAsia="en-US" w:bidi="ar-SA"/>
    </w:rPr>
  </w:style>
  <w:style w:type="paragraph" w:customStyle="1" w:styleId="ListDash3">
    <w:name w:val="List Dash 3"/>
    <w:basedOn w:val="Normal"/>
    <w:pPr>
      <w:numPr>
        <w:numId w:val="16"/>
      </w:numPr>
      <w:spacing w:after="240" w:line="240" w:lineRule="auto"/>
      <w:jc w:val="both"/>
    </w:pPr>
    <w:rPr>
      <w:rFonts w:ascii="Times New Roman" w:eastAsia="Times New Roman" w:hAnsi="Times New Roman"/>
      <w:sz w:val="24"/>
      <w:szCs w:val="20"/>
      <w:lang w:eastAsia="en-US" w:bidi="ar-SA"/>
    </w:rPr>
  </w:style>
  <w:style w:type="paragraph" w:customStyle="1" w:styleId="ListDash4">
    <w:name w:val="List Dash 4"/>
    <w:basedOn w:val="Normal"/>
    <w:pPr>
      <w:numPr>
        <w:numId w:val="17"/>
      </w:numPr>
      <w:spacing w:after="240" w:line="240" w:lineRule="auto"/>
      <w:jc w:val="both"/>
    </w:pPr>
    <w:rPr>
      <w:rFonts w:ascii="Times New Roman" w:eastAsia="Times New Roman" w:hAnsi="Times New Roman"/>
      <w:sz w:val="24"/>
      <w:szCs w:val="20"/>
      <w:lang w:eastAsia="en-US" w:bidi="ar-SA"/>
    </w:rPr>
  </w:style>
  <w:style w:type="paragraph" w:customStyle="1" w:styleId="ListDash5">
    <w:name w:val="List Dash 5"/>
    <w:basedOn w:val="Normal"/>
    <w:pPr>
      <w:numPr>
        <w:numId w:val="18"/>
      </w:numPr>
      <w:spacing w:after="240" w:line="240" w:lineRule="auto"/>
      <w:jc w:val="both"/>
    </w:pPr>
    <w:rPr>
      <w:rFonts w:ascii="Times New Roman" w:eastAsia="Times New Roman" w:hAnsi="Times New Roman"/>
      <w:sz w:val="24"/>
      <w:szCs w:val="20"/>
      <w:lang w:eastAsia="en-US" w:bidi="ar-SA"/>
    </w:rPr>
  </w:style>
  <w:style w:type="paragraph" w:customStyle="1" w:styleId="ListDash6">
    <w:name w:val="List Dash 6"/>
    <w:basedOn w:val="Normal"/>
    <w:pPr>
      <w:numPr>
        <w:numId w:val="19"/>
      </w:numPr>
      <w:spacing w:after="240" w:line="240" w:lineRule="auto"/>
      <w:jc w:val="both"/>
    </w:pPr>
    <w:rPr>
      <w:rFonts w:ascii="Times New Roman" w:eastAsia="Times New Roman" w:hAnsi="Times New Roman"/>
      <w:sz w:val="24"/>
      <w:szCs w:val="20"/>
      <w:lang w:eastAsia="en-US" w:bidi="ar-SA"/>
    </w:rPr>
  </w:style>
  <w:style w:type="paragraph" w:customStyle="1" w:styleId="ListDash7">
    <w:name w:val="List Dash 7"/>
    <w:basedOn w:val="Normal"/>
    <w:pPr>
      <w:numPr>
        <w:numId w:val="20"/>
      </w:numPr>
      <w:spacing w:after="240" w:line="240" w:lineRule="auto"/>
      <w:jc w:val="both"/>
    </w:pPr>
    <w:rPr>
      <w:rFonts w:ascii="Times New Roman" w:eastAsia="Times New Roman" w:hAnsi="Times New Roman"/>
      <w:sz w:val="24"/>
      <w:szCs w:val="20"/>
      <w:lang w:eastAsia="en-US" w:bidi="ar-SA"/>
    </w:rPr>
  </w:style>
  <w:style w:type="paragraph" w:customStyle="1" w:styleId="ListDash8">
    <w:name w:val="List Dash 8"/>
    <w:basedOn w:val="Normal"/>
    <w:pPr>
      <w:numPr>
        <w:numId w:val="21"/>
      </w:numPr>
      <w:spacing w:after="240" w:line="240" w:lineRule="auto"/>
      <w:jc w:val="both"/>
    </w:pPr>
    <w:rPr>
      <w:rFonts w:ascii="Times New Roman" w:eastAsia="Times New Roman" w:hAnsi="Times New Roman"/>
      <w:sz w:val="24"/>
      <w:szCs w:val="20"/>
      <w:lang w:eastAsia="en-US" w:bidi="ar-SA"/>
    </w:rPr>
  </w:style>
  <w:style w:type="paragraph" w:styleId="ListNumber">
    <w:name w:val="List Number"/>
    <w:basedOn w:val="Normal"/>
    <w:pPr>
      <w:numPr>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
    <w:name w:val="List Number 1"/>
    <w:basedOn w:val="Normal"/>
    <w:pPr>
      <w:numPr>
        <w:numId w:val="23"/>
      </w:numPr>
      <w:spacing w:after="240" w:line="240" w:lineRule="auto"/>
      <w:jc w:val="both"/>
    </w:pPr>
    <w:rPr>
      <w:rFonts w:ascii="Times New Roman" w:eastAsia="Times New Roman" w:hAnsi="Times New Roman"/>
      <w:sz w:val="24"/>
      <w:szCs w:val="20"/>
      <w:lang w:eastAsia="en-US" w:bidi="ar-SA"/>
    </w:rPr>
  </w:style>
  <w:style w:type="paragraph" w:styleId="ListNumber2">
    <w:name w:val="List Number 2"/>
    <w:basedOn w:val="Normal"/>
    <w:pPr>
      <w:numPr>
        <w:numId w:val="24"/>
      </w:numPr>
      <w:spacing w:after="240" w:line="240" w:lineRule="auto"/>
      <w:jc w:val="both"/>
    </w:pPr>
    <w:rPr>
      <w:rFonts w:ascii="Times New Roman" w:eastAsia="Times New Roman" w:hAnsi="Times New Roman"/>
      <w:sz w:val="24"/>
      <w:szCs w:val="20"/>
      <w:lang w:eastAsia="en-US" w:bidi="ar-SA"/>
    </w:rPr>
  </w:style>
  <w:style w:type="paragraph" w:styleId="ListNumber3">
    <w:name w:val="List Number 3"/>
    <w:basedOn w:val="Normal"/>
    <w:pPr>
      <w:numPr>
        <w:numId w:val="25"/>
      </w:numPr>
      <w:spacing w:after="240" w:line="240" w:lineRule="auto"/>
      <w:jc w:val="both"/>
    </w:pPr>
    <w:rPr>
      <w:rFonts w:ascii="Times New Roman" w:eastAsia="Times New Roman" w:hAnsi="Times New Roman"/>
      <w:sz w:val="24"/>
      <w:szCs w:val="20"/>
      <w:lang w:eastAsia="en-US" w:bidi="ar-SA"/>
    </w:rPr>
  </w:style>
  <w:style w:type="paragraph" w:styleId="ListNumber4">
    <w:name w:val="List Number 4"/>
    <w:basedOn w:val="Normal"/>
    <w:pPr>
      <w:numPr>
        <w:numId w:val="26"/>
      </w:numPr>
      <w:spacing w:after="240" w:line="240" w:lineRule="auto"/>
      <w:jc w:val="both"/>
    </w:pPr>
    <w:rPr>
      <w:rFonts w:ascii="Times New Roman" w:eastAsia="Times New Roman" w:hAnsi="Times New Roman"/>
      <w:sz w:val="24"/>
      <w:szCs w:val="20"/>
      <w:lang w:eastAsia="en-US" w:bidi="ar-SA"/>
    </w:rPr>
  </w:style>
  <w:style w:type="paragraph" w:styleId="ListNumber5">
    <w:name w:val="List Number 5"/>
    <w:basedOn w:val="Normal"/>
    <w:pPr>
      <w:numPr>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
    <w:name w:val="List Number 6"/>
    <w:basedOn w:val="Normal"/>
    <w:pPr>
      <w:numPr>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
    <w:name w:val="List Number 7"/>
    <w:basedOn w:val="Normal"/>
    <w:pPr>
      <w:numPr>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
    <w:name w:val="List Number 8"/>
    <w:basedOn w:val="Normal"/>
    <w:pPr>
      <w:numPr>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2">
    <w:name w:val="List Number (Level 2)"/>
    <w:basedOn w:val="Normal"/>
    <w:pPr>
      <w:numPr>
        <w:ilvl w:val="1"/>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2">
    <w:name w:val="List Number 1 (Level 2)"/>
    <w:basedOn w:val="Normal"/>
    <w:pPr>
      <w:numPr>
        <w:ilvl w:val="1"/>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2">
    <w:name w:val="List Number 2 (Level 2)"/>
    <w:basedOn w:val="Normal"/>
    <w:pPr>
      <w:numPr>
        <w:ilvl w:val="1"/>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2">
    <w:name w:val="List Number 3 (Level 2)"/>
    <w:basedOn w:val="Normal"/>
    <w:pPr>
      <w:numPr>
        <w:ilvl w:val="1"/>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2">
    <w:name w:val="List Number 4 (Level 2)"/>
    <w:basedOn w:val="Normal"/>
    <w:pPr>
      <w:numPr>
        <w:ilvl w:val="1"/>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2">
    <w:name w:val="List Number 5 (Level 2)"/>
    <w:basedOn w:val="Normal"/>
    <w:pPr>
      <w:numPr>
        <w:ilvl w:val="1"/>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2">
    <w:name w:val="List Number 6 (Level 2)"/>
    <w:basedOn w:val="Normal"/>
    <w:pPr>
      <w:numPr>
        <w:ilvl w:val="1"/>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2">
    <w:name w:val="List Number 7 (Level 2)"/>
    <w:basedOn w:val="Normal"/>
    <w:pPr>
      <w:numPr>
        <w:ilvl w:val="1"/>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2">
    <w:name w:val="List Number 8 (Level 2)"/>
    <w:basedOn w:val="Normal"/>
    <w:pPr>
      <w:numPr>
        <w:ilvl w:val="1"/>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3">
    <w:name w:val="List Number (Level 3)"/>
    <w:basedOn w:val="Normal"/>
    <w:pPr>
      <w:numPr>
        <w:ilvl w:val="2"/>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3">
    <w:name w:val="List Number 1 (Level 3)"/>
    <w:basedOn w:val="Normal"/>
    <w:pPr>
      <w:numPr>
        <w:ilvl w:val="2"/>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3">
    <w:name w:val="List Number 2 (Level 3)"/>
    <w:basedOn w:val="Normal"/>
    <w:pPr>
      <w:numPr>
        <w:ilvl w:val="2"/>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3">
    <w:name w:val="List Number 3 (Level 3)"/>
    <w:basedOn w:val="Normal"/>
    <w:pPr>
      <w:numPr>
        <w:ilvl w:val="2"/>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3">
    <w:name w:val="List Number 4 (Level 3)"/>
    <w:basedOn w:val="Normal"/>
    <w:pPr>
      <w:numPr>
        <w:ilvl w:val="2"/>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3">
    <w:name w:val="List Number 5 (Level 3)"/>
    <w:basedOn w:val="Normal"/>
    <w:pPr>
      <w:numPr>
        <w:ilvl w:val="2"/>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3">
    <w:name w:val="List Number 6 (Level 3)"/>
    <w:basedOn w:val="Normal"/>
    <w:pPr>
      <w:numPr>
        <w:ilvl w:val="2"/>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3">
    <w:name w:val="List Number 7 (Level 3)"/>
    <w:basedOn w:val="Normal"/>
    <w:pPr>
      <w:numPr>
        <w:ilvl w:val="2"/>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3">
    <w:name w:val="List Number 8 (Level 3)"/>
    <w:basedOn w:val="Normal"/>
    <w:pPr>
      <w:numPr>
        <w:ilvl w:val="2"/>
        <w:numId w:val="30"/>
      </w:numPr>
      <w:spacing w:after="240" w:line="240" w:lineRule="auto"/>
      <w:jc w:val="both"/>
    </w:pPr>
    <w:rPr>
      <w:rFonts w:ascii="Times New Roman" w:eastAsia="Times New Roman" w:hAnsi="Times New Roman"/>
      <w:sz w:val="24"/>
      <w:szCs w:val="20"/>
      <w:lang w:eastAsia="en-US" w:bidi="ar-SA"/>
    </w:rPr>
  </w:style>
  <w:style w:type="paragraph" w:customStyle="1" w:styleId="ListNumberLevel4">
    <w:name w:val="List Number (Level 4)"/>
    <w:basedOn w:val="Normal"/>
    <w:pPr>
      <w:numPr>
        <w:ilvl w:val="3"/>
        <w:numId w:val="22"/>
      </w:numPr>
      <w:spacing w:after="240" w:line="240" w:lineRule="auto"/>
      <w:jc w:val="both"/>
    </w:pPr>
    <w:rPr>
      <w:rFonts w:ascii="Times New Roman" w:eastAsia="Times New Roman" w:hAnsi="Times New Roman"/>
      <w:sz w:val="24"/>
      <w:szCs w:val="20"/>
      <w:lang w:eastAsia="en-US" w:bidi="ar-SA"/>
    </w:rPr>
  </w:style>
  <w:style w:type="paragraph" w:customStyle="1" w:styleId="ListNumber1Level4">
    <w:name w:val="List Number 1 (Level 4)"/>
    <w:basedOn w:val="Normal"/>
    <w:pPr>
      <w:numPr>
        <w:ilvl w:val="3"/>
        <w:numId w:val="23"/>
      </w:numPr>
      <w:spacing w:after="240" w:line="240" w:lineRule="auto"/>
      <w:jc w:val="both"/>
    </w:pPr>
    <w:rPr>
      <w:rFonts w:ascii="Times New Roman" w:eastAsia="Times New Roman" w:hAnsi="Times New Roman"/>
      <w:sz w:val="24"/>
      <w:szCs w:val="20"/>
      <w:lang w:eastAsia="en-US" w:bidi="ar-SA"/>
    </w:rPr>
  </w:style>
  <w:style w:type="paragraph" w:customStyle="1" w:styleId="ListNumber2Level4">
    <w:name w:val="List Number 2 (Level 4)"/>
    <w:basedOn w:val="Normal"/>
    <w:pPr>
      <w:numPr>
        <w:ilvl w:val="3"/>
        <w:numId w:val="24"/>
      </w:numPr>
      <w:spacing w:after="240" w:line="240" w:lineRule="auto"/>
      <w:jc w:val="both"/>
    </w:pPr>
    <w:rPr>
      <w:rFonts w:ascii="Times New Roman" w:eastAsia="Times New Roman" w:hAnsi="Times New Roman"/>
      <w:sz w:val="24"/>
      <w:szCs w:val="20"/>
      <w:lang w:eastAsia="en-US" w:bidi="ar-SA"/>
    </w:rPr>
  </w:style>
  <w:style w:type="paragraph" w:customStyle="1" w:styleId="ListNumber3Level4">
    <w:name w:val="List Number 3 (Level 4)"/>
    <w:basedOn w:val="Normal"/>
    <w:pPr>
      <w:numPr>
        <w:ilvl w:val="3"/>
        <w:numId w:val="25"/>
      </w:numPr>
      <w:spacing w:after="240" w:line="240" w:lineRule="auto"/>
      <w:jc w:val="both"/>
    </w:pPr>
    <w:rPr>
      <w:rFonts w:ascii="Times New Roman" w:eastAsia="Times New Roman" w:hAnsi="Times New Roman"/>
      <w:sz w:val="24"/>
      <w:szCs w:val="20"/>
      <w:lang w:eastAsia="en-US" w:bidi="ar-SA"/>
    </w:rPr>
  </w:style>
  <w:style w:type="paragraph" w:customStyle="1" w:styleId="ListNumber4Level4">
    <w:name w:val="List Number 4 (Level 4)"/>
    <w:basedOn w:val="Normal"/>
    <w:pPr>
      <w:numPr>
        <w:ilvl w:val="3"/>
        <w:numId w:val="26"/>
      </w:numPr>
      <w:spacing w:after="240" w:line="240" w:lineRule="auto"/>
      <w:jc w:val="both"/>
    </w:pPr>
    <w:rPr>
      <w:rFonts w:ascii="Times New Roman" w:eastAsia="Times New Roman" w:hAnsi="Times New Roman"/>
      <w:sz w:val="24"/>
      <w:szCs w:val="20"/>
      <w:lang w:eastAsia="en-US" w:bidi="ar-SA"/>
    </w:rPr>
  </w:style>
  <w:style w:type="paragraph" w:customStyle="1" w:styleId="ListNumber5Level4">
    <w:name w:val="List Number 5 (Level 4)"/>
    <w:basedOn w:val="Normal"/>
    <w:pPr>
      <w:numPr>
        <w:ilvl w:val="3"/>
        <w:numId w:val="27"/>
      </w:numPr>
      <w:spacing w:after="240" w:line="240" w:lineRule="auto"/>
      <w:jc w:val="both"/>
    </w:pPr>
    <w:rPr>
      <w:rFonts w:ascii="Times New Roman" w:eastAsia="Times New Roman" w:hAnsi="Times New Roman"/>
      <w:sz w:val="24"/>
      <w:szCs w:val="20"/>
      <w:lang w:eastAsia="en-US" w:bidi="ar-SA"/>
    </w:rPr>
  </w:style>
  <w:style w:type="paragraph" w:customStyle="1" w:styleId="ListNumber6Level4">
    <w:name w:val="List Number 6 (Level 4)"/>
    <w:basedOn w:val="Normal"/>
    <w:pPr>
      <w:numPr>
        <w:ilvl w:val="3"/>
        <w:numId w:val="28"/>
      </w:numPr>
      <w:spacing w:after="240" w:line="240" w:lineRule="auto"/>
      <w:jc w:val="both"/>
    </w:pPr>
    <w:rPr>
      <w:rFonts w:ascii="Times New Roman" w:eastAsia="Times New Roman" w:hAnsi="Times New Roman"/>
      <w:sz w:val="24"/>
      <w:szCs w:val="20"/>
      <w:lang w:eastAsia="en-US" w:bidi="ar-SA"/>
    </w:rPr>
  </w:style>
  <w:style w:type="paragraph" w:customStyle="1" w:styleId="ListNumber7Level4">
    <w:name w:val="List Number 7 (Level 4)"/>
    <w:basedOn w:val="Normal"/>
    <w:pPr>
      <w:numPr>
        <w:ilvl w:val="3"/>
        <w:numId w:val="29"/>
      </w:numPr>
      <w:spacing w:after="240" w:line="240" w:lineRule="auto"/>
      <w:jc w:val="both"/>
    </w:pPr>
    <w:rPr>
      <w:rFonts w:ascii="Times New Roman" w:eastAsia="Times New Roman" w:hAnsi="Times New Roman"/>
      <w:sz w:val="24"/>
      <w:szCs w:val="20"/>
      <w:lang w:eastAsia="en-US" w:bidi="ar-SA"/>
    </w:rPr>
  </w:style>
  <w:style w:type="paragraph" w:customStyle="1" w:styleId="ListNumber8Level4">
    <w:name w:val="List Number 8 (Level 4)"/>
    <w:basedOn w:val="Normal"/>
    <w:pPr>
      <w:numPr>
        <w:ilvl w:val="3"/>
        <w:numId w:val="30"/>
      </w:numPr>
      <w:spacing w:after="240" w:line="240" w:lineRule="auto"/>
      <w:jc w:val="both"/>
    </w:pPr>
    <w:rPr>
      <w:rFonts w:ascii="Times New Roman" w:eastAsia="Times New Roman" w:hAnsi="Times New Roman"/>
      <w:sz w:val="24"/>
      <w:szCs w:val="20"/>
      <w:lang w:eastAsia="en-US" w:bidi="ar-SA"/>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aps/>
      <w:sz w:val="24"/>
      <w:szCs w:val="20"/>
      <w:lang w:eastAsia="en-US" w:bidi="ar-SA"/>
    </w:r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ulletpoint">
    <w:name w:val="Bullet point"/>
    <w:basedOn w:val="Normal"/>
    <w:qFormat/>
    <w:pPr>
      <w:numPr>
        <w:numId w:val="3"/>
      </w:numPr>
      <w:tabs>
        <w:tab w:val="clear" w:pos="851"/>
        <w:tab w:val="num" w:pos="360"/>
        <w:tab w:val="left" w:pos="794"/>
        <w:tab w:val="left" w:pos="1191"/>
      </w:tabs>
      <w:spacing w:after="120" w:line="240" w:lineRule="auto"/>
      <w:ind w:left="0" w:firstLine="794"/>
      <w:jc w:val="both"/>
    </w:pPr>
    <w:rPr>
      <w:rFonts w:ascii="Times New Roman" w:eastAsia="Times New Roman" w:hAnsi="Times New Roman"/>
      <w:noProof/>
    </w:rPr>
  </w:style>
  <w:style w:type="paragraph" w:styleId="NormalWeb">
    <w:name w:val="Normal (Web)"/>
    <w:basedOn w:val="Normal"/>
    <w:uiPriority w:val="99"/>
    <w:semiHidden/>
    <w:unhideWhenUsed/>
    <w:rPr>
      <w:rFonts w:ascii="Times New Roman" w:eastAsiaTheme="minorHAnsi" w:hAnsi="Times New Roman"/>
      <w:sz w:val="24"/>
      <w:szCs w:val="24"/>
    </w:rPr>
  </w:style>
  <w:style w:type="paragraph" w:styleId="NoSpacing">
    <w:name w:val="No Spacing"/>
    <w:uiPriority w:val="1"/>
    <w:qFormat/>
    <w:rPr>
      <w:sz w:val="22"/>
      <w:szCs w:val="22"/>
    </w:rPr>
  </w:style>
  <w:style w:type="paragraph" w:styleId="BodyText">
    <w:name w:val="Body Text"/>
    <w:basedOn w:val="Normal"/>
    <w:link w:val="BodyTextChar"/>
    <w:semiHidden/>
    <w:pPr>
      <w:shd w:val="clear" w:color="auto" w:fill="FFFFFF"/>
      <w:spacing w:line="224" w:lineRule="atLeast"/>
      <w:jc w:val="both"/>
    </w:pPr>
    <w:rPr>
      <w:rFonts w:ascii="Arial" w:hAnsi="Arial" w:cs="Arial"/>
      <w:b/>
      <w:bCs/>
      <w:sz w:val="24"/>
      <w:szCs w:val="24"/>
    </w:rPr>
  </w:style>
  <w:style w:type="character" w:customStyle="1" w:styleId="BodyTextChar">
    <w:name w:val="Body Text Char"/>
    <w:basedOn w:val="DefaultParagraphFont"/>
    <w:link w:val="BodyText"/>
    <w:semiHidden/>
    <w:rPr>
      <w:rFonts w:ascii="Arial" w:hAnsi="Arial" w:cs="Arial"/>
      <w:b/>
      <w:bCs/>
      <w:sz w:val="24"/>
      <w:szCs w:val="24"/>
      <w:shd w:val="clear" w:color="auto" w:fill="FFFFFF"/>
      <w:lang w:eastAsia="it-IT"/>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Pr>
      <w:rFonts w:asciiTheme="minorHAnsi" w:eastAsiaTheme="minorHAnsi" w:hAnsiTheme="minorHAnsi" w:cstheme="minorBidi"/>
      <w:sz w:val="22"/>
      <w:szCs w:val="22"/>
      <w:lang w:eastAsia="it-IT"/>
    </w:rPr>
  </w:style>
  <w:style w:type="character" w:customStyle="1" w:styleId="tgc">
    <w:name w:val="_tgc"/>
    <w:basedOn w:val="DefaultParagraphFont"/>
  </w:style>
  <w:style w:type="paragraph" w:styleId="TOC4">
    <w:name w:val="toc 4"/>
    <w:basedOn w:val="Normal"/>
    <w:next w:val="Normal"/>
    <w:semiHidden/>
    <w:pPr>
      <w:tabs>
        <w:tab w:val="right" w:leader="dot" w:pos="8641"/>
      </w:tabs>
      <w:spacing w:before="60" w:after="60" w:line="240" w:lineRule="auto"/>
      <w:ind w:left="1440" w:right="720" w:hanging="1440"/>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68">
          <w:marLeft w:val="0"/>
          <w:marRight w:val="0"/>
          <w:marTop w:val="0"/>
          <w:marBottom w:val="0"/>
          <w:divBdr>
            <w:top w:val="none" w:sz="0" w:space="0" w:color="auto"/>
            <w:left w:val="none" w:sz="0" w:space="0" w:color="auto"/>
            <w:bottom w:val="none" w:sz="0" w:space="0" w:color="auto"/>
            <w:right w:val="none" w:sz="0" w:space="0" w:color="auto"/>
          </w:divBdr>
          <w:divsChild>
            <w:div w:id="170997771">
              <w:marLeft w:val="0"/>
              <w:marRight w:val="0"/>
              <w:marTop w:val="0"/>
              <w:marBottom w:val="0"/>
              <w:divBdr>
                <w:top w:val="none" w:sz="0" w:space="0" w:color="auto"/>
                <w:left w:val="none" w:sz="0" w:space="0" w:color="auto"/>
                <w:bottom w:val="none" w:sz="0" w:space="0" w:color="auto"/>
                <w:right w:val="none" w:sz="0" w:space="0" w:color="auto"/>
              </w:divBdr>
              <w:divsChild>
                <w:div w:id="1693795870">
                  <w:marLeft w:val="0"/>
                  <w:marRight w:val="0"/>
                  <w:marTop w:val="0"/>
                  <w:marBottom w:val="0"/>
                  <w:divBdr>
                    <w:top w:val="none" w:sz="0" w:space="0" w:color="auto"/>
                    <w:left w:val="none" w:sz="0" w:space="0" w:color="auto"/>
                    <w:bottom w:val="none" w:sz="0" w:space="0" w:color="auto"/>
                    <w:right w:val="none" w:sz="0" w:space="0" w:color="auto"/>
                  </w:divBdr>
                  <w:divsChild>
                    <w:div w:id="1757943188">
                      <w:marLeft w:val="0"/>
                      <w:marRight w:val="0"/>
                      <w:marTop w:val="0"/>
                      <w:marBottom w:val="0"/>
                      <w:divBdr>
                        <w:top w:val="none" w:sz="0" w:space="0" w:color="auto"/>
                        <w:left w:val="none" w:sz="0" w:space="0" w:color="auto"/>
                        <w:bottom w:val="none" w:sz="0" w:space="0" w:color="auto"/>
                        <w:right w:val="none" w:sz="0" w:space="0" w:color="auto"/>
                      </w:divBdr>
                      <w:divsChild>
                        <w:div w:id="1587423141">
                          <w:marLeft w:val="0"/>
                          <w:marRight w:val="0"/>
                          <w:marTop w:val="0"/>
                          <w:marBottom w:val="0"/>
                          <w:divBdr>
                            <w:top w:val="none" w:sz="0" w:space="0" w:color="auto"/>
                            <w:left w:val="none" w:sz="0" w:space="0" w:color="auto"/>
                            <w:bottom w:val="none" w:sz="0" w:space="0" w:color="auto"/>
                            <w:right w:val="none" w:sz="0" w:space="0" w:color="auto"/>
                          </w:divBdr>
                          <w:divsChild>
                            <w:div w:id="779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36">
      <w:bodyDiv w:val="1"/>
      <w:marLeft w:val="0"/>
      <w:marRight w:val="0"/>
      <w:marTop w:val="0"/>
      <w:marBottom w:val="0"/>
      <w:divBdr>
        <w:top w:val="none" w:sz="0" w:space="0" w:color="auto"/>
        <w:left w:val="none" w:sz="0" w:space="0" w:color="auto"/>
        <w:bottom w:val="none" w:sz="0" w:space="0" w:color="auto"/>
        <w:right w:val="none" w:sz="0" w:space="0" w:color="auto"/>
      </w:divBdr>
      <w:divsChild>
        <w:div w:id="448931973">
          <w:marLeft w:val="0"/>
          <w:marRight w:val="0"/>
          <w:marTop w:val="0"/>
          <w:marBottom w:val="0"/>
          <w:divBdr>
            <w:top w:val="none" w:sz="0" w:space="0" w:color="auto"/>
            <w:left w:val="none" w:sz="0" w:space="0" w:color="auto"/>
            <w:bottom w:val="none" w:sz="0" w:space="0" w:color="auto"/>
            <w:right w:val="none" w:sz="0" w:space="0" w:color="auto"/>
          </w:divBdr>
          <w:divsChild>
            <w:div w:id="228855553">
              <w:marLeft w:val="0"/>
              <w:marRight w:val="0"/>
              <w:marTop w:val="0"/>
              <w:marBottom w:val="0"/>
              <w:divBdr>
                <w:top w:val="none" w:sz="0" w:space="0" w:color="auto"/>
                <w:left w:val="none" w:sz="0" w:space="0" w:color="auto"/>
                <w:bottom w:val="none" w:sz="0" w:space="0" w:color="auto"/>
                <w:right w:val="none" w:sz="0" w:space="0" w:color="auto"/>
              </w:divBdr>
              <w:divsChild>
                <w:div w:id="732461001">
                  <w:marLeft w:val="0"/>
                  <w:marRight w:val="0"/>
                  <w:marTop w:val="0"/>
                  <w:marBottom w:val="0"/>
                  <w:divBdr>
                    <w:top w:val="none" w:sz="0" w:space="0" w:color="auto"/>
                    <w:left w:val="none" w:sz="0" w:space="0" w:color="auto"/>
                    <w:bottom w:val="none" w:sz="0" w:space="0" w:color="auto"/>
                    <w:right w:val="none" w:sz="0" w:space="0" w:color="auto"/>
                  </w:divBdr>
                  <w:divsChild>
                    <w:div w:id="1862427799">
                      <w:marLeft w:val="0"/>
                      <w:marRight w:val="0"/>
                      <w:marTop w:val="0"/>
                      <w:marBottom w:val="0"/>
                      <w:divBdr>
                        <w:top w:val="none" w:sz="0" w:space="0" w:color="auto"/>
                        <w:left w:val="none" w:sz="0" w:space="0" w:color="auto"/>
                        <w:bottom w:val="none" w:sz="0" w:space="0" w:color="auto"/>
                        <w:right w:val="none" w:sz="0" w:space="0" w:color="auto"/>
                      </w:divBdr>
                      <w:divsChild>
                        <w:div w:id="33895731">
                          <w:marLeft w:val="0"/>
                          <w:marRight w:val="0"/>
                          <w:marTop w:val="0"/>
                          <w:marBottom w:val="0"/>
                          <w:divBdr>
                            <w:top w:val="none" w:sz="0" w:space="0" w:color="auto"/>
                            <w:left w:val="none" w:sz="0" w:space="0" w:color="auto"/>
                            <w:bottom w:val="none" w:sz="0" w:space="0" w:color="auto"/>
                            <w:right w:val="none" w:sz="0" w:space="0" w:color="auto"/>
                          </w:divBdr>
                          <w:divsChild>
                            <w:div w:id="1695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2975">
      <w:bodyDiv w:val="1"/>
      <w:marLeft w:val="0"/>
      <w:marRight w:val="0"/>
      <w:marTop w:val="0"/>
      <w:marBottom w:val="0"/>
      <w:divBdr>
        <w:top w:val="none" w:sz="0" w:space="0" w:color="auto"/>
        <w:left w:val="none" w:sz="0" w:space="0" w:color="auto"/>
        <w:bottom w:val="none" w:sz="0" w:space="0" w:color="auto"/>
        <w:right w:val="none" w:sz="0" w:space="0" w:color="auto"/>
      </w:divBdr>
      <w:divsChild>
        <w:div w:id="1704868788">
          <w:marLeft w:val="0"/>
          <w:marRight w:val="0"/>
          <w:marTop w:val="0"/>
          <w:marBottom w:val="0"/>
          <w:divBdr>
            <w:top w:val="none" w:sz="0" w:space="0" w:color="auto"/>
            <w:left w:val="none" w:sz="0" w:space="0" w:color="auto"/>
            <w:bottom w:val="none" w:sz="0" w:space="0" w:color="auto"/>
            <w:right w:val="none" w:sz="0" w:space="0" w:color="auto"/>
          </w:divBdr>
          <w:divsChild>
            <w:div w:id="2028552890">
              <w:marLeft w:val="0"/>
              <w:marRight w:val="0"/>
              <w:marTop w:val="0"/>
              <w:marBottom w:val="0"/>
              <w:divBdr>
                <w:top w:val="none" w:sz="0" w:space="0" w:color="auto"/>
                <w:left w:val="none" w:sz="0" w:space="0" w:color="auto"/>
                <w:bottom w:val="none" w:sz="0" w:space="0" w:color="auto"/>
                <w:right w:val="none" w:sz="0" w:space="0" w:color="auto"/>
              </w:divBdr>
              <w:divsChild>
                <w:div w:id="1037126958">
                  <w:marLeft w:val="0"/>
                  <w:marRight w:val="0"/>
                  <w:marTop w:val="0"/>
                  <w:marBottom w:val="0"/>
                  <w:divBdr>
                    <w:top w:val="none" w:sz="0" w:space="0" w:color="auto"/>
                    <w:left w:val="none" w:sz="0" w:space="0" w:color="auto"/>
                    <w:bottom w:val="none" w:sz="0" w:space="0" w:color="auto"/>
                    <w:right w:val="none" w:sz="0" w:space="0" w:color="auto"/>
                  </w:divBdr>
                  <w:divsChild>
                    <w:div w:id="1701004728">
                      <w:marLeft w:val="0"/>
                      <w:marRight w:val="0"/>
                      <w:marTop w:val="0"/>
                      <w:marBottom w:val="0"/>
                      <w:divBdr>
                        <w:top w:val="none" w:sz="0" w:space="0" w:color="auto"/>
                        <w:left w:val="none" w:sz="0" w:space="0" w:color="auto"/>
                        <w:bottom w:val="none" w:sz="0" w:space="0" w:color="auto"/>
                        <w:right w:val="none" w:sz="0" w:space="0" w:color="auto"/>
                      </w:divBdr>
                      <w:divsChild>
                        <w:div w:id="1689867246">
                          <w:marLeft w:val="0"/>
                          <w:marRight w:val="0"/>
                          <w:marTop w:val="0"/>
                          <w:marBottom w:val="0"/>
                          <w:divBdr>
                            <w:top w:val="none" w:sz="0" w:space="0" w:color="auto"/>
                            <w:left w:val="none" w:sz="0" w:space="0" w:color="auto"/>
                            <w:bottom w:val="none" w:sz="0" w:space="0" w:color="auto"/>
                            <w:right w:val="none" w:sz="0" w:space="0" w:color="auto"/>
                          </w:divBdr>
                          <w:divsChild>
                            <w:div w:id="3058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74421">
      <w:bodyDiv w:val="1"/>
      <w:marLeft w:val="0"/>
      <w:marRight w:val="0"/>
      <w:marTop w:val="0"/>
      <w:marBottom w:val="0"/>
      <w:divBdr>
        <w:top w:val="none" w:sz="0" w:space="0" w:color="auto"/>
        <w:left w:val="none" w:sz="0" w:space="0" w:color="auto"/>
        <w:bottom w:val="none" w:sz="0" w:space="0" w:color="auto"/>
        <w:right w:val="none" w:sz="0" w:space="0" w:color="auto"/>
      </w:divBdr>
    </w:div>
    <w:div w:id="637806269">
      <w:bodyDiv w:val="1"/>
      <w:marLeft w:val="0"/>
      <w:marRight w:val="0"/>
      <w:marTop w:val="0"/>
      <w:marBottom w:val="0"/>
      <w:divBdr>
        <w:top w:val="none" w:sz="0" w:space="0" w:color="auto"/>
        <w:left w:val="none" w:sz="0" w:space="0" w:color="auto"/>
        <w:bottom w:val="none" w:sz="0" w:space="0" w:color="auto"/>
        <w:right w:val="none" w:sz="0" w:space="0" w:color="auto"/>
      </w:divBdr>
    </w:div>
    <w:div w:id="1243370168">
      <w:bodyDiv w:val="1"/>
      <w:marLeft w:val="0"/>
      <w:marRight w:val="0"/>
      <w:marTop w:val="0"/>
      <w:marBottom w:val="0"/>
      <w:divBdr>
        <w:top w:val="none" w:sz="0" w:space="0" w:color="auto"/>
        <w:left w:val="none" w:sz="0" w:space="0" w:color="auto"/>
        <w:bottom w:val="none" w:sz="0" w:space="0" w:color="auto"/>
        <w:right w:val="none" w:sz="0" w:space="0" w:color="auto"/>
      </w:divBdr>
      <w:divsChild>
        <w:div w:id="434399965">
          <w:marLeft w:val="0"/>
          <w:marRight w:val="0"/>
          <w:marTop w:val="0"/>
          <w:marBottom w:val="0"/>
          <w:divBdr>
            <w:top w:val="none" w:sz="0" w:space="0" w:color="auto"/>
            <w:left w:val="none" w:sz="0" w:space="0" w:color="auto"/>
            <w:bottom w:val="none" w:sz="0" w:space="0" w:color="auto"/>
            <w:right w:val="none" w:sz="0" w:space="0" w:color="auto"/>
          </w:divBdr>
          <w:divsChild>
            <w:div w:id="1755130360">
              <w:marLeft w:val="0"/>
              <w:marRight w:val="0"/>
              <w:marTop w:val="0"/>
              <w:marBottom w:val="0"/>
              <w:divBdr>
                <w:top w:val="none" w:sz="0" w:space="0" w:color="auto"/>
                <w:left w:val="none" w:sz="0" w:space="0" w:color="auto"/>
                <w:bottom w:val="none" w:sz="0" w:space="0" w:color="auto"/>
                <w:right w:val="none" w:sz="0" w:space="0" w:color="auto"/>
              </w:divBdr>
              <w:divsChild>
                <w:div w:id="971599942">
                  <w:marLeft w:val="0"/>
                  <w:marRight w:val="0"/>
                  <w:marTop w:val="0"/>
                  <w:marBottom w:val="0"/>
                  <w:divBdr>
                    <w:top w:val="none" w:sz="0" w:space="0" w:color="auto"/>
                    <w:left w:val="none" w:sz="0" w:space="0" w:color="auto"/>
                    <w:bottom w:val="none" w:sz="0" w:space="0" w:color="auto"/>
                    <w:right w:val="none" w:sz="0" w:space="0" w:color="auto"/>
                  </w:divBdr>
                  <w:divsChild>
                    <w:div w:id="520507439">
                      <w:marLeft w:val="0"/>
                      <w:marRight w:val="0"/>
                      <w:marTop w:val="0"/>
                      <w:marBottom w:val="0"/>
                      <w:divBdr>
                        <w:top w:val="none" w:sz="0" w:space="0" w:color="auto"/>
                        <w:left w:val="none" w:sz="0" w:space="0" w:color="auto"/>
                        <w:bottom w:val="none" w:sz="0" w:space="0" w:color="auto"/>
                        <w:right w:val="none" w:sz="0" w:space="0" w:color="auto"/>
                      </w:divBdr>
                      <w:divsChild>
                        <w:div w:id="907768190">
                          <w:marLeft w:val="0"/>
                          <w:marRight w:val="0"/>
                          <w:marTop w:val="0"/>
                          <w:marBottom w:val="0"/>
                          <w:divBdr>
                            <w:top w:val="none" w:sz="0" w:space="0" w:color="auto"/>
                            <w:left w:val="none" w:sz="0" w:space="0" w:color="auto"/>
                            <w:bottom w:val="none" w:sz="0" w:space="0" w:color="auto"/>
                            <w:right w:val="none" w:sz="0" w:space="0" w:color="auto"/>
                          </w:divBdr>
                          <w:divsChild>
                            <w:div w:id="13162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75575">
      <w:bodyDiv w:val="1"/>
      <w:marLeft w:val="0"/>
      <w:marRight w:val="0"/>
      <w:marTop w:val="0"/>
      <w:marBottom w:val="0"/>
      <w:divBdr>
        <w:top w:val="none" w:sz="0" w:space="0" w:color="auto"/>
        <w:left w:val="none" w:sz="0" w:space="0" w:color="auto"/>
        <w:bottom w:val="none" w:sz="0" w:space="0" w:color="auto"/>
        <w:right w:val="none" w:sz="0" w:space="0" w:color="auto"/>
      </w:divBdr>
      <w:divsChild>
        <w:div w:id="2048218030">
          <w:marLeft w:val="0"/>
          <w:marRight w:val="0"/>
          <w:marTop w:val="0"/>
          <w:marBottom w:val="0"/>
          <w:divBdr>
            <w:top w:val="none" w:sz="0" w:space="0" w:color="auto"/>
            <w:left w:val="none" w:sz="0" w:space="0" w:color="auto"/>
            <w:bottom w:val="none" w:sz="0" w:space="0" w:color="auto"/>
            <w:right w:val="none" w:sz="0" w:space="0" w:color="auto"/>
          </w:divBdr>
          <w:divsChild>
            <w:div w:id="1138181895">
              <w:marLeft w:val="0"/>
              <w:marRight w:val="0"/>
              <w:marTop w:val="0"/>
              <w:marBottom w:val="0"/>
              <w:divBdr>
                <w:top w:val="none" w:sz="0" w:space="0" w:color="auto"/>
                <w:left w:val="none" w:sz="0" w:space="0" w:color="auto"/>
                <w:bottom w:val="none" w:sz="0" w:space="0" w:color="auto"/>
                <w:right w:val="none" w:sz="0" w:space="0" w:color="auto"/>
              </w:divBdr>
              <w:divsChild>
                <w:div w:id="770586950">
                  <w:marLeft w:val="0"/>
                  <w:marRight w:val="0"/>
                  <w:marTop w:val="0"/>
                  <w:marBottom w:val="0"/>
                  <w:divBdr>
                    <w:top w:val="none" w:sz="0" w:space="0" w:color="auto"/>
                    <w:left w:val="none" w:sz="0" w:space="0" w:color="auto"/>
                    <w:bottom w:val="none" w:sz="0" w:space="0" w:color="auto"/>
                    <w:right w:val="none" w:sz="0" w:space="0" w:color="auto"/>
                  </w:divBdr>
                  <w:divsChild>
                    <w:div w:id="1899591643">
                      <w:marLeft w:val="0"/>
                      <w:marRight w:val="0"/>
                      <w:marTop w:val="0"/>
                      <w:marBottom w:val="0"/>
                      <w:divBdr>
                        <w:top w:val="none" w:sz="0" w:space="0" w:color="auto"/>
                        <w:left w:val="none" w:sz="0" w:space="0" w:color="auto"/>
                        <w:bottom w:val="none" w:sz="0" w:space="0" w:color="auto"/>
                        <w:right w:val="none" w:sz="0" w:space="0" w:color="auto"/>
                      </w:divBdr>
                      <w:divsChild>
                        <w:div w:id="764957164">
                          <w:marLeft w:val="0"/>
                          <w:marRight w:val="0"/>
                          <w:marTop w:val="0"/>
                          <w:marBottom w:val="0"/>
                          <w:divBdr>
                            <w:top w:val="none" w:sz="0" w:space="0" w:color="auto"/>
                            <w:left w:val="none" w:sz="0" w:space="0" w:color="auto"/>
                            <w:bottom w:val="none" w:sz="0" w:space="0" w:color="auto"/>
                            <w:right w:val="none" w:sz="0" w:space="0" w:color="auto"/>
                          </w:divBdr>
                          <w:divsChild>
                            <w:div w:id="1919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712">
      <w:bodyDiv w:val="1"/>
      <w:marLeft w:val="0"/>
      <w:marRight w:val="0"/>
      <w:marTop w:val="0"/>
      <w:marBottom w:val="0"/>
      <w:divBdr>
        <w:top w:val="none" w:sz="0" w:space="0" w:color="auto"/>
        <w:left w:val="none" w:sz="0" w:space="0" w:color="auto"/>
        <w:bottom w:val="none" w:sz="0" w:space="0" w:color="auto"/>
        <w:right w:val="none" w:sz="0" w:space="0" w:color="auto"/>
      </w:divBdr>
    </w:div>
    <w:div w:id="1354917855">
      <w:bodyDiv w:val="1"/>
      <w:marLeft w:val="0"/>
      <w:marRight w:val="0"/>
      <w:marTop w:val="0"/>
      <w:marBottom w:val="0"/>
      <w:divBdr>
        <w:top w:val="none" w:sz="0" w:space="0" w:color="auto"/>
        <w:left w:val="none" w:sz="0" w:space="0" w:color="auto"/>
        <w:bottom w:val="none" w:sz="0" w:space="0" w:color="auto"/>
        <w:right w:val="none" w:sz="0" w:space="0" w:color="auto"/>
      </w:divBdr>
    </w:div>
    <w:div w:id="1765225852">
      <w:bodyDiv w:val="1"/>
      <w:marLeft w:val="0"/>
      <w:marRight w:val="0"/>
      <w:marTop w:val="0"/>
      <w:marBottom w:val="0"/>
      <w:divBdr>
        <w:top w:val="none" w:sz="0" w:space="0" w:color="auto"/>
        <w:left w:val="none" w:sz="0" w:space="0" w:color="auto"/>
        <w:bottom w:val="none" w:sz="0" w:space="0" w:color="auto"/>
        <w:right w:val="none" w:sz="0" w:space="0" w:color="auto"/>
      </w:divBdr>
    </w:div>
    <w:div w:id="179471011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47">
          <w:marLeft w:val="0"/>
          <w:marRight w:val="0"/>
          <w:marTop w:val="0"/>
          <w:marBottom w:val="0"/>
          <w:divBdr>
            <w:top w:val="none" w:sz="0" w:space="0" w:color="auto"/>
            <w:left w:val="none" w:sz="0" w:space="0" w:color="auto"/>
            <w:bottom w:val="none" w:sz="0" w:space="0" w:color="auto"/>
            <w:right w:val="none" w:sz="0" w:space="0" w:color="auto"/>
          </w:divBdr>
          <w:divsChild>
            <w:div w:id="1926760165">
              <w:marLeft w:val="0"/>
              <w:marRight w:val="0"/>
              <w:marTop w:val="0"/>
              <w:marBottom w:val="0"/>
              <w:divBdr>
                <w:top w:val="none" w:sz="0" w:space="0" w:color="auto"/>
                <w:left w:val="none" w:sz="0" w:space="0" w:color="auto"/>
                <w:bottom w:val="none" w:sz="0" w:space="0" w:color="auto"/>
                <w:right w:val="none" w:sz="0" w:space="0" w:color="auto"/>
              </w:divBdr>
              <w:divsChild>
                <w:div w:id="152764989">
                  <w:marLeft w:val="0"/>
                  <w:marRight w:val="0"/>
                  <w:marTop w:val="0"/>
                  <w:marBottom w:val="0"/>
                  <w:divBdr>
                    <w:top w:val="none" w:sz="0" w:space="0" w:color="auto"/>
                    <w:left w:val="none" w:sz="0" w:space="0" w:color="auto"/>
                    <w:bottom w:val="none" w:sz="0" w:space="0" w:color="auto"/>
                    <w:right w:val="none" w:sz="0" w:space="0" w:color="auto"/>
                  </w:divBdr>
                  <w:divsChild>
                    <w:div w:id="911037379">
                      <w:marLeft w:val="0"/>
                      <w:marRight w:val="0"/>
                      <w:marTop w:val="0"/>
                      <w:marBottom w:val="0"/>
                      <w:divBdr>
                        <w:top w:val="none" w:sz="0" w:space="0" w:color="auto"/>
                        <w:left w:val="none" w:sz="0" w:space="0" w:color="auto"/>
                        <w:bottom w:val="none" w:sz="0" w:space="0" w:color="auto"/>
                        <w:right w:val="none" w:sz="0" w:space="0" w:color="auto"/>
                      </w:divBdr>
                      <w:divsChild>
                        <w:div w:id="705299748">
                          <w:marLeft w:val="0"/>
                          <w:marRight w:val="0"/>
                          <w:marTop w:val="0"/>
                          <w:marBottom w:val="0"/>
                          <w:divBdr>
                            <w:top w:val="none" w:sz="0" w:space="0" w:color="auto"/>
                            <w:left w:val="none" w:sz="0" w:space="0" w:color="auto"/>
                            <w:bottom w:val="none" w:sz="0" w:space="0" w:color="auto"/>
                            <w:right w:val="none" w:sz="0" w:space="0" w:color="auto"/>
                          </w:divBdr>
                          <w:divsChild>
                            <w:div w:id="1087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4077">
      <w:bodyDiv w:val="1"/>
      <w:marLeft w:val="0"/>
      <w:marRight w:val="0"/>
      <w:marTop w:val="0"/>
      <w:marBottom w:val="0"/>
      <w:divBdr>
        <w:top w:val="none" w:sz="0" w:space="0" w:color="auto"/>
        <w:left w:val="none" w:sz="0" w:space="0" w:color="auto"/>
        <w:bottom w:val="none" w:sz="0" w:space="0" w:color="auto"/>
        <w:right w:val="none" w:sz="0" w:space="0" w:color="auto"/>
      </w:divBdr>
    </w:div>
    <w:div w:id="2022463544">
      <w:bodyDiv w:val="1"/>
      <w:marLeft w:val="0"/>
      <w:marRight w:val="0"/>
      <w:marTop w:val="0"/>
      <w:marBottom w:val="0"/>
      <w:divBdr>
        <w:top w:val="none" w:sz="0" w:space="0" w:color="auto"/>
        <w:left w:val="none" w:sz="0" w:space="0" w:color="auto"/>
        <w:bottom w:val="none" w:sz="0" w:space="0" w:color="auto"/>
        <w:right w:val="none" w:sz="0" w:space="0" w:color="auto"/>
      </w:divBdr>
    </w:div>
    <w:div w:id="2044593092">
      <w:bodyDiv w:val="1"/>
      <w:marLeft w:val="0"/>
      <w:marRight w:val="0"/>
      <w:marTop w:val="0"/>
      <w:marBottom w:val="0"/>
      <w:divBdr>
        <w:top w:val="none" w:sz="0" w:space="0" w:color="auto"/>
        <w:left w:val="none" w:sz="0" w:space="0" w:color="auto"/>
        <w:bottom w:val="none" w:sz="0" w:space="0" w:color="auto"/>
        <w:right w:val="none" w:sz="0" w:space="0" w:color="auto"/>
      </w:divBdr>
    </w:div>
    <w:div w:id="2051880244">
      <w:bodyDiv w:val="1"/>
      <w:marLeft w:val="0"/>
      <w:marRight w:val="0"/>
      <w:marTop w:val="0"/>
      <w:marBottom w:val="0"/>
      <w:divBdr>
        <w:top w:val="none" w:sz="0" w:space="0" w:color="auto"/>
        <w:left w:val="none" w:sz="0" w:space="0" w:color="auto"/>
        <w:bottom w:val="none" w:sz="0" w:space="0" w:color="auto"/>
        <w:right w:val="none" w:sz="0" w:space="0" w:color="auto"/>
      </w:divBdr>
      <w:divsChild>
        <w:div w:id="9332086">
          <w:marLeft w:val="0"/>
          <w:marRight w:val="0"/>
          <w:marTop w:val="0"/>
          <w:marBottom w:val="0"/>
          <w:divBdr>
            <w:top w:val="none" w:sz="0" w:space="0" w:color="auto"/>
            <w:left w:val="none" w:sz="0" w:space="0" w:color="auto"/>
            <w:bottom w:val="none" w:sz="0" w:space="0" w:color="auto"/>
            <w:right w:val="none" w:sz="0" w:space="0" w:color="auto"/>
          </w:divBdr>
          <w:divsChild>
            <w:div w:id="598948251">
              <w:marLeft w:val="0"/>
              <w:marRight w:val="0"/>
              <w:marTop w:val="0"/>
              <w:marBottom w:val="0"/>
              <w:divBdr>
                <w:top w:val="none" w:sz="0" w:space="0" w:color="auto"/>
                <w:left w:val="none" w:sz="0" w:space="0" w:color="auto"/>
                <w:bottom w:val="none" w:sz="0" w:space="0" w:color="auto"/>
                <w:right w:val="none" w:sz="0" w:space="0" w:color="auto"/>
              </w:divBdr>
              <w:divsChild>
                <w:div w:id="2054112839">
                  <w:marLeft w:val="0"/>
                  <w:marRight w:val="0"/>
                  <w:marTop w:val="0"/>
                  <w:marBottom w:val="0"/>
                  <w:divBdr>
                    <w:top w:val="none" w:sz="0" w:space="0" w:color="auto"/>
                    <w:left w:val="none" w:sz="0" w:space="0" w:color="auto"/>
                    <w:bottom w:val="none" w:sz="0" w:space="0" w:color="auto"/>
                    <w:right w:val="none" w:sz="0" w:space="0" w:color="auto"/>
                  </w:divBdr>
                  <w:divsChild>
                    <w:div w:id="554001541">
                      <w:marLeft w:val="0"/>
                      <w:marRight w:val="0"/>
                      <w:marTop w:val="0"/>
                      <w:marBottom w:val="0"/>
                      <w:divBdr>
                        <w:top w:val="none" w:sz="0" w:space="0" w:color="auto"/>
                        <w:left w:val="none" w:sz="0" w:space="0" w:color="auto"/>
                        <w:bottom w:val="none" w:sz="0" w:space="0" w:color="auto"/>
                        <w:right w:val="none" w:sz="0" w:space="0" w:color="auto"/>
                      </w:divBdr>
                      <w:divsChild>
                        <w:div w:id="702091756">
                          <w:marLeft w:val="0"/>
                          <w:marRight w:val="0"/>
                          <w:marTop w:val="0"/>
                          <w:marBottom w:val="0"/>
                          <w:divBdr>
                            <w:top w:val="none" w:sz="0" w:space="0" w:color="auto"/>
                            <w:left w:val="none" w:sz="0" w:space="0" w:color="auto"/>
                            <w:bottom w:val="none" w:sz="0" w:space="0" w:color="auto"/>
                            <w:right w:val="none" w:sz="0" w:space="0" w:color="auto"/>
                          </w:divBdr>
                          <w:divsChild>
                            <w:div w:id="1131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71491-CA8A-413C-99B5-CD8F3B4E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COT.DOTM</Template>
  <TotalTime>69</TotalTime>
  <Pages>4</Pages>
  <Words>1117</Words>
  <Characters>7072</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8151</CharactersWithSpaces>
  <SharedDoc>false</SharedDoc>
  <HLinks>
    <vt:vector size="330" baseType="variant">
      <vt:variant>
        <vt:i4>7602294</vt:i4>
      </vt:variant>
      <vt:variant>
        <vt:i4>318</vt:i4>
      </vt:variant>
      <vt:variant>
        <vt:i4>0</vt:i4>
      </vt:variant>
      <vt:variant>
        <vt:i4>5</vt:i4>
      </vt:variant>
      <vt:variant>
        <vt:lpwstr>http://www.dutchsecuritisation.nl/documentation</vt:lpwstr>
      </vt:variant>
      <vt:variant>
        <vt:lpwstr/>
      </vt:variant>
      <vt:variant>
        <vt:i4>1507396</vt:i4>
      </vt:variant>
      <vt:variant>
        <vt:i4>315</vt:i4>
      </vt:variant>
      <vt:variant>
        <vt:i4>0</vt:i4>
      </vt:variant>
      <vt:variant>
        <vt:i4>5</vt:i4>
      </vt:variant>
      <vt:variant>
        <vt:lpwstr>http://www.dutchsecuritisation.nl/investor-reporting</vt:lpwstr>
      </vt:variant>
      <vt:variant>
        <vt:lpwstr/>
      </vt:variant>
      <vt:variant>
        <vt:i4>1900597</vt:i4>
      </vt:variant>
      <vt:variant>
        <vt:i4>302</vt:i4>
      </vt:variant>
      <vt:variant>
        <vt:i4>0</vt:i4>
      </vt:variant>
      <vt:variant>
        <vt:i4>5</vt:i4>
      </vt:variant>
      <vt:variant>
        <vt:lpwstr/>
      </vt:variant>
      <vt:variant>
        <vt:lpwstr>_Toc421891915</vt:lpwstr>
      </vt:variant>
      <vt:variant>
        <vt:i4>1900597</vt:i4>
      </vt:variant>
      <vt:variant>
        <vt:i4>296</vt:i4>
      </vt:variant>
      <vt:variant>
        <vt:i4>0</vt:i4>
      </vt:variant>
      <vt:variant>
        <vt:i4>5</vt:i4>
      </vt:variant>
      <vt:variant>
        <vt:lpwstr/>
      </vt:variant>
      <vt:variant>
        <vt:lpwstr>_Toc421891914</vt:lpwstr>
      </vt:variant>
      <vt:variant>
        <vt:i4>1900597</vt:i4>
      </vt:variant>
      <vt:variant>
        <vt:i4>290</vt:i4>
      </vt:variant>
      <vt:variant>
        <vt:i4>0</vt:i4>
      </vt:variant>
      <vt:variant>
        <vt:i4>5</vt:i4>
      </vt:variant>
      <vt:variant>
        <vt:lpwstr/>
      </vt:variant>
      <vt:variant>
        <vt:lpwstr>_Toc421891913</vt:lpwstr>
      </vt:variant>
      <vt:variant>
        <vt:i4>1900597</vt:i4>
      </vt:variant>
      <vt:variant>
        <vt:i4>284</vt:i4>
      </vt:variant>
      <vt:variant>
        <vt:i4>0</vt:i4>
      </vt:variant>
      <vt:variant>
        <vt:i4>5</vt:i4>
      </vt:variant>
      <vt:variant>
        <vt:lpwstr/>
      </vt:variant>
      <vt:variant>
        <vt:lpwstr>_Toc421891912</vt:lpwstr>
      </vt:variant>
      <vt:variant>
        <vt:i4>1900597</vt:i4>
      </vt:variant>
      <vt:variant>
        <vt:i4>278</vt:i4>
      </vt:variant>
      <vt:variant>
        <vt:i4>0</vt:i4>
      </vt:variant>
      <vt:variant>
        <vt:i4>5</vt:i4>
      </vt:variant>
      <vt:variant>
        <vt:lpwstr/>
      </vt:variant>
      <vt:variant>
        <vt:lpwstr>_Toc421891911</vt:lpwstr>
      </vt:variant>
      <vt:variant>
        <vt:i4>1900597</vt:i4>
      </vt:variant>
      <vt:variant>
        <vt:i4>272</vt:i4>
      </vt:variant>
      <vt:variant>
        <vt:i4>0</vt:i4>
      </vt:variant>
      <vt:variant>
        <vt:i4>5</vt:i4>
      </vt:variant>
      <vt:variant>
        <vt:lpwstr/>
      </vt:variant>
      <vt:variant>
        <vt:lpwstr>_Toc421891910</vt:lpwstr>
      </vt:variant>
      <vt:variant>
        <vt:i4>1835061</vt:i4>
      </vt:variant>
      <vt:variant>
        <vt:i4>266</vt:i4>
      </vt:variant>
      <vt:variant>
        <vt:i4>0</vt:i4>
      </vt:variant>
      <vt:variant>
        <vt:i4>5</vt:i4>
      </vt:variant>
      <vt:variant>
        <vt:lpwstr/>
      </vt:variant>
      <vt:variant>
        <vt:lpwstr>_Toc421891909</vt:lpwstr>
      </vt:variant>
      <vt:variant>
        <vt:i4>1835061</vt:i4>
      </vt:variant>
      <vt:variant>
        <vt:i4>260</vt:i4>
      </vt:variant>
      <vt:variant>
        <vt:i4>0</vt:i4>
      </vt:variant>
      <vt:variant>
        <vt:i4>5</vt:i4>
      </vt:variant>
      <vt:variant>
        <vt:lpwstr/>
      </vt:variant>
      <vt:variant>
        <vt:lpwstr>_Toc421891908</vt:lpwstr>
      </vt:variant>
      <vt:variant>
        <vt:i4>1835061</vt:i4>
      </vt:variant>
      <vt:variant>
        <vt:i4>254</vt:i4>
      </vt:variant>
      <vt:variant>
        <vt:i4>0</vt:i4>
      </vt:variant>
      <vt:variant>
        <vt:i4>5</vt:i4>
      </vt:variant>
      <vt:variant>
        <vt:lpwstr/>
      </vt:variant>
      <vt:variant>
        <vt:lpwstr>_Toc421891907</vt:lpwstr>
      </vt:variant>
      <vt:variant>
        <vt:i4>1835061</vt:i4>
      </vt:variant>
      <vt:variant>
        <vt:i4>248</vt:i4>
      </vt:variant>
      <vt:variant>
        <vt:i4>0</vt:i4>
      </vt:variant>
      <vt:variant>
        <vt:i4>5</vt:i4>
      </vt:variant>
      <vt:variant>
        <vt:lpwstr/>
      </vt:variant>
      <vt:variant>
        <vt:lpwstr>_Toc421891906</vt:lpwstr>
      </vt:variant>
      <vt:variant>
        <vt:i4>1835061</vt:i4>
      </vt:variant>
      <vt:variant>
        <vt:i4>242</vt:i4>
      </vt:variant>
      <vt:variant>
        <vt:i4>0</vt:i4>
      </vt:variant>
      <vt:variant>
        <vt:i4>5</vt:i4>
      </vt:variant>
      <vt:variant>
        <vt:lpwstr/>
      </vt:variant>
      <vt:variant>
        <vt:lpwstr>_Toc421891905</vt:lpwstr>
      </vt:variant>
      <vt:variant>
        <vt:i4>1835061</vt:i4>
      </vt:variant>
      <vt:variant>
        <vt:i4>236</vt:i4>
      </vt:variant>
      <vt:variant>
        <vt:i4>0</vt:i4>
      </vt:variant>
      <vt:variant>
        <vt:i4>5</vt:i4>
      </vt:variant>
      <vt:variant>
        <vt:lpwstr/>
      </vt:variant>
      <vt:variant>
        <vt:lpwstr>_Toc421891904</vt:lpwstr>
      </vt:variant>
      <vt:variant>
        <vt:i4>1835061</vt:i4>
      </vt:variant>
      <vt:variant>
        <vt:i4>230</vt:i4>
      </vt:variant>
      <vt:variant>
        <vt:i4>0</vt:i4>
      </vt:variant>
      <vt:variant>
        <vt:i4>5</vt:i4>
      </vt:variant>
      <vt:variant>
        <vt:lpwstr/>
      </vt:variant>
      <vt:variant>
        <vt:lpwstr>_Toc421891903</vt:lpwstr>
      </vt:variant>
      <vt:variant>
        <vt:i4>1835061</vt:i4>
      </vt:variant>
      <vt:variant>
        <vt:i4>224</vt:i4>
      </vt:variant>
      <vt:variant>
        <vt:i4>0</vt:i4>
      </vt:variant>
      <vt:variant>
        <vt:i4>5</vt:i4>
      </vt:variant>
      <vt:variant>
        <vt:lpwstr/>
      </vt:variant>
      <vt:variant>
        <vt:lpwstr>_Toc421891902</vt:lpwstr>
      </vt:variant>
      <vt:variant>
        <vt:i4>1835061</vt:i4>
      </vt:variant>
      <vt:variant>
        <vt:i4>218</vt:i4>
      </vt:variant>
      <vt:variant>
        <vt:i4>0</vt:i4>
      </vt:variant>
      <vt:variant>
        <vt:i4>5</vt:i4>
      </vt:variant>
      <vt:variant>
        <vt:lpwstr/>
      </vt:variant>
      <vt:variant>
        <vt:lpwstr>_Toc421891901</vt:lpwstr>
      </vt:variant>
      <vt:variant>
        <vt:i4>1835061</vt:i4>
      </vt:variant>
      <vt:variant>
        <vt:i4>212</vt:i4>
      </vt:variant>
      <vt:variant>
        <vt:i4>0</vt:i4>
      </vt:variant>
      <vt:variant>
        <vt:i4>5</vt:i4>
      </vt:variant>
      <vt:variant>
        <vt:lpwstr/>
      </vt:variant>
      <vt:variant>
        <vt:lpwstr>_Toc421891900</vt:lpwstr>
      </vt:variant>
      <vt:variant>
        <vt:i4>1376308</vt:i4>
      </vt:variant>
      <vt:variant>
        <vt:i4>206</vt:i4>
      </vt:variant>
      <vt:variant>
        <vt:i4>0</vt:i4>
      </vt:variant>
      <vt:variant>
        <vt:i4>5</vt:i4>
      </vt:variant>
      <vt:variant>
        <vt:lpwstr/>
      </vt:variant>
      <vt:variant>
        <vt:lpwstr>_Toc421891899</vt:lpwstr>
      </vt:variant>
      <vt:variant>
        <vt:i4>1376308</vt:i4>
      </vt:variant>
      <vt:variant>
        <vt:i4>200</vt:i4>
      </vt:variant>
      <vt:variant>
        <vt:i4>0</vt:i4>
      </vt:variant>
      <vt:variant>
        <vt:i4>5</vt:i4>
      </vt:variant>
      <vt:variant>
        <vt:lpwstr/>
      </vt:variant>
      <vt:variant>
        <vt:lpwstr>_Toc421891898</vt:lpwstr>
      </vt:variant>
      <vt:variant>
        <vt:i4>1376308</vt:i4>
      </vt:variant>
      <vt:variant>
        <vt:i4>194</vt:i4>
      </vt:variant>
      <vt:variant>
        <vt:i4>0</vt:i4>
      </vt:variant>
      <vt:variant>
        <vt:i4>5</vt:i4>
      </vt:variant>
      <vt:variant>
        <vt:lpwstr/>
      </vt:variant>
      <vt:variant>
        <vt:lpwstr>_Toc421891897</vt:lpwstr>
      </vt:variant>
      <vt:variant>
        <vt:i4>1376308</vt:i4>
      </vt:variant>
      <vt:variant>
        <vt:i4>188</vt:i4>
      </vt:variant>
      <vt:variant>
        <vt:i4>0</vt:i4>
      </vt:variant>
      <vt:variant>
        <vt:i4>5</vt:i4>
      </vt:variant>
      <vt:variant>
        <vt:lpwstr/>
      </vt:variant>
      <vt:variant>
        <vt:lpwstr>_Toc421891896</vt:lpwstr>
      </vt:variant>
      <vt:variant>
        <vt:i4>1376308</vt:i4>
      </vt:variant>
      <vt:variant>
        <vt:i4>182</vt:i4>
      </vt:variant>
      <vt:variant>
        <vt:i4>0</vt:i4>
      </vt:variant>
      <vt:variant>
        <vt:i4>5</vt:i4>
      </vt:variant>
      <vt:variant>
        <vt:lpwstr/>
      </vt:variant>
      <vt:variant>
        <vt:lpwstr>_Toc421891895</vt:lpwstr>
      </vt:variant>
      <vt:variant>
        <vt:i4>1376308</vt:i4>
      </vt:variant>
      <vt:variant>
        <vt:i4>176</vt:i4>
      </vt:variant>
      <vt:variant>
        <vt:i4>0</vt:i4>
      </vt:variant>
      <vt:variant>
        <vt:i4>5</vt:i4>
      </vt:variant>
      <vt:variant>
        <vt:lpwstr/>
      </vt:variant>
      <vt:variant>
        <vt:lpwstr>_Toc421891894</vt:lpwstr>
      </vt:variant>
      <vt:variant>
        <vt:i4>1376308</vt:i4>
      </vt:variant>
      <vt:variant>
        <vt:i4>170</vt:i4>
      </vt:variant>
      <vt:variant>
        <vt:i4>0</vt:i4>
      </vt:variant>
      <vt:variant>
        <vt:i4>5</vt:i4>
      </vt:variant>
      <vt:variant>
        <vt:lpwstr/>
      </vt:variant>
      <vt:variant>
        <vt:lpwstr>_Toc421891893</vt:lpwstr>
      </vt:variant>
      <vt:variant>
        <vt:i4>1376308</vt:i4>
      </vt:variant>
      <vt:variant>
        <vt:i4>164</vt:i4>
      </vt:variant>
      <vt:variant>
        <vt:i4>0</vt:i4>
      </vt:variant>
      <vt:variant>
        <vt:i4>5</vt:i4>
      </vt:variant>
      <vt:variant>
        <vt:lpwstr/>
      </vt:variant>
      <vt:variant>
        <vt:lpwstr>_Toc421891892</vt:lpwstr>
      </vt:variant>
      <vt:variant>
        <vt:i4>1376308</vt:i4>
      </vt:variant>
      <vt:variant>
        <vt:i4>158</vt:i4>
      </vt:variant>
      <vt:variant>
        <vt:i4>0</vt:i4>
      </vt:variant>
      <vt:variant>
        <vt:i4>5</vt:i4>
      </vt:variant>
      <vt:variant>
        <vt:lpwstr/>
      </vt:variant>
      <vt:variant>
        <vt:lpwstr>_Toc421891891</vt:lpwstr>
      </vt:variant>
      <vt:variant>
        <vt:i4>1376308</vt:i4>
      </vt:variant>
      <vt:variant>
        <vt:i4>152</vt:i4>
      </vt:variant>
      <vt:variant>
        <vt:i4>0</vt:i4>
      </vt:variant>
      <vt:variant>
        <vt:i4>5</vt:i4>
      </vt:variant>
      <vt:variant>
        <vt:lpwstr/>
      </vt:variant>
      <vt:variant>
        <vt:lpwstr>_Toc421891890</vt:lpwstr>
      </vt:variant>
      <vt:variant>
        <vt:i4>1310772</vt:i4>
      </vt:variant>
      <vt:variant>
        <vt:i4>146</vt:i4>
      </vt:variant>
      <vt:variant>
        <vt:i4>0</vt:i4>
      </vt:variant>
      <vt:variant>
        <vt:i4>5</vt:i4>
      </vt:variant>
      <vt:variant>
        <vt:lpwstr/>
      </vt:variant>
      <vt:variant>
        <vt:lpwstr>_Toc421891889</vt:lpwstr>
      </vt:variant>
      <vt:variant>
        <vt:i4>1310772</vt:i4>
      </vt:variant>
      <vt:variant>
        <vt:i4>140</vt:i4>
      </vt:variant>
      <vt:variant>
        <vt:i4>0</vt:i4>
      </vt:variant>
      <vt:variant>
        <vt:i4>5</vt:i4>
      </vt:variant>
      <vt:variant>
        <vt:lpwstr/>
      </vt:variant>
      <vt:variant>
        <vt:lpwstr>_Toc421891888</vt:lpwstr>
      </vt:variant>
      <vt:variant>
        <vt:i4>1310772</vt:i4>
      </vt:variant>
      <vt:variant>
        <vt:i4>134</vt:i4>
      </vt:variant>
      <vt:variant>
        <vt:i4>0</vt:i4>
      </vt:variant>
      <vt:variant>
        <vt:i4>5</vt:i4>
      </vt:variant>
      <vt:variant>
        <vt:lpwstr/>
      </vt:variant>
      <vt:variant>
        <vt:lpwstr>_Toc421891887</vt:lpwstr>
      </vt:variant>
      <vt:variant>
        <vt:i4>1310772</vt:i4>
      </vt:variant>
      <vt:variant>
        <vt:i4>128</vt:i4>
      </vt:variant>
      <vt:variant>
        <vt:i4>0</vt:i4>
      </vt:variant>
      <vt:variant>
        <vt:i4>5</vt:i4>
      </vt:variant>
      <vt:variant>
        <vt:lpwstr/>
      </vt:variant>
      <vt:variant>
        <vt:lpwstr>_Toc421891886</vt:lpwstr>
      </vt:variant>
      <vt:variant>
        <vt:i4>1310772</vt:i4>
      </vt:variant>
      <vt:variant>
        <vt:i4>122</vt:i4>
      </vt:variant>
      <vt:variant>
        <vt:i4>0</vt:i4>
      </vt:variant>
      <vt:variant>
        <vt:i4>5</vt:i4>
      </vt:variant>
      <vt:variant>
        <vt:lpwstr/>
      </vt:variant>
      <vt:variant>
        <vt:lpwstr>_Toc421891885</vt:lpwstr>
      </vt:variant>
      <vt:variant>
        <vt:i4>1310772</vt:i4>
      </vt:variant>
      <vt:variant>
        <vt:i4>116</vt:i4>
      </vt:variant>
      <vt:variant>
        <vt:i4>0</vt:i4>
      </vt:variant>
      <vt:variant>
        <vt:i4>5</vt:i4>
      </vt:variant>
      <vt:variant>
        <vt:lpwstr/>
      </vt:variant>
      <vt:variant>
        <vt:lpwstr>_Toc421891884</vt:lpwstr>
      </vt:variant>
      <vt:variant>
        <vt:i4>1310772</vt:i4>
      </vt:variant>
      <vt:variant>
        <vt:i4>110</vt:i4>
      </vt:variant>
      <vt:variant>
        <vt:i4>0</vt:i4>
      </vt:variant>
      <vt:variant>
        <vt:i4>5</vt:i4>
      </vt:variant>
      <vt:variant>
        <vt:lpwstr/>
      </vt:variant>
      <vt:variant>
        <vt:lpwstr>_Toc421891883</vt:lpwstr>
      </vt:variant>
      <vt:variant>
        <vt:i4>1310772</vt:i4>
      </vt:variant>
      <vt:variant>
        <vt:i4>104</vt:i4>
      </vt:variant>
      <vt:variant>
        <vt:i4>0</vt:i4>
      </vt:variant>
      <vt:variant>
        <vt:i4>5</vt:i4>
      </vt:variant>
      <vt:variant>
        <vt:lpwstr/>
      </vt:variant>
      <vt:variant>
        <vt:lpwstr>_Toc421891882</vt:lpwstr>
      </vt:variant>
      <vt:variant>
        <vt:i4>1310772</vt:i4>
      </vt:variant>
      <vt:variant>
        <vt:i4>98</vt:i4>
      </vt:variant>
      <vt:variant>
        <vt:i4>0</vt:i4>
      </vt:variant>
      <vt:variant>
        <vt:i4>5</vt:i4>
      </vt:variant>
      <vt:variant>
        <vt:lpwstr/>
      </vt:variant>
      <vt:variant>
        <vt:lpwstr>_Toc421891881</vt:lpwstr>
      </vt:variant>
      <vt:variant>
        <vt:i4>1310772</vt:i4>
      </vt:variant>
      <vt:variant>
        <vt:i4>92</vt:i4>
      </vt:variant>
      <vt:variant>
        <vt:i4>0</vt:i4>
      </vt:variant>
      <vt:variant>
        <vt:i4>5</vt:i4>
      </vt:variant>
      <vt:variant>
        <vt:lpwstr/>
      </vt:variant>
      <vt:variant>
        <vt:lpwstr>_Toc421891880</vt:lpwstr>
      </vt:variant>
      <vt:variant>
        <vt:i4>1769524</vt:i4>
      </vt:variant>
      <vt:variant>
        <vt:i4>86</vt:i4>
      </vt:variant>
      <vt:variant>
        <vt:i4>0</vt:i4>
      </vt:variant>
      <vt:variant>
        <vt:i4>5</vt:i4>
      </vt:variant>
      <vt:variant>
        <vt:lpwstr/>
      </vt:variant>
      <vt:variant>
        <vt:lpwstr>_Toc421891879</vt:lpwstr>
      </vt:variant>
      <vt:variant>
        <vt:i4>1769524</vt:i4>
      </vt:variant>
      <vt:variant>
        <vt:i4>80</vt:i4>
      </vt:variant>
      <vt:variant>
        <vt:i4>0</vt:i4>
      </vt:variant>
      <vt:variant>
        <vt:i4>5</vt:i4>
      </vt:variant>
      <vt:variant>
        <vt:lpwstr/>
      </vt:variant>
      <vt:variant>
        <vt:lpwstr>_Toc421891878</vt:lpwstr>
      </vt:variant>
      <vt:variant>
        <vt:i4>1769524</vt:i4>
      </vt:variant>
      <vt:variant>
        <vt:i4>74</vt:i4>
      </vt:variant>
      <vt:variant>
        <vt:i4>0</vt:i4>
      </vt:variant>
      <vt:variant>
        <vt:i4>5</vt:i4>
      </vt:variant>
      <vt:variant>
        <vt:lpwstr/>
      </vt:variant>
      <vt:variant>
        <vt:lpwstr>_Toc421891877</vt:lpwstr>
      </vt:variant>
      <vt:variant>
        <vt:i4>1769524</vt:i4>
      </vt:variant>
      <vt:variant>
        <vt:i4>68</vt:i4>
      </vt:variant>
      <vt:variant>
        <vt:i4>0</vt:i4>
      </vt:variant>
      <vt:variant>
        <vt:i4>5</vt:i4>
      </vt:variant>
      <vt:variant>
        <vt:lpwstr/>
      </vt:variant>
      <vt:variant>
        <vt:lpwstr>_Toc421891876</vt:lpwstr>
      </vt:variant>
      <vt:variant>
        <vt:i4>1769524</vt:i4>
      </vt:variant>
      <vt:variant>
        <vt:i4>62</vt:i4>
      </vt:variant>
      <vt:variant>
        <vt:i4>0</vt:i4>
      </vt:variant>
      <vt:variant>
        <vt:i4>5</vt:i4>
      </vt:variant>
      <vt:variant>
        <vt:lpwstr/>
      </vt:variant>
      <vt:variant>
        <vt:lpwstr>_Toc421891875</vt:lpwstr>
      </vt:variant>
      <vt:variant>
        <vt:i4>1769524</vt:i4>
      </vt:variant>
      <vt:variant>
        <vt:i4>56</vt:i4>
      </vt:variant>
      <vt:variant>
        <vt:i4>0</vt:i4>
      </vt:variant>
      <vt:variant>
        <vt:i4>5</vt:i4>
      </vt:variant>
      <vt:variant>
        <vt:lpwstr/>
      </vt:variant>
      <vt:variant>
        <vt:lpwstr>_Toc421891874</vt:lpwstr>
      </vt:variant>
      <vt:variant>
        <vt:i4>1769524</vt:i4>
      </vt:variant>
      <vt:variant>
        <vt:i4>50</vt:i4>
      </vt:variant>
      <vt:variant>
        <vt:i4>0</vt:i4>
      </vt:variant>
      <vt:variant>
        <vt:i4>5</vt:i4>
      </vt:variant>
      <vt:variant>
        <vt:lpwstr/>
      </vt:variant>
      <vt:variant>
        <vt:lpwstr>_Toc421891873</vt:lpwstr>
      </vt:variant>
      <vt:variant>
        <vt:i4>1769524</vt:i4>
      </vt:variant>
      <vt:variant>
        <vt:i4>44</vt:i4>
      </vt:variant>
      <vt:variant>
        <vt:i4>0</vt:i4>
      </vt:variant>
      <vt:variant>
        <vt:i4>5</vt:i4>
      </vt:variant>
      <vt:variant>
        <vt:lpwstr/>
      </vt:variant>
      <vt:variant>
        <vt:lpwstr>_Toc421891872</vt:lpwstr>
      </vt:variant>
      <vt:variant>
        <vt:i4>1769524</vt:i4>
      </vt:variant>
      <vt:variant>
        <vt:i4>38</vt:i4>
      </vt:variant>
      <vt:variant>
        <vt:i4>0</vt:i4>
      </vt:variant>
      <vt:variant>
        <vt:i4>5</vt:i4>
      </vt:variant>
      <vt:variant>
        <vt:lpwstr/>
      </vt:variant>
      <vt:variant>
        <vt:lpwstr>_Toc421891871</vt:lpwstr>
      </vt:variant>
      <vt:variant>
        <vt:i4>1769524</vt:i4>
      </vt:variant>
      <vt:variant>
        <vt:i4>32</vt:i4>
      </vt:variant>
      <vt:variant>
        <vt:i4>0</vt:i4>
      </vt:variant>
      <vt:variant>
        <vt:i4>5</vt:i4>
      </vt:variant>
      <vt:variant>
        <vt:lpwstr/>
      </vt:variant>
      <vt:variant>
        <vt:lpwstr>_Toc421891870</vt:lpwstr>
      </vt:variant>
      <vt:variant>
        <vt:i4>1703988</vt:i4>
      </vt:variant>
      <vt:variant>
        <vt:i4>26</vt:i4>
      </vt:variant>
      <vt:variant>
        <vt:i4>0</vt:i4>
      </vt:variant>
      <vt:variant>
        <vt:i4>5</vt:i4>
      </vt:variant>
      <vt:variant>
        <vt:lpwstr/>
      </vt:variant>
      <vt:variant>
        <vt:lpwstr>_Toc421891869</vt:lpwstr>
      </vt:variant>
      <vt:variant>
        <vt:i4>1703988</vt:i4>
      </vt:variant>
      <vt:variant>
        <vt:i4>20</vt:i4>
      </vt:variant>
      <vt:variant>
        <vt:i4>0</vt:i4>
      </vt:variant>
      <vt:variant>
        <vt:i4>5</vt:i4>
      </vt:variant>
      <vt:variant>
        <vt:lpwstr/>
      </vt:variant>
      <vt:variant>
        <vt:lpwstr>_Toc421891868</vt:lpwstr>
      </vt:variant>
      <vt:variant>
        <vt:i4>1703988</vt:i4>
      </vt:variant>
      <vt:variant>
        <vt:i4>14</vt:i4>
      </vt:variant>
      <vt:variant>
        <vt:i4>0</vt:i4>
      </vt:variant>
      <vt:variant>
        <vt:i4>5</vt:i4>
      </vt:variant>
      <vt:variant>
        <vt:lpwstr/>
      </vt:variant>
      <vt:variant>
        <vt:lpwstr>_Toc421891867</vt:lpwstr>
      </vt:variant>
      <vt:variant>
        <vt:i4>1703988</vt:i4>
      </vt:variant>
      <vt:variant>
        <vt:i4>8</vt:i4>
      </vt:variant>
      <vt:variant>
        <vt:i4>0</vt:i4>
      </vt:variant>
      <vt:variant>
        <vt:i4>5</vt:i4>
      </vt:variant>
      <vt:variant>
        <vt:lpwstr/>
      </vt:variant>
      <vt:variant>
        <vt:lpwstr>_Toc421891866</vt:lpwstr>
      </vt:variant>
      <vt:variant>
        <vt:i4>1703988</vt:i4>
      </vt:variant>
      <vt:variant>
        <vt:i4>2</vt:i4>
      </vt:variant>
      <vt:variant>
        <vt:i4>0</vt:i4>
      </vt:variant>
      <vt:variant>
        <vt:i4>5</vt:i4>
      </vt:variant>
      <vt:variant>
        <vt:lpwstr/>
      </vt:variant>
      <vt:variant>
        <vt:lpwstr>_Toc421891865</vt:lpwstr>
      </vt:variant>
      <vt:variant>
        <vt:i4>3866627</vt:i4>
      </vt:variant>
      <vt:variant>
        <vt:i4>3</vt:i4>
      </vt:variant>
      <vt:variant>
        <vt:i4>0</vt:i4>
      </vt:variant>
      <vt:variant>
        <vt:i4>5</vt:i4>
      </vt:variant>
      <vt:variant>
        <vt:lpwstr>http://ec.europa.eu/finance/insurance/docs/solvency/solvency2/delegated/141010-impact-assessment_en.pdf</vt:lpwstr>
      </vt:variant>
      <vt:variant>
        <vt:lpwstr/>
      </vt:variant>
      <vt:variant>
        <vt:i4>1703952</vt:i4>
      </vt:variant>
      <vt:variant>
        <vt:i4>0</vt:i4>
      </vt:variant>
      <vt:variant>
        <vt:i4>0</vt:i4>
      </vt:variant>
      <vt:variant>
        <vt:i4>5</vt:i4>
      </vt:variant>
      <vt:variant>
        <vt:lpwstr>http://www.bis.org/bcbs/publ/d304.pdf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2015-06-16T13:11:00Z</cp:lastPrinted>
  <dcterms:created xsi:type="dcterms:W3CDTF">2015-09-21T12:18:00Z</dcterms:created>
  <dcterms:modified xsi:type="dcterms:W3CDTF">2015-10-09T12:47:00Z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ELDocType">
    <vt:lpwstr>COT.DOT</vt:lpwstr>
  </property>
  <property fmtid="{D5CDD505-2E9C-101B-9397-08002B2CF9AE}" pid="7" name="Created using">
    <vt:lpwstr>3.0</vt:lpwstr>
  </property>
  <property fmtid="{D5CDD505-2E9C-101B-9397-08002B2CF9AE}" pid="8" name="Last edited using">
    <vt:lpwstr>EL </vt:lpwstr>
  </property>
  <property fmtid="{D5CDD505-2E9C-101B-9397-08002B2CF9AE}" pid="9" name="Formatting">
    <vt:lpwstr>4.1</vt:lpwstr>
  </property>
  <property name="OP_sanitized" fmtid="{D5CDD505-2E9C-101B-9397-08002B2CF9AE}" pid="10">
    <vt:lpwstr>True</vt:lpwstr>
  </property>
</Properties>
</file>