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DCA66" w14:textId="0EDD2E61" w:rsidR="0029533F" w:rsidRPr="00546B74" w:rsidRDefault="00970DC3" w:rsidP="00970DC3">
      <w:pPr>
        <w:pStyle w:val="Pagedecouverture"/>
        <w:rPr>
          <w:noProof/>
        </w:rPr>
      </w:pPr>
      <w:r>
        <w:rPr>
          <w:noProof/>
        </w:rPr>
        <w:pict w14:anchorId="1BC99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E60D8358-593F-4D70-8B32-138B78C85A60" style="width:455.25pt;height:330.75pt">
            <v:imagedata r:id="rId11" o:title=""/>
          </v:shape>
        </w:pict>
      </w:r>
    </w:p>
    <w:p w14:paraId="6A5A857E" w14:textId="77777777" w:rsidR="00C0284A" w:rsidRPr="00546B74" w:rsidRDefault="00C0284A">
      <w:pPr>
        <w:rPr>
          <w:noProof/>
        </w:rPr>
        <w:sectPr w:rsidR="00C0284A" w:rsidRPr="00546B74" w:rsidSect="00970D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DC015D4" w14:textId="6E9282E4" w:rsidR="00C0284A" w:rsidRPr="00546B74" w:rsidRDefault="00546B74" w:rsidP="00546B74">
      <w:pPr>
        <w:pStyle w:val="Typedudocument"/>
        <w:rPr>
          <w:noProof/>
        </w:rPr>
      </w:pPr>
      <w:bookmarkStart w:id="0" w:name="_GoBack"/>
      <w:bookmarkEnd w:id="0"/>
      <w:r w:rsidRPr="00546B74">
        <w:rPr>
          <w:noProof/>
        </w:rPr>
        <w:lastRenderedPageBreak/>
        <w:t>A BIZOTTSÁG (EU) .../... IRÁNYELVE</w:t>
      </w:r>
    </w:p>
    <w:p w14:paraId="3D1244CD" w14:textId="62F202AD" w:rsidR="00C0284A" w:rsidRPr="00546B74" w:rsidRDefault="00546B74" w:rsidP="00546B74">
      <w:pPr>
        <w:pStyle w:val="Datedadoption"/>
        <w:rPr>
          <w:noProof/>
        </w:rPr>
      </w:pPr>
      <w:r>
        <w:rPr>
          <w:noProof/>
        </w:rPr>
        <w:t>(2026.3.5.)</w:t>
      </w:r>
    </w:p>
    <w:p w14:paraId="00E63DB3" w14:textId="13275139" w:rsidR="00C0284A" w:rsidRPr="00546B74" w:rsidRDefault="00546B74" w:rsidP="00546B74">
      <w:pPr>
        <w:pStyle w:val="Titreobjet"/>
        <w:rPr>
          <w:noProof/>
        </w:rPr>
      </w:pPr>
      <w:bookmarkStart w:id="1" w:name="_Hlk211616504"/>
      <w:r w:rsidRPr="00546B74">
        <w:rPr>
          <w:noProof/>
        </w:rPr>
        <w:t>a 2008/63/EK irányelvnek a jelentéstételi kötelezettség tekintetében történő módosításáról</w:t>
      </w:r>
    </w:p>
    <w:bookmarkEnd w:id="1"/>
    <w:p w14:paraId="6B64837A" w14:textId="1C820F85" w:rsidR="00601798" w:rsidRPr="00546B74" w:rsidRDefault="00546B74" w:rsidP="00546B74">
      <w:pPr>
        <w:pStyle w:val="IntrtEEE"/>
        <w:rPr>
          <w:noProof/>
        </w:rPr>
      </w:pPr>
      <w:r w:rsidRPr="00546B74">
        <w:rPr>
          <w:noProof/>
        </w:rPr>
        <w:t>(EGT-vonatkozású szöveg)</w:t>
      </w:r>
    </w:p>
    <w:p w14:paraId="1BD9AB9C" w14:textId="46EF74E6" w:rsidR="00C0284A" w:rsidRPr="00546B74" w:rsidRDefault="00C0284A" w:rsidP="001A3E40">
      <w:pPr>
        <w:pStyle w:val="Institutionquiagit"/>
        <w:rPr>
          <w:noProof/>
        </w:rPr>
      </w:pPr>
      <w:r w:rsidRPr="00546B74">
        <w:rPr>
          <w:noProof/>
        </w:rPr>
        <w:t>AZ EURÓPAI BIZOTTSÁG,</w:t>
      </w:r>
    </w:p>
    <w:p w14:paraId="08994044" w14:textId="2D98F4A6" w:rsidR="00C0284A" w:rsidRPr="00546B74" w:rsidRDefault="00107870" w:rsidP="001A3E40">
      <w:pPr>
        <w:rPr>
          <w:noProof/>
        </w:rPr>
      </w:pPr>
      <w:r w:rsidRPr="00546B74">
        <w:rPr>
          <w:noProof/>
        </w:rPr>
        <w:t>tekintettel az Európai Unió működéséről szóló szerződésre és különösen annak 106. cikke (3) bekezdésére,</w:t>
      </w:r>
    </w:p>
    <w:p w14:paraId="7A431F58" w14:textId="63FFD006" w:rsidR="00C0284A" w:rsidRPr="00546B74" w:rsidRDefault="00C0284A" w:rsidP="001A3E40">
      <w:pPr>
        <w:rPr>
          <w:noProof/>
          <w:color w:val="000000" w:themeColor="text1"/>
        </w:rPr>
      </w:pPr>
    </w:p>
    <w:p w14:paraId="7C1662B9" w14:textId="77777777" w:rsidR="00C0284A" w:rsidRPr="00546B74" w:rsidRDefault="00C0284A" w:rsidP="001A3E40">
      <w:pPr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mivel:</w:t>
      </w:r>
    </w:p>
    <w:p w14:paraId="74F8B678" w14:textId="43C57EED" w:rsidR="00CC4E4B" w:rsidRPr="00546B74" w:rsidRDefault="00107870" w:rsidP="00B5610F">
      <w:pPr>
        <w:pStyle w:val="ManualConsidrant"/>
        <w:rPr>
          <w:noProof/>
          <w:color w:val="000000" w:themeColor="text1"/>
        </w:rPr>
      </w:pPr>
      <w:r>
        <w:rPr>
          <w:noProof/>
        </w:rPr>
        <w:t>(1)</w:t>
      </w:r>
      <w:r>
        <w:rPr>
          <w:noProof/>
        </w:rPr>
        <w:tab/>
      </w:r>
      <w:r w:rsidRPr="00546B74">
        <w:rPr>
          <w:noProof/>
          <w:color w:val="000000" w:themeColor="text1"/>
        </w:rPr>
        <w:t>A 2008/63/EK bizottsági irányelv</w:t>
      </w:r>
      <w:r w:rsidRPr="00546B74">
        <w:rPr>
          <w:rStyle w:val="FootnoteReference"/>
          <w:noProof/>
          <w:color w:val="000000" w:themeColor="text1"/>
        </w:rPr>
        <w:footnoteReference w:id="1"/>
      </w:r>
      <w:r w:rsidRPr="00546B74">
        <w:rPr>
          <w:noProof/>
          <w:color w:val="000000" w:themeColor="text1"/>
        </w:rPr>
        <w:t xml:space="preserve">, amelynek célja a verseny megőrzése a hírközlő végberendezések piacán, előírja a vállalkozásoknak kizárólagos vagy különleges jogokat nyújtó tagállamok számára, hogy gondoskodjanak valamennyi kizárólagos jog, továbbá azon különleges jogoknak a visszavonásáról, amelyek: a) a vállalkozások számát kettőre vagy annál többre korlátozzák olyan kritériumok alapján, amelyek nélkülözik a tárgyilagosság, arányosság és a hátrányos megkülönböztetéstől való mentesség biztosítását; vagy b) az a) pontban említett kritériumoktól eltérő kritériumok szerint jelölnek ki több egymással versenyben álló vállalkozást. Az említett irányelv 3. cikke azt is előírja a tagállamok számára, hogy biztosítsák a gazdasági szereplőknek a végberendezések behozatalára, értékesítésére, felszerelésére, üzembe helyezésére és karbantartására vonatkozó jogát. </w:t>
      </w:r>
    </w:p>
    <w:p w14:paraId="01D63D16" w14:textId="18BFC831" w:rsidR="00C0284A" w:rsidRPr="00546B74" w:rsidRDefault="00E769E8" w:rsidP="00C0284A">
      <w:pPr>
        <w:pStyle w:val="ManualConsidrant"/>
        <w:rPr>
          <w:noProof/>
          <w:color w:val="000000" w:themeColor="text1"/>
        </w:rPr>
      </w:pPr>
      <w:r>
        <w:rPr>
          <w:noProof/>
        </w:rPr>
        <w:t>(2)</w:t>
      </w:r>
      <w:r>
        <w:rPr>
          <w:noProof/>
        </w:rPr>
        <w:tab/>
      </w:r>
      <w:r w:rsidRPr="00546B74">
        <w:rPr>
          <w:noProof/>
          <w:color w:val="000000" w:themeColor="text1"/>
        </w:rPr>
        <w:t xml:space="preserve">A 2008/63/EK irányelv 7. cikke jelentéstételi kötelezettséget állapít meg, amelynek értelmében a tagállamoknak minden év végén olyan jelentést kell készíteniük a Bizottság számára, amely alapján nyomon tudja követni, hogy tiszteletben tartották-e a 2., 3., 4. és 6. cikk rendelkezéseit. A 7. cikkben említett jelentés vázlatát a 2008/63/EK irányelv I. melléklete tartalmazza. </w:t>
      </w:r>
    </w:p>
    <w:p w14:paraId="12F21B6F" w14:textId="106FC902" w:rsidR="00C0284A" w:rsidRPr="00546B74" w:rsidRDefault="00CC4E4B" w:rsidP="00EC062E">
      <w:pPr>
        <w:pStyle w:val="ManualConsidrant"/>
        <w:rPr>
          <w:noProof/>
          <w:color w:val="000000" w:themeColor="text1"/>
        </w:rPr>
      </w:pPr>
      <w:r>
        <w:rPr>
          <w:noProof/>
        </w:rPr>
        <w:t>(3)</w:t>
      </w:r>
      <w:r>
        <w:rPr>
          <w:noProof/>
        </w:rPr>
        <w:tab/>
      </w:r>
      <w:r w:rsidRPr="00546B74">
        <w:rPr>
          <w:noProof/>
          <w:color w:val="000000" w:themeColor="text1"/>
        </w:rPr>
        <w:t>A jelentéstételi követelmények meghatározó szerepet játszanak a megfelelő nyomon követésben és a jogszabályok helyes végrehajtásának biztosításában. Ugyanakkor fontos egyszerűsíteni ezeket a követelményeket annak biztosítása érdekében, hogy azok megfeleljenek a céljuknak, és hogy korlátozzák az adminisztratív terheket. Ez összhangban van a Bizottságnak a 2025. januári versenyképességi iránytűben</w:t>
      </w:r>
      <w:r w:rsidRPr="00546B74">
        <w:rPr>
          <w:rStyle w:val="FootnoteReference"/>
          <w:noProof/>
          <w:color w:val="000000" w:themeColor="text1"/>
        </w:rPr>
        <w:footnoteReference w:id="2"/>
      </w:r>
      <w:r w:rsidRPr="00546B74">
        <w:rPr>
          <w:noProof/>
          <w:color w:val="000000" w:themeColor="text1"/>
        </w:rPr>
        <w:t xml:space="preserve"> és a végrehajtásról és egyszerűsítésről szóló, 2025. februári közleményben</w:t>
      </w:r>
      <w:r w:rsidRPr="00546B74">
        <w:rPr>
          <w:rStyle w:val="FootnoteReference"/>
          <w:noProof/>
          <w:color w:val="000000" w:themeColor="text1"/>
        </w:rPr>
        <w:footnoteReference w:id="3"/>
      </w:r>
      <w:r w:rsidRPr="00546B74">
        <w:rPr>
          <w:noProof/>
          <w:color w:val="000000" w:themeColor="text1"/>
        </w:rPr>
        <w:t xml:space="preserve"> bejelentett </w:t>
      </w:r>
      <w:r w:rsidRPr="00546B74">
        <w:rPr>
          <w:noProof/>
          <w:color w:val="000000" w:themeColor="text1"/>
        </w:rPr>
        <w:lastRenderedPageBreak/>
        <w:t>azon célkitűzésével, hogy az adminisztratív terheket legalább 25 %-kal, a kis- és középvállalkozások (kkv-k) esetében pedig legalább 35 %-kal csökkentse.</w:t>
      </w:r>
    </w:p>
    <w:p w14:paraId="31008568" w14:textId="333B35AC" w:rsidR="009B788F" w:rsidRPr="00546B74" w:rsidRDefault="00DF0427" w:rsidP="009B788F">
      <w:pPr>
        <w:pStyle w:val="ManualConsidrant"/>
        <w:rPr>
          <w:noProof/>
          <w:color w:val="000000" w:themeColor="text1"/>
        </w:rPr>
      </w:pPr>
      <w:r>
        <w:rPr>
          <w:noProof/>
        </w:rPr>
        <w:t>(4)</w:t>
      </w:r>
      <w:r>
        <w:rPr>
          <w:noProof/>
        </w:rPr>
        <w:tab/>
      </w:r>
      <w:r w:rsidRPr="00546B74">
        <w:rPr>
          <w:noProof/>
        </w:rPr>
        <w:t>A 2008/63/EK irányelv nagyrészt elérte célkitűzéseit, mivel a tagállamok fokozatosan megszüntették a végberendezésekre vonatkozó kizárólagos vagy különleges jogokat.</w:t>
      </w:r>
      <w:r w:rsidRPr="00546B74">
        <w:rPr>
          <w:noProof/>
          <w:color w:val="000000" w:themeColor="text1"/>
        </w:rPr>
        <w:t xml:space="preserve"> Ennek fényében már nincs szükség az említett irányelv 7. cikkében meghatározott azon kötelezettségre, hogy minden év végén jelentést kell készíteni a Bizottság számára, amely alapján nyomon tudja követni, hogy tiszteletben tartották-e a 2., 3., 4. és 6. cikk rendelkezéseit. Ezért, valamint a Bizottság azon prioritásával összhangban, hogy egyszerűsítse a jelentéstételi követelményeket és csökkentse az adminisztratív terheket, ezt a jelentéstételi követelményt meg kell szüntetni.</w:t>
      </w:r>
    </w:p>
    <w:p w14:paraId="21FA3758" w14:textId="0186DC9B" w:rsidR="00730DCE" w:rsidRPr="00546B74" w:rsidRDefault="00730DCE" w:rsidP="00730DCE">
      <w:pPr>
        <w:pStyle w:val="ManualConsidrant"/>
        <w:rPr>
          <w:noProof/>
          <w:color w:val="000000" w:themeColor="text1"/>
        </w:rPr>
      </w:pPr>
      <w:r>
        <w:rPr>
          <w:noProof/>
        </w:rPr>
        <w:t>(5)</w:t>
      </w:r>
      <w:r>
        <w:rPr>
          <w:noProof/>
        </w:rPr>
        <w:tab/>
      </w:r>
      <w:r w:rsidRPr="00546B74">
        <w:rPr>
          <w:noProof/>
        </w:rPr>
        <w:t>A jelentéstételi kötelezettség törlésére irányuló javaslat nem érinti a 2008/63/EK irányelv alapján meghatározott szakpolitikai célkitűzések relevanciáját.</w:t>
      </w:r>
    </w:p>
    <w:p w14:paraId="6D132BC5" w14:textId="0979C8F4" w:rsidR="00C0284A" w:rsidRPr="00546B74" w:rsidRDefault="00CC4E4B" w:rsidP="00EC062E">
      <w:pPr>
        <w:pStyle w:val="ManualConsidrant"/>
        <w:rPr>
          <w:noProof/>
          <w:color w:val="000000" w:themeColor="text1"/>
        </w:rPr>
      </w:pPr>
      <w:r>
        <w:rPr>
          <w:noProof/>
        </w:rPr>
        <w:t>(6)</w:t>
      </w:r>
      <w:r>
        <w:rPr>
          <w:noProof/>
        </w:rPr>
        <w:tab/>
      </w:r>
      <w:r w:rsidRPr="00546B74">
        <w:rPr>
          <w:noProof/>
          <w:color w:val="000000" w:themeColor="text1"/>
        </w:rPr>
        <w:t>A 2008/63/EK irányelv 7. cikkének és I. mellékletének törlése lehetővé teszi a tagállamok számára bármely, törvényi, rendeleti vagy közigazgatási rendelkezésük révén elfogadott átültető intézkedés hatályon kívül helyezését.</w:t>
      </w:r>
    </w:p>
    <w:p w14:paraId="2FFF47AA" w14:textId="201EE467" w:rsidR="00662BDB" w:rsidRPr="00546B74" w:rsidRDefault="00DF0427" w:rsidP="00EC062E">
      <w:pPr>
        <w:pStyle w:val="ManualConsidrant"/>
        <w:rPr>
          <w:noProof/>
          <w:color w:val="000000" w:themeColor="text1"/>
        </w:rPr>
      </w:pPr>
      <w:r>
        <w:rPr>
          <w:noProof/>
        </w:rPr>
        <w:t>(7)</w:t>
      </w:r>
      <w:r>
        <w:rPr>
          <w:noProof/>
        </w:rPr>
        <w:tab/>
      </w:r>
      <w:r w:rsidRPr="00546B74">
        <w:rPr>
          <w:noProof/>
          <w:color w:val="000000" w:themeColor="text1"/>
        </w:rPr>
        <w:t>A 2008/63/EK irányelvet ezért ennek megfelelően módosítani kell,</w:t>
      </w:r>
    </w:p>
    <w:p w14:paraId="035AC453" w14:textId="77777777" w:rsidR="00662BDB" w:rsidRPr="00546B74" w:rsidRDefault="00662BDB" w:rsidP="00A40E39">
      <w:pPr>
        <w:rPr>
          <w:noProof/>
        </w:rPr>
      </w:pPr>
    </w:p>
    <w:p w14:paraId="13830920" w14:textId="6864F012" w:rsidR="00C0284A" w:rsidRPr="00546B74" w:rsidRDefault="00C0284A" w:rsidP="001A3E40">
      <w:pPr>
        <w:pStyle w:val="Formuledadoption"/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ELFOGADTA EZT AZ IRÁNYELVET:</w:t>
      </w:r>
    </w:p>
    <w:p w14:paraId="2501BB1C" w14:textId="77777777" w:rsidR="00C0284A" w:rsidRPr="00546B74" w:rsidRDefault="00C0284A" w:rsidP="001A3E40">
      <w:pPr>
        <w:pStyle w:val="Titrearticle"/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1. cikk</w:t>
      </w:r>
    </w:p>
    <w:p w14:paraId="4E73FAA3" w14:textId="029C7E30" w:rsidR="00C0284A" w:rsidRPr="00546B74" w:rsidRDefault="00662BDB" w:rsidP="001A3E40">
      <w:pPr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A 2008/63/EK irányelv 7. cikkét és I. mellékletét el kell hagyni.</w:t>
      </w:r>
    </w:p>
    <w:p w14:paraId="52631468" w14:textId="3A0FFD9A" w:rsidR="00C0284A" w:rsidRPr="00546B74" w:rsidRDefault="00C0284A" w:rsidP="001A3E40">
      <w:pPr>
        <w:pStyle w:val="Titrearticle"/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2. cikk</w:t>
      </w:r>
    </w:p>
    <w:p w14:paraId="3E12C7C7" w14:textId="1934DB64" w:rsidR="00C0284A" w:rsidRPr="00546B74" w:rsidRDefault="00662BDB" w:rsidP="001A3E40">
      <w:pPr>
        <w:keepNext/>
        <w:rPr>
          <w:b/>
          <w:noProof/>
          <w:color w:val="000000" w:themeColor="text1"/>
        </w:rPr>
      </w:pPr>
      <w:r w:rsidRPr="00546B74">
        <w:rPr>
          <w:noProof/>
          <w:color w:val="000000" w:themeColor="text1"/>
        </w:rPr>
        <w:t xml:space="preserve">Ez az irányelv az </w:t>
      </w:r>
      <w:r w:rsidRPr="00546B74">
        <w:rPr>
          <w:i/>
          <w:iCs/>
          <w:noProof/>
          <w:color w:val="000000" w:themeColor="text1"/>
        </w:rPr>
        <w:t>Európai Unió Hivatalos Lapjában</w:t>
      </w:r>
      <w:r w:rsidRPr="00546B74">
        <w:rPr>
          <w:noProof/>
          <w:color w:val="000000" w:themeColor="text1"/>
        </w:rPr>
        <w:t xml:space="preserve"> való kihirdetését követő huszadik napon lép hatályba.</w:t>
      </w:r>
    </w:p>
    <w:p w14:paraId="3337EC1F" w14:textId="01872140" w:rsidR="00C0284A" w:rsidRPr="00546B74" w:rsidRDefault="00C0284A" w:rsidP="00562C9A">
      <w:pPr>
        <w:pStyle w:val="Titrearticle"/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3. cikk</w:t>
      </w:r>
    </w:p>
    <w:p w14:paraId="5CEC2D42" w14:textId="77777777" w:rsidR="00C0284A" w:rsidRPr="00546B74" w:rsidRDefault="00C0284A" w:rsidP="001A3E40">
      <w:pPr>
        <w:rPr>
          <w:noProof/>
          <w:color w:val="000000" w:themeColor="text1"/>
        </w:rPr>
      </w:pPr>
      <w:r w:rsidRPr="00546B74">
        <w:rPr>
          <w:noProof/>
          <w:color w:val="000000" w:themeColor="text1"/>
        </w:rPr>
        <w:t>Ennek az irányelvnek a tagállamok a címzettjei.</w:t>
      </w:r>
    </w:p>
    <w:p w14:paraId="6B911C6F" w14:textId="4DE688BE" w:rsidR="00C0284A" w:rsidRPr="00546B74" w:rsidRDefault="00546B74" w:rsidP="00562C9A">
      <w:pPr>
        <w:pStyle w:val="Fait"/>
        <w:rPr>
          <w:noProof/>
        </w:rPr>
      </w:pPr>
      <w:r>
        <w:rPr>
          <w:noProof/>
        </w:rPr>
        <w:t>Kelt Brüsszelben, -án/-én. 2026.3.5.</w:t>
      </w:r>
    </w:p>
    <w:p w14:paraId="38FCB7E6" w14:textId="77777777" w:rsidR="00C0284A" w:rsidRPr="00546B74" w:rsidRDefault="00C0284A" w:rsidP="00562C9A">
      <w:pPr>
        <w:pStyle w:val="Institutionquisigne"/>
        <w:rPr>
          <w:noProof/>
        </w:rPr>
      </w:pPr>
      <w:r w:rsidRPr="00546B74">
        <w:rPr>
          <w:noProof/>
        </w:rPr>
        <w:tab/>
        <w:t>a Bizottság részéről,</w:t>
      </w:r>
    </w:p>
    <w:p w14:paraId="5227C9D8" w14:textId="7CED2744" w:rsidR="00C0284A" w:rsidRPr="00546B74" w:rsidRDefault="00C0284A" w:rsidP="00C0284A">
      <w:pPr>
        <w:pStyle w:val="Personnequisigne"/>
        <w:rPr>
          <w:noProof/>
        </w:rPr>
      </w:pPr>
      <w:r>
        <w:rPr>
          <w:noProof/>
        </w:rPr>
        <w:tab/>
        <w:t>elnök</w:t>
      </w:r>
      <w:r>
        <w:rPr>
          <w:noProof/>
        </w:rPr>
        <w:br/>
      </w:r>
      <w:r>
        <w:rPr>
          <w:noProof/>
        </w:rPr>
        <w:tab/>
        <w:t>Ursula VON DER LEYEN</w:t>
      </w:r>
    </w:p>
    <w:sectPr w:rsidR="00C0284A" w:rsidRPr="00546B74" w:rsidSect="00970DC3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E9B38" w14:textId="77777777" w:rsidR="00C76C9F" w:rsidRDefault="00C76C9F" w:rsidP="00C0284A">
      <w:pPr>
        <w:spacing w:before="0" w:after="0"/>
      </w:pPr>
      <w:r>
        <w:separator/>
      </w:r>
    </w:p>
  </w:endnote>
  <w:endnote w:type="continuationSeparator" w:id="0">
    <w:p w14:paraId="4E1C87C7" w14:textId="77777777" w:rsidR="00C76C9F" w:rsidRDefault="00C76C9F" w:rsidP="00C028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CB244" w14:textId="1D8555B9" w:rsidR="00970DC3" w:rsidRPr="00970DC3" w:rsidRDefault="00970DC3" w:rsidP="00970DC3">
    <w:pPr>
      <w:pStyle w:val="Footer"/>
      <w:rPr>
        <w:rFonts w:ascii="Arial" w:hAnsi="Arial" w:cs="Arial"/>
        <w:b/>
        <w:sz w:val="48"/>
      </w:rPr>
    </w:pPr>
    <w:r w:rsidRPr="00970DC3">
      <w:rPr>
        <w:rFonts w:ascii="Arial" w:hAnsi="Arial" w:cs="Arial"/>
        <w:b/>
        <w:sz w:val="48"/>
      </w:rPr>
      <w:t>HU</w:t>
    </w:r>
    <w:r w:rsidRPr="00970DC3">
      <w:rPr>
        <w:rFonts w:ascii="Arial" w:hAnsi="Arial" w:cs="Arial"/>
        <w:b/>
        <w:sz w:val="48"/>
      </w:rPr>
      <w:tab/>
    </w:r>
    <w:r w:rsidRPr="00970DC3">
      <w:rPr>
        <w:rFonts w:ascii="Arial" w:hAnsi="Arial" w:cs="Arial"/>
        <w:b/>
        <w:sz w:val="48"/>
      </w:rPr>
      <w:tab/>
    </w:r>
    <w:r w:rsidRPr="00970DC3">
      <w:tab/>
    </w:r>
    <w:r w:rsidRPr="00970DC3">
      <w:rPr>
        <w:rFonts w:ascii="Arial" w:hAnsi="Arial" w:cs="Arial"/>
        <w:b/>
        <w:sz w:val="48"/>
      </w:rPr>
      <w:t>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7B1B" w14:textId="2BD5C4F6" w:rsidR="00970DC3" w:rsidRPr="00970DC3" w:rsidRDefault="00970DC3" w:rsidP="00970DC3">
    <w:pPr>
      <w:pStyle w:val="Footer"/>
      <w:rPr>
        <w:rFonts w:ascii="Arial" w:hAnsi="Arial" w:cs="Arial"/>
        <w:b/>
        <w:sz w:val="48"/>
      </w:rPr>
    </w:pPr>
    <w:r w:rsidRPr="00970DC3">
      <w:rPr>
        <w:rFonts w:ascii="Arial" w:hAnsi="Arial" w:cs="Arial"/>
        <w:b/>
        <w:sz w:val="48"/>
      </w:rPr>
      <w:t>HU</w:t>
    </w:r>
    <w:r w:rsidRPr="00970DC3">
      <w:rPr>
        <w:rFonts w:ascii="Arial" w:hAnsi="Arial" w:cs="Arial"/>
        <w:b/>
        <w:sz w:val="48"/>
      </w:rPr>
      <w:tab/>
    </w:r>
    <w:r w:rsidRPr="00970DC3">
      <w:rPr>
        <w:rFonts w:ascii="Arial" w:hAnsi="Arial" w:cs="Arial"/>
        <w:b/>
        <w:sz w:val="48"/>
      </w:rPr>
      <w:tab/>
    </w:r>
    <w:r w:rsidRPr="00970DC3">
      <w:tab/>
    </w:r>
    <w:r w:rsidRPr="00970DC3"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78AE9" w14:textId="77777777" w:rsidR="00970DC3" w:rsidRPr="00970DC3" w:rsidRDefault="00970DC3" w:rsidP="00970DC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46BB" w14:textId="77777777" w:rsidR="00970DC3" w:rsidRDefault="00970DC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F4FA" w14:textId="1EABB0F7" w:rsidR="00970DC3" w:rsidRPr="00970DC3" w:rsidRDefault="00970DC3" w:rsidP="00970DC3">
    <w:pPr>
      <w:pStyle w:val="Footer"/>
      <w:rPr>
        <w:rFonts w:ascii="Arial" w:hAnsi="Arial" w:cs="Arial"/>
        <w:b/>
        <w:sz w:val="48"/>
      </w:rPr>
    </w:pPr>
    <w:r w:rsidRPr="00970DC3">
      <w:rPr>
        <w:rFonts w:ascii="Arial" w:hAnsi="Arial" w:cs="Arial"/>
        <w:b/>
        <w:sz w:val="48"/>
      </w:rPr>
      <w:t>HU</w:t>
    </w:r>
    <w:r w:rsidRPr="00970DC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562C9A">
      <w:rPr>
        <w:noProof/>
      </w:rPr>
      <w:t>2</w:t>
    </w:r>
    <w:r>
      <w:fldChar w:fldCharType="end"/>
    </w:r>
    <w:r>
      <w:tab/>
    </w:r>
    <w:r w:rsidRPr="00970DC3">
      <w:tab/>
    </w:r>
    <w:r w:rsidRPr="00970DC3">
      <w:rPr>
        <w:rFonts w:ascii="Arial" w:hAnsi="Arial" w:cs="Arial"/>
        <w:b/>
        <w:sz w:val="48"/>
      </w:rPr>
      <w:t>HU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E98E" w14:textId="77777777" w:rsidR="00970DC3" w:rsidRDefault="00970DC3" w:rsidP="00970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206B" w14:textId="77777777" w:rsidR="00C76C9F" w:rsidRDefault="00C76C9F" w:rsidP="00C0284A">
      <w:pPr>
        <w:spacing w:before="0" w:after="0"/>
      </w:pPr>
      <w:r>
        <w:separator/>
      </w:r>
    </w:p>
  </w:footnote>
  <w:footnote w:type="continuationSeparator" w:id="0">
    <w:p w14:paraId="30E03C10" w14:textId="77777777" w:rsidR="00C76C9F" w:rsidRDefault="00C76C9F" w:rsidP="00C0284A">
      <w:pPr>
        <w:spacing w:before="0" w:after="0"/>
      </w:pPr>
      <w:r>
        <w:continuationSeparator/>
      </w:r>
    </w:p>
  </w:footnote>
  <w:footnote w:id="1">
    <w:p w14:paraId="0E4747F3" w14:textId="310851CB" w:rsidR="00294D7E" w:rsidRPr="001142D1" w:rsidRDefault="00294D7E" w:rsidP="001142D1"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  <w:t>A Bizottság 2008/63/EK irányelve ( 2008. június 20.) a távközlési végberendezések piacán folyó versenyről (HL L 162., 2008.6.21., 20. o., ELI:</w:t>
      </w:r>
      <w:r>
        <w:rPr>
          <w:color w:val="000000" w:themeColor="text1"/>
        </w:rPr>
        <w:t> </w:t>
      </w:r>
      <w:hyperlink r:id="rId1" w:tooltip="Az ELI (európai jogszabály-azonosító) URI-hivatkozása révén biztosít hozzáférést a dokumentumhoz." w:history="1">
        <w:r>
          <w:rPr>
            <w:rStyle w:val="Hyperlink"/>
          </w:rPr>
          <w:t>http://data.europa.eu/eli/dir/2008/63/oj</w:t>
        </w:r>
      </w:hyperlink>
      <w:r>
        <w:rPr>
          <w:color w:val="000000" w:themeColor="text1"/>
        </w:rPr>
        <w:t>).</w:t>
      </w:r>
      <w:r>
        <w:tab/>
      </w:r>
    </w:p>
  </w:footnote>
  <w:footnote w:id="2">
    <w:p w14:paraId="471BC040" w14:textId="2736966A" w:rsidR="00427C49" w:rsidRDefault="00427C49" w:rsidP="00427C49">
      <w:pPr>
        <w:pStyle w:val="FootnoteText"/>
      </w:pPr>
      <w:r>
        <w:rPr>
          <w:rStyle w:val="FootnoteReference"/>
        </w:rPr>
        <w:footnoteRef/>
      </w:r>
      <w:r>
        <w:tab/>
        <w:t>A Bizottság közleménye az Európai Parlamentnek, az Európai Tanácsnak, a Tanácsnak, az Európai Gazdasági és Szociális Bizottságnak és a Régiók Bizottságának – Versenyképességi iránytű az EU számára, COM(2025)30 final.</w:t>
      </w:r>
    </w:p>
  </w:footnote>
  <w:footnote w:id="3">
    <w:p w14:paraId="0EAB3284" w14:textId="361DFBC2" w:rsidR="00427C49" w:rsidRDefault="00427C49" w:rsidP="00427C49">
      <w:pPr>
        <w:pStyle w:val="FootnoteText"/>
      </w:pPr>
      <w:r>
        <w:rPr>
          <w:rStyle w:val="FootnoteReference"/>
        </w:rPr>
        <w:footnoteRef/>
      </w:r>
      <w:r>
        <w:tab/>
        <w:t>A Bizottság közleménye az Európai Parlamentnek, a Tanácsnak, az Európai Gazdasági és Szociális Bizottságnak és a Régiók Bizottságának – Egyszerűbb és gyorsabb Európa: Közlemény a végrehajtásról és az egyszerűsítésről”, COM(2025)47 final.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4951" w14:textId="77777777" w:rsidR="00970DC3" w:rsidRPr="00970DC3" w:rsidRDefault="00970DC3" w:rsidP="00970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F1F5A" w14:textId="77777777" w:rsidR="00970DC3" w:rsidRPr="00970DC3" w:rsidRDefault="00970DC3" w:rsidP="00970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2FB4" w14:textId="77777777" w:rsidR="00970DC3" w:rsidRPr="00970DC3" w:rsidRDefault="00970DC3" w:rsidP="00970D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1BB84" w14:textId="77777777" w:rsidR="00970DC3" w:rsidRDefault="00970D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09DD" w14:textId="77777777" w:rsidR="00970DC3" w:rsidRDefault="0097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AE9406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EEA82D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3D654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462C9D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02A2B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4A675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7BA95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AB6A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2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6-02-26 15:26:0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E60D8358-593F-4D70-8B32-138B78C85A60"/>
    <w:docVar w:name="LW_COVERPAGE_TYPE" w:val="1"/>
    <w:docVar w:name="LW_CreatedUtc" w:val="2025-10-17T15:46:12.0298049Z"/>
    <w:docVar w:name="LW_CROSSREFERENCE" w:val="&lt;UNUSED&gt;"/>
    <w:docVar w:name="LW_DATE.ADOPT.CP" w:val="(2026.3.5.)"/>
    <w:docVar w:name="LW_DATE.ADOPT.CP_DATEFORMAT" w:val="(%DATE%)"/>
    <w:docVar w:name="LW_DATE.ADOPT.CP_ISODATE" w:val="2026-03-05"/>
    <w:docVar w:name="LW_DocType" w:val="COM"/>
    <w:docVar w:name="LW_EMISSION" w:val="2026.3.5."/>
    <w:docVar w:name="LW_EMISSION_ISODATE" w:val="2026-03-05"/>
    <w:docVar w:name="LW_EMISSION_LOCATION" w:val="BRX"/>
    <w:docVar w:name="LW_EMISSION_PREFIX" w:val="Brüsszel, "/>
    <w:docVar w:name="LW_EMISSION_SUFFIX" w:val=" "/>
    <w:docVar w:name="LW_ID_DOCMODEL" w:val="SJ-006"/>
    <w:docVar w:name="LW_ID_DOCSIGNATURE" w:val="SJ-006"/>
    <w:docVar w:name="LW_ID_DOCSTRUCTURE" w:val="COM/AA"/>
    <w:docVar w:name="LW_ID_DOCTYPE" w:val="SJ-006"/>
    <w:docVar w:name="LW_INTERETEEE.CP" w:val="(EGT-vonatkozású szöveg)"/>
    <w:docVar w:name="LW_LANGUE" w:val="HU"/>
    <w:docVar w:name="LW_LANGUESFAISANTFOI.CP" w:val="&lt;UNUSED&gt;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6) 1467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 2008/63/EK irányelvnek a jelentéstételi kötelezettség tekintetében történ\u337? módosításáról"/>
    <w:docVar w:name="LW_TYPE.DOC.CP" w:val="A BIZOTTSÁG (EU) .../... IRÁNYELVE"/>
    <w:docVar w:name="LwApiVersions" w:val="LW4CoDe 1.24.5.0; LW 9.2, Build 20251112"/>
  </w:docVars>
  <w:rsids>
    <w:rsidRoot w:val="00C0284A"/>
    <w:rsid w:val="00004015"/>
    <w:rsid w:val="000339CB"/>
    <w:rsid w:val="00056509"/>
    <w:rsid w:val="00080BAB"/>
    <w:rsid w:val="000E5590"/>
    <w:rsid w:val="000E5A1B"/>
    <w:rsid w:val="000F10A1"/>
    <w:rsid w:val="001065F5"/>
    <w:rsid w:val="00107870"/>
    <w:rsid w:val="001142D1"/>
    <w:rsid w:val="00117601"/>
    <w:rsid w:val="0012004F"/>
    <w:rsid w:val="001238EF"/>
    <w:rsid w:val="00151603"/>
    <w:rsid w:val="001922A6"/>
    <w:rsid w:val="0019238E"/>
    <w:rsid w:val="00197613"/>
    <w:rsid w:val="001B02ED"/>
    <w:rsid w:val="001B6004"/>
    <w:rsid w:val="001F0D1B"/>
    <w:rsid w:val="001F2CE5"/>
    <w:rsid w:val="00203641"/>
    <w:rsid w:val="00226222"/>
    <w:rsid w:val="00227E82"/>
    <w:rsid w:val="00233DC7"/>
    <w:rsid w:val="00247779"/>
    <w:rsid w:val="00263BC5"/>
    <w:rsid w:val="00276CA2"/>
    <w:rsid w:val="00285BEE"/>
    <w:rsid w:val="00294D7E"/>
    <w:rsid w:val="0029533F"/>
    <w:rsid w:val="002A42CD"/>
    <w:rsid w:val="002B30AF"/>
    <w:rsid w:val="002B77C5"/>
    <w:rsid w:val="002C0F44"/>
    <w:rsid w:val="002D6F2E"/>
    <w:rsid w:val="0033344A"/>
    <w:rsid w:val="003533DB"/>
    <w:rsid w:val="00385C89"/>
    <w:rsid w:val="00395377"/>
    <w:rsid w:val="003A61D8"/>
    <w:rsid w:val="003C11C2"/>
    <w:rsid w:val="003F2F06"/>
    <w:rsid w:val="00400DAD"/>
    <w:rsid w:val="0042648E"/>
    <w:rsid w:val="00427C49"/>
    <w:rsid w:val="004936D2"/>
    <w:rsid w:val="004B5954"/>
    <w:rsid w:val="004E711C"/>
    <w:rsid w:val="004F6C7C"/>
    <w:rsid w:val="005044E6"/>
    <w:rsid w:val="00513228"/>
    <w:rsid w:val="00533BE3"/>
    <w:rsid w:val="00546B74"/>
    <w:rsid w:val="00562C9A"/>
    <w:rsid w:val="00565C6D"/>
    <w:rsid w:val="00565E17"/>
    <w:rsid w:val="0058084A"/>
    <w:rsid w:val="00594A87"/>
    <w:rsid w:val="005A6B81"/>
    <w:rsid w:val="005B1EB6"/>
    <w:rsid w:val="005D0807"/>
    <w:rsid w:val="005E23CB"/>
    <w:rsid w:val="005E2AAB"/>
    <w:rsid w:val="005F4578"/>
    <w:rsid w:val="005F48CF"/>
    <w:rsid w:val="00601798"/>
    <w:rsid w:val="00601FE3"/>
    <w:rsid w:val="00610E0D"/>
    <w:rsid w:val="0061456C"/>
    <w:rsid w:val="00662BDB"/>
    <w:rsid w:val="00677059"/>
    <w:rsid w:val="0068762A"/>
    <w:rsid w:val="006876D0"/>
    <w:rsid w:val="00693CDC"/>
    <w:rsid w:val="00697B8F"/>
    <w:rsid w:val="006A0168"/>
    <w:rsid w:val="006C4D8B"/>
    <w:rsid w:val="006C5ED3"/>
    <w:rsid w:val="007153F2"/>
    <w:rsid w:val="00730DCE"/>
    <w:rsid w:val="00751B34"/>
    <w:rsid w:val="00766B6F"/>
    <w:rsid w:val="00773331"/>
    <w:rsid w:val="007932EF"/>
    <w:rsid w:val="007B70DB"/>
    <w:rsid w:val="007C4F58"/>
    <w:rsid w:val="007E05B0"/>
    <w:rsid w:val="007E32F5"/>
    <w:rsid w:val="007F3992"/>
    <w:rsid w:val="00804966"/>
    <w:rsid w:val="00874D22"/>
    <w:rsid w:val="00881069"/>
    <w:rsid w:val="00885BBA"/>
    <w:rsid w:val="008A2914"/>
    <w:rsid w:val="008E4D8E"/>
    <w:rsid w:val="008F3D2C"/>
    <w:rsid w:val="008F6D04"/>
    <w:rsid w:val="009044FD"/>
    <w:rsid w:val="009364B9"/>
    <w:rsid w:val="009437DD"/>
    <w:rsid w:val="00970DC3"/>
    <w:rsid w:val="00987A49"/>
    <w:rsid w:val="009A09DF"/>
    <w:rsid w:val="009A7066"/>
    <w:rsid w:val="009B3BF6"/>
    <w:rsid w:val="009B788F"/>
    <w:rsid w:val="009C2AAE"/>
    <w:rsid w:val="009E2445"/>
    <w:rsid w:val="009F31AA"/>
    <w:rsid w:val="00A30AAA"/>
    <w:rsid w:val="00A40E39"/>
    <w:rsid w:val="00A50701"/>
    <w:rsid w:val="00A74591"/>
    <w:rsid w:val="00A80553"/>
    <w:rsid w:val="00A953D2"/>
    <w:rsid w:val="00AC1BD9"/>
    <w:rsid w:val="00AC2392"/>
    <w:rsid w:val="00AC6D64"/>
    <w:rsid w:val="00AD22E3"/>
    <w:rsid w:val="00B008E5"/>
    <w:rsid w:val="00B25334"/>
    <w:rsid w:val="00B5610F"/>
    <w:rsid w:val="00B64506"/>
    <w:rsid w:val="00B74143"/>
    <w:rsid w:val="00B84635"/>
    <w:rsid w:val="00B96251"/>
    <w:rsid w:val="00BF4ABC"/>
    <w:rsid w:val="00BF60A8"/>
    <w:rsid w:val="00C0284A"/>
    <w:rsid w:val="00C02CDB"/>
    <w:rsid w:val="00C06C53"/>
    <w:rsid w:val="00C10FDC"/>
    <w:rsid w:val="00C12301"/>
    <w:rsid w:val="00C275E1"/>
    <w:rsid w:val="00C36050"/>
    <w:rsid w:val="00C76C9F"/>
    <w:rsid w:val="00C91CE9"/>
    <w:rsid w:val="00C94610"/>
    <w:rsid w:val="00CC4E4B"/>
    <w:rsid w:val="00CC7908"/>
    <w:rsid w:val="00CF3168"/>
    <w:rsid w:val="00D06450"/>
    <w:rsid w:val="00D20381"/>
    <w:rsid w:val="00D424F2"/>
    <w:rsid w:val="00D66310"/>
    <w:rsid w:val="00D82361"/>
    <w:rsid w:val="00DA5B00"/>
    <w:rsid w:val="00DE0C8C"/>
    <w:rsid w:val="00DF0427"/>
    <w:rsid w:val="00DF5237"/>
    <w:rsid w:val="00E07398"/>
    <w:rsid w:val="00E33640"/>
    <w:rsid w:val="00E3618B"/>
    <w:rsid w:val="00E36326"/>
    <w:rsid w:val="00E4002A"/>
    <w:rsid w:val="00E576AB"/>
    <w:rsid w:val="00E769E8"/>
    <w:rsid w:val="00EB2ACB"/>
    <w:rsid w:val="00EC0AB7"/>
    <w:rsid w:val="00EF36BE"/>
    <w:rsid w:val="00F046FC"/>
    <w:rsid w:val="00F07582"/>
    <w:rsid w:val="00F12A16"/>
    <w:rsid w:val="00F170F5"/>
    <w:rsid w:val="00F250C8"/>
    <w:rsid w:val="00F407DF"/>
    <w:rsid w:val="00F56A0F"/>
    <w:rsid w:val="00F65D5D"/>
    <w:rsid w:val="00F700D3"/>
    <w:rsid w:val="00FC38F8"/>
    <w:rsid w:val="00FD0A56"/>
    <w:rsid w:val="00FD62A5"/>
    <w:rsid w:val="00FE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36F1BC"/>
  <w15:docId w15:val="{1032228E-F742-4B29-B071-86C0ED8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u-HU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1B02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B02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B02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B02ED"/>
    <w:pPr>
      <w:numPr>
        <w:numId w:val="4"/>
      </w:numPr>
      <w:contextualSpacing/>
    </w:pPr>
  </w:style>
  <w:style w:type="paragraph" w:styleId="Revision">
    <w:name w:val="Revision"/>
    <w:hidden/>
    <w:uiPriority w:val="99"/>
    <w:semiHidden/>
    <w:rsid w:val="001B02E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22A6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922A6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1922A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922A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922A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922A6"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C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C89"/>
    <w:rPr>
      <w:rFonts w:ascii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C89"/>
    <w:rPr>
      <w:rFonts w:ascii="Times New Roman" w:hAnsi="Times New Roman" w:cs="Times New Roman"/>
      <w:b/>
      <w:bCs/>
      <w:sz w:val="20"/>
      <w:szCs w:val="20"/>
      <w:lang w:val="hu-HU"/>
    </w:rPr>
  </w:style>
  <w:style w:type="character" w:styleId="Hyperlink">
    <w:name w:val="Hyperlink"/>
    <w:basedOn w:val="DefaultParagraphFont"/>
    <w:uiPriority w:val="99"/>
    <w:unhideWhenUsed/>
    <w:rsid w:val="00385C8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C8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70DC3"/>
    <w:rPr>
      <w:rFonts w:ascii="Times New Roman" w:hAnsi="Times New Roman" w:cs="Times New Roman"/>
      <w:sz w:val="24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970DC3"/>
    <w:rPr>
      <w:rFonts w:ascii="Times New Roman" w:hAnsi="Times New Roman" w:cs="Times New Roman"/>
      <w:sz w:val="24"/>
      <w:lang w:val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hu-HU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70D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70DC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70D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70DC3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970DC3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970DC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970DC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data.europa.eu/eli/dir/2008/63/oj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Id xmlns="aaad0b86-1dbf-48d2-99f8-fcc2ae493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FCCED0C3CA34289BDE3963578B741" ma:contentTypeVersion="3" ma:contentTypeDescription="Create a new document." ma:contentTypeScope="" ma:versionID="19b70dd4363b929f92b86c6b12360bf8">
  <xsd:schema xmlns:xsd="http://www.w3.org/2001/XMLSchema" xmlns:xs="http://www.w3.org/2001/XMLSchema" xmlns:p="http://schemas.microsoft.com/office/2006/metadata/properties" xmlns:ns2="38080443-59f1-4468-9185-e277ce99790f" xmlns:ns3="aaad0b86-1dbf-48d2-99f8-fcc2ae493cdc" targetNamespace="http://schemas.microsoft.com/office/2006/metadata/properties" ma:root="true" ma:fieldsID="11f76b9ee9a8aefbaab67010ff24d8b5" ns2:_="" ns3:_="">
    <xsd:import namespace="38080443-59f1-4468-9185-e277ce99790f"/>
    <xsd:import namespace="aaad0b86-1dbf-48d2-99f8-fcc2ae493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ttachment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80443-59f1-4468-9185-e277ce99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b86-1dbf-48d2-99f8-fcc2ae493cdc" elementFormDefault="qualified">
    <xsd:import namespace="http://schemas.microsoft.com/office/2006/documentManagement/types"/>
    <xsd:import namespace="http://schemas.microsoft.com/office/infopath/2007/PartnerControls"/>
    <xsd:element name="Attachment_Id" ma:index="10" nillable="true" ma:displayName="Attachment_Id" ma:internalName="Attachment_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EBB8-5823-4D23-A314-E304C7581DD3}">
  <ds:schemaRefs>
    <ds:schemaRef ds:uri="http://purl.org/dc/dcmitype/"/>
    <ds:schemaRef ds:uri="http://schemas.microsoft.com/office/infopath/2007/PartnerControls"/>
    <ds:schemaRef ds:uri="aaad0b86-1dbf-48d2-99f8-fcc2ae493cdc"/>
    <ds:schemaRef ds:uri="http://schemas.microsoft.com/office/2006/documentManagement/types"/>
    <ds:schemaRef ds:uri="http://www.w3.org/XML/1998/namespace"/>
    <ds:schemaRef ds:uri="38080443-59f1-4468-9185-e277ce99790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E6FFCD-B325-43C2-8736-686A04A61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80443-59f1-4468-9185-e277ce99790f"/>
    <ds:schemaRef ds:uri="aaad0b86-1dbf-48d2-99f8-fcc2ae493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1017E-30CC-4CD7-B1B4-2336833FA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B5A2E2-7E8D-4CAB-8ECC-1F99EB32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11</cp:revision>
  <dcterms:created xsi:type="dcterms:W3CDTF">2026-02-16T10:20:00Z</dcterms:created>
  <dcterms:modified xsi:type="dcterms:W3CDTF">2026-02-26T14:26:00Z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SJ-006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2025-10-17T15:51:42Z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c7796215-f1bd-44b2-9444-76f1ed1d63e3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ContentTypeId">
    <vt:lpwstr>0x010100BF2FCCED0C3CA34289BDE3963578B741</vt:lpwstr>
  </property>
  <property fmtid="{D5CDD505-2E9C-101B-9397-08002B2CF9AE}" pid="19" name="DQCStatus">
    <vt:lpwstr>Green (DQC version 03)</vt:lpwstr>
  </property>
  <property name="OP_sanitized" fmtid="{D5CDD505-2E9C-101B-9397-08002B2CF9AE}" pid="20">
    <vt:lpwstr>True</vt:lpwstr>
  </property>
</Properties>
</file>