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6.2.0.0 -->
  <w:body>
    <w:tbl>
      <w:tblPr>
        <w:tblW w:w="1031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7"/>
        <w:gridCol w:w="7507"/>
      </w:tblGrid>
      <w:tr w:rsidTr="5DF97280">
        <w:tblPrEx>
          <w:tblW w:w="1031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0314" w:type="dxa"/>
            <w:gridSpan w:val="2"/>
            <w:tcBorders>
              <w:bottom w:val="single" w:sz="4" w:space="0" w:color="auto"/>
            </w:tcBorders>
            <w:shd w:val="clear" w:color="auto" w:fill="0000FF"/>
          </w:tcPr>
          <w:p w:rsidR="004C3B98" w:rsidRPr="003B3C9F" w:rsidP="134EEAF9">
            <w:pPr>
              <w:spacing w:before="60" w:after="60"/>
              <w:jc w:val="center"/>
              <w:rPr>
                <w:rFonts w:ascii="Arial" w:hAnsi="Arial" w:cs="Arial"/>
                <w:b/>
                <w:bCs/>
                <w:sz w:val="22"/>
                <w:szCs w:val="22"/>
              </w:rPr>
            </w:pPr>
            <w:r>
              <w:rPr>
                <w:rFonts w:ascii="Arial" w:hAnsi="Arial"/>
                <w:b/>
                <w:sz w:val="22"/>
              </w:rPr>
              <w:t>VÉLEMÉNYEZÉSI FELHÍVÁS</w:t>
            </w:r>
            <w:r>
              <w:rPr>
                <w:rFonts w:ascii="Arial" w:hAnsi="Arial"/>
                <w:b/>
                <w:sz w:val="22"/>
              </w:rPr>
              <w:t xml:space="preserve"> </w:t>
            </w:r>
          </w:p>
          <w:p w:rsidR="00E83C38" w:rsidRPr="003B3C9F" w:rsidP="6F6B5F5D">
            <w:pPr>
              <w:spacing w:before="60" w:after="60"/>
              <w:jc w:val="center"/>
              <w:rPr>
                <w:rFonts w:ascii="Arial" w:hAnsi="Arial" w:cs="Arial"/>
                <w:b/>
                <w:bCs/>
                <w:sz w:val="22"/>
                <w:szCs w:val="22"/>
              </w:rPr>
            </w:pPr>
            <w:r>
              <w:rPr>
                <w:rFonts w:ascii="Arial" w:hAnsi="Arial"/>
                <w:b/>
                <w:sz w:val="22"/>
              </w:rPr>
              <w:t>HATÁSVIZSGÁLATHOZ</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D9D9D9" w:themeFill="background1" w:themeFillShade="D9"/>
          </w:tcPr>
          <w:p w:rsidR="00053F35" w:rsidRPr="000C34DC" w:rsidP="3511F63F">
            <w:pPr>
              <w:spacing w:before="60" w:after="60"/>
              <w:rPr>
                <w:rFonts w:ascii="Arial" w:hAnsi="Arial" w:cs="Arial"/>
                <w:color w:val="000080"/>
                <w:sz w:val="18"/>
                <w:szCs w:val="18"/>
              </w:rPr>
            </w:pPr>
            <w:r>
              <w:rPr>
                <w:rFonts w:ascii="Arial" w:hAnsi="Arial"/>
                <w:color w:val="000080"/>
                <w:sz w:val="18"/>
              </w:rPr>
              <w:t>E dokumentum célja tájékoztatni a nyilvánosságot és az érdekelt feleket a Bizottság munkájáról, hogy visszajelzést adhassanak a tervezett kezdeményezésről és tevékenyen részt vehessenek a konzultációkban.</w:t>
            </w:r>
            <w:r>
              <w:rPr>
                <w:rFonts w:ascii="Arial" w:hAnsi="Arial"/>
                <w:color w:val="000080"/>
                <w:sz w:val="18"/>
              </w:rPr>
              <w:t xml:space="preserve"> </w:t>
            </w:r>
          </w:p>
          <w:p w:rsidR="00037EE3" w:rsidRPr="00140D6E" w:rsidP="3511F63F">
            <w:pPr>
              <w:spacing w:before="60" w:after="60"/>
              <w:rPr>
                <w:rFonts w:ascii="Arial" w:hAnsi="Arial" w:cs="Arial"/>
                <w:color w:val="000080"/>
                <w:sz w:val="18"/>
                <w:szCs w:val="18"/>
              </w:rPr>
            </w:pPr>
            <w:r>
              <w:rPr>
                <w:rFonts w:ascii="Arial" w:hAnsi="Arial"/>
                <w:color w:val="000080"/>
                <w:sz w:val="18"/>
              </w:rPr>
              <w:t>Felkérjük ezért e csoportokat, hogy</w:t>
            </w:r>
            <w:r>
              <w:rPr>
                <w:rFonts w:ascii="Arial" w:hAnsi="Arial"/>
                <w:color w:val="000080"/>
                <w:sz w:val="18"/>
              </w:rPr>
              <w:t xml:space="preserve"> </w:t>
            </w:r>
            <w:r>
              <w:rPr>
                <w:rFonts w:ascii="Arial" w:hAnsi="Arial"/>
                <w:color w:val="000080"/>
                <w:sz w:val="18"/>
              </w:rPr>
              <w:t>i. fejtsék ki véleményüket a Bizottság által megfogalmazott problémáról és annak lehetséges megoldásairól,</w:t>
            </w:r>
            <w:r>
              <w:rPr>
                <w:rFonts w:ascii="Arial" w:hAnsi="Arial"/>
                <w:color w:val="000080"/>
                <w:sz w:val="18"/>
              </w:rPr>
              <w:t xml:space="preserve"> </w:t>
            </w:r>
            <w:r>
              <w:rPr>
                <w:rFonts w:ascii="Arial" w:hAnsi="Arial"/>
                <w:color w:val="000080"/>
                <w:sz w:val="18"/>
              </w:rPr>
              <w:t>és ii. közöljék velünk a rendelkezésükre álló összes releváns információt, többek között a különböző lehetőségek lehetséges hatásairól.</w:t>
            </w:r>
          </w:p>
        </w:tc>
      </w:tr>
      <w:tr w:rsidTr="5DF97280">
        <w:tblPrEx>
          <w:tblW w:w="10314" w:type="dxa"/>
          <w:tblInd w:w="-743" w:type="dxa"/>
          <w:tblLayout w:type="fixed"/>
          <w:tblLook w:val="01E0"/>
        </w:tblPrEx>
        <w:tc>
          <w:tcPr>
            <w:tcW w:w="2807" w:type="dxa"/>
            <w:tcBorders>
              <w:bottom w:val="single" w:sz="4" w:space="0" w:color="auto"/>
            </w:tcBorders>
            <w:shd w:val="clear" w:color="auto" w:fill="E6E6E6"/>
          </w:tcPr>
          <w:p w:rsidR="00E83C38" w:rsidRPr="003B3C9F" w:rsidP="0086400A">
            <w:pPr>
              <w:spacing w:before="60" w:after="60"/>
              <w:rPr>
                <w:rFonts w:ascii="Arial" w:hAnsi="Arial" w:cs="Arial"/>
                <w:b/>
                <w:bCs/>
                <w:smallCaps/>
                <w:sz w:val="20"/>
              </w:rPr>
            </w:pPr>
            <w:r>
              <w:rPr>
                <w:rFonts w:ascii="Arial" w:hAnsi="Arial"/>
                <w:b/>
                <w:smallCaps/>
                <w:sz w:val="20"/>
              </w:rPr>
              <w:t>A kezdeményezés címe</w:t>
            </w:r>
          </w:p>
        </w:tc>
        <w:tc>
          <w:tcPr>
            <w:tcW w:w="7507" w:type="dxa"/>
            <w:shd w:val="clear" w:color="auto" w:fill="auto"/>
          </w:tcPr>
          <w:p w:rsidR="00E83C38" w:rsidRPr="0055657D" w:rsidP="00CD0C7F">
            <w:pPr>
              <w:spacing w:before="60" w:after="60"/>
              <w:jc w:val="left"/>
              <w:rPr>
                <w:rFonts w:ascii="Arial" w:hAnsi="Arial" w:cs="Arial"/>
                <w:color w:val="000080"/>
                <w:sz w:val="20"/>
              </w:rPr>
            </w:pPr>
            <w:r>
              <w:rPr>
                <w:rFonts w:ascii="Arial" w:hAnsi="Arial"/>
                <w:color w:val="000080"/>
                <w:sz w:val="20"/>
              </w:rPr>
              <w:t>A fenntartható finanszírozással kapcsolatos közzétételekről szóló rendelet módosítása</w:t>
            </w:r>
            <w:r>
              <w:rPr>
                <w:rFonts w:ascii="Arial" w:hAnsi="Arial"/>
                <w:color w:val="000080"/>
                <w:sz w:val="20"/>
              </w:rPr>
              <w:t xml:space="preserve"> </w:t>
            </w:r>
          </w:p>
        </w:tc>
      </w:tr>
      <w:tr w:rsidTr="5DF97280">
        <w:tblPrEx>
          <w:tblW w:w="10314" w:type="dxa"/>
          <w:tblInd w:w="-743" w:type="dxa"/>
          <w:tblLayout w:type="fixed"/>
          <w:tblLook w:val="01E0"/>
        </w:tblPrEx>
        <w:tc>
          <w:tcPr>
            <w:tcW w:w="2807" w:type="dxa"/>
            <w:tcBorders>
              <w:bottom w:val="single" w:sz="4" w:space="0" w:color="auto"/>
              <w:right w:val="single" w:sz="4" w:space="0" w:color="auto"/>
            </w:tcBorders>
            <w:shd w:val="clear" w:color="auto" w:fill="E6E6E6"/>
          </w:tcPr>
          <w:p w:rsidR="00DB48B1" w:rsidRPr="003B3C9F">
            <w:pPr>
              <w:spacing w:before="60" w:after="60"/>
              <w:rPr>
                <w:rFonts w:ascii="Arial" w:hAnsi="Arial" w:cs="Arial"/>
                <w:b/>
                <w:bCs/>
                <w:smallCaps/>
                <w:sz w:val="20"/>
              </w:rPr>
            </w:pPr>
            <w:r>
              <w:rPr>
                <w:rFonts w:ascii="Arial" w:hAnsi="Arial"/>
                <w:b/>
                <w:smallCaps/>
                <w:sz w:val="20"/>
              </w:rPr>
              <w:t>Vezető főigazgatóság – felelős egység</w:t>
            </w:r>
            <w:r>
              <w:rPr>
                <w:rFonts w:ascii="Arial" w:hAnsi="Arial"/>
                <w:b/>
                <w:smallCaps/>
                <w:sz w:val="20"/>
              </w:rPr>
              <w:t xml:space="preserve"> </w:t>
            </w:r>
          </w:p>
        </w:tc>
        <w:tc>
          <w:tcPr>
            <w:tcW w:w="7507" w:type="dxa"/>
            <w:tcBorders>
              <w:top w:val="single" w:sz="4" w:space="0" w:color="auto"/>
              <w:left w:val="single" w:sz="4" w:space="0" w:color="auto"/>
              <w:bottom w:val="single" w:sz="4" w:space="0" w:color="auto"/>
              <w:right w:val="single" w:sz="4" w:space="0" w:color="auto"/>
            </w:tcBorders>
            <w:shd w:val="clear" w:color="auto" w:fill="auto"/>
          </w:tcPr>
          <w:p w:rsidR="00DB48B1" w:rsidRPr="00ED1322" w:rsidP="00CD0C7F">
            <w:pPr>
              <w:spacing w:before="60" w:after="60"/>
              <w:jc w:val="left"/>
              <w:rPr>
                <w:rFonts w:ascii="Arial" w:hAnsi="Arial" w:cs="Arial"/>
                <w:color w:val="000080"/>
                <w:sz w:val="20"/>
              </w:rPr>
            </w:pPr>
            <w:r>
              <w:rPr>
                <w:rFonts w:ascii="Arial" w:hAnsi="Arial"/>
                <w:color w:val="000080"/>
                <w:sz w:val="20"/>
              </w:rPr>
              <w:t>DG FISMA, C4. egység – Eszközkezelés</w:t>
            </w:r>
          </w:p>
        </w:tc>
      </w:tr>
      <w:tr w:rsidTr="5DF97280">
        <w:tblPrEx>
          <w:tblW w:w="10314" w:type="dxa"/>
          <w:tblInd w:w="-743" w:type="dxa"/>
          <w:tblLayout w:type="fixed"/>
          <w:tblLook w:val="01E0"/>
        </w:tblPrEx>
        <w:tc>
          <w:tcPr>
            <w:tcW w:w="2807" w:type="dxa"/>
            <w:tcBorders>
              <w:bottom w:val="single" w:sz="4" w:space="0" w:color="auto"/>
              <w:right w:val="single" w:sz="4" w:space="0" w:color="auto"/>
            </w:tcBorders>
            <w:shd w:val="clear" w:color="auto" w:fill="E6E6E6"/>
          </w:tcPr>
          <w:p w:rsidR="00DB48B1" w:rsidRPr="003B3C9F" w:rsidP="3511F63F">
            <w:pPr>
              <w:spacing w:before="60" w:after="60"/>
              <w:rPr>
                <w:rFonts w:ascii="Arial" w:hAnsi="Arial" w:cs="Arial"/>
                <w:b/>
                <w:bCs/>
                <w:smallCaps/>
                <w:sz w:val="20"/>
              </w:rPr>
            </w:pPr>
            <w:r>
              <w:rPr>
                <w:rFonts w:ascii="Arial" w:hAnsi="Arial"/>
                <w:b/>
                <w:smallCaps/>
                <w:sz w:val="20"/>
              </w:rPr>
              <w:t>A kezdeményezés várható típusa</w:t>
            </w:r>
          </w:p>
        </w:tc>
        <w:tc>
          <w:tcPr>
            <w:tcW w:w="7507" w:type="dxa"/>
            <w:tcBorders>
              <w:top w:val="single" w:sz="4" w:space="0" w:color="auto"/>
              <w:left w:val="single" w:sz="4" w:space="0" w:color="auto"/>
              <w:bottom w:val="single" w:sz="4" w:space="0" w:color="auto"/>
              <w:right w:val="single" w:sz="4" w:space="0" w:color="auto"/>
            </w:tcBorders>
            <w:shd w:val="clear" w:color="auto" w:fill="auto"/>
          </w:tcPr>
          <w:p w:rsidR="00DB48B1" w:rsidRPr="0055657D" w:rsidP="00CD0C7F">
            <w:pPr>
              <w:spacing w:before="60" w:after="60"/>
              <w:rPr>
                <w:rFonts w:ascii="Arial" w:hAnsi="Arial" w:cs="Arial"/>
                <w:color w:val="000080"/>
                <w:sz w:val="20"/>
              </w:rPr>
            </w:pPr>
            <w:r>
              <w:rPr>
                <w:rFonts w:ascii="Arial" w:hAnsi="Arial"/>
                <w:color w:val="000080"/>
                <w:sz w:val="20"/>
              </w:rPr>
              <w:t>Jogalkotási kezdeményezés</w:t>
            </w:r>
          </w:p>
        </w:tc>
      </w:tr>
      <w:tr w:rsidTr="5DF97280">
        <w:tblPrEx>
          <w:tblW w:w="10314" w:type="dxa"/>
          <w:tblInd w:w="-743" w:type="dxa"/>
          <w:tblLayout w:type="fixed"/>
          <w:tblLook w:val="01E0"/>
        </w:tblPrEx>
        <w:tc>
          <w:tcPr>
            <w:tcW w:w="2807" w:type="dxa"/>
            <w:tcBorders>
              <w:bottom w:val="single" w:sz="4" w:space="0" w:color="auto"/>
              <w:right w:val="single" w:sz="4" w:space="0" w:color="auto"/>
            </w:tcBorders>
            <w:shd w:val="clear" w:color="auto" w:fill="E6E6E6"/>
          </w:tcPr>
          <w:p w:rsidR="00DB48B1" w:rsidRPr="003B3C9F" w:rsidP="00053F35">
            <w:pPr>
              <w:spacing w:before="60" w:after="60"/>
              <w:rPr>
                <w:rFonts w:ascii="Arial" w:hAnsi="Arial" w:cs="Arial"/>
                <w:b/>
                <w:bCs/>
                <w:smallCaps/>
                <w:sz w:val="20"/>
              </w:rPr>
            </w:pPr>
            <w:r>
              <w:rPr>
                <w:rFonts w:ascii="Arial" w:hAnsi="Arial"/>
                <w:b/>
                <w:smallCaps/>
                <w:sz w:val="20"/>
              </w:rPr>
              <w:t>Indikatív ütemterv</w:t>
            </w:r>
          </w:p>
        </w:tc>
        <w:tc>
          <w:tcPr>
            <w:tcW w:w="7507" w:type="dxa"/>
            <w:tcBorders>
              <w:top w:val="single" w:sz="4" w:space="0" w:color="auto"/>
              <w:left w:val="single" w:sz="4" w:space="0" w:color="auto"/>
              <w:bottom w:val="single" w:sz="4" w:space="0" w:color="auto"/>
              <w:right w:val="single" w:sz="4" w:space="0" w:color="auto"/>
            </w:tcBorders>
            <w:shd w:val="clear" w:color="auto" w:fill="auto"/>
          </w:tcPr>
          <w:p w:rsidR="00DB48B1" w:rsidRPr="0055657D" w:rsidP="003A1FCF">
            <w:pPr>
              <w:spacing w:before="60" w:after="60"/>
              <w:rPr>
                <w:rFonts w:ascii="Arial" w:hAnsi="Arial" w:cs="Arial"/>
                <w:color w:val="000080"/>
                <w:sz w:val="20"/>
                <w:highlight w:val="green"/>
              </w:rPr>
            </w:pPr>
            <w:r>
              <w:rPr>
                <w:rFonts w:ascii="Arial" w:hAnsi="Arial"/>
                <w:color w:val="000080"/>
                <w:sz w:val="20"/>
              </w:rPr>
              <w:t>2025. negyedik negyedév</w:t>
            </w:r>
          </w:p>
        </w:tc>
      </w:tr>
      <w:tr w:rsidTr="5DF97280">
        <w:tblPrEx>
          <w:tblW w:w="10314" w:type="dxa"/>
          <w:tblInd w:w="-743" w:type="dxa"/>
          <w:tblLayout w:type="fixed"/>
          <w:tblLook w:val="01E0"/>
        </w:tblPrEx>
        <w:tc>
          <w:tcPr>
            <w:tcW w:w="2807" w:type="dxa"/>
            <w:tcBorders>
              <w:bottom w:val="single" w:sz="4" w:space="0" w:color="auto"/>
              <w:right w:val="single" w:sz="4" w:space="0" w:color="auto"/>
            </w:tcBorders>
            <w:shd w:val="clear" w:color="auto" w:fill="E6E6E6"/>
          </w:tcPr>
          <w:p w:rsidR="00DB48B1" w:rsidRPr="003B3C9F" w:rsidP="3511F63F">
            <w:pPr>
              <w:spacing w:before="60" w:after="60"/>
              <w:rPr>
                <w:rFonts w:ascii="Arial" w:hAnsi="Arial" w:cs="Arial"/>
                <w:b/>
                <w:bCs/>
                <w:smallCaps/>
                <w:sz w:val="20"/>
              </w:rPr>
            </w:pPr>
            <w:r>
              <w:rPr>
                <w:rFonts w:ascii="Arial" w:hAnsi="Arial"/>
                <w:b/>
                <w:smallCaps/>
                <w:sz w:val="20"/>
              </w:rPr>
              <w:t>További információk</w:t>
            </w:r>
          </w:p>
        </w:tc>
        <w:tc>
          <w:tcPr>
            <w:tcW w:w="7507" w:type="dxa"/>
            <w:tcBorders>
              <w:top w:val="single" w:sz="4" w:space="0" w:color="auto"/>
              <w:left w:val="single" w:sz="4" w:space="0" w:color="auto"/>
              <w:bottom w:val="single" w:sz="4" w:space="0" w:color="auto"/>
              <w:right w:val="single" w:sz="4" w:space="0" w:color="auto"/>
            </w:tcBorders>
            <w:shd w:val="clear" w:color="auto" w:fill="auto"/>
          </w:tcPr>
          <w:p w:rsidR="00DB48B1" w:rsidRPr="0055657D" w:rsidP="1D8C038E">
            <w:pPr>
              <w:spacing w:before="60" w:after="60"/>
              <w:rPr>
                <w:rFonts w:ascii="Arial" w:hAnsi="Arial" w:cs="Arial"/>
                <w:color w:val="000080"/>
                <w:sz w:val="20"/>
              </w:rPr>
            </w:pPr>
            <w:r>
              <w:fldChar w:fldCharType="begin"/>
            </w:r>
            <w:r>
              <w:instrText xml:space="preserve"> HYPERLINK "https://finance.ec.europa.eu/sustainable-finance/disclosures/sustainability-related-disclosure-financial-services-sector_en" </w:instrText>
            </w:r>
            <w:r>
              <w:fldChar w:fldCharType="separate"/>
            </w:r>
            <w:r>
              <w:rPr>
                <w:rStyle w:val="Hyperlink"/>
                <w:rFonts w:ascii="Arial" w:hAnsi="Arial"/>
                <w:sz w:val="20"/>
              </w:rPr>
              <w:t>Fenntarthatósággal kapcsolatos közzétételek</w:t>
            </w:r>
            <w:r>
              <w:fldChar w:fldCharType="end"/>
            </w:r>
            <w:r>
              <w:rPr>
                <w:rFonts w:ascii="Arial" w:hAnsi="Arial"/>
                <w:color w:val="000080"/>
                <w:sz w:val="20"/>
              </w:rPr>
              <w:t xml:space="preserve"> a pénzügyi szolgáltatási ágazatban – Európai Bizottság</w:t>
            </w:r>
          </w:p>
        </w:tc>
      </w:tr>
      <w:tr w:rsidTr="5DF97280">
        <w:tblPrEx>
          <w:tblW w:w="10314" w:type="dxa"/>
          <w:tblInd w:w="-743" w:type="dxa"/>
          <w:tblLayout w:type="fixed"/>
          <w:tblLook w:val="01E0"/>
        </w:tblPrEx>
        <w:tc>
          <w:tcPr>
            <w:tcW w:w="10314" w:type="dxa"/>
            <w:gridSpan w:val="2"/>
            <w:tcBorders>
              <w:bottom w:val="single" w:sz="4" w:space="0" w:color="auto"/>
              <w:right w:val="single" w:sz="4" w:space="0" w:color="auto"/>
            </w:tcBorders>
            <w:shd w:val="clear" w:color="auto" w:fill="E6E6E6"/>
          </w:tcPr>
          <w:p w:rsidR="0097368A" w:rsidRPr="003B3C9F" w:rsidP="00C25756">
            <w:pPr>
              <w:spacing w:before="60" w:after="60"/>
              <w:rPr>
                <w:rFonts w:ascii="Arial" w:hAnsi="Arial" w:cs="Arial"/>
                <w:b/>
                <w:i/>
                <w:color w:val="00B050"/>
                <w:sz w:val="20"/>
                <w:lang w:eastAsia="en-GB"/>
              </w:rPr>
            </w:pP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0000FF"/>
          </w:tcPr>
          <w:p w:rsidR="00DB48B1" w:rsidRPr="003B3C9F" w:rsidP="6F6B5F5D">
            <w:pPr>
              <w:spacing w:before="60" w:after="60"/>
              <w:jc w:val="center"/>
              <w:rPr>
                <w:rFonts w:ascii="Arial" w:hAnsi="Arial" w:cs="Arial"/>
                <w:b/>
                <w:bCs/>
                <w:sz w:val="22"/>
                <w:szCs w:val="22"/>
              </w:rPr>
            </w:pPr>
            <w:r>
              <w:rPr>
                <w:rFonts w:ascii="Arial" w:hAnsi="Arial"/>
                <w:b/>
                <w:sz w:val="22"/>
              </w:rPr>
              <w:t>A. Politikai környezet, problémameghatározás és szubszidiaritási vizsgálat</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E6E6E6"/>
          </w:tcPr>
          <w:p w:rsidR="00DB48B1" w:rsidRPr="003B3C9F" w:rsidP="007B326F">
            <w:pPr>
              <w:spacing w:before="120" w:after="120"/>
              <w:rPr>
                <w:rFonts w:ascii="Arial" w:hAnsi="Arial" w:cs="Arial"/>
                <w:b/>
                <w:bCs/>
                <w:sz w:val="20"/>
              </w:rPr>
            </w:pPr>
            <w:r>
              <w:rPr>
                <w:rFonts w:ascii="Arial" w:hAnsi="Arial"/>
                <w:b/>
                <w:sz w:val="20"/>
              </w:rPr>
              <w:t>Politikai környezet</w:t>
            </w:r>
          </w:p>
        </w:tc>
      </w:tr>
      <w:tr w:rsidTr="5DF97280">
        <w:tblPrEx>
          <w:tblW w:w="10314" w:type="dxa"/>
          <w:tblInd w:w="-743" w:type="dxa"/>
          <w:tblLayout w:type="fixed"/>
          <w:tblLook w:val="01E0"/>
        </w:tblPrEx>
        <w:trPr>
          <w:trHeight w:val="2625"/>
        </w:trPr>
        <w:tc>
          <w:tcPr>
            <w:tcW w:w="10314" w:type="dxa"/>
            <w:gridSpan w:val="2"/>
            <w:tcBorders>
              <w:bottom w:val="single" w:sz="4" w:space="0" w:color="auto"/>
            </w:tcBorders>
            <w:shd w:val="clear" w:color="auto" w:fill="auto"/>
          </w:tcPr>
          <w:p w:rsidR="00F83A3B" w:rsidRPr="00915FAC" w:rsidP="1D8C038E">
            <w:pPr>
              <w:spacing w:before="60" w:after="120"/>
              <w:rPr>
                <w:rFonts w:ascii="Arial" w:hAnsi="Arial" w:cs="Arial"/>
                <w:color w:val="1036A0"/>
                <w:sz w:val="20"/>
              </w:rPr>
            </w:pPr>
            <w:r>
              <w:rPr>
                <w:rFonts w:ascii="Arial" w:hAnsi="Arial"/>
                <w:sz w:val="20"/>
              </w:rPr>
              <w:t>A</w:t>
            </w:r>
            <w:r>
              <w:t xml:space="preserve"> </w:t>
            </w:r>
            <w:r>
              <w:fldChar w:fldCharType="begin"/>
            </w:r>
            <w:r>
              <w:instrText xml:space="preserve"> HYPERLINK "https://eur-lex.europa.eu/legal-content/HU/TXT/?uri=CELEX%3A02019R2088-20240109" </w:instrText>
            </w:r>
            <w:r>
              <w:fldChar w:fldCharType="separate"/>
            </w:r>
            <w:r>
              <w:rPr>
                <w:rStyle w:val="Hyperlink"/>
                <w:rFonts w:ascii="Arial" w:hAnsi="Arial"/>
                <w:color w:val="auto"/>
                <w:sz w:val="20"/>
              </w:rPr>
              <w:t>fenntartható finanszírozással kapcsolatos közzétételekről szóló rendelet</w:t>
            </w:r>
            <w:r>
              <w:fldChar w:fldCharType="end"/>
            </w:r>
            <w:r>
              <w:rPr>
                <w:rFonts w:ascii="Arial" w:hAnsi="Arial"/>
                <w:sz w:val="20"/>
              </w:rPr>
              <w:t xml:space="preserve"> (a továbbiakban: SFDR) 2021 márciusa óta alkalmazandó.</w:t>
            </w:r>
            <w:r>
              <w:rPr>
                <w:rFonts w:ascii="Arial" w:hAnsi="Arial"/>
                <w:sz w:val="20"/>
              </w:rPr>
              <w:t xml:space="preserve"> </w:t>
            </w:r>
            <w:r>
              <w:rPr>
                <w:rFonts w:ascii="Arial" w:hAnsi="Arial"/>
                <w:sz w:val="20"/>
              </w:rPr>
              <w:t>Azon, tágabb értelemben vett fenntarthatósági közzétételi szabályok közé tartozik, amelyeket a jogalkotók az európai zöld megállapodás célkitűzéseinek megvalósítása érdekében írtak elő.</w:t>
            </w:r>
            <w:r>
              <w:rPr>
                <w:rFonts w:ascii="Arial" w:hAnsi="Arial"/>
                <w:sz w:val="20"/>
              </w:rPr>
              <w:t xml:space="preserve"> </w:t>
            </w:r>
            <w:r>
              <w:rPr>
                <w:rFonts w:ascii="Arial" w:hAnsi="Arial"/>
                <w:sz w:val="20"/>
              </w:rPr>
              <w:t xml:space="preserve">Az </w:t>
            </w:r>
            <w:r>
              <w:fldChar w:fldCharType="begin"/>
            </w:r>
            <w:r>
              <w:instrText xml:space="preserve"> HYPERLINK "https://eur-lex.europa.eu/legal-content/HU/TXT/?uri=CELEX%3A02019R2088-20240109" </w:instrText>
            </w:r>
            <w:r>
              <w:fldChar w:fldCharType="separate"/>
            </w:r>
            <w:r>
              <w:rPr>
                <w:rStyle w:val="Hyperlink"/>
                <w:rFonts w:ascii="Arial" w:hAnsi="Arial"/>
                <w:color w:val="auto"/>
                <w:sz w:val="20"/>
                <w:u w:val="none"/>
              </w:rPr>
              <w:t>SFDR</w:t>
            </w:r>
            <w:r>
              <w:fldChar w:fldCharType="end"/>
            </w:r>
            <w:r>
              <w:rPr>
                <w:rFonts w:ascii="Arial" w:hAnsi="Arial"/>
                <w:sz w:val="20"/>
              </w:rPr>
              <w:t xml:space="preserve"> szabályai szorosan összefüggenek a taxonómiai rendelet és a fenntarthatósággal kapcsolatos vállalati beszámolásról szóló irányelv szabályaival.</w:t>
            </w:r>
            <w:r>
              <w:rPr>
                <w:rFonts w:ascii="Arial" w:hAnsi="Arial"/>
                <w:sz w:val="20"/>
              </w:rPr>
              <w:t xml:space="preserve"> </w:t>
            </w:r>
            <w:r>
              <w:rPr>
                <w:rFonts w:ascii="Arial" w:hAnsi="Arial"/>
                <w:sz w:val="20"/>
              </w:rPr>
              <w:t>Az SFDR e keretben azt konkretizálja, hogy a pénzügyi piaci szereplőknek miként kell közzétenniük a fenntarthatósággal kapcsolatos információkat annak elősegítése érdekében, hogy a befektetők megalapozott befektetési döntéseket hozzanak.</w:t>
            </w:r>
            <w:r>
              <w:rPr>
                <w:rFonts w:ascii="Arial" w:hAnsi="Arial"/>
                <w:sz w:val="20"/>
              </w:rPr>
              <w:t xml:space="preserve"> </w:t>
            </w:r>
            <w:r>
              <w:rPr>
                <w:rFonts w:ascii="Arial" w:hAnsi="Arial"/>
                <w:sz w:val="20"/>
              </w:rPr>
              <w:t>Az SFDR-nek így két tágabb célja van:</w:t>
            </w:r>
            <w:r>
              <w:rPr>
                <w:rFonts w:ascii="Arial" w:hAnsi="Arial"/>
                <w:sz w:val="20"/>
              </w:rPr>
              <w:t xml:space="preserve"> </w:t>
            </w:r>
            <w:r>
              <w:rPr>
                <w:rFonts w:ascii="Arial" w:hAnsi="Arial"/>
                <w:sz w:val="20"/>
              </w:rPr>
              <w:t>i. hogy a fenntarthatósági átállás előmozdítása érdekében fokozott szerepvállalásra ösztönözze a magánbefektetőket;</w:t>
            </w:r>
            <w:r>
              <w:rPr>
                <w:rFonts w:ascii="Arial" w:hAnsi="Arial"/>
                <w:sz w:val="20"/>
              </w:rPr>
              <w:t xml:space="preserve"> </w:t>
            </w:r>
            <w:r>
              <w:rPr>
                <w:rFonts w:ascii="Arial" w:hAnsi="Arial"/>
                <w:sz w:val="20"/>
              </w:rPr>
              <w:t>és ii. hogy elősegítse, hogy az európai vállalatok kihasználhassák az e területen kínálkozó versenylehetőségeket.</w:t>
            </w:r>
            <w:r>
              <w:rPr>
                <w:rFonts w:ascii="Arial" w:hAnsi="Arial"/>
                <w:sz w:val="20"/>
              </w:rPr>
              <w:t xml:space="preserve"> </w:t>
            </w:r>
            <w:r>
              <w:rPr>
                <w:rFonts w:ascii="Arial" w:hAnsi="Arial"/>
                <w:sz w:val="20"/>
              </w:rPr>
              <w:t>Sok visszajelzés szerint az SFDR növelte az átláthatóságot, és részletes ESG-információkhoz biztosított hozzáférést a befektetők számára.</w:t>
            </w:r>
            <w:r>
              <w:rPr>
                <w:rFonts w:ascii="Arial" w:hAnsi="Arial"/>
                <w:sz w:val="20"/>
              </w:rPr>
              <w:t xml:space="preserve"> </w:t>
            </w:r>
            <w:r>
              <w:rPr>
                <w:rFonts w:ascii="Arial" w:hAnsi="Arial"/>
                <w:sz w:val="20"/>
              </w:rPr>
              <w:t>Mindazonáltal egyes pénzügyi piaci szereplők szerint az SFDR végrehajtása bonyolult és költséges.</w:t>
            </w:r>
            <w:r>
              <w:rPr>
                <w:rFonts w:ascii="Arial" w:hAnsi="Arial"/>
                <w:sz w:val="20"/>
              </w:rPr>
              <w:t xml:space="preserve"> </w:t>
            </w:r>
            <w:r>
              <w:rPr>
                <w:rFonts w:ascii="Arial" w:hAnsi="Arial"/>
                <w:sz w:val="20"/>
              </w:rPr>
              <w:t>Az érdekelt felek számos kihívásról számoltak be az SFDR végrehajtásával kapcsolatban, továbbá javaslatokat tettek a keret hatékonyságának javítására és végrehajtásának megkönnyítésére.</w:t>
            </w:r>
            <w:r>
              <w:rPr>
                <w:rFonts w:ascii="Arial" w:hAnsi="Arial"/>
                <w:sz w:val="20"/>
              </w:rPr>
              <w:t xml:space="preserve"> </w:t>
            </w:r>
            <w:r>
              <w:rPr>
                <w:rFonts w:ascii="Arial" w:hAnsi="Arial"/>
                <w:sz w:val="20"/>
              </w:rPr>
              <w:t xml:space="preserve">A Bizottság e javasolt kiigazításokat a </w:t>
            </w:r>
            <w:r>
              <w:fldChar w:fldCharType="begin"/>
            </w:r>
            <w:r>
              <w:instrText xml:space="preserve"> HYPERLINK "https://commission.europa.eu/strategy-and-policy/strategy-documents/commission-work-programme/commission-work-programme-2025_en" </w:instrText>
            </w:r>
            <w:r>
              <w:fldChar w:fldCharType="separate"/>
            </w:r>
            <w:r>
              <w:rPr>
                <w:rStyle w:val="Hyperlink"/>
                <w:rFonts w:ascii="Arial" w:hAnsi="Arial"/>
                <w:color w:val="auto"/>
                <w:sz w:val="20"/>
              </w:rPr>
              <w:t>munkaprogramjának</w:t>
            </w:r>
            <w:r>
              <w:fldChar w:fldCharType="end"/>
            </w:r>
            <w:r>
              <w:rPr>
                <w:rFonts w:ascii="Arial" w:hAnsi="Arial"/>
                <w:sz w:val="20"/>
              </w:rPr>
              <w:t xml:space="preserve"> megfelelően 2025 negyedik negyedévében, az SFDR tervezett felülvizsgálata keretében fogja megvizsgálni, összhangban </w:t>
            </w:r>
            <w:r>
              <w:fldChar w:fldCharType="begin"/>
            </w:r>
            <w:r>
              <w:instrText xml:space="preserve"> HYPERLINK "https://commission.europa.eu/news/commission-proposes-cut-red-tape-and-simplify-business-environment-2025-02-26_hu" </w:instrText>
            </w:r>
            <w:r>
              <w:fldChar w:fldCharType="separate"/>
            </w:r>
            <w:r>
              <w:rPr>
                <w:rStyle w:val="Hyperlink"/>
                <w:rFonts w:ascii="Arial" w:hAnsi="Arial"/>
                <w:color w:val="auto"/>
                <w:sz w:val="20"/>
              </w:rPr>
              <w:t>a vállalatok fenntarthatósági beszámolásának egyszerűsítésére irányuló javaslatainak</w:t>
            </w:r>
            <w:r>
              <w:fldChar w:fldCharType="end"/>
            </w:r>
            <w:r>
              <w:rPr>
                <w:rFonts w:ascii="Arial" w:hAnsi="Arial"/>
                <w:sz w:val="20"/>
              </w:rPr>
              <w:t xml:space="preserve"> célkitűzéseivel.</w:t>
            </w:r>
            <w:r>
              <w:rPr>
                <w:rFonts w:ascii="Arial" w:hAnsi="Arial"/>
                <w:sz w:val="20"/>
              </w:rPr>
              <w:t xml:space="preserve"> </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E6E6E6"/>
          </w:tcPr>
          <w:p w:rsidR="00DB48B1" w:rsidRPr="003B3C9F" w:rsidP="007B326F">
            <w:pPr>
              <w:spacing w:before="120" w:after="120"/>
              <w:rPr>
                <w:rFonts w:ascii="Arial" w:hAnsi="Arial" w:cs="Arial"/>
                <w:b/>
                <w:sz w:val="20"/>
              </w:rPr>
            </w:pPr>
            <w:r>
              <w:rPr>
                <w:rFonts w:ascii="Arial" w:hAnsi="Arial"/>
                <w:b/>
                <w:sz w:val="20"/>
              </w:rPr>
              <w:t>A kezdeményezés által kezelni kívánt probléma</w:t>
            </w:r>
            <w:r>
              <w:rPr>
                <w:rFonts w:ascii="Arial" w:hAnsi="Arial"/>
                <w:b/>
                <w:sz w:val="20"/>
              </w:rPr>
              <w:t xml:space="preserve"> </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auto"/>
          </w:tcPr>
          <w:p w:rsidR="008A1ADD" w:rsidRPr="00934074" w:rsidP="5DF97280">
            <w:pPr>
              <w:spacing w:before="60" w:after="0"/>
              <w:rPr>
                <w:rFonts w:ascii="Arial" w:hAnsi="Arial" w:cs="Arial"/>
                <w:color w:val="1036A0"/>
                <w:sz w:val="20"/>
              </w:rPr>
            </w:pPr>
            <w:r>
              <w:rPr>
                <w:rFonts w:ascii="Arial" w:hAnsi="Arial"/>
                <w:sz w:val="20"/>
              </w:rPr>
              <w:t>Az SFDR 19. cikke alapján 2023-ban indított átfogó értékelés magában foglalt:</w:t>
            </w:r>
            <w:r>
              <w:rPr>
                <w:rFonts w:ascii="Arial" w:hAnsi="Arial"/>
                <w:sz w:val="20"/>
              </w:rPr>
              <w:t xml:space="preserve"> </w:t>
            </w:r>
            <w:r>
              <w:rPr>
                <w:rFonts w:ascii="Arial" w:hAnsi="Arial"/>
                <w:sz w:val="20"/>
              </w:rPr>
              <w:t xml:space="preserve">i. </w:t>
            </w:r>
            <w:r>
              <w:fldChar w:fldCharType="begin"/>
            </w:r>
            <w:r>
              <w:instrText xml:space="preserve"> HYPERLINK "https://finance.ec.europa.eu/sustainable-finance/disclosures/sustainability-related-disclosure-financial-services-sector_en" \l "policy-making-timeline" </w:instrText>
            </w:r>
            <w:r>
              <w:fldChar w:fldCharType="separate"/>
            </w:r>
            <w:r>
              <w:rPr>
                <w:rFonts w:ascii="Arial" w:hAnsi="Arial"/>
                <w:sz w:val="20"/>
              </w:rPr>
              <w:t>két konzultációt</w:t>
            </w:r>
            <w:r>
              <w:fldChar w:fldCharType="end"/>
            </w:r>
            <w:r>
              <w:rPr>
                <w:rFonts w:ascii="Arial" w:hAnsi="Arial"/>
                <w:sz w:val="20"/>
              </w:rPr>
              <w:t xml:space="preserve"> (egy nyilvánosat és egy célzottat);</w:t>
            </w:r>
            <w:r>
              <w:rPr>
                <w:rFonts w:ascii="Arial" w:hAnsi="Arial"/>
                <w:sz w:val="20"/>
              </w:rPr>
              <w:t xml:space="preserve"> </w:t>
            </w:r>
            <w:r>
              <w:rPr>
                <w:rFonts w:ascii="Arial" w:hAnsi="Arial"/>
                <w:sz w:val="20"/>
              </w:rPr>
              <w:t>ii. az ágazat képviselőivel folytatott szakmai munkaértekezleteket;</w:t>
            </w:r>
            <w:r>
              <w:rPr>
                <w:rFonts w:ascii="Arial" w:hAnsi="Arial"/>
                <w:sz w:val="20"/>
              </w:rPr>
              <w:t xml:space="preserve"> </w:t>
            </w:r>
            <w:r>
              <w:rPr>
                <w:rFonts w:ascii="Arial" w:hAnsi="Arial"/>
                <w:sz w:val="20"/>
              </w:rPr>
              <w:t>és iii. a tagállamokkal, a felügyeletekkel és a civil társadalom képviselőivel folytatott együttműködést.</w:t>
            </w:r>
            <w:r>
              <w:rPr>
                <w:rFonts w:ascii="Arial" w:hAnsi="Arial"/>
                <w:sz w:val="20"/>
              </w:rPr>
              <w:t xml:space="preserve"> </w:t>
            </w:r>
            <w:r>
              <w:rPr>
                <w:rFonts w:ascii="Arial" w:hAnsi="Arial"/>
                <w:sz w:val="20"/>
              </w:rPr>
              <w:t>A Bizottság e tevékenységek révén átfogó visszajelzést kívánt kapni a jelenlegi szabályok esetleges hiányosságairól és arról, hogy miként lehetne javítani az SFDR működését mind a pénzügyi piaci szereplők, mind a végső befektetők számára.</w:t>
            </w:r>
            <w:r>
              <w:rPr>
                <w:rFonts w:ascii="Arial" w:hAnsi="Arial"/>
                <w:sz w:val="20"/>
              </w:rPr>
              <w:t xml:space="preserve"> </w:t>
            </w:r>
            <w:r>
              <w:rPr>
                <w:rFonts w:ascii="Arial" w:hAnsi="Arial"/>
                <w:sz w:val="20"/>
              </w:rPr>
              <w:t>A beérkezett visszajelzések alapvetően továbbra is támogatják az SFDR átfogó célkitűzéseit, és elismerik a fenntarthatósági közzétételre vonatkozó uniós szintű közös keret hozzáadott értékét.</w:t>
            </w:r>
            <w:r>
              <w:rPr>
                <w:rFonts w:ascii="Arial" w:hAnsi="Arial"/>
                <w:sz w:val="20"/>
              </w:rPr>
              <w:t xml:space="preserve"> </w:t>
            </w:r>
            <w:r>
              <w:rPr>
                <w:rFonts w:ascii="Arial" w:hAnsi="Arial"/>
                <w:sz w:val="20"/>
              </w:rPr>
              <w:t>Mindazonáltal az érdekelt felek nagy többsége szerint az SFDR bizonyos korlátai miatt nem sikerült teljes körűen megvalósítani a keret célkitűzéseit.</w:t>
            </w:r>
            <w:r>
              <w:rPr>
                <w:rFonts w:ascii="Arial" w:hAnsi="Arial"/>
                <w:sz w:val="20"/>
              </w:rPr>
              <w:t xml:space="preserve"> </w:t>
            </w:r>
            <w:r>
              <w:rPr>
                <w:rFonts w:ascii="Arial" w:hAnsi="Arial"/>
                <w:sz w:val="20"/>
              </w:rPr>
              <w:t>Ilyen korlát volt például:</w:t>
            </w:r>
            <w:r>
              <w:rPr>
                <w:rFonts w:ascii="Arial" w:hAnsi="Arial"/>
                <w:sz w:val="20"/>
              </w:rPr>
              <w:t xml:space="preserve"> </w:t>
            </w:r>
            <w:r>
              <w:rPr>
                <w:rFonts w:ascii="Arial" w:hAnsi="Arial"/>
                <w:sz w:val="20"/>
              </w:rPr>
              <w:t>i. a fő fogalmak jogi egyértelműségének hiánya;</w:t>
            </w:r>
            <w:r>
              <w:rPr>
                <w:rFonts w:ascii="Arial" w:hAnsi="Arial"/>
                <w:sz w:val="20"/>
              </w:rPr>
              <w:t xml:space="preserve"> </w:t>
            </w:r>
            <w:r>
              <w:rPr>
                <w:rFonts w:ascii="Arial" w:hAnsi="Arial"/>
                <w:sz w:val="20"/>
              </w:rPr>
              <w:t>ii. egyes közzétételi követelmények korlátozott relevanciája;</w:t>
            </w:r>
            <w:r>
              <w:rPr>
                <w:rFonts w:ascii="Arial" w:hAnsi="Arial"/>
                <w:sz w:val="20"/>
              </w:rPr>
              <w:t xml:space="preserve"> </w:t>
            </w:r>
            <w:r>
              <w:rPr>
                <w:rFonts w:ascii="Arial" w:hAnsi="Arial"/>
                <w:sz w:val="20"/>
              </w:rPr>
              <w:t>iii. a fenntartható finanszírozási keret más részeivel való átfedések és következetlenségek;</w:t>
            </w:r>
            <w:r>
              <w:rPr>
                <w:rFonts w:ascii="Arial" w:hAnsi="Arial"/>
                <w:sz w:val="20"/>
              </w:rPr>
              <w:t xml:space="preserve"> </w:t>
            </w:r>
            <w:r>
              <w:rPr>
                <w:rFonts w:ascii="Arial" w:hAnsi="Arial"/>
                <w:sz w:val="20"/>
              </w:rPr>
              <w:t>valamint iv. az adatok rendelkezésre állásával kapcsolatos problémák.</w:t>
            </w:r>
            <w:r>
              <w:rPr>
                <w:rFonts w:ascii="Arial" w:hAnsi="Arial"/>
                <w:sz w:val="20"/>
              </w:rPr>
              <w:t xml:space="preserve"> </w:t>
            </w:r>
            <w:r>
              <w:rPr>
                <w:rFonts w:ascii="Arial" w:hAnsi="Arial"/>
                <w:sz w:val="20"/>
              </w:rPr>
              <w:t>Ezek a korlátok számos végrehajtási kihíváshoz vezettek, és indokolatlanul növelték a pénzügyi piaci szereplők működési költségeit.</w:t>
            </w:r>
            <w:r>
              <w:rPr>
                <w:rFonts w:ascii="Arial" w:hAnsi="Arial"/>
                <w:sz w:val="20"/>
              </w:rPr>
              <w:t xml:space="preserve"> </w:t>
            </w:r>
            <w:r>
              <w:rPr>
                <w:rFonts w:ascii="Arial" w:hAnsi="Arial"/>
                <w:sz w:val="20"/>
              </w:rPr>
              <w:t>Bizonytalanságot keltettek továbbá az Unióban befektetőknek kínált különböző pénzügyi termékek fenntarthatóságával kapcsolatban, megnehezítve azok összehasonlítását.</w:t>
            </w:r>
            <w:r>
              <w:rPr>
                <w:rFonts w:ascii="Arial" w:hAnsi="Arial"/>
                <w:sz w:val="20"/>
              </w:rPr>
              <w:t xml:space="preserve"> </w:t>
            </w:r>
            <w:r>
              <w:rPr>
                <w:rFonts w:ascii="Arial" w:hAnsi="Arial"/>
                <w:sz w:val="20"/>
              </w:rPr>
              <w:t>Ez ugyanakkor a zöldrefestés kockázatához és – egyes szabályok alkalmazásának módja miatt – egyes ágazatok indokolatlan kizárásához vezetett.</w:t>
            </w:r>
            <w:r>
              <w:rPr>
                <w:rFonts w:ascii="Arial" w:hAnsi="Arial"/>
                <w:sz w:val="20"/>
              </w:rPr>
              <w:t xml:space="preserve"> </w:t>
            </w:r>
            <w:r>
              <w:rPr>
                <w:rFonts w:ascii="Arial" w:hAnsi="Arial"/>
                <w:sz w:val="20"/>
              </w:rPr>
              <w:t>A szabályok ezért a vártnál kevésbé alkalmasak arra, hogy a magánbefektetések mozgósításával támogassák i. a fenntartható üzleti gyakorlatokra való átállást és ii. Európa stratégiai célkitűzéseit.</w:t>
            </w:r>
            <w:r>
              <w:rPr>
                <w:rFonts w:ascii="Arial" w:hAnsi="Arial"/>
                <w:sz w:val="20"/>
              </w:rPr>
              <w:t xml:space="preserve"> </w:t>
            </w:r>
            <w:r>
              <w:rPr>
                <w:rFonts w:ascii="Arial" w:hAnsi="Arial"/>
                <w:sz w:val="20"/>
              </w:rPr>
              <w:t>E hiányosságok csak célzott egyszerűsítésekkel és kiigazításokkal szüntethetők meg, amelyek vizsgálatával a Bizottság elnöke Albuquerque biztost bízta meg annak megbízólevelében – a cél a fenntartható finanszírozási keret végrehajtásának megkönnyítése, valamint „a fenntarthatósági jellemzőkkel rendelkező pénzügyi termékek és szolgáltatások fejlesztésének és átlátható kategorizálásának előmozdítása”.</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E6E6E6"/>
          </w:tcPr>
          <w:p w:rsidR="00DB48B1" w:rsidRPr="003B3C9F" w:rsidP="007B326F">
            <w:pPr>
              <w:spacing w:before="120" w:after="120"/>
              <w:rPr>
                <w:rFonts w:ascii="Arial" w:hAnsi="Arial" w:cs="Arial"/>
                <w:b/>
                <w:sz w:val="20"/>
              </w:rPr>
            </w:pPr>
            <w:r>
              <w:rPr>
                <w:rFonts w:ascii="Arial" w:hAnsi="Arial"/>
                <w:b/>
                <w:sz w:val="20"/>
              </w:rPr>
              <w:t>Az uniós fellépés alapja (jogalap és szubszidiaritási vizsgálat)</w:t>
            </w:r>
          </w:p>
        </w:tc>
      </w:tr>
      <w:tr w:rsidTr="5DF97280">
        <w:tblPrEx>
          <w:tblW w:w="10314" w:type="dxa"/>
          <w:tblInd w:w="-743" w:type="dxa"/>
          <w:tblLayout w:type="fixed"/>
          <w:tblLook w:val="01E0"/>
        </w:tblPrEx>
        <w:tc>
          <w:tcPr>
            <w:tcW w:w="10314" w:type="dxa"/>
            <w:gridSpan w:val="2"/>
            <w:shd w:val="clear" w:color="auto" w:fill="D9D9D9" w:themeFill="background1" w:themeFillShade="D9"/>
          </w:tcPr>
          <w:p w:rsidR="00C45F85" w:rsidRPr="00934074" w:rsidP="00C45F85">
            <w:pPr>
              <w:spacing w:before="120" w:after="120"/>
              <w:rPr>
                <w:rFonts w:ascii="Arial" w:hAnsi="Arial" w:cs="Arial"/>
                <w:b/>
                <w:color w:val="1036A0"/>
                <w:sz w:val="20"/>
              </w:rPr>
            </w:pPr>
            <w:r>
              <w:rPr>
                <w:rFonts w:ascii="Arial" w:hAnsi="Arial"/>
                <w:b/>
                <w:color w:val="000000" w:themeColor="text1"/>
                <w:sz w:val="20"/>
              </w:rPr>
              <w:t>Jogalap</w:t>
            </w:r>
          </w:p>
        </w:tc>
      </w:tr>
      <w:tr w:rsidTr="5DF97280">
        <w:tblPrEx>
          <w:tblW w:w="10314" w:type="dxa"/>
          <w:tblInd w:w="-743" w:type="dxa"/>
          <w:tblLayout w:type="fixed"/>
          <w:tblLook w:val="01E0"/>
        </w:tblPrEx>
        <w:tc>
          <w:tcPr>
            <w:tcW w:w="10314" w:type="dxa"/>
            <w:gridSpan w:val="2"/>
            <w:shd w:val="clear" w:color="auto" w:fill="auto"/>
          </w:tcPr>
          <w:p w:rsidR="000C34DC" w:rsidRPr="00934074" w:rsidP="007B326F">
            <w:pPr>
              <w:spacing w:after="0"/>
              <w:rPr>
                <w:rFonts w:ascii="Arial" w:hAnsi="Arial" w:cs="Arial"/>
                <w:bCs/>
                <w:color w:val="1036A0"/>
                <w:sz w:val="20"/>
              </w:rPr>
            </w:pPr>
            <w:r>
              <w:rPr>
                <w:rFonts w:ascii="Arial" w:hAnsi="Arial"/>
                <w:color w:val="000000" w:themeColor="text1"/>
                <w:sz w:val="20"/>
              </w:rPr>
              <w:t>A jogalap azonos a hatályos rendelet jogalapjával, vagyis az Európai Unió működéséről szóló szerződés (EUMSZ) 114. cikkével.</w:t>
            </w:r>
          </w:p>
        </w:tc>
      </w:tr>
      <w:tr w:rsidTr="5DF97280">
        <w:tblPrEx>
          <w:tblW w:w="10314" w:type="dxa"/>
          <w:tblInd w:w="-743" w:type="dxa"/>
          <w:tblLayout w:type="fixed"/>
          <w:tblLook w:val="01E0"/>
        </w:tblPrEx>
        <w:tc>
          <w:tcPr>
            <w:tcW w:w="10314" w:type="dxa"/>
            <w:gridSpan w:val="2"/>
            <w:shd w:val="clear" w:color="auto" w:fill="D9D9D9" w:themeFill="background1" w:themeFillShade="D9"/>
          </w:tcPr>
          <w:p w:rsidR="00C45F85" w:rsidRPr="00934074">
            <w:pPr>
              <w:spacing w:before="120" w:after="120"/>
              <w:rPr>
                <w:rFonts w:ascii="Arial" w:hAnsi="Arial" w:cs="Arial"/>
                <w:b/>
                <w:color w:val="1036A0"/>
                <w:sz w:val="20"/>
              </w:rPr>
            </w:pPr>
            <w:r>
              <w:rPr>
                <w:rFonts w:ascii="Arial" w:hAnsi="Arial"/>
                <w:b/>
                <w:color w:val="000000" w:themeColor="text1"/>
                <w:sz w:val="20"/>
              </w:rPr>
              <w:t>Az uniós fellépés szükségessége</w:t>
            </w:r>
          </w:p>
        </w:tc>
      </w:tr>
      <w:tr w:rsidTr="5DF97280">
        <w:tblPrEx>
          <w:tblW w:w="10314" w:type="dxa"/>
          <w:tblInd w:w="-743" w:type="dxa"/>
          <w:tblLayout w:type="fixed"/>
          <w:tblLook w:val="01E0"/>
        </w:tblPrEx>
        <w:tc>
          <w:tcPr>
            <w:tcW w:w="10314" w:type="dxa"/>
            <w:gridSpan w:val="2"/>
            <w:shd w:val="clear" w:color="auto" w:fill="auto"/>
          </w:tcPr>
          <w:p w:rsidR="000C34DC" w:rsidRPr="00F26D4A" w:rsidP="1D8C038E">
            <w:pPr>
              <w:spacing w:before="120" w:after="120"/>
              <w:rPr>
                <w:rFonts w:ascii="Arial" w:hAnsi="Arial" w:cs="Arial"/>
                <w:color w:val="000000" w:themeColor="text1"/>
                <w:sz w:val="20"/>
              </w:rPr>
            </w:pPr>
            <w:r>
              <w:rPr>
                <w:rFonts w:ascii="Arial" w:hAnsi="Arial"/>
                <w:color w:val="000000" w:themeColor="text1"/>
                <w:sz w:val="20"/>
              </w:rPr>
              <w:t>Az SFDR elfogadásakor a jogalkotók abból indultak ki, hogy a pénzügyi termékek fenntarthatósággal kapcsolatos közzétételére vonatkozóan uniós szinten koherens közös keretre van szükség.</w:t>
            </w:r>
            <w:r>
              <w:rPr>
                <w:rFonts w:ascii="Arial" w:hAnsi="Arial"/>
                <w:color w:val="000000" w:themeColor="text1"/>
                <w:sz w:val="20"/>
              </w:rPr>
              <w:t xml:space="preserve"> </w:t>
            </w:r>
            <w:r>
              <w:rPr>
                <w:rFonts w:ascii="Arial" w:hAnsi="Arial"/>
                <w:color w:val="000000" w:themeColor="text1"/>
                <w:sz w:val="20"/>
              </w:rPr>
              <w:t>Ez a megállapítás ma is teljes mértékben érvényes.</w:t>
            </w:r>
            <w:r>
              <w:rPr>
                <w:rFonts w:ascii="Arial" w:hAnsi="Arial"/>
                <w:color w:val="000000" w:themeColor="text1"/>
                <w:sz w:val="20"/>
              </w:rPr>
              <w:t xml:space="preserve"> </w:t>
            </w:r>
            <w:r>
              <w:rPr>
                <w:rFonts w:ascii="Arial" w:hAnsi="Arial"/>
                <w:color w:val="000000" w:themeColor="text1"/>
                <w:sz w:val="20"/>
              </w:rPr>
              <w:t>Hatékony uniós szintű fellépés nélkül az azonosított problémák továbbra is fennállnának, EU-szerte gátolva a zöld átállással kapcsolatos projektek indításához és bővítéséhez szükséges magánfinanszírozást egy olyan helyzetben, amikor a szűkös közforrások felhasználásáról egymással versengő és folyamatosan változó stratégiai prioritásokat mérlegelve kell dönteni.</w:t>
            </w:r>
            <w:r>
              <w:rPr>
                <w:rFonts w:ascii="Arial" w:hAnsi="Arial"/>
                <w:color w:val="000000" w:themeColor="text1"/>
                <w:sz w:val="20"/>
              </w:rPr>
              <w:t xml:space="preserve"> </w:t>
            </w:r>
            <w:r>
              <w:rPr>
                <w:rFonts w:ascii="Arial" w:hAnsi="Arial"/>
                <w:color w:val="000000" w:themeColor="text1"/>
                <w:sz w:val="20"/>
              </w:rPr>
              <w:t>Ha a meglévő keret szükséges egyszerűsítése és kiigazítása nem uniós szinten valósulna meg, az a fenntartható finanszírozás egységes piacának töredezettségéhez és alacsony hatékonyságához vezetne.</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0000FF"/>
          </w:tcPr>
          <w:p w:rsidR="00DB48B1" w:rsidRPr="003B3C9F" w:rsidP="3511F63F">
            <w:pPr>
              <w:spacing w:before="60" w:after="60"/>
              <w:jc w:val="center"/>
              <w:rPr>
                <w:rFonts w:ascii="Arial" w:hAnsi="Arial" w:cs="Arial"/>
                <w:b/>
                <w:bCs/>
                <w:sz w:val="22"/>
                <w:szCs w:val="22"/>
              </w:rPr>
            </w:pPr>
            <w:r>
              <w:rPr>
                <w:rFonts w:ascii="Arial" w:hAnsi="Arial"/>
                <w:b/>
                <w:sz w:val="22"/>
              </w:rPr>
              <w:t>B. Célkitűzések és szakpolitikai alternatívák</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auto"/>
          </w:tcPr>
          <w:p w:rsidR="00DB48B1" w:rsidRPr="00890DDA" w:rsidP="6F3FCCE8">
            <w:pPr>
              <w:spacing w:after="0"/>
              <w:contextualSpacing/>
              <w:rPr>
                <w:rFonts w:ascii="Arial" w:hAnsi="Arial" w:cs="Arial"/>
                <w:color w:val="1036A0"/>
                <w:sz w:val="20"/>
              </w:rPr>
            </w:pPr>
            <w:r>
              <w:rPr>
                <w:rFonts w:ascii="Arial" w:hAnsi="Arial"/>
                <w:sz w:val="20"/>
              </w:rPr>
              <w:t>A felülvizsgálat átfogó célja az SFDR működésének javítása,</w:t>
            </w:r>
            <w:r>
              <w:rPr>
                <w:rFonts w:ascii="Arial" w:hAnsi="Arial"/>
                <w:sz w:val="20"/>
              </w:rPr>
              <w:t xml:space="preserve"> </w:t>
            </w:r>
            <w:r>
              <w:rPr>
                <w:rFonts w:ascii="Arial" w:hAnsi="Arial"/>
                <w:sz w:val="20"/>
              </w:rPr>
              <w:t>elsősorban az indokolatlan terhek megszüntetésével, valamint a követelmények egyszerűsítésével és észszerűsítésével.</w:t>
            </w:r>
            <w:r>
              <w:rPr>
                <w:rFonts w:ascii="Arial" w:hAnsi="Arial"/>
                <w:sz w:val="20"/>
              </w:rPr>
              <w:t xml:space="preserve"> </w:t>
            </w:r>
            <w:r>
              <w:rPr>
                <w:rFonts w:ascii="Arial" w:hAnsi="Arial"/>
                <w:sz w:val="20"/>
              </w:rPr>
              <w:t>Idetartozik továbbá a pénzügyi piaci szereplők ESG-beszámolási terheinek csökkentése, a széles körű beszámolás helyett a befektetők számára legfontosabb információkra összpontosítva.</w:t>
            </w:r>
            <w:r>
              <w:rPr>
                <w:rFonts w:ascii="Arial" w:hAnsi="Arial"/>
                <w:sz w:val="20"/>
              </w:rPr>
              <w:t xml:space="preserve"> </w:t>
            </w:r>
            <w:r>
              <w:rPr>
                <w:rFonts w:ascii="Arial" w:hAnsi="Arial"/>
                <w:sz w:val="20"/>
              </w:rPr>
              <w:t xml:space="preserve">A felülvizsgálatnak növelnie kell a jogi egyértelműséget, és a fenntartható finanszírozási kereten belül biztosítania kell a szabályok – köztük </w:t>
            </w:r>
            <w:r>
              <w:fldChar w:fldCharType="begin"/>
            </w:r>
            <w:r>
              <w:instrText xml:space="preserve"> HYPERLINK "https://commission.europa.eu/news/commission-proposes-cut-red-tape-and-simplify-business-environment-2025-02-26_hu" </w:instrText>
            </w:r>
            <w:r>
              <w:fldChar w:fldCharType="separate"/>
            </w:r>
            <w:r>
              <w:rPr>
                <w:rStyle w:val="Hyperlink"/>
                <w:rFonts w:ascii="Arial" w:hAnsi="Arial"/>
                <w:color w:val="auto"/>
                <w:sz w:val="20"/>
              </w:rPr>
              <w:t>a vállalatok fenntarthatósági beszámolásának egyszerűsítésére javasolt intézkedések</w:t>
            </w:r>
            <w:r>
              <w:fldChar w:fldCharType="end"/>
            </w:r>
            <w:r>
              <w:rPr>
                <w:rFonts w:ascii="Arial" w:hAnsi="Arial"/>
                <w:sz w:val="20"/>
              </w:rPr>
              <w:t xml:space="preserve"> általános koherenciáját.</w:t>
            </w:r>
            <w:r>
              <w:rPr>
                <w:rFonts w:ascii="Arial" w:hAnsi="Arial"/>
                <w:sz w:val="20"/>
              </w:rPr>
              <w:t xml:space="preserve"> </w:t>
            </w:r>
            <w:r>
              <w:rPr>
                <w:rFonts w:ascii="Arial" w:hAnsi="Arial"/>
                <w:sz w:val="20"/>
              </w:rPr>
              <w:t>A felülvizsgálat célja ezért az, hogy a keretet hozzáigazítsa a fenntarthatósággal kapcsolatos vállalati beszámolásról szóló irányelvben és az uniós taxonómiai szabályokban előírt vállalati beszámolási kötelezettségek lehetséges változásaihoz, figyelembe véve a kisebb vállalatokra vonatkozó önkéntes beszámolási standardokat is.</w:t>
            </w:r>
            <w:r>
              <w:rPr>
                <w:rFonts w:ascii="Arial" w:hAnsi="Arial"/>
                <w:sz w:val="20"/>
              </w:rPr>
              <w:t xml:space="preserve"> </w:t>
            </w:r>
            <w:r>
              <w:rPr>
                <w:rFonts w:ascii="Arial" w:hAnsi="Arial"/>
                <w:sz w:val="20"/>
              </w:rPr>
              <w:t>A beérkezett visszajelzések széleskörűen támogatják az SFDR olyan módosítását, amely:</w:t>
            </w:r>
            <w:r>
              <w:rPr>
                <w:rFonts w:ascii="Arial" w:hAnsi="Arial"/>
                <w:sz w:val="20"/>
              </w:rPr>
              <w:t xml:space="preserve"> </w:t>
            </w:r>
            <w:r>
              <w:rPr>
                <w:rFonts w:ascii="Arial" w:hAnsi="Arial"/>
                <w:sz w:val="20"/>
              </w:rPr>
              <w:t>i. lehetővé tenné a különböző befektetői csoportok és a pénzügyi termékek különböző típusainak eltérő kezelését;</w:t>
            </w:r>
            <w:r>
              <w:rPr>
                <w:rFonts w:ascii="Arial" w:hAnsi="Arial"/>
                <w:sz w:val="20"/>
              </w:rPr>
              <w:t xml:space="preserve"> </w:t>
            </w:r>
            <w:r>
              <w:rPr>
                <w:rFonts w:ascii="Arial" w:hAnsi="Arial"/>
                <w:sz w:val="20"/>
              </w:rPr>
              <w:t>ii. érthetőbbé tenné a lakossági befektetők számára a befektetési termékeket;</w:t>
            </w:r>
            <w:r>
              <w:rPr>
                <w:rFonts w:ascii="Arial" w:hAnsi="Arial"/>
                <w:sz w:val="20"/>
              </w:rPr>
              <w:t xml:space="preserve"> </w:t>
            </w:r>
            <w:r>
              <w:rPr>
                <w:rFonts w:ascii="Arial" w:hAnsi="Arial"/>
                <w:sz w:val="20"/>
              </w:rPr>
              <w:t>iii. jobban figyelembe venné a befektetések nemzetközi dimenzióját és kitettségeit;</w:t>
            </w:r>
            <w:r>
              <w:rPr>
                <w:rFonts w:ascii="Arial" w:hAnsi="Arial"/>
                <w:sz w:val="20"/>
              </w:rPr>
              <w:t xml:space="preserve"> </w:t>
            </w:r>
            <w:r>
              <w:rPr>
                <w:rFonts w:ascii="Arial" w:hAnsi="Arial"/>
                <w:sz w:val="20"/>
              </w:rPr>
              <w:t>és iv. segítené a befektetések diverzifikációját a különböző fenntarthatóságorientált célok között (ideértve nemcsak az eleve zöld tevékenységeket, hanem az átállás korábbi szakaszaiban lévő vállalatokba történő befektetéseket és az egyéb – például biztonsági – célkitűzéseket támogató befektetéseket is), elkerülve ugyanakkor a zöldrefestést.</w:t>
            </w:r>
            <w:r>
              <w:rPr>
                <w:rFonts w:ascii="Arial" w:hAnsi="Arial"/>
                <w:sz w:val="20"/>
              </w:rPr>
              <w:t xml:space="preserve"> </w:t>
            </w:r>
            <w:r>
              <w:rPr>
                <w:rFonts w:ascii="Arial" w:hAnsi="Arial"/>
                <w:sz w:val="20"/>
              </w:rPr>
              <w:t>Ennek érdekében az SFDR felülvizsgálatával a pénzügyi piaci szereplők és a végső befektetők számára is egyértelműsíteni kell a keretet.</w:t>
            </w:r>
            <w:r>
              <w:rPr>
                <w:rFonts w:ascii="Arial" w:hAnsi="Arial"/>
                <w:sz w:val="20"/>
              </w:rPr>
              <w:t xml:space="preserve"> </w:t>
            </w:r>
            <w:r>
              <w:rPr>
                <w:rFonts w:ascii="Arial" w:hAnsi="Arial"/>
                <w:sz w:val="20"/>
              </w:rPr>
              <w:t>Mindehhez:</w:t>
            </w:r>
            <w:r>
              <w:rPr>
                <w:rFonts w:ascii="Arial" w:hAnsi="Arial"/>
                <w:sz w:val="20"/>
              </w:rPr>
              <w:t xml:space="preserve"> </w:t>
            </w:r>
            <w:r>
              <w:rPr>
                <w:rFonts w:ascii="Arial" w:hAnsi="Arial"/>
                <w:sz w:val="20"/>
              </w:rPr>
              <w:t>i. egyszerűsíteni kell a kulcsfogalmakat;</w:t>
            </w:r>
            <w:r>
              <w:rPr>
                <w:rFonts w:ascii="Arial" w:hAnsi="Arial"/>
                <w:sz w:val="20"/>
              </w:rPr>
              <w:t xml:space="preserve"> </w:t>
            </w:r>
            <w:r>
              <w:rPr>
                <w:rFonts w:ascii="Arial" w:hAnsi="Arial"/>
                <w:sz w:val="20"/>
              </w:rPr>
              <w:t>ii. észszerűsíteni és csökkenteni kell a közzétételi követelményeket – a befektetők számára leglényegesebb információkra összpontosítva;</w:t>
            </w:r>
            <w:r>
              <w:rPr>
                <w:rFonts w:ascii="Arial" w:hAnsi="Arial"/>
                <w:sz w:val="20"/>
              </w:rPr>
              <w:t xml:space="preserve"> </w:t>
            </w:r>
            <w:r>
              <w:rPr>
                <w:rFonts w:ascii="Arial" w:hAnsi="Arial"/>
                <w:sz w:val="20"/>
              </w:rPr>
              <w:t>valamint iii. meg kell vizsgálni, hogy érdemes-e kategorizálni a fenntarthatósággal kapcsolatos állításokkal jellemzett pénzügyi termékeket.</w:t>
            </w:r>
            <w:r>
              <w:rPr>
                <w:rFonts w:ascii="Arial" w:hAnsi="Arial"/>
                <w:sz w:val="20"/>
              </w:rPr>
              <w:t xml:space="preserve"> </w:t>
            </w:r>
            <w:r>
              <w:rPr>
                <w:rFonts w:ascii="Arial" w:hAnsi="Arial"/>
                <w:sz w:val="20"/>
              </w:rPr>
              <w:t>A lehetséges termékkategóriáknak:</w:t>
            </w:r>
            <w:r>
              <w:rPr>
                <w:rFonts w:ascii="Arial" w:hAnsi="Arial"/>
                <w:sz w:val="20"/>
              </w:rPr>
              <w:t xml:space="preserve"> </w:t>
            </w:r>
            <w:r>
              <w:rPr>
                <w:rFonts w:ascii="Arial" w:hAnsi="Arial"/>
                <w:sz w:val="20"/>
              </w:rPr>
              <w:t>i. könnyen érthetőnek kell lenniük a lakossági befektetők számára;</w:t>
            </w:r>
            <w:r>
              <w:rPr>
                <w:rFonts w:ascii="Arial" w:hAnsi="Arial"/>
                <w:sz w:val="20"/>
              </w:rPr>
              <w:t xml:space="preserve"> </w:t>
            </w:r>
            <w:r>
              <w:rPr>
                <w:rFonts w:ascii="Arial" w:hAnsi="Arial"/>
                <w:sz w:val="20"/>
              </w:rPr>
              <w:t>ii. figyelembe kell venniük az uniós célokat tükröző különböző fenntarthatósági célkitűzéseket;</w:t>
            </w:r>
            <w:r>
              <w:rPr>
                <w:rFonts w:ascii="Arial" w:hAnsi="Arial"/>
                <w:sz w:val="20"/>
              </w:rPr>
              <w:t xml:space="preserve"> </w:t>
            </w:r>
            <w:r>
              <w:rPr>
                <w:rFonts w:ascii="Arial" w:hAnsi="Arial"/>
                <w:sz w:val="20"/>
              </w:rPr>
              <w:t>és iii. megfelelően figyelembe kell venniük a rendelkezésre álló adatok terén és a fenntarthatóságorientált pénzügyi termékekkel kapcsolatban kialakult piaci gyakorlatokat.</w:t>
            </w:r>
            <w:r>
              <w:rPr>
                <w:rFonts w:ascii="Arial" w:hAnsi="Arial"/>
                <w:sz w:val="20"/>
              </w:rPr>
              <w:t xml:space="preserve"> </w:t>
            </w:r>
            <w:r>
              <w:rPr>
                <w:rFonts w:ascii="Arial" w:hAnsi="Arial"/>
                <w:sz w:val="20"/>
              </w:rPr>
              <w:t>Az SFDR módosítása kapcsán többek között a következő alternatívákat kell megvizsgálni:</w:t>
            </w:r>
            <w:r>
              <w:rPr>
                <w:rFonts w:ascii="Arial" w:hAnsi="Arial"/>
                <w:sz w:val="20"/>
              </w:rPr>
              <w:t xml:space="preserve"> </w:t>
            </w:r>
            <w:r>
              <w:rPr>
                <w:rFonts w:ascii="Arial" w:hAnsi="Arial"/>
                <w:sz w:val="20"/>
              </w:rPr>
              <w:t>i. a meglévő közzétételi követelmények célzott módosításai és pontosításai;</w:t>
            </w:r>
            <w:r>
              <w:rPr>
                <w:rFonts w:ascii="Arial" w:hAnsi="Arial"/>
                <w:sz w:val="20"/>
              </w:rPr>
              <w:t xml:space="preserve"> </w:t>
            </w:r>
            <w:r>
              <w:rPr>
                <w:rFonts w:ascii="Arial" w:hAnsi="Arial"/>
                <w:sz w:val="20"/>
              </w:rPr>
              <w:t>vagy ii. a rendelet szélesebb körű módosítása a pénzügyi termékek különböző fenntarthatósági célkitűzéseit tükröző, közös kritériumokon alapuló kategóriák (pl. fenntarthatósági célkitűzéshez hozzájáruló termékek, az átálláshoz hozzájáruló termékek vagy más ESG-stratégiákhoz hozzájáruló termékek) létrehozásával.</w:t>
            </w:r>
            <w:r>
              <w:rPr>
                <w:rFonts w:ascii="Arial" w:hAnsi="Arial"/>
                <w:sz w:val="20"/>
              </w:rPr>
              <w:t xml:space="preserve"> </w:t>
            </w:r>
            <w:r>
              <w:rPr>
                <w:rFonts w:ascii="Arial" w:hAnsi="Arial"/>
                <w:sz w:val="20"/>
              </w:rPr>
              <w:t>Végezetül az alternatíváknak összhangban kell lenniük a pénzügyi termékek befektetők körében való forgalmazására vonatkozó uniós szabályokkal.</w:t>
            </w:r>
            <w:r>
              <w:rPr>
                <w:rFonts w:ascii="Arial" w:hAnsi="Arial"/>
                <w:sz w:val="20"/>
              </w:rPr>
              <w:t xml:space="preserve"> </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0000FF"/>
          </w:tcPr>
          <w:p w:rsidR="00DB48B1" w:rsidRPr="003B3C9F" w:rsidP="3511F63F">
            <w:pPr>
              <w:spacing w:before="60" w:after="60"/>
              <w:jc w:val="center"/>
              <w:rPr>
                <w:rFonts w:ascii="Arial" w:hAnsi="Arial" w:cs="Arial"/>
                <w:b/>
                <w:bCs/>
                <w:color w:val="FFFFFF"/>
                <w:sz w:val="22"/>
                <w:szCs w:val="22"/>
              </w:rPr>
            </w:pPr>
            <w:r>
              <w:rPr>
                <w:rFonts w:ascii="Arial" w:hAnsi="Arial"/>
                <w:b/>
                <w:color w:val="FFFFFF"/>
                <w:sz w:val="22"/>
                <w:highlight w:val="blue"/>
              </w:rPr>
              <w:t xml:space="preserve">C. </w:t>
            </w:r>
            <w:r>
              <w:rPr>
                <w:rFonts w:ascii="Arial" w:hAnsi="Arial"/>
                <w:b/>
                <w:color w:val="FFFFFF"/>
                <w:sz w:val="22"/>
                <w:highlight w:val="blue"/>
                <w:shd w:val="pct15" w:color="auto" w:fill="FFFFFF"/>
              </w:rPr>
              <w:t>Várható</w:t>
            </w:r>
            <w:r>
              <w:rPr>
                <w:rFonts w:ascii="Arial" w:hAnsi="Arial"/>
                <w:b/>
                <w:color w:val="FFFFFF"/>
                <w:sz w:val="22"/>
                <w:highlight w:val="blue"/>
              </w:rPr>
              <w:t xml:space="preserve"> hatások</w:t>
            </w:r>
            <w:r>
              <w:rPr>
                <w:rFonts w:ascii="Arial" w:hAnsi="Arial"/>
                <w:b/>
                <w:color w:val="FFFFFF"/>
                <w:sz w:val="22"/>
              </w:rPr>
              <w:t xml:space="preserve"> </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FFFFFF" w:themeFill="background1"/>
          </w:tcPr>
          <w:p w:rsidR="00D870EC" w:rsidRPr="004C44CB" w:rsidP="00033B92">
            <w:pPr>
              <w:spacing w:before="60" w:after="120"/>
              <w:rPr>
                <w:rFonts w:ascii="Arial" w:hAnsi="Arial" w:cs="Arial"/>
                <w:color w:val="1036A0"/>
                <w:sz w:val="20"/>
              </w:rPr>
            </w:pPr>
            <w:r>
              <w:rPr>
                <w:rFonts w:ascii="Arial" w:hAnsi="Arial"/>
                <w:sz w:val="20"/>
              </w:rPr>
              <w:t>Az egyértelműség javítása, a következetlenségek megszüntetése és az adatok rendelkezésre állásával kapcsolatos problémák kezelése egyszerűsítené a követelményeket.</w:t>
            </w:r>
            <w:r>
              <w:rPr>
                <w:rFonts w:ascii="Arial" w:hAnsi="Arial"/>
                <w:sz w:val="20"/>
              </w:rPr>
              <w:t xml:space="preserve"> </w:t>
            </w:r>
            <w:r>
              <w:rPr>
                <w:rFonts w:ascii="Arial" w:hAnsi="Arial"/>
                <w:sz w:val="20"/>
              </w:rPr>
              <w:t>Ez viszont:</w:t>
            </w:r>
            <w:r>
              <w:rPr>
                <w:rFonts w:ascii="Arial" w:hAnsi="Arial"/>
                <w:sz w:val="20"/>
              </w:rPr>
              <w:t xml:space="preserve"> </w:t>
            </w:r>
            <w:r>
              <w:rPr>
                <w:rFonts w:ascii="Arial" w:hAnsi="Arial"/>
                <w:sz w:val="20"/>
              </w:rPr>
              <w:t>i. jelentősen csökkentené a működési és megfelelési költségeket az uniós piacon;</w:t>
            </w:r>
            <w:r>
              <w:rPr>
                <w:rFonts w:ascii="Arial" w:hAnsi="Arial"/>
                <w:sz w:val="20"/>
              </w:rPr>
              <w:t xml:space="preserve"> </w:t>
            </w:r>
            <w:r>
              <w:rPr>
                <w:rFonts w:ascii="Arial" w:hAnsi="Arial"/>
                <w:sz w:val="20"/>
              </w:rPr>
              <w:t>ii. segítené a jogszabályok célkitűzéseinek jobb megvalósítását;</w:t>
            </w:r>
            <w:r>
              <w:rPr>
                <w:rFonts w:ascii="Arial" w:hAnsi="Arial"/>
                <w:sz w:val="20"/>
              </w:rPr>
              <w:t xml:space="preserve"> </w:t>
            </w:r>
            <w:r>
              <w:rPr>
                <w:rFonts w:ascii="Arial" w:hAnsi="Arial"/>
                <w:sz w:val="20"/>
              </w:rPr>
              <w:t>és iii. megkönnyítené a fenntartható befektetést.</w:t>
            </w:r>
            <w:r>
              <w:rPr>
                <w:rFonts w:ascii="Arial" w:hAnsi="Arial"/>
                <w:sz w:val="20"/>
              </w:rPr>
              <w:t xml:space="preserve"> </w:t>
            </w:r>
            <w:r>
              <w:rPr>
                <w:rFonts w:ascii="Arial" w:hAnsi="Arial"/>
                <w:sz w:val="20"/>
              </w:rPr>
              <w:t>A termékkategóriák esetleges létrehozása áttekinthetőbbé tenné az elérhető termékeket a befektetők számára, és csökkentené a zöldrefestés kockázatát.</w:t>
            </w:r>
            <w:r>
              <w:rPr>
                <w:rFonts w:ascii="Arial" w:hAnsi="Arial"/>
                <w:sz w:val="20"/>
              </w:rPr>
              <w:t xml:space="preserve"> </w:t>
            </w:r>
            <w:r>
              <w:rPr>
                <w:rFonts w:ascii="Arial" w:hAnsi="Arial"/>
                <w:sz w:val="20"/>
              </w:rPr>
              <w:t>A kezdeményezés segíthetné továbbá a tőkepiacok elmélyítését, és bővítené az uniós vállalkozások finanszírozási lehetőségeit a fenntartható gazdaságra való átállás során.</w:t>
            </w:r>
            <w:r>
              <w:rPr>
                <w:rFonts w:ascii="Arial" w:hAnsi="Arial"/>
                <w:sz w:val="20"/>
              </w:rPr>
              <w:t xml:space="preserve"> </w:t>
            </w:r>
            <w:r>
              <w:rPr>
                <w:rFonts w:ascii="Arial" w:hAnsi="Arial"/>
                <w:sz w:val="20"/>
              </w:rPr>
              <w:t>Az új adminisztratív terhek várhatóan korlátozottak lesznek, és kisebbek, mint az egyszerűsített közzétételi követelményekből származó előnyök.</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0000FF"/>
          </w:tcPr>
          <w:p w:rsidR="00DB48B1" w:rsidRPr="003B3C9F" w:rsidP="00DB42E2">
            <w:pPr>
              <w:spacing w:before="60" w:after="60"/>
              <w:jc w:val="center"/>
              <w:rPr>
                <w:rFonts w:ascii="Arial" w:hAnsi="Arial" w:cs="Arial"/>
                <w:b/>
                <w:sz w:val="22"/>
                <w:szCs w:val="22"/>
              </w:rPr>
            </w:pPr>
            <w:r>
              <w:rPr>
                <w:rFonts w:ascii="Arial" w:hAnsi="Arial"/>
                <w:b/>
                <w:sz w:val="22"/>
                <w:highlight w:val="blue"/>
              </w:rPr>
              <w:t xml:space="preserve">D. </w:t>
            </w:r>
            <w:r>
              <w:rPr>
                <w:rFonts w:ascii="Arial" w:hAnsi="Arial"/>
                <w:b/>
                <w:color w:val="FFFFFF" w:themeColor="background1"/>
                <w:sz w:val="22"/>
                <w:highlight w:val="blue"/>
                <w:shd w:val="clear" w:color="auto" w:fill="0070C0"/>
              </w:rPr>
              <w:t>Minőségi jogalkotási</w:t>
            </w:r>
            <w:r>
              <w:rPr>
                <w:rFonts w:ascii="Arial" w:hAnsi="Arial"/>
                <w:b/>
                <w:color w:val="FFFFFF" w:themeColor="background1"/>
                <w:sz w:val="22"/>
                <w:highlight w:val="blue"/>
              </w:rPr>
              <w:t xml:space="preserve"> eszközök</w:t>
            </w:r>
            <w:r>
              <w:rPr>
                <w:rFonts w:ascii="Arial" w:hAnsi="Arial"/>
                <w:b/>
                <w:color w:val="FFFFFF" w:themeColor="background1"/>
                <w:sz w:val="22"/>
                <w:highlight w:val="blue"/>
              </w:rPr>
              <w:t xml:space="preserve"> </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E6E6E6"/>
          </w:tcPr>
          <w:p w:rsidR="00DB48B1" w:rsidRPr="003B3C9F" w:rsidP="6F6B5F5D">
            <w:pPr>
              <w:spacing w:before="60" w:after="0"/>
              <w:rPr>
                <w:rFonts w:ascii="Arial" w:hAnsi="Arial" w:cs="Arial"/>
                <w:i/>
                <w:iCs/>
                <w:sz w:val="20"/>
              </w:rPr>
            </w:pPr>
            <w:r>
              <w:rPr>
                <w:rFonts w:ascii="Arial" w:hAnsi="Arial"/>
                <w:b/>
                <w:sz w:val="20"/>
              </w:rPr>
              <w:t>Hatásvizsgálat</w:t>
            </w:r>
            <w:r>
              <w:rPr>
                <w:rFonts w:ascii="Arial" w:hAnsi="Arial"/>
                <w:b/>
                <w:sz w:val="20"/>
              </w:rPr>
              <w:t xml:space="preserve"> </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auto"/>
          </w:tcPr>
          <w:p w:rsidR="00D578A3" w:rsidRPr="004C44CB" w:rsidP="6F6B5F5D">
            <w:pPr>
              <w:spacing w:before="60" w:after="60"/>
              <w:rPr>
                <w:rFonts w:ascii="Arial" w:hAnsi="Arial" w:cs="Arial"/>
                <w:color w:val="1036A0"/>
                <w:sz w:val="20"/>
              </w:rPr>
            </w:pPr>
            <w:r>
              <w:rPr>
                <w:rFonts w:ascii="Arial" w:hAnsi="Arial"/>
                <w:sz w:val="20"/>
              </w:rPr>
              <w:t>E kezdeményezés előkészítésének támogatása érdekében hatásvizsgálat készül.</w:t>
            </w:r>
            <w:r>
              <w:rPr>
                <w:rFonts w:ascii="Arial" w:hAnsi="Arial"/>
                <w:sz w:val="20"/>
              </w:rPr>
              <w:t xml:space="preserve"> </w:t>
            </w:r>
            <w:r>
              <w:rPr>
                <w:rFonts w:ascii="Arial" w:hAnsi="Arial"/>
                <w:sz w:val="20"/>
              </w:rPr>
              <w:t>A jelentést értékelési melléklet fogja kísérni.</w:t>
            </w:r>
            <w:r>
              <w:rPr>
                <w:rFonts w:ascii="Arial" w:hAnsi="Arial"/>
                <w:sz w:val="20"/>
              </w:rPr>
              <w:t xml:space="preserve"> </w:t>
            </w:r>
            <w:r>
              <w:rPr>
                <w:rFonts w:ascii="Arial" w:hAnsi="Arial"/>
                <w:sz w:val="20"/>
              </w:rPr>
              <w:t xml:space="preserve">A nyilvános visszajelzések mellett az előkészítő munkát további részletes jelentések, illetve a szabályok lehetséges módosításaival kapcsolatos észrevételek is segítik, például a </w:t>
            </w:r>
            <w:r>
              <w:fldChar w:fldCharType="begin"/>
            </w:r>
            <w:r>
              <w:instrText xml:space="preserve"> HYPERLINK "https://www.esma.europa.eu/press-news/esma-news/esas-propose-improvements-sustainable-finance-disclosure-regulation" </w:instrText>
            </w:r>
            <w:r>
              <w:fldChar w:fldCharType="separate"/>
            </w:r>
            <w:r>
              <w:rPr>
                <w:rStyle w:val="Hyperlink"/>
                <w:rFonts w:ascii="Arial" w:hAnsi="Arial"/>
                <w:color w:val="auto"/>
                <w:sz w:val="20"/>
              </w:rPr>
              <w:t>pénzügyi felügyeletek</w:t>
            </w:r>
            <w:r>
              <w:fldChar w:fldCharType="end"/>
            </w:r>
            <w:r>
              <w:rPr>
                <w:rFonts w:ascii="Arial" w:hAnsi="Arial"/>
                <w:sz w:val="20"/>
              </w:rPr>
              <w:t xml:space="preserve"> és a </w:t>
            </w:r>
            <w:r>
              <w:fldChar w:fldCharType="begin"/>
            </w:r>
            <w:r>
              <w:instrText xml:space="preserve"> HYPERLINK "https://finance.ec.europa.eu/publications/categorisation-products-under-sfdr-proposal-platform-sustainable-finance_en" </w:instrText>
            </w:r>
            <w:r>
              <w:fldChar w:fldCharType="separate"/>
            </w:r>
            <w:r>
              <w:rPr>
                <w:rStyle w:val="Hyperlink"/>
                <w:rFonts w:ascii="Arial" w:hAnsi="Arial"/>
                <w:color w:val="auto"/>
                <w:sz w:val="20"/>
              </w:rPr>
              <w:t>piaci szakértők</w:t>
            </w:r>
            <w:r>
              <w:fldChar w:fldCharType="end"/>
            </w:r>
            <w:r>
              <w:rPr>
                <w:rFonts w:ascii="Arial" w:hAnsi="Arial"/>
                <w:sz w:val="20"/>
              </w:rPr>
              <w:t xml:space="preserve"> részéről.</w:t>
            </w:r>
          </w:p>
        </w:tc>
      </w:tr>
      <w:tr w:rsidTr="5DF97280">
        <w:tblPrEx>
          <w:tblW w:w="10314" w:type="dxa"/>
          <w:tblInd w:w="-743" w:type="dxa"/>
          <w:tblLayout w:type="fixed"/>
          <w:tblLook w:val="01E0"/>
        </w:tblPrEx>
        <w:tc>
          <w:tcPr>
            <w:tcW w:w="10314" w:type="dxa"/>
            <w:gridSpan w:val="2"/>
            <w:tcBorders>
              <w:bottom w:val="single" w:sz="4" w:space="0" w:color="auto"/>
            </w:tcBorders>
            <w:shd w:val="clear" w:color="auto" w:fill="E6E6E6"/>
          </w:tcPr>
          <w:p w:rsidR="00DB48B1" w:rsidRPr="003B3C9F" w:rsidP="0086400A">
            <w:pPr>
              <w:spacing w:before="60" w:after="60"/>
              <w:rPr>
                <w:rFonts w:ascii="Arial" w:hAnsi="Arial" w:cs="Arial"/>
                <w:sz w:val="20"/>
              </w:rPr>
            </w:pPr>
            <w:r>
              <w:rPr>
                <w:rFonts w:ascii="Arial" w:hAnsi="Arial"/>
                <w:b/>
                <w:sz w:val="20"/>
              </w:rPr>
              <w:t>Konzultációs stratégia</w:t>
            </w:r>
          </w:p>
        </w:tc>
      </w:tr>
      <w:tr w:rsidTr="5DF97280">
        <w:tblPrEx>
          <w:tblW w:w="10314" w:type="dxa"/>
          <w:tblInd w:w="-743" w:type="dxa"/>
          <w:tblLayout w:type="fixed"/>
          <w:tblLook w:val="01E0"/>
        </w:tblPrEx>
        <w:trPr>
          <w:trHeight w:val="132"/>
        </w:trPr>
        <w:tc>
          <w:tcPr>
            <w:tcW w:w="10314" w:type="dxa"/>
            <w:gridSpan w:val="2"/>
            <w:tcBorders>
              <w:top w:val="single" w:sz="4" w:space="0" w:color="auto"/>
              <w:left w:val="single" w:sz="4" w:space="0" w:color="auto"/>
              <w:bottom w:val="single" w:sz="4" w:space="0" w:color="auto"/>
              <w:right w:val="single" w:sz="4" w:space="0" w:color="auto"/>
            </w:tcBorders>
            <w:shd w:val="clear" w:color="auto" w:fill="auto"/>
          </w:tcPr>
          <w:p w:rsidR="00DB48B1" w:rsidRPr="00292B87" w:rsidP="3511F63F">
            <w:pPr>
              <w:spacing w:before="60" w:after="60"/>
              <w:rPr>
                <w:rFonts w:ascii="Arial" w:hAnsi="Arial" w:cs="Arial"/>
                <w:color w:val="1036A0"/>
                <w:sz w:val="20"/>
              </w:rPr>
            </w:pPr>
            <w:r>
              <w:rPr>
                <w:rFonts w:ascii="Arial" w:hAnsi="Arial"/>
                <w:sz w:val="20"/>
              </w:rPr>
              <w:t xml:space="preserve">Az SFDR 2022 decemberében indított </w:t>
            </w:r>
            <w:r>
              <w:fldChar w:fldCharType="begin"/>
            </w:r>
            <w:r>
              <w:instrText xml:space="preserve"> HYPERLINK "https://finance.ec.europa.eu/sustainable-finance/disclosures/sustainability-related-disclosure-financial-services-sector_en" \l "policy-making-timeline" </w:instrText>
            </w:r>
            <w:r>
              <w:fldChar w:fldCharType="separate"/>
            </w:r>
            <w:r>
              <w:rPr>
                <w:rStyle w:val="Hyperlink"/>
                <w:rFonts w:ascii="Arial" w:hAnsi="Arial"/>
                <w:color w:val="auto"/>
                <w:sz w:val="20"/>
              </w:rPr>
              <w:t>átfogó értékelése</w:t>
            </w:r>
            <w:r>
              <w:fldChar w:fldCharType="end"/>
            </w:r>
            <w:r>
              <w:rPr>
                <w:rFonts w:ascii="Arial" w:hAnsi="Arial"/>
                <w:sz w:val="20"/>
              </w:rPr>
              <w:t xml:space="preserve"> magában foglalt:</w:t>
            </w:r>
            <w:r>
              <w:rPr>
                <w:rFonts w:ascii="Arial" w:hAnsi="Arial"/>
                <w:sz w:val="20"/>
              </w:rPr>
              <w:t xml:space="preserve"> </w:t>
            </w:r>
            <w:r>
              <w:rPr>
                <w:rFonts w:ascii="Arial" w:hAnsi="Arial"/>
                <w:sz w:val="20"/>
              </w:rPr>
              <w:t xml:space="preserve">i. egy </w:t>
            </w:r>
            <w:r>
              <w:fldChar w:fldCharType="begin"/>
            </w:r>
            <w:r>
              <w:instrText xml:space="preserve"> HYPERLINK "https://finance.ec.europa.eu/regulation-and-supervision/consultations/finance-2023-sfdr-implementation_en" </w:instrText>
            </w:r>
            <w:r>
              <w:fldChar w:fldCharType="separate"/>
            </w:r>
            <w:r>
              <w:rPr>
                <w:rStyle w:val="Hyperlink"/>
                <w:rFonts w:ascii="Arial" w:hAnsi="Arial"/>
                <w:color w:val="auto"/>
                <w:sz w:val="20"/>
              </w:rPr>
              <w:t>célzott</w:t>
            </w:r>
            <w:r>
              <w:fldChar w:fldCharType="end"/>
            </w:r>
            <w:r>
              <w:rPr>
                <w:rFonts w:ascii="Arial" w:hAnsi="Arial"/>
                <w:sz w:val="20"/>
              </w:rPr>
              <w:t xml:space="preserve"> és egy </w:t>
            </w:r>
            <w:r>
              <w:fldChar w:fldCharType="begin"/>
            </w:r>
            <w:r>
              <w:instrText xml:space="preserve"> HYPERLINK "https://ec.europa.eu/info/law/better-regulation/have-your-say/initiatives/13961-Report-on-the-Sustainable-Finance-Disclosure-Regulation/public-consultation_hu" </w:instrText>
            </w:r>
            <w:r>
              <w:fldChar w:fldCharType="separate"/>
            </w:r>
            <w:r>
              <w:rPr>
                <w:rStyle w:val="Hyperlink"/>
                <w:rFonts w:ascii="Arial" w:hAnsi="Arial"/>
                <w:color w:val="auto"/>
                <w:sz w:val="20"/>
              </w:rPr>
              <w:t>nyilvános</w:t>
            </w:r>
            <w:r>
              <w:fldChar w:fldCharType="end"/>
            </w:r>
            <w:r>
              <w:rPr>
                <w:rFonts w:ascii="Arial" w:hAnsi="Arial"/>
                <w:sz w:val="20"/>
              </w:rPr>
              <w:t xml:space="preserve"> (12 hetes) konzultációt;</w:t>
            </w:r>
            <w:r>
              <w:rPr>
                <w:rFonts w:ascii="Arial" w:hAnsi="Arial"/>
                <w:sz w:val="20"/>
              </w:rPr>
              <w:t xml:space="preserve"> </w:t>
            </w:r>
            <w:r>
              <w:rPr>
                <w:rFonts w:ascii="Arial" w:hAnsi="Arial"/>
                <w:sz w:val="20"/>
              </w:rPr>
              <w:t>ii. az ágazat képviselőivel folytatott szakmai munkaértekezleteket;</w:t>
            </w:r>
            <w:r>
              <w:rPr>
                <w:rFonts w:ascii="Arial" w:hAnsi="Arial"/>
                <w:sz w:val="20"/>
              </w:rPr>
              <w:t xml:space="preserve"> </w:t>
            </w:r>
            <w:r>
              <w:rPr>
                <w:rFonts w:ascii="Arial" w:hAnsi="Arial"/>
                <w:sz w:val="20"/>
              </w:rPr>
              <w:t>és iii. a tagállamokkal, a felügyeletekkel és a civil társadalom képviselőivel folytatott együttműködést.</w:t>
            </w:r>
            <w:r>
              <w:rPr>
                <w:rFonts w:ascii="Arial" w:hAnsi="Arial"/>
                <w:sz w:val="20"/>
              </w:rPr>
              <w:t xml:space="preserve"> </w:t>
            </w:r>
            <w:r>
              <w:rPr>
                <w:rFonts w:ascii="Arial" w:hAnsi="Arial"/>
                <w:sz w:val="20"/>
              </w:rPr>
              <w:t>További nyilvános konzultációra nem kerül sor.</w:t>
            </w:r>
            <w:r>
              <w:rPr>
                <w:rFonts w:ascii="Arial" w:hAnsi="Arial"/>
                <w:sz w:val="20"/>
              </w:rPr>
              <w:t xml:space="preserve"> </w:t>
            </w:r>
            <w:r>
              <w:rPr>
                <w:rFonts w:ascii="Arial" w:hAnsi="Arial"/>
                <w:sz w:val="20"/>
              </w:rPr>
              <w:t>E véleményezési felhívás és az egyéb konzultációs tevékenységek eredményeit a Bizottság a hatásvizsgálat során figyelembe veszi.</w:t>
            </w:r>
            <w:r>
              <w:rPr>
                <w:rFonts w:ascii="Arial" w:hAnsi="Arial"/>
                <w:sz w:val="20"/>
              </w:rPr>
              <w:t xml:space="preserve"> </w:t>
            </w:r>
            <w:r>
              <w:rPr>
                <w:rFonts w:ascii="Arial" w:hAnsi="Arial"/>
                <w:sz w:val="20"/>
              </w:rPr>
              <w:t>A Bizottság a javaslatai véglegesítése céljából további célzott kommunikációt folytathat az érdekelt felek képviselőivel, a felügyeletekkel és más szakértőkkel.</w:t>
            </w:r>
            <w:r>
              <w:rPr>
                <w:rFonts w:ascii="Arial" w:hAnsi="Arial"/>
                <w:sz w:val="20"/>
              </w:rPr>
              <w:t xml:space="preserve"> </w:t>
            </w:r>
          </w:p>
        </w:tc>
      </w:tr>
    </w:tbl>
    <w:p w:rsidR="003C60DA" w:rsidRPr="003B3C9F" w:rsidP="00E46CAB"/>
    <w:sectPr w:rsidSect="0086400A">
      <w:footerReference w:type="default" r:id="rId11"/>
      <w:headerReference w:type="first" r:id="rId12"/>
      <w:pgSz w:w="11906" w:h="16838"/>
      <w:pgMar w:top="1020" w:right="1701" w:bottom="1020" w:left="1587" w:header="601" w:footer="107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00E">
    <w:pPr>
      <w:pStyle w:val="Footer"/>
      <w:jc w:val="center"/>
    </w:pPr>
    <w:r>
      <w:fldChar w:fldCharType="begin"/>
    </w:r>
    <w:r>
      <w:instrText>PAGE</w:instrText>
    </w:r>
    <w:r>
      <w:fldChar w:fldCharType="separate"/>
    </w:r>
    <w:r w:rsidR="00AF503B">
      <w:t>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00E" w:rsidP="00C44C49">
    <w:pPr>
      <w:pStyle w:val="Header"/>
      <w:jc w:val="center"/>
    </w:pPr>
    <w:r>
      <w:rPr>
        <w:rFonts w:ascii="Arial" w:hAnsi="Arial"/>
      </w:rPr>
      <w:drawing>
        <wp:inline distT="0" distB="0" distL="0" distR="0">
          <wp:extent cx="1908175" cy="508635"/>
          <wp:effectExtent l="0" t="0" r="0" b="5715"/>
          <wp:docPr id="2" name="Picture 2" descr="logo-ce-horizontal-en-quadri-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e-horizontal-en-quadri-l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908175" cy="508635"/>
                  </a:xfrm>
                  <a:prstGeom prst="rect">
                    <a:avLst/>
                  </a:prstGeom>
                  <a:noFill/>
                  <a:ln>
                    <a:noFill/>
                  </a:ln>
                </pic:spPr>
              </pic:pic>
            </a:graphicData>
          </a:graphic>
        </wp:inline>
      </w:drawing>
    </w:r>
  </w:p>
  <w:p w:rsidR="0061500E">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arning" style="width:12pt;height:12pt" o:bullet="t">
        <v:imagedata r:id="rId1" o:title="warning"/>
      </v:shape>
    </w:pict>
  </w:numPicBullet>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0073DFC"/>
    <w:multiLevelType w:val="hybridMultilevel"/>
    <w:tmpl w:val="65D64F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DC4646"/>
    <w:multiLevelType w:val="hybridMultilevel"/>
    <w:tmpl w:val="46ACABD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DE61A8"/>
    <w:multiLevelType w:val="hybridMultilevel"/>
    <w:tmpl w:val="686A40CA"/>
    <w:name w:val="LegalNumParListTemplate3"/>
    <w:lvl w:ilvl="0">
      <w:start w:val="1"/>
      <w:numFmt w:val="decimal"/>
      <w:lvlText w:val="%1."/>
      <w:lvlJc w:val="left"/>
      <w:pPr>
        <w:tabs>
          <w:tab w:val="num" w:pos="476"/>
        </w:tabs>
        <w:ind w:left="476" w:hanging="47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0D5E5F"/>
    <w:multiLevelType w:val="hybridMultilevel"/>
    <w:tmpl w:val="5E347D3C"/>
    <w:lvl w:ilvl="0">
      <w:start w:val="1"/>
      <w:numFmt w:val="bullet"/>
      <w:lvlText w:val=""/>
      <w:lvlJc w:val="left"/>
      <w:pPr>
        <w:ind w:left="720" w:hanging="360"/>
      </w:pPr>
      <w:rPr>
        <w:rFonts w:ascii="Symbol" w:hAnsi="Symbol" w:hint="default"/>
        <w:color w:val="00B050"/>
      </w:rPr>
    </w:lvl>
    <w:lvl w:ilvl="1">
      <w:start w:val="0"/>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722F91"/>
    <w:multiLevelType w:val="hybridMultilevel"/>
    <w:tmpl w:val="55E24524"/>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F734306"/>
    <w:multiLevelType w:val="multilevel"/>
    <w:tmpl w:val="D266108E"/>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B1A3D05"/>
    <w:multiLevelType w:val="hybridMultilevel"/>
    <w:tmpl w:val="66044486"/>
    <w:lvl w:ilvl="0">
      <w:start w:val="1"/>
      <w:numFmt w:val="bullet"/>
      <w:lvlText w:val=""/>
      <w:lvlJc w:val="left"/>
      <w:pPr>
        <w:ind w:left="720" w:hanging="360"/>
      </w:pPr>
      <w:rPr>
        <w:rFonts w:ascii="Symbol" w:hAnsi="Symbol" w:hint="default"/>
        <w:color w:val="00B05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2">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D9145F1"/>
    <w:multiLevelType w:val="hybridMultilevel"/>
    <w:tmpl w:val="06AC2E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6C2678A"/>
    <w:multiLevelType w:val="hybridMultilevel"/>
    <w:tmpl w:val="D05E487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8">
    <w:nsid w:val="3A3C3D2A"/>
    <w:multiLevelType w:val="hybridMultilevel"/>
    <w:tmpl w:val="F77CF2A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AE349F1"/>
    <w:multiLevelType w:val="hybridMultilevel"/>
    <w:tmpl w:val="B2002F9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Arial" w:eastAsia="Times New Roman" w:hAnsi="Arial"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1">
    <w:nsid w:val="3B4F0EEC"/>
    <w:multiLevelType w:val="hybridMultilevel"/>
    <w:tmpl w:val="4530D5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3">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4">
    <w:nsid w:val="465E4AE1"/>
    <w:multiLevelType w:val="hybridMultilevel"/>
    <w:tmpl w:val="B35446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B483D5E"/>
    <w:multiLevelType w:val="hybridMultilevel"/>
    <w:tmpl w:val="55C27790"/>
    <w:lvl w:ilvl="0">
      <w:start w:val="1"/>
      <w:numFmt w:val="decimal"/>
      <w:pStyle w:val="IAToolChapterHeading"/>
      <w:lvlText w:val="Tool #%1."/>
      <w:lvlJc w:val="left"/>
      <w:pPr>
        <w:ind w:left="717" w:hanging="360"/>
      </w:pPr>
      <w:rPr>
        <w:rFonts w:hint="default"/>
        <w:b/>
        <w:i w:val="0"/>
        <w:cap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F083460"/>
    <w:multiLevelType w:val="hybridMultilevel"/>
    <w:tmpl w:val="23D043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4FC46105"/>
    <w:multiLevelType w:val="hybridMultilevel"/>
    <w:tmpl w:val="B2AA9324"/>
    <w:lvl w:ilvl="0">
      <w:start w:val="0"/>
      <w:numFmt w:val="bullet"/>
      <w:lvlText w:val="-"/>
      <w:lvlJc w:val="left"/>
      <w:pPr>
        <w:ind w:left="644" w:hanging="360"/>
      </w:pPr>
      <w:rPr>
        <w:rFonts w:ascii="Arial" w:eastAsia="Times New Roman" w:hAnsi="Arial" w:cs="Arial" w:hint="default"/>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abstractNum w:abstractNumId="28">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9">
    <w:nsid w:val="56856FBB"/>
    <w:multiLevelType w:val="hybridMultilevel"/>
    <w:tmpl w:val="594ACDE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nsid w:val="597B1F0E"/>
    <w:multiLevelType w:val="hybridMultilevel"/>
    <w:tmpl w:val="17C68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4">
    <w:nsid w:val="6C41534E"/>
    <w:multiLevelType w:val="hybridMultilevel"/>
    <w:tmpl w:val="F82652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6">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530130B"/>
    <w:multiLevelType w:val="hybridMultilevel"/>
    <w:tmpl w:val="D3CA85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7C6B63E6"/>
    <w:multiLevelType w:val="singleLevel"/>
    <w:tmpl w:val="0292EEF0"/>
    <w:name w:val="LegalNumParListTemplate"/>
    <w:lvl w:ilvl="0">
      <w:start w:val="1"/>
      <w:numFmt w:val="decimal"/>
      <w:lvlText w:val="%1."/>
      <w:lvlJc w:val="left"/>
      <w:pPr>
        <w:tabs>
          <w:tab w:val="num" w:pos="476"/>
        </w:tabs>
        <w:ind w:left="476" w:hanging="476"/>
      </w:pPr>
    </w:lvl>
  </w:abstractNum>
  <w:num w:numId="1">
    <w:abstractNumId w:val="1"/>
  </w:num>
  <w:num w:numId="2">
    <w:abstractNumId w:val="0"/>
  </w:num>
  <w:num w:numId="3">
    <w:abstractNumId w:val="8"/>
  </w:num>
  <w:num w:numId="4">
    <w:abstractNumId w:val="22"/>
  </w:num>
  <w:num w:numId="5">
    <w:abstractNumId w:val="11"/>
  </w:num>
  <w:num w:numId="6">
    <w:abstractNumId w:val="20"/>
  </w:num>
  <w:num w:numId="7">
    <w:abstractNumId w:val="33"/>
  </w:num>
  <w:num w:numId="8">
    <w:abstractNumId w:val="35"/>
  </w:num>
  <w:num w:numId="9">
    <w:abstractNumId w:val="15"/>
  </w:num>
  <w:num w:numId="10">
    <w:abstractNumId w:val="32"/>
  </w:num>
  <w:num w:numId="11">
    <w:abstractNumId w:val="31"/>
  </w:num>
  <w:num w:numId="12">
    <w:abstractNumId w:val="23"/>
  </w:num>
  <w:num w:numId="13">
    <w:abstractNumId w:val="28"/>
  </w:num>
  <w:num w:numId="14">
    <w:abstractNumId w:val="9"/>
  </w:num>
  <w:num w:numId="15">
    <w:abstractNumId w:val="16"/>
  </w:num>
  <w:num w:numId="16">
    <w:abstractNumId w:val="7"/>
  </w:num>
  <w:num w:numId="17">
    <w:abstractNumId w:val="12"/>
  </w:num>
  <w:num w:numId="18">
    <w:abstractNumId w:val="36"/>
  </w:num>
  <w:num w:numId="19">
    <w:abstractNumId w:val="13"/>
  </w:num>
  <w:num w:numId="20">
    <w:abstractNumId w:val="38"/>
  </w:num>
  <w:num w:numId="21">
    <w:abstractNumId w:val="4"/>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25"/>
  </w:num>
  <w:num w:numId="29">
    <w:abstractNumId w:val="8"/>
  </w:num>
  <w:num w:numId="30">
    <w:abstractNumId w:val="18"/>
  </w:num>
  <w:num w:numId="31">
    <w:abstractNumId w:val="5"/>
  </w:num>
  <w:num w:numId="32">
    <w:abstractNumId w:val="37"/>
  </w:num>
  <w:num w:numId="33">
    <w:abstractNumId w:val="2"/>
  </w:num>
  <w:num w:numId="34">
    <w:abstractNumId w:val="34"/>
  </w:num>
  <w:num w:numId="35">
    <w:abstractNumId w:val="29"/>
  </w:num>
  <w:num w:numId="36">
    <w:abstractNumId w:val="27"/>
  </w:num>
  <w:num w:numId="37">
    <w:abstractNumId w:val="6"/>
  </w:num>
  <w:num w:numId="38">
    <w:abstractNumId w:val="19"/>
  </w:num>
  <w:num w:numId="39">
    <w:abstractNumId w:val="30"/>
  </w:num>
  <w:num w:numId="40">
    <w:abstractNumId w:val="24"/>
  </w:num>
  <w:num w:numId="41">
    <w:abstractNumId w:val="10"/>
  </w:num>
  <w:num w:numId="42">
    <w:abstractNumId w:val="14"/>
  </w:num>
  <w:num w:numId="43">
    <w:abstractNumId w:val="21"/>
  </w:num>
  <w:num w:numId="44">
    <w:abstractNumId w:val="26"/>
  </w:num>
  <w:num w:numId="45">
    <w:abstractNumId w:val="3"/>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docVars>
    <w:docVar w:name="LW_DocType" w:val="REP"/>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97D07"/>
    <w:pPr>
      <w:spacing w:after="240"/>
      <w:jc w:val="both"/>
    </w:pPr>
    <w:rPr>
      <w:sz w:val="24"/>
      <w:lang w:eastAsia="en-US"/>
    </w:rPr>
  </w:style>
  <w:style w:type="paragraph" w:styleId="Heading1">
    <w:name w:val="heading 1"/>
    <w:basedOn w:val="Normal"/>
    <w:next w:val="Text1"/>
    <w:qFormat/>
    <w:rsid w:val="00661B0F"/>
    <w:pPr>
      <w:keepNext/>
      <w:numPr>
        <w:numId w:val="29"/>
      </w:numPr>
      <w:spacing w:before="240"/>
      <w:outlineLvl w:val="0"/>
    </w:pPr>
    <w:rPr>
      <w:b/>
      <w:smallCaps/>
    </w:rPr>
  </w:style>
  <w:style w:type="paragraph" w:styleId="Heading2">
    <w:name w:val="heading 2"/>
    <w:basedOn w:val="Normal"/>
    <w:next w:val="Text2"/>
    <w:qFormat/>
    <w:rsid w:val="00661B0F"/>
    <w:pPr>
      <w:keepNext/>
      <w:numPr>
        <w:ilvl w:val="1"/>
        <w:numId w:val="29"/>
      </w:numPr>
      <w:outlineLvl w:val="1"/>
    </w:pPr>
    <w:rPr>
      <w:b/>
    </w:rPr>
  </w:style>
  <w:style w:type="paragraph" w:styleId="Heading3">
    <w:name w:val="heading 3"/>
    <w:basedOn w:val="Normal"/>
    <w:next w:val="Text3"/>
    <w:qFormat/>
    <w:rsid w:val="00661B0F"/>
    <w:pPr>
      <w:keepNext/>
      <w:numPr>
        <w:ilvl w:val="2"/>
        <w:numId w:val="29"/>
      </w:numPr>
      <w:outlineLvl w:val="2"/>
    </w:pPr>
    <w:rPr>
      <w:i/>
    </w:rPr>
  </w:style>
  <w:style w:type="paragraph" w:styleId="Heading4">
    <w:name w:val="heading 4"/>
    <w:basedOn w:val="Normal"/>
    <w:next w:val="Text4"/>
    <w:qFormat/>
    <w:rsid w:val="00661B0F"/>
    <w:pPr>
      <w:keepNext/>
      <w:numPr>
        <w:ilvl w:val="3"/>
        <w:numId w:val="29"/>
      </w:numPr>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basedOn w:val="Normal"/>
    <w:link w:val="FootnoteTextChar"/>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customStyle="1"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hu-HU"/>
    </w:rPr>
  </w:style>
  <w:style w:type="paragraph" w:customStyle="1" w:styleId="RUE">
    <w:name w:val="RUE"/>
    <w:basedOn w:val="Normal"/>
    <w:pPr>
      <w:spacing w:after="0"/>
      <w:jc w:val="center"/>
    </w:pPr>
    <w:rPr>
      <w:b/>
      <w:caps/>
      <w:sz w:val="32"/>
      <w:bdr w:val="single" w:sz="18" w:space="0" w:color="auto"/>
      <w:lang w:val="hu-HU"/>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7"/>
      </w:numPr>
      <w:spacing w:line="360" w:lineRule="auto"/>
      <w:jc w:val="left"/>
    </w:pPr>
    <w:rPr>
      <w:rFonts w:eastAsiaTheme="minorHAnsi"/>
      <w:szCs w:val="22"/>
    </w:rPr>
  </w:style>
  <w:style w:type="paragraph" w:customStyle="1" w:styleId="LegalNumPar2">
    <w:name w:val="LegalNumPar2"/>
    <w:basedOn w:val="Normal"/>
    <w:pPr>
      <w:numPr>
        <w:ilvl w:val="1"/>
        <w:numId w:val="27"/>
      </w:numPr>
      <w:spacing w:line="360" w:lineRule="auto"/>
      <w:ind w:left="952" w:hanging="476"/>
      <w:jc w:val="left"/>
    </w:pPr>
    <w:rPr>
      <w:rFonts w:eastAsiaTheme="minorHAnsi"/>
      <w:szCs w:val="22"/>
    </w:rPr>
  </w:style>
  <w:style w:type="paragraph" w:customStyle="1" w:styleId="LegalNumPar3">
    <w:name w:val="LegalNumPar3"/>
    <w:basedOn w:val="Normal"/>
    <w:pPr>
      <w:numPr>
        <w:ilvl w:val="2"/>
        <w:numId w:val="27"/>
      </w:numPr>
      <w:spacing w:line="360" w:lineRule="auto"/>
      <w:jc w:val="left"/>
    </w:pPr>
    <w:rPr>
      <w:rFonts w:eastAsiaTheme="minorHAnsi"/>
      <w:szCs w:val="22"/>
    </w:rPr>
  </w:style>
  <w:style w:type="paragraph" w:customStyle="1" w:styleId="IAToolChapterHeading">
    <w:name w:val="IA Tool Chapter Heading"/>
    <w:basedOn w:val="Normal"/>
    <w:next w:val="Normal"/>
    <w:qFormat/>
    <w:rsid w:val="00085CA5"/>
    <w:pPr>
      <w:numPr>
        <w:numId w:val="28"/>
      </w:numPr>
      <w:tabs>
        <w:tab w:val="left" w:pos="391"/>
      </w:tabs>
    </w:pPr>
    <w:rPr>
      <w:rFonts w:ascii="Times New Roman Bold" w:hAnsi="Times New Roman Bold"/>
      <w:b/>
      <w:smallCaps/>
      <w:color w:val="548DD4"/>
      <w:sz w:val="28"/>
      <w:szCs w:val="28"/>
    </w:rPr>
  </w:style>
  <w:style w:type="character" w:customStyle="1" w:styleId="FooterChar">
    <w:name w:val="Footer Char"/>
    <w:basedOn w:val="DefaultParagraphFont"/>
    <w:link w:val="Footer"/>
    <w:rsid w:val="00E83C38"/>
    <w:rPr>
      <w:rFonts w:ascii="Arial" w:hAnsi="Arial"/>
      <w:sz w:val="16"/>
      <w:lang w:eastAsia="en-US"/>
    </w:rPr>
  </w:style>
  <w:style w:type="character" w:customStyle="1" w:styleId="HeaderChar">
    <w:name w:val="Header Char"/>
    <w:basedOn w:val="DefaultParagraphFont"/>
    <w:link w:val="Header"/>
    <w:uiPriority w:val="99"/>
    <w:rsid w:val="00E83C38"/>
    <w:rPr>
      <w:sz w:val="24"/>
      <w:lang w:eastAsia="en-US"/>
    </w:rPr>
  </w:style>
  <w:style w:type="character" w:styleId="PageNumber">
    <w:name w:val="page number"/>
    <w:rsid w:val="00E83C38"/>
  </w:style>
  <w:style w:type="paragraph" w:styleId="BalloonText">
    <w:name w:val="Balloon Text"/>
    <w:basedOn w:val="Normal"/>
    <w:link w:val="BalloonTextChar"/>
    <w:uiPriority w:val="99"/>
    <w:semiHidden/>
    <w:unhideWhenUsed/>
    <w:rsid w:val="00E83C3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C38"/>
    <w:rPr>
      <w:rFonts w:ascii="Tahoma" w:hAnsi="Tahoma" w:cs="Tahoma"/>
      <w:sz w:val="16"/>
      <w:szCs w:val="16"/>
      <w:lang w:eastAsia="en-US"/>
    </w:rPr>
  </w:style>
  <w:style w:type="paragraph" w:styleId="ListParagraph">
    <w:name w:val="List Paragraph"/>
    <w:aliases w:val="Bullet 1,Bullet Points,Bullets,Colorful List - Accent 11,Dot pt,EC,F5 List Paragraph,Indicator Text,L,List Paragraph Char Char Char,List Paragraph1,List Paragraph11,List Paragraph12,List Paragraph2,MAIN CONTENT,No Spacing1,Numbered Para 1"/>
    <w:basedOn w:val="Normal"/>
    <w:link w:val="ListParagraphChar"/>
    <w:uiPriority w:val="34"/>
    <w:qFormat/>
    <w:rsid w:val="00F83A3B"/>
    <w:pPr>
      <w:ind w:left="720"/>
      <w:contextualSpacing/>
    </w:pPr>
  </w:style>
  <w:style w:type="character" w:styleId="CommentReference">
    <w:name w:val="annotation reference"/>
    <w:basedOn w:val="DefaultParagraphFont"/>
    <w:unhideWhenUsed/>
    <w:rsid w:val="004C3B98"/>
    <w:rPr>
      <w:sz w:val="16"/>
      <w:szCs w:val="16"/>
    </w:rPr>
  </w:style>
  <w:style w:type="paragraph" w:styleId="CommentSubject">
    <w:name w:val="annotation subject"/>
    <w:basedOn w:val="CommentText"/>
    <w:next w:val="CommentText"/>
    <w:link w:val="CommentSubjectChar"/>
    <w:uiPriority w:val="99"/>
    <w:semiHidden/>
    <w:unhideWhenUsed/>
    <w:rsid w:val="004C3B98"/>
    <w:rPr>
      <w:b/>
      <w:bCs/>
    </w:rPr>
  </w:style>
  <w:style w:type="character" w:customStyle="1" w:styleId="CommentTextChar">
    <w:name w:val="Comment Text Char"/>
    <w:basedOn w:val="DefaultParagraphFont"/>
    <w:link w:val="CommentText"/>
    <w:rsid w:val="004C3B98"/>
    <w:rPr>
      <w:lang w:eastAsia="en-US"/>
    </w:rPr>
  </w:style>
  <w:style w:type="character" w:customStyle="1" w:styleId="CommentSubjectChar">
    <w:name w:val="Comment Subject Char"/>
    <w:basedOn w:val="CommentTextChar"/>
    <w:link w:val="CommentSubject"/>
    <w:uiPriority w:val="99"/>
    <w:semiHidden/>
    <w:rsid w:val="004C3B98"/>
    <w:rPr>
      <w:b/>
      <w:bCs/>
      <w:lang w:eastAsia="en-US"/>
    </w:rPr>
  </w:style>
  <w:style w:type="paragraph" w:styleId="Revision">
    <w:name w:val="Revision"/>
    <w:hidden/>
    <w:uiPriority w:val="99"/>
    <w:semiHidden/>
    <w:rsid w:val="00D7114B"/>
    <w:rPr>
      <w:sz w:val="24"/>
      <w:lang w:eastAsia="en-US"/>
    </w:rPr>
  </w:style>
  <w:style w:type="character" w:styleId="Hyperlink">
    <w:name w:val="Hyperlink"/>
    <w:basedOn w:val="DefaultParagraphFont"/>
    <w:uiPriority w:val="99"/>
    <w:unhideWhenUsed/>
    <w:rsid w:val="00053F35"/>
    <w:rPr>
      <w:color w:val="0000FF" w:themeColor="hyperlink"/>
      <w:u w:val="single"/>
    </w:rPr>
  </w:style>
  <w:style w:type="character" w:customStyle="1" w:styleId="BodyTextChar">
    <w:name w:val="Body Text Char"/>
    <w:basedOn w:val="DefaultParagraphFont"/>
    <w:link w:val="BodyText"/>
    <w:rsid w:val="00CD0C7F"/>
    <w:rPr>
      <w:sz w:val="24"/>
      <w:lang w:eastAsia="en-US"/>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MAIN CONTENT Char,No Spacing1 Char,Numbered Para 1 Char"/>
    <w:link w:val="ListParagraph"/>
    <w:uiPriority w:val="34"/>
    <w:qFormat/>
    <w:rsid w:val="00CD0C7F"/>
    <w:rPr>
      <w:sz w:val="24"/>
      <w:lang w:eastAsia="en-US"/>
    </w:rPr>
  </w:style>
  <w:style w:type="character" w:customStyle="1" w:styleId="UnresolvedMention">
    <w:name w:val="Unresolved Mention"/>
    <w:basedOn w:val="DefaultParagraphFont"/>
    <w:uiPriority w:val="99"/>
    <w:semiHidden/>
    <w:unhideWhenUsed/>
    <w:rsid w:val="00CD0C7F"/>
    <w:rPr>
      <w:color w:val="605E5C"/>
      <w:shd w:val="clear" w:color="auto" w:fill="E1DFDD"/>
    </w:rPr>
  </w:style>
  <w:style w:type="character" w:customStyle="1" w:styleId="FootnoteTextChar">
    <w:name w:val="Footnote Text Char"/>
    <w:basedOn w:val="DefaultParagraphFont"/>
    <w:link w:val="FootnoteText"/>
    <w:semiHidden/>
    <w:rsid w:val="00116F3B"/>
    <w:rPr>
      <w:lang w:eastAsia="en-US"/>
    </w:rPr>
  </w:style>
  <w:style w:type="paragraph" w:customStyle="1" w:styleId="Normal12a">
    <w:name w:val="Normal12a"/>
    <w:basedOn w:val="Normal"/>
    <w:rsid w:val="00116F3B"/>
    <w:pPr>
      <w:widowControl w:val="0"/>
      <w:jc w:val="left"/>
    </w:pPr>
    <w:rPr>
      <w:szCs w:val="24"/>
    </w:rPr>
  </w:style>
  <w:style w:type="character" w:styleId="FootnoteReference">
    <w:name w:val="footnote reference"/>
    <w:basedOn w:val="DefaultParagraphFont"/>
    <w:semiHidden/>
    <w:unhideWhenUsed/>
    <w:rsid w:val="00116F3B"/>
    <w:rPr>
      <w:vertAlign w:val="superscript"/>
    </w:rPr>
  </w:style>
  <w:style w:type="character" w:styleId="FollowedHyperlink">
    <w:name w:val="FollowedHyperlink"/>
    <w:basedOn w:val="DefaultParagraphFont"/>
    <w:uiPriority w:val="99"/>
    <w:semiHidden/>
    <w:unhideWhenUsed/>
    <w:rsid w:val="00116F3B"/>
    <w:rPr>
      <w:color w:val="800080" w:themeColor="followedHyperlink"/>
      <w:u w:val="single"/>
    </w:rPr>
  </w:style>
  <w:style w:type="character" w:customStyle="1" w:styleId="Mention">
    <w:name w:val="Mention"/>
    <w:basedOn w:val="DefaultParagraphFont"/>
    <w:uiPriority w:val="99"/>
    <w:unhideWhenUsed/>
    <w:rsid w:val="00FF6CA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numbering.xml.rels>&#65279;<?xml version="1.0" encoding="utf-8" standalone="yes"?><Relationships xmlns="http://schemas.openxmlformats.org/package/2006/relationships"><Relationship Id="rId1" Type="http://schemas.openxmlformats.org/officeDocument/2006/relationships/image" Target="media/image2.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20Files%20(x86)\DIaLOGIKa\Eurolook\Templates\Eurolook.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EconomyFinanceHandling>{field:HYPERLINK "https://myintracomm.ec.europa.eu/corp/security/EN/newDS3/SensitiveInformation/Pages/SPECIAL-HANDLING-INFORMATION-DG-ECFIN.aspx?ln=en" |https://www.europa.eu/handling_instructions}</EconomyFinanceHandling>
  <SecurityEconomyAndFinance>Economy and Finance</SecurityEconomyAndFinance>
  <SpecialHandlingFootnote>Special handling instructions are given at </SpecialHandlingFootnote>
  <SpecialHandlingLabel>Special Handling</SpecialHandlingLabel>
  <Table>Table </Table>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EmbargoUnlimited>Embargo (Unlimited)</EmbargoUnlimited>
  <SecurityCompOperations>COMP Operations</SecurityCompOperations>
  <SecurityEtsSensitive>ETS</SecurityEtsSensitive>
  <SecurityOpinionLegalService>Opinion of the Legal Service</SecurityOpinionLegalService>
  <FooterPhone>Tel. direct line</FooterPhone>
  <FooterFax>Fax</FooterFax>
  <FooterOffice>Office:</FooterOffice>
  <SecurityPharmaSpecial>Pharma Investigations</SecurityPharmaSpecial>
  <PharmaHandlingInstructions>{field:HYPERLINK "https://myintracomm.ec.europa.eu/corp/security/EN/newDS3/SensitiveInformation/Pages/SPECIAL-HANDLING-INFORMATION-Pharma-investigations.aspx?ln=en" |https://myintracomm.ec.europa.eu/corp/security/EN/newDS3/SensitiveInformation/Pages/SPECIAL-HANDLING-INFORMATION-Pharma-investigations.aspx?ln=en}</PharmaHandlingInstructions>
  <TOCHeading>Table of Contents</TOCHeading>
  <CLIMAfootnotetext>{field:HYPERLINK "https://myintracomm.ec.europa.eu/corp/security/EN/newDS3/SensitiveInformation/Pages/SPECIAL-HANDLING-INFORMATION-DG-CLIMA.aspx?ln=en" |https://myintracomm.ec.europa.eu/corp/security/EN/newDS3/SensitiveInformation/Pages/SPECIAL-HANDLING-INFORMATION-DG-CLIMA.aspx?ln=en}</CLIMAfootnotetext>
  <SpecialHandlingClima>CLIMA</SpecialHandlingClima>
  <AddressFooterBrussels>Commission européenne/Europese Commissie, 1049 Bruxelles/Brussel, BELGIQUE/BELGIË - Tel. +32 22991111</AddressFooterBrussels>
  <AddresseeTo>To:</AddresseeTo>
  <SecurityMedicalSecret>Medical Secret</SecurityMedicalSecret>
  <ETSHandlingFootnote>{field:HYPERLINK "https://myintracomm.ec.europa.eu/corp/security/EN/newDS3/SensitiveInformation/Pages/default.aspx" |https://www.europa.eu/handling_instructions}</ETSHandlingFootnote>
  <SecurityEtsCritical>ETS Critical</SecurityEtsCritical>
  <ETSLimited>ETS Joint Procurement</ETSLimited>
  <SecurityStaffMatter>Staff Matter</SecurityStaffMatter>
  <SecurityMediationServiceMatter>Mediation Service</SecurityMediationServiceMatter>
  <SecurityReleasable>RELEASABLE TO:</SecurityReleasable>
  <LabelPictureSeq>Figure {SEQ Figure \* ARABIC }: </LabelPictureSeq>
  <LabelSource>Source</LabelSource>
  <Year> ({field: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HandlingInstructions>{field:HYPERLINK "https://myintracomm.ec.europa.eu/corp/security/EN/newDS3/SensitiveInformation/Pages/SPECIAL-HANDLING-INFORMATION-OLAF-Investigations.aspx?ln=en" |https://myintracomm.ec.europa.eu/corp/security/EN/newDS3/SensitiveInformation/Pages/SPECIAL-HANDLING-INFORMATION-OLAF-Investigations.aspx?ln=en}</OLAFHandlingInstructions>
  <SecurityOlafSpecialHandling>OLAF Investigations</SecurityOlafSpecialHandling>
  <SecurityCompSpecial>COMP</SecurityCompSpecial>
  <COMPFootnoteText>{field:HYPERLINK "https://myintracomm.ec.europa.eu/corp/security/EN/newDS3/SensitiveInformation/Pages/SPECIAL-HANDLING-INFORMATION-DG-COMP.aspx?ln=en" |https://myintracomm.ec.europa.eu/corp/security/EN/newDS3/SensitiveInformation/Pages/SPECIAL-HANDLING-INFORMATION-DG-COMP.aspx?ln=en}</COMPFootnoteText>
  <DateFormatShort>dd/MM/yyyy</DateFormatShort>
  <DateFormatLong>d MMMM yyyy</DateFormatLong>
</Texts>
</file>

<file path=customXml/item2.xml><?xml version="1.0" encoding="utf-8"?>
<Author Role="Creator">
  <Id>9f2c28ef-c882-4d60-9d54-27ebf0e9bfe5</Id>
  <Names>
    <Latin>
      <FirstName>Nikolaos</FirstName>
      <LastName>ARCHONTAS</LastName>
    </Latin>
    <Greek>
      <FirstName/>
      <LastName/>
    </Greek>
    <Cyrillic>
      <FirstName/>
      <LastName/>
    </Cyrillic>
    <DocumentScript>
      <FirstName>Nikolaos</FirstName>
      <LastName>ARCHONTAS</LastName>
      <FullName>Nikolaos ARCHONTAS</FullName>
    </DocumentScript>
  </Names>
  <Initials>NA</Initials>
  <Gender>m</Gender>
  <Email>Nikolaos.ARCHONTAS@ec.europa.eu</Email>
  <Service>SG.A.2</Service>
  <Function ADCode="" ShowInSignature="true" ShowInHeader="false" HeaderText=""/>
  <WebAddress/>
  <InheritedWebAddress>WebAddress</InheritedWebAddress>
  <OrgaEntity1>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1>
  <OrgaEntity2>
    <Id>5bfaee95-3489-4c92-8292-c43019406cf5</Id>
    <LogicalLevel>2</LogicalLevel>
    <Name>SG.A</Name>
    <HeadLine1>Directorate A - Strategy, Better Regulation &amp; Corporate Governance</HeadLine1>
    <HeadLine2/>
    <PrimaryAddressId>f03b5801-04c9-4931-aa17-c6d6c70bc579</PrimaryAddressId>
    <SecondaryAddressId/>
    <WebAddress/>
    <InheritedWebAddress>WebAddress</InheritedWebAddress>
    <ShowInHeader>true</ShowInHeader>
  </OrgaEntity2>
  <OrgaEntity3>
    <Id>de279fcf-1332-4706-a985-64cc05819b5a</Id>
    <LogicalLevel>3</LogicalLevel>
    <Name>SG.A.2</Name>
    <HeadLine1>SG.A.2 - Evaluation &amp; Impact Assessment, Regulatory Scrutiny Board Secretariat</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+32 229-61245</Phone>
    <Office>BERL 05/353</Office>
  </MainWorkplace>
  <Workplaces>
    <Workplace IsMain="true">
      <AddressId>f03b5801-04c9-4931-aa17-c6d6c70bc579</AddressId>
      <Fax/>
      <Phone>+32 229-61245</Phone>
      <Office>BERL 05/353</Office>
    </Workplace>
    <Workplace IsMain="false">
      <AddressId>1264fb81-f6bb-475e-9f9d-a937d3be6ee2</AddressId>
      <Fax/>
      <Phone/>
      <Office/>
    </Workplace>
  </Workplaces>
</Author>
</file>

<file path=customXml/item3.xml><?xml version="1.0" encoding="utf-8"?>
<EurolookProperties>
  <ProductCustomizationId/>
  <Created>
    <Version>4.6</Version>
    <Date>2020-08-31T11:46:23</Date>
    <Language>EN</Language>
    <Note/>
  </Created>
  <Edited>
    <Version>10.0.42447.0</Version>
    <Date>2021-10-05T12:51:16</Date>
  </Edited>
  <DocumentModel>
    <Id>6cbda13a-4db2-46c6-876a-ef72275827ef</Id>
    <Name>Report</Name>
  </DocumentModel>
  <DocumentDate/>
  <DocumentVersion/>
  <CompatibilityMode>Eurolook4X</CompatibilityMode>
</EurolookProperties>
</file>

<file path=customXml/item4.xml><?xml version="1.0" encoding="utf-8"?>
<p:properties xmlns:p="http://schemas.microsoft.com/office/2006/metadata/properties" xmlns:xsi="http://www.w3.org/2001/XMLSchema-instance" xmlns:pc="http://schemas.microsoft.com/office/infopath/2007/PartnerControls">
  <documentManagement>
    <EC_ARES_TRANSFERRED_BY xmlns="39579b5d-f307-4cba-adf0-92bbc0d34603" xsi:nil="true"/>
    <_Flow_SignoffStatus xmlns="a1ae7e3d-ea02-4f8b-a6ae-4ba92f54bfa6" xsi:nil="true"/>
    <IconOverlay xmlns="http://schemas.microsoft.com/sharepoint/v4" xsi:nil="true"/>
    <EC_ARES_DATE_TRANSFERRED xmlns="39579b5d-f307-4cba-adf0-92bbc0d34603" xsi:nil="true"/>
    <EC_ARES_NUMBER xmlns="39579b5d-f307-4cba-adf0-92bbc0d34603">
      <Url xsi:nil="true"/>
      <Description xsi:nil="true"/>
    </EC_ARES_NUMBER>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Document" ma:contentTypeID="0x0101008B4DCC0AC9070440AC8F58F2A787C016" ma:contentTypeVersion="13" ma:contentTypeDescription="Crée un document." ma:contentTypeScope="" ma:versionID="b25820dbdeada740146595ac47fcf66c">
  <xsd:schema xmlns:xsd="http://www.w3.org/2001/XMLSchema" xmlns:xs="http://www.w3.org/2001/XMLSchema" xmlns:p="http://schemas.microsoft.com/office/2006/metadata/properties" xmlns:ns1="http://schemas.microsoft.com/sharepoint/v3" xmlns:ns2="a1ae7e3d-ea02-4f8b-a6ae-4ba92f54bfa6" xmlns:ns3="39579b5d-f307-4cba-adf0-92bbc0d34603" xmlns:ns4="http://schemas.microsoft.com/sharepoint/v4" targetNamespace="http://schemas.microsoft.com/office/2006/metadata/properties" ma:root="true" ma:fieldsID="8433f88b875fda02ced2eacbb6e581b3" ns1:_="" ns2:_="" ns3:_="" ns4:_="">
    <xsd:import namespace="http://schemas.microsoft.com/sharepoint/v3"/>
    <xsd:import namespace="a1ae7e3d-ea02-4f8b-a6ae-4ba92f54bfa6"/>
    <xsd:import namespace="39579b5d-f307-4cba-adf0-92bbc0d34603"/>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_Flow_SignoffStatus" minOccurs="0"/>
                <xsd:element ref="ns3:EC_ARES_NUMBER" minOccurs="0"/>
                <xsd:element ref="ns3:EC_ARES_DATE_TRANSFERRED" minOccurs="0"/>
                <xsd:element ref="ns3:EC_ARES_TRANSFERRED_BY"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9" nillable="true" ma:displayName="Enregistrement déclaré" ma:hidden="true" ma:internalName="_vti_ItemDeclaredRecord" ma:readOnly="true">
      <xsd:simpleType>
        <xsd:restriction base="dms:DateTime"/>
      </xsd:simpleType>
    </xsd:element>
    <xsd:element name="_vti_ItemHoldRecordStatus" ma:index="20" nillable="true" ma:displayName="État de conservation et d’enregistrement"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e7e3d-ea02-4f8b-a6ae-4ba92f54b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Flow_SignoffStatus" ma:index="14"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79b5d-f307-4cba-adf0-92bbc0d34603"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EC_ARES_NUMBER" ma:index="15"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6" nillable="true" ma:displayName="Transferred to Ares" ma:format="DateTime" ma:hidden="true" ma:internalName="EC_ARES_DATE_TRANSFERRED">
      <xsd:simpleType>
        <xsd:restriction base="dms:DateTime"/>
      </xsd:simpleType>
    </xsd:element>
    <xsd:element name="EC_ARES_TRANSFERRED_BY" ma:index="17" nillable="true" ma:displayName="Transferred By" ma:hidden="true" ma:internalName="EC_ARES_TRANSFERRED_B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B62ED2-E690-4DDD-92A7-9CF0902E55D7}">
  <ds:schemaRefs/>
</ds:datastoreItem>
</file>

<file path=customXml/itemProps2.xml><?xml version="1.0" encoding="utf-8"?>
<ds:datastoreItem xmlns:ds="http://schemas.openxmlformats.org/officeDocument/2006/customXml" ds:itemID="{A906AD76-266D-4A6D-B686-1723E35CCA80}">
  <ds:schemaRefs/>
</ds:datastoreItem>
</file>

<file path=customXml/itemProps3.xml><?xml version="1.0" encoding="utf-8"?>
<ds:datastoreItem xmlns:ds="http://schemas.openxmlformats.org/officeDocument/2006/customXml" ds:itemID="{20DB59ED-F36D-46FD-8DD8-FC4CFFFB11AB}">
  <ds:schemaRefs/>
</ds:datastoreItem>
</file>

<file path=customXml/itemProps4.xml><?xml version="1.0" encoding="utf-8"?>
<ds:datastoreItem xmlns:ds="http://schemas.openxmlformats.org/officeDocument/2006/customXml" ds:itemID="{F5547563-4800-4E4C-B984-85E82E4EA21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sharepoint/v3"/>
    <ds:schemaRef ds:uri="http://www.w3.org/XML/1998/namespace"/>
    <ds:schemaRef ds:uri="http://schemas.microsoft.com/office/2006/metadata/properties"/>
    <ds:schemaRef ds:uri="http://purl.org/dc/dcmitype/"/>
    <ds:schemaRef ds:uri="http://schemas.microsoft.com/sharepoint/v4"/>
    <ds:schemaRef ds:uri="a1ae7e3d-ea02-4f8b-a6ae-4ba92f54bfa6"/>
    <ds:schemaRef ds:uri="http://purl.org/dc/terms/"/>
    <ds:schemaRef ds:uri="39579b5d-f307-4cba-adf0-92bbc0d34603"/>
  </ds:schemaRefs>
</ds:datastoreItem>
</file>

<file path=customXml/itemProps5.xml><?xml version="1.0" encoding="utf-8"?>
<ds:datastoreItem xmlns:ds="http://schemas.openxmlformats.org/officeDocument/2006/customXml" ds:itemID="{A3A73027-0D33-445C-9CCC-06EEA3C2891B}">
  <ds:schemaRefs>
    <ds:schemaRef ds:uri="http://schemas.microsoft.com/sharepoint/v3/contenttype/forms"/>
  </ds:schemaRefs>
</ds:datastoreItem>
</file>

<file path=customXml/itemProps6.xml><?xml version="1.0" encoding="utf-8"?>
<ds:datastoreItem xmlns:ds="http://schemas.openxmlformats.org/officeDocument/2006/customXml" ds:itemID="{EBFECF1B-FBD6-4D91-A977-67E5B93E2999}">
  <ds:schemaRefs>
    <ds:schemaRef ds:uri="http://schemas.openxmlformats.org/officeDocument/2006/bibliography"/>
  </ds:schemaRefs>
</ds:datastoreItem>
</file>

<file path=customXml/itemProps7.xml><?xml version="1.0" encoding="utf-8"?>
<ds:datastoreItem xmlns:ds="http://schemas.openxmlformats.org/officeDocument/2006/customXml" ds:itemID="{EC690804-BA85-4A30-A0AF-9242A02369F0}">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