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95" w:rsidRPr="00D939E5" w:rsidRDefault="00D615B0" w:rsidP="00D615B0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BC37AA7E-1FA9-494C-98E1-8262488C596F" style="width:455.25pt;height:342.75pt">
            <v:imagedata r:id="rId11" o:title=""/>
          </v:shape>
        </w:pict>
      </w:r>
    </w:p>
    <w:p w:rsidR="00920595" w:rsidRPr="00D939E5" w:rsidRDefault="00920595" w:rsidP="00723A68">
      <w:pPr>
        <w:pStyle w:val="Pagedecouverture"/>
        <w:rPr>
          <w:noProof/>
        </w:rPr>
        <w:sectPr w:rsidR="00920595" w:rsidRPr="00D939E5" w:rsidSect="00D615B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557C03" w:rsidRDefault="00D764B9">
      <w:pPr>
        <w:pStyle w:val="Rfrenceinterinstitutionnelle"/>
        <w:rPr>
          <w:noProof/>
        </w:rPr>
      </w:pPr>
      <w:bookmarkStart w:id="0" w:name="_GoBack"/>
      <w:bookmarkEnd w:id="0"/>
      <w:r>
        <w:rPr>
          <w:noProof/>
        </w:rPr>
        <w:lastRenderedPageBreak/>
        <w:t>2026/0036 (NLE)</w:t>
      </w:r>
    </w:p>
    <w:p w:rsidR="00920595" w:rsidRPr="00D939E5" w:rsidRDefault="00D939E5" w:rsidP="00D939E5">
      <w:pPr>
        <w:pStyle w:val="Statut"/>
        <w:rPr>
          <w:noProof/>
        </w:rPr>
      </w:pPr>
      <w:r w:rsidRPr="00D939E5">
        <w:rPr>
          <w:noProof/>
        </w:rPr>
        <w:t>Javaslat</w:t>
      </w:r>
    </w:p>
    <w:p w:rsidR="00920595" w:rsidRPr="00D939E5" w:rsidRDefault="00D939E5" w:rsidP="00D939E5">
      <w:pPr>
        <w:pStyle w:val="Typedudocument"/>
        <w:rPr>
          <w:noProof/>
        </w:rPr>
      </w:pPr>
      <w:r w:rsidRPr="00D939E5">
        <w:rPr>
          <w:noProof/>
        </w:rPr>
        <w:t>A TANÁCS VÉGREHAJTÁSI HATÁROZATA</w:t>
      </w:r>
    </w:p>
    <w:p w:rsidR="00920595" w:rsidRPr="00D939E5" w:rsidRDefault="00D939E5" w:rsidP="00D939E5">
      <w:pPr>
        <w:pStyle w:val="Titreobjet"/>
        <w:rPr>
          <w:noProof/>
        </w:rPr>
      </w:pPr>
      <w:r w:rsidRPr="00D939E5">
        <w:rPr>
          <w:noProof/>
        </w:rPr>
        <w:t>az (EU) 2025/1106 rendelet szerinti pénzügyi támogatás Szlovákia rendelkezésére bocsátásáról</w:t>
      </w:r>
    </w:p>
    <w:p w:rsidR="00FE6B92" w:rsidRPr="00D939E5" w:rsidRDefault="00FE6B92" w:rsidP="00FE6B92">
      <w:pPr>
        <w:rPr>
          <w:noProof/>
        </w:rPr>
      </w:pPr>
      <w:r w:rsidRPr="00D939E5">
        <w:rPr>
          <w:noProof/>
        </w:rPr>
        <w:t>AZ EURÓPAI UNIÓ TANÁCSA,</w:t>
      </w:r>
    </w:p>
    <w:p w:rsidR="00920595" w:rsidRPr="00D939E5" w:rsidRDefault="00920595" w:rsidP="00D31C35">
      <w:pPr>
        <w:rPr>
          <w:rFonts w:eastAsia="Times New Roman"/>
          <w:noProof/>
        </w:rPr>
      </w:pPr>
      <w:r w:rsidRPr="00D939E5">
        <w:rPr>
          <w:noProof/>
        </w:rPr>
        <w:t>tekintettel az Európai Unió működéséről szóló szerződésre,</w:t>
      </w:r>
    </w:p>
    <w:p w:rsidR="00920595" w:rsidRPr="00D939E5" w:rsidRDefault="00B877D0" w:rsidP="00D31C35">
      <w:pPr>
        <w:rPr>
          <w:rFonts w:eastAsia="Times New Roman"/>
          <w:noProof/>
        </w:rPr>
      </w:pPr>
      <w:bookmarkStart w:id="1" w:name="_Hlk218870434"/>
      <w:r w:rsidRPr="00D939E5">
        <w:rPr>
          <w:noProof/>
        </w:rPr>
        <w:t>tekintettel az Európa biztonságát az európai védelmi ipar megerősítése révén szolgáló cselekvési eszköz (SAFE) létrehozásáról szóló, 2025. május 27-i (EU) 2025/1106 tanácsi rendeletre</w:t>
      </w:r>
      <w:r w:rsidRPr="00D939E5">
        <w:rPr>
          <w:rStyle w:val="FootnoteReference"/>
          <w:noProof/>
        </w:rPr>
        <w:footnoteReference w:id="1"/>
      </w:r>
      <w:r w:rsidRPr="00D939E5">
        <w:rPr>
          <w:noProof/>
        </w:rPr>
        <w:t xml:space="preserve"> és különösen annak 8. cikke (6) bekezdésére</w:t>
      </w:r>
      <w:bookmarkEnd w:id="1"/>
      <w:r w:rsidRPr="00D939E5">
        <w:rPr>
          <w:noProof/>
        </w:rPr>
        <w:t>,</w:t>
      </w:r>
    </w:p>
    <w:p w:rsidR="00920595" w:rsidRPr="00D939E5" w:rsidRDefault="00920595" w:rsidP="00D31C35">
      <w:pPr>
        <w:rPr>
          <w:rFonts w:eastAsia="Times New Roman"/>
          <w:noProof/>
        </w:rPr>
      </w:pPr>
      <w:r w:rsidRPr="00D939E5">
        <w:rPr>
          <w:noProof/>
        </w:rPr>
        <w:t>tekintettel az Európai Bizottság javaslatára,</w:t>
      </w:r>
    </w:p>
    <w:p w:rsidR="00920595" w:rsidRPr="00D939E5" w:rsidRDefault="00920595" w:rsidP="00D31C35">
      <w:pPr>
        <w:rPr>
          <w:rFonts w:eastAsia="Times New Roman"/>
          <w:noProof/>
        </w:rPr>
      </w:pPr>
      <w:bookmarkStart w:id="2" w:name="_Hlk216364633"/>
      <w:r w:rsidRPr="00D939E5">
        <w:rPr>
          <w:noProof/>
        </w:rPr>
        <w:t>mivel:</w:t>
      </w:r>
    </w:p>
    <w:p w:rsidR="00B877D0" w:rsidRPr="00D939E5" w:rsidRDefault="00B877D0" w:rsidP="004A3C4E">
      <w:pPr>
        <w:pStyle w:val="Point0"/>
        <w:rPr>
          <w:noProof/>
        </w:rPr>
      </w:pPr>
      <w:r>
        <w:rPr>
          <w:noProof/>
        </w:rPr>
        <w:t>(1)</w:t>
      </w:r>
      <w:r>
        <w:rPr>
          <w:noProof/>
        </w:rPr>
        <w:tab/>
      </w:r>
      <w:r w:rsidRPr="00D939E5">
        <w:rPr>
          <w:noProof/>
        </w:rPr>
        <w:t xml:space="preserve">A Bizottság az </w:t>
      </w:r>
      <w:bookmarkStart w:id="3" w:name="_Hlk218868365"/>
      <w:r w:rsidRPr="00D939E5">
        <w:rPr>
          <w:noProof/>
        </w:rPr>
        <w:t xml:space="preserve">Európa biztonságát az európai védelmi ipar megerősítése révén szolgáló cselekvési eszköz (a </w:t>
      </w:r>
      <w:bookmarkEnd w:id="3"/>
      <w:r w:rsidRPr="00D939E5">
        <w:rPr>
          <w:noProof/>
        </w:rPr>
        <w:t>továbbiakban: SAFE eszköz) keretében történő pénzügyi támogatásban való részesülésre vonatkozó részvételi szándék kifejezésére való felhívást tett közzé, amelyben felkérte a tagállamokat, hogy határozzák meg a hitel indikatív maximális és minimális összegét. 2025. augusztus 29-ig 19 tagállam fejezte ki érdeklődését az (EU) 2025/1106 rendelet szerinti pénzügyi támogatás iránt.</w:t>
      </w:r>
    </w:p>
    <w:p w:rsidR="00B877D0" w:rsidRPr="00D939E5" w:rsidRDefault="00B877D0" w:rsidP="00B877D0">
      <w:pPr>
        <w:pStyle w:val="Point0"/>
        <w:rPr>
          <w:noProof/>
        </w:rPr>
      </w:pPr>
      <w:r>
        <w:rPr>
          <w:noProof/>
        </w:rPr>
        <w:t>(2)</w:t>
      </w:r>
      <w:r>
        <w:rPr>
          <w:noProof/>
        </w:rPr>
        <w:tab/>
      </w:r>
      <w:bookmarkStart w:id="4" w:name="_Hlk218868880"/>
      <w:r w:rsidRPr="00D939E5">
        <w:rPr>
          <w:noProof/>
        </w:rPr>
        <w:t xml:space="preserve">A Bizottság 2025. szeptember 9-én értesítette a kérelmező tagállamokat a </w:t>
      </w:r>
      <w:bookmarkEnd w:id="4"/>
      <w:r w:rsidRPr="00D939E5">
        <w:rPr>
          <w:noProof/>
        </w:rPr>
        <w:t>hitelösszegek tagállamonkénti ideiglenes allokációjáról.</w:t>
      </w:r>
    </w:p>
    <w:p w:rsidR="00920595" w:rsidRPr="00D939E5" w:rsidRDefault="00B877D0" w:rsidP="00B10759">
      <w:pPr>
        <w:pStyle w:val="Point0"/>
        <w:rPr>
          <w:noProof/>
        </w:rPr>
      </w:pPr>
      <w:r>
        <w:rPr>
          <w:noProof/>
        </w:rPr>
        <w:t>(3)</w:t>
      </w:r>
      <w:r>
        <w:rPr>
          <w:noProof/>
        </w:rPr>
        <w:tab/>
      </w:r>
      <w:bookmarkStart w:id="5" w:name="_Hlk218870488"/>
      <w:r w:rsidRPr="00D939E5">
        <w:rPr>
          <w:noProof/>
        </w:rPr>
        <w:t xml:space="preserve">Szlovákia 2025. november 30-án az </w:t>
      </w:r>
      <w:r w:rsidRPr="00D939E5">
        <w:rPr>
          <w:noProof/>
          <w:color w:val="333333"/>
        </w:rPr>
        <w:t>(EU) 2025/1106 rendelet</w:t>
      </w:r>
      <w:r w:rsidRPr="00D939E5">
        <w:rPr>
          <w:noProof/>
        </w:rPr>
        <w:t xml:space="preserve"> 7. cikkének (1) bekezdésével összhangban pénzügyi támogatásra irányuló kérelmet nyújtott be (a</w:t>
      </w:r>
      <w:r w:rsidR="00D939E5">
        <w:rPr>
          <w:noProof/>
        </w:rPr>
        <w:t> </w:t>
      </w:r>
      <w:r w:rsidRPr="00D939E5">
        <w:rPr>
          <w:noProof/>
        </w:rPr>
        <w:t>továbbiakban: a kérelem)</w:t>
      </w:r>
      <w:bookmarkEnd w:id="5"/>
      <w:r w:rsidRPr="00D939E5">
        <w:rPr>
          <w:noProof/>
        </w:rPr>
        <w:t>, amelyhez európai védelmi ipari beruházási tervet (a</w:t>
      </w:r>
      <w:r w:rsidR="00D939E5">
        <w:rPr>
          <w:noProof/>
        </w:rPr>
        <w:t> </w:t>
      </w:r>
      <w:r w:rsidRPr="00D939E5">
        <w:rPr>
          <w:noProof/>
        </w:rPr>
        <w:t>továbbiakban: a terv) mellékelt.</w:t>
      </w:r>
    </w:p>
    <w:p w:rsidR="007B5A04" w:rsidRPr="00D939E5" w:rsidRDefault="00B877D0" w:rsidP="00B10759">
      <w:pPr>
        <w:pStyle w:val="Point0"/>
        <w:rPr>
          <w:noProof/>
        </w:rPr>
      </w:pPr>
      <w:r>
        <w:rPr>
          <w:noProof/>
        </w:rPr>
        <w:t>(4)</w:t>
      </w:r>
      <w:r>
        <w:rPr>
          <w:noProof/>
        </w:rPr>
        <w:tab/>
      </w:r>
      <w:bookmarkStart w:id="6" w:name="_Hlk218870606"/>
      <w:r w:rsidRPr="00D939E5">
        <w:rPr>
          <w:noProof/>
        </w:rPr>
        <w:t>A Bizottság az (EU) 2025/1106 rendeletben megállapított feltételek alapján értékelte a kérelmet.</w:t>
      </w:r>
      <w:bookmarkEnd w:id="6"/>
    </w:p>
    <w:p w:rsidR="00AE4AB6" w:rsidRPr="00D939E5" w:rsidRDefault="00AE4AB6" w:rsidP="00AE4AB6">
      <w:pPr>
        <w:pStyle w:val="Point0"/>
        <w:rPr>
          <w:noProof/>
        </w:rPr>
      </w:pPr>
      <w:r>
        <w:rPr>
          <w:noProof/>
        </w:rPr>
        <w:t>(5)</w:t>
      </w:r>
      <w:r>
        <w:rPr>
          <w:noProof/>
        </w:rPr>
        <w:tab/>
      </w:r>
      <w:r w:rsidRPr="00D939E5">
        <w:rPr>
          <w:noProof/>
        </w:rPr>
        <w:t>Az (EU) 2025/1106 rendelet 7. cikkével összhangban a terv megfelelően indokolt és alátámasztott volt, és tartalmazta a védelmi termékek és az egyéb védelmi célú termékek leírását.</w:t>
      </w:r>
    </w:p>
    <w:bookmarkEnd w:id="2"/>
    <w:p w:rsidR="00B877D0" w:rsidRPr="00D939E5" w:rsidRDefault="00B877D0" w:rsidP="00174898">
      <w:pPr>
        <w:pStyle w:val="Point0"/>
        <w:rPr>
          <w:noProof/>
        </w:rPr>
      </w:pPr>
      <w:r>
        <w:rPr>
          <w:noProof/>
        </w:rPr>
        <w:t>(6)</w:t>
      </w:r>
      <w:r>
        <w:rPr>
          <w:noProof/>
        </w:rPr>
        <w:tab/>
      </w:r>
      <w:r w:rsidRPr="00D939E5">
        <w:rPr>
          <w:noProof/>
        </w:rPr>
        <w:t>A Bizottság megállapította, hogy a kérelem megfelel az (EU) 2025/1106 rendelet 4.</w:t>
      </w:r>
      <w:r w:rsidR="00D939E5">
        <w:rPr>
          <w:noProof/>
        </w:rPr>
        <w:t> </w:t>
      </w:r>
      <w:r w:rsidRPr="00D939E5">
        <w:rPr>
          <w:noProof/>
        </w:rPr>
        <w:t xml:space="preserve">cikkében a SAFE eszköz igénybevételére vonatkozóan megállapított feltételeknek. Biztosítja különösen, hogy a védelmi termékekhez vagy más védelmi célú termékekhez kapcsolódó tevékenységeket, kiadásokat és intézkedéseket közös beszerzés vagy egyetlen tagállam által végrehajtott beszerzés keretében hajtsák végre. Ezek a tevékenységek, kiadások és intézkedések ezenkívül arra is irányulnak, hogy felgyorsítsák a védelmi ipar strukturális változásokhoz való alkalmazkodását </w:t>
      </w:r>
      <w:r w:rsidRPr="00D939E5">
        <w:rPr>
          <w:noProof/>
        </w:rPr>
        <w:lastRenderedPageBreak/>
        <w:t xml:space="preserve">és/vagy javítsák a védelmi termékek időben történő rendelkezésre állását, és/vagy biztosítsák az egész Unióra kiterjedő interoperabilitást és felcserélhetőséget. </w:t>
      </w:r>
    </w:p>
    <w:p w:rsidR="00B877D0" w:rsidRPr="00D939E5" w:rsidRDefault="00304460" w:rsidP="00B877D0">
      <w:pPr>
        <w:pStyle w:val="Point0"/>
        <w:rPr>
          <w:noProof/>
        </w:rPr>
      </w:pPr>
      <w:r>
        <w:rPr>
          <w:noProof/>
        </w:rPr>
        <w:t>(7)</w:t>
      </w:r>
      <w:r>
        <w:rPr>
          <w:noProof/>
        </w:rPr>
        <w:tab/>
      </w:r>
      <w:r w:rsidRPr="00D939E5">
        <w:rPr>
          <w:noProof/>
        </w:rPr>
        <w:t>A Bizottság azt is megállapította, hogy a kérelem tartalmazza az (EU) 2025/1106 rendelet 16. cikkének és beszerzési szabályainak való megfelelés biztosítását célzó tervezett intézkedések leírását, beleértve annak ismertetését, hogy miként kell biztosítani e megfelelést.</w:t>
      </w:r>
    </w:p>
    <w:p w:rsidR="00AE4AB6" w:rsidRPr="00D939E5" w:rsidRDefault="00AE4AB6" w:rsidP="00AE4AB6">
      <w:pPr>
        <w:pStyle w:val="Point0"/>
        <w:rPr>
          <w:noProof/>
        </w:rPr>
      </w:pPr>
      <w:r>
        <w:rPr>
          <w:noProof/>
        </w:rPr>
        <w:t>(8)</w:t>
      </w:r>
      <w:r>
        <w:rPr>
          <w:noProof/>
        </w:rPr>
        <w:tab/>
      </w:r>
      <w:r w:rsidRPr="00D939E5">
        <w:rPr>
          <w:noProof/>
        </w:rPr>
        <w:t>Ennek eredményeként az (EU) 2025/1106 rendelet 8. cikkének (3) bekezdésével összhangban a Bizottság meg tudja erősíteni, hogy a kérelem megfelel az említett rendeletben megállapított feltételeknek.</w:t>
      </w:r>
    </w:p>
    <w:p w:rsidR="00AE4AB6" w:rsidRPr="00D939E5" w:rsidRDefault="00AE4AB6" w:rsidP="00AE4AB6">
      <w:pPr>
        <w:pStyle w:val="Point0"/>
        <w:rPr>
          <w:noProof/>
        </w:rPr>
      </w:pPr>
      <w:r>
        <w:rPr>
          <w:noProof/>
        </w:rPr>
        <w:t>(9)</w:t>
      </w:r>
      <w:r>
        <w:rPr>
          <w:noProof/>
        </w:rPr>
        <w:tab/>
      </w:r>
      <w:r w:rsidRPr="00D939E5">
        <w:rPr>
          <w:noProof/>
        </w:rPr>
        <w:t>Az (EU) 2025/1106 rendelet 8. cikkének (5) bekezdésével összhangban a Bizottság – az egyenlő bánásmód, a szolidaritás, az arányosság és az átláthatóság elvét alkalmazva – mérlegelte Szlovákia meglévő és várható finanszírozási igényeit, valamint az említett rendelet alapján más tagállamok által már benyújtott vagy benyújtani tervezett pénzügyi támogatás iránti kérelmeket.</w:t>
      </w:r>
    </w:p>
    <w:p w:rsidR="00C868E3" w:rsidRPr="00D939E5" w:rsidRDefault="00B877D0" w:rsidP="00B877D0">
      <w:pPr>
        <w:pStyle w:val="Point0"/>
        <w:rPr>
          <w:noProof/>
          <w:szCs w:val="24"/>
        </w:rPr>
      </w:pPr>
      <w:r>
        <w:rPr>
          <w:noProof/>
        </w:rPr>
        <w:t>(10)</w:t>
      </w:r>
      <w:r>
        <w:rPr>
          <w:noProof/>
        </w:rPr>
        <w:tab/>
      </w:r>
      <w:r w:rsidRPr="00D939E5">
        <w:rPr>
          <w:noProof/>
        </w:rPr>
        <w:t>Ez a határozat nem érintheti az (EU) 2024/1263 európai parlamenti és tanácsi rendeletben</w:t>
      </w:r>
      <w:r w:rsidRPr="00D939E5">
        <w:rPr>
          <w:rStyle w:val="FootnoteReference"/>
          <w:noProof/>
        </w:rPr>
        <w:footnoteReference w:id="2"/>
      </w:r>
      <w:r w:rsidRPr="00D939E5">
        <w:rPr>
          <w:noProof/>
        </w:rPr>
        <w:t xml:space="preserve"> és az 1467/97/EK tanácsi rendeletben</w:t>
      </w:r>
      <w:r w:rsidRPr="00D939E5">
        <w:rPr>
          <w:rStyle w:val="FootnoteReference"/>
          <w:noProof/>
        </w:rPr>
        <w:footnoteReference w:id="3"/>
      </w:r>
      <w:r w:rsidRPr="00D939E5">
        <w:rPr>
          <w:noProof/>
        </w:rPr>
        <w:t xml:space="preserve"> meghatározott eljárások szerinti kötelezettségeket és a szóban forgó eljárások eredményét.</w:t>
      </w:r>
    </w:p>
    <w:p w:rsidR="00B877D0" w:rsidRPr="00D939E5" w:rsidRDefault="00304460" w:rsidP="00D43BD9">
      <w:pPr>
        <w:pStyle w:val="Point0"/>
        <w:rPr>
          <w:noProof/>
        </w:rPr>
      </w:pPr>
      <w:r>
        <w:rPr>
          <w:noProof/>
        </w:rPr>
        <w:t>(11)</w:t>
      </w:r>
      <w:r>
        <w:rPr>
          <w:noProof/>
        </w:rPr>
        <w:tab/>
      </w:r>
      <w:bookmarkStart w:id="7" w:name="_Hlk220060799"/>
      <w:r w:rsidRPr="00D939E5">
        <w:rPr>
          <w:noProof/>
        </w:rPr>
        <w:t>Ez a határozat nem érinti az Európai Unió működéséről szóló szerződés 322. cikke alapján elfogadott vonatkozó szabályokat, különösen az (EU, Euratom) 2024/2509</w:t>
      </w:r>
      <w:r w:rsidRPr="00D939E5">
        <w:rPr>
          <w:rStyle w:val="FootnoteReference"/>
          <w:noProof/>
        </w:rPr>
        <w:footnoteReference w:id="4"/>
      </w:r>
      <w:r w:rsidRPr="00D939E5">
        <w:rPr>
          <w:noProof/>
        </w:rPr>
        <w:t xml:space="preserve"> és az (EU, Euratom) 2020/2092 európai parlamenti és tanácsi rendeletet</w:t>
      </w:r>
      <w:r w:rsidRPr="00D939E5">
        <w:rPr>
          <w:rStyle w:val="FootnoteReference"/>
          <w:noProof/>
        </w:rPr>
        <w:footnoteReference w:id="5"/>
      </w:r>
      <w:r w:rsidRPr="00D939E5">
        <w:rPr>
          <w:noProof/>
        </w:rPr>
        <w:t xml:space="preserve">. Az </w:t>
      </w:r>
      <w:r w:rsidRPr="00D939E5">
        <w:rPr>
          <w:noProof/>
          <w:color w:val="333333"/>
        </w:rPr>
        <w:t>(EU) 2025/1106</w:t>
      </w:r>
      <w:r w:rsidRPr="00D939E5">
        <w:rPr>
          <w:noProof/>
        </w:rPr>
        <w:t xml:space="preserve"> rendelet 10. cikkének (2) bekezdésével összhangban a hitelmegállapodásnak meg kell határoznia az Unió pénzügyi érdekeinek védelméhez szükséges összes megfelelő intézkedést</w:t>
      </w:r>
      <w:bookmarkEnd w:id="7"/>
      <w:r w:rsidRPr="00D939E5">
        <w:rPr>
          <w:noProof/>
        </w:rPr>
        <w:t>,</w:t>
      </w:r>
    </w:p>
    <w:p w:rsidR="00920595" w:rsidRPr="00D939E5" w:rsidRDefault="00920595" w:rsidP="00B20124">
      <w:pPr>
        <w:pStyle w:val="HeaderLandscape"/>
        <w:rPr>
          <w:noProof/>
        </w:rPr>
      </w:pPr>
      <w:r w:rsidRPr="00D939E5">
        <w:rPr>
          <w:noProof/>
        </w:rPr>
        <w:t xml:space="preserve">ELFOGADTA EZT A HATÁROZATOT: </w:t>
      </w:r>
    </w:p>
    <w:p w:rsidR="00B877D0" w:rsidRPr="00D939E5" w:rsidRDefault="00B877D0" w:rsidP="00B877D0">
      <w:pPr>
        <w:pStyle w:val="Titrearticle"/>
        <w:rPr>
          <w:noProof/>
        </w:rPr>
      </w:pPr>
      <w:bookmarkStart w:id="8" w:name="_Hlk218870749"/>
      <w:r w:rsidRPr="00D939E5">
        <w:rPr>
          <w:noProof/>
        </w:rPr>
        <w:t>1. cikk</w:t>
      </w:r>
    </w:p>
    <w:bookmarkEnd w:id="8"/>
    <w:p w:rsidR="00920595" w:rsidRPr="00D939E5" w:rsidRDefault="00B877D0" w:rsidP="00D31C35">
      <w:pPr>
        <w:rPr>
          <w:rFonts w:eastAsia="Times New Roman"/>
          <w:noProof/>
        </w:rPr>
      </w:pPr>
      <w:r w:rsidRPr="00D939E5">
        <w:rPr>
          <w:noProof/>
        </w:rPr>
        <w:t>Az Európa biztonságát az európai védelmi ipar megerősítése révén szolgáló cselekvési eszköz (SAFE) keretében nyújtott pénzügyi támogatás iránti, Szlovákia által 2025. november 30-án benyújtott kérelem megfelel az (EU) 2025/1106 rendeletben, különösen a 4. cikkben, a 7. cikk (2) bekezdésében és a 16. cikkben meghatározott feltételeknek.</w:t>
      </w:r>
    </w:p>
    <w:p w:rsidR="00920595" w:rsidRPr="00D939E5" w:rsidRDefault="00920595" w:rsidP="00D31C35">
      <w:pPr>
        <w:pStyle w:val="Titrearticle"/>
        <w:rPr>
          <w:noProof/>
        </w:rPr>
      </w:pPr>
      <w:r w:rsidRPr="00D939E5">
        <w:rPr>
          <w:noProof/>
        </w:rPr>
        <w:t>2. cikk</w:t>
      </w:r>
    </w:p>
    <w:p w:rsidR="00920595" w:rsidRPr="00D939E5" w:rsidRDefault="00920595" w:rsidP="00D31C35">
      <w:pPr>
        <w:rPr>
          <w:noProof/>
        </w:rPr>
      </w:pPr>
      <w:r w:rsidRPr="00D939E5">
        <w:rPr>
          <w:noProof/>
        </w:rPr>
        <w:t>(1) Az Unió Szlovákia rendelkezésére bocsát legfeljebb 2 316 674 361,00 EUR összegű hitelt.</w:t>
      </w:r>
    </w:p>
    <w:p w:rsidR="00920595" w:rsidRPr="00D939E5" w:rsidRDefault="00E53456" w:rsidP="00E53456">
      <w:pPr>
        <w:rPr>
          <w:noProof/>
        </w:rPr>
      </w:pPr>
      <w:r w:rsidRPr="00D939E5">
        <w:rPr>
          <w:noProof/>
        </w:rPr>
        <w:lastRenderedPageBreak/>
        <w:t>(2) A Bizottság Szlovákia rendelkezésére bocsátja a hiteltámogatást. 347 501 154,15 EUR összeget bocsát rendelkezésre előfinanszírozási kifizetésként.</w:t>
      </w:r>
    </w:p>
    <w:p w:rsidR="00920595" w:rsidRPr="00D939E5" w:rsidRDefault="00920595" w:rsidP="001D1844">
      <w:pPr>
        <w:pStyle w:val="Titrearticle"/>
        <w:rPr>
          <w:noProof/>
        </w:rPr>
      </w:pPr>
      <w:r w:rsidRPr="00D939E5">
        <w:rPr>
          <w:noProof/>
        </w:rPr>
        <w:t>3. cikk</w:t>
      </w:r>
    </w:p>
    <w:p w:rsidR="00920595" w:rsidRPr="00D939E5" w:rsidRDefault="00920595" w:rsidP="00D31C35">
      <w:pPr>
        <w:rPr>
          <w:noProof/>
        </w:rPr>
      </w:pPr>
      <w:r w:rsidRPr="00D939E5">
        <w:rPr>
          <w:noProof/>
        </w:rPr>
        <w:t>Ennek a határozatnak a Szlovák Köztársaság a címzettje.</w:t>
      </w:r>
    </w:p>
    <w:p w:rsidR="00920595" w:rsidRPr="00D939E5" w:rsidRDefault="00D939E5" w:rsidP="001D1844">
      <w:pPr>
        <w:pStyle w:val="Fait"/>
        <w:rPr>
          <w:noProof/>
        </w:rPr>
      </w:pPr>
      <w:r>
        <w:rPr>
          <w:noProof/>
        </w:rPr>
        <w:t>Kelt Brüsszelben, -án/-én.</w:t>
      </w:r>
    </w:p>
    <w:p w:rsidR="00920595" w:rsidRPr="00D939E5" w:rsidRDefault="00920595" w:rsidP="001D1844">
      <w:pPr>
        <w:pStyle w:val="Institutionquisigne"/>
        <w:rPr>
          <w:noProof/>
        </w:rPr>
      </w:pPr>
      <w:r w:rsidRPr="00D939E5">
        <w:rPr>
          <w:noProof/>
        </w:rPr>
        <w:tab/>
        <w:t>a Tanács részéről</w:t>
      </w:r>
    </w:p>
    <w:p w:rsidR="00920595" w:rsidRPr="00D939E5" w:rsidRDefault="00920595" w:rsidP="00D31C35">
      <w:pPr>
        <w:pStyle w:val="Personnequisigne"/>
        <w:rPr>
          <w:noProof/>
        </w:rPr>
      </w:pPr>
      <w:r w:rsidRPr="00D939E5">
        <w:rPr>
          <w:noProof/>
        </w:rPr>
        <w:tab/>
        <w:t>az elnök</w:t>
      </w:r>
    </w:p>
    <w:sectPr w:rsidR="00920595" w:rsidRPr="00D939E5" w:rsidSect="00D615B0">
      <w:headerReference w:type="even" r:id="rId18"/>
      <w:footerReference w:type="even" r:id="rId19"/>
      <w:footerReference w:type="default" r:id="rId20"/>
      <w:headerReference w:type="first" r:id="rId21"/>
      <w:footerReference w:type="first" r:id="rId22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2B1" w:rsidRPr="005A2D96" w:rsidRDefault="00D762B1" w:rsidP="00D31C35">
      <w:pPr>
        <w:spacing w:before="0" w:after="0"/>
      </w:pPr>
      <w:r>
        <w:separator/>
      </w:r>
    </w:p>
  </w:endnote>
  <w:endnote w:type="continuationSeparator" w:id="0">
    <w:p w:rsidR="00D762B1" w:rsidRPr="005A2D96" w:rsidRDefault="00D762B1" w:rsidP="00D31C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Footer"/>
      <w:rPr>
        <w:rFonts w:ascii="Arial" w:hAnsi="Arial" w:cs="Arial"/>
        <w:b/>
        <w:sz w:val="48"/>
      </w:rPr>
    </w:pPr>
    <w:r w:rsidRPr="00D615B0">
      <w:rPr>
        <w:rFonts w:ascii="Arial" w:hAnsi="Arial" w:cs="Arial"/>
        <w:b/>
        <w:sz w:val="48"/>
      </w:rPr>
      <w:t>HU</w:t>
    </w:r>
    <w:r w:rsidRPr="00D615B0">
      <w:rPr>
        <w:rFonts w:ascii="Arial" w:hAnsi="Arial" w:cs="Arial"/>
        <w:b/>
        <w:sz w:val="48"/>
      </w:rPr>
      <w:tab/>
    </w:r>
    <w:r w:rsidRPr="00D615B0">
      <w:rPr>
        <w:rFonts w:ascii="Arial" w:hAnsi="Arial" w:cs="Arial"/>
        <w:b/>
        <w:sz w:val="48"/>
      </w:rPr>
      <w:tab/>
    </w:r>
    <w:r w:rsidRPr="00D615B0">
      <w:tab/>
    </w:r>
    <w:r w:rsidRPr="00D615B0">
      <w:rPr>
        <w:rFonts w:ascii="Arial" w:hAnsi="Arial" w:cs="Arial"/>
        <w:b/>
        <w:sz w:val="48"/>
      </w:rPr>
      <w:t>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Footer"/>
      <w:rPr>
        <w:rFonts w:ascii="Arial" w:hAnsi="Arial" w:cs="Arial"/>
        <w:b/>
        <w:sz w:val="48"/>
      </w:rPr>
    </w:pPr>
    <w:r w:rsidRPr="00D615B0">
      <w:rPr>
        <w:rFonts w:ascii="Arial" w:hAnsi="Arial" w:cs="Arial"/>
        <w:b/>
        <w:sz w:val="48"/>
      </w:rPr>
      <w:t>HU</w:t>
    </w:r>
    <w:r w:rsidRPr="00D615B0">
      <w:rPr>
        <w:rFonts w:ascii="Arial" w:hAnsi="Arial" w:cs="Arial"/>
        <w:b/>
        <w:sz w:val="48"/>
      </w:rPr>
      <w:tab/>
    </w:r>
    <w:r w:rsidRPr="00D615B0">
      <w:rPr>
        <w:rFonts w:ascii="Arial" w:hAnsi="Arial" w:cs="Arial"/>
        <w:b/>
        <w:sz w:val="48"/>
      </w:rPr>
      <w:tab/>
    </w:r>
    <w:r w:rsidRPr="00D615B0">
      <w:tab/>
    </w:r>
    <w:r w:rsidRPr="00D615B0">
      <w:rPr>
        <w:rFonts w:ascii="Arial" w:hAnsi="Arial" w:cs="Arial"/>
        <w:b/>
        <w:sz w:val="48"/>
      </w:rPr>
      <w:t>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Default="00D615B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Footer"/>
      <w:rPr>
        <w:rFonts w:ascii="Arial" w:hAnsi="Arial" w:cs="Arial"/>
        <w:b/>
        <w:sz w:val="48"/>
      </w:rPr>
    </w:pPr>
    <w:r w:rsidRPr="00D615B0">
      <w:rPr>
        <w:rFonts w:ascii="Arial" w:hAnsi="Arial" w:cs="Arial"/>
        <w:b/>
        <w:sz w:val="48"/>
      </w:rPr>
      <w:t>HU</w:t>
    </w:r>
    <w:r w:rsidRPr="00D615B0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1D1844">
      <w:rPr>
        <w:noProof/>
      </w:rPr>
      <w:t>3</w:t>
    </w:r>
    <w:r>
      <w:fldChar w:fldCharType="end"/>
    </w:r>
    <w:r>
      <w:tab/>
    </w:r>
    <w:r w:rsidRPr="00D615B0">
      <w:tab/>
    </w:r>
    <w:r w:rsidRPr="00D615B0">
      <w:rPr>
        <w:rFonts w:ascii="Arial" w:hAnsi="Arial" w:cs="Arial"/>
        <w:b/>
        <w:sz w:val="48"/>
      </w:rPr>
      <w:t>HU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Default="00D615B0" w:rsidP="00D61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2B1" w:rsidRPr="005A2D96" w:rsidRDefault="00D762B1" w:rsidP="00D31C35">
      <w:pPr>
        <w:spacing w:before="0" w:after="0"/>
      </w:pPr>
      <w:r>
        <w:separator/>
      </w:r>
    </w:p>
  </w:footnote>
  <w:footnote w:type="continuationSeparator" w:id="0">
    <w:p w:rsidR="00D762B1" w:rsidRPr="005A2D96" w:rsidRDefault="00D762B1" w:rsidP="00D31C35">
      <w:pPr>
        <w:spacing w:before="0" w:after="0"/>
      </w:pPr>
      <w:r>
        <w:continuationSeparator/>
      </w:r>
    </w:p>
  </w:footnote>
  <w:footnote w:id="1">
    <w:p w:rsidR="00B877D0" w:rsidRPr="005A2D96" w:rsidRDefault="00B877D0" w:rsidP="00B877D0">
      <w:pPr>
        <w:pStyle w:val="FootnoteText"/>
      </w:pPr>
      <w:r>
        <w:rPr>
          <w:rStyle w:val="FootnoteReference"/>
        </w:rPr>
        <w:footnoteRef/>
      </w:r>
      <w:r>
        <w:tab/>
        <w:t>A Tanács (EU) 2025/1106 rendelete (2025. május 27.) az Európa biztonságát az európai védelmi ipar megerősítése révén szolgáló cselekvési eszköz (SAFE) létrehozásáról (HL L, 2025/1106, 2025.5.28., ELI: </w:t>
      </w:r>
      <w:hyperlink r:id="rId1" w:tgtFrame="_blank" w:tooltip="Az ELI (európai jogszabály-azonosító) URI-hivatkozása révén biztosít hozzáférést a dokumentumhoz." w:history="1">
        <w:r>
          <w:rPr>
            <w:rStyle w:val="Hyperlink"/>
          </w:rPr>
          <w:t>http://data.europa.eu/eli/reg/2025/1106/oj</w:t>
        </w:r>
      </w:hyperlink>
      <w:r>
        <w:t>).</w:t>
      </w:r>
    </w:p>
  </w:footnote>
  <w:footnote w:id="2">
    <w:p w:rsidR="00B877D0" w:rsidRPr="005A2D96" w:rsidRDefault="00B877D0" w:rsidP="00B877D0">
      <w:pPr>
        <w:pStyle w:val="FootnoteText"/>
      </w:pPr>
      <w:r>
        <w:rPr>
          <w:rStyle w:val="FootnoteReference"/>
        </w:rPr>
        <w:footnoteRef/>
      </w:r>
      <w:r>
        <w:tab/>
        <w:t>Az Európai Parlament és a Tanács (EU) 2024/1263 rendelete (2024. április 29.) a gazdaságpolitikák hatékony összehangolásáról és a többoldalú költségvetési felügyeletről, valamint az 1466/97/EK tanácsi rendelet hatályon kívül helyezéséről (HL L, 2024/1263, 2024.4.30., ELI: </w:t>
      </w:r>
      <w:hyperlink r:id="rId2" w:tgtFrame="_blank" w:tooltip="Az ELI (európai jogszabály-azonosító) URI-hivatkozása révén biztosít hozzáférést a dokumentumhoz." w:history="1">
        <w:r>
          <w:rPr>
            <w:rStyle w:val="Hyperlink"/>
          </w:rPr>
          <w:t>http://data.europa.eu/eli/reg/2024/1263/oj</w:t>
        </w:r>
      </w:hyperlink>
      <w:r>
        <w:t>).</w:t>
      </w:r>
    </w:p>
  </w:footnote>
  <w:footnote w:id="3">
    <w:p w:rsidR="00B877D0" w:rsidRPr="005A2D96" w:rsidRDefault="00B877D0" w:rsidP="00B877D0">
      <w:pPr>
        <w:pStyle w:val="FootnoteText"/>
      </w:pPr>
      <w:r>
        <w:rPr>
          <w:rStyle w:val="FootnoteReference"/>
        </w:rPr>
        <w:footnoteRef/>
      </w:r>
      <w:r>
        <w:tab/>
        <w:t>A Tanács 1467/97/EK rendelete (1997. július 7.) a túlzott hiány esetén követendő eljárás végrehajtásának felgyorsításáról és pontosításáról (HL L 209., 1997.8.2., 6. o., ELI: http://data.europa.eu/eli/reg/1997/1467/oj).</w:t>
      </w:r>
    </w:p>
  </w:footnote>
  <w:footnote w:id="4">
    <w:p w:rsidR="00304460" w:rsidRPr="006428BF" w:rsidRDefault="00304460" w:rsidP="00304460">
      <w:pPr>
        <w:pStyle w:val="FootnoteText"/>
      </w:pPr>
      <w:r>
        <w:rPr>
          <w:rStyle w:val="FootnoteReference"/>
        </w:rPr>
        <w:footnoteRef/>
      </w:r>
      <w:r>
        <w:tab/>
        <w:t xml:space="preserve">(EU, Euratom) 2024/2509 rendelet (2024. szeptember 23.) az Unió általános költségvetésére alkalmazandó pénzügyi szabályokról (HL L, 2024/2509, 2024.9.26., ELI: </w:t>
      </w:r>
      <w:hyperlink r:id="rId3" w:history="1">
        <w:r>
          <w:rPr>
            <w:rStyle w:val="Hyperlink"/>
          </w:rPr>
          <w:t>http://data.europa.eu/eli/reg/2024/2509/oj</w:t>
        </w:r>
      </w:hyperlink>
      <w:r>
        <w:t>).</w:t>
      </w:r>
    </w:p>
  </w:footnote>
  <w:footnote w:id="5">
    <w:p w:rsidR="00304460" w:rsidRPr="00C868E3" w:rsidRDefault="00304460" w:rsidP="00304460">
      <w:pPr>
        <w:pStyle w:val="FootnoteText"/>
      </w:pPr>
      <w:r>
        <w:rPr>
          <w:rStyle w:val="FootnoteReference"/>
        </w:rPr>
        <w:footnoteRef/>
      </w:r>
      <w:r>
        <w:tab/>
        <w:t xml:space="preserve">Az Európai Parlament és a Tanács (EU, Euratom) 2020/2092 rendelete (2020. december 16.) az uniós költségvetés védelmét szolgáló általános feltételrendszerről (HL L 433. I, 2020.12.22., 1. o., ELI: </w:t>
      </w:r>
      <w:hyperlink r:id="rId4" w:history="1">
        <w:r>
          <w:rPr>
            <w:rStyle w:val="Hyperlink"/>
          </w:rPr>
          <w:t>http://data.europa.eu/eli/reg/2020/2092/oj</w:t>
        </w:r>
      </w:hyperlink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Pr="00D615B0" w:rsidRDefault="00D615B0" w:rsidP="00D615B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Default="00D615B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B0" w:rsidRDefault="00D61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7D"/>
    <w:multiLevelType w:val="singleLevel"/>
    <w:tmpl w:val="ED740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1">
    <w:nsid w:val="FFFFFF7E"/>
    <w:multiLevelType w:val="singleLevel"/>
    <w:tmpl w:val="99B8AEC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1">
    <w:nsid w:val="FFFFFF7F"/>
    <w:multiLevelType w:val="singleLevel"/>
    <w:tmpl w:val="EDC68A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1">
    <w:nsid w:val="FFFFFF81"/>
    <w:multiLevelType w:val="singleLevel"/>
    <w:tmpl w:val="2B7A447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1">
    <w:nsid w:val="FFFFFF82"/>
    <w:multiLevelType w:val="singleLevel"/>
    <w:tmpl w:val="F57415A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1">
    <w:nsid w:val="FFFFFF83"/>
    <w:multiLevelType w:val="singleLevel"/>
    <w:tmpl w:val="06C292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1">
    <w:nsid w:val="FFFFFF88"/>
    <w:multiLevelType w:val="singleLevel"/>
    <w:tmpl w:val="2ED60E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1">
    <w:nsid w:val="FFFFFF89"/>
    <w:multiLevelType w:val="singleLevel"/>
    <w:tmpl w:val="538C9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21"/>
  </w:num>
  <w:num w:numId="13">
    <w:abstractNumId w:val="11"/>
  </w:num>
  <w:num w:numId="14">
    <w:abstractNumId w:val="13"/>
  </w:num>
  <w:num w:numId="15">
    <w:abstractNumId w:val="14"/>
  </w:num>
  <w:num w:numId="16">
    <w:abstractNumId w:val="9"/>
  </w:num>
  <w:num w:numId="17">
    <w:abstractNumId w:val="20"/>
  </w:num>
  <w:num w:numId="18">
    <w:abstractNumId w:val="8"/>
  </w:num>
  <w:num w:numId="19">
    <w:abstractNumId w:val="15"/>
  </w:num>
  <w:num w:numId="20">
    <w:abstractNumId w:val="17"/>
  </w:num>
  <w:num w:numId="21">
    <w:abstractNumId w:val="18"/>
  </w:num>
  <w:num w:numId="22">
    <w:abstractNumId w:val="10"/>
  </w:num>
  <w:num w:numId="23">
    <w:abstractNumId w:val="16"/>
  </w:num>
  <w:num w:numId="24">
    <w:abstractNumId w:val="22"/>
  </w:num>
  <w:num w:numId="25">
    <w:abstractNumId w:val="19"/>
  </w:num>
  <w:num w:numId="26">
    <w:abstractNumId w:val="12"/>
  </w:num>
  <w:num w:numId="27">
    <w:abstractNumId w:val="21"/>
  </w:num>
  <w:num w:numId="28">
    <w:abstractNumId w:val="11"/>
  </w:num>
  <w:num w:numId="29">
    <w:abstractNumId w:val="13"/>
  </w:num>
  <w:num w:numId="30">
    <w:abstractNumId w:val="14"/>
  </w:num>
  <w:num w:numId="31">
    <w:abstractNumId w:val="9"/>
  </w:num>
  <w:num w:numId="32">
    <w:abstractNumId w:val="20"/>
  </w:num>
  <w:num w:numId="33">
    <w:abstractNumId w:val="8"/>
  </w:num>
  <w:num w:numId="34">
    <w:abstractNumId w:val="15"/>
  </w:num>
  <w:num w:numId="35">
    <w:abstractNumId w:val="17"/>
  </w:num>
  <w:num w:numId="36">
    <w:abstractNumId w:val="18"/>
  </w:num>
  <w:num w:numId="37">
    <w:abstractNumId w:val="10"/>
  </w:num>
  <w:num w:numId="38">
    <w:abstractNumId w:val="16"/>
  </w:num>
  <w:num w:numId="39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6-02-02 15:26:26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BC37AA7E-1FA9-494C-98E1-8262488C596F"/>
    <w:docVar w:name="LW_COVERPAGE_TYPE" w:val="1"/>
    <w:docVar w:name="LW_CreatedUtc" w:val="2025-11-28T15:49:49.0267806Z"/>
    <w:docVar w:name="LW_CROSSREFERENCE" w:val="&lt;UNUSED&gt;"/>
    <w:docVar w:name="LW_DocType" w:val="COM"/>
    <w:docVar w:name="LW_EMISSION" w:val="2026.1.26."/>
    <w:docVar w:name="LW_EMISSION_ISODATE" w:val="2026-01-26"/>
    <w:docVar w:name="LW_EMISSION_LOCATION" w:val="BRX"/>
    <w:docVar w:name="LW_EMISSION_PREFIX" w:val="Brüsszel, "/>
    <w:docVar w:name="LW_EMISSION_SUFFIX" w:val=" "/>
    <w:docVar w:name="LW_ID_DOCMODEL" w:val="SJ-020"/>
    <w:docVar w:name="LW_ID_DOCSIGNATURE" w:val="SJ-020"/>
    <w:docVar w:name="LW_ID_DOCSTRUCTURE" w:val="COM/PL/ORG"/>
    <w:docVar w:name="LW_ID_DOCTYPE" w:val="SJ-020"/>
    <w:docVar w:name="LW_ID_STATUT" w:val="SJ-020"/>
    <w:docVar w:name="LW_INSERT_EXP.MOTIFS.NEW" w:val="1"/>
    <w:docVar w:name="LW_INTERETEEE.CP" w:val="&lt;UNUSED&gt;"/>
    <w:docVar w:name="LW_LANGUE" w:val="HU"/>
    <w:docVar w:name="LW_LEVEL_OF_SENSITIVITY" w:val="Standard treatment"/>
    <w:docVar w:name="LW_NOM.INST" w:val="EURÓPAI BIZOTTSÁG"/>
    <w:docVar w:name="LW_NOM.INST_JOINTDOC" w:val="&lt;EMPTY&gt;"/>
    <w:docVar w:name="LW_PART_NBR" w:val="1"/>
    <w:docVar w:name="LW_PART_NBR_TOTAL" w:val="1"/>
    <w:docVar w:name="LW_REF.II.NEW.CP" w:val="NLE"/>
    <w:docVar w:name="LW_REF.II.NEW.CP_NUMBER" w:val="0036"/>
    <w:docVar w:name="LW_REF.II.NEW.CP_YEAR" w:val="2026"/>
    <w:docVar w:name="LW_REF.INST.NEW" w:val="COM"/>
    <w:docVar w:name="LW_REF.INST.NEW_ADOPTED" w:val="final"/>
    <w:docVar w:name="LW_REF.INST.NEW_TEXT" w:val="(2026) 55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Javaslat"/>
    <w:docVar w:name="LW_SUPERTITRE" w:val="&lt;UNUSED&gt;"/>
    <w:docVar w:name="LW_TITRE.OBJ.CP" w:val="az (EU) 2025/1106 rendelet szerinti pénzügyi támogatás Szlovákia rendelkezésére bocsátásáról"/>
    <w:docVar w:name="LW_TYPE.DOC.CP" w:val="A TANÁCS VÉGREHAJTÁSI HATÁROZATA"/>
    <w:docVar w:name="LwApiVersions" w:val="LW4CoDe 1.24.5.0; LW 9.2, Build 20251112"/>
  </w:docVars>
  <w:rsids>
    <w:rsidRoot w:val="00D31C35"/>
    <w:rsid w:val="00013DCF"/>
    <w:rsid w:val="00041798"/>
    <w:rsid w:val="00044636"/>
    <w:rsid w:val="0004481F"/>
    <w:rsid w:val="000546BC"/>
    <w:rsid w:val="00062F72"/>
    <w:rsid w:val="00063BD8"/>
    <w:rsid w:val="00065D76"/>
    <w:rsid w:val="00067138"/>
    <w:rsid w:val="000734E5"/>
    <w:rsid w:val="0008275D"/>
    <w:rsid w:val="00084F77"/>
    <w:rsid w:val="00085500"/>
    <w:rsid w:val="0008689B"/>
    <w:rsid w:val="000A094F"/>
    <w:rsid w:val="000B01A7"/>
    <w:rsid w:val="000B3287"/>
    <w:rsid w:val="000B4C67"/>
    <w:rsid w:val="000C3D45"/>
    <w:rsid w:val="000C6756"/>
    <w:rsid w:val="000D7D98"/>
    <w:rsid w:val="00101997"/>
    <w:rsid w:val="00101BF0"/>
    <w:rsid w:val="00102573"/>
    <w:rsid w:val="001065F5"/>
    <w:rsid w:val="00106A2F"/>
    <w:rsid w:val="00120CA5"/>
    <w:rsid w:val="001238EF"/>
    <w:rsid w:val="00124757"/>
    <w:rsid w:val="001329FA"/>
    <w:rsid w:val="00132A96"/>
    <w:rsid w:val="001441D7"/>
    <w:rsid w:val="00152BBD"/>
    <w:rsid w:val="00154E62"/>
    <w:rsid w:val="00160BC8"/>
    <w:rsid w:val="00162A07"/>
    <w:rsid w:val="001727F5"/>
    <w:rsid w:val="001745FC"/>
    <w:rsid w:val="00175CE7"/>
    <w:rsid w:val="00191F27"/>
    <w:rsid w:val="00197613"/>
    <w:rsid w:val="001A2150"/>
    <w:rsid w:val="001A2B5B"/>
    <w:rsid w:val="001A32E0"/>
    <w:rsid w:val="001A3BCF"/>
    <w:rsid w:val="001C0950"/>
    <w:rsid w:val="001C2E71"/>
    <w:rsid w:val="001D1844"/>
    <w:rsid w:val="001E078F"/>
    <w:rsid w:val="001E37DF"/>
    <w:rsid w:val="001E5F4A"/>
    <w:rsid w:val="001E76BC"/>
    <w:rsid w:val="001F660A"/>
    <w:rsid w:val="001F6A37"/>
    <w:rsid w:val="001F7F53"/>
    <w:rsid w:val="00210512"/>
    <w:rsid w:val="00215BD6"/>
    <w:rsid w:val="00215E60"/>
    <w:rsid w:val="00222DD0"/>
    <w:rsid w:val="00224C1F"/>
    <w:rsid w:val="0022590B"/>
    <w:rsid w:val="00233923"/>
    <w:rsid w:val="00233DC7"/>
    <w:rsid w:val="00247779"/>
    <w:rsid w:val="00253706"/>
    <w:rsid w:val="00256613"/>
    <w:rsid w:val="00260578"/>
    <w:rsid w:val="00262B55"/>
    <w:rsid w:val="00266D1F"/>
    <w:rsid w:val="00285BEE"/>
    <w:rsid w:val="00292708"/>
    <w:rsid w:val="0029533F"/>
    <w:rsid w:val="002A4C76"/>
    <w:rsid w:val="002A6CBA"/>
    <w:rsid w:val="002B30AF"/>
    <w:rsid w:val="002B722F"/>
    <w:rsid w:val="002C373D"/>
    <w:rsid w:val="002D1A3D"/>
    <w:rsid w:val="002D2458"/>
    <w:rsid w:val="002D4EC7"/>
    <w:rsid w:val="002E4240"/>
    <w:rsid w:val="002E46FD"/>
    <w:rsid w:val="002F6053"/>
    <w:rsid w:val="00300224"/>
    <w:rsid w:val="00300A8A"/>
    <w:rsid w:val="00303111"/>
    <w:rsid w:val="00304460"/>
    <w:rsid w:val="0031165F"/>
    <w:rsid w:val="0031373D"/>
    <w:rsid w:val="0033088C"/>
    <w:rsid w:val="003328E1"/>
    <w:rsid w:val="003332B3"/>
    <w:rsid w:val="0033344A"/>
    <w:rsid w:val="0034714E"/>
    <w:rsid w:val="00353838"/>
    <w:rsid w:val="003558B4"/>
    <w:rsid w:val="0035755B"/>
    <w:rsid w:val="00360CB3"/>
    <w:rsid w:val="00360FD8"/>
    <w:rsid w:val="00366CA6"/>
    <w:rsid w:val="00372F04"/>
    <w:rsid w:val="00376167"/>
    <w:rsid w:val="00380F7E"/>
    <w:rsid w:val="00383F20"/>
    <w:rsid w:val="0038429B"/>
    <w:rsid w:val="003867BE"/>
    <w:rsid w:val="003907B7"/>
    <w:rsid w:val="003917CE"/>
    <w:rsid w:val="00392853"/>
    <w:rsid w:val="003A16F9"/>
    <w:rsid w:val="003A3027"/>
    <w:rsid w:val="003B37A2"/>
    <w:rsid w:val="003B3980"/>
    <w:rsid w:val="003B3D76"/>
    <w:rsid w:val="003B6926"/>
    <w:rsid w:val="003C07A7"/>
    <w:rsid w:val="003C702A"/>
    <w:rsid w:val="003D44C1"/>
    <w:rsid w:val="003E04C7"/>
    <w:rsid w:val="00401E63"/>
    <w:rsid w:val="0040604C"/>
    <w:rsid w:val="004203E0"/>
    <w:rsid w:val="004220AD"/>
    <w:rsid w:val="00422C20"/>
    <w:rsid w:val="00422CE4"/>
    <w:rsid w:val="0042648E"/>
    <w:rsid w:val="00427ED6"/>
    <w:rsid w:val="004337FD"/>
    <w:rsid w:val="00434634"/>
    <w:rsid w:val="00447825"/>
    <w:rsid w:val="00455592"/>
    <w:rsid w:val="00462B13"/>
    <w:rsid w:val="00464C84"/>
    <w:rsid w:val="004656DA"/>
    <w:rsid w:val="00467087"/>
    <w:rsid w:val="00485C54"/>
    <w:rsid w:val="00486BAC"/>
    <w:rsid w:val="004936D2"/>
    <w:rsid w:val="004A1CA7"/>
    <w:rsid w:val="004A3C4E"/>
    <w:rsid w:val="004A4627"/>
    <w:rsid w:val="004B053E"/>
    <w:rsid w:val="004B0948"/>
    <w:rsid w:val="004B1852"/>
    <w:rsid w:val="004B525C"/>
    <w:rsid w:val="004C2FFE"/>
    <w:rsid w:val="004C6A80"/>
    <w:rsid w:val="004D5525"/>
    <w:rsid w:val="004E0C4C"/>
    <w:rsid w:val="004E7838"/>
    <w:rsid w:val="004F2D0F"/>
    <w:rsid w:val="005136DE"/>
    <w:rsid w:val="00514EC4"/>
    <w:rsid w:val="0051597B"/>
    <w:rsid w:val="00517C38"/>
    <w:rsid w:val="00525C30"/>
    <w:rsid w:val="005326BD"/>
    <w:rsid w:val="005338EE"/>
    <w:rsid w:val="005370E0"/>
    <w:rsid w:val="005412DF"/>
    <w:rsid w:val="00542F05"/>
    <w:rsid w:val="00554E71"/>
    <w:rsid w:val="00557C03"/>
    <w:rsid w:val="00563676"/>
    <w:rsid w:val="00567388"/>
    <w:rsid w:val="00576487"/>
    <w:rsid w:val="005829EE"/>
    <w:rsid w:val="0058751B"/>
    <w:rsid w:val="005948A8"/>
    <w:rsid w:val="005A2D96"/>
    <w:rsid w:val="005B1EB6"/>
    <w:rsid w:val="005B23A5"/>
    <w:rsid w:val="005B5370"/>
    <w:rsid w:val="005B63E2"/>
    <w:rsid w:val="005D0FC9"/>
    <w:rsid w:val="005D1F90"/>
    <w:rsid w:val="005D7B74"/>
    <w:rsid w:val="005E4A2F"/>
    <w:rsid w:val="005E68EB"/>
    <w:rsid w:val="005F37E5"/>
    <w:rsid w:val="005F62F4"/>
    <w:rsid w:val="00606506"/>
    <w:rsid w:val="0061287A"/>
    <w:rsid w:val="0061326F"/>
    <w:rsid w:val="00625F6A"/>
    <w:rsid w:val="0063593A"/>
    <w:rsid w:val="00647F57"/>
    <w:rsid w:val="0065313E"/>
    <w:rsid w:val="00653DA2"/>
    <w:rsid w:val="006547C6"/>
    <w:rsid w:val="00666332"/>
    <w:rsid w:val="00671DCA"/>
    <w:rsid w:val="006743AD"/>
    <w:rsid w:val="006746B5"/>
    <w:rsid w:val="00683CE7"/>
    <w:rsid w:val="006958C5"/>
    <w:rsid w:val="0069594B"/>
    <w:rsid w:val="006972E9"/>
    <w:rsid w:val="006C00A7"/>
    <w:rsid w:val="006C4353"/>
    <w:rsid w:val="006C64F2"/>
    <w:rsid w:val="006D0E97"/>
    <w:rsid w:val="006E0DE0"/>
    <w:rsid w:val="006E26B1"/>
    <w:rsid w:val="006E4161"/>
    <w:rsid w:val="006F34E7"/>
    <w:rsid w:val="006F35B3"/>
    <w:rsid w:val="00701A73"/>
    <w:rsid w:val="00702F5E"/>
    <w:rsid w:val="007041A4"/>
    <w:rsid w:val="00705BBF"/>
    <w:rsid w:val="007070DF"/>
    <w:rsid w:val="007169E9"/>
    <w:rsid w:val="00720CCC"/>
    <w:rsid w:val="00723A68"/>
    <w:rsid w:val="00724598"/>
    <w:rsid w:val="00736EB1"/>
    <w:rsid w:val="00742314"/>
    <w:rsid w:val="00756081"/>
    <w:rsid w:val="00764997"/>
    <w:rsid w:val="00773331"/>
    <w:rsid w:val="00780678"/>
    <w:rsid w:val="00781CBF"/>
    <w:rsid w:val="00781CF5"/>
    <w:rsid w:val="0078224A"/>
    <w:rsid w:val="0079286A"/>
    <w:rsid w:val="007932EF"/>
    <w:rsid w:val="0079339C"/>
    <w:rsid w:val="007B5A04"/>
    <w:rsid w:val="007B6804"/>
    <w:rsid w:val="007C0CB8"/>
    <w:rsid w:val="007C4B72"/>
    <w:rsid w:val="007C64A4"/>
    <w:rsid w:val="007D41D8"/>
    <w:rsid w:val="007D63F2"/>
    <w:rsid w:val="007D7D8B"/>
    <w:rsid w:val="007E05B0"/>
    <w:rsid w:val="007E28E0"/>
    <w:rsid w:val="007E475D"/>
    <w:rsid w:val="007F22EB"/>
    <w:rsid w:val="00812C13"/>
    <w:rsid w:val="00815F5B"/>
    <w:rsid w:val="0081616B"/>
    <w:rsid w:val="00823DF6"/>
    <w:rsid w:val="00824065"/>
    <w:rsid w:val="00824DF8"/>
    <w:rsid w:val="0083135C"/>
    <w:rsid w:val="00847A2F"/>
    <w:rsid w:val="00854059"/>
    <w:rsid w:val="00855816"/>
    <w:rsid w:val="00855B01"/>
    <w:rsid w:val="00856B3B"/>
    <w:rsid w:val="0087318A"/>
    <w:rsid w:val="00874D22"/>
    <w:rsid w:val="0088575E"/>
    <w:rsid w:val="00887F76"/>
    <w:rsid w:val="008938C6"/>
    <w:rsid w:val="008A1986"/>
    <w:rsid w:val="008A2914"/>
    <w:rsid w:val="008A5A22"/>
    <w:rsid w:val="008A65FB"/>
    <w:rsid w:val="008B3E15"/>
    <w:rsid w:val="008C5AEE"/>
    <w:rsid w:val="008C5B6D"/>
    <w:rsid w:val="008E4C53"/>
    <w:rsid w:val="008E4D8E"/>
    <w:rsid w:val="008F232D"/>
    <w:rsid w:val="00901DA0"/>
    <w:rsid w:val="0090283E"/>
    <w:rsid w:val="00911264"/>
    <w:rsid w:val="00915191"/>
    <w:rsid w:val="00920595"/>
    <w:rsid w:val="00922DB7"/>
    <w:rsid w:val="00930F91"/>
    <w:rsid w:val="00933AE2"/>
    <w:rsid w:val="00943323"/>
    <w:rsid w:val="00945F33"/>
    <w:rsid w:val="009615F9"/>
    <w:rsid w:val="00970AF8"/>
    <w:rsid w:val="00973318"/>
    <w:rsid w:val="009826F3"/>
    <w:rsid w:val="00990A08"/>
    <w:rsid w:val="00995282"/>
    <w:rsid w:val="0099627F"/>
    <w:rsid w:val="009A239B"/>
    <w:rsid w:val="009B28B1"/>
    <w:rsid w:val="009C128D"/>
    <w:rsid w:val="009C3F06"/>
    <w:rsid w:val="009D126D"/>
    <w:rsid w:val="009D5B6A"/>
    <w:rsid w:val="009F755E"/>
    <w:rsid w:val="009F7971"/>
    <w:rsid w:val="00A00E7D"/>
    <w:rsid w:val="00A101B8"/>
    <w:rsid w:val="00A10FC7"/>
    <w:rsid w:val="00A12687"/>
    <w:rsid w:val="00A21E11"/>
    <w:rsid w:val="00A22507"/>
    <w:rsid w:val="00A2386B"/>
    <w:rsid w:val="00A23C77"/>
    <w:rsid w:val="00A26901"/>
    <w:rsid w:val="00A33427"/>
    <w:rsid w:val="00A42D5C"/>
    <w:rsid w:val="00A6328F"/>
    <w:rsid w:val="00A6623D"/>
    <w:rsid w:val="00A70346"/>
    <w:rsid w:val="00A71B03"/>
    <w:rsid w:val="00A77164"/>
    <w:rsid w:val="00A85F9B"/>
    <w:rsid w:val="00A86D06"/>
    <w:rsid w:val="00A920D1"/>
    <w:rsid w:val="00A9224A"/>
    <w:rsid w:val="00A97B21"/>
    <w:rsid w:val="00AA3585"/>
    <w:rsid w:val="00AA698C"/>
    <w:rsid w:val="00AA6B3A"/>
    <w:rsid w:val="00AB3995"/>
    <w:rsid w:val="00AC1EC1"/>
    <w:rsid w:val="00AC37EB"/>
    <w:rsid w:val="00AC7277"/>
    <w:rsid w:val="00AC78D5"/>
    <w:rsid w:val="00AD7A78"/>
    <w:rsid w:val="00AE011C"/>
    <w:rsid w:val="00AE0C87"/>
    <w:rsid w:val="00AE2AFE"/>
    <w:rsid w:val="00AE4AB6"/>
    <w:rsid w:val="00AF5ED1"/>
    <w:rsid w:val="00B02A7B"/>
    <w:rsid w:val="00B06222"/>
    <w:rsid w:val="00B10759"/>
    <w:rsid w:val="00B20124"/>
    <w:rsid w:val="00B23402"/>
    <w:rsid w:val="00B30909"/>
    <w:rsid w:val="00B34A53"/>
    <w:rsid w:val="00B459FD"/>
    <w:rsid w:val="00B47D28"/>
    <w:rsid w:val="00B5303B"/>
    <w:rsid w:val="00B558F5"/>
    <w:rsid w:val="00B75753"/>
    <w:rsid w:val="00B80FAF"/>
    <w:rsid w:val="00B860E3"/>
    <w:rsid w:val="00B8740E"/>
    <w:rsid w:val="00B877D0"/>
    <w:rsid w:val="00B922AB"/>
    <w:rsid w:val="00B938D8"/>
    <w:rsid w:val="00BA723C"/>
    <w:rsid w:val="00BB1994"/>
    <w:rsid w:val="00BB2D9B"/>
    <w:rsid w:val="00BB5431"/>
    <w:rsid w:val="00BC2651"/>
    <w:rsid w:val="00BC3714"/>
    <w:rsid w:val="00BC41C7"/>
    <w:rsid w:val="00BD389C"/>
    <w:rsid w:val="00C020B0"/>
    <w:rsid w:val="00C063A8"/>
    <w:rsid w:val="00C06C69"/>
    <w:rsid w:val="00C12301"/>
    <w:rsid w:val="00C1695B"/>
    <w:rsid w:val="00C17991"/>
    <w:rsid w:val="00C22A1C"/>
    <w:rsid w:val="00C3233E"/>
    <w:rsid w:val="00C360CC"/>
    <w:rsid w:val="00C45188"/>
    <w:rsid w:val="00C45694"/>
    <w:rsid w:val="00C64AA0"/>
    <w:rsid w:val="00C75322"/>
    <w:rsid w:val="00C8524B"/>
    <w:rsid w:val="00C85A96"/>
    <w:rsid w:val="00C868E3"/>
    <w:rsid w:val="00C86A9C"/>
    <w:rsid w:val="00C86EB6"/>
    <w:rsid w:val="00C95C55"/>
    <w:rsid w:val="00CB4A09"/>
    <w:rsid w:val="00CC05BD"/>
    <w:rsid w:val="00CC4020"/>
    <w:rsid w:val="00CC4ED2"/>
    <w:rsid w:val="00CC60B9"/>
    <w:rsid w:val="00CD7376"/>
    <w:rsid w:val="00CE1B3F"/>
    <w:rsid w:val="00CE225D"/>
    <w:rsid w:val="00CE79EF"/>
    <w:rsid w:val="00CF6E11"/>
    <w:rsid w:val="00CF73EC"/>
    <w:rsid w:val="00D0484E"/>
    <w:rsid w:val="00D05579"/>
    <w:rsid w:val="00D05D72"/>
    <w:rsid w:val="00D070AC"/>
    <w:rsid w:val="00D0748C"/>
    <w:rsid w:val="00D10516"/>
    <w:rsid w:val="00D11520"/>
    <w:rsid w:val="00D17151"/>
    <w:rsid w:val="00D20381"/>
    <w:rsid w:val="00D23467"/>
    <w:rsid w:val="00D2376C"/>
    <w:rsid w:val="00D30D0F"/>
    <w:rsid w:val="00D31581"/>
    <w:rsid w:val="00D31C35"/>
    <w:rsid w:val="00D43BD9"/>
    <w:rsid w:val="00D44A8A"/>
    <w:rsid w:val="00D55690"/>
    <w:rsid w:val="00D601C5"/>
    <w:rsid w:val="00D615B0"/>
    <w:rsid w:val="00D622C1"/>
    <w:rsid w:val="00D761A7"/>
    <w:rsid w:val="00D762B1"/>
    <w:rsid w:val="00D764DF"/>
    <w:rsid w:val="00D775E6"/>
    <w:rsid w:val="00D807AE"/>
    <w:rsid w:val="00D87B8E"/>
    <w:rsid w:val="00D939E5"/>
    <w:rsid w:val="00DA1E2C"/>
    <w:rsid w:val="00DB457E"/>
    <w:rsid w:val="00DD0804"/>
    <w:rsid w:val="00DD6FA8"/>
    <w:rsid w:val="00DE10A2"/>
    <w:rsid w:val="00DE6B69"/>
    <w:rsid w:val="00DF4808"/>
    <w:rsid w:val="00DF485D"/>
    <w:rsid w:val="00DF67CF"/>
    <w:rsid w:val="00E10169"/>
    <w:rsid w:val="00E11C7F"/>
    <w:rsid w:val="00E12876"/>
    <w:rsid w:val="00E12C4D"/>
    <w:rsid w:val="00E13151"/>
    <w:rsid w:val="00E17287"/>
    <w:rsid w:val="00E218A1"/>
    <w:rsid w:val="00E25731"/>
    <w:rsid w:val="00E25DB1"/>
    <w:rsid w:val="00E31786"/>
    <w:rsid w:val="00E33132"/>
    <w:rsid w:val="00E33907"/>
    <w:rsid w:val="00E452B7"/>
    <w:rsid w:val="00E53456"/>
    <w:rsid w:val="00E53B7D"/>
    <w:rsid w:val="00E62214"/>
    <w:rsid w:val="00E664ED"/>
    <w:rsid w:val="00E72DC8"/>
    <w:rsid w:val="00E76024"/>
    <w:rsid w:val="00E869EB"/>
    <w:rsid w:val="00E9058E"/>
    <w:rsid w:val="00EA47FF"/>
    <w:rsid w:val="00EA5DDF"/>
    <w:rsid w:val="00EA5EAB"/>
    <w:rsid w:val="00EC65F1"/>
    <w:rsid w:val="00ED667C"/>
    <w:rsid w:val="00EE38CD"/>
    <w:rsid w:val="00EE620D"/>
    <w:rsid w:val="00F02A7C"/>
    <w:rsid w:val="00F02CCD"/>
    <w:rsid w:val="00F0379A"/>
    <w:rsid w:val="00F07502"/>
    <w:rsid w:val="00F1017E"/>
    <w:rsid w:val="00F12C99"/>
    <w:rsid w:val="00F215D8"/>
    <w:rsid w:val="00F26003"/>
    <w:rsid w:val="00F36D7C"/>
    <w:rsid w:val="00F5343C"/>
    <w:rsid w:val="00F55211"/>
    <w:rsid w:val="00F60C88"/>
    <w:rsid w:val="00F6721B"/>
    <w:rsid w:val="00F7715C"/>
    <w:rsid w:val="00F822C9"/>
    <w:rsid w:val="00F87F7E"/>
    <w:rsid w:val="00F93286"/>
    <w:rsid w:val="00F9659C"/>
    <w:rsid w:val="00FA0913"/>
    <w:rsid w:val="00FA4D60"/>
    <w:rsid w:val="00FA7339"/>
    <w:rsid w:val="00FC0C89"/>
    <w:rsid w:val="00FC242F"/>
    <w:rsid w:val="00FC3100"/>
    <w:rsid w:val="00FC38F8"/>
    <w:rsid w:val="00FC6C67"/>
    <w:rsid w:val="00FD3113"/>
    <w:rsid w:val="00FE6B92"/>
    <w:rsid w:val="00FE70BA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EBC1511E-FC11-4245-8FAA-77BC1327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hu-HU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2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2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2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2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32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32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32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D31C35"/>
    <w:pPr>
      <w:numPr>
        <w:numId w:val="1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D31C35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722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B722F"/>
    <w:pPr>
      <w:spacing w:after="0"/>
    </w:pPr>
  </w:style>
  <w:style w:type="paragraph" w:styleId="ListBullet2">
    <w:name w:val="List Bullet 2"/>
    <w:basedOn w:val="Normal"/>
    <w:uiPriority w:val="99"/>
    <w:semiHidden/>
    <w:unhideWhenUsed/>
    <w:rsid w:val="002B722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B722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B722F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2B722F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B722F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B722F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B722F"/>
    <w:pPr>
      <w:numPr>
        <w:numId w:val="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5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188"/>
    <w:rPr>
      <w:rFonts w:ascii="Times New Roman" w:hAnsi="Times New Roman" w:cs="Times New Roman"/>
      <w:sz w:val="20"/>
      <w:szCs w:val="20"/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188"/>
    <w:rPr>
      <w:rFonts w:ascii="Times New Roman" w:hAnsi="Times New Roman" w:cs="Times New Roman"/>
      <w:b/>
      <w:bCs/>
      <w:sz w:val="20"/>
      <w:szCs w:val="20"/>
      <w:lang w:val="hu-H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5188"/>
    <w:rPr>
      <w:color w:val="605E5C"/>
      <w:shd w:val="clear" w:color="auto" w:fill="E1DFDD"/>
    </w:rPr>
  </w:style>
  <w:style w:type="paragraph" w:customStyle="1" w:styleId="Bnorma">
    <w:name w:val="Bnorma"/>
    <w:basedOn w:val="Statut"/>
    <w:rsid w:val="006F35B3"/>
  </w:style>
  <w:style w:type="paragraph" w:styleId="Revision">
    <w:name w:val="Revision"/>
    <w:hidden/>
    <w:uiPriority w:val="99"/>
    <w:semiHidden/>
    <w:rsid w:val="00C063A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9B28B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868E3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D615B0"/>
    <w:rPr>
      <w:rFonts w:ascii="Times New Roman" w:hAnsi="Times New Roman" w:cs="Times New Roman"/>
      <w:sz w:val="24"/>
      <w:lang w:val="hu-HU"/>
    </w:rPr>
  </w:style>
  <w:style w:type="character" w:customStyle="1" w:styleId="FooterChar">
    <w:name w:val="Footer Char"/>
    <w:basedOn w:val="DefaultParagraphFont"/>
    <w:link w:val="Footer"/>
    <w:uiPriority w:val="99"/>
    <w:rsid w:val="00D615B0"/>
    <w:rPr>
      <w:rFonts w:ascii="Times New Roman" w:hAnsi="Times New Roman" w:cs="Times New Roman"/>
      <w:sz w:val="24"/>
      <w:lang w:val="hu-HU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shd w:val="clear" w:color="auto" w:fill="auto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D615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D615B0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D615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25"/>
      </w:numPr>
    </w:pPr>
  </w:style>
  <w:style w:type="paragraph" w:customStyle="1" w:styleId="Tiret1">
    <w:name w:val="Tiret 1"/>
    <w:basedOn w:val="Point1"/>
    <w:pPr>
      <w:numPr>
        <w:numId w:val="26"/>
      </w:numPr>
    </w:pPr>
  </w:style>
  <w:style w:type="paragraph" w:customStyle="1" w:styleId="Tiret2">
    <w:name w:val="Tiret 2"/>
    <w:basedOn w:val="Point2"/>
    <w:pPr>
      <w:numPr>
        <w:numId w:val="27"/>
      </w:numPr>
    </w:pPr>
  </w:style>
  <w:style w:type="paragraph" w:customStyle="1" w:styleId="Tiret3">
    <w:name w:val="Tiret 3"/>
    <w:basedOn w:val="Point3"/>
    <w:pPr>
      <w:numPr>
        <w:numId w:val="28"/>
      </w:numPr>
    </w:pPr>
  </w:style>
  <w:style w:type="paragraph" w:customStyle="1" w:styleId="Tiret4">
    <w:name w:val="Tiret 4"/>
    <w:basedOn w:val="Point4"/>
    <w:pPr>
      <w:numPr>
        <w:numId w:val="29"/>
      </w:numPr>
    </w:pPr>
  </w:style>
  <w:style w:type="paragraph" w:customStyle="1" w:styleId="Tiret5">
    <w:name w:val="Tiret 5"/>
    <w:basedOn w:val="Point5"/>
    <w:pPr>
      <w:numPr>
        <w:numId w:val="30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31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31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31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31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31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31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31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3"/>
      </w:numPr>
    </w:pPr>
  </w:style>
  <w:style w:type="paragraph" w:customStyle="1" w:styleId="Point1number">
    <w:name w:val="Point 1 (number)"/>
    <w:basedOn w:val="Normal"/>
    <w:pPr>
      <w:numPr>
        <w:ilvl w:val="2"/>
        <w:numId w:val="33"/>
      </w:numPr>
    </w:pPr>
  </w:style>
  <w:style w:type="paragraph" w:customStyle="1" w:styleId="Point2number">
    <w:name w:val="Point 2 (number)"/>
    <w:basedOn w:val="Normal"/>
    <w:pPr>
      <w:numPr>
        <w:ilvl w:val="4"/>
        <w:numId w:val="33"/>
      </w:numPr>
    </w:pPr>
  </w:style>
  <w:style w:type="paragraph" w:customStyle="1" w:styleId="Point3number">
    <w:name w:val="Point 3 (number)"/>
    <w:basedOn w:val="Normal"/>
    <w:pPr>
      <w:numPr>
        <w:ilvl w:val="6"/>
        <w:numId w:val="33"/>
      </w:numPr>
    </w:pPr>
  </w:style>
  <w:style w:type="paragraph" w:customStyle="1" w:styleId="Point0letter">
    <w:name w:val="Point 0 (letter)"/>
    <w:basedOn w:val="Normal"/>
    <w:pPr>
      <w:numPr>
        <w:ilvl w:val="1"/>
        <w:numId w:val="33"/>
      </w:numPr>
    </w:pPr>
  </w:style>
  <w:style w:type="paragraph" w:customStyle="1" w:styleId="Point1letter">
    <w:name w:val="Point 1 (letter)"/>
    <w:basedOn w:val="Normal"/>
    <w:pPr>
      <w:numPr>
        <w:ilvl w:val="3"/>
        <w:numId w:val="33"/>
      </w:numPr>
    </w:pPr>
  </w:style>
  <w:style w:type="paragraph" w:customStyle="1" w:styleId="Point2letter">
    <w:name w:val="Point 2 (letter)"/>
    <w:basedOn w:val="Normal"/>
    <w:pPr>
      <w:numPr>
        <w:ilvl w:val="5"/>
        <w:numId w:val="33"/>
      </w:numPr>
    </w:pPr>
  </w:style>
  <w:style w:type="paragraph" w:customStyle="1" w:styleId="Point3letter">
    <w:name w:val="Point 3 (letter)"/>
    <w:basedOn w:val="Normal"/>
    <w:pPr>
      <w:numPr>
        <w:ilvl w:val="7"/>
        <w:numId w:val="33"/>
      </w:numPr>
    </w:pPr>
  </w:style>
  <w:style w:type="paragraph" w:customStyle="1" w:styleId="Point4letter">
    <w:name w:val="Point 4 (letter)"/>
    <w:basedOn w:val="Normal"/>
    <w:pPr>
      <w:numPr>
        <w:ilvl w:val="8"/>
        <w:numId w:val="33"/>
      </w:numPr>
    </w:pPr>
  </w:style>
  <w:style w:type="paragraph" w:customStyle="1" w:styleId="Bullet0">
    <w:name w:val="Bullet 0"/>
    <w:basedOn w:val="Normal"/>
    <w:pPr>
      <w:numPr>
        <w:numId w:val="34"/>
      </w:numPr>
    </w:pPr>
  </w:style>
  <w:style w:type="paragraph" w:customStyle="1" w:styleId="Bullet1">
    <w:name w:val="Bullet 1"/>
    <w:basedOn w:val="Normal"/>
    <w:pPr>
      <w:numPr>
        <w:numId w:val="35"/>
      </w:numPr>
    </w:pPr>
  </w:style>
  <w:style w:type="paragraph" w:customStyle="1" w:styleId="Bullet2">
    <w:name w:val="Bullet 2"/>
    <w:basedOn w:val="Normal"/>
    <w:pPr>
      <w:numPr>
        <w:numId w:val="36"/>
      </w:numPr>
    </w:pPr>
  </w:style>
  <w:style w:type="paragraph" w:customStyle="1" w:styleId="Bullet3">
    <w:name w:val="Bullet 3"/>
    <w:basedOn w:val="Normal"/>
    <w:pPr>
      <w:numPr>
        <w:numId w:val="37"/>
      </w:numPr>
    </w:pPr>
  </w:style>
  <w:style w:type="paragraph" w:customStyle="1" w:styleId="Bullet4">
    <w:name w:val="Bullet 4"/>
    <w:basedOn w:val="Normal"/>
    <w:pPr>
      <w:numPr>
        <w:numId w:val="38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9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E664ED"/>
    <w:pPr>
      <w:spacing w:before="360" w:after="24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E664ED"/>
    <w:pPr>
      <w:spacing w:after="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"/>
    <w:rsid w:val="00E664ED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Rfrencecroise"/>
    <w:rsid w:val="00E664ED"/>
    <w:pPr>
      <w:spacing w:before="360" w:after="24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615B0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"/>
    <w:rsid w:val="00D615B0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D615B0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"/>
    <w:rsid w:val="00D615B0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6.xml"/></Relationships>
</file>

<file path=word/_rels/footnotes.xml.rels><?xml version='1.0' encoding='UTF-8' standalone='yes'?>
<Relationships xmlns="http://schemas.openxmlformats.org/package/2006/relationships"><Relationship Id="rId3" Type="http://schemas.openxmlformats.org/officeDocument/2006/relationships/hyperlink" Target="http://data.europa.eu/eli/reg/2024/2509/oj" TargetMode="External"/><Relationship Id="rId2" Type="http://schemas.openxmlformats.org/officeDocument/2006/relationships/hyperlink" Target="http://data.europa.eu/eli/reg/2024/1263/oj" TargetMode="External"/><Relationship Id="rId1" Type="http://schemas.openxmlformats.org/officeDocument/2006/relationships/hyperlink" Target="http://data.europa.eu/eli/reg/2025/1106/oj" TargetMode="External"/><Relationship Id="rId4" Type="http://schemas.openxmlformats.org/officeDocument/2006/relationships/hyperlink" Target="http://data.europa.eu/eli/reg/2020/2092/oj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C27A92ABE24488EA583CFD08DCF90" ma:contentTypeVersion="2" ma:contentTypeDescription="Create a new document." ma:contentTypeScope="" ma:versionID="d582813bc283a2b8186060a620db32cb">
  <xsd:schema xmlns:xsd="http://www.w3.org/2001/XMLSchema" xmlns:xs="http://www.w3.org/2001/XMLSchema" xmlns:p="http://schemas.microsoft.com/office/2006/metadata/properties" xmlns:ns2="a20ec63f-8aa4-4fd8-bfc8-ccb9f9a0dbe7" targetNamespace="http://schemas.microsoft.com/office/2006/metadata/properties" ma:root="true" ma:fieldsID="884729f5c59b25300f15593d03b75cb5" ns2:_="">
    <xsd:import namespace="a20ec63f-8aa4-4fd8-bfc8-ccb9f9a0db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ec63f-8aa4-4fd8-bfc8-ccb9f9a0db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EEE0-4B25-43C9-A938-EE722F0E6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ec63f-8aa4-4fd8-bfc8-ccb9f9a0d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22D47-2D93-4DA1-A24F-4A111EDE6F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8827F1-ACB5-42E3-8BF3-FEED724BF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E8C6D8-9657-4886-BAF3-98840619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1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dcterms:created xsi:type="dcterms:W3CDTF">2026-01-23T13:15:00Z</dcterms:created>
  <dcterms:modified xsi:type="dcterms:W3CDTF">2026-02-02T14:26:00Z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8.0.25.0</vt:lpwstr>
  </property>
  <property fmtid="{D5CDD505-2E9C-101B-9397-08002B2CF9AE}" pid="4" name="Last edited using">
    <vt:lpwstr>LW 9.2, Build 20250828</vt:lpwstr>
  </property>
  <property fmtid="{D5CDD505-2E9C-101B-9397-08002B2CF9AE}" pid="5" name="Created using">
    <vt:lpwstr>LW 9.2, Build 20250828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SJ-020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2025-11-28T15:51:11Z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ab4a71aa-8701-4965-8615-9596dba371c2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MSIP_Label_6bd9ddd1-4d20-43f6-abfa-fc3c07406f94_Tag">
    <vt:lpwstr>10, 3, 0, 1</vt:lpwstr>
  </property>
  <property fmtid="{D5CDD505-2E9C-101B-9397-08002B2CF9AE}" pid="18" name="ContentTypeId">
    <vt:lpwstr>0x010100192C27A92ABE24488EA583CFD08DCF90</vt:lpwstr>
  </property>
  <property fmtid="{D5CDD505-2E9C-101B-9397-08002B2CF9AE}" pid="19" name="DQCStatus">
    <vt:lpwstr>Green (DQC version 03)</vt:lpwstr>
  </property>
</Properties>
</file>