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21228" w14:textId="71E360E9" w:rsidR="001D2041" w:rsidRPr="006F7F1A" w:rsidRDefault="002A2434" w:rsidP="002A2434">
      <w:pPr>
        <w:pStyle w:val="Pagedecouverture"/>
        <w:rPr>
          <w:noProof/>
        </w:rPr>
      </w:pPr>
      <w:bookmarkStart w:id="0" w:name="LW_BM_COVERPAGE"/>
      <w:r>
        <w:rPr>
          <w:noProof/>
        </w:rPr>
        <w:pict w14:anchorId="227B6A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5A5191-5BC0-43A2-AA01-748BCBD3A3CB" style="width:455.25pt;height:300pt">
            <v:imagedata r:id="rId11" o:title=""/>
          </v:shape>
        </w:pict>
      </w:r>
    </w:p>
    <w:bookmarkEnd w:id="0"/>
    <w:p w14:paraId="4E7F600C" w14:textId="77777777" w:rsidR="001D2041" w:rsidRPr="006F7F1A" w:rsidRDefault="001D2041" w:rsidP="00F21377">
      <w:pPr>
        <w:rPr>
          <w:rFonts w:ascii="Times New Roman" w:hAnsi="Times New Roman" w:cs="Times New Roman"/>
          <w:noProof/>
        </w:rPr>
        <w:sectPr w:rsidR="001D2041" w:rsidRPr="006F7F1A" w:rsidSect="002A243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AE698A4" w14:textId="5759974A" w:rsidR="0047550B" w:rsidRPr="006F7F1A" w:rsidRDefault="0047550B">
      <w:pPr>
        <w:spacing w:after="0" w:line="240" w:lineRule="auto"/>
        <w:rPr>
          <w:rFonts w:ascii="Times New Roman" w:hAnsi="Times New Roman" w:cs="Times New Roman"/>
          <w:noProof/>
        </w:rPr>
      </w:pPr>
      <w:bookmarkStart w:id="1" w:name="_GoBack"/>
      <w:bookmarkEnd w:id="1"/>
      <w:r>
        <w:rPr>
          <w:noProof/>
        </w:rPr>
        <w:br w:type="page"/>
      </w:r>
    </w:p>
    <w:p w14:paraId="4B7A8ABE" w14:textId="77777777" w:rsidR="00BF6E0E" w:rsidRPr="006F7F1A" w:rsidRDefault="003E70D4" w:rsidP="00F60D5A">
      <w:pPr>
        <w:spacing w:line="240" w:lineRule="auto"/>
        <w:jc w:val="both"/>
        <w:rPr>
          <w:rFonts w:ascii="Times New Roman" w:hAnsi="Times New Roman" w:cs="Times New Roman"/>
          <w:b/>
          <w:bCs/>
          <w:noProof/>
          <w:sz w:val="24"/>
          <w:szCs w:val="24"/>
        </w:rPr>
      </w:pPr>
      <w:r>
        <w:rPr>
          <w:rFonts w:ascii="Times New Roman" w:hAnsi="Times New Roman"/>
          <w:b/>
          <w:noProof/>
          <w:sz w:val="24"/>
        </w:rPr>
        <w:lastRenderedPageBreak/>
        <w:t>BEVEZETÉS</w:t>
      </w:r>
      <w:r>
        <w:rPr>
          <w:rFonts w:ascii="Times New Roman" w:hAnsi="Times New Roman"/>
          <w:noProof/>
          <w:sz w:val="24"/>
        </w:rPr>
        <w:t xml:space="preserve"> </w:t>
      </w:r>
    </w:p>
    <w:p w14:paraId="37297995" w14:textId="1DBB0DEB" w:rsidR="00BF6E0E" w:rsidRPr="006107F8" w:rsidRDefault="003E70D4" w:rsidP="00F60D5A">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Az Európai Unió (a továbbiakban: EU) kiáll az egység, a demokrácia és az emberi jogok tiszteletben tartása mellett. Amint azt az alapító szerződések is elismerik, az Unió lakosságának sokszínűsége az EU egyik legnagyobb erőssége. Az EU </w:t>
      </w:r>
      <w:hyperlink r:id="rId18" w:history="1">
        <w:r>
          <w:rPr>
            <w:rStyle w:val="Hyperlink"/>
            <w:rFonts w:ascii="Times New Roman" w:hAnsi="Times New Roman"/>
            <w:noProof/>
            <w:sz w:val="24"/>
          </w:rPr>
          <w:t>az egyenlőség Uniója</w:t>
        </w:r>
      </w:hyperlink>
      <w:r>
        <w:rPr>
          <w:rFonts w:ascii="Times New Roman" w:hAnsi="Times New Roman"/>
          <w:noProof/>
          <w:color w:val="000000" w:themeColor="text1"/>
          <w:sz w:val="24"/>
        </w:rPr>
        <w:t>, amely „az emberi méltóság tiszteletben tartása, a szabadság, a demokrácia, az egyenlőség, a jogállamiság, valamint az emberi jogok – ideértve a kisebbségekhez tartozó személyek jogait – tiszteletben tartásának értékein alapul”</w:t>
      </w:r>
      <w:r>
        <w:rPr>
          <w:rStyle w:val="FootnoteReference"/>
          <w:rFonts w:ascii="Times New Roman" w:eastAsia="Times New Roman" w:hAnsi="Times New Roman" w:cs="Times New Roman"/>
          <w:noProof/>
          <w:color w:val="000000" w:themeColor="text1"/>
          <w:sz w:val="24"/>
          <w:szCs w:val="24"/>
          <w:lang w:val="de-DE"/>
        </w:rPr>
        <w:footnoteReference w:id="2"/>
      </w:r>
      <w:r>
        <w:rPr>
          <w:rFonts w:ascii="Times New Roman" w:hAnsi="Times New Roman"/>
          <w:noProof/>
          <w:color w:val="000000" w:themeColor="text1"/>
          <w:sz w:val="24"/>
        </w:rPr>
        <w:t xml:space="preserve">. Az uniós jogrend ezen alapjai </w:t>
      </w:r>
      <w:r>
        <w:rPr>
          <w:rFonts w:ascii="Times New Roman" w:hAnsi="Times New Roman"/>
          <w:b/>
          <w:noProof/>
          <w:color w:val="000000" w:themeColor="text1"/>
          <w:sz w:val="24"/>
        </w:rPr>
        <w:t>rasszizmustól mentes környezetet feltételeznek, ahol mindenki boldogulhat és hozzájárulhat társadalma jólétéhez.</w:t>
      </w:r>
      <w:r>
        <w:rPr>
          <w:rFonts w:ascii="Times New Roman" w:hAnsi="Times New Roman"/>
          <w:noProof/>
          <w:color w:val="000000" w:themeColor="text1"/>
          <w:sz w:val="24"/>
        </w:rPr>
        <w:t xml:space="preserve"> Ha ezek az értékek veszélybe kerülnek, az EU kiáll polgárai, valamint azok jogai és szabadságai mellett. Az EU-ban elfogadhatatlan a rasszizmus és a faji vagy etnikai származáson alapuló megkülönböztetés bármilyen formája.</w:t>
      </w:r>
    </w:p>
    <w:p w14:paraId="4D2A2BCF" w14:textId="74FBE094" w:rsidR="00BF6E0E" w:rsidRPr="006107F8" w:rsidRDefault="003E70D4" w:rsidP="00F60D5A">
      <w:pPr>
        <w:spacing w:line="240" w:lineRule="auto"/>
        <w:jc w:val="both"/>
        <w:rPr>
          <w:rFonts w:ascii="Times New Roman" w:hAnsi="Times New Roman" w:cs="Times New Roman"/>
          <w:noProof/>
          <w:sz w:val="24"/>
          <w:szCs w:val="24"/>
        </w:rPr>
      </w:pPr>
      <w:r>
        <w:rPr>
          <w:rFonts w:ascii="Times New Roman" w:hAnsi="Times New Roman"/>
          <w:noProof/>
          <w:sz w:val="24"/>
        </w:rPr>
        <w:t>2020-ban a Bizottság elfogadta</w:t>
      </w:r>
      <w:r>
        <w:rPr>
          <w:noProof/>
        </w:rPr>
        <w:t xml:space="preserve"> </w:t>
      </w:r>
      <w:hyperlink r:id="rId19" w:history="1">
        <w:r>
          <w:rPr>
            <w:rStyle w:val="Hyperlink"/>
            <w:rFonts w:ascii="Times New Roman" w:hAnsi="Times New Roman"/>
            <w:noProof/>
            <w:sz w:val="24"/>
          </w:rPr>
          <w:t>a 2020–2025-ös időszakra vonatkozó, rasszizmus elleni uniós cselekvési tervet</w:t>
        </w:r>
      </w:hyperlink>
      <w:r>
        <w:rPr>
          <w:rFonts w:ascii="Times New Roman" w:hAnsi="Times New Roman"/>
          <w:noProof/>
          <w:sz w:val="24"/>
        </w:rPr>
        <w:t>, amely ambiciózus új szakaszt jelent a rasszizmus elleni átfogó küzdelemre irányuló uniós erőfeszítésekben. A cselekvési terv úttörő kezdeményezésként hozzájárult ahhoz, hogy az EU-ban mindenki védelemben részesüljön a rasszizmussal és a faji megkülönböztetéssel szemben. Számos uniós, nemzeti, regionális és helyi szinten végrehajtandó, rasszizmus elleni intézkedést javasolt, beleértve a faji megkülönböztetéssel szembeni védelem megerősítésére irányuló jogalkotási kezdeményezéseket</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és a rasszizmus elleni civil társadalmi szervezetek fokozott támogatását </w:t>
      </w:r>
      <w:hyperlink r:id="rId20" w:history="1">
        <w:r>
          <w:rPr>
            <w:rStyle w:val="Hyperlink"/>
            <w:rFonts w:ascii="Times New Roman" w:hAnsi="Times New Roman"/>
            <w:noProof/>
            <w:sz w:val="24"/>
          </w:rPr>
          <w:t>a Polgárok, egyenlőség, jogok és értékek programon</w:t>
        </w:r>
      </w:hyperlink>
      <w:r>
        <w:rPr>
          <w:rFonts w:ascii="Times New Roman" w:hAnsi="Times New Roman"/>
          <w:noProof/>
          <w:sz w:val="24"/>
        </w:rPr>
        <w:t xml:space="preserve"> keresztül.</w:t>
      </w:r>
    </w:p>
    <w:p w14:paraId="65DF8681" w14:textId="239D170A" w:rsidR="00BF6E0E" w:rsidRPr="006107F8" w:rsidRDefault="003E70D4" w:rsidP="00F60D5A">
      <w:pPr>
        <w:spacing w:line="240" w:lineRule="auto"/>
        <w:jc w:val="both"/>
        <w:rPr>
          <w:rFonts w:ascii="Times New Roman" w:hAnsi="Times New Roman" w:cs="Times New Roman"/>
          <w:noProof/>
          <w:sz w:val="24"/>
          <w:szCs w:val="24"/>
        </w:rPr>
      </w:pPr>
      <w:r>
        <w:rPr>
          <w:rFonts w:ascii="Times New Roman" w:hAnsi="Times New Roman"/>
          <w:noProof/>
          <w:sz w:val="24"/>
        </w:rPr>
        <w:t xml:space="preserve">A Bizottság emellett folytatta a rasszizmus elleni szilárd keret kiépítésére irányuló munkát azáltal, hogy megerősítette partnerségeit, kinevezte </w:t>
      </w:r>
      <w:hyperlink r:id="rId21" w:anchor=":~:text=In%20addition%2C%20the%20coordinator%20joins,ever%20nominated%20Coo">
        <w:r>
          <w:rPr>
            <w:rStyle w:val="Hyperlink"/>
            <w:rFonts w:ascii="Times New Roman" w:hAnsi="Times New Roman"/>
            <w:noProof/>
            <w:sz w:val="24"/>
          </w:rPr>
          <w:t>a Bizottság rasszizmus elleni küzdelemmel foglalkozó első koordinátorát</w:t>
        </w:r>
      </w:hyperlink>
      <w:r>
        <w:rPr>
          <w:rFonts w:ascii="Times New Roman" w:hAnsi="Times New Roman"/>
          <w:noProof/>
          <w:sz w:val="24"/>
        </w:rPr>
        <w:t xml:space="preserve">, valamint párbeszédet indított a civil társadalmi szervezetekkel és a tagállami szakértőkkel. A cselekvési terv eredményeként </w:t>
      </w:r>
      <w:r>
        <w:rPr>
          <w:rFonts w:ascii="Times New Roman" w:hAnsi="Times New Roman"/>
          <w:b/>
          <w:noProof/>
          <w:sz w:val="24"/>
        </w:rPr>
        <w:t>14 tagállam fogadott el önálló nemzeti vagy regionális cselekvési terveket a rasszizmus elleni küzdelem céljából</w:t>
      </w:r>
      <w:r>
        <w:rPr>
          <w:rFonts w:ascii="Times New Roman" w:hAnsi="Times New Roman"/>
          <w:noProof/>
          <w:sz w:val="24"/>
        </w:rPr>
        <w:t xml:space="preserve">. Amint arra </w:t>
      </w:r>
      <w:hyperlink r:id="rId22">
        <w:r>
          <w:rPr>
            <w:rStyle w:val="Hyperlink"/>
            <w:rFonts w:ascii="Times New Roman" w:hAnsi="Times New Roman"/>
            <w:noProof/>
            <w:sz w:val="24"/>
          </w:rPr>
          <w:t>a rasszizmus elleni uniós cselekvési terv végrehajtásáról szóló jelentés</w:t>
        </w:r>
      </w:hyperlink>
      <w:r>
        <w:rPr>
          <w:rFonts w:ascii="Times New Roman" w:hAnsi="Times New Roman"/>
          <w:noProof/>
          <w:sz w:val="24"/>
        </w:rPr>
        <w:t xml:space="preserve"> is rávilágít, a terv elfogadása óta jelentős előrelépés történt: kiemelendő a strukturális rasszizmus kezelése terén folytatott munka, a hátrányos megkülönböztetés különböző formáit integráló politikai döntéshozatal interszekcionális megközelítésének elfogadása, valamint a rasszizmusellenes szempontok több szakpolitikai területbe, például az oktatási, foglalkoztatási és egészségügyi politikákba való beépítése.</w:t>
      </w:r>
    </w:p>
    <w:p w14:paraId="04F32F12" w14:textId="243A588D" w:rsidR="00BF6E0E" w:rsidRPr="006107F8" w:rsidRDefault="003E70D4" w:rsidP="00F60D5A">
      <w:pPr>
        <w:spacing w:line="240" w:lineRule="auto"/>
        <w:jc w:val="both"/>
        <w:rPr>
          <w:rFonts w:ascii="Times New Roman" w:hAnsi="Times New Roman" w:cs="Times New Roman"/>
          <w:noProof/>
          <w:sz w:val="24"/>
          <w:szCs w:val="24"/>
        </w:rPr>
      </w:pPr>
      <w:r>
        <w:rPr>
          <w:rFonts w:ascii="Times New Roman" w:hAnsi="Times New Roman"/>
          <w:noProof/>
          <w:sz w:val="24"/>
        </w:rPr>
        <w:t xml:space="preserve">A 2020–2025-ös időszakra vonatkozó, rasszizmus elleni uniós cselekvési terv hozzájárult ahhoz, hogy a rasszizmus problémája a pluralizmusról, az egyenlőségről és a megkülönböztetésmentességről szóló nyilvános viták középpontjába kerüljön, és elősegítette annak tudatosítását, hogy az milyen fenyegetést jelent </w:t>
      </w:r>
      <w:hyperlink r:id="rId23" w:history="1">
        <w:r>
          <w:rPr>
            <w:rStyle w:val="Hyperlink"/>
            <w:rFonts w:ascii="Times New Roman" w:hAnsi="Times New Roman"/>
            <w:noProof/>
            <w:sz w:val="24"/>
          </w:rPr>
          <w:t>az Európai Unióról szóló szerződés (EUSZ)</w:t>
        </w:r>
      </w:hyperlink>
      <w:r>
        <w:rPr>
          <w:rFonts w:ascii="Times New Roman" w:hAnsi="Times New Roman"/>
          <w:noProof/>
          <w:sz w:val="24"/>
        </w:rPr>
        <w:t xml:space="preserve"> 2. cikkében foglalt uniós értékekre nézve. Ennél azonban még többet kell tennünk. </w:t>
      </w:r>
      <w:r>
        <w:rPr>
          <w:rFonts w:ascii="Times New Roman" w:hAnsi="Times New Roman"/>
          <w:b/>
          <w:noProof/>
          <w:sz w:val="24"/>
        </w:rPr>
        <w:t>Egy 2023-ban végzett felmérés szerint az európaiak közel kétharmada továbbra is úgy véli, hogy országában széles körben elterjedt</w:t>
      </w:r>
      <w:r>
        <w:rPr>
          <w:rFonts w:ascii="Times New Roman" w:hAnsi="Times New Roman"/>
          <w:noProof/>
          <w:sz w:val="24"/>
        </w:rPr>
        <w:t xml:space="preserve"> a bőrszínen (61 %) – 2 százalékpontos emelkedés 2019-hez képest – és a roma származáson (65 %) – 4 százalékpontos emelkedés ugyanazon évhez képest – alapuló </w:t>
      </w:r>
      <w:r>
        <w:rPr>
          <w:rFonts w:ascii="Times New Roman" w:hAnsi="Times New Roman"/>
          <w:b/>
          <w:bCs/>
          <w:noProof/>
          <w:sz w:val="24"/>
        </w:rPr>
        <w:t>faji megkülönböztetés</w:t>
      </w:r>
      <w:r>
        <w:rPr>
          <w:rStyle w:val="FootnoteReference"/>
          <w:rFonts w:ascii="Times New Roman" w:hAnsi="Times New Roman" w:cs="Times New Roman"/>
          <w:noProof/>
          <w:sz w:val="24"/>
        </w:rPr>
        <w:footnoteReference w:id="4"/>
      </w:r>
      <w:r>
        <w:rPr>
          <w:rFonts w:ascii="Times New Roman" w:hAnsi="Times New Roman"/>
          <w:noProof/>
          <w:sz w:val="24"/>
        </w:rPr>
        <w:t>.</w:t>
      </w:r>
    </w:p>
    <w:p w14:paraId="19F9664E" w14:textId="2DF2042D" w:rsidR="009E7B79" w:rsidRPr="006107F8" w:rsidRDefault="003E70D4" w:rsidP="00F60D5A">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A múltbeli eredményekre építve és elismerve a még elvégzendő munkát, Ursula von der Leyen elnök </w:t>
      </w:r>
      <w:hyperlink r:id="rId24" w:history="1">
        <w:r>
          <w:rPr>
            <w:rStyle w:val="Hyperlink"/>
            <w:rFonts w:ascii="Times New Roman" w:hAnsi="Times New Roman"/>
            <w:noProof/>
            <w:sz w:val="24"/>
          </w:rPr>
          <w:t>a 2024–2029-es időszakra vonatkozó politikai iránymutatásában</w:t>
        </w:r>
      </w:hyperlink>
      <w:r>
        <w:rPr>
          <w:rFonts w:ascii="Times New Roman" w:hAnsi="Times New Roman"/>
          <w:noProof/>
          <w:sz w:val="24"/>
        </w:rPr>
        <w:t xml:space="preserve"> bejelentette az </w:t>
      </w:r>
      <w:r>
        <w:rPr>
          <w:rFonts w:ascii="Times New Roman" w:hAnsi="Times New Roman"/>
          <w:b/>
          <w:noProof/>
          <w:sz w:val="24"/>
        </w:rPr>
        <w:t>EU rasszizmus elleni stratégiáját</w:t>
      </w:r>
      <w:r>
        <w:rPr>
          <w:rFonts w:ascii="Times New Roman" w:hAnsi="Times New Roman"/>
          <w:noProof/>
          <w:sz w:val="24"/>
        </w:rPr>
        <w:t xml:space="preserve">. </w:t>
      </w:r>
      <w:r>
        <w:rPr>
          <w:rFonts w:ascii="Times New Roman" w:hAnsi="Times New Roman"/>
          <w:noProof/>
          <w:color w:val="000000" w:themeColor="text1"/>
          <w:sz w:val="24"/>
        </w:rPr>
        <w:t xml:space="preserve">Ez a kezdeményezés tükrözi </w:t>
      </w:r>
      <w:r>
        <w:rPr>
          <w:rFonts w:ascii="Times New Roman" w:hAnsi="Times New Roman"/>
          <w:b/>
          <w:noProof/>
          <w:color w:val="000000" w:themeColor="text1"/>
          <w:sz w:val="24"/>
        </w:rPr>
        <w:t>az Európai Parlament arra irányuló felhívását, hogy ezt az uniós cselekvési tervet 2025 után is folytatni kell, és egy teljes értékű uniós stratégiává</w:t>
      </w:r>
      <w:r>
        <w:rPr>
          <w:rFonts w:ascii="Times New Roman" w:hAnsi="Times New Roman" w:cs="Times New Roman"/>
          <w:noProof/>
          <w:sz w:val="24"/>
          <w:szCs w:val="24"/>
          <w:vertAlign w:val="superscript"/>
        </w:rPr>
        <w:footnoteReference w:id="5"/>
      </w:r>
      <w:r>
        <w:rPr>
          <w:rFonts w:ascii="Times New Roman" w:hAnsi="Times New Roman"/>
          <w:b/>
          <w:noProof/>
          <w:color w:val="000000" w:themeColor="text1"/>
          <w:sz w:val="24"/>
        </w:rPr>
        <w:t xml:space="preserve"> kell azt fejleszteni.</w:t>
      </w:r>
      <w:r>
        <w:rPr>
          <w:rFonts w:ascii="Times New Roman" w:hAnsi="Times New Roman"/>
          <w:noProof/>
          <w:color w:val="000000" w:themeColor="text1"/>
          <w:sz w:val="24"/>
        </w:rPr>
        <w:t xml:space="preserve"> </w:t>
      </w:r>
      <w:r>
        <w:rPr>
          <w:rFonts w:ascii="Times New Roman" w:hAnsi="Times New Roman"/>
          <w:b/>
          <w:noProof/>
          <w:color w:val="000000" w:themeColor="text1"/>
          <w:sz w:val="24"/>
        </w:rPr>
        <w:t>A tagállamok üdvözölték a rasszizmus elleni stratégia</w:t>
      </w:r>
      <w:r>
        <w:rPr>
          <w:rFonts w:ascii="Times New Roman" w:hAnsi="Times New Roman"/>
          <w:noProof/>
          <w:color w:val="000000" w:themeColor="text1"/>
          <w:sz w:val="24"/>
        </w:rPr>
        <w:t xml:space="preserve"> bejelentését, és hangsúlyozták szilárd elkötelezettségüket a rasszizmus és a gyűlölet minden formája elleni küzdelem iránt</w:t>
      </w:r>
      <w:r>
        <w:rPr>
          <w:rFonts w:ascii="Times New Roman" w:hAnsi="Times New Roman" w:cs="Times New Roman"/>
          <w:noProof/>
          <w:sz w:val="24"/>
          <w:szCs w:val="24"/>
          <w:vertAlign w:val="superscript"/>
        </w:rPr>
        <w:footnoteReference w:id="6"/>
      </w:r>
      <w:r>
        <w:rPr>
          <w:rFonts w:ascii="Times New Roman" w:hAnsi="Times New Roman"/>
          <w:noProof/>
          <w:color w:val="000000" w:themeColor="text1"/>
          <w:sz w:val="24"/>
        </w:rPr>
        <w:t>.</w:t>
      </w:r>
    </w:p>
    <w:p w14:paraId="24B3CADB" w14:textId="38970166" w:rsidR="0052494A" w:rsidRPr="006107F8" w:rsidRDefault="003E70D4" w:rsidP="00B8759E">
      <w:pPr>
        <w:spacing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E stratégia mindenekelőtt </w:t>
      </w:r>
      <w:r>
        <w:rPr>
          <w:rFonts w:ascii="Times New Roman" w:hAnsi="Times New Roman"/>
          <w:b/>
          <w:noProof/>
          <w:color w:val="000000" w:themeColor="text1"/>
          <w:sz w:val="24"/>
        </w:rPr>
        <w:t xml:space="preserve">az uniós értékek tiszteletben tartására, az egyenlőségközpontú Unió megerősítésére, </w:t>
      </w:r>
      <w:r>
        <w:rPr>
          <w:rFonts w:ascii="Times New Roman" w:hAnsi="Times New Roman"/>
          <w:noProof/>
          <w:color w:val="000000" w:themeColor="text1"/>
          <w:sz w:val="24"/>
        </w:rPr>
        <w:t xml:space="preserve">valamint annak biztosítására irányul, hogy az uniós társadalmak nyitottak, sokszínűek és befogadóak maradjanak. </w:t>
      </w:r>
      <w:r>
        <w:rPr>
          <w:rFonts w:ascii="Times New Roman" w:hAnsi="Times New Roman"/>
          <w:b/>
          <w:noProof/>
          <w:sz w:val="24"/>
        </w:rPr>
        <w:t>A rasszizmus elleni küzdelem emellett biztonsági érdek</w:t>
      </w:r>
      <w:r>
        <w:rPr>
          <w:rStyle w:val="FootnoteReference"/>
          <w:rFonts w:ascii="Times New Roman" w:hAnsi="Times New Roman" w:cs="Times New Roman"/>
          <w:b/>
          <w:bCs/>
          <w:noProof/>
          <w:sz w:val="24"/>
          <w:szCs w:val="24"/>
        </w:rPr>
        <w:footnoteReference w:id="7"/>
      </w:r>
      <w:r>
        <w:rPr>
          <w:rFonts w:ascii="Times New Roman" w:hAnsi="Times New Roman"/>
          <w:b/>
          <w:noProof/>
          <w:sz w:val="24"/>
        </w:rPr>
        <w:t xml:space="preserve"> és stratégiai beruházás az EU versenyképességének fellendítésébe</w:t>
      </w:r>
      <w:r>
        <w:rPr>
          <w:rFonts w:ascii="Times New Roman" w:hAnsi="Times New Roman"/>
          <w:noProof/>
          <w:sz w:val="24"/>
        </w:rPr>
        <w:t xml:space="preserve">. Egy közelmúltbeli </w:t>
      </w:r>
      <w:hyperlink r:id="rId25">
        <w:r>
          <w:rPr>
            <w:rStyle w:val="Hyperlink"/>
            <w:rFonts w:ascii="Times New Roman" w:hAnsi="Times New Roman"/>
            <w:noProof/>
            <w:sz w:val="24"/>
          </w:rPr>
          <w:t>OECD-tanulmány</w:t>
        </w:r>
      </w:hyperlink>
      <w:r>
        <w:rPr>
          <w:rFonts w:ascii="Times New Roman" w:hAnsi="Times New Roman"/>
          <w:noProof/>
          <w:sz w:val="24"/>
        </w:rPr>
        <w:t xml:space="preserve"> szerint </w:t>
      </w:r>
      <w:bookmarkStart w:id="2" w:name="_Hlk212739897"/>
      <w:r>
        <w:rPr>
          <w:rFonts w:ascii="Times New Roman" w:hAnsi="Times New Roman"/>
          <w:noProof/>
          <w:sz w:val="24"/>
        </w:rPr>
        <w:t>a faji vagy etnikai származáson alapuló megkülönböztetés</w:t>
      </w:r>
      <w:bookmarkEnd w:id="2"/>
      <w:r>
        <w:rPr>
          <w:noProof/>
        </w:rPr>
        <w:t xml:space="preserve"> </w:t>
      </w:r>
      <w:r>
        <w:rPr>
          <w:rFonts w:ascii="Times New Roman" w:hAnsi="Times New Roman"/>
          <w:noProof/>
          <w:sz w:val="24"/>
        </w:rPr>
        <w:t>évente közel 12,7 milliárd EUR GDP-veszteséget jelent az EU számára.</w:t>
      </w:r>
    </w:p>
    <w:p w14:paraId="77C284B0" w14:textId="48A0FE4E" w:rsidR="00BF6E0E" w:rsidRPr="006107F8" w:rsidRDefault="003E70D4" w:rsidP="00F60D5A">
      <w:pPr>
        <w:spacing w:line="240" w:lineRule="auto"/>
        <w:jc w:val="both"/>
        <w:rPr>
          <w:rFonts w:ascii="Times New Roman" w:hAnsi="Times New Roman" w:cs="Times New Roman"/>
          <w:noProof/>
          <w:sz w:val="24"/>
          <w:szCs w:val="24"/>
        </w:rPr>
      </w:pPr>
      <w:r>
        <w:rPr>
          <w:rFonts w:ascii="Times New Roman" w:hAnsi="Times New Roman"/>
          <w:noProof/>
          <w:sz w:val="24"/>
        </w:rPr>
        <w:t xml:space="preserve">A rasszizmus és a faji megkülönböztetés által érintett munkavállalókban, vállalkozókban és vezetőkben rejlő potenciál kiaknázása ezért elengedhetetlen a növekedéshez és a stabilitás biztosításához. A virágzó gazdaságok és az összetartó társadalmak teljes körű megvalósítása érdekében elszántan szembe kell nézni a rasszizmus jelentette állandó kihívással. A valódi </w:t>
      </w:r>
      <w:hyperlink r:id="rId26" w:history="1">
        <w:r>
          <w:rPr>
            <w:rStyle w:val="Hyperlink"/>
            <w:rFonts w:ascii="Times New Roman" w:hAnsi="Times New Roman"/>
            <w:noProof/>
            <w:sz w:val="24"/>
          </w:rPr>
          <w:t>egyenlőségközpontú Unió</w:t>
        </w:r>
      </w:hyperlink>
      <w:r>
        <w:rPr>
          <w:rFonts w:ascii="Times New Roman" w:hAnsi="Times New Roman"/>
          <w:noProof/>
          <w:sz w:val="24"/>
        </w:rPr>
        <w:t xml:space="preserve"> felé történő előrehaladás ambiciózus és tartós fellépést igényel annak érdekében, hogy mindenki számára egyenlő jogokat és lehetőségeket biztosítsunk. A stratégia célja </w:t>
      </w:r>
      <w:r>
        <w:rPr>
          <w:rFonts w:ascii="Times New Roman" w:hAnsi="Times New Roman"/>
          <w:b/>
          <w:noProof/>
          <w:sz w:val="24"/>
        </w:rPr>
        <w:t>a rasszizmus valamennyi formája – többek között a feketék és az ázsiaiak elleni rasszizmus, a cigányellenesség, az antiszemitizmus és a muszlimellenes gyűlölet – elleni küzdelem</w:t>
      </w:r>
      <w:r>
        <w:rPr>
          <w:rFonts w:ascii="Times New Roman" w:hAnsi="Times New Roman"/>
          <w:noProof/>
          <w:sz w:val="24"/>
        </w:rPr>
        <w:t>. Általánosságban foglalkozik a rasszizmussal, és konkrét intézkedéseket határoz meg a hátrányos megkülönböztetés elleni küzdelem érdekében.</w:t>
      </w:r>
    </w:p>
    <w:p w14:paraId="6749C54E" w14:textId="6348DB56" w:rsidR="00532345" w:rsidRPr="006107F8" w:rsidRDefault="003E70D4" w:rsidP="00E74EFC">
      <w:pPr>
        <w:spacing w:line="240" w:lineRule="auto"/>
        <w:jc w:val="both"/>
        <w:rPr>
          <w:rFonts w:ascii="Times New Roman" w:hAnsi="Times New Roman" w:cs="Times New Roman"/>
          <w:noProof/>
          <w:sz w:val="24"/>
          <w:szCs w:val="24"/>
        </w:rPr>
      </w:pPr>
      <w:r>
        <w:rPr>
          <w:rFonts w:ascii="Times New Roman" w:hAnsi="Times New Roman"/>
          <w:noProof/>
          <w:sz w:val="24"/>
        </w:rPr>
        <w:t xml:space="preserve">Az egyenlőségközpontú Unió valamennyi stratégiájával összhangban a rasszizmus elleni stratégia </w:t>
      </w:r>
      <w:r>
        <w:rPr>
          <w:rFonts w:ascii="Times New Roman" w:hAnsi="Times New Roman"/>
          <w:b/>
          <w:noProof/>
          <w:sz w:val="24"/>
        </w:rPr>
        <w:t>interszekcionális szakpolitikai megközelítésen alapul, amelynek célja, hogy kezelje az összetett egyenlőtlenségeket, amelyekkel a megkülönböztetés többszörös és interszekcionális formái</w:t>
      </w:r>
      <w:r>
        <w:rPr>
          <w:rStyle w:val="FootnoteReference"/>
          <w:rFonts w:ascii="Times New Roman" w:hAnsi="Times New Roman" w:cs="Times New Roman"/>
          <w:b/>
          <w:bCs/>
          <w:noProof/>
          <w:sz w:val="24"/>
          <w:szCs w:val="24"/>
          <w:lang w:val="en-US" w:eastAsia="zh-CN"/>
        </w:rPr>
        <w:footnoteReference w:id="8"/>
      </w:r>
      <w:r>
        <w:rPr>
          <w:rFonts w:ascii="Times New Roman" w:hAnsi="Times New Roman"/>
          <w:b/>
          <w:noProof/>
          <w:sz w:val="24"/>
        </w:rPr>
        <w:t xml:space="preserve"> által érintett személyek szembenéznek</w:t>
      </w:r>
      <w:r>
        <w:rPr>
          <w:rFonts w:ascii="Times New Roman" w:hAnsi="Times New Roman"/>
          <w:noProof/>
          <w:sz w:val="24"/>
        </w:rPr>
        <w:t xml:space="preserve">. </w:t>
      </w:r>
      <w:r>
        <w:rPr>
          <w:rFonts w:ascii="Times New Roman" w:hAnsi="Times New Roman"/>
          <w:noProof/>
          <w:color w:val="000000" w:themeColor="text1"/>
          <w:sz w:val="24"/>
        </w:rPr>
        <w:t>Szorosan igazodik a jelenlegi és jövőbeli uniós esélyegyenlőségi stratégiákhoz, valamint más fontos bizottsági kezdeményezésekhez</w:t>
      </w:r>
      <w:r>
        <w:rPr>
          <w:rStyle w:val="FootnoteReference"/>
          <w:rFonts w:ascii="Times New Roman" w:eastAsia="Times New Roman" w:hAnsi="Times New Roman" w:cs="Times New Roman"/>
          <w:noProof/>
          <w:color w:val="000000" w:themeColor="text1"/>
          <w:sz w:val="24"/>
          <w:szCs w:val="24"/>
        </w:rPr>
        <w:footnoteReference w:id="9"/>
      </w:r>
      <w:r>
        <w:rPr>
          <w:rFonts w:ascii="Times New Roman" w:hAnsi="Times New Roman"/>
          <w:noProof/>
          <w:color w:val="000000" w:themeColor="text1"/>
          <w:sz w:val="24"/>
        </w:rPr>
        <w:t>.</w:t>
      </w:r>
    </w:p>
    <w:p w14:paraId="3AC33397" w14:textId="2F542D94" w:rsidR="0047550B" w:rsidRPr="006107F8" w:rsidRDefault="00AF2CBE" w:rsidP="000D345B">
      <w:pPr>
        <w:spacing w:line="240" w:lineRule="auto"/>
        <w:jc w:val="both"/>
        <w:rPr>
          <w:rFonts w:ascii="Times New Roman" w:hAnsi="Times New Roman" w:cs="Times New Roman"/>
          <w:noProof/>
          <w:sz w:val="24"/>
          <w:szCs w:val="24"/>
        </w:rPr>
      </w:pPr>
      <w:r>
        <w:rPr>
          <w:rFonts w:ascii="Times New Roman" w:hAnsi="Times New Roman"/>
          <w:noProof/>
          <w:sz w:val="24"/>
        </w:rPr>
        <w:t>E stratégia széles körű konzultációs folyamat</w:t>
      </w:r>
      <w:r>
        <w:rPr>
          <w:rStyle w:val="FootnoteReference"/>
          <w:rFonts w:ascii="Times New Roman" w:eastAsia="Times New Roman" w:hAnsi="Times New Roman" w:cs="Times New Roman"/>
          <w:noProof/>
          <w:sz w:val="24"/>
          <w:szCs w:val="24"/>
          <w:lang w:eastAsia="en-IE"/>
        </w:rPr>
        <w:footnoteReference w:id="10"/>
      </w:r>
      <w:r>
        <w:rPr>
          <w:rFonts w:ascii="Times New Roman" w:hAnsi="Times New Roman"/>
          <w:noProof/>
          <w:sz w:val="24"/>
        </w:rPr>
        <w:t xml:space="preserve"> eredményein alapul, és célzott intézkedéseket és fellépéseket egyaránt tartalmaz a rasszizmus elleni küzdelem valamennyi uniós szakpolitikában való érvényesítése érdekében. Elsősorban a rasszizmus elleni küzdelemért, az antiszemitizmus elleni küzdelemért és a zsidó élet előmozdításáért, valamint a muszlimellenes gyűlölet elleni küzdelemért felelős bizottsági koordinátorok munkáját, valamint a romák egyenlőségével, befogadásával és részvételével, az alapvető jogok védelmével és a gyűlölet-bűncselekmények elleni küzdelemmel kapcsolatos bizottsági munkát kíséri. A stratégia továbbá összhangban van </w:t>
      </w:r>
      <w:hyperlink r:id="rId27" w:history="1">
        <w:r>
          <w:rPr>
            <w:rStyle w:val="Hyperlink"/>
            <w:rFonts w:ascii="Times New Roman" w:hAnsi="Times New Roman"/>
            <w:noProof/>
            <w:sz w:val="24"/>
          </w:rPr>
          <w:t>a társadalmat megosztó gyűlölet elleni küzdelemmel foglalkozó európai polgári vitacsoport</w:t>
        </w:r>
      </w:hyperlink>
      <w:r>
        <w:rPr>
          <w:noProof/>
        </w:rPr>
        <w:t xml:space="preserve"> </w:t>
      </w:r>
      <w:r>
        <w:rPr>
          <w:rFonts w:ascii="Times New Roman" w:hAnsi="Times New Roman"/>
          <w:noProof/>
          <w:sz w:val="24"/>
        </w:rPr>
        <w:t>megállapításaival, amely ajánlásokat fogalmazott meg a gyűlölet valamennyi formája elleni küzdelemre és a kölcsönös tisztelet előmozdítására vonatkozóan.</w:t>
      </w:r>
    </w:p>
    <w:p w14:paraId="5D3C560E" w14:textId="77777777" w:rsidR="008C483E" w:rsidRPr="006107F8" w:rsidRDefault="008C483E">
      <w:pPr>
        <w:spacing w:after="0" w:line="240" w:lineRule="auto"/>
        <w:rPr>
          <w:rFonts w:ascii="Times New Roman" w:hAnsi="Times New Roman" w:cs="Times New Roman"/>
          <w:b/>
          <w:noProof/>
          <w:sz w:val="24"/>
        </w:rPr>
      </w:pPr>
      <w:r>
        <w:rPr>
          <w:noProof/>
        </w:rPr>
        <w:br w:type="page"/>
      </w:r>
    </w:p>
    <w:p w14:paraId="7B97C501" w14:textId="136678FE" w:rsidR="00BF6E0E" w:rsidRPr="006107F8" w:rsidRDefault="003E70D4" w:rsidP="0032755B">
      <w:pPr>
        <w:spacing w:line="240" w:lineRule="auto"/>
        <w:jc w:val="both"/>
        <w:rPr>
          <w:rFonts w:ascii="Times New Roman" w:hAnsi="Times New Roman" w:cs="Times New Roman"/>
          <w:noProof/>
          <w:sz w:val="24"/>
        </w:rPr>
      </w:pPr>
      <w:r>
        <w:rPr>
          <w:rFonts w:ascii="Times New Roman" w:hAnsi="Times New Roman"/>
          <w:b/>
          <w:noProof/>
          <w:sz w:val="24"/>
        </w:rPr>
        <w:t>I. FEJEZET – A STRUKTURÁLIS RASSZIZMUS ELLENI KÜZDELEM</w:t>
      </w:r>
    </w:p>
    <w:p w14:paraId="2AEA45A4" w14:textId="4F73BE49" w:rsidR="00BF6E0E" w:rsidRPr="006107F8" w:rsidRDefault="003E70D4" w:rsidP="008C483E">
      <w:pPr>
        <w:spacing w:line="240" w:lineRule="auto"/>
        <w:jc w:val="both"/>
        <w:rPr>
          <w:rFonts w:ascii="Times New Roman" w:hAnsi="Times New Roman" w:cs="Times New Roman"/>
          <w:i/>
          <w:iCs/>
          <w:noProof/>
          <w:sz w:val="24"/>
          <w:szCs w:val="24"/>
        </w:rPr>
      </w:pPr>
      <w:r>
        <w:rPr>
          <w:rFonts w:ascii="Times New Roman" w:hAnsi="Times New Roman"/>
          <w:b/>
          <w:i/>
          <w:noProof/>
          <w:sz w:val="24"/>
        </w:rPr>
        <w:t>A strukturális rasszizmus megértése annak hatékony kezelése érdekében</w:t>
      </w:r>
    </w:p>
    <w:p w14:paraId="7C6659D3" w14:textId="7D136CBF" w:rsidR="00952DAE" w:rsidRPr="006107F8" w:rsidRDefault="004E0288" w:rsidP="0032755B">
      <w:pPr>
        <w:spacing w:line="240" w:lineRule="auto"/>
        <w:jc w:val="both"/>
        <w:rPr>
          <w:rFonts w:ascii="Times New Roman" w:hAnsi="Times New Roman" w:cs="Times New Roman"/>
          <w:noProof/>
          <w:sz w:val="24"/>
          <w:szCs w:val="24"/>
        </w:rPr>
      </w:pPr>
      <w:r>
        <w:rPr>
          <w:rFonts w:ascii="Times New Roman" w:hAnsi="Times New Roman"/>
          <w:noProof/>
          <w:sz w:val="24"/>
        </w:rPr>
        <w:t xml:space="preserve">A rasszizmust az </w:t>
      </w:r>
      <w:hyperlink r:id="rId28" w:anchor=":~:text=%E2%80%9Cracism%E2%80%9D%20shall%20mean%20the%20belief%20that%20a%20ground,of%20a%20person%20or%20a%20group%20of%20persons." w:history="1">
        <w:r>
          <w:rPr>
            <w:rStyle w:val="Hyperlink"/>
            <w:rFonts w:ascii="Times New Roman" w:hAnsi="Times New Roman"/>
            <w:noProof/>
            <w:sz w:val="24"/>
          </w:rPr>
          <w:t>Európa Tanács Rasszizmus és Intolerancia Elleni Európai Bizottsága (ECRI)</w:t>
        </w:r>
      </w:hyperlink>
      <w:r>
        <w:rPr>
          <w:rFonts w:ascii="Times New Roman" w:hAnsi="Times New Roman"/>
          <w:noProof/>
          <w:sz w:val="24"/>
        </w:rPr>
        <w:t xml:space="preserve"> a következőképpen határozza meg: „az a meggyőződés, hogy a »faj«</w:t>
      </w:r>
      <w:r>
        <w:rPr>
          <w:rStyle w:val="FootnoteReference"/>
          <w:rFonts w:ascii="Times New Roman" w:hAnsi="Times New Roman" w:cs="Times New Roman"/>
          <w:noProof/>
          <w:sz w:val="24"/>
          <w:szCs w:val="24"/>
        </w:rPr>
        <w:footnoteReference w:id="11"/>
      </w:r>
      <w:r>
        <w:rPr>
          <w:rFonts w:ascii="Times New Roman" w:hAnsi="Times New Roman"/>
          <w:noProof/>
          <w:sz w:val="24"/>
        </w:rPr>
        <w:t>, a bőrszín, a nyelv, a vallás, a nemzetiség, illetve a nemzeti vagy etnikai származás alapján indokolt egy személynek vagy személyek csoportjának megvetése, illetve egy személy vagy személyek csoportja felsőbbrendűségének fogalma”. A rasszizmus által érintett személyek gyakran szembesülnek az ilyen jellegű megvetés következményeivel a lakáskeresés vagy álláskeresés során, a munkahelyükön, illetve az oktatáshoz való hozzáférés tekintetében</w:t>
      </w:r>
      <w:r>
        <w:rPr>
          <w:rStyle w:val="FootnoteReference"/>
          <w:rFonts w:ascii="Times New Roman" w:hAnsi="Times New Roman" w:cs="Times New Roman"/>
          <w:noProof/>
          <w:sz w:val="24"/>
          <w:szCs w:val="24"/>
        </w:rPr>
        <w:footnoteReference w:id="12"/>
      </w:r>
      <w:r>
        <w:rPr>
          <w:rFonts w:ascii="Times New Roman" w:hAnsi="Times New Roman"/>
          <w:noProof/>
          <w:sz w:val="24"/>
        </w:rPr>
        <w:t>, ami faji vagy etnikai származáson alapuló hátrányos megkülönböztetéshez vezethet.</w:t>
      </w:r>
    </w:p>
    <w:p w14:paraId="3416AD8B" w14:textId="6D3FDAEA" w:rsidR="009F19BD" w:rsidRPr="006107F8" w:rsidRDefault="00E375D9" w:rsidP="009F19BD">
      <w:pPr>
        <w:spacing w:line="240" w:lineRule="auto"/>
        <w:jc w:val="both"/>
        <w:rPr>
          <w:rFonts w:ascii="Times New Roman" w:hAnsi="Times New Roman" w:cs="Times New Roman"/>
          <w:noProof/>
          <w:sz w:val="24"/>
          <w:szCs w:val="24"/>
        </w:rPr>
      </w:pPr>
      <w:r>
        <w:rPr>
          <w:rFonts w:ascii="Times New Roman" w:hAnsi="Times New Roman"/>
          <w:b/>
          <w:noProof/>
          <w:sz w:val="24"/>
        </w:rPr>
        <w:t>Az egész életen át elszenvedett rasszizmus halmozott hatásai komoly akadályokat állítanak az egyének elé</w:t>
      </w:r>
      <w:r>
        <w:rPr>
          <w:rFonts w:ascii="Times New Roman" w:hAnsi="Times New Roman"/>
          <w:noProof/>
          <w:sz w:val="24"/>
        </w:rPr>
        <w:t>. A rasszizmus tartósan fennálló formáját gyakran „strukturális rasszizmusnak” nevezik. A strukturális rasszizmus még károsabb következményekkel járhat, mint a faji megkülönböztetés elszigetelt esetei, mivel korlátozza az egyenlő esélyekhez való hozzáférést, és akár generációkon keresztül is fennállhat</w:t>
      </w:r>
      <w:r>
        <w:rPr>
          <w:rStyle w:val="FootnoteReference"/>
          <w:rFonts w:ascii="Times New Roman" w:hAnsi="Times New Roman" w:cs="Times New Roman"/>
          <w:noProof/>
          <w:sz w:val="24"/>
          <w:szCs w:val="24"/>
        </w:rPr>
        <w:footnoteReference w:id="13"/>
      </w:r>
      <w:r>
        <w:rPr>
          <w:rFonts w:ascii="Times New Roman" w:hAnsi="Times New Roman"/>
          <w:noProof/>
          <w:sz w:val="24"/>
        </w:rPr>
        <w:t>. Az Európai Unió Alapjogi Ügynökségének (FRA) tanulmányai részletezik a strukturális rasszizmus által előidézett akadályokat, és hogy azok milyen hatással vannak a rasszizmus és a faji megkülönböztetés által érintett személyek életére</w:t>
      </w:r>
      <w:r>
        <w:rPr>
          <w:rStyle w:val="FootnoteReference"/>
          <w:rFonts w:ascii="Times New Roman" w:hAnsi="Times New Roman" w:cs="Times New Roman"/>
          <w:noProof/>
          <w:sz w:val="24"/>
          <w:szCs w:val="24"/>
          <w:lang w:val="de-DE"/>
        </w:rPr>
        <w:footnoteReference w:id="14"/>
      </w:r>
      <w:r>
        <w:rPr>
          <w:rFonts w:ascii="Times New Roman" w:hAnsi="Times New Roman"/>
          <w:noProof/>
          <w:sz w:val="24"/>
        </w:rPr>
        <w:t>. Például a roma vagy nomád életmódot folytató nők és férfiak várható élettartama az EU-ban 7,4, illetve 8 évvel rövidebb, mint az általános népesség körében. Továbbá, bár az EU-ban az afrikai származású emberek többsége (71 %) fizetett munkát végez, közel felük (46 %) túlképzett a munkájához. Emellett az EU-ban a muszlim háztartások háromszor nagyobb valószínűséggel szembesülnek súlyos anyagi nélkülözéssel (19 %), mint az általános népességhez tartozók (6 %). A rasszizmus jelentős mértékben hozzájárul az ilyen jellegű egyenlőtlenségekhez.</w:t>
      </w:r>
    </w:p>
    <w:p w14:paraId="1FB9049C" w14:textId="20092F64" w:rsidR="001F63DF" w:rsidRPr="006107F8" w:rsidRDefault="00870674" w:rsidP="0016257B">
      <w:pPr>
        <w:spacing w:line="240" w:lineRule="auto"/>
        <w:jc w:val="both"/>
        <w:rPr>
          <w:rFonts w:ascii="Times New Roman" w:hAnsi="Times New Roman" w:cs="Times New Roman"/>
          <w:b/>
          <w:bCs/>
          <w:noProof/>
          <w:sz w:val="24"/>
          <w:szCs w:val="24"/>
        </w:rPr>
      </w:pPr>
      <w:r>
        <w:rPr>
          <w:rFonts w:ascii="Times New Roman" w:hAnsi="Times New Roman"/>
          <w:noProof/>
          <w:sz w:val="24"/>
        </w:rPr>
        <w:t xml:space="preserve">Ezzel a kérdéssel a tagállamok a rasszizmus elleni nemzeti szintű munkájuk keretében foglalkoznak. Ezzel összefüggésben </w:t>
      </w:r>
      <w:r>
        <w:rPr>
          <w:rFonts w:ascii="Times New Roman" w:hAnsi="Times New Roman"/>
          <w:b/>
          <w:noProof/>
          <w:sz w:val="24"/>
        </w:rPr>
        <w:t>a Bizottság azt javasolja</w:t>
      </w:r>
      <w:r>
        <w:rPr>
          <w:rFonts w:ascii="Times New Roman" w:hAnsi="Times New Roman"/>
          <w:noProof/>
          <w:sz w:val="24"/>
        </w:rPr>
        <w:t>, hogy a rasszizmus elleni uniós cselekvési terv nemzeti végrehajtásával foglalkozó szakértői csoport</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keretében </w:t>
      </w:r>
      <w:r>
        <w:rPr>
          <w:rFonts w:ascii="Times New Roman" w:hAnsi="Times New Roman"/>
          <w:b/>
          <w:noProof/>
          <w:sz w:val="24"/>
        </w:rPr>
        <w:t>segítsék a tagállamokat a strukturális rasszizmus munkadefiníciójának kidolgozásában</w:t>
      </w:r>
      <w:r>
        <w:rPr>
          <w:rFonts w:ascii="Times New Roman" w:hAnsi="Times New Roman"/>
          <w:noProof/>
          <w:sz w:val="24"/>
        </w:rPr>
        <w:t>.</w:t>
      </w:r>
    </w:p>
    <w:p w14:paraId="1D505C85" w14:textId="1B6BD89C" w:rsidR="00AF5152" w:rsidRDefault="002A2434" w:rsidP="005F5F5D">
      <w:pPr>
        <w:spacing w:line="240" w:lineRule="auto"/>
        <w:jc w:val="both"/>
        <w:rPr>
          <w:rFonts w:ascii="Times New Roman" w:hAnsi="Times New Roman" w:cs="Times New Roman"/>
          <w:noProof/>
          <w:sz w:val="24"/>
          <w:szCs w:val="24"/>
        </w:rPr>
      </w:pPr>
      <w:hyperlink r:id="rId29" w:history="1">
        <w:r w:rsidR="00ED2E7C">
          <w:rPr>
            <w:rStyle w:val="Hyperlink"/>
            <w:rFonts w:ascii="Times New Roman" w:hAnsi="Times New Roman"/>
            <w:noProof/>
            <w:sz w:val="24"/>
          </w:rPr>
          <w:t>Az antiszemitizmus elleni küzdelemre és a zsidó élet előmozdítására vonatkozó európai uniós stratégiával</w:t>
        </w:r>
      </w:hyperlink>
      <w:r w:rsidR="00ED2E7C">
        <w:rPr>
          <w:rFonts w:ascii="Times New Roman" w:hAnsi="Times New Roman"/>
          <w:noProof/>
          <w:sz w:val="24"/>
        </w:rPr>
        <w:t xml:space="preserve"> összhangban a Bizottság a tagállamokkal együtt </w:t>
      </w:r>
      <w:r w:rsidR="00ED2E7C">
        <w:rPr>
          <w:rFonts w:ascii="Times New Roman" w:hAnsi="Times New Roman"/>
          <w:b/>
          <w:noProof/>
          <w:sz w:val="24"/>
        </w:rPr>
        <w:t>elítéli az antiszemitizmus valamennyi formáját és elkötelezetten küzd azok ellen</w:t>
      </w:r>
      <w:r w:rsidR="00ED2E7C">
        <w:rPr>
          <w:noProof/>
        </w:rPr>
        <w:t>.</w:t>
      </w:r>
      <w:r w:rsidR="00ED2E7C">
        <w:rPr>
          <w:rFonts w:ascii="Times New Roman" w:hAnsi="Times New Roman"/>
          <w:noProof/>
          <w:sz w:val="24"/>
        </w:rPr>
        <w:t xml:space="preserve"> A Bizottság és valamennyi tagállam a Nemzetközi Holokauszt Emlékezési Szövetség (a továbbiakban: IHRA) antiszemitizmusra vonatkozó fogalommeghatározását</w:t>
      </w:r>
      <w:r w:rsidR="00ED2E7C">
        <w:rPr>
          <w:rStyle w:val="FootnoteReference"/>
          <w:rFonts w:ascii="Times New Roman" w:hAnsi="Times New Roman" w:cs="Times New Roman"/>
          <w:noProof/>
          <w:sz w:val="24"/>
          <w:szCs w:val="24"/>
          <w:lang w:val="en-GB"/>
        </w:rPr>
        <w:footnoteReference w:id="16"/>
      </w:r>
      <w:r w:rsidR="00ED2E7C">
        <w:rPr>
          <w:rFonts w:ascii="Times New Roman" w:hAnsi="Times New Roman"/>
          <w:noProof/>
          <w:sz w:val="24"/>
        </w:rPr>
        <w:t xml:space="preserve"> használja.</w:t>
      </w:r>
    </w:p>
    <w:p w14:paraId="20AD76E9" w14:textId="1361A4E1" w:rsidR="00AF5152" w:rsidRDefault="002A2434" w:rsidP="005F5F5D">
      <w:pPr>
        <w:spacing w:line="240" w:lineRule="auto"/>
        <w:jc w:val="both"/>
        <w:rPr>
          <w:rFonts w:ascii="Times New Roman" w:hAnsi="Times New Roman" w:cs="Times New Roman"/>
          <w:noProof/>
          <w:sz w:val="24"/>
          <w:szCs w:val="24"/>
        </w:rPr>
      </w:pPr>
      <w:hyperlink r:id="rId30" w:history="1">
        <w:r w:rsidR="00ED2E7C">
          <w:rPr>
            <w:rStyle w:val="Hyperlink"/>
            <w:rFonts w:ascii="Times New Roman" w:hAnsi="Times New Roman"/>
            <w:noProof/>
            <w:sz w:val="24"/>
          </w:rPr>
          <w:t>A romák egyenlőségének, társadalmi befogadásának és részvételének előmozdítását célzó uniós stratégiai keretrendszerrel</w:t>
        </w:r>
      </w:hyperlink>
      <w:r w:rsidR="00ED2E7C">
        <w:rPr>
          <w:noProof/>
        </w:rPr>
        <w:t xml:space="preserve"> </w:t>
      </w:r>
      <w:r w:rsidR="00ED2E7C">
        <w:rPr>
          <w:rFonts w:ascii="Times New Roman" w:hAnsi="Times New Roman"/>
          <w:noProof/>
          <w:sz w:val="24"/>
        </w:rPr>
        <w:t xml:space="preserve">összhangban a Bizottság és valamennyi tagállam elkötelezett amellett, hogy hatékony szakpolitikákat hajtson végre </w:t>
      </w:r>
      <w:r w:rsidR="00ED2E7C">
        <w:rPr>
          <w:rFonts w:ascii="Times New Roman" w:hAnsi="Times New Roman"/>
          <w:b/>
          <w:noProof/>
          <w:sz w:val="24"/>
        </w:rPr>
        <w:t>a cigányellenesség elleni küzdelem</w:t>
      </w:r>
      <w:r w:rsidR="00ED2E7C">
        <w:rPr>
          <w:rFonts w:ascii="Times New Roman" w:hAnsi="Times New Roman"/>
          <w:noProof/>
          <w:sz w:val="24"/>
        </w:rPr>
        <w:t>, valamint a romák társadalmi-gazdasági befogadásának és részvételének javítása terén kitűzött célok elérése érdekében.</w:t>
      </w:r>
    </w:p>
    <w:p w14:paraId="488E3576" w14:textId="18F2B6A6" w:rsidR="00ED2E7C" w:rsidRPr="006107F8" w:rsidRDefault="00ED2E7C" w:rsidP="005F5F5D">
      <w:pPr>
        <w:spacing w:line="240" w:lineRule="auto"/>
        <w:jc w:val="both"/>
        <w:rPr>
          <w:rFonts w:ascii="Times New Roman" w:hAnsi="Times New Roman" w:cs="Times New Roman"/>
          <w:noProof/>
          <w:sz w:val="24"/>
          <w:szCs w:val="24"/>
        </w:rPr>
      </w:pPr>
      <w:r>
        <w:rPr>
          <w:rFonts w:ascii="Times New Roman" w:hAnsi="Times New Roman"/>
          <w:noProof/>
          <w:sz w:val="24"/>
        </w:rPr>
        <w:t xml:space="preserve">Az EU-n belüli </w:t>
      </w:r>
      <w:r>
        <w:rPr>
          <w:rFonts w:ascii="Times New Roman" w:hAnsi="Times New Roman"/>
          <w:b/>
          <w:noProof/>
          <w:sz w:val="24"/>
        </w:rPr>
        <w:t>muszlimellenes gyűlölet kezelése</w:t>
      </w:r>
      <w:r>
        <w:rPr>
          <w:rFonts w:ascii="Times New Roman" w:hAnsi="Times New Roman"/>
          <w:noProof/>
          <w:sz w:val="24"/>
        </w:rPr>
        <w:t xml:space="preserve"> érdekében a Bizottság átfogó tanulmányt fog készíteni annak megnyilvánulási formáiról, és intézkedéseket fog javasolni annak kezelésére, valamint segíteni fogja a tagállamok és a szakértők arra irányuló erőfeszítéseit, hogy kidolgozzák a muszlimellenes gyűlölet munkadefinícióját a közös megértés javítása és a tudatosság növelése céljából.</w:t>
      </w:r>
    </w:p>
    <w:p w14:paraId="1C2C2680" w14:textId="77777777" w:rsidR="00AF5152" w:rsidRDefault="00AF5152" w:rsidP="00140434">
      <w:pPr>
        <w:spacing w:line="240" w:lineRule="auto"/>
        <w:jc w:val="both"/>
        <w:rPr>
          <w:rFonts w:ascii="Times New Roman" w:hAnsi="Times New Roman" w:cs="Times New Roman"/>
          <w:b/>
          <w:i/>
          <w:noProof/>
          <w:sz w:val="24"/>
        </w:rPr>
      </w:pPr>
      <w:bookmarkStart w:id="3" w:name="_Hlk212797147"/>
    </w:p>
    <w:p w14:paraId="1D5A0238" w14:textId="62957EBE" w:rsidR="00BF6E0E" w:rsidRPr="006107F8" w:rsidRDefault="002E3CB6" w:rsidP="00140434">
      <w:pPr>
        <w:spacing w:line="240" w:lineRule="auto"/>
        <w:jc w:val="both"/>
        <w:rPr>
          <w:rFonts w:ascii="Times New Roman" w:hAnsi="Times New Roman" w:cs="Times New Roman"/>
          <w:b/>
          <w:i/>
          <w:noProof/>
          <w:sz w:val="24"/>
        </w:rPr>
      </w:pPr>
      <w:r>
        <w:rPr>
          <w:rFonts w:ascii="Times New Roman" w:hAnsi="Times New Roman"/>
          <w:b/>
          <w:i/>
          <w:noProof/>
          <w:sz w:val="24"/>
        </w:rPr>
        <w:t>Emlékezés, oktatás és figyelemfelkeltés</w:t>
      </w:r>
    </w:p>
    <w:bookmarkEnd w:id="3"/>
    <w:p w14:paraId="2113D1D2" w14:textId="23FEF4CD" w:rsidR="00BF6E0E" w:rsidRPr="006107F8" w:rsidRDefault="003E70D4" w:rsidP="00140434">
      <w:pPr>
        <w:spacing w:line="240" w:lineRule="auto"/>
        <w:jc w:val="both"/>
        <w:rPr>
          <w:rFonts w:ascii="Times New Roman" w:hAnsi="Times New Roman" w:cs="Times New Roman"/>
          <w:noProof/>
          <w:sz w:val="24"/>
          <w:szCs w:val="24"/>
        </w:rPr>
      </w:pPr>
      <w:r>
        <w:rPr>
          <w:rFonts w:ascii="Times New Roman" w:hAnsi="Times New Roman"/>
          <w:noProof/>
          <w:sz w:val="24"/>
        </w:rPr>
        <w:t xml:space="preserve">Az emlékezés kulcsszerepet játszik a strukturális rasszizmus elleni küzdelemben, a rasszizmus által érintett személyek szerepvállalásának növelésében, valamint a kirekesztés és a sztereotípiák tudatosításában. </w:t>
      </w:r>
      <w:r>
        <w:rPr>
          <w:rFonts w:ascii="Times New Roman" w:hAnsi="Times New Roman"/>
          <w:b/>
          <w:noProof/>
          <w:sz w:val="24"/>
        </w:rPr>
        <w:t>Az uniós intézmények támogatják</w:t>
      </w:r>
      <w:r>
        <w:rPr>
          <w:rFonts w:ascii="Times New Roman" w:hAnsi="Times New Roman"/>
          <w:noProof/>
          <w:sz w:val="24"/>
        </w:rPr>
        <w:t xml:space="preserve"> a rasszizmussal, valamint a rasszizmus és a faji megkülönböztetés által érintett csoportok történelmével kapcsolatos </w:t>
      </w:r>
      <w:r>
        <w:rPr>
          <w:rFonts w:ascii="Times New Roman" w:hAnsi="Times New Roman"/>
          <w:b/>
          <w:noProof/>
          <w:sz w:val="24"/>
        </w:rPr>
        <w:t>emléknapok megtartását</w:t>
      </w:r>
      <w:r>
        <w:rPr>
          <w:rStyle w:val="FootnoteReference"/>
          <w:rFonts w:ascii="Times New Roman" w:hAnsi="Times New Roman" w:cs="Times New Roman"/>
          <w:noProof/>
          <w:sz w:val="24"/>
          <w:szCs w:val="24"/>
        </w:rPr>
        <w:footnoteReference w:id="17"/>
      </w:r>
      <w:r>
        <w:rPr>
          <w:rFonts w:ascii="Times New Roman" w:hAnsi="Times New Roman"/>
          <w:noProof/>
          <w:sz w:val="24"/>
        </w:rPr>
        <w:t>. A Bizottság – például a Polgárok, egyenlőség, jogok és értékek program keretében – továbbra is támogatni fogja az Európa világtörténelmi örökségével – többek között a gyarmatosítás és annak a társadalmakra gyakorolt hatásának vizsgálatával – foglalkozó projekteket.</w:t>
      </w:r>
    </w:p>
    <w:p w14:paraId="106536F7" w14:textId="070224A2" w:rsidR="00BF6E0E" w:rsidRPr="006107F8" w:rsidRDefault="00B555E7" w:rsidP="00140434">
      <w:pPr>
        <w:spacing w:line="240" w:lineRule="auto"/>
        <w:jc w:val="both"/>
        <w:rPr>
          <w:rFonts w:ascii="Times New Roman" w:hAnsi="Times New Roman" w:cs="Times New Roman"/>
          <w:noProof/>
          <w:sz w:val="24"/>
          <w:szCs w:val="24"/>
        </w:rPr>
      </w:pPr>
      <w:r>
        <w:rPr>
          <w:rFonts w:ascii="Times New Roman" w:hAnsi="Times New Roman"/>
          <w:noProof/>
          <w:sz w:val="24"/>
        </w:rPr>
        <w:t>A rabszolgaság</w:t>
      </w:r>
      <w:r>
        <w:rPr>
          <w:rStyle w:val="FootnoteReference"/>
          <w:rFonts w:ascii="Times New Roman" w:hAnsi="Times New Roman" w:cs="Times New Roman"/>
          <w:noProof/>
          <w:sz w:val="24"/>
          <w:szCs w:val="24"/>
        </w:rPr>
        <w:footnoteReference w:id="18"/>
      </w:r>
      <w:r>
        <w:rPr>
          <w:rFonts w:ascii="Times New Roman" w:hAnsi="Times New Roman"/>
          <w:noProof/>
          <w:sz w:val="24"/>
        </w:rPr>
        <w:t>, a népirtások és a holokauszt mély nyomot hagytak Európa történelmén, és súlyos következményekkel járnak a mai társadalmakra nézve, ezért a rasszizmus gyökereinek megértéséhez elengedhetetlen a történelemoktatás és a történelmi ismeretek javítása. Az oktatásban tapasztalható rasszizmus és antiszemitizmus kezelésére irányuló, az UNESCO-val</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közösen végzett munkára építve </w:t>
      </w:r>
      <w:r>
        <w:rPr>
          <w:rFonts w:ascii="Times New Roman" w:hAnsi="Times New Roman"/>
          <w:b/>
          <w:noProof/>
          <w:sz w:val="24"/>
        </w:rPr>
        <w:t>a Bizottság 2026-ban közös projektet indít az UNESCO-val a rasszizmus elleni küzdelemmel kapcsolatos oktatás</w:t>
      </w:r>
      <w:r>
        <w:rPr>
          <w:rFonts w:ascii="Times New Roman" w:hAnsi="Times New Roman"/>
          <w:noProof/>
          <w:sz w:val="24"/>
        </w:rPr>
        <w:t xml:space="preserve"> megerősítése érdekében, összhangban </w:t>
      </w:r>
      <w:hyperlink r:id="rId31" w:anchor=":~:text=The%20strategic%20framework%20for%20European%20cooperation%20in%20education,good%20practices%20using%20the%20open%20method%20of%20coordination." w:history="1">
        <w:r>
          <w:rPr>
            <w:rStyle w:val="Hyperlink"/>
            <w:rFonts w:ascii="Times New Roman" w:hAnsi="Times New Roman"/>
            <w:noProof/>
            <w:sz w:val="24"/>
          </w:rPr>
          <w:t>az európai oktatási térség stratégiai keretének</w:t>
        </w:r>
      </w:hyperlink>
      <w:r>
        <w:rPr>
          <w:rFonts w:ascii="Times New Roman" w:hAnsi="Times New Roman"/>
          <w:noProof/>
          <w:sz w:val="24"/>
        </w:rPr>
        <w:t xml:space="preserve">, valamint </w:t>
      </w:r>
      <w:hyperlink r:id="rId32" w:history="1">
        <w:r>
          <w:rPr>
            <w:rStyle w:val="Hyperlink"/>
            <w:rFonts w:ascii="Times New Roman" w:hAnsi="Times New Roman"/>
            <w:noProof/>
            <w:sz w:val="24"/>
          </w:rPr>
          <w:t>az uniós ifjúsági stratégia</w:t>
        </w:r>
      </w:hyperlink>
      <w:r>
        <w:rPr>
          <w:rFonts w:ascii="Times New Roman" w:hAnsi="Times New Roman"/>
          <w:noProof/>
          <w:sz w:val="24"/>
        </w:rPr>
        <w:t xml:space="preserve"> prioritásaival</w:t>
      </w:r>
      <w:r>
        <w:rPr>
          <w:noProof/>
        </w:rPr>
        <w:t>.</w:t>
      </w:r>
      <w:r>
        <w:rPr>
          <w:rFonts w:ascii="Times New Roman" w:hAnsi="Times New Roman"/>
          <w:noProof/>
          <w:sz w:val="24"/>
        </w:rPr>
        <w:t xml:space="preserve"> A projekt célja a rasszizmus elleni küzdelemmel kapcsolatos oktatás nemzeti szintű előmozdítása a rasszizmus és az antiszemitizmus elleni nemzeti cselekvési tervek oktatási dimenziója révén.</w:t>
      </w:r>
    </w:p>
    <w:p w14:paraId="643074C6" w14:textId="78440B41" w:rsidR="00E06D6C" w:rsidRPr="006107F8" w:rsidRDefault="002C7A1E" w:rsidP="00FD2041">
      <w:pPr>
        <w:spacing w:line="240" w:lineRule="auto"/>
        <w:jc w:val="both"/>
        <w:rPr>
          <w:rFonts w:ascii="Times New Roman" w:hAnsi="Times New Roman" w:cs="Times New Roman"/>
          <w:b/>
          <w:i/>
          <w:noProof/>
          <w:sz w:val="24"/>
        </w:rPr>
      </w:pPr>
      <w:r>
        <w:rPr>
          <w:rFonts w:ascii="Times New Roman" w:hAnsi="Times New Roman"/>
          <w:noProof/>
          <w:sz w:val="24"/>
        </w:rPr>
        <w:t xml:space="preserve">A média döntő szerepet játszik a rasszizmus által esetlegesen érintett személyek ábrázolásának alakításában. </w:t>
      </w:r>
      <w:r>
        <w:rPr>
          <w:rFonts w:ascii="Times New Roman" w:hAnsi="Times New Roman"/>
          <w:b/>
          <w:noProof/>
          <w:sz w:val="24"/>
        </w:rPr>
        <w:t>A Bizottság a rasszizmus elleni küzdelem médiában – többek között a közösségi médiában – való megjelenésével foglalkozó szemináriumsorozatot szervez</w:t>
      </w:r>
      <w:r>
        <w:rPr>
          <w:rFonts w:ascii="Times New Roman" w:hAnsi="Times New Roman"/>
          <w:noProof/>
          <w:sz w:val="24"/>
        </w:rPr>
        <w:t xml:space="preserve">, amelyen újságírók, civil társadalmi szervezetek és a rasszizmus által érintett közösségek képviselői vesznek részt. A Bizottság emellett uniós szintű </w:t>
      </w:r>
      <w:r>
        <w:rPr>
          <w:rFonts w:ascii="Times New Roman" w:hAnsi="Times New Roman"/>
          <w:b/>
          <w:bCs/>
          <w:noProof/>
          <w:sz w:val="24"/>
        </w:rPr>
        <w:t>kommunikációs kampányt</w:t>
      </w:r>
      <w:r>
        <w:rPr>
          <w:rFonts w:ascii="Times New Roman" w:hAnsi="Times New Roman"/>
          <w:noProof/>
          <w:sz w:val="24"/>
        </w:rPr>
        <w:t xml:space="preserve"> indít </w:t>
      </w:r>
      <w:r>
        <w:rPr>
          <w:rFonts w:ascii="Times New Roman" w:hAnsi="Times New Roman"/>
          <w:b/>
          <w:noProof/>
          <w:sz w:val="24"/>
        </w:rPr>
        <w:t>az egyenlőségközpontú Unióról</w:t>
      </w:r>
      <w:r>
        <w:rPr>
          <w:rFonts w:ascii="Times New Roman" w:hAnsi="Times New Roman"/>
          <w:noProof/>
          <w:sz w:val="24"/>
        </w:rPr>
        <w:t>, amelynek célja a nyilvánosság bevonása a befogadás előmozdítására és a megkülönböztetés elleni küzdelemre irányuló munkába.</w:t>
      </w:r>
    </w:p>
    <w:p w14:paraId="012CAEEA" w14:textId="41D31720" w:rsidR="00BF6E0E" w:rsidRPr="006107F8" w:rsidRDefault="003E70D4" w:rsidP="00FD2041">
      <w:pPr>
        <w:spacing w:line="240" w:lineRule="auto"/>
        <w:jc w:val="both"/>
        <w:rPr>
          <w:rFonts w:ascii="Times New Roman" w:hAnsi="Times New Roman" w:cs="Times New Roman"/>
          <w:b/>
          <w:i/>
          <w:noProof/>
          <w:sz w:val="24"/>
        </w:rPr>
      </w:pPr>
      <w:r>
        <w:rPr>
          <w:rFonts w:ascii="Times New Roman" w:hAnsi="Times New Roman"/>
          <w:b/>
          <w:i/>
          <w:noProof/>
          <w:sz w:val="24"/>
        </w:rPr>
        <w:t>Tudásépítés és tényeken alapuló szakpolitikai döntéshozatal</w:t>
      </w:r>
    </w:p>
    <w:p w14:paraId="6858C9E6" w14:textId="44C43219" w:rsidR="004604D5" w:rsidRPr="006107F8" w:rsidRDefault="003E70D4" w:rsidP="008D07AB">
      <w:pPr>
        <w:spacing w:line="240" w:lineRule="auto"/>
        <w:jc w:val="both"/>
        <w:rPr>
          <w:rFonts w:ascii="Times New Roman" w:hAnsi="Times New Roman" w:cs="Times New Roman"/>
          <w:noProof/>
          <w:sz w:val="24"/>
          <w:szCs w:val="24"/>
        </w:rPr>
      </w:pPr>
      <w:r>
        <w:rPr>
          <w:rFonts w:ascii="Times New Roman" w:hAnsi="Times New Roman"/>
          <w:noProof/>
          <w:sz w:val="24"/>
        </w:rPr>
        <w:t xml:space="preserve">A tudományos kutatás döntő szerepet játszik a rasszizmus elleni küzdelemben azáltal, hogy biztosítja a rasszizmus elleni hatékony politikákhoz szükséges tudásalapot. Az </w:t>
      </w:r>
      <w:hyperlink r:id="rId33" w:history="1">
        <w:r>
          <w:rPr>
            <w:rStyle w:val="Hyperlink"/>
            <w:rFonts w:ascii="Times New Roman" w:hAnsi="Times New Roman"/>
            <w:noProof/>
            <w:sz w:val="24"/>
          </w:rPr>
          <w:t>Európai Kutatási Térség</w:t>
        </w:r>
      </w:hyperlink>
      <w:r>
        <w:rPr>
          <w:rFonts w:ascii="Times New Roman" w:hAnsi="Times New Roman"/>
          <w:noProof/>
          <w:sz w:val="24"/>
        </w:rPr>
        <w:t xml:space="preserve"> </w:t>
      </w:r>
      <w:hyperlink r:id="rId34" w:history="1">
        <w:r>
          <w:rPr>
            <w:rStyle w:val="Hyperlink"/>
            <w:rFonts w:ascii="Times New Roman" w:hAnsi="Times New Roman"/>
            <w:noProof/>
            <w:sz w:val="24"/>
          </w:rPr>
          <w:t>2025–2027-es időszakra szóló szakpolitikai menetrendjének</w:t>
        </w:r>
      </w:hyperlink>
      <w:r>
        <w:rPr>
          <w:rFonts w:ascii="Times New Roman" w:hAnsi="Times New Roman"/>
          <w:noProof/>
          <w:sz w:val="24"/>
        </w:rPr>
        <w:t xml:space="preserve"> célja, hogy inkluzívabbá tegye az európai kutatási és innovációs rendszert. A Bizottság </w:t>
      </w:r>
      <w:r>
        <w:rPr>
          <w:rFonts w:ascii="Times New Roman" w:hAnsi="Times New Roman"/>
          <w:b/>
          <w:noProof/>
          <w:sz w:val="24"/>
        </w:rPr>
        <w:t>iránymutatásokat fog kidolgozni az interszekcionális megközelítés kutatási és innovációs politikában való alkalmazására vonatkozóan</w:t>
      </w:r>
      <w:r>
        <w:rPr>
          <w:rFonts w:ascii="Times New Roman" w:hAnsi="Times New Roman"/>
          <w:noProof/>
          <w:sz w:val="24"/>
        </w:rPr>
        <w:t xml:space="preserve"> annak biztosítása érdekében, hogy a kutatás területén jobban figyelembe vegyék a rasszizmus által érintett személyek szükségleteit. Emellett az európai egyetemek szövetségei a sokszínűség és a befogadás előmozdítását célzó stratégiák és kezdeményezések kidolgozásán munkálkodnak</w:t>
      </w:r>
      <w:r>
        <w:rPr>
          <w:rStyle w:val="FootnoteReference"/>
          <w:rFonts w:ascii="Times New Roman" w:hAnsi="Times New Roman" w:cs="Times New Roman"/>
          <w:noProof/>
          <w:sz w:val="24"/>
          <w:szCs w:val="24"/>
        </w:rPr>
        <w:footnoteReference w:id="20"/>
      </w:r>
      <w:r>
        <w:rPr>
          <w:rFonts w:ascii="Times New Roman" w:hAnsi="Times New Roman"/>
          <w:noProof/>
          <w:sz w:val="24"/>
        </w:rPr>
        <w:t>.</w:t>
      </w:r>
    </w:p>
    <w:p w14:paraId="09AEE4A6" w14:textId="4729072B" w:rsidR="006F05FE" w:rsidRPr="006107F8" w:rsidRDefault="00CA40C3" w:rsidP="00FD2041">
      <w:pPr>
        <w:spacing w:line="240" w:lineRule="auto"/>
        <w:jc w:val="both"/>
        <w:rPr>
          <w:rFonts w:ascii="Times New Roman" w:hAnsi="Times New Roman" w:cs="Times New Roman"/>
          <w:noProof/>
          <w:sz w:val="24"/>
          <w:szCs w:val="24"/>
        </w:rPr>
      </w:pPr>
      <w:r>
        <w:rPr>
          <w:rFonts w:ascii="Times New Roman" w:hAnsi="Times New Roman"/>
          <w:noProof/>
          <w:sz w:val="24"/>
        </w:rPr>
        <w:t>A Bizottság Közös Kutatóközpontja tanulmányt fog készíteni arról, hogy a közösségi média milyen szerepet játszik a fiatalok etnikai sokszínűséghez való hozzáállásának alakításában, és előrejelzési projektet indít a lehetséges jövőbeli tendenciák, például annak vizsgálata érdekében, hogy a rasszizmus és a faji megkülönböztetés a jövőben milyen hatással lesz az EU-ra, valamint hatékony ellenintézkedések kidolgozása céljából.</w:t>
      </w:r>
    </w:p>
    <w:p w14:paraId="4743076D" w14:textId="6570A37D" w:rsidR="00ED352F" w:rsidRPr="006107F8" w:rsidRDefault="00F673CF" w:rsidP="00EA18C7">
      <w:pPr>
        <w:spacing w:line="240" w:lineRule="auto"/>
        <w:jc w:val="both"/>
        <w:rPr>
          <w:rFonts w:ascii="Times New Roman" w:hAnsi="Times New Roman" w:cs="Times New Roman"/>
          <w:b/>
          <w:i/>
          <w:noProof/>
          <w:sz w:val="24"/>
        </w:rPr>
      </w:pPr>
      <w:r>
        <w:rPr>
          <w:rFonts w:ascii="Times New Roman" w:hAnsi="Times New Roman"/>
          <w:noProof/>
          <w:sz w:val="24"/>
        </w:rPr>
        <w:t xml:space="preserve">Az olyan programok, mint </w:t>
      </w:r>
      <w:hyperlink r:id="rId35" w:history="1">
        <w:r>
          <w:rPr>
            <w:rStyle w:val="Hyperlink"/>
            <w:rFonts w:ascii="Times New Roman" w:hAnsi="Times New Roman"/>
            <w:b/>
            <w:noProof/>
            <w:sz w:val="24"/>
          </w:rPr>
          <w:t>a Horizont Európa</w:t>
        </w:r>
      </w:hyperlink>
      <w:r>
        <w:rPr>
          <w:rFonts w:ascii="Times New Roman" w:hAnsi="Times New Roman"/>
          <w:noProof/>
          <w:sz w:val="24"/>
        </w:rPr>
        <w:t xml:space="preserve">, továbbra is támogatni fogják a társadalmi kohéziót, az egyenlőséget és a befogadást előmozdító projekteket – különös tekintettel a </w:t>
      </w:r>
      <w:hyperlink r:id="rId36" w:history="1">
        <w:r>
          <w:rPr>
            <w:rStyle w:val="Hyperlink"/>
            <w:rFonts w:ascii="Times New Roman" w:hAnsi="Times New Roman"/>
            <w:noProof/>
            <w:sz w:val="24"/>
          </w:rPr>
          <w:t>Marie Skłodowska-Curie-cselekvésekre</w:t>
        </w:r>
      </w:hyperlink>
      <w:r>
        <w:rPr>
          <w:rFonts w:ascii="Times New Roman" w:hAnsi="Times New Roman"/>
          <w:noProof/>
          <w:sz w:val="24"/>
        </w:rPr>
        <w:t xml:space="preserve"> –, amelyek elősegítik a sokszínűséget és a befogadást a kutatói közösségen belül. Ezzel párhuzamosan </w:t>
      </w:r>
      <w:r>
        <w:rPr>
          <w:rFonts w:ascii="Times New Roman" w:hAnsi="Times New Roman"/>
          <w:b/>
          <w:noProof/>
          <w:sz w:val="24"/>
        </w:rPr>
        <w:t>a Bizottság arra ösztönzi a tagállamokat és a felsőoktatási intézményeket, hogy integrálják a rasszizmus elleni küzdelemmel kapcsolatos oktatást és kutatást a felsőoktatásba</w:t>
      </w:r>
      <w:r>
        <w:rPr>
          <w:rFonts w:ascii="Times New Roman" w:hAnsi="Times New Roman"/>
          <w:noProof/>
          <w:sz w:val="24"/>
        </w:rPr>
        <w:t>, előmozdítva az inkluzív gondolkodásmódot, és felvértezve a jövőbeli szakembereket a saját területükön tapasztalható rasszizmus és hátrányos megkülönböztetés felismeréséhez és kezeléséhez szükséges készségekkel.</w:t>
      </w:r>
    </w:p>
    <w:p w14:paraId="49E87099" w14:textId="7B92BB6F" w:rsidR="003460E1" w:rsidRPr="006107F8" w:rsidRDefault="003E3FD8" w:rsidP="003460E1">
      <w:pPr>
        <w:spacing w:line="240" w:lineRule="auto"/>
        <w:jc w:val="both"/>
        <w:rPr>
          <w:rFonts w:ascii="Times New Roman" w:hAnsi="Times New Roman" w:cs="Times New Roman"/>
          <w:noProof/>
          <w:sz w:val="24"/>
          <w:u w:val="single"/>
        </w:rPr>
      </w:pPr>
      <w:r>
        <w:rPr>
          <w:rFonts w:ascii="Times New Roman" w:hAnsi="Times New Roman"/>
          <w:b/>
          <w:i/>
          <w:noProof/>
          <w:sz w:val="24"/>
        </w:rPr>
        <w:t xml:space="preserve">Az egyenlőségre vonatkozó adatok gyűjtésének javítása </w:t>
      </w:r>
    </w:p>
    <w:p w14:paraId="7534802F" w14:textId="2D3CDB63" w:rsidR="003460E1" w:rsidRPr="006107F8" w:rsidRDefault="003460E1" w:rsidP="003460E1">
      <w:pPr>
        <w:spacing w:line="240" w:lineRule="auto"/>
        <w:jc w:val="both"/>
        <w:rPr>
          <w:rFonts w:ascii="Times New Roman" w:hAnsi="Times New Roman" w:cs="Times New Roman"/>
          <w:noProof/>
          <w:sz w:val="24"/>
          <w:szCs w:val="24"/>
        </w:rPr>
      </w:pPr>
      <w:r>
        <w:rPr>
          <w:rFonts w:ascii="Times New Roman" w:hAnsi="Times New Roman"/>
          <w:noProof/>
          <w:sz w:val="24"/>
        </w:rPr>
        <w:t xml:space="preserve">Az egyenlőségre vonatkozó megbízható adatok elengedhetetlenek a rasszizmus kezeléséhez és a rasszizmus elleni szempontoknak az uniós, nemzeti, regionális és helyi szakpolitikákba való hatékony integrálásához. Az Eurostat egyenlőséggel és megkülönböztetésmentességgel foglalkozó statisztikai munkacsoportja uniós szintű iránymutatásokat dolgoz ki a és a megkülönböztetés kockázatának kitett csoportokra vonatkozó statisztikai szabványok és adatgyűjtési módszerek összehasonlíthatóságának javítása érdekében. Ezzel összefüggésben </w:t>
      </w:r>
      <w:r>
        <w:rPr>
          <w:rFonts w:ascii="Times New Roman" w:hAnsi="Times New Roman"/>
          <w:b/>
          <w:noProof/>
          <w:sz w:val="24"/>
        </w:rPr>
        <w:t>a Bizottság arra ösztönzi a tagállamokat</w:t>
      </w:r>
      <w:r>
        <w:rPr>
          <w:rFonts w:ascii="Times New Roman" w:hAnsi="Times New Roman"/>
          <w:noProof/>
          <w:sz w:val="24"/>
        </w:rPr>
        <w:t xml:space="preserve">, hogy nemzeti statisztikai hivatalaik közreműködésével </w:t>
      </w:r>
      <w:r>
        <w:rPr>
          <w:rFonts w:ascii="Times New Roman" w:hAnsi="Times New Roman"/>
          <w:b/>
          <w:noProof/>
          <w:sz w:val="24"/>
        </w:rPr>
        <w:t>javítsák az egyenlőségre vonatkozó harmonizált adatok gyűjtését és koordinálását</w:t>
      </w:r>
      <w:r>
        <w:rPr>
          <w:rFonts w:ascii="Times New Roman" w:hAnsi="Times New Roman"/>
          <w:noProof/>
          <w:sz w:val="24"/>
        </w:rPr>
        <w:t>.</w:t>
      </w:r>
    </w:p>
    <w:p w14:paraId="7A268CC6" w14:textId="12B92ACD" w:rsidR="003460E1" w:rsidRPr="006107F8" w:rsidRDefault="002A2434" w:rsidP="003460E1">
      <w:pPr>
        <w:spacing w:line="240" w:lineRule="auto"/>
        <w:jc w:val="both"/>
        <w:rPr>
          <w:rFonts w:ascii="Times New Roman" w:hAnsi="Times New Roman" w:cs="Times New Roman"/>
          <w:noProof/>
          <w:sz w:val="24"/>
          <w:szCs w:val="24"/>
        </w:rPr>
      </w:pPr>
      <w:hyperlink r:id="rId37" w:history="1">
        <w:r w:rsidR="00915293">
          <w:rPr>
            <w:rStyle w:val="Hyperlink"/>
            <w:rFonts w:ascii="Times New Roman" w:hAnsi="Times New Roman"/>
            <w:noProof/>
            <w:sz w:val="24"/>
          </w:rPr>
          <w:t xml:space="preserve">A megkülönböztetés tilalmával foglalkozó magas szintű uniós munkacsoport </w:t>
        </w:r>
      </w:hyperlink>
      <w:hyperlink r:id="rId38" w:history="1">
        <w:r w:rsidR="00915293">
          <w:rPr>
            <w:rStyle w:val="Hyperlink"/>
            <w:rFonts w:ascii="Times New Roman" w:hAnsi="Times New Roman"/>
            <w:noProof/>
            <w:sz w:val="24"/>
          </w:rPr>
          <w:t>egyenlőségre vonatkozó adatokkal foglalkozó alcsoportja</w:t>
        </w:r>
      </w:hyperlink>
      <w:r w:rsidR="00915293">
        <w:rPr>
          <w:rFonts w:ascii="Times New Roman" w:hAnsi="Times New Roman"/>
          <w:noProof/>
          <w:sz w:val="24"/>
        </w:rPr>
        <w:t xml:space="preserve"> segíti a tagállamokat az egyenlőségre vonatkozó adatok gyűjtésének és felhasználásának javításában</w:t>
      </w:r>
      <w:r w:rsidR="00915293">
        <w:rPr>
          <w:rStyle w:val="FootnoteReference"/>
          <w:rFonts w:ascii="Times New Roman" w:hAnsi="Times New Roman" w:cs="Times New Roman"/>
          <w:noProof/>
          <w:sz w:val="24"/>
          <w:szCs w:val="24"/>
        </w:rPr>
        <w:footnoteReference w:id="21"/>
      </w:r>
      <w:r w:rsidR="00915293">
        <w:rPr>
          <w:rFonts w:ascii="Times New Roman" w:hAnsi="Times New Roman"/>
          <w:noProof/>
          <w:sz w:val="24"/>
        </w:rPr>
        <w:t xml:space="preserve">. </w:t>
      </w:r>
      <w:r w:rsidR="00915293">
        <w:rPr>
          <w:rFonts w:ascii="Times New Roman" w:hAnsi="Times New Roman"/>
          <w:b/>
          <w:noProof/>
          <w:sz w:val="24"/>
        </w:rPr>
        <w:t xml:space="preserve">A Bizottság továbbra is együtt fog működni az érintett uniós ügynökségekkel, például az FRA-val, </w:t>
      </w:r>
      <w:hyperlink r:id="rId39" w:history="1">
        <w:r w:rsidR="00915293">
          <w:rPr>
            <w:rStyle w:val="Hyperlink"/>
            <w:rFonts w:ascii="Times New Roman" w:hAnsi="Times New Roman"/>
            <w:b/>
            <w:noProof/>
            <w:sz w:val="24"/>
          </w:rPr>
          <w:t>az Európai Alapítvány az Élet- és Munkakörülmények Javításáért</w:t>
        </w:r>
      </w:hyperlink>
      <w:r w:rsidR="00915293">
        <w:rPr>
          <w:noProof/>
        </w:rPr>
        <w:t xml:space="preserve"> </w:t>
      </w:r>
      <w:r w:rsidR="00915293">
        <w:rPr>
          <w:rFonts w:ascii="Times New Roman" w:hAnsi="Times New Roman"/>
          <w:b/>
          <w:noProof/>
          <w:sz w:val="24"/>
        </w:rPr>
        <w:t xml:space="preserve">elnevezésű uniós szervvel és a </w:t>
      </w:r>
      <w:hyperlink r:id="rId40" w:history="1">
        <w:r w:rsidR="00915293">
          <w:rPr>
            <w:rStyle w:val="Hyperlink"/>
            <w:rFonts w:ascii="Times New Roman" w:hAnsi="Times New Roman"/>
            <w:b/>
            <w:noProof/>
            <w:sz w:val="24"/>
          </w:rPr>
          <w:t>Nemek Közötti Egyenlőség Európai Intézetével</w:t>
        </w:r>
      </w:hyperlink>
      <w:r w:rsidR="00915293">
        <w:rPr>
          <w:rFonts w:ascii="Times New Roman" w:hAnsi="Times New Roman"/>
          <w:b/>
          <w:noProof/>
          <w:sz w:val="24"/>
        </w:rPr>
        <w:t>, hogy technikai segítséget nyújtson</w:t>
      </w:r>
      <w:r w:rsidR="00915293">
        <w:rPr>
          <w:rFonts w:ascii="Times New Roman" w:hAnsi="Times New Roman"/>
          <w:noProof/>
          <w:sz w:val="24"/>
        </w:rPr>
        <w:t xml:space="preserve"> a tagállamoknak az egyenlőségre vonatkozó adatokkal kapcsolatban, beleértve az interszekcionális megkülönböztetésre vonatkozó célzott adatokat is.</w:t>
      </w:r>
    </w:p>
    <w:p w14:paraId="33F371F4" w14:textId="6F312EE5" w:rsidR="003460E1" w:rsidRPr="006107F8" w:rsidRDefault="003460E1" w:rsidP="003460E1">
      <w:pPr>
        <w:spacing w:line="240" w:lineRule="auto"/>
        <w:jc w:val="both"/>
        <w:rPr>
          <w:rFonts w:ascii="Times New Roman" w:hAnsi="Times New Roman" w:cs="Times New Roman"/>
          <w:noProof/>
          <w:sz w:val="24"/>
          <w:szCs w:val="24"/>
        </w:rPr>
      </w:pPr>
      <w:r>
        <w:rPr>
          <w:rFonts w:ascii="Times New Roman" w:hAnsi="Times New Roman"/>
          <w:b/>
          <w:noProof/>
          <w:sz w:val="24"/>
        </w:rPr>
        <w:t xml:space="preserve">A Bizottság ajánlást fog készíteni az egyenlőségre vonatkozó lebontott adatok gyűjtésének, elemzésének és felhasználásának javítására is, </w:t>
      </w:r>
      <w:r>
        <w:rPr>
          <w:rFonts w:ascii="Times New Roman" w:hAnsi="Times New Roman"/>
          <w:noProof/>
          <w:sz w:val="24"/>
        </w:rPr>
        <w:t>összhangban a nemzeti jogi keretekkel, és figyelembe véve az esetleges további adminisztratív terheket. A Bizottság tovább fogja fejleszteni az egyenlőségközpontú Unió megvalósítása és az esélyegyenlőségi stratégiák végrehajtása terén elért eredmények nyomon követésére szolgáló eszközöket, többek között a faji és etnikai származáson alapuló megkülönböztetésre vonatkozó adatok révén. A Bizottság magas szintű európai kerekasztalt fog szervezni az egyenlőségre vonatkozó adatokkal kapcsolatban, amely összefogja a kulcsfontosságú érdekelt feleket az egyenlőségre vonatkozó adatok gyűjtésének és felhasználásának további előmozdítása érdekében, a nemzeti jogi keretekkel összhangban.</w:t>
      </w:r>
    </w:p>
    <w:p w14:paraId="1D677862" w14:textId="02F3BD24" w:rsidR="003460E1" w:rsidRPr="006107F8" w:rsidRDefault="0010602E" w:rsidP="003460E1">
      <w:pPr>
        <w:spacing w:line="240" w:lineRule="auto"/>
        <w:jc w:val="both"/>
        <w:rPr>
          <w:rFonts w:ascii="Times New Roman" w:hAnsi="Times New Roman" w:cs="Times New Roman"/>
          <w:b/>
          <w:noProof/>
          <w:sz w:val="24"/>
        </w:rPr>
      </w:pPr>
      <w:r>
        <w:rPr>
          <w:rFonts w:ascii="Times New Roman" w:hAnsi="Times New Roman"/>
          <w:noProof/>
          <w:sz w:val="24"/>
        </w:rPr>
        <w:t>Az FRA el fogja készíteni</w:t>
      </w:r>
      <w:r>
        <w:rPr>
          <w:noProof/>
        </w:rPr>
        <w:t xml:space="preserve"> </w:t>
      </w:r>
      <w:hyperlink r:id="rId41" w:history="1">
        <w:r>
          <w:rPr>
            <w:rStyle w:val="Hyperlink"/>
            <w:rFonts w:ascii="Times New Roman" w:hAnsi="Times New Roman"/>
            <w:noProof/>
            <w:sz w:val="24"/>
          </w:rPr>
          <w:t>a bevándorlókról és a bevándorlók leszármazottairól szóló negyedik felmérését</w:t>
        </w:r>
      </w:hyperlink>
      <w:r>
        <w:rPr>
          <w:rFonts w:ascii="Times New Roman" w:hAnsi="Times New Roman"/>
          <w:noProof/>
          <w:sz w:val="24"/>
        </w:rPr>
        <w:t>, hogy átfogó adatokat nyerjen a faji megkülönböztetés kockázatának kitett személyekről, valamint felmérést fog végezni a romák helyzetéről, támogatva a stratégiával</w:t>
      </w:r>
      <w:r>
        <w:rPr>
          <w:noProof/>
        </w:rPr>
        <w:t xml:space="preserve"> és </w:t>
      </w:r>
      <w:hyperlink r:id="rId42" w:history="1">
        <w:r>
          <w:rPr>
            <w:rStyle w:val="Hyperlink"/>
            <w:rFonts w:ascii="Times New Roman" w:hAnsi="Times New Roman"/>
            <w:noProof/>
            <w:sz w:val="24"/>
          </w:rPr>
          <w:t>az uniós romastratégiai kerettel</w:t>
        </w:r>
      </w:hyperlink>
      <w:r>
        <w:rPr>
          <w:rFonts w:ascii="Times New Roman" w:hAnsi="Times New Roman"/>
          <w:noProof/>
          <w:sz w:val="24"/>
        </w:rPr>
        <w:t xml:space="preserve"> kapcsolatos munkát. Az adatgyűjtés fellendítése érdekében </w:t>
      </w:r>
      <w:r>
        <w:rPr>
          <w:rFonts w:ascii="Times New Roman" w:hAnsi="Times New Roman"/>
          <w:b/>
          <w:noProof/>
          <w:sz w:val="24"/>
        </w:rPr>
        <w:t>a Bizottság 2027-ben egy új Eurobarométer felmérést is közzé fog tenni a megkülönböztetésről</w:t>
      </w:r>
      <w:r>
        <w:rPr>
          <w:rFonts w:ascii="Times New Roman" w:hAnsi="Times New Roman"/>
          <w:noProof/>
          <w:sz w:val="24"/>
        </w:rPr>
        <w:t>.</w:t>
      </w:r>
    </w:p>
    <w:p w14:paraId="24181E9F" w14:textId="6A1C6D21" w:rsidR="00BF6E0E" w:rsidRPr="006107F8" w:rsidRDefault="00097B81" w:rsidP="00FD204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rPr>
      </w:pPr>
      <w:r>
        <w:rPr>
          <w:rFonts w:ascii="Times New Roman" w:hAnsi="Times New Roman"/>
          <w:b/>
          <w:noProof/>
          <w:sz w:val="24"/>
        </w:rPr>
        <w:t xml:space="preserve">A Bizottság </w:t>
      </w:r>
    </w:p>
    <w:p w14:paraId="18A6E601" w14:textId="5F8BCD93" w:rsidR="00A50D67" w:rsidRPr="006107F8" w:rsidRDefault="00A3489C"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Pr>
          <w:rFonts w:ascii="Times New Roman" w:hAnsi="Times New Roman"/>
          <w:noProof/>
          <w:sz w:val="24"/>
        </w:rPr>
        <w:t>az UNESCO-val közös projektet hajt végre a rasszizmus elleni küzdelemmel kapcsolatos oktatás megerősítése érdekében;</w:t>
      </w:r>
    </w:p>
    <w:p w14:paraId="4B194DDB" w14:textId="24B4858A" w:rsidR="005F71A1" w:rsidRPr="006107F8" w:rsidRDefault="005F71A1" w:rsidP="005F71A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Pr>
          <w:rFonts w:ascii="Times New Roman" w:hAnsi="Times New Roman"/>
          <w:noProof/>
          <w:sz w:val="24"/>
        </w:rPr>
        <w:t>átfogó tanulmányt készít a muszlimellenes gyűlölet megnyilvánulási formáiról;</w:t>
      </w:r>
    </w:p>
    <w:p w14:paraId="010DE26D" w14:textId="64ABB909" w:rsidR="008937FC" w:rsidRPr="006107F8" w:rsidRDefault="00A50D67"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Pr>
          <w:rFonts w:ascii="Times New Roman" w:hAnsi="Times New Roman"/>
          <w:noProof/>
          <w:sz w:val="24"/>
        </w:rPr>
        <w:t>széles körű kommunikációs kampányt indít az egyenlőségközpontú Unióról, amely Unió-szerte bevonja az embereket a befogadás előmozdításába és a hátrányos megkülönböztetés elleni küzdelembe;</w:t>
      </w:r>
    </w:p>
    <w:p w14:paraId="3484FD60" w14:textId="69609CE9" w:rsidR="00191528" w:rsidRPr="006107F8" w:rsidRDefault="00191528"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Pr>
          <w:rFonts w:ascii="Times New Roman" w:hAnsi="Times New Roman"/>
          <w:noProof/>
          <w:sz w:val="24"/>
        </w:rPr>
        <w:t>iránymutatásokat dolgoz ki az interszekcionális megközelítés kutatási és innovációs politikában való alkalmazására vonatkozóan annak biztosítása érdekében, hogy a kutatás területén jobban figyelembe vegyék a rasszizmus által érintett személyek szükségleteit</w:t>
      </w:r>
      <w:r>
        <w:rPr>
          <w:rFonts w:ascii="Times New Roman" w:hAnsi="Times New Roman"/>
          <w:noProof/>
          <w:sz w:val="18"/>
        </w:rPr>
        <w:t>;</w:t>
      </w:r>
    </w:p>
    <w:p w14:paraId="113C1CBE" w14:textId="2AE681D0" w:rsidR="00EB002E" w:rsidRPr="006107F8" w:rsidRDefault="00B02CF9" w:rsidP="00AD4D59">
      <w:pPr>
        <w:pStyle w:val="ListParagraph"/>
        <w:numPr>
          <w:ilvl w:val="0"/>
          <w:numId w:val="4"/>
        </w:numPr>
        <w:pBdr>
          <w:top w:val="single" w:sz="4" w:space="1" w:color="auto"/>
          <w:left w:val="single" w:sz="4" w:space="4" w:color="auto"/>
          <w:bottom w:val="single" w:sz="4" w:space="1" w:color="auto"/>
          <w:right w:val="single" w:sz="4" w:space="4" w:color="auto"/>
        </w:pBdr>
        <w:tabs>
          <w:tab w:val="left" w:pos="426"/>
        </w:tabs>
        <w:spacing w:line="240" w:lineRule="auto"/>
        <w:jc w:val="both"/>
        <w:rPr>
          <w:rFonts w:ascii="Times New Roman" w:hAnsi="Times New Roman" w:cs="Times New Roman"/>
          <w:noProof/>
          <w:sz w:val="24"/>
        </w:rPr>
      </w:pPr>
      <w:r>
        <w:rPr>
          <w:rFonts w:ascii="Times New Roman" w:hAnsi="Times New Roman"/>
          <w:noProof/>
          <w:sz w:val="24"/>
        </w:rPr>
        <w:t>ajánlást készít az egyenlőségre vonatkozó lebontott adatok gyűjtésének, elemzésének és felhasználásának javítására, a nemzeti jogi keretekkel összhangban;</w:t>
      </w:r>
    </w:p>
    <w:p w14:paraId="4ACF1D78" w14:textId="380AA752" w:rsidR="00E06D6C" w:rsidRPr="006107F8" w:rsidRDefault="00E06D6C" w:rsidP="00C73423">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Pr>
          <w:rFonts w:ascii="Times New Roman" w:hAnsi="Times New Roman"/>
          <w:noProof/>
          <w:sz w:val="24"/>
        </w:rPr>
        <w:t>2027-ben új Eurobarométer felmérést tesz közzé a hátrányos megkülönböztetésre vonatkozóan.</w:t>
      </w:r>
    </w:p>
    <w:p w14:paraId="4F5B1440" w14:textId="77777777" w:rsidR="00E06D6C" w:rsidRPr="006107F8" w:rsidRDefault="00E06D6C" w:rsidP="00FD2041">
      <w:pPr>
        <w:pStyle w:val="ListParagraph"/>
        <w:pBdr>
          <w:top w:val="single" w:sz="4" w:space="1" w:color="auto"/>
          <w:left w:val="single" w:sz="4" w:space="4" w:color="auto"/>
          <w:bottom w:val="single" w:sz="4" w:space="1" w:color="auto"/>
          <w:right w:val="single" w:sz="4" w:space="4" w:color="auto"/>
        </w:pBdr>
        <w:tabs>
          <w:tab w:val="left" w:pos="426"/>
        </w:tabs>
        <w:spacing w:line="240" w:lineRule="auto"/>
        <w:ind w:left="0"/>
        <w:jc w:val="both"/>
        <w:rPr>
          <w:rFonts w:ascii="Times New Roman" w:hAnsi="Times New Roman" w:cs="Times New Roman"/>
          <w:b/>
          <w:noProof/>
          <w:sz w:val="24"/>
        </w:rPr>
      </w:pPr>
    </w:p>
    <w:p w14:paraId="35E2D950" w14:textId="0ACC4B9B" w:rsidR="00D855CC" w:rsidRPr="006107F8" w:rsidRDefault="00D855CC" w:rsidP="00FD2041">
      <w:pPr>
        <w:pStyle w:val="ListParagraph"/>
        <w:pBdr>
          <w:top w:val="single" w:sz="4" w:space="1" w:color="auto"/>
          <w:left w:val="single" w:sz="4" w:space="4" w:color="auto"/>
          <w:bottom w:val="single" w:sz="4" w:space="1" w:color="auto"/>
          <w:right w:val="single" w:sz="4" w:space="4" w:color="auto"/>
        </w:pBdr>
        <w:tabs>
          <w:tab w:val="left" w:pos="426"/>
        </w:tabs>
        <w:spacing w:line="240" w:lineRule="auto"/>
        <w:ind w:left="0"/>
        <w:jc w:val="both"/>
        <w:rPr>
          <w:rFonts w:ascii="Times New Roman" w:hAnsi="Times New Roman" w:cs="Times New Roman"/>
          <w:b/>
          <w:noProof/>
          <w:sz w:val="24"/>
        </w:rPr>
      </w:pPr>
      <w:r>
        <w:rPr>
          <w:rFonts w:ascii="Times New Roman" w:hAnsi="Times New Roman"/>
          <w:b/>
          <w:noProof/>
          <w:sz w:val="24"/>
        </w:rPr>
        <w:t>A Bizottság arra ösztönzi a tagállamokat, hogy</w:t>
      </w:r>
    </w:p>
    <w:p w14:paraId="1C6CC24A" w14:textId="680EBF7C" w:rsidR="00D855CC" w:rsidRPr="006107F8" w:rsidRDefault="00D855CC" w:rsidP="00FD2041">
      <w:pPr>
        <w:pStyle w:val="ListParagraph"/>
        <w:numPr>
          <w:ilvl w:val="0"/>
          <w:numId w:val="5"/>
        </w:numPr>
        <w:pBdr>
          <w:top w:val="single" w:sz="4" w:space="1" w:color="auto"/>
          <w:left w:val="single" w:sz="4" w:space="4" w:color="auto"/>
          <w:bottom w:val="single" w:sz="4" w:space="1" w:color="auto"/>
          <w:right w:val="single" w:sz="4" w:space="4" w:color="auto"/>
        </w:pBdr>
        <w:tabs>
          <w:tab w:val="left" w:pos="426"/>
        </w:tabs>
        <w:spacing w:line="240" w:lineRule="auto"/>
        <w:jc w:val="both"/>
        <w:rPr>
          <w:rFonts w:ascii="Times New Roman" w:hAnsi="Times New Roman" w:cs="Times New Roman"/>
          <w:noProof/>
          <w:sz w:val="24"/>
        </w:rPr>
      </w:pPr>
      <w:r>
        <w:rPr>
          <w:rFonts w:ascii="Times New Roman" w:hAnsi="Times New Roman"/>
          <w:noProof/>
          <w:sz w:val="24"/>
        </w:rPr>
        <w:t>támogassák a rasszizmus elleni küzdelemmel kapcsolatos oktatás és kutatás felsőoktatásba való integrálását;</w:t>
      </w:r>
    </w:p>
    <w:p w14:paraId="28BEF979" w14:textId="3A7084F1" w:rsidR="00A95C51" w:rsidRPr="006107F8" w:rsidRDefault="00EB002E" w:rsidP="00A95C51">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Pr>
          <w:rFonts w:ascii="Times New Roman" w:hAnsi="Times New Roman"/>
          <w:noProof/>
          <w:sz w:val="24"/>
        </w:rPr>
        <w:t>javítsák az egyenlőségre vonatkozó harmonizált adatok gyűjtését a nemzeti statisztikai hivatalok közreműködésével.</w:t>
      </w:r>
    </w:p>
    <w:p w14:paraId="4BCE882F" w14:textId="73B2A71A" w:rsidR="00C04FE4" w:rsidRPr="006107F8" w:rsidRDefault="00C04FE4">
      <w:pPr>
        <w:spacing w:after="0" w:line="240" w:lineRule="auto"/>
        <w:rPr>
          <w:rFonts w:ascii="Times New Roman" w:hAnsi="Times New Roman" w:cs="Times New Roman"/>
          <w:b/>
          <w:noProof/>
          <w:sz w:val="24"/>
        </w:rPr>
      </w:pPr>
      <w:bookmarkStart w:id="4" w:name="_Hlk214613334"/>
    </w:p>
    <w:p w14:paraId="40F04ED4" w14:textId="77777777" w:rsidR="009F43CA" w:rsidRDefault="009F43CA" w:rsidP="00FD2041">
      <w:pPr>
        <w:spacing w:line="240" w:lineRule="auto"/>
        <w:jc w:val="both"/>
        <w:rPr>
          <w:rFonts w:ascii="Times New Roman" w:hAnsi="Times New Roman" w:cs="Times New Roman"/>
          <w:b/>
          <w:noProof/>
          <w:sz w:val="24"/>
        </w:rPr>
      </w:pPr>
    </w:p>
    <w:p w14:paraId="470FB6D1" w14:textId="3B4AD593" w:rsidR="00BF6E0E" w:rsidRPr="006107F8" w:rsidRDefault="003E70D4" w:rsidP="00FD2041">
      <w:pPr>
        <w:spacing w:line="240" w:lineRule="auto"/>
        <w:jc w:val="both"/>
        <w:rPr>
          <w:rFonts w:ascii="Times New Roman" w:hAnsi="Times New Roman" w:cs="Times New Roman"/>
          <w:noProof/>
          <w:sz w:val="24"/>
        </w:rPr>
      </w:pPr>
      <w:r>
        <w:rPr>
          <w:rFonts w:ascii="Times New Roman" w:hAnsi="Times New Roman"/>
          <w:b/>
          <w:noProof/>
          <w:sz w:val="24"/>
        </w:rPr>
        <w:t>II. FEJEZET – A HÁTRÁNYOS MEGKÜLÖNBÖZTETÉS ELLENI JOGSZABÁLYOK VÉGREHAJTÁSA ÉS A FAJGYŰLÖLET ELLENI VÉDELEM FOKOZÁSA</w:t>
      </w:r>
    </w:p>
    <w:p w14:paraId="40E54665" w14:textId="457AA15A" w:rsidR="00BF6E0E" w:rsidRPr="006107F8" w:rsidRDefault="171E31D5" w:rsidP="00BF3DB3">
      <w:pPr>
        <w:numPr>
          <w:ilvl w:val="0"/>
          <w:numId w:val="20"/>
        </w:numPr>
        <w:spacing w:line="240" w:lineRule="auto"/>
        <w:jc w:val="both"/>
        <w:rPr>
          <w:rFonts w:ascii="Times New Roman" w:hAnsi="Times New Roman" w:cs="Times New Roman"/>
          <w:i/>
          <w:iCs/>
          <w:noProof/>
          <w:sz w:val="24"/>
          <w:szCs w:val="24"/>
        </w:rPr>
      </w:pPr>
      <w:bookmarkStart w:id="5" w:name="_Hlk211616846"/>
      <w:r>
        <w:rPr>
          <w:rFonts w:ascii="Times New Roman" w:hAnsi="Times New Roman"/>
          <w:i/>
          <w:noProof/>
          <w:sz w:val="24"/>
        </w:rPr>
        <w:t>Az uniós polgárok több mint fele szerint széles körben elterjedt a roma származáson (65 %), bőrszínen (61 %) és etnikai származáson (60 %)</w:t>
      </w:r>
      <w:r>
        <w:rPr>
          <w:rStyle w:val="FootnoteReference"/>
          <w:rFonts w:ascii="Times New Roman" w:hAnsi="Times New Roman" w:cs="Times New Roman"/>
          <w:i/>
          <w:iCs/>
          <w:noProof/>
          <w:sz w:val="24"/>
          <w:szCs w:val="24"/>
          <w:lang w:val="de-DE"/>
        </w:rPr>
        <w:footnoteReference w:id="22"/>
      </w:r>
      <w:r>
        <w:rPr>
          <w:rFonts w:ascii="Times New Roman" w:hAnsi="Times New Roman"/>
          <w:i/>
          <w:noProof/>
          <w:sz w:val="24"/>
        </w:rPr>
        <w:t xml:space="preserve"> alapuló hátrányos megkülönböztetés.</w:t>
      </w:r>
    </w:p>
    <w:p w14:paraId="36CA5BB2" w14:textId="18D4D75C" w:rsidR="00BF6E0E" w:rsidRPr="006107F8" w:rsidRDefault="171E31D5" w:rsidP="00BF3DB3">
      <w:pPr>
        <w:numPr>
          <w:ilvl w:val="0"/>
          <w:numId w:val="20"/>
        </w:numPr>
        <w:spacing w:line="240" w:lineRule="auto"/>
        <w:jc w:val="both"/>
        <w:rPr>
          <w:rFonts w:ascii="Times New Roman" w:hAnsi="Times New Roman" w:cs="Times New Roman"/>
          <w:i/>
          <w:iCs/>
          <w:noProof/>
          <w:sz w:val="24"/>
          <w:szCs w:val="24"/>
        </w:rPr>
      </w:pPr>
      <w:r>
        <w:rPr>
          <w:rFonts w:ascii="Times New Roman" w:hAnsi="Times New Roman"/>
          <w:i/>
          <w:noProof/>
          <w:sz w:val="24"/>
        </w:rPr>
        <w:t>A zsidók 96 %-a állítja, hogy az elmúlt évben szembesült antiszemitizmussal, és 80 %-uk szerint az elmúlt években súlyosbodott az antiszemitizmus helyzete</w:t>
      </w:r>
      <w:r>
        <w:rPr>
          <w:rStyle w:val="FootnoteReference"/>
          <w:rFonts w:ascii="Times New Roman" w:hAnsi="Times New Roman" w:cs="Times New Roman"/>
          <w:i/>
          <w:iCs/>
          <w:noProof/>
          <w:sz w:val="24"/>
          <w:szCs w:val="24"/>
        </w:rPr>
        <w:footnoteReference w:id="23"/>
      </w:r>
      <w:r>
        <w:rPr>
          <w:rFonts w:ascii="Times New Roman" w:hAnsi="Times New Roman"/>
          <w:i/>
          <w:noProof/>
          <w:sz w:val="24"/>
        </w:rPr>
        <w:t>.</w:t>
      </w:r>
    </w:p>
    <w:p w14:paraId="0C2C8EB0" w14:textId="029B8B39" w:rsidR="00BF6E0E" w:rsidRPr="006107F8" w:rsidRDefault="171E31D5" w:rsidP="00BF3DB3">
      <w:pPr>
        <w:numPr>
          <w:ilvl w:val="0"/>
          <w:numId w:val="20"/>
        </w:numPr>
        <w:spacing w:line="240" w:lineRule="auto"/>
        <w:jc w:val="both"/>
        <w:rPr>
          <w:rFonts w:ascii="Times New Roman" w:hAnsi="Times New Roman" w:cs="Times New Roman"/>
          <w:i/>
          <w:iCs/>
          <w:noProof/>
          <w:sz w:val="24"/>
          <w:szCs w:val="24"/>
        </w:rPr>
      </w:pPr>
      <w:r>
        <w:rPr>
          <w:rFonts w:ascii="Times New Roman" w:hAnsi="Times New Roman"/>
          <w:i/>
          <w:noProof/>
          <w:sz w:val="24"/>
        </w:rPr>
        <w:t>Az EU-ban élő afrikai származású emberek közel fele szembesül rasszizmussal a mindennapi életben</w:t>
      </w:r>
      <w:r>
        <w:rPr>
          <w:rStyle w:val="FootnoteReference"/>
          <w:rFonts w:ascii="Times New Roman" w:hAnsi="Times New Roman" w:cs="Times New Roman"/>
          <w:i/>
          <w:iCs/>
          <w:noProof/>
          <w:sz w:val="24"/>
          <w:szCs w:val="24"/>
        </w:rPr>
        <w:footnoteReference w:id="24"/>
      </w:r>
      <w:r>
        <w:rPr>
          <w:rFonts w:ascii="Times New Roman" w:hAnsi="Times New Roman"/>
          <w:i/>
          <w:noProof/>
          <w:sz w:val="24"/>
        </w:rPr>
        <w:t>.</w:t>
      </w:r>
    </w:p>
    <w:p w14:paraId="2D5B1BE4" w14:textId="6D53211F" w:rsidR="00DB5165" w:rsidRPr="006107F8" w:rsidRDefault="006801DA" w:rsidP="00DB5165">
      <w:pPr>
        <w:spacing w:line="240" w:lineRule="auto"/>
        <w:jc w:val="both"/>
        <w:rPr>
          <w:rFonts w:ascii="Times New Roman" w:hAnsi="Times New Roman" w:cs="Times New Roman"/>
          <w:noProof/>
          <w:sz w:val="24"/>
          <w:szCs w:val="24"/>
        </w:rPr>
      </w:pPr>
      <w:r>
        <w:rPr>
          <w:rFonts w:ascii="Times New Roman" w:hAnsi="Times New Roman"/>
          <w:noProof/>
          <w:sz w:val="24"/>
        </w:rPr>
        <w:t xml:space="preserve">A rasszizmus faji vagy etnikai származáson alapuló megkülönböztetéshez vezethet. A faji vagy etnikai származáson alapuló megkülönböztetéssel szembeni védelmet </w:t>
      </w:r>
      <w:hyperlink r:id="rId43" w:history="1">
        <w:r>
          <w:rPr>
            <w:rStyle w:val="Hyperlink"/>
            <w:rFonts w:ascii="Times New Roman" w:hAnsi="Times New Roman"/>
            <w:noProof/>
            <w:sz w:val="24"/>
          </w:rPr>
          <w:t>az Európai Unió Alapjogi Chartája</w:t>
        </w:r>
      </w:hyperlink>
      <w:r>
        <w:rPr>
          <w:rFonts w:ascii="Times New Roman" w:hAnsi="Times New Roman"/>
          <w:noProof/>
          <w:sz w:val="24"/>
        </w:rPr>
        <w:t xml:space="preserve"> és </w:t>
      </w:r>
      <w:r>
        <w:rPr>
          <w:rFonts w:ascii="Times New Roman" w:hAnsi="Times New Roman"/>
          <w:b/>
          <w:noProof/>
          <w:sz w:val="24"/>
        </w:rPr>
        <w:t>a megkülönböztetés elleni uniós jogszabályok</w:t>
      </w:r>
      <w:r>
        <w:rPr>
          <w:rFonts w:ascii="Times New Roman" w:hAnsi="Times New Roman"/>
          <w:noProof/>
          <w:sz w:val="24"/>
        </w:rPr>
        <w:t xml:space="preserve"> rögzítik.</w:t>
      </w:r>
      <w:r w:rsidRPr="006F20EB">
        <w:rPr>
          <w:rFonts w:ascii="Times New Roman" w:hAnsi="Times New Roman"/>
          <w:bCs/>
          <w:noProof/>
          <w:sz w:val="24"/>
        </w:rPr>
        <w:t xml:space="preserve"> </w:t>
      </w:r>
      <w:hyperlink r:id="rId44" w:history="1">
        <w:r>
          <w:rPr>
            <w:rStyle w:val="Hyperlink"/>
            <w:rFonts w:ascii="Times New Roman" w:hAnsi="Times New Roman"/>
            <w:noProof/>
            <w:sz w:val="24"/>
          </w:rPr>
          <w:t>A faji egyenlőségről szóló irányelv</w:t>
        </w:r>
      </w:hyperlink>
      <w:r>
        <w:rPr>
          <w:rFonts w:ascii="Times New Roman" w:hAnsi="Times New Roman"/>
          <w:noProof/>
          <w:sz w:val="24"/>
        </w:rPr>
        <w:t xml:space="preserve"> tiltja a „faji vagy etnikai származáson alapuló megkülönböztetést”, amely akkor fordul elő, ha egy személy faji vagy etnikai származása alapján más személyekhez képest kedvezőtlenebb bánásmódban részesül vagy különösen hátrányos helyzetbe kerül. </w:t>
      </w:r>
      <w:hyperlink r:id="rId45">
        <w:r>
          <w:rPr>
            <w:rStyle w:val="Hyperlink"/>
            <w:rFonts w:ascii="Times New Roman" w:hAnsi="Times New Roman"/>
            <w:noProof/>
            <w:sz w:val="24"/>
          </w:rPr>
          <w:t>Az egyenlőséggel foglalkozó szervekre vonatkozó előírásokról szóló irányelveket</w:t>
        </w:r>
      </w:hyperlink>
      <w:r>
        <w:rPr>
          <w:rFonts w:ascii="Times New Roman" w:hAnsi="Times New Roman"/>
          <w:noProof/>
          <w:sz w:val="24"/>
        </w:rPr>
        <w:t xml:space="preserve"> a megkülönböztetés elleni szabályok jobb érvényesítése érdekében fogadták el.</w:t>
      </w:r>
    </w:p>
    <w:p w14:paraId="75786C02" w14:textId="5C1E362A" w:rsidR="006801DA" w:rsidRPr="006107F8" w:rsidRDefault="006801DA" w:rsidP="006801DA">
      <w:pPr>
        <w:spacing w:line="240" w:lineRule="auto"/>
        <w:jc w:val="both"/>
        <w:rPr>
          <w:rFonts w:ascii="Times New Roman" w:hAnsi="Times New Roman" w:cs="Times New Roman"/>
          <w:noProof/>
          <w:sz w:val="24"/>
          <w:szCs w:val="24"/>
        </w:rPr>
      </w:pPr>
      <w:r>
        <w:rPr>
          <w:rFonts w:ascii="Times New Roman" w:hAnsi="Times New Roman"/>
          <w:noProof/>
          <w:sz w:val="24"/>
        </w:rPr>
        <w:t>A bűncselekmények tekintetében kulcsfontosságú jogszabály</w:t>
      </w:r>
      <w:hyperlink r:id="rId46" w:history="1">
        <w:r>
          <w:rPr>
            <w:rStyle w:val="Hyperlink"/>
            <w:rFonts w:ascii="Times New Roman" w:hAnsi="Times New Roman"/>
            <w:noProof/>
            <w:sz w:val="24"/>
          </w:rPr>
          <w:t xml:space="preserve"> a rasszizmus és az idegengyűlölet egyes formái és megnyilvánulásai elleni, büntetőjogi eszközökkel történő küzdelemről szóló kerethatározat.</w:t>
        </w:r>
      </w:hyperlink>
      <w:r>
        <w:rPr>
          <w:rFonts w:ascii="Times New Roman" w:hAnsi="Times New Roman"/>
          <w:noProof/>
          <w:sz w:val="24"/>
        </w:rPr>
        <w:t xml:space="preserve"> A rasszizmus és az idegengyűlölet bizonyos súlyos megnyilvánulásainak</w:t>
      </w:r>
      <w:r>
        <w:rPr>
          <w:rStyle w:val="FootnoteReference"/>
          <w:rFonts w:ascii="Times New Roman" w:hAnsi="Times New Roman" w:cs="Times New Roman"/>
          <w:noProof/>
          <w:sz w:val="24"/>
          <w:szCs w:val="24"/>
        </w:rPr>
        <w:footnoteReference w:id="25"/>
      </w:r>
      <w:r>
        <w:rPr>
          <w:rFonts w:ascii="Times New Roman" w:hAnsi="Times New Roman"/>
          <w:noProof/>
          <w:sz w:val="24"/>
        </w:rPr>
        <w:t xml:space="preserve"> minden uniós országban bűncselekménynek kell minősülniük, és hatékony, arányos és visszatartó erejű szankciókkal kell büntetni azokat.</w:t>
      </w:r>
    </w:p>
    <w:p w14:paraId="20D402DE" w14:textId="292A8BD6" w:rsidR="00FC53E3" w:rsidRPr="006107F8" w:rsidRDefault="171E31D5" w:rsidP="00EB6BCC">
      <w:pPr>
        <w:spacing w:line="240" w:lineRule="auto"/>
        <w:jc w:val="both"/>
        <w:rPr>
          <w:rFonts w:ascii="Times New Roman" w:hAnsi="Times New Roman" w:cs="Times New Roman"/>
          <w:b/>
          <w:i/>
          <w:noProof/>
          <w:sz w:val="24"/>
        </w:rPr>
      </w:pPr>
      <w:r>
        <w:rPr>
          <w:rFonts w:ascii="Times New Roman" w:hAnsi="Times New Roman"/>
          <w:noProof/>
          <w:sz w:val="24"/>
        </w:rPr>
        <w:t>Az EU-ban mindenki számára lehetővé kell tenni, hogy maradéktalanul és egyenlő módon élhessen jogaival. Ennek ellenére sokan szembesülnek faji megkülönböztetéssel, rasszista zaklatással vagy erőszakkal, és azt gyakran nem jelentik be</w:t>
      </w:r>
      <w:bookmarkEnd w:id="5"/>
      <w:r>
        <w:rPr>
          <w:rStyle w:val="FootnoteReference"/>
          <w:rFonts w:ascii="Times New Roman" w:hAnsi="Times New Roman" w:cs="Times New Roman"/>
          <w:noProof/>
          <w:sz w:val="24"/>
          <w:szCs w:val="24"/>
        </w:rPr>
        <w:footnoteReference w:id="26"/>
      </w:r>
      <w:r>
        <w:rPr>
          <w:rFonts w:ascii="Times New Roman" w:hAnsi="Times New Roman"/>
          <w:noProof/>
          <w:sz w:val="24"/>
        </w:rPr>
        <w:t xml:space="preserve">. </w:t>
      </w:r>
      <w:r>
        <w:rPr>
          <w:rFonts w:ascii="Times New Roman" w:hAnsi="Times New Roman"/>
          <w:b/>
          <w:noProof/>
          <w:sz w:val="24"/>
        </w:rPr>
        <w:t>Ezek megelőzése érdekében meg kell erősíteni a vonatkozó uniós jogszabályok és nemzeti jogi keretek érvényesítését.</w:t>
      </w:r>
      <w:r>
        <w:rPr>
          <w:rFonts w:ascii="Times New Roman" w:hAnsi="Times New Roman"/>
          <w:noProof/>
          <w:sz w:val="24"/>
        </w:rPr>
        <w:t xml:space="preserve"> Az online teret is beleértve, biztosítani kell a rasszista gyűlölettel szembeni védelmet a bírák, a rendőrség és az ügyészség összehangolt fellépése révén.</w:t>
      </w:r>
    </w:p>
    <w:p w14:paraId="028ACDE0" w14:textId="64BF1F05" w:rsidR="00CB273E" w:rsidRPr="006107F8" w:rsidDel="00D56614" w:rsidRDefault="00CB273E" w:rsidP="00CB273E">
      <w:pPr>
        <w:spacing w:line="240" w:lineRule="auto"/>
        <w:jc w:val="both"/>
        <w:rPr>
          <w:rFonts w:ascii="Times New Roman" w:hAnsi="Times New Roman" w:cs="Times New Roman"/>
          <w:b/>
          <w:i/>
          <w:noProof/>
          <w:sz w:val="24"/>
        </w:rPr>
      </w:pPr>
      <w:bookmarkStart w:id="6" w:name="_Hlk216433080"/>
      <w:r>
        <w:rPr>
          <w:rFonts w:ascii="Times New Roman" w:hAnsi="Times New Roman"/>
          <w:b/>
          <w:i/>
          <w:noProof/>
          <w:sz w:val="24"/>
        </w:rPr>
        <w:t>A megkülönböztetés elleni uniós jogszabályok végrehajtásának megerősítése</w:t>
      </w:r>
    </w:p>
    <w:p w14:paraId="37AF07CE" w14:textId="5F17403D" w:rsidR="00EB6BCC" w:rsidRPr="006107F8" w:rsidRDefault="008021F1" w:rsidP="00BF3DB3">
      <w:pPr>
        <w:spacing w:line="240" w:lineRule="auto"/>
        <w:jc w:val="both"/>
        <w:rPr>
          <w:rFonts w:ascii="Times New Roman" w:hAnsi="Times New Roman" w:cs="Times New Roman"/>
          <w:noProof/>
          <w:sz w:val="24"/>
          <w:szCs w:val="24"/>
        </w:rPr>
      </w:pPr>
      <w:r>
        <w:rPr>
          <w:rFonts w:ascii="Times New Roman" w:hAnsi="Times New Roman"/>
          <w:noProof/>
          <w:sz w:val="24"/>
        </w:rPr>
        <w:t>A Bizottság számára kiemelt fontosságú, hogy a megkülönböztetésmentességre vonatkozó szilárd uniós jogi keretet hatékonyan alkalmazzák, és ezáltal valamennyi tagállamban megvalósuljon az egyenlőség.</w:t>
      </w:r>
      <w:bookmarkStart w:id="7" w:name="_Hlk209779567"/>
    </w:p>
    <w:p w14:paraId="02C150F3" w14:textId="1A0846FE" w:rsidR="00BF6E0E" w:rsidRPr="006107F8" w:rsidRDefault="00D56614" w:rsidP="00BF3DB3">
      <w:pPr>
        <w:spacing w:line="240" w:lineRule="auto"/>
        <w:jc w:val="both"/>
        <w:rPr>
          <w:rFonts w:ascii="Times New Roman" w:hAnsi="Times New Roman" w:cs="Times New Roman"/>
          <w:b/>
          <w:bCs/>
          <w:noProof/>
          <w:sz w:val="24"/>
          <w:szCs w:val="24"/>
        </w:rPr>
      </w:pPr>
      <w:bookmarkStart w:id="8" w:name="_Hlk214612335"/>
      <w:r>
        <w:rPr>
          <w:rFonts w:ascii="Times New Roman" w:hAnsi="Times New Roman"/>
          <w:noProof/>
          <w:sz w:val="24"/>
        </w:rPr>
        <w:t>Az eddigi tapasztalatok szerint a megkülönböztetés elleni hatékony szankciók</w:t>
      </w:r>
      <w:r>
        <w:rPr>
          <w:rStyle w:val="FootnoteReference"/>
          <w:rFonts w:ascii="Times New Roman" w:hAnsi="Times New Roman" w:cs="Times New Roman"/>
          <w:noProof/>
          <w:sz w:val="24"/>
          <w:szCs w:val="24"/>
        </w:rPr>
        <w:footnoteReference w:id="27"/>
      </w:r>
      <w:r>
        <w:rPr>
          <w:rFonts w:ascii="Times New Roman" w:hAnsi="Times New Roman"/>
          <w:noProof/>
          <w:sz w:val="24"/>
        </w:rPr>
        <w:t xml:space="preserve"> kulcsfontosságú mechanizmusok a foglalkoztatás, a szociális védelem, az oktatás, valamint az árukhoz és szolgáltatásokhoz – többek között a lakhatáshoz – való hozzáférés előtt álló akadályok leküzdéséhez. Ennek szellemében </w:t>
      </w:r>
      <w:r>
        <w:rPr>
          <w:rFonts w:ascii="Times New Roman" w:hAnsi="Times New Roman"/>
          <w:b/>
          <w:noProof/>
          <w:sz w:val="24"/>
        </w:rPr>
        <w:t>a faji egyenlőségről szóló irányelvről szóló, 2026-os bizottsági jelentés elemezni fogja az irányelv tagállamok általi alkalmazását</w:t>
      </w:r>
      <w:r>
        <w:rPr>
          <w:rFonts w:ascii="Times New Roman" w:hAnsi="Times New Roman"/>
          <w:noProof/>
          <w:sz w:val="24"/>
        </w:rPr>
        <w:t xml:space="preserve">, és segíteni fogja annak átgondolását, hogy miként </w:t>
      </w:r>
      <w:r>
        <w:rPr>
          <w:rFonts w:ascii="Times New Roman" w:hAnsi="Times New Roman"/>
          <w:b/>
          <w:bCs/>
          <w:noProof/>
          <w:sz w:val="24"/>
        </w:rPr>
        <w:t>erősítsék meg</w:t>
      </w:r>
      <w:r>
        <w:rPr>
          <w:rFonts w:ascii="Times New Roman" w:hAnsi="Times New Roman"/>
          <w:noProof/>
          <w:sz w:val="24"/>
        </w:rPr>
        <w:t xml:space="preserve"> </w:t>
      </w:r>
      <w:r>
        <w:rPr>
          <w:rFonts w:ascii="Times New Roman" w:hAnsi="Times New Roman"/>
          <w:b/>
          <w:noProof/>
          <w:sz w:val="24"/>
        </w:rPr>
        <w:t>a tagállamokat nemzeti szankciórendszereit.</w:t>
      </w:r>
    </w:p>
    <w:p w14:paraId="024932E6" w14:textId="4A984827" w:rsidR="003314C6" w:rsidRDefault="003E70D4" w:rsidP="00FD2041">
      <w:pPr>
        <w:spacing w:line="240" w:lineRule="auto"/>
        <w:jc w:val="both"/>
        <w:rPr>
          <w:rFonts w:ascii="Times New Roman" w:hAnsi="Times New Roman" w:cs="Times New Roman"/>
          <w:noProof/>
          <w:sz w:val="24"/>
          <w:szCs w:val="24"/>
        </w:rPr>
      </w:pPr>
      <w:bookmarkStart w:id="9" w:name="_Hlk209779508"/>
      <w:bookmarkEnd w:id="7"/>
      <w:bookmarkEnd w:id="8"/>
      <w:r>
        <w:rPr>
          <w:rFonts w:ascii="Times New Roman" w:hAnsi="Times New Roman"/>
          <w:noProof/>
          <w:sz w:val="24"/>
        </w:rPr>
        <w:t xml:space="preserve">Mivel a mesterséges intelligencia (MI) által szolgáltatott adatok egyre nagyobb szerepet töltenek be a politikai döntések és a szakpolitikai irányvonalak kialakításában, kulcsfontosságú, hogy minél jobban kiaknázzuk az MI-ben rejlő lehetőségeket, és csökkentsük a faji elfogultság állandósulásának kockázatát. A faji egyenlőségről szóló irányelv alkalmazásáról szóló bizottsági jelentés </w:t>
      </w:r>
      <w:r>
        <w:rPr>
          <w:rFonts w:ascii="Times New Roman" w:hAnsi="Times New Roman"/>
          <w:b/>
          <w:noProof/>
          <w:sz w:val="24"/>
        </w:rPr>
        <w:t>elemezni fogja a megkülönböztetés elleni jogszabályok alkalmazását az algoritmikus megkülönböztetés esetei tekintetében</w:t>
      </w:r>
      <w:r>
        <w:rPr>
          <w:rFonts w:ascii="Times New Roman" w:hAnsi="Times New Roman"/>
          <w:noProof/>
          <w:sz w:val="24"/>
        </w:rPr>
        <w:t>.</w:t>
      </w:r>
      <w:bookmarkEnd w:id="9"/>
    </w:p>
    <w:p w14:paraId="58620423" w14:textId="4F14DDC1" w:rsidR="00BF6E0E" w:rsidRPr="006107F8" w:rsidRDefault="002A2434" w:rsidP="00FD2041">
      <w:pPr>
        <w:spacing w:line="240" w:lineRule="auto"/>
        <w:jc w:val="both"/>
        <w:rPr>
          <w:rFonts w:ascii="Times New Roman" w:hAnsi="Times New Roman" w:cs="Times New Roman"/>
          <w:noProof/>
          <w:sz w:val="24"/>
          <w:szCs w:val="24"/>
        </w:rPr>
      </w:pPr>
      <w:hyperlink r:id="rId47" w:history="1">
        <w:r w:rsidR="00BC1B7C">
          <w:rPr>
            <w:rStyle w:val="Hyperlink"/>
            <w:rFonts w:ascii="Times New Roman" w:hAnsi="Times New Roman"/>
            <w:noProof/>
            <w:sz w:val="24"/>
          </w:rPr>
          <w:t>A mesterséges intelligenciáról szóló rendelet</w:t>
        </w:r>
      </w:hyperlink>
      <w:r w:rsidR="00BC1B7C">
        <w:rPr>
          <w:rFonts w:ascii="Times New Roman" w:hAnsi="Times New Roman"/>
          <w:noProof/>
          <w:sz w:val="24"/>
        </w:rPr>
        <w:t xml:space="preserve"> tilt bizonyos különösen káros MI-gyakorlatokat, amelyek összeegyeztethetetlenek az uniós értékekkel. Ide tartoznak például a védett csoportokkal szembeni gyűlöletet vagy erőszakot ösztönző manipulatív MI-rendszerek, vagy a biometrikus adatokból faji származásra következtető MI-rendszerek. A Bizottság iránymutatásokat és egyéb támogatási eszközöket fog biztosítani a mesterséges intelligenciáról szóló jogszabály hatékony végrehajtásához a magas kockázatú MI-rendszerekre vonatkozó tilalmak és követelmények tekintetében. A Bizottság továbbra is elő fogja segíteni a mesterséges intelligencia által a faji megkülönböztetés kockázatának kitett személyekre gyakorolt hatással kapcsolatos információcserét, és támogatni fogja a tagállamokat az uniós jog érvényesítésében és végrehajtásában a mesterséges intelligencia által elősegített, potenciálisan diszkriminatív döntések megelőzése és helyesbítése érdekében.</w:t>
      </w:r>
    </w:p>
    <w:p w14:paraId="2AE7A5D3" w14:textId="6D8AC3F4" w:rsidR="00E06D6C" w:rsidRPr="006107F8" w:rsidRDefault="002A2434" w:rsidP="00F21377">
      <w:pPr>
        <w:spacing w:line="240" w:lineRule="auto"/>
        <w:jc w:val="both"/>
        <w:rPr>
          <w:rFonts w:ascii="Times New Roman" w:hAnsi="Times New Roman" w:cs="Times New Roman"/>
          <w:noProof/>
          <w:sz w:val="24"/>
          <w:szCs w:val="24"/>
        </w:rPr>
      </w:pPr>
      <w:hyperlink r:id="rId48">
        <w:r w:rsidR="00D85E02">
          <w:rPr>
            <w:rStyle w:val="Hyperlink"/>
            <w:rFonts w:ascii="Times New Roman" w:hAnsi="Times New Roman"/>
            <w:noProof/>
            <w:sz w:val="24"/>
          </w:rPr>
          <w:t>Az egyenlőséggel foglalkozó szervekre vonatkozó előírásokról szóló irányelvek</w:t>
        </w:r>
      </w:hyperlink>
      <w:r w:rsidR="00D85E02">
        <w:rPr>
          <w:noProof/>
        </w:rPr>
        <w:t xml:space="preserve"> </w:t>
      </w:r>
      <w:r w:rsidR="00D85E02">
        <w:rPr>
          <w:rFonts w:ascii="Times New Roman" w:hAnsi="Times New Roman"/>
          <w:noProof/>
          <w:sz w:val="24"/>
        </w:rPr>
        <w:t>egyértelmű és kötelező erejű normákat állapítanak meg e szervek függetlenségének és hatékonyságának garantálása érdekében. A Bizottság végrehajtási jogi aktusokat fog elfogadni az egyenlőséggel foglalkozó szervek működésére vonatkozó mutatók megállapítása céljából, és nyomon fogja követni mindkét irányelv nemzeti jogba való, 2026 júniusáig történő hatékony átültetését.</w:t>
      </w:r>
      <w:bookmarkEnd w:id="6"/>
    </w:p>
    <w:p w14:paraId="6393AF0E" w14:textId="7F50685B" w:rsidR="009471B3" w:rsidRPr="006107F8" w:rsidRDefault="002A2434" w:rsidP="00F21377">
      <w:pPr>
        <w:spacing w:line="240" w:lineRule="auto"/>
        <w:jc w:val="both"/>
        <w:rPr>
          <w:rFonts w:ascii="Times New Roman" w:eastAsia="Times New Roman" w:hAnsi="Times New Roman" w:cs="Times New Roman"/>
          <w:b/>
          <w:bCs/>
          <w:noProof/>
          <w:sz w:val="24"/>
          <w:szCs w:val="24"/>
        </w:rPr>
      </w:pPr>
      <w:hyperlink r:id="rId49">
        <w:r w:rsidR="009471B3">
          <w:rPr>
            <w:rStyle w:val="Hyperlink"/>
            <w:rFonts w:ascii="Times New Roman" w:hAnsi="Times New Roman"/>
            <w:noProof/>
            <w:sz w:val="24"/>
          </w:rPr>
          <w:t>A nőkkel szembeni erőszak és a kapcsolati erőszak elleni küzdelemről szóló irányelv</w:t>
        </w:r>
      </w:hyperlink>
      <w:r w:rsidR="009471B3">
        <w:rPr>
          <w:rFonts w:ascii="Times New Roman" w:hAnsi="Times New Roman"/>
          <w:noProof/>
          <w:color w:val="000000" w:themeColor="text1"/>
          <w:sz w:val="24"/>
        </w:rPr>
        <w:t xml:space="preserve"> elismeri</w:t>
      </w:r>
      <w:r w:rsidR="009471B3">
        <w:rPr>
          <w:rFonts w:ascii="Times New Roman" w:hAnsi="Times New Roman"/>
          <w:noProof/>
          <w:sz w:val="24"/>
        </w:rPr>
        <w:t xml:space="preserve">, hogy az interszekcionális megkülönböztetés által érintett személyek, köztük a faji vagy etnikai kisebbséghez tartozó nők fokozottabban ki vannak téve a nemi alapú erőszak kockázatának. A </w:t>
      </w:r>
      <w:r w:rsidR="009471B3">
        <w:rPr>
          <w:rFonts w:ascii="Times New Roman" w:hAnsi="Times New Roman"/>
          <w:b/>
          <w:bCs/>
          <w:noProof/>
          <w:sz w:val="24"/>
        </w:rPr>
        <w:t>Bizottság</w:t>
      </w:r>
      <w:r w:rsidR="009471B3">
        <w:rPr>
          <w:rFonts w:ascii="Times New Roman" w:hAnsi="Times New Roman"/>
          <w:noProof/>
          <w:sz w:val="24"/>
        </w:rPr>
        <w:t xml:space="preserve"> támogatni fogja a tagállamokat az átültetés folyamatában, </w:t>
      </w:r>
      <w:r w:rsidR="009471B3">
        <w:rPr>
          <w:rFonts w:ascii="Times New Roman" w:hAnsi="Times New Roman"/>
          <w:b/>
          <w:noProof/>
          <w:sz w:val="24"/>
        </w:rPr>
        <w:t>és figyelemmel kíséri azokat a kihívásokat, amelyekkel a faji vagy etnikai hátterük miatt interszekcionális megkülönböztetés által érintett személyek szembesülnek.</w:t>
      </w:r>
    </w:p>
    <w:p w14:paraId="43458822" w14:textId="14AE6189" w:rsidR="00BF6E0E" w:rsidRPr="006107F8" w:rsidRDefault="003E70D4" w:rsidP="00FD2041">
      <w:pPr>
        <w:spacing w:line="240" w:lineRule="auto"/>
        <w:jc w:val="both"/>
        <w:rPr>
          <w:rFonts w:ascii="Times New Roman" w:hAnsi="Times New Roman" w:cs="Times New Roman"/>
          <w:b/>
          <w:i/>
          <w:noProof/>
          <w:sz w:val="24"/>
        </w:rPr>
      </w:pPr>
      <w:r>
        <w:rPr>
          <w:rFonts w:ascii="Times New Roman" w:hAnsi="Times New Roman"/>
          <w:b/>
          <w:i/>
          <w:noProof/>
          <w:sz w:val="24"/>
        </w:rPr>
        <w:t>A gyűlölet-bűncselekményekkel és a gyűlöletbeszéddel szembeni védelem biztosítása</w:t>
      </w:r>
    </w:p>
    <w:p w14:paraId="5D845CE3" w14:textId="412E2224" w:rsidR="00BF6E0E" w:rsidRPr="006107F8" w:rsidRDefault="003E70D4" w:rsidP="00FD2041">
      <w:pPr>
        <w:pStyle w:val="NormalWeb"/>
        <w:spacing w:beforeAutospacing="0" w:after="160" w:afterAutospacing="0"/>
        <w:jc w:val="both"/>
        <w:rPr>
          <w:noProof/>
          <w:color w:val="000000" w:themeColor="text1"/>
        </w:rPr>
      </w:pPr>
      <w:r>
        <w:rPr>
          <w:noProof/>
          <w:color w:val="000000" w:themeColor="text1"/>
        </w:rPr>
        <w:t xml:space="preserve">A gyűlölet-bűncselekményekkel és gyűlöletbeszéddel szembeni védelem biztosítása az EU rasszizmus elleni programjának központi eleme. A Bizottság kötelezettségszegési eljárásokat indított </w:t>
      </w:r>
      <w:hyperlink r:id="rId50">
        <w:r>
          <w:rPr>
            <w:rStyle w:val="Hyperlink"/>
            <w:noProof/>
          </w:rPr>
          <w:t>a rasszizmus és az idegengyűlölet elleni küzdelemről szóló kerethatározat</w:t>
        </w:r>
      </w:hyperlink>
      <w:r>
        <w:rPr>
          <w:rStyle w:val="FootnoteReference"/>
          <w:noProof/>
          <w:color w:val="000000" w:themeColor="text1"/>
        </w:rPr>
        <w:footnoteReference w:id="28"/>
      </w:r>
      <w:r>
        <w:rPr>
          <w:noProof/>
          <w:color w:val="000000" w:themeColor="text1"/>
        </w:rPr>
        <w:t xml:space="preserve"> teljes körű és helyes átültetése érdekében. Továbbra is nyomon fogja követni a kerethatározat átültetését, és támogatja a bevált gyakorlatok cseréjét</w:t>
      </w:r>
      <w:r>
        <w:rPr>
          <w:noProof/>
        </w:rPr>
        <w:t xml:space="preserve"> </w:t>
      </w:r>
      <w:hyperlink r:id="rId51">
        <w:r>
          <w:rPr>
            <w:rStyle w:val="Hyperlink"/>
            <w:b/>
            <w:noProof/>
          </w:rPr>
          <w:t>a gyűlölet-bűncselekmények és a gyűlöletbeszéd elleni küzdelemmel foglalkozó magas szintű munkacsoportban</w:t>
        </w:r>
      </w:hyperlink>
      <w:r>
        <w:rPr>
          <w:noProof/>
        </w:rPr>
        <w:t>.</w:t>
      </w:r>
      <w:r>
        <w:rPr>
          <w:noProof/>
          <w:color w:val="000000" w:themeColor="text1"/>
        </w:rPr>
        <w:t xml:space="preserve"> A Bizottság arra ösztönzi a tagállamokat, hogy javítsák a gyűlölet-bűncselekményekre vonatkozó adatgyűjtést, és terjesszék ki az igazságügyi hatóságok és a rendőrség részére a gyűlölet-bűncselekményekkel, többek között a faji elfogultsággal kapcsolatban nyújtott képzést.</w:t>
      </w:r>
    </w:p>
    <w:p w14:paraId="0BC83858" w14:textId="122B88A4" w:rsidR="00ED18B7" w:rsidRPr="006107F8" w:rsidRDefault="00F62F46" w:rsidP="008D07AB">
      <w:pPr>
        <w:pStyle w:val="NormalWeb"/>
        <w:spacing w:beforeAutospacing="0" w:after="160" w:afterAutospacing="0"/>
        <w:jc w:val="both"/>
        <w:rPr>
          <w:noProof/>
          <w:color w:val="000000" w:themeColor="text1"/>
        </w:rPr>
      </w:pPr>
      <w:bookmarkStart w:id="10" w:name="_Hlk213774269"/>
      <w:r>
        <w:rPr>
          <w:noProof/>
          <w:color w:val="000000" w:themeColor="text1"/>
        </w:rPr>
        <w:t xml:space="preserve">A gyűlölet-bűncselekmények elleni uniós büntetőjogi keret megerősítése érdekében a Bizottság </w:t>
      </w:r>
      <w:hyperlink r:id="rId52" w:history="1">
        <w:r>
          <w:rPr>
            <w:rStyle w:val="Hyperlink"/>
            <w:noProof/>
          </w:rPr>
          <w:t>tanácsi határozatra irányuló javaslatot terjesztett elő a gyűlöletbeszédnek és a gyűlölet-bűncselekményeknek az uniós bűncselekmények listájába való felvételéről</w:t>
        </w:r>
      </w:hyperlink>
      <w:r>
        <w:rPr>
          <w:noProof/>
          <w:color w:val="000000" w:themeColor="text1"/>
        </w:rPr>
        <w:t xml:space="preserve">. Ez a határozat lehetővé tenné a Bizottság számára, hogy a második szakaszban is megerősítse a gyűlöletbeszéd és a gyűlölet-bűncselekmények elleni küzdelemre vonatkozó jogi keretet. Tekintettel arra, hogy az említett tanácsi határozattal kapcsolatban nem történt előrelépés, </w:t>
      </w:r>
      <w:r>
        <w:rPr>
          <w:b/>
          <w:noProof/>
          <w:color w:val="000000" w:themeColor="text1"/>
        </w:rPr>
        <w:t>a Bizottság</w:t>
      </w:r>
      <w:bookmarkStart w:id="11" w:name="_Hlk214619266"/>
      <w:r>
        <w:rPr>
          <w:b/>
          <w:noProof/>
          <w:color w:val="000000" w:themeColor="text1"/>
        </w:rPr>
        <w:t xml:space="preserve"> mérlegel egy olyan, </w:t>
      </w:r>
      <w:hyperlink r:id="rId53" w:history="1">
        <w:r>
          <w:rPr>
            <w:rStyle w:val="Hyperlink"/>
            <w:b/>
            <w:noProof/>
          </w:rPr>
          <w:t>az EUMSZ 83. cikke (1) bekezdésének</w:t>
        </w:r>
      </w:hyperlink>
      <w:r>
        <w:rPr>
          <w:b/>
          <w:noProof/>
          <w:color w:val="000000" w:themeColor="text1"/>
        </w:rPr>
        <w:t xml:space="preserve"> hatálya alá tartozó, meglévő bűncselekményi területeken alapuló jogalkotási kezdeményezést, amely az online elkövetett</w:t>
      </w:r>
      <w:bookmarkEnd w:id="11"/>
      <w:r>
        <w:rPr>
          <w:noProof/>
          <w:color w:val="000000" w:themeColor="text1"/>
        </w:rPr>
        <w:t xml:space="preserve"> </w:t>
      </w:r>
      <w:r>
        <w:rPr>
          <w:b/>
          <w:noProof/>
          <w:color w:val="000000" w:themeColor="text1"/>
        </w:rPr>
        <w:t>gyűlölet-bűncselekmények fogalommeghatározásának harmonizálására</w:t>
      </w:r>
      <w:r>
        <w:rPr>
          <w:noProof/>
        </w:rPr>
        <w:t xml:space="preserve"> irányul.</w:t>
      </w:r>
      <w:r>
        <w:rPr>
          <w:noProof/>
          <w:color w:val="000000" w:themeColor="text1"/>
        </w:rPr>
        <w:t xml:space="preserve"> Ez összhangban áll </w:t>
      </w:r>
      <w:hyperlink r:id="rId54" w:history="1">
        <w:r>
          <w:rPr>
            <w:rStyle w:val="Hyperlink"/>
            <w:noProof/>
          </w:rPr>
          <w:t>a társadalmat megosztó gyűlölet elleni küzdelemmel foglalkozó polgári vitacsoport</w:t>
        </w:r>
      </w:hyperlink>
      <w:r>
        <w:rPr>
          <w:noProof/>
          <w:color w:val="000000" w:themeColor="text1"/>
        </w:rPr>
        <w:t xml:space="preserve"> ajánlásaival.</w:t>
      </w:r>
    </w:p>
    <w:p w14:paraId="46A35A65" w14:textId="3BF1AAAC" w:rsidR="00E44DD4" w:rsidRPr="006107F8" w:rsidRDefault="00E44DD4" w:rsidP="00E44DD4">
      <w:pPr>
        <w:pStyle w:val="NormalWeb"/>
        <w:spacing w:beforeAutospacing="0" w:after="160" w:afterAutospacing="0"/>
        <w:jc w:val="both"/>
        <w:rPr>
          <w:noProof/>
        </w:rPr>
      </w:pPr>
      <w:r>
        <w:rPr>
          <w:noProof/>
        </w:rPr>
        <w:t xml:space="preserve">A Bizottság emellett azáltal is hozzájárul a gyűlölet-bűncselekmények és a gyűlöletbeszéd kezelésének javításához, hogy </w:t>
      </w:r>
      <w:hyperlink r:id="rId55" w:history="1">
        <w:r>
          <w:rPr>
            <w:rStyle w:val="Hyperlink"/>
            <w:noProof/>
          </w:rPr>
          <w:t>az európai belső biztonsági stratégiával</w:t>
        </w:r>
      </w:hyperlink>
      <w:r>
        <w:rPr>
          <w:noProof/>
        </w:rPr>
        <w:t xml:space="preserve"> összhangban támogatja a nyilvános terek – többek között az imahelyek – védelméért felelős tagállami hatóságokat.</w:t>
      </w:r>
    </w:p>
    <w:p w14:paraId="26C4561A" w14:textId="21E084FD" w:rsidR="00CB4799" w:rsidRDefault="003E795F" w:rsidP="00E42985">
      <w:pPr>
        <w:pStyle w:val="NormalWeb"/>
        <w:spacing w:beforeAutospacing="0" w:after="160" w:afterAutospacing="0"/>
        <w:jc w:val="both"/>
        <w:rPr>
          <w:noProof/>
          <w:color w:val="000000" w:themeColor="text1"/>
        </w:rPr>
      </w:pPr>
      <w:r>
        <w:rPr>
          <w:noProof/>
        </w:rPr>
        <w:t xml:space="preserve">A rasszista gyűlölet-bűncselekmények áldozatai bizalomhiánnyal küzdenek, ami támogatási és szerepvállalást ösztönző intézkedéseket tesz szükségessé az alacsony bejelentési arány kezelése és a jogorvoslat biztosítása érdekében. Az Európai Parlament és a Tanács </w:t>
      </w:r>
      <w:r>
        <w:rPr>
          <w:b/>
          <w:noProof/>
        </w:rPr>
        <w:t>politikai</w:t>
      </w:r>
      <w:bookmarkStart w:id="12" w:name="_Hlk218008233"/>
      <w:r>
        <w:rPr>
          <w:b/>
          <w:noProof/>
        </w:rPr>
        <w:t xml:space="preserve"> megállapodásra jutott az áldozatok jogairól szóló irányelv</w:t>
      </w:r>
      <w:r>
        <w:rPr>
          <w:rStyle w:val="FootnoteReference"/>
          <w:b/>
          <w:bCs/>
          <w:noProof/>
          <w:lang w:val="en-IE"/>
        </w:rPr>
        <w:footnoteReference w:id="29"/>
      </w:r>
      <w:r>
        <w:rPr>
          <w:b/>
          <w:noProof/>
        </w:rPr>
        <w:t xml:space="preserve"> felülvizsgálatára irányuló javaslatról</w:t>
      </w:r>
      <w:r>
        <w:rPr>
          <w:noProof/>
        </w:rPr>
        <w:t>, amely tovább fogja erősíteni az áldozatok jogait, többek között a rasszista indíttatású gyűlölet-bűncselekmények által érintett személyek tekintetében</w:t>
      </w:r>
      <w:bookmarkEnd w:id="12"/>
      <w:r>
        <w:rPr>
          <w:noProof/>
        </w:rPr>
        <w:t xml:space="preserve">, megkönnyítve a bűncselekmények bejelentését, jobban felmérve az áldozatok szükségleteit, valamint javítva a pszichológiai támogatást és a fizikai védelmet. A Bizottság továbbá el fogja fogadni </w:t>
      </w:r>
      <w:hyperlink r:id="rId56" w:history="1">
        <w:r>
          <w:rPr>
            <w:rStyle w:val="Hyperlink"/>
            <w:noProof/>
          </w:rPr>
          <w:t>az áldozatok jogaira vonatkozó felülvizsgált uniós stratégiát</w:t>
        </w:r>
      </w:hyperlink>
      <w:r>
        <w:rPr>
          <w:noProof/>
        </w:rPr>
        <w:t>.</w:t>
      </w:r>
    </w:p>
    <w:p w14:paraId="0D1358DE" w14:textId="77777777" w:rsidR="00E42985" w:rsidRDefault="00E42985" w:rsidP="00C90233">
      <w:pPr>
        <w:pStyle w:val="NormalWeb"/>
        <w:spacing w:beforeAutospacing="0" w:after="160" w:afterAutospacing="0"/>
        <w:jc w:val="both"/>
        <w:rPr>
          <w:noProof/>
          <w:color w:val="000000" w:themeColor="text1"/>
        </w:rPr>
      </w:pPr>
    </w:p>
    <w:p w14:paraId="1918F7CE" w14:textId="6E8C09EE" w:rsidR="003314C6" w:rsidRDefault="00263561" w:rsidP="00C90233">
      <w:pPr>
        <w:pStyle w:val="NormalWeb"/>
        <w:spacing w:beforeAutospacing="0" w:after="160" w:afterAutospacing="0"/>
        <w:jc w:val="both"/>
        <w:rPr>
          <w:noProof/>
          <w:color w:val="000000" w:themeColor="text1"/>
        </w:rPr>
      </w:pPr>
      <w:r>
        <w:rPr>
          <w:noProof/>
          <w:color w:val="000000" w:themeColor="text1"/>
        </w:rPr>
        <w:t xml:space="preserve">A faji vagy etnikai kissebségekhez tartozó személyek gyakran online is gyűlölettel találkoznak. </w:t>
      </w:r>
      <w:hyperlink r:id="rId57" w:history="1">
        <w:r>
          <w:rPr>
            <w:rStyle w:val="Hyperlink"/>
            <w:noProof/>
          </w:rPr>
          <w:t>A digitális szolgáltatásokról szóló rendelet</w:t>
        </w:r>
      </w:hyperlink>
      <w:r>
        <w:rPr>
          <w:noProof/>
        </w:rPr>
        <w:t xml:space="preserve"> </w:t>
      </w:r>
      <w:r>
        <w:rPr>
          <w:noProof/>
          <w:color w:val="000000" w:themeColor="text1"/>
        </w:rPr>
        <w:t xml:space="preserve">előírja a digitális szolgáltatók számára, hogy erőteljes bejelentési-cselekvési mechanizmusok, valamint alapos kockázatértékelési és -csökkentési kötelezettségek révén kezeljék az illegális tartalmakat és védjék az alapvető jogokat. A Bizottság továbbra is nyomon fogja követni és érvényesíteni fogja a digitális szolgáltatásokról szóló rendeletet, és a Digitális Szolgáltatások Testületével és az érintett érdekelt felekkel együtt </w:t>
      </w:r>
      <w:r>
        <w:rPr>
          <w:b/>
          <w:noProof/>
          <w:color w:val="000000" w:themeColor="text1"/>
        </w:rPr>
        <w:t>rendszeresen nyomon fogja követni és támogatni fogja</w:t>
      </w:r>
      <w:r>
        <w:rPr>
          <w:noProof/>
        </w:rPr>
        <w:t xml:space="preserve"> </w:t>
      </w:r>
      <w:hyperlink r:id="rId58" w:history="1">
        <w:r>
          <w:rPr>
            <w:rStyle w:val="Hyperlink"/>
            <w:b/>
            <w:noProof/>
          </w:rPr>
          <w:t>a jogellenes online gyűlöletbeszéd felszámolására vonatkozó önkéntes magatartási kódex+</w:t>
        </w:r>
      </w:hyperlink>
      <w:r>
        <w:rPr>
          <w:noProof/>
          <w:color w:val="000000" w:themeColor="text1"/>
        </w:rPr>
        <w:t xml:space="preserve"> végrehajtását.</w:t>
      </w:r>
      <w:bookmarkEnd w:id="10"/>
    </w:p>
    <w:p w14:paraId="5BE5F229" w14:textId="36F90F01" w:rsidR="00F21BC1" w:rsidRPr="006107F8" w:rsidRDefault="002A2434" w:rsidP="00C90233">
      <w:pPr>
        <w:pStyle w:val="NormalWeb"/>
        <w:spacing w:beforeAutospacing="0" w:after="160" w:afterAutospacing="0"/>
        <w:jc w:val="both"/>
        <w:rPr>
          <w:rFonts w:eastAsia="Times New Roman"/>
          <w:noProof/>
          <w:color w:val="000000" w:themeColor="text1"/>
        </w:rPr>
      </w:pPr>
      <w:hyperlink r:id="rId59" w:history="1">
        <w:r w:rsidR="00586A52">
          <w:rPr>
            <w:rStyle w:val="Hyperlink"/>
            <w:noProof/>
          </w:rPr>
          <w:t>A digitális oktatási cselekvési terv</w:t>
        </w:r>
      </w:hyperlink>
      <w:r w:rsidR="00586A52">
        <w:rPr>
          <w:noProof/>
        </w:rPr>
        <w:t xml:space="preserve"> </w:t>
      </w:r>
      <w:r w:rsidR="00586A52">
        <w:rPr>
          <w:noProof/>
          <w:color w:val="000000" w:themeColor="text1"/>
        </w:rPr>
        <w:t xml:space="preserve">részeként </w:t>
      </w:r>
      <w:hyperlink r:id="rId60" w:history="1">
        <w:r w:rsidR="00586A52">
          <w:rPr>
            <w:rStyle w:val="Hyperlink"/>
            <w:noProof/>
          </w:rPr>
          <w:t>a tanároknak és oktatóknak szóló, a dezinformáció kezeléséről és a digitális jártasság előmozdításáról szóló aktualizált iránymutatások</w:t>
        </w:r>
      </w:hyperlink>
      <w:r w:rsidR="00586A52">
        <w:rPr>
          <w:b/>
          <w:noProof/>
          <w:color w:val="000000" w:themeColor="text1"/>
        </w:rPr>
        <w:t xml:space="preserve"> gyakorlati iránymutatást fognak nyújtani arra vonatkozóan, hogy miként lehet a legjobban előmozdítani a toleranciát és a befogadást az online világban</w:t>
      </w:r>
      <w:r w:rsidR="00586A52">
        <w:rPr>
          <w:noProof/>
          <w:color w:val="000000" w:themeColor="text1"/>
        </w:rPr>
        <w:t xml:space="preserve">. A Bizottság emellett továbbra is elő fogja mozdítani a társadalmi rezilienciát a médiatudatosság támogatását célzó intézkedések, valamint </w:t>
      </w:r>
      <w:hyperlink r:id="rId61" w:history="1">
        <w:r w:rsidR="00586A52">
          <w:rPr>
            <w:rStyle w:val="Hyperlink"/>
            <w:noProof/>
          </w:rPr>
          <w:t>a dezinformációról szóló magatartási kódex</w:t>
        </w:r>
      </w:hyperlink>
      <w:r w:rsidR="00586A52">
        <w:rPr>
          <w:noProof/>
          <w:color w:val="000000" w:themeColor="text1"/>
        </w:rPr>
        <w:t xml:space="preserve"> aláíróival való együttműködés révén a kódex végrehajtásának javítása és a – többek között a rasszizmussal és az online gyűlölettel kapcsolatos – rohamosan terjedő dezinformáció visszaszorítása érdekében.</w:t>
      </w:r>
    </w:p>
    <w:p w14:paraId="05C24D53" w14:textId="09194B1D" w:rsidR="00811FEF" w:rsidRPr="006107F8" w:rsidRDefault="00F62F46" w:rsidP="00C90233">
      <w:pPr>
        <w:pStyle w:val="NormalWeb"/>
        <w:spacing w:beforeAutospacing="0" w:after="160" w:afterAutospacing="0"/>
        <w:jc w:val="both"/>
        <w:rPr>
          <w:b/>
          <w:i/>
          <w:noProof/>
        </w:rPr>
      </w:pPr>
      <w:r>
        <w:rPr>
          <w:noProof/>
          <w:color w:val="000000" w:themeColor="text1"/>
        </w:rPr>
        <w:t xml:space="preserve">Ezzel párhuzamosan a Bizottság foglalkozik a sportban tapasztalható gyűlöletbeszéddel, szorosan együttműködve az Európa Tanáccsal, és segítséget nyújt a tagállamoknak </w:t>
      </w:r>
      <w:hyperlink r:id="rId62" w:history="1">
        <w:r>
          <w:rPr>
            <w:rStyle w:val="Hyperlink"/>
            <w:noProof/>
          </w:rPr>
          <w:t>a sportra vonatkozó uniós munkaterv</w:t>
        </w:r>
      </w:hyperlink>
      <w:r>
        <w:rPr>
          <w:noProof/>
          <w:color w:val="000000" w:themeColor="text1"/>
        </w:rPr>
        <w:t xml:space="preserve"> keretében a sport területén tapasztalható gyűlöletbeszéd elleni küzdelemmel kapcsolatos, folyamatban lévő nyitott koordinációs módszer révén.</w:t>
      </w:r>
    </w:p>
    <w:p w14:paraId="3BCA6F4A" w14:textId="2D54B491" w:rsidR="001C289D" w:rsidRPr="006107F8" w:rsidRDefault="001C289D" w:rsidP="001C289D">
      <w:pPr>
        <w:spacing w:line="240" w:lineRule="auto"/>
        <w:jc w:val="both"/>
        <w:rPr>
          <w:rFonts w:ascii="Times New Roman" w:hAnsi="Times New Roman" w:cs="Times New Roman"/>
          <w:b/>
          <w:i/>
          <w:noProof/>
          <w:sz w:val="24"/>
        </w:rPr>
      </w:pPr>
      <w:r>
        <w:rPr>
          <w:rFonts w:ascii="Times New Roman" w:hAnsi="Times New Roman"/>
          <w:b/>
          <w:i/>
          <w:noProof/>
          <w:sz w:val="24"/>
        </w:rPr>
        <w:t>A faji elfogultság elleni küzdelem a közigazgatásban</w:t>
      </w:r>
    </w:p>
    <w:p w14:paraId="33C9EB23" w14:textId="2A6340BF" w:rsidR="001C289D" w:rsidRPr="006107F8" w:rsidRDefault="001C289D" w:rsidP="00C90233">
      <w:pPr>
        <w:pStyle w:val="NormalWeb"/>
        <w:spacing w:beforeAutospacing="0" w:after="160" w:afterAutospacing="0"/>
        <w:jc w:val="both"/>
        <w:rPr>
          <w:noProof/>
        </w:rPr>
      </w:pPr>
      <w:r>
        <w:rPr>
          <w:noProof/>
        </w:rPr>
        <w:t xml:space="preserve">A hatékony közigazgatás a jó kormányzás, a közbizalom és a társadalmi kohézió alapja. </w:t>
      </w:r>
      <w:r>
        <w:rPr>
          <w:noProof/>
          <w:color w:val="000000" w:themeColor="text1"/>
        </w:rPr>
        <w:t xml:space="preserve">A közigazgatásban és az igazságszolgáltatási rendszerekben tapasztalható faji elfogultság elleni fellépés elengedhetetlen a rasszizmus kezeléséhez. </w:t>
      </w:r>
      <w:r>
        <w:rPr>
          <w:noProof/>
        </w:rPr>
        <w:t>A hatóságok és a közösségek közötti együttműködés támogatja a bizalomépítést, és alakítja a közös felelősségérzetet</w:t>
      </w:r>
      <w:r>
        <w:rPr>
          <w:rStyle w:val="FootnoteReference"/>
          <w:noProof/>
        </w:rPr>
        <w:footnoteReference w:id="30"/>
      </w:r>
      <w:r>
        <w:rPr>
          <w:noProof/>
        </w:rPr>
        <w:t xml:space="preserve">. </w:t>
      </w:r>
      <w:r>
        <w:rPr>
          <w:b/>
          <w:noProof/>
        </w:rPr>
        <w:t>A Bizottság arra ösztönzi a tagállamokat, hogy biztosítsanak átfogó képzési programokat annak érdekében, hogy segítsék a köztisztviselőket a faji elfogultság felismerésében és kezelésében</w:t>
      </w:r>
      <w:r>
        <w:rPr>
          <w:noProof/>
        </w:rPr>
        <w:t>, miközben előmozdítják a kulturális tudatosságot és érzékenységet. A Bizottság e célból továbbra is támogatást nyújt a nemzeti hatóságoknak, többek között a Polgárok, egyenlőség, jogok és értékek program keretében.</w:t>
      </w:r>
    </w:p>
    <w:p w14:paraId="2D062588" w14:textId="3CB7B57B" w:rsidR="001C289D" w:rsidRDefault="00D04E2B" w:rsidP="001C289D">
      <w:pPr>
        <w:spacing w:line="240" w:lineRule="auto"/>
        <w:jc w:val="both"/>
        <w:rPr>
          <w:rFonts w:ascii="Times New Roman" w:hAnsi="Times New Roman" w:cs="Times New Roman"/>
          <w:b/>
          <w:bCs/>
          <w:noProof/>
          <w:sz w:val="24"/>
          <w:szCs w:val="24"/>
        </w:rPr>
      </w:pPr>
      <w:r>
        <w:rPr>
          <w:rFonts w:ascii="Times New Roman" w:hAnsi="Times New Roman"/>
          <w:noProof/>
          <w:sz w:val="24"/>
        </w:rPr>
        <w:t xml:space="preserve">A demokrácia és a jogállamiság egyik kulcsfontosságú pillére az elszámoltatható bűnüldözési rendszer, amely mindenki számára egyenlő védelmet és tisztességes bánásmódot biztosít. Az FRA </w:t>
      </w:r>
      <w:hyperlink r:id="rId63" w:history="1">
        <w:r>
          <w:rPr>
            <w:rStyle w:val="Hyperlink"/>
            <w:rFonts w:ascii="Times New Roman" w:hAnsi="Times New Roman"/>
            <w:noProof/>
            <w:sz w:val="24"/>
          </w:rPr>
          <w:t>„Addressing racism in policing” (A rasszizmus kezelése a rendészetben)</w:t>
        </w:r>
      </w:hyperlink>
      <w:r>
        <w:rPr>
          <w:noProof/>
        </w:rPr>
        <w:t xml:space="preserve"> </w:t>
      </w:r>
      <w:r>
        <w:rPr>
          <w:rFonts w:ascii="Times New Roman" w:hAnsi="Times New Roman"/>
          <w:noProof/>
          <w:sz w:val="24"/>
        </w:rPr>
        <w:t>című jelentése</w:t>
      </w:r>
      <w:r>
        <w:rPr>
          <w:rStyle w:val="FootnoteReference"/>
          <w:rFonts w:ascii="Times New Roman" w:eastAsia="Times New Roman" w:hAnsi="Times New Roman" w:cs="Times New Roman"/>
          <w:noProof/>
          <w:sz w:val="24"/>
          <w:szCs w:val="24"/>
        </w:rPr>
        <w:footnoteReference w:id="31"/>
      </w:r>
      <w:r>
        <w:rPr>
          <w:rFonts w:ascii="Times New Roman" w:hAnsi="Times New Roman"/>
          <w:noProof/>
          <w:sz w:val="24"/>
        </w:rPr>
        <w:t xml:space="preserve"> azonban azt mutatja, hogy a rendészeti rasszizmus diszkriminatív profilalkotási gyakorlatokat, nem helyénvaló rasszista kommunikációt és túlzott erőszak alkalmazását foglalja magában. Az e stratégiával kapcsolatban megkérdezett érdekelt felek hangsúlyozták a bűnüldöző hatóságoknak szóló átfogó képzési programok, valamint a bűnüldöző hatóságokon belüli nagyobb átláthatóság és elszámoltathatóság szükségességét</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Annak érdekében, hogy további iránymutatást nyújtson a tagállamoknak, </w:t>
      </w:r>
      <w:r>
        <w:rPr>
          <w:rFonts w:ascii="Times New Roman" w:hAnsi="Times New Roman"/>
          <w:b/>
          <w:noProof/>
          <w:sz w:val="24"/>
        </w:rPr>
        <w:t>a Bizottság összeállítja a diszkriminatív profilalkotási gyakorlatok megelőzésére szolgáló bevált gyakorlatok gyűjteményét.</w:t>
      </w:r>
    </w:p>
    <w:p w14:paraId="15992F62" w14:textId="77777777" w:rsidR="00EA76A6" w:rsidRDefault="00EA76A6" w:rsidP="001C289D">
      <w:pPr>
        <w:spacing w:line="240" w:lineRule="auto"/>
        <w:jc w:val="both"/>
        <w:rPr>
          <w:rFonts w:ascii="Times New Roman" w:hAnsi="Times New Roman" w:cs="Times New Roman"/>
          <w:b/>
          <w:bCs/>
          <w:noProof/>
          <w:sz w:val="24"/>
          <w:szCs w:val="24"/>
        </w:rPr>
      </w:pPr>
    </w:p>
    <w:p w14:paraId="6B48451B" w14:textId="77777777" w:rsidR="00EA76A6" w:rsidRDefault="00EA76A6" w:rsidP="001C289D">
      <w:pPr>
        <w:spacing w:line="240" w:lineRule="auto"/>
        <w:jc w:val="both"/>
        <w:rPr>
          <w:rFonts w:ascii="Times New Roman" w:hAnsi="Times New Roman" w:cs="Times New Roman"/>
          <w:b/>
          <w:bCs/>
          <w:noProof/>
          <w:sz w:val="24"/>
          <w:szCs w:val="24"/>
        </w:rPr>
      </w:pPr>
    </w:p>
    <w:p w14:paraId="7CBA1233" w14:textId="47A2099C" w:rsidR="00CB4799" w:rsidRDefault="00CB4799">
      <w:pPr>
        <w:spacing w:after="0" w:line="240" w:lineRule="auto"/>
        <w:rPr>
          <w:rFonts w:ascii="Times New Roman" w:hAnsi="Times New Roman" w:cs="Times New Roman"/>
          <w:b/>
          <w:i/>
          <w:noProof/>
          <w:sz w:val="24"/>
        </w:rPr>
      </w:pPr>
      <w:r>
        <w:rPr>
          <w:noProof/>
        </w:rPr>
        <w:br w:type="page"/>
      </w:r>
    </w:p>
    <w:p w14:paraId="2E57929E" w14:textId="77777777" w:rsidR="00EA76A6" w:rsidRPr="006107F8" w:rsidRDefault="00EA76A6" w:rsidP="001C289D">
      <w:pPr>
        <w:spacing w:line="240" w:lineRule="auto"/>
        <w:jc w:val="both"/>
        <w:rPr>
          <w:rFonts w:ascii="Times New Roman" w:hAnsi="Times New Roman" w:cs="Times New Roman"/>
          <w:b/>
          <w:i/>
          <w:noProof/>
          <w:sz w:val="24"/>
        </w:rPr>
      </w:pPr>
    </w:p>
    <w:p w14:paraId="5D5503A8" w14:textId="08406A18" w:rsidR="00BF6E0E" w:rsidRPr="006107F8" w:rsidRDefault="00AF4A17" w:rsidP="00493190">
      <w:pPr>
        <w:pBdr>
          <w:top w:val="single" w:sz="4" w:space="1" w:color="auto"/>
          <w:left w:val="single" w:sz="4" w:space="4" w:color="auto"/>
          <w:bottom w:val="single" w:sz="4" w:space="0" w:color="auto"/>
          <w:right w:val="single" w:sz="4" w:space="4" w:color="auto"/>
        </w:pBdr>
        <w:tabs>
          <w:tab w:val="left" w:pos="426"/>
        </w:tabs>
        <w:spacing w:line="240" w:lineRule="auto"/>
        <w:jc w:val="both"/>
        <w:rPr>
          <w:rFonts w:ascii="Times New Roman" w:hAnsi="Times New Roman" w:cs="Times New Roman"/>
          <w:b/>
          <w:noProof/>
          <w:sz w:val="24"/>
        </w:rPr>
      </w:pPr>
      <w:bookmarkStart w:id="13" w:name="_Hlk214613474"/>
      <w:bookmarkEnd w:id="4"/>
      <w:r>
        <w:rPr>
          <w:rFonts w:ascii="Times New Roman" w:hAnsi="Times New Roman"/>
          <w:b/>
          <w:noProof/>
          <w:sz w:val="24"/>
        </w:rPr>
        <w:t>A Bizottság</w:t>
      </w:r>
    </w:p>
    <w:p w14:paraId="1FEF6416" w14:textId="06C412F4" w:rsidR="00013FEB" w:rsidRPr="003314C6" w:rsidRDefault="00BB5E9C"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noProof/>
          <w:sz w:val="24"/>
        </w:rPr>
        <w:t>támogatni fogja a faji egyenlőségről szóló irányelv végrehajtását, többek között egy olyan jelentés közzétételével, amely az irányelv érvényesítésére és alkalmazására összpontosít az algoritmikus megkülönböztetés esetei tekintetében;</w:t>
      </w:r>
    </w:p>
    <w:p w14:paraId="36B70412" w14:textId="45120998" w:rsidR="003314C6" w:rsidRPr="006107F8" w:rsidRDefault="003314C6"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noProof/>
          <w:sz w:val="24"/>
        </w:rPr>
        <w:t>támogatja a mesterséges intelligenciáról szóló rendelet végrehajtását a faji elfogultság és a megkülönböztetés kockázatának kezelése érdekében;</w:t>
      </w:r>
    </w:p>
    <w:p w14:paraId="52E936C0" w14:textId="3F48D1AD" w:rsidR="000E3139" w:rsidRPr="006107F8" w:rsidRDefault="00E769EA"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noProof/>
          <w:sz w:val="24"/>
        </w:rPr>
        <w:t>jogalkotási kezdeményezést helyez kilátásba az online gyűlölet-bűncselekmények fogalommeghatározásának harmonizálása érdekében;</w:t>
      </w:r>
    </w:p>
    <w:p w14:paraId="06654A22" w14:textId="45998EFF" w:rsidR="00320D41" w:rsidRPr="006107F8" w:rsidRDefault="00320D41"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noProof/>
          <w:sz w:val="24"/>
        </w:rPr>
        <w:t>támogatja az áldozatok jogairól szóló felülvizsgált irányelv átültetését és végrehajtását, megerősítve az áldozatok jogait, beleértve a rasszista indíttatású gyűlölet-bűncselekmények által érintett személyeket is;</w:t>
      </w:r>
    </w:p>
    <w:p w14:paraId="35F2070B" w14:textId="5ECB8150" w:rsidR="00632BA5" w:rsidRPr="006107F8" w:rsidRDefault="00632BA5"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noProof/>
          <w:sz w:val="24"/>
        </w:rPr>
        <w:t>összeállítja a diszkriminatív profilalkotási gyakorlatok megelőzésére szolgáló bevált gyakorlatok gyűjteményét.</w:t>
      </w:r>
    </w:p>
    <w:p w14:paraId="1C92D5B1" w14:textId="7351FC6B" w:rsidR="007814E5" w:rsidRPr="006107F8" w:rsidRDefault="007814E5" w:rsidP="00493190">
      <w:pPr>
        <w:pBdr>
          <w:top w:val="single" w:sz="4" w:space="1" w:color="auto"/>
          <w:left w:val="single" w:sz="4" w:space="4" w:color="auto"/>
          <w:bottom w:val="single" w:sz="4" w:space="0" w:color="auto"/>
          <w:right w:val="single" w:sz="4" w:space="4" w:color="auto"/>
        </w:pBdr>
        <w:tabs>
          <w:tab w:val="left" w:pos="426"/>
        </w:tabs>
        <w:spacing w:line="240" w:lineRule="auto"/>
        <w:jc w:val="both"/>
        <w:rPr>
          <w:rFonts w:ascii="Times New Roman" w:hAnsi="Times New Roman" w:cs="Times New Roman"/>
          <w:b/>
          <w:noProof/>
          <w:sz w:val="24"/>
        </w:rPr>
      </w:pPr>
      <w:r>
        <w:rPr>
          <w:rFonts w:ascii="Times New Roman" w:hAnsi="Times New Roman"/>
          <w:b/>
          <w:noProof/>
          <w:sz w:val="24"/>
        </w:rPr>
        <w:t>A Bizottság arra ösztönzi a tagállamokat, hogy</w:t>
      </w:r>
    </w:p>
    <w:p w14:paraId="201E3F52" w14:textId="07D9B588" w:rsidR="00D855CC" w:rsidRPr="006107F8" w:rsidRDefault="00D855CC" w:rsidP="00493190">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noProof/>
          <w:sz w:val="24"/>
        </w:rPr>
        <w:t>biztosítsák a gyűlölet-bűncselekményekre és a megkülönböztetésmentességre vonatkozó uniós jogszabályok hatékonyabb érvényesítését, többek között a szankciórendszerek megerősítése révén;</w:t>
      </w:r>
    </w:p>
    <w:p w14:paraId="759EB173" w14:textId="2F0FA3C8" w:rsidR="00632BA5" w:rsidRPr="006107F8" w:rsidRDefault="00D855CC" w:rsidP="0009184B">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noProof/>
          <w:sz w:val="24"/>
        </w:rPr>
        <w:t>fokozzák az online gyűlölet-bűncselekmények elleni küzdelemre irányuló erőfeszítéseket, beleértve a rasszista indíttatású bűncselekményeket is</w:t>
      </w:r>
      <w:bookmarkEnd w:id="13"/>
      <w:r>
        <w:rPr>
          <w:rFonts w:ascii="Times New Roman" w:hAnsi="Times New Roman"/>
          <w:noProof/>
          <w:sz w:val="24"/>
        </w:rPr>
        <w:t>;</w:t>
      </w:r>
    </w:p>
    <w:p w14:paraId="5E76869E" w14:textId="0C60D799" w:rsidR="00632BA5" w:rsidRPr="006107F8" w:rsidRDefault="00632BA5" w:rsidP="00BB2741">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noProof/>
          <w:sz w:val="24"/>
        </w:rPr>
        <w:t>vezessenek be átfogó képzési programokat annak érdekében, hogy segítsék a köztisztviselőket a faji előítéletek eseteinek felismerésében és kezelésében;</w:t>
      </w:r>
    </w:p>
    <w:p w14:paraId="6BEDE2A0" w14:textId="5FE6E5EA" w:rsidR="00632BA5" w:rsidRPr="006107F8" w:rsidRDefault="00774CFE" w:rsidP="00632BA5">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noProof/>
          <w:sz w:val="24"/>
        </w:rPr>
        <w:t>biztosítsák a tisztességes és tényeken alapuló rendészeti gyakorlatokat, és azokat elszámoltathatósági intézkedésekkel támasszák alá.</w:t>
      </w:r>
    </w:p>
    <w:p w14:paraId="1E28EC4E" w14:textId="77777777" w:rsidR="000E3139" w:rsidRPr="006107F8" w:rsidRDefault="000E3139">
      <w:pPr>
        <w:spacing w:after="0" w:line="240" w:lineRule="auto"/>
        <w:rPr>
          <w:rFonts w:ascii="Times New Roman" w:hAnsi="Times New Roman" w:cs="Times New Roman"/>
          <w:b/>
          <w:bCs/>
          <w:noProof/>
          <w:sz w:val="24"/>
          <w:szCs w:val="24"/>
        </w:rPr>
      </w:pPr>
    </w:p>
    <w:p w14:paraId="0C508716" w14:textId="4615CAF1" w:rsidR="00BF6E0E" w:rsidRPr="006107F8" w:rsidRDefault="003E70D4" w:rsidP="009C69FB">
      <w:pPr>
        <w:spacing w:after="0" w:line="240" w:lineRule="auto"/>
        <w:rPr>
          <w:rFonts w:ascii="Times New Roman" w:hAnsi="Times New Roman" w:cs="Times New Roman"/>
          <w:noProof/>
          <w:sz w:val="24"/>
          <w:szCs w:val="24"/>
        </w:rPr>
      </w:pPr>
      <w:r>
        <w:rPr>
          <w:rFonts w:ascii="Times New Roman" w:hAnsi="Times New Roman"/>
          <w:b/>
          <w:noProof/>
          <w:sz w:val="24"/>
        </w:rPr>
        <w:t xml:space="preserve">III. FEJEZET – </w:t>
      </w:r>
      <w:bookmarkStart w:id="14" w:name="_Hlk209379457"/>
      <w:bookmarkEnd w:id="14"/>
      <w:r>
        <w:rPr>
          <w:rFonts w:ascii="Times New Roman" w:hAnsi="Times New Roman"/>
          <w:b/>
          <w:noProof/>
          <w:sz w:val="24"/>
        </w:rPr>
        <w:t>A TÁRSADALMI EGYENLŐSÉG ÉS KOHÉZIÓ MEGERŐSÍTÉSE</w:t>
      </w:r>
    </w:p>
    <w:p w14:paraId="085B0287" w14:textId="4A780857" w:rsidR="00BF6E0E" w:rsidRPr="006107F8" w:rsidRDefault="171E31D5" w:rsidP="00C62621">
      <w:pPr>
        <w:numPr>
          <w:ilvl w:val="0"/>
          <w:numId w:val="8"/>
        </w:numPr>
        <w:spacing w:before="160" w:line="240" w:lineRule="auto"/>
        <w:ind w:left="357" w:hanging="357"/>
        <w:jc w:val="both"/>
        <w:rPr>
          <w:rFonts w:ascii="Times New Roman" w:eastAsia="Times New Roman" w:hAnsi="Times New Roman" w:cs="Times New Roman"/>
          <w:i/>
          <w:iCs/>
          <w:noProof/>
          <w:color w:val="000000" w:themeColor="text1"/>
          <w:sz w:val="24"/>
          <w:szCs w:val="24"/>
        </w:rPr>
      </w:pPr>
      <w:r>
        <w:rPr>
          <w:rFonts w:ascii="Times New Roman" w:hAnsi="Times New Roman"/>
          <w:i/>
          <w:noProof/>
          <w:color w:val="000000" w:themeColor="text1"/>
          <w:sz w:val="24"/>
        </w:rPr>
        <w:t>Tíz európaiból több mint három a bőrszínt (39 %) és az etnikai származást (34 %) nevezte meg fő tényezőként, amely hátrányos helyzetbe hozhatja az álláskeresőket</w:t>
      </w:r>
      <w:r>
        <w:rPr>
          <w:rStyle w:val="FootnoteReference"/>
          <w:rFonts w:ascii="Times New Roman" w:eastAsia="Times New Roman" w:hAnsi="Times New Roman" w:cs="Times New Roman"/>
          <w:i/>
          <w:iCs/>
          <w:noProof/>
          <w:color w:val="000000" w:themeColor="text1"/>
          <w:sz w:val="24"/>
          <w:szCs w:val="24"/>
          <w:lang w:val="de-DE"/>
        </w:rPr>
        <w:footnoteReference w:id="33"/>
      </w:r>
      <w:r>
        <w:rPr>
          <w:rFonts w:ascii="Times New Roman" w:hAnsi="Times New Roman"/>
          <w:i/>
          <w:noProof/>
          <w:color w:val="000000" w:themeColor="text1"/>
          <w:sz w:val="24"/>
        </w:rPr>
        <w:t>.</w:t>
      </w:r>
    </w:p>
    <w:p w14:paraId="267CBCFA" w14:textId="4CD633F8" w:rsidR="00BF6E0E" w:rsidRPr="006107F8" w:rsidRDefault="00077B43" w:rsidP="00BF3DB3">
      <w:pPr>
        <w:numPr>
          <w:ilvl w:val="0"/>
          <w:numId w:val="8"/>
        </w:numPr>
        <w:spacing w:line="240" w:lineRule="auto"/>
        <w:jc w:val="both"/>
        <w:rPr>
          <w:rFonts w:ascii="Times New Roman" w:eastAsia="Times New Roman" w:hAnsi="Times New Roman" w:cs="Times New Roman"/>
          <w:i/>
          <w:iCs/>
          <w:noProof/>
          <w:color w:val="000000" w:themeColor="text1"/>
          <w:sz w:val="24"/>
          <w:szCs w:val="24"/>
        </w:rPr>
      </w:pPr>
      <w:r>
        <w:rPr>
          <w:rFonts w:ascii="Times New Roman" w:hAnsi="Times New Roman"/>
          <w:i/>
          <w:noProof/>
          <w:color w:val="000000" w:themeColor="text1"/>
          <w:sz w:val="24"/>
        </w:rPr>
        <w:t>A roma származású vagy nomád életmódot folytató családból származó gyermek fele (46 %) olyan iskolába jár, ahol a tanulók mindegyike vagy többsége hasonló háttérből érkezik</w:t>
      </w:r>
      <w:r>
        <w:rPr>
          <w:rStyle w:val="FootnoteReference"/>
          <w:rFonts w:ascii="Times New Roman" w:eastAsia="Times New Roman" w:hAnsi="Times New Roman" w:cs="Times New Roman"/>
          <w:i/>
          <w:iCs/>
          <w:noProof/>
          <w:color w:val="000000" w:themeColor="text1"/>
          <w:sz w:val="24"/>
          <w:szCs w:val="24"/>
          <w:lang w:val="de-DE"/>
        </w:rPr>
        <w:footnoteReference w:id="34"/>
      </w:r>
      <w:r>
        <w:rPr>
          <w:rFonts w:ascii="Times New Roman" w:hAnsi="Times New Roman"/>
          <w:i/>
          <w:noProof/>
          <w:color w:val="000000" w:themeColor="text1"/>
          <w:sz w:val="24"/>
        </w:rPr>
        <w:t>.</w:t>
      </w:r>
    </w:p>
    <w:p w14:paraId="61ECFD03" w14:textId="7175FAE8" w:rsidR="00E06D6C" w:rsidRPr="006107F8" w:rsidRDefault="171E31D5" w:rsidP="00BF3DB3">
      <w:pPr>
        <w:numPr>
          <w:ilvl w:val="0"/>
          <w:numId w:val="8"/>
        </w:numPr>
        <w:spacing w:line="240" w:lineRule="auto"/>
        <w:jc w:val="both"/>
        <w:rPr>
          <w:rFonts w:ascii="Times New Roman" w:eastAsia="Times New Roman" w:hAnsi="Times New Roman" w:cs="Times New Roman"/>
          <w:i/>
          <w:iCs/>
          <w:noProof/>
          <w:color w:val="000000" w:themeColor="text1"/>
          <w:sz w:val="24"/>
          <w:szCs w:val="24"/>
        </w:rPr>
      </w:pPr>
      <w:r>
        <w:rPr>
          <w:rFonts w:ascii="Times New Roman" w:hAnsi="Times New Roman"/>
          <w:i/>
          <w:noProof/>
          <w:color w:val="000000" w:themeColor="text1"/>
          <w:sz w:val="24"/>
        </w:rPr>
        <w:t>Az EU-ban a muszlimok 40 %-a túlzsúfolt lakásokban él, ami több mint kétszerese az EU általános népessége körében megállapított aránynak (17 %)</w:t>
      </w:r>
      <w:r>
        <w:rPr>
          <w:rStyle w:val="FootnoteReference"/>
          <w:rFonts w:ascii="Times New Roman" w:eastAsia="Times New Roman" w:hAnsi="Times New Roman" w:cs="Times New Roman"/>
          <w:i/>
          <w:iCs/>
          <w:noProof/>
          <w:color w:val="000000" w:themeColor="text1"/>
          <w:sz w:val="24"/>
          <w:szCs w:val="24"/>
        </w:rPr>
        <w:footnoteReference w:id="35"/>
      </w:r>
      <w:r>
        <w:rPr>
          <w:rFonts w:ascii="Times New Roman" w:hAnsi="Times New Roman"/>
          <w:i/>
          <w:noProof/>
          <w:color w:val="000000" w:themeColor="text1"/>
          <w:sz w:val="24"/>
        </w:rPr>
        <w:t>.</w:t>
      </w:r>
    </w:p>
    <w:p w14:paraId="15777BB6" w14:textId="47508ABA" w:rsidR="00907EFF" w:rsidRPr="006107F8" w:rsidRDefault="59398FE5" w:rsidP="00F21377">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 rasszizmus által érintett személyek hátrányos megkülönböztetéssel szembesülhetnek az élet alapvető területein, beleértve az oktatást, a foglalkoztatást, a lakhatást, az egészségügyi ellátást és a szociális védelmet. A rasszizmus halmozott hatásai az érintett személyeket egész életük során korlátozzák az esélyekhez való egyenlő hozzáférésben</w:t>
      </w:r>
      <w:r>
        <w:rPr>
          <w:rStyle w:val="FootnoteReference"/>
          <w:rFonts w:ascii="Times New Roman" w:eastAsia="Times New Roman" w:hAnsi="Times New Roman" w:cs="Times New Roman"/>
          <w:noProof/>
          <w:color w:val="000000" w:themeColor="text1"/>
          <w:sz w:val="24"/>
          <w:szCs w:val="24"/>
        </w:rPr>
        <w:footnoteReference w:id="36"/>
      </w:r>
      <w:r>
        <w:rPr>
          <w:rFonts w:ascii="Times New Roman" w:hAnsi="Times New Roman"/>
          <w:noProof/>
          <w:color w:val="000000" w:themeColor="text1"/>
          <w:sz w:val="24"/>
        </w:rPr>
        <w:t>.</w:t>
      </w:r>
      <w:r>
        <w:rPr>
          <w:rStyle w:val="FootnoteReference"/>
          <w:rFonts w:ascii="Times New Roman" w:hAnsi="Times New Roman"/>
          <w:noProof/>
          <w:color w:val="000000" w:themeColor="text1"/>
          <w:sz w:val="24"/>
        </w:rPr>
        <w:t xml:space="preserve"> </w:t>
      </w:r>
      <w:r>
        <w:rPr>
          <w:rFonts w:ascii="Times New Roman" w:hAnsi="Times New Roman"/>
          <w:noProof/>
          <w:color w:val="000000" w:themeColor="text1"/>
          <w:sz w:val="24"/>
        </w:rPr>
        <w:t xml:space="preserve">Ez ellentétes a Szerződésekben és </w:t>
      </w:r>
      <w:hyperlink r:id="rId64" w:tgtFrame="_blank" w:tooltip="https://commission.europa.eu/document/download/e03c60e7-4139-430b-9216-3340f7c73c20_en?filename=social-summit-european-pillar-social-rights-booklet_en.pdf" w:history="1">
        <w:r>
          <w:rPr>
            <w:rStyle w:val="Hyperlink"/>
            <w:rFonts w:ascii="Times New Roman" w:hAnsi="Times New Roman"/>
            <w:noProof/>
            <w:sz w:val="24"/>
          </w:rPr>
          <w:t>a szociális jogok európai pillérében</w:t>
        </w:r>
      </w:hyperlink>
      <w:r>
        <w:rPr>
          <w:rFonts w:ascii="Times New Roman" w:hAnsi="Times New Roman"/>
          <w:noProof/>
          <w:color w:val="000000" w:themeColor="text1"/>
          <w:sz w:val="24"/>
        </w:rPr>
        <w:t xml:space="preserve"> rögzített uniós értékekkel, amelyek célja, hogy előmozdítsák egy befogadó társadalom és versenyképes szociális piacgazdaság létrehozását, amely mindenki számára biztosítja a munkahelyeket, a méltányos munkafeltételeket és a szociális védelmet.</w:t>
      </w:r>
    </w:p>
    <w:p w14:paraId="2044F58E" w14:textId="44CBFA92" w:rsidR="00BF6E0E" w:rsidRPr="006107F8" w:rsidRDefault="00FA62CD" w:rsidP="008E33D7">
      <w:pPr>
        <w:spacing w:line="240" w:lineRule="auto"/>
        <w:jc w:val="both"/>
        <w:rPr>
          <w:rFonts w:ascii="Times New Roman" w:hAnsi="Times New Roman" w:cs="Times New Roman"/>
          <w:b/>
          <w:i/>
          <w:noProof/>
          <w:sz w:val="24"/>
        </w:rPr>
      </w:pPr>
      <w:r>
        <w:rPr>
          <w:rFonts w:ascii="Times New Roman" w:hAnsi="Times New Roman"/>
          <w:b/>
          <w:i/>
          <w:noProof/>
          <w:sz w:val="24"/>
        </w:rPr>
        <w:t>Az inkluzív oktatás és kultúra mint a társadalmi egyenlőség és a versenyképesség katalizátora</w:t>
      </w:r>
    </w:p>
    <w:p w14:paraId="2F842509" w14:textId="4D1763A8" w:rsidR="00EA76A6" w:rsidRPr="00003A2D" w:rsidRDefault="007D0822" w:rsidP="00DF541A">
      <w:pPr>
        <w:spacing w:line="240" w:lineRule="auto"/>
        <w:jc w:val="both"/>
        <w:rPr>
          <w:rFonts w:ascii="Times New Roman" w:hAnsi="Times New Roman" w:cs="Times New Roman"/>
          <w:noProof/>
          <w:sz w:val="24"/>
          <w:szCs w:val="24"/>
        </w:rPr>
      </w:pPr>
      <w:r>
        <w:rPr>
          <w:rFonts w:ascii="Times New Roman" w:hAnsi="Times New Roman"/>
          <w:noProof/>
          <w:sz w:val="24"/>
        </w:rPr>
        <w:t xml:space="preserve">A </w:t>
      </w:r>
      <w:hyperlink r:id="rId65" w:history="1">
        <w:r>
          <w:rPr>
            <w:rStyle w:val="Hyperlink"/>
            <w:rFonts w:ascii="Times New Roman" w:hAnsi="Times New Roman"/>
            <w:noProof/>
            <w:sz w:val="24"/>
          </w:rPr>
          <w:t>készségek uniójának</w:t>
        </w:r>
      </w:hyperlink>
      <w:r>
        <w:rPr>
          <w:rFonts w:ascii="Times New Roman" w:hAnsi="Times New Roman"/>
          <w:noProof/>
          <w:sz w:val="24"/>
        </w:rPr>
        <w:t xml:space="preserve"> célja, hogy támogassa az oktatási és képzési rendszereket annak érdekében, hogy hátterétől függetlenül mindenki egyenlő esélyekkel induljon. A jól képzett népességbe és munkaerőbe való beruházás befektetés az EU versenyképességébe, gazdasági és inkluzív növekedésébe, valamint társadalmi és területi kohéziójába.</w:t>
      </w:r>
    </w:p>
    <w:p w14:paraId="264F55B4" w14:textId="77777777" w:rsidR="00EA76A6" w:rsidRDefault="00EA76A6" w:rsidP="00995373">
      <w:pPr>
        <w:spacing w:line="240" w:lineRule="auto"/>
        <w:jc w:val="both"/>
        <w:rPr>
          <w:rFonts w:ascii="Times New Roman" w:hAnsi="Times New Roman" w:cs="Times New Roman"/>
          <w:noProof/>
          <w:sz w:val="24"/>
          <w:szCs w:val="24"/>
        </w:rPr>
      </w:pPr>
    </w:p>
    <w:p w14:paraId="5D2576B2" w14:textId="3420F573" w:rsidR="00A73EFE" w:rsidRDefault="171E31D5" w:rsidP="00995373">
      <w:pPr>
        <w:spacing w:line="240" w:lineRule="auto"/>
        <w:jc w:val="both"/>
        <w:rPr>
          <w:rFonts w:ascii="Times New Roman" w:hAnsi="Times New Roman" w:cs="Times New Roman"/>
          <w:noProof/>
          <w:sz w:val="24"/>
          <w:szCs w:val="24"/>
        </w:rPr>
      </w:pPr>
      <w:r>
        <w:rPr>
          <w:rFonts w:ascii="Times New Roman" w:hAnsi="Times New Roman"/>
          <w:noProof/>
          <w:sz w:val="24"/>
        </w:rPr>
        <w:t>Az oktatás kulcsszerepet játszik a társadalmi mobilitás előmozdításában, és biztosíthatja, hogy mindenki egyenlő esélyekkel indulhasson. Az első lépés efelé az alapkészségek – az írástudás, a matematika, a természettudományok, a digitális készségek és az állampolgári ismeretek – elsajátítása. Az állampolgári ismeretek korai életkortól kezdődő oktatásának bevezetése kulcsfontosságú, hogy a fiatal tanulókban nyitott gondolkodásmód alakuljon ki, és megtanulják értékelni a sokszínűséget valamint, hogy az alapvető európai értékekkel összhangban javuljon a kölcsönös tisztelet. A művészet, a kultúra és a sport is fontos a társadalom rasszizmus elleni mozgósítása, valamint a tisztelet, a befogadás és az egyenlőség előmozdítása szempontjából.</w:t>
      </w:r>
    </w:p>
    <w:p w14:paraId="7ABA1990" w14:textId="4188DCAE" w:rsidR="00487315" w:rsidRPr="006107F8" w:rsidRDefault="00A67A25" w:rsidP="00C90741">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A </w:t>
      </w:r>
      <w:r>
        <w:rPr>
          <w:rFonts w:ascii="Times New Roman" w:hAnsi="Times New Roman"/>
          <w:noProof/>
          <w:color w:val="000000" w:themeColor="text1"/>
          <w:sz w:val="24"/>
        </w:rPr>
        <w:t>faji vagy etnikai kisebbségekhez</w:t>
      </w:r>
      <w:r>
        <w:rPr>
          <w:rFonts w:ascii="Times New Roman" w:hAnsi="Times New Roman"/>
          <w:noProof/>
          <w:sz w:val="24"/>
        </w:rPr>
        <w:t xml:space="preserve"> tartozó diákok szegregációval és akadályokkal szembesülhetnek a minőségi oktatáshoz való hozzáférés terén, ami negatívan befolyásolja iskolai előmenetelüket és a munkaerőpiacra való belépésüket</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w:t>
      </w:r>
      <w:r>
        <w:rPr>
          <w:rFonts w:ascii="Times New Roman" w:hAnsi="Times New Roman"/>
          <w:noProof/>
          <w:color w:val="000000" w:themeColor="text1"/>
          <w:sz w:val="24"/>
        </w:rPr>
        <w:t xml:space="preserve">Ezért </w:t>
      </w:r>
      <w:hyperlink r:id="rId66" w:history="1">
        <w:r>
          <w:rPr>
            <w:rStyle w:val="Hyperlink"/>
            <w:rFonts w:ascii="Times New Roman" w:hAnsi="Times New Roman"/>
            <w:noProof/>
            <w:sz w:val="24"/>
          </w:rPr>
          <w:t>az európai oktatási térség stratégiai keretrendszerének</w:t>
        </w:r>
      </w:hyperlink>
      <w:r>
        <w:rPr>
          <w:rFonts w:ascii="Times New Roman" w:hAnsi="Times New Roman"/>
          <w:noProof/>
          <w:color w:val="000000" w:themeColor="text1"/>
          <w:sz w:val="24"/>
        </w:rPr>
        <w:t xml:space="preserve"> középpontjában a méltányosság és a befogadás áll, hogy olyan inkluzív oktatási környezeteket mozdítson elő, amelyek a sokszínűségben rejlő lehetőségek, és ezáltal az európaiakban rejlő tehetségpotenciál kiaknázásával megerősítik a munkaerőpiacokat. </w:t>
      </w:r>
      <w:r>
        <w:rPr>
          <w:rFonts w:ascii="Times New Roman" w:hAnsi="Times New Roman"/>
          <w:noProof/>
          <w:sz w:val="24"/>
        </w:rPr>
        <w:t xml:space="preserve">Az </w:t>
      </w:r>
      <w:r>
        <w:rPr>
          <w:rFonts w:ascii="Times New Roman" w:hAnsi="Times New Roman"/>
          <w:b/>
          <w:noProof/>
          <w:sz w:val="24"/>
        </w:rPr>
        <w:t>uniós tanári és oktatói program</w:t>
      </w:r>
      <w:r>
        <w:rPr>
          <w:rFonts w:ascii="Times New Roman" w:hAnsi="Times New Roman"/>
          <w:noProof/>
          <w:sz w:val="24"/>
        </w:rPr>
        <w:t xml:space="preserve"> </w:t>
      </w:r>
      <w:r>
        <w:rPr>
          <w:rFonts w:ascii="Times New Roman" w:hAnsi="Times New Roman"/>
          <w:noProof/>
          <w:color w:val="000000" w:themeColor="text1"/>
          <w:sz w:val="24"/>
        </w:rPr>
        <w:t>célja többek között</w:t>
      </w:r>
      <w:r>
        <w:rPr>
          <w:rFonts w:ascii="Times New Roman" w:hAnsi="Times New Roman"/>
          <w:noProof/>
          <w:sz w:val="24"/>
        </w:rPr>
        <w:t xml:space="preserve"> a sokszínűséggel és befogadással kapcsolatos tanárképzés és továbbképzés fejlesztése, valamint a sokszínűség előmozdítása a tanári szakmán belül.</w:t>
      </w:r>
    </w:p>
    <w:p w14:paraId="58C0272B" w14:textId="1556F149" w:rsidR="00253C88" w:rsidRDefault="00141688" w:rsidP="008E33D7">
      <w:pPr>
        <w:spacing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A Bizottság továbbra is támogatni fogja a tagállamok inkluzív oktatási reformjait, valamint elő fogja mozdítani a méltányosságot és a befogadást. </w:t>
      </w:r>
      <w:r>
        <w:rPr>
          <w:rFonts w:ascii="Times New Roman" w:hAnsi="Times New Roman"/>
          <w:noProof/>
          <w:sz w:val="24"/>
        </w:rPr>
        <w:t>Az olyan programok, mint</w:t>
      </w:r>
      <w:hyperlink r:id="rId67" w:history="1">
        <w:r>
          <w:rPr>
            <w:rStyle w:val="Hyperlink"/>
            <w:rFonts w:ascii="Times New Roman" w:hAnsi="Times New Roman"/>
            <w:noProof/>
            <w:sz w:val="24"/>
          </w:rPr>
          <w:t xml:space="preserve"> az Erasmus+</w:t>
        </w:r>
      </w:hyperlink>
      <w:r>
        <w:rPr>
          <w:rFonts w:ascii="Times New Roman" w:hAnsi="Times New Roman"/>
          <w:noProof/>
          <w:sz w:val="24"/>
        </w:rPr>
        <w:t xml:space="preserve">, </w:t>
      </w:r>
      <w:hyperlink r:id="rId68" w:history="1">
        <w:r>
          <w:rPr>
            <w:rStyle w:val="Hyperlink"/>
            <w:rFonts w:ascii="Times New Roman" w:hAnsi="Times New Roman"/>
            <w:noProof/>
            <w:sz w:val="24"/>
          </w:rPr>
          <w:t>az Európai Szociális Alap Plusz (ESZA+)</w:t>
        </w:r>
      </w:hyperlink>
      <w:r>
        <w:rPr>
          <w:rFonts w:ascii="Times New Roman" w:hAnsi="Times New Roman"/>
          <w:noProof/>
          <w:sz w:val="24"/>
        </w:rPr>
        <w:t xml:space="preserve"> és a </w:t>
      </w:r>
      <w:hyperlink r:id="rId69" w:history="1">
        <w:r>
          <w:rPr>
            <w:rStyle w:val="Hyperlink"/>
            <w:rFonts w:ascii="Times New Roman" w:hAnsi="Times New Roman"/>
            <w:noProof/>
            <w:sz w:val="24"/>
          </w:rPr>
          <w:t>Horizont Európa</w:t>
        </w:r>
      </w:hyperlink>
      <w:r>
        <w:rPr>
          <w:rFonts w:ascii="Times New Roman" w:hAnsi="Times New Roman"/>
          <w:noProof/>
          <w:sz w:val="24"/>
        </w:rPr>
        <w:t xml:space="preserve"> megerősítik ezeket az erőfeszítéseket azáltal, hogy előmozdítják a minőségi és inkluzív oktatáshoz való egyenlő hozzáférést, valamint </w:t>
      </w:r>
      <w:r>
        <w:rPr>
          <w:rFonts w:ascii="Times New Roman" w:hAnsi="Times New Roman"/>
          <w:b/>
          <w:noProof/>
          <w:sz w:val="24"/>
        </w:rPr>
        <w:t>finanszírozást biztosítanak a tanárképzéshez, az iskolai együttműködéshez, a tanulási célú mobilitási projektekhez és az inkluzív oktatásra összpontosító kutatáshoz.</w:t>
      </w:r>
      <w:bookmarkStart w:id="15" w:name="_Hlk209379499"/>
    </w:p>
    <w:p w14:paraId="7CEF06E0" w14:textId="70E589F3" w:rsidR="00BF6E0E" w:rsidRPr="006107F8" w:rsidRDefault="00ED5D1E" w:rsidP="008E33D7">
      <w:pPr>
        <w:spacing w:line="240" w:lineRule="auto"/>
        <w:jc w:val="both"/>
        <w:rPr>
          <w:rFonts w:ascii="Times New Roman" w:hAnsi="Times New Roman" w:cs="Times New Roman"/>
          <w:b/>
          <w:i/>
          <w:noProof/>
          <w:sz w:val="24"/>
        </w:rPr>
      </w:pPr>
      <w:r>
        <w:rPr>
          <w:rFonts w:ascii="Times New Roman" w:hAnsi="Times New Roman"/>
          <w:b/>
          <w:i/>
          <w:noProof/>
          <w:sz w:val="24"/>
        </w:rPr>
        <w:t>A rasszizmus elleni küzdelem inkluzív foglalkoztatási, lakhatási és egészségügyi politikák révén</w:t>
      </w:r>
    </w:p>
    <w:bookmarkEnd w:id="15"/>
    <w:p w14:paraId="6DAB69FD" w14:textId="77F57D2E" w:rsidR="3184CA9C" w:rsidRPr="00006090" w:rsidRDefault="171E31D5" w:rsidP="00BF3DB3">
      <w:pPr>
        <w:spacing w:line="240" w:lineRule="auto"/>
        <w:jc w:val="both"/>
        <w:rPr>
          <w:noProof/>
        </w:rPr>
      </w:pPr>
      <w:r>
        <w:rPr>
          <w:rFonts w:ascii="Times New Roman" w:hAnsi="Times New Roman"/>
          <w:noProof/>
          <w:sz w:val="24"/>
        </w:rPr>
        <w:t>A rasszizmus és a faji megkülönböztetés akadályozza az egyenlőséget a foglalkoztatás területén. A külföldinek vélt nevet viselő álláskeresők gyakran akadályokba ütköznek a munkaerőpiacra való belépés során</w:t>
      </w:r>
      <w:r>
        <w:rPr>
          <w:rFonts w:ascii="Times New Roman" w:hAnsi="Times New Roman"/>
          <w:noProof/>
          <w:sz w:val="24"/>
          <w:vertAlign w:val="superscript"/>
        </w:rPr>
        <w:t xml:space="preserve"> </w:t>
      </w:r>
      <w:r>
        <w:rPr>
          <w:rFonts w:ascii="Times New Roman" w:hAnsi="Times New Roman" w:cs="Times New Roman"/>
          <w:noProof/>
          <w:sz w:val="24"/>
          <w:szCs w:val="24"/>
          <w:vertAlign w:val="superscript"/>
        </w:rPr>
        <w:footnoteReference w:id="38"/>
      </w:r>
      <w:r>
        <w:rPr>
          <w:rFonts w:ascii="Times New Roman" w:hAnsi="Times New Roman"/>
          <w:noProof/>
          <w:sz w:val="24"/>
        </w:rPr>
        <w:t xml:space="preserve">, ami alacsonyabb szintű gazdasági biztonságot eredményez. </w:t>
      </w:r>
      <w:hyperlink r:id="rId70" w:history="1">
        <w:r>
          <w:rPr>
            <w:rStyle w:val="Hyperlink"/>
            <w:rFonts w:ascii="Times New Roman" w:hAnsi="Times New Roman"/>
            <w:noProof/>
            <w:sz w:val="24"/>
          </w:rPr>
          <w:t>Az integrációról és a befogadásról szóló cselekvési terv</w:t>
        </w:r>
      </w:hyperlink>
      <w:r>
        <w:rPr>
          <w:rFonts w:ascii="Times New Roman" w:hAnsi="Times New Roman"/>
          <w:noProof/>
          <w:sz w:val="24"/>
        </w:rPr>
        <w:t xml:space="preserve"> célja, hogy támogassa a migránsok és a migráns hátterű uniós polgárok fenntartható munkaerőpiaci integrációját, arra ösztönözve a tagállamokat, hogy hívják fel a figyelmet a munkaerő-felvétel során és a munkahelyen tapasztalható hátrányos megkülönböztetésre, és erősítsék meg a megkülönböztetés elleni intézkedéseket. A fokozott munkaerőpiaci integráció ahhoz is fontos szakpolitikai eszköz, hogy a munkaerőpiaci hiányok és a készségigények kezelésével fokozzák az EU versenyképességét.</w:t>
      </w:r>
    </w:p>
    <w:p w14:paraId="75899413" w14:textId="77777777" w:rsidR="00CD33C3" w:rsidRPr="006107F8" w:rsidRDefault="00CD33C3" w:rsidP="00CD33C3">
      <w:pPr>
        <w:spacing w:line="240" w:lineRule="auto"/>
        <w:jc w:val="both"/>
        <w:rPr>
          <w:rFonts w:ascii="Times New Roman" w:hAnsi="Times New Roman" w:cs="Times New Roman"/>
          <w:noProof/>
          <w:sz w:val="24"/>
          <w:szCs w:val="24"/>
        </w:rPr>
      </w:pPr>
      <w:r>
        <w:rPr>
          <w:rFonts w:ascii="Times New Roman" w:hAnsi="Times New Roman"/>
          <w:noProof/>
          <w:sz w:val="24"/>
        </w:rPr>
        <w:t xml:space="preserve">A Bizottság elkötelezett a foglalkoztatás sokszínűségének, valamint a befogadóbb munkahelyek előmozdítása mellett, és </w:t>
      </w:r>
      <w:r>
        <w:rPr>
          <w:rFonts w:ascii="Times New Roman" w:hAnsi="Times New Roman"/>
          <w:b/>
          <w:noProof/>
          <w:sz w:val="24"/>
        </w:rPr>
        <w:t>továbbra is szorosan együtt fog működni</w:t>
      </w:r>
      <w:r>
        <w:rPr>
          <w:rFonts w:ascii="Times New Roman" w:hAnsi="Times New Roman"/>
          <w:noProof/>
          <w:sz w:val="24"/>
        </w:rPr>
        <w:t xml:space="preserve"> </w:t>
      </w:r>
      <w:r>
        <w:rPr>
          <w:rFonts w:ascii="Times New Roman" w:hAnsi="Times New Roman"/>
          <w:b/>
          <w:noProof/>
          <w:sz w:val="24"/>
        </w:rPr>
        <w:t>a sokszínűségi charták uniós platformjával</w:t>
      </w:r>
      <w:r>
        <w:rPr>
          <w:rFonts w:ascii="Times New Roman" w:hAnsi="Times New Roman"/>
          <w:noProof/>
          <w:sz w:val="24"/>
        </w:rPr>
        <w:t xml:space="preserve"> a sokszínűséggel és a befogadással kapcsolatos kezdeményezésekhez kapcsolódó bevált gyakorlatok megosztása érdekében, beleértve az etnikai sokszínűséget is. </w:t>
      </w:r>
      <w:r>
        <w:rPr>
          <w:rFonts w:ascii="Times New Roman" w:hAnsi="Times New Roman"/>
          <w:b/>
          <w:noProof/>
          <w:sz w:val="24"/>
        </w:rPr>
        <w:t>A platform emellett elő fogja segíteni a párbeszédet, és iránymutatást fog nyújtani például az inkluzív munkaerő-felvételi gyakorlatokról.</w:t>
      </w:r>
    </w:p>
    <w:p w14:paraId="1B4F8626" w14:textId="45937B30" w:rsidR="00792FD6" w:rsidRPr="006107F8" w:rsidRDefault="171E31D5" w:rsidP="00B03519">
      <w:pPr>
        <w:spacing w:line="240" w:lineRule="auto"/>
        <w:jc w:val="both"/>
        <w:rPr>
          <w:rFonts w:ascii="Times New Roman" w:hAnsi="Times New Roman" w:cs="Times New Roman"/>
          <w:noProof/>
          <w:sz w:val="24"/>
          <w:szCs w:val="24"/>
        </w:rPr>
      </w:pPr>
      <w:r>
        <w:rPr>
          <w:rFonts w:ascii="Times New Roman" w:hAnsi="Times New Roman"/>
          <w:noProof/>
          <w:color w:val="000000" w:themeColor="text1"/>
          <w:sz w:val="24"/>
        </w:rPr>
        <w:t>A megfizethető és tisztességes lakhatáshoz való hozzáférés alapvetően fontos az egyének és családok jólléte és a társadalmi kohézió szempontjából. A faji vagy etnikai kisebbségekhez tartozó személyek gyakran szembesülnek megkülönböztetéssel és akadályokkal a lakáspiacon, beleértve a lakásbérlés vagy -vásárlás során tapasztalt egyenlőtlen feltételeket, valamint a hitelfelvétel akadályait. Ezért gyakran túlzsúfolt lakásban, rossz életkörülmények között, szegregáltan kénytelenek élni, vagy hajléktalanná válnak</w:t>
      </w:r>
      <w:r>
        <w:rPr>
          <w:rStyle w:val="FootnoteReference"/>
          <w:rFonts w:ascii="Times New Roman" w:eastAsia="Times New Roman" w:hAnsi="Times New Roman" w:cs="Times New Roman"/>
          <w:noProof/>
          <w:color w:val="000000" w:themeColor="text1"/>
          <w:sz w:val="24"/>
          <w:szCs w:val="24"/>
        </w:rPr>
        <w:footnoteReference w:id="39"/>
      </w:r>
      <w:r>
        <w:rPr>
          <w:rFonts w:ascii="Times New Roman" w:hAnsi="Times New Roman"/>
          <w:noProof/>
          <w:color w:val="000000" w:themeColor="text1"/>
          <w:sz w:val="24"/>
        </w:rPr>
        <w:t>. Ezek a kihívások hangsúlyosabbak lehetnek a vidéki és távoli területeken, ahol korlátozottak a lakhatási lehetőségek és a közszolgáltatások</w:t>
      </w:r>
      <w:r>
        <w:rPr>
          <w:rStyle w:val="FootnoteReference"/>
          <w:rFonts w:ascii="Times New Roman" w:eastAsia="Times New Roman" w:hAnsi="Times New Roman" w:cs="Times New Roman"/>
          <w:noProof/>
          <w:color w:val="000000" w:themeColor="text1"/>
          <w:sz w:val="24"/>
          <w:szCs w:val="24"/>
        </w:rPr>
        <w:footnoteReference w:id="40"/>
      </w:r>
      <w:r>
        <w:rPr>
          <w:rFonts w:ascii="Times New Roman" w:hAnsi="Times New Roman"/>
          <w:noProof/>
          <w:color w:val="000000" w:themeColor="text1"/>
          <w:sz w:val="24"/>
        </w:rPr>
        <w:t>.</w:t>
      </w:r>
    </w:p>
    <w:p w14:paraId="1B6D13CF" w14:textId="77777777" w:rsidR="00EA76A6" w:rsidRDefault="00EA76A6" w:rsidP="001B2C4F">
      <w:pPr>
        <w:spacing w:line="240" w:lineRule="auto"/>
        <w:jc w:val="both"/>
        <w:rPr>
          <w:rFonts w:ascii="Times New Roman" w:hAnsi="Times New Roman" w:cs="Times New Roman"/>
          <w:noProof/>
          <w:sz w:val="24"/>
          <w:szCs w:val="24"/>
        </w:rPr>
      </w:pPr>
    </w:p>
    <w:p w14:paraId="2D8A4293" w14:textId="45E9CB5C" w:rsidR="00A45550" w:rsidRPr="006107F8" w:rsidRDefault="00E27CFC" w:rsidP="001B2C4F">
      <w:pPr>
        <w:spacing w:line="240" w:lineRule="auto"/>
        <w:jc w:val="both"/>
        <w:rPr>
          <w:rFonts w:ascii="Times New Roman" w:hAnsi="Times New Roman" w:cs="Times New Roman"/>
          <w:noProof/>
          <w:sz w:val="24"/>
          <w:szCs w:val="24"/>
        </w:rPr>
      </w:pPr>
      <w:r>
        <w:rPr>
          <w:rFonts w:ascii="Times New Roman" w:hAnsi="Times New Roman"/>
          <w:noProof/>
          <w:sz w:val="24"/>
        </w:rPr>
        <w:t xml:space="preserve">Annak jobb megértése érdekében, hogy a megkülönböztetés hogyan akadályozza a megfizethető lakhatáshoz való hozzáférést, </w:t>
      </w:r>
      <w:r>
        <w:rPr>
          <w:rFonts w:ascii="Times New Roman" w:hAnsi="Times New Roman"/>
          <w:b/>
          <w:noProof/>
          <w:sz w:val="24"/>
        </w:rPr>
        <w:t xml:space="preserve">a Bizottság tanulmányt tesz közzé a lakhatás területén tapasztalható hátrányos megkülönböztetésről, </w:t>
      </w:r>
      <w:r>
        <w:rPr>
          <w:rFonts w:ascii="Times New Roman" w:hAnsi="Times New Roman"/>
          <w:noProof/>
          <w:sz w:val="24"/>
        </w:rPr>
        <w:t xml:space="preserve">amely kiterjed a meglévő nemzeti és helyi gyakorlatok elemzésére is. </w:t>
      </w:r>
      <w:bookmarkStart w:id="16" w:name="_Hlk218537256"/>
      <w:r>
        <w:rPr>
          <w:noProof/>
        </w:rPr>
        <w:fldChar w:fldCharType="begin"/>
      </w:r>
      <w:r>
        <w:rPr>
          <w:noProof/>
        </w:rPr>
        <w:instrText>HYPERLINK "https://housing.ec.europa.eu/document/download/756915b5-d1b1-4bde-ac82-03532d2d3d90_en?filename=0.pdf"</w:instrText>
      </w:r>
      <w:r>
        <w:rPr>
          <w:noProof/>
        </w:rPr>
        <w:fldChar w:fldCharType="separate"/>
      </w:r>
      <w:r>
        <w:rPr>
          <w:rStyle w:val="Hyperlink"/>
          <w:rFonts w:ascii="Times New Roman" w:hAnsi="Times New Roman"/>
          <w:noProof/>
          <w:sz w:val="24"/>
        </w:rPr>
        <w:t>A megfizethető lakhatásra vonatkozó európai terv</w:t>
      </w:r>
      <w:r>
        <w:rPr>
          <w:noProof/>
        </w:rPr>
        <w:fldChar w:fldCharType="end"/>
      </w:r>
      <w:r>
        <w:rPr>
          <w:rFonts w:ascii="Times New Roman" w:hAnsi="Times New Roman"/>
          <w:noProof/>
          <w:sz w:val="24"/>
        </w:rPr>
        <w:t xml:space="preserve"> eredményeként és a küszöbön álló szegénység elleni stratégia keretében a Bizottság</w:t>
      </w:r>
      <w:r>
        <w:rPr>
          <w:rFonts w:ascii="Times New Roman" w:hAnsi="Times New Roman"/>
          <w:b/>
          <w:noProof/>
          <w:sz w:val="24"/>
        </w:rPr>
        <w:t xml:space="preserve"> tanácsi ajánlásra irányuló javaslatot fog előterjeszteni a lakhatásból való kirekesztettség elleni küzdelemről</w:t>
      </w:r>
      <w:r>
        <w:rPr>
          <w:rFonts w:ascii="Times New Roman" w:hAnsi="Times New Roman"/>
          <w:noProof/>
          <w:sz w:val="24"/>
        </w:rPr>
        <w:t xml:space="preserve"> a bizonytalan lakhatási helyzetben lévő, kiszolgáltatott személyek támogatása, valamint a hajléktalanság megelőzése és kezelése érdekében</w:t>
      </w:r>
      <w:bookmarkEnd w:id="16"/>
      <w:r>
        <w:rPr>
          <w:rFonts w:ascii="Times New Roman" w:hAnsi="Times New Roman"/>
          <w:noProof/>
          <w:sz w:val="24"/>
        </w:rPr>
        <w:t>.</w:t>
      </w:r>
    </w:p>
    <w:p w14:paraId="6B2DCF53" w14:textId="352B69FB" w:rsidR="00BF6E0E" w:rsidRPr="006107F8" w:rsidRDefault="002A2434" w:rsidP="00BF3DB3">
      <w:pPr>
        <w:spacing w:line="240" w:lineRule="auto"/>
        <w:jc w:val="both"/>
        <w:rPr>
          <w:rFonts w:ascii="Times New Roman" w:hAnsi="Times New Roman" w:cs="Times New Roman"/>
          <w:noProof/>
          <w:sz w:val="24"/>
          <w:szCs w:val="24"/>
        </w:rPr>
      </w:pPr>
      <w:hyperlink r:id="rId71" w:history="1">
        <w:r w:rsidR="00B7675E">
          <w:rPr>
            <w:rStyle w:val="Hyperlink"/>
            <w:rFonts w:ascii="Times New Roman" w:hAnsi="Times New Roman"/>
            <w:noProof/>
            <w:sz w:val="24"/>
          </w:rPr>
          <w:t>Az uniós városfejlesztési menetrend</w:t>
        </w:r>
      </w:hyperlink>
      <w:r w:rsidR="00B7675E">
        <w:rPr>
          <w:rFonts w:ascii="Times New Roman" w:hAnsi="Times New Roman"/>
          <w:noProof/>
          <w:sz w:val="24"/>
        </w:rPr>
        <w:t xml:space="preserve"> – az összes kormányzati szint szereplőit összefogó kormányközi kezdeményezés – és </w:t>
      </w:r>
      <w:hyperlink r:id="rId72" w:history="1">
        <w:r w:rsidR="00B7675E">
          <w:rPr>
            <w:rStyle w:val="Hyperlink"/>
            <w:rFonts w:ascii="Times New Roman" w:hAnsi="Times New Roman"/>
            <w:noProof/>
            <w:sz w:val="24"/>
          </w:rPr>
          <w:t>az EU városfejlesztési menetrendjének</w:t>
        </w:r>
      </w:hyperlink>
      <w:r w:rsidR="00B7675E">
        <w:rPr>
          <w:rFonts w:ascii="Times New Roman" w:hAnsi="Times New Roman"/>
          <w:noProof/>
          <w:sz w:val="24"/>
        </w:rPr>
        <w:t xml:space="preserve"> célja az inkluzív és sokszínű lakókörnyezetek előmozdítása, valamint a társadalmi és területi egyenlőtlenségek csökkentése. Emellett </w:t>
      </w:r>
      <w:r w:rsidR="00B7675E">
        <w:rPr>
          <w:noProof/>
        </w:rPr>
        <w:t xml:space="preserve">az </w:t>
      </w:r>
      <w:hyperlink r:id="rId73" w:history="1">
        <w:r w:rsidR="00B7675E">
          <w:rPr>
            <w:rStyle w:val="Hyperlink"/>
            <w:rFonts w:ascii="Times New Roman" w:hAnsi="Times New Roman"/>
            <w:noProof/>
            <w:sz w:val="24"/>
          </w:rPr>
          <w:t>Európai Regionális Fejlesztési Alapból</w:t>
        </w:r>
      </w:hyperlink>
      <w:r w:rsidR="00B7675E">
        <w:rPr>
          <w:rFonts w:ascii="Times New Roman" w:hAnsi="Times New Roman"/>
          <w:noProof/>
          <w:sz w:val="24"/>
        </w:rPr>
        <w:t xml:space="preserve"> és az ESZA+-ból származó finanszírozás központi szerepet játszhat a megkülönböztetés kockázatának kitett csoportok minőségi lakhatáshoz és alapvető szolgáltatásokhoz való hozzáférésének javításában, valamint a szegregáció megszüntetésére irányuló intézkedések kidolgozásában</w:t>
      </w:r>
      <w:r w:rsidR="00B7675E">
        <w:rPr>
          <w:rStyle w:val="FootnoteReference"/>
          <w:rFonts w:ascii="Times New Roman" w:hAnsi="Times New Roman" w:cs="Times New Roman"/>
          <w:noProof/>
          <w:sz w:val="24"/>
          <w:szCs w:val="24"/>
        </w:rPr>
        <w:footnoteReference w:id="41"/>
      </w:r>
      <w:r w:rsidR="00B7675E">
        <w:rPr>
          <w:rFonts w:ascii="Times New Roman" w:hAnsi="Times New Roman"/>
          <w:noProof/>
          <w:sz w:val="24"/>
        </w:rPr>
        <w:t>.</w:t>
      </w:r>
    </w:p>
    <w:p w14:paraId="026B4F4F" w14:textId="5D8D88B1" w:rsidR="00E603E0" w:rsidRPr="006107F8" w:rsidRDefault="6D75177A" w:rsidP="008D07AB">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Az egészségügyi egyenlőtlenségek is komoly kihívást jelentenek a rasszizmus elleni küzdelemben. A rasszizmus által érintett személyek gyakran számolnak be rosszabb egészségyügyi eredményekről, és nehezebben jutnak minőségi ellátáshoz. Különös figyelmet kell fordítani a nemi dimenzióra is: a migráns nők körében rosszabb eredmények figyelhetők meg a cukorbetegség, a mentális egészség, valamint a szexuális és reproduktív egészség terén, és beszámolóik szerint gyakrabban tapasztalnak megkülönböztetést az egészségügyi szakemberek részéről, mint a migráns férfiak</w:t>
      </w:r>
      <w:r>
        <w:rPr>
          <w:rStyle w:val="FootnoteReference"/>
          <w:rFonts w:ascii="Times New Roman" w:eastAsia="Times New Roman" w:hAnsi="Times New Roman" w:cs="Times New Roman"/>
          <w:noProof/>
          <w:sz w:val="24"/>
          <w:szCs w:val="24"/>
        </w:rPr>
        <w:footnoteReference w:id="42"/>
      </w:r>
      <w:r>
        <w:rPr>
          <w:rFonts w:ascii="Times New Roman" w:hAnsi="Times New Roman"/>
          <w:noProof/>
          <w:sz w:val="24"/>
        </w:rPr>
        <w:t>.</w:t>
      </w:r>
    </w:p>
    <w:p w14:paraId="5ECE464A" w14:textId="39B7C3CB" w:rsidR="00066083" w:rsidRPr="006107F8" w:rsidRDefault="00600028" w:rsidP="007E4B98">
      <w:pPr>
        <w:spacing w:line="240" w:lineRule="auto"/>
        <w:jc w:val="both"/>
        <w:rPr>
          <w:rFonts w:ascii="Times New Roman" w:hAnsi="Times New Roman" w:cs="Times New Roman"/>
          <w:b/>
          <w:i/>
          <w:noProof/>
          <w:sz w:val="24"/>
        </w:rPr>
      </w:pPr>
      <w:r>
        <w:rPr>
          <w:rFonts w:ascii="Times New Roman" w:hAnsi="Times New Roman"/>
          <w:noProof/>
          <w:sz w:val="24"/>
        </w:rPr>
        <w:t>A Bizottság arra ösztönzi a tagállamokat, hogy lépjenek fel az egészségügyben tapasztalható faji megkülönböztetéssel szemben</w:t>
      </w:r>
      <w:r>
        <w:rPr>
          <w:rStyle w:val="FootnoteReference"/>
          <w:rFonts w:ascii="Times New Roman" w:eastAsia="Times New Roman" w:hAnsi="Times New Roman" w:cs="Times New Roman"/>
          <w:noProof/>
          <w:sz w:val="24"/>
          <w:szCs w:val="24"/>
        </w:rPr>
        <w:footnoteReference w:id="43"/>
      </w:r>
      <w:r>
        <w:rPr>
          <w:rFonts w:ascii="Times New Roman" w:hAnsi="Times New Roman"/>
          <w:noProof/>
          <w:sz w:val="24"/>
        </w:rPr>
        <w:t xml:space="preserve">, és alakítsanak ki méltányos egészségügyi politikákat azáltal, hogy együttműködnek a közösségekkel az egészségügyi szolgáltatások megtervezése terén. 2024-ben a Bizottság </w:t>
      </w:r>
      <w:hyperlink r:id="rId74" w:history="1">
        <w:r>
          <w:rPr>
            <w:rStyle w:val="Hyperlink"/>
            <w:rFonts w:ascii="Times New Roman" w:hAnsi="Times New Roman"/>
            <w:noProof/>
            <w:sz w:val="24"/>
          </w:rPr>
          <w:t>uniós támogatási csomagot terjesztett elő a megbélyegzés kezelésére</w:t>
        </w:r>
      </w:hyperlink>
      <w:r>
        <w:rPr>
          <w:rFonts w:ascii="Times New Roman" w:hAnsi="Times New Roman"/>
          <w:noProof/>
          <w:sz w:val="24"/>
        </w:rPr>
        <w:t xml:space="preserve">, és </w:t>
      </w:r>
      <w:hyperlink r:id="rId75" w:history="1">
        <w:r>
          <w:rPr>
            <w:rStyle w:val="Hyperlink"/>
            <w:rFonts w:ascii="Times New Roman" w:hAnsi="Times New Roman"/>
            <w:noProof/>
            <w:sz w:val="24"/>
          </w:rPr>
          <w:t>„az EU az egészségért” program</w:t>
        </w:r>
      </w:hyperlink>
      <w:r>
        <w:rPr>
          <w:noProof/>
        </w:rPr>
        <w:t xml:space="preserve"> </w:t>
      </w:r>
      <w:r>
        <w:rPr>
          <w:rFonts w:ascii="Times New Roman" w:hAnsi="Times New Roman"/>
          <w:b/>
          <w:noProof/>
          <w:sz w:val="24"/>
        </w:rPr>
        <w:t>keretében továbbra is támogatni fogja a tagállamokat</w:t>
      </w:r>
      <w:r>
        <w:rPr>
          <w:rFonts w:ascii="Times New Roman" w:hAnsi="Times New Roman"/>
          <w:noProof/>
          <w:sz w:val="24"/>
        </w:rPr>
        <w:t xml:space="preserve"> </w:t>
      </w:r>
      <w:r>
        <w:rPr>
          <w:rFonts w:ascii="Times New Roman" w:hAnsi="Times New Roman"/>
          <w:b/>
          <w:noProof/>
          <w:color w:val="000000" w:themeColor="text1"/>
          <w:sz w:val="24"/>
        </w:rPr>
        <w:t>a faji elfogultság kezelésére irányuló egészségügyi szakpolitikák végrehajtásában</w:t>
      </w:r>
      <w:r>
        <w:rPr>
          <w:rFonts w:ascii="Times New Roman" w:hAnsi="Times New Roman"/>
          <w:noProof/>
          <w:color w:val="000000" w:themeColor="text1"/>
          <w:sz w:val="24"/>
        </w:rPr>
        <w:t>, többek között az egyenlőségre vonatkozó adatok gyűjtésének javítása révén</w:t>
      </w:r>
      <w:r>
        <w:rPr>
          <w:rFonts w:ascii="Times New Roman" w:hAnsi="Times New Roman"/>
          <w:noProof/>
          <w:sz w:val="24"/>
        </w:rPr>
        <w:t>, a nemzeti jogi keretekkel összhangban</w:t>
      </w:r>
      <w:r>
        <w:rPr>
          <w:rFonts w:ascii="Times New Roman" w:hAnsi="Times New Roman"/>
          <w:noProof/>
          <w:color w:val="000000" w:themeColor="text1"/>
          <w:sz w:val="24"/>
        </w:rPr>
        <w:t>.</w:t>
      </w:r>
    </w:p>
    <w:p w14:paraId="1EF46329" w14:textId="56C7948B" w:rsidR="00BF6E0E" w:rsidRPr="006107F8" w:rsidRDefault="00852D36" w:rsidP="000F3D70">
      <w:pPr>
        <w:spacing w:line="240" w:lineRule="auto"/>
        <w:jc w:val="both"/>
        <w:rPr>
          <w:rFonts w:ascii="Times New Roman" w:hAnsi="Times New Roman" w:cs="Times New Roman"/>
          <w:noProof/>
          <w:sz w:val="24"/>
          <w:u w:val="single"/>
        </w:rPr>
      </w:pPr>
      <w:r>
        <w:rPr>
          <w:rFonts w:ascii="Times New Roman" w:hAnsi="Times New Roman"/>
          <w:b/>
          <w:i/>
          <w:noProof/>
          <w:sz w:val="24"/>
        </w:rPr>
        <w:t>A rasszizmus elleni küzdelem beépítése a szociális védelmi intézkedésekbe és a helyi fellépések elismerése</w:t>
      </w:r>
    </w:p>
    <w:p w14:paraId="5F9983AD" w14:textId="77F05C4D" w:rsidR="008B63C4" w:rsidRPr="006107F8" w:rsidRDefault="006B7917" w:rsidP="008D07AB">
      <w:pPr>
        <w:spacing w:line="240" w:lineRule="auto"/>
        <w:jc w:val="both"/>
        <w:rPr>
          <w:rFonts w:ascii="Times New Roman" w:hAnsi="Times New Roman" w:cs="Times New Roman"/>
          <w:noProof/>
          <w:sz w:val="24"/>
          <w:szCs w:val="24"/>
        </w:rPr>
      </w:pPr>
      <w:r>
        <w:rPr>
          <w:rFonts w:ascii="Times New Roman" w:hAnsi="Times New Roman"/>
          <w:noProof/>
          <w:sz w:val="24"/>
        </w:rPr>
        <w:t>A szociális védelmi rendszereknek hatékony támogatást kell nyújtaniuk mindenki számára, ezért nem elhanyagolhatóak azok a területek, ahol a faji vagy etnikai kisebbséghez tartozó személyek a távoli fekvés, az infrastruktúra hiánya vagy a szolgáltatók számának csökkenése miatt további akadályokkal szembesülhetnek a szociális szolgáltatásokhoz és lehetőségekhez való hozzáférés terén</w:t>
      </w:r>
      <w:r>
        <w:rPr>
          <w:rStyle w:val="FootnoteReference"/>
          <w:rFonts w:ascii="Times New Roman" w:hAnsi="Times New Roman" w:cs="Times New Roman"/>
          <w:noProof/>
          <w:sz w:val="24"/>
          <w:szCs w:val="24"/>
        </w:rPr>
        <w:footnoteReference w:id="44"/>
      </w:r>
      <w:r>
        <w:rPr>
          <w:rFonts w:ascii="Times New Roman" w:hAnsi="Times New Roman"/>
          <w:noProof/>
          <w:sz w:val="24"/>
        </w:rPr>
        <w:t>.</w:t>
      </w:r>
    </w:p>
    <w:p w14:paraId="1DA01BC8" w14:textId="1B38BCC4" w:rsidR="00BF6E0E" w:rsidRPr="00006090" w:rsidRDefault="006B7917" w:rsidP="00BF3DB3">
      <w:pPr>
        <w:spacing w:line="240" w:lineRule="auto"/>
        <w:jc w:val="both"/>
        <w:rPr>
          <w:noProof/>
        </w:rPr>
      </w:pPr>
      <w:r>
        <w:rPr>
          <w:rFonts w:ascii="Times New Roman" w:hAnsi="Times New Roman"/>
          <w:noProof/>
          <w:sz w:val="24"/>
        </w:rPr>
        <w:t xml:space="preserve">A </w:t>
      </w:r>
      <w:r>
        <w:rPr>
          <w:rFonts w:ascii="Times New Roman" w:hAnsi="Times New Roman"/>
          <w:b/>
          <w:noProof/>
          <w:sz w:val="24"/>
        </w:rPr>
        <w:t>szociális védelem inkluzív megközelítésének előmozdítása érdekében a Bizottság arra ösztönzi a tagállamokat</w:t>
      </w:r>
      <w:r>
        <w:rPr>
          <w:rFonts w:ascii="Times New Roman" w:hAnsi="Times New Roman"/>
          <w:noProof/>
          <w:sz w:val="24"/>
        </w:rPr>
        <w:t xml:space="preserve">, hogy a társadalmi kirekesztés kezelésére irányuló szakpolitikák kidolgozása és végrehajtása során </w:t>
      </w:r>
      <w:r>
        <w:rPr>
          <w:rFonts w:ascii="Times New Roman" w:hAnsi="Times New Roman"/>
          <w:b/>
          <w:noProof/>
          <w:sz w:val="24"/>
        </w:rPr>
        <w:t>vegyék figyelembe a faji vagy etnikai kisebbségek helyzetét</w:t>
      </w:r>
      <w:r>
        <w:rPr>
          <w:rFonts w:ascii="Times New Roman" w:hAnsi="Times New Roman"/>
          <w:noProof/>
          <w:sz w:val="24"/>
        </w:rPr>
        <w:t xml:space="preserve">. Emellett az első </w:t>
      </w:r>
      <w:hyperlink r:id="rId76" w:history="1">
        <w:r>
          <w:rPr>
            <w:rStyle w:val="Hyperlink"/>
            <w:rFonts w:ascii="Times New Roman" w:hAnsi="Times New Roman"/>
            <w:noProof/>
            <w:sz w:val="24"/>
          </w:rPr>
          <w:t>szegénység elleni uniós stratégia</w:t>
        </w:r>
      </w:hyperlink>
      <w:r>
        <w:rPr>
          <w:noProof/>
        </w:rPr>
        <w:t xml:space="preserve"> </w:t>
      </w:r>
      <w:r>
        <w:rPr>
          <w:rFonts w:ascii="Times New Roman" w:hAnsi="Times New Roman"/>
          <w:noProof/>
          <w:sz w:val="24"/>
        </w:rPr>
        <w:t>célja a szegénység és a kirekesztés kiváltó okainak kezelése és a támogatási szolgáltatások megerősítése, a földrajzi elhelyezkedéstől függetlenül.</w:t>
      </w:r>
    </w:p>
    <w:p w14:paraId="4BC97752" w14:textId="130E60B3" w:rsidR="00640898" w:rsidRPr="006107F8" w:rsidRDefault="00100889" w:rsidP="00BF3DB3">
      <w:pPr>
        <w:spacing w:line="240" w:lineRule="auto"/>
        <w:jc w:val="both"/>
        <w:rPr>
          <w:rFonts w:ascii="Times New Roman" w:hAnsi="Times New Roman" w:cs="Times New Roman"/>
          <w:noProof/>
        </w:rPr>
      </w:pPr>
      <w:r>
        <w:rPr>
          <w:rFonts w:ascii="Times New Roman" w:hAnsi="Times New Roman"/>
          <w:noProof/>
          <w:sz w:val="24"/>
        </w:rPr>
        <w:t xml:space="preserve">A Bizottság továbbá arra ösztönzi a tagállamokat, hogy hajtsák végre </w:t>
      </w:r>
      <w:hyperlink r:id="rId77" w:history="1">
        <w:r>
          <w:rPr>
            <w:rStyle w:val="Hyperlink"/>
            <w:rFonts w:ascii="Times New Roman" w:hAnsi="Times New Roman"/>
            <w:noProof/>
            <w:sz w:val="24"/>
          </w:rPr>
          <w:t>az európai gyermekgaranciáról szóló tanácsi ajánlást</w:t>
        </w:r>
      </w:hyperlink>
      <w:r>
        <w:rPr>
          <w:rFonts w:ascii="Times New Roman" w:hAnsi="Times New Roman"/>
          <w:noProof/>
          <w:sz w:val="24"/>
        </w:rPr>
        <w:t xml:space="preserve">, adott esetben figyelembe véve a migráns hátterű, illetve a kisebbségi etnikai csoportba tartozó gyermekek által tapasztalt sajátos hátrányokat, és hajtsák végre </w:t>
      </w:r>
      <w:hyperlink r:id="rId78" w:history="1">
        <w:r>
          <w:rPr>
            <w:rStyle w:val="Hyperlink"/>
            <w:rFonts w:ascii="Times New Roman" w:hAnsi="Times New Roman"/>
            <w:noProof/>
            <w:sz w:val="24"/>
          </w:rPr>
          <w:t>a megfelelő minimumjövedelemről szóló tanácsi ajánlást</w:t>
        </w:r>
      </w:hyperlink>
      <w:r>
        <w:rPr>
          <w:rFonts w:ascii="Times New Roman" w:hAnsi="Times New Roman"/>
          <w:noProof/>
          <w:sz w:val="24"/>
        </w:rPr>
        <w:t xml:space="preserve"> is.</w:t>
      </w:r>
    </w:p>
    <w:p w14:paraId="04244200" w14:textId="77777777" w:rsidR="00EA76A6" w:rsidRDefault="00EA76A6" w:rsidP="00BF3DB3">
      <w:pPr>
        <w:spacing w:line="240" w:lineRule="auto"/>
        <w:jc w:val="both"/>
        <w:rPr>
          <w:rFonts w:ascii="Times New Roman" w:hAnsi="Times New Roman" w:cs="Times New Roman"/>
          <w:noProof/>
          <w:sz w:val="24"/>
          <w:szCs w:val="24"/>
        </w:rPr>
      </w:pPr>
      <w:bookmarkStart w:id="17" w:name="_Hlk214009952"/>
    </w:p>
    <w:p w14:paraId="55D3D77C" w14:textId="29A07CFC" w:rsidR="00BF6E0E" w:rsidRPr="006107F8" w:rsidRDefault="004F4D6C" w:rsidP="00BF3DB3">
      <w:pPr>
        <w:spacing w:line="240" w:lineRule="auto"/>
        <w:jc w:val="both"/>
        <w:rPr>
          <w:rFonts w:ascii="Times New Roman" w:hAnsi="Times New Roman" w:cs="Times New Roman"/>
          <w:noProof/>
          <w:sz w:val="24"/>
          <w:szCs w:val="24"/>
        </w:rPr>
      </w:pPr>
      <w:r>
        <w:rPr>
          <w:rFonts w:ascii="Times New Roman" w:hAnsi="Times New Roman"/>
          <w:noProof/>
          <w:sz w:val="24"/>
        </w:rPr>
        <w:t xml:space="preserve">A Bizottság továbbra is elő fogja mozdítani a sokszínűséggel és befogadással kapcsolatos kezdeményezéseket, például </w:t>
      </w:r>
      <w:hyperlink r:id="rId79" w:history="1">
        <w:r>
          <w:rPr>
            <w:rStyle w:val="Hyperlink"/>
            <w:rFonts w:ascii="Times New Roman" w:hAnsi="Times New Roman"/>
            <w:noProof/>
            <w:sz w:val="24"/>
          </w:rPr>
          <w:t>„A befogadás és a sokszínűség európai fővárosai” díjat</w:t>
        </w:r>
      </w:hyperlink>
      <w:r>
        <w:rPr>
          <w:rFonts w:ascii="Times New Roman" w:hAnsi="Times New Roman"/>
          <w:noProof/>
          <w:sz w:val="24"/>
        </w:rPr>
        <w:t xml:space="preserve">, amely reflektorba állítja a bevált gyakorlatokat, amelyeket a helyi önkormányzatok a sokszínű és befogadó környezetek előmozdítása céljából alkalmaznak. Annak érdekében, hogy tovább ösztönözze az uniós városokat a rasszizmus elleni küzdelemre, </w:t>
      </w:r>
      <w:r>
        <w:rPr>
          <w:rFonts w:ascii="Times New Roman" w:hAnsi="Times New Roman"/>
          <w:b/>
          <w:noProof/>
          <w:sz w:val="24"/>
        </w:rPr>
        <w:t>a Bizottság külön kategóriát hoz létre a rasszizmus elleni politikák előmozdítása terén elért eredmények jutalmazására.</w:t>
      </w:r>
      <w:r>
        <w:rPr>
          <w:rFonts w:ascii="Times New Roman" w:hAnsi="Times New Roman"/>
          <w:noProof/>
          <w:sz w:val="24"/>
        </w:rPr>
        <w:t xml:space="preserve"> Ez kiegészíti </w:t>
      </w:r>
      <w:r>
        <w:rPr>
          <w:noProof/>
        </w:rPr>
        <w:t xml:space="preserve">a májusban ünnepelt </w:t>
      </w:r>
      <w:hyperlink r:id="rId80" w:history="1">
        <w:r>
          <w:rPr>
            <w:rStyle w:val="Hyperlink"/>
            <w:rFonts w:ascii="Times New Roman" w:hAnsi="Times New Roman"/>
            <w:noProof/>
            <w:sz w:val="24"/>
          </w:rPr>
          <w:t>Európai Sokszínűségi Hónapot</w:t>
        </w:r>
      </w:hyperlink>
      <w:r>
        <w:rPr>
          <w:rFonts w:ascii="Times New Roman" w:hAnsi="Times New Roman"/>
          <w:noProof/>
          <w:sz w:val="24"/>
        </w:rPr>
        <w:t>, amelynek célja, hogy felhívja a figyelmet az inkluzív környezetek és munkahelyek előnyeire, és valamennyi szervezetet arra ösztönöz, hogy tegyenek konkrét lépéseket a sokszínűség előmozdítása érdekében.</w:t>
      </w:r>
    </w:p>
    <w:tbl>
      <w:tblPr>
        <w:tblStyle w:val="TableGrid"/>
        <w:tblW w:w="9072" w:type="dxa"/>
        <w:tblInd w:w="108" w:type="dxa"/>
        <w:tblLayout w:type="fixed"/>
        <w:tblLook w:val="06A0" w:firstRow="1" w:lastRow="0" w:firstColumn="1" w:lastColumn="0" w:noHBand="1" w:noVBand="1"/>
      </w:tblPr>
      <w:tblGrid>
        <w:gridCol w:w="9072"/>
      </w:tblGrid>
      <w:tr w:rsidR="7F1A886B" w:rsidRPr="006107F8" w14:paraId="327945B4" w14:textId="77777777" w:rsidTr="0039265F">
        <w:trPr>
          <w:trHeight w:val="300"/>
        </w:trPr>
        <w:tc>
          <w:tcPr>
            <w:tcW w:w="9072" w:type="dxa"/>
          </w:tcPr>
          <w:bookmarkEnd w:id="17"/>
          <w:p w14:paraId="1CC4FB63" w14:textId="6059BA0B" w:rsidR="04A64AB6" w:rsidRPr="006107F8" w:rsidRDefault="006A3A60" w:rsidP="000F3D70">
            <w:pPr>
              <w:spacing w:line="240" w:lineRule="auto"/>
              <w:jc w:val="both"/>
              <w:rPr>
                <w:rFonts w:ascii="Times New Roman" w:hAnsi="Times New Roman" w:cs="Times New Roman"/>
                <w:noProof/>
                <w:sz w:val="24"/>
              </w:rPr>
            </w:pPr>
            <w:r>
              <w:rPr>
                <w:rFonts w:ascii="Times New Roman" w:hAnsi="Times New Roman"/>
                <w:b/>
                <w:noProof/>
                <w:sz w:val="24"/>
              </w:rPr>
              <w:t>A Bizottság</w:t>
            </w:r>
          </w:p>
          <w:p w14:paraId="5556EC51" w14:textId="0CE78DBE" w:rsidR="00AE36DA" w:rsidRPr="006107F8" w:rsidRDefault="007A6280" w:rsidP="006A2B52">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Pr>
                <w:rFonts w:ascii="Times New Roman" w:hAnsi="Times New Roman"/>
                <w:noProof/>
                <w:sz w:val="24"/>
              </w:rPr>
              <w:t xml:space="preserve"> elő fog terjeszteni egy uniós tanári és oktatói programot, támogatja az iskolai együttműködést és a tanulási célú mobilitási projekteket, valamint az inkluzív oktatásra összpontosító kutatást;</w:t>
            </w:r>
          </w:p>
          <w:p w14:paraId="3E06473A" w14:textId="3D0D08E4" w:rsidR="00893732" w:rsidRPr="006107F8" w:rsidRDefault="00893732" w:rsidP="00893732">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Pr>
                <w:rFonts w:ascii="Times New Roman" w:hAnsi="Times New Roman"/>
                <w:noProof/>
                <w:sz w:val="24"/>
              </w:rPr>
              <w:t xml:space="preserve">támogatja </w:t>
            </w:r>
            <w:r>
              <w:rPr>
                <w:rFonts w:ascii="Times New Roman" w:hAnsi="Times New Roman"/>
                <w:noProof/>
                <w:color w:val="000000" w:themeColor="text1"/>
                <w:sz w:val="24"/>
              </w:rPr>
              <w:t>az inkluzív foglalkoztatásra, oktatásra, kultúrára és sportra</w:t>
            </w:r>
            <w:r>
              <w:rPr>
                <w:rFonts w:ascii="Times New Roman" w:hAnsi="Times New Roman"/>
                <w:noProof/>
                <w:sz w:val="24"/>
              </w:rPr>
              <w:t xml:space="preserve"> irányuló tagállami intézkedéseket;</w:t>
            </w:r>
          </w:p>
          <w:p w14:paraId="4CB48BC9" w14:textId="541B1EE7" w:rsidR="001976BD" w:rsidRPr="00123445" w:rsidRDefault="00E769EA" w:rsidP="00123445">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Pr>
                <w:rFonts w:ascii="Times New Roman" w:hAnsi="Times New Roman"/>
                <w:noProof/>
                <w:sz w:val="24"/>
              </w:rPr>
              <w:t>tanulmányt készít a megkülönböztetés kockázatának kitett csoportok lakhatási helyzetéről, és tanácsi ajánlásra irányuló javaslatot terjeszt elő a lakhatásból való kirekesztettség elleni küzdelemről;</w:t>
            </w:r>
          </w:p>
          <w:p w14:paraId="6A37686E" w14:textId="32E6D4F2" w:rsidR="006F24A1" w:rsidRPr="006107F8" w:rsidRDefault="009E22D6" w:rsidP="006A2B52">
            <w:pPr>
              <w:pStyle w:val="ListParagraph"/>
              <w:numPr>
                <w:ilvl w:val="0"/>
                <w:numId w:val="28"/>
              </w:numPr>
              <w:spacing w:line="240" w:lineRule="auto"/>
              <w:ind w:left="426"/>
              <w:jc w:val="both"/>
              <w:rPr>
                <w:rFonts w:ascii="Times New Roman" w:hAnsi="Times New Roman" w:cs="Times New Roman"/>
                <w:noProof/>
                <w:sz w:val="24"/>
              </w:rPr>
            </w:pPr>
            <w:r>
              <w:rPr>
                <w:rFonts w:ascii="Times New Roman" w:hAnsi="Times New Roman"/>
                <w:noProof/>
                <w:sz w:val="24"/>
              </w:rPr>
              <w:t>támogatja a tagállamokat a faji elfogultságot megszüntető egészségügyi politikák végrehajtásában, többek között az egészségügyi egyenlőségre vonatkozó adatok gyűjtésének javítása révén, a nemzeti jogi keretekkel összhangban.</w:t>
            </w:r>
          </w:p>
          <w:p w14:paraId="32B4B3A0" w14:textId="1342F0F2" w:rsidR="007C0366" w:rsidRPr="006107F8" w:rsidRDefault="007C0366" w:rsidP="000F3D70">
            <w:pPr>
              <w:spacing w:line="240" w:lineRule="auto"/>
              <w:jc w:val="both"/>
              <w:rPr>
                <w:rFonts w:ascii="Times New Roman" w:hAnsi="Times New Roman" w:cs="Times New Roman"/>
                <w:b/>
                <w:noProof/>
                <w:sz w:val="24"/>
              </w:rPr>
            </w:pPr>
            <w:r>
              <w:rPr>
                <w:rFonts w:ascii="Times New Roman" w:hAnsi="Times New Roman"/>
                <w:b/>
                <w:noProof/>
                <w:sz w:val="24"/>
              </w:rPr>
              <w:t>A Bizottság arra ösztönzi a tagállamokat, hogy</w:t>
            </w:r>
          </w:p>
          <w:p w14:paraId="595BC11D" w14:textId="171CB615" w:rsidR="007C0366" w:rsidRPr="006107F8" w:rsidRDefault="007C0366" w:rsidP="006A2B52">
            <w:pPr>
              <w:pStyle w:val="ListParagraph"/>
              <w:numPr>
                <w:ilvl w:val="0"/>
                <w:numId w:val="28"/>
              </w:numPr>
              <w:spacing w:line="240" w:lineRule="auto"/>
              <w:ind w:left="426"/>
              <w:jc w:val="both"/>
              <w:rPr>
                <w:rFonts w:ascii="Times New Roman" w:hAnsi="Times New Roman" w:cs="Times New Roman"/>
                <w:noProof/>
                <w:sz w:val="24"/>
              </w:rPr>
            </w:pPr>
            <w:r>
              <w:rPr>
                <w:rFonts w:ascii="Times New Roman" w:hAnsi="Times New Roman"/>
                <w:noProof/>
                <w:sz w:val="24"/>
              </w:rPr>
              <w:t>terjesszenek elő olyan szakpolitikai kezdeményezéseket, amelyek javítják a marginalizált személyek oktatáshoz és képzéshez, valamint foglalkoztatási lehetőségekhez való hozzáférését;</w:t>
            </w:r>
          </w:p>
          <w:p w14:paraId="300C5405" w14:textId="719958FB" w:rsidR="007C0366" w:rsidRPr="006107F8" w:rsidRDefault="006E6117" w:rsidP="006A2B52">
            <w:pPr>
              <w:pStyle w:val="ListParagraph"/>
              <w:numPr>
                <w:ilvl w:val="0"/>
                <w:numId w:val="28"/>
              </w:numPr>
              <w:spacing w:line="240" w:lineRule="auto"/>
              <w:ind w:left="426"/>
              <w:jc w:val="both"/>
              <w:rPr>
                <w:rFonts w:ascii="Times New Roman" w:hAnsi="Times New Roman" w:cs="Times New Roman"/>
                <w:noProof/>
                <w:sz w:val="24"/>
              </w:rPr>
            </w:pPr>
            <w:r>
              <w:rPr>
                <w:rFonts w:ascii="Times New Roman" w:hAnsi="Times New Roman"/>
                <w:noProof/>
                <w:sz w:val="24"/>
              </w:rPr>
              <w:t>az egészségügyi szakpolitikák kialakításakor általános tényezőként vegyék figyelembe a rasszizmusnak az érintettek egészségügyi állapotára gyakorolt hatásait;</w:t>
            </w:r>
          </w:p>
          <w:p w14:paraId="0EF4B39D" w14:textId="07581492" w:rsidR="7F1A886B" w:rsidRPr="006107F8" w:rsidRDefault="007C0366" w:rsidP="00B8137C">
            <w:pPr>
              <w:pStyle w:val="ListParagraph"/>
              <w:numPr>
                <w:ilvl w:val="0"/>
                <w:numId w:val="28"/>
              </w:numPr>
              <w:spacing w:line="240" w:lineRule="auto"/>
              <w:ind w:left="426"/>
              <w:jc w:val="both"/>
              <w:rPr>
                <w:rFonts w:ascii="Times New Roman" w:hAnsi="Times New Roman" w:cs="Times New Roman"/>
                <w:noProof/>
                <w:sz w:val="24"/>
              </w:rPr>
            </w:pPr>
            <w:r>
              <w:rPr>
                <w:rFonts w:ascii="Times New Roman" w:hAnsi="Times New Roman"/>
                <w:noProof/>
                <w:sz w:val="24"/>
              </w:rPr>
              <w:t>a társadalmi kirekesztés kezelésére irányuló szakpolitikák kidolgozása és végrehajtása során vegyék figyelembe a faji vagy etnikai kisebbségek helyzetét.</w:t>
            </w:r>
          </w:p>
        </w:tc>
      </w:tr>
    </w:tbl>
    <w:p w14:paraId="3AF01E7E" w14:textId="77777777" w:rsidR="00EA76A6" w:rsidRDefault="00EA76A6" w:rsidP="00896BFF">
      <w:pPr>
        <w:spacing w:line="240" w:lineRule="auto"/>
        <w:rPr>
          <w:rFonts w:ascii="Times New Roman" w:hAnsi="Times New Roman" w:cs="Times New Roman"/>
          <w:b/>
          <w:bCs/>
          <w:noProof/>
          <w:sz w:val="24"/>
          <w:szCs w:val="24"/>
        </w:rPr>
      </w:pPr>
    </w:p>
    <w:p w14:paraId="65F9E78D" w14:textId="3F1C4782" w:rsidR="00BF6E0E" w:rsidRPr="006107F8" w:rsidRDefault="171E31D5" w:rsidP="00896BFF">
      <w:pPr>
        <w:spacing w:line="240" w:lineRule="auto"/>
        <w:rPr>
          <w:rFonts w:ascii="Times New Roman" w:hAnsi="Times New Roman" w:cs="Times New Roman"/>
          <w:b/>
          <w:bCs/>
          <w:noProof/>
          <w:sz w:val="24"/>
          <w:szCs w:val="24"/>
        </w:rPr>
      </w:pPr>
      <w:r>
        <w:rPr>
          <w:rFonts w:ascii="Times New Roman" w:hAnsi="Times New Roman"/>
          <w:b/>
          <w:noProof/>
          <w:sz w:val="24"/>
        </w:rPr>
        <w:t>V. FEJEZET – A KULCSFONTOSSÁGÚ PARTNERSÉGEK ELŐMOZDÍTÁSA</w:t>
      </w:r>
    </w:p>
    <w:p w14:paraId="58E378D8" w14:textId="5926650C" w:rsidR="00A41F53" w:rsidRPr="006107F8" w:rsidRDefault="2234F0BE" w:rsidP="000F3D70">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 valóban inkluzív és méltányos EU megvalósításához a társadalom egészére kiterjedő megközelítésre, valamint valamennyi érdekelt fél aktív szerepvállalására és együttműködésére van szükség, azaz a tagállamok, az uniós intézmények és ügynökségek, a civil társadalmi szervezetek, a nemzetközi partnerek, a regionális és helyi hatóságok, a magánszektor és a rasszizmus által érintett közösségek bevonására.</w:t>
      </w:r>
      <w:r>
        <w:rPr>
          <w:rFonts w:ascii="Times New Roman" w:hAnsi="Times New Roman"/>
          <w:noProof/>
          <w:sz w:val="24"/>
        </w:rPr>
        <w:t xml:space="preserve"> A Bizottság meg fogja szilárdítani az érdekelt felekkel folytatott együttműködését, és biztosítani fogja, hogy a szakpolitikai döntéshozatali folyamatokban különböző vélemények érvényesüljenek.</w:t>
      </w:r>
    </w:p>
    <w:p w14:paraId="0123F3D0" w14:textId="26979C2E" w:rsidR="00A33879" w:rsidRPr="006107F8" w:rsidRDefault="00432A95" w:rsidP="00A33879">
      <w:pPr>
        <w:spacing w:line="240" w:lineRule="auto"/>
        <w:jc w:val="both"/>
        <w:rPr>
          <w:rFonts w:ascii="Times New Roman" w:hAnsi="Times New Roman" w:cs="Times New Roman"/>
          <w:noProof/>
          <w:sz w:val="24"/>
          <w:szCs w:val="24"/>
        </w:rPr>
      </w:pPr>
      <w:r>
        <w:rPr>
          <w:rFonts w:ascii="Times New Roman" w:hAnsi="Times New Roman"/>
          <w:b/>
          <w:i/>
          <w:noProof/>
          <w:sz w:val="24"/>
        </w:rPr>
        <w:t>A rasszizmus elleni küzdelem uniós szintű koordinálása</w:t>
      </w:r>
    </w:p>
    <w:p w14:paraId="50ACCF03" w14:textId="2A355C5C" w:rsidR="00E06D6C" w:rsidRPr="006107F8" w:rsidRDefault="6D75177A" w:rsidP="000F3D70">
      <w:pPr>
        <w:pStyle w:val="paragraph"/>
        <w:spacing w:before="0" w:beforeAutospacing="0" w:after="160" w:afterAutospacing="0"/>
        <w:jc w:val="both"/>
        <w:textAlignment w:val="baseline"/>
        <w:rPr>
          <w:rFonts w:eastAsiaTheme="majorEastAsia"/>
          <w:noProof/>
        </w:rPr>
      </w:pPr>
      <w:r>
        <w:rPr>
          <w:noProof/>
        </w:rPr>
        <w:t xml:space="preserve">Az </w:t>
      </w:r>
      <w:hyperlink r:id="rId81" w:anchor=":~:text=In%20addition%2C%20the%20coordinator%20joins,ever%20nominated%20Coordinator%20(2021)." w:history="1">
        <w:r>
          <w:rPr>
            <w:rStyle w:val="Hyperlink"/>
            <w:b/>
            <w:noProof/>
          </w:rPr>
          <w:t>Európai Bizottság rasszizmus elleni küzdelemmel foglalkozó koordinátora</w:t>
        </w:r>
      </w:hyperlink>
      <w:r>
        <w:rPr>
          <w:b/>
          <w:noProof/>
        </w:rPr>
        <w:t xml:space="preserve"> továbbra is központi szerepet fog játszani a rasszizmus valamennyi formája elleni küzdelemmel kapcsolatos munkában</w:t>
      </w:r>
      <w:r>
        <w:rPr>
          <w:noProof/>
        </w:rPr>
        <w:t>, megkönnyítve a rasszizmus által érintett közösségekkel folytatott strukturált párbeszédet, és ezáltal erősítve a demokratikus legitimációt és védve az alapvető jogokat. A koordinátor szorosan együtt fog működni a muszlimellenes gyűlölet elleni küzdelem koordinátorával, az antiszemitizmus elleni küzdelemért és a zsidó élet előmozdításáért felelős koordinátorral, az áldozatok jogaiért felelős koordinátorral, valamint az uniós ifjúsági koordinátorral.</w:t>
      </w:r>
    </w:p>
    <w:p w14:paraId="5C1D995A" w14:textId="5C2500F3" w:rsidR="00C627F2" w:rsidRPr="006107F8" w:rsidRDefault="00DC718F" w:rsidP="00C627F2">
      <w:pPr>
        <w:spacing w:line="240" w:lineRule="auto"/>
        <w:jc w:val="both"/>
        <w:rPr>
          <w:rFonts w:ascii="Times New Roman" w:hAnsi="Times New Roman" w:cs="Times New Roman"/>
          <w:noProof/>
          <w:sz w:val="24"/>
          <w:szCs w:val="24"/>
        </w:rPr>
      </w:pPr>
      <w:r>
        <w:rPr>
          <w:rFonts w:ascii="Times New Roman" w:hAnsi="Times New Roman"/>
          <w:noProof/>
          <w:sz w:val="24"/>
        </w:rPr>
        <w:t xml:space="preserve">A rasszizmus hatékony kezeléséhez a rasszizmus által leginkább érintett csoportokat képviselő civil társadalmi szervezetek érdemi részvételére van szükség. </w:t>
      </w:r>
      <w:r>
        <w:rPr>
          <w:rFonts w:ascii="Times New Roman" w:hAnsi="Times New Roman"/>
          <w:b/>
          <w:noProof/>
          <w:sz w:val="24"/>
        </w:rPr>
        <w:t>A Bizottság pályázati felhívás útján megújítja</w:t>
      </w:r>
      <w:hyperlink r:id="rId82" w:history="1">
        <w:r>
          <w:rPr>
            <w:rStyle w:val="Hyperlink"/>
            <w:rFonts w:ascii="Times New Roman" w:hAnsi="Times New Roman"/>
            <w:b/>
            <w:noProof/>
            <w:sz w:val="24"/>
          </w:rPr>
          <w:t xml:space="preserve"> a Rasszizmus Elleni Állandó Civil Társadalmi Fórumot</w:t>
        </w:r>
      </w:hyperlink>
      <w:r>
        <w:rPr>
          <w:rFonts w:ascii="Times New Roman" w:hAnsi="Times New Roman"/>
          <w:b/>
          <w:noProof/>
          <w:sz w:val="24"/>
        </w:rPr>
        <w:t xml:space="preserve"> , és éves munkaprogramot dolgoz ki a fórum tevékenységeinek irányítására</w:t>
      </w:r>
      <w:r>
        <w:rPr>
          <w:rFonts w:ascii="Times New Roman" w:hAnsi="Times New Roman"/>
          <w:noProof/>
          <w:sz w:val="24"/>
        </w:rPr>
        <w:t>. Ez lehetőséget kínál a fórum tagságának diverzifikálására, beépítve a nemzeti és helyi szervezetek új szempontjait és szakértelmét.</w:t>
      </w:r>
    </w:p>
    <w:p w14:paraId="750861CC" w14:textId="75EAC8DB" w:rsidR="00A83756" w:rsidRPr="006107F8" w:rsidRDefault="00A86A21" w:rsidP="00C627F2">
      <w:pPr>
        <w:spacing w:line="240" w:lineRule="auto"/>
        <w:jc w:val="both"/>
        <w:rPr>
          <w:rFonts w:ascii="Times New Roman" w:hAnsi="Times New Roman" w:cs="Times New Roman"/>
          <w:noProof/>
          <w:sz w:val="24"/>
          <w:szCs w:val="24"/>
        </w:rPr>
      </w:pPr>
      <w:r>
        <w:rPr>
          <w:rFonts w:ascii="Times New Roman" w:hAnsi="Times New Roman"/>
          <w:noProof/>
          <w:sz w:val="24"/>
        </w:rPr>
        <w:t xml:space="preserve">A civil társadalmi szervezetekkel a rasszizmus elleni küzdelemről folytatott szakpolitikai párbeszéden túl a Bizottság elismeri a civil társadalmi szervezetek kulcsfontosságú szerepét és a civil társadalmi tér megerősítésének szükségességét – amint azt </w:t>
      </w:r>
      <w:hyperlink r:id="rId83" w:history="1">
        <w:r>
          <w:rPr>
            <w:rStyle w:val="Hyperlink"/>
            <w:rFonts w:ascii="Times New Roman" w:hAnsi="Times New Roman"/>
            <w:noProof/>
            <w:sz w:val="24"/>
          </w:rPr>
          <w:t>a civil társadalomra vonatkozó uniós stratégia</w:t>
        </w:r>
      </w:hyperlink>
      <w:r>
        <w:rPr>
          <w:rFonts w:ascii="Times New Roman" w:hAnsi="Times New Roman"/>
          <w:noProof/>
          <w:sz w:val="24"/>
        </w:rPr>
        <w:t xml:space="preserve"> is kiemeli – olyan körülmények között, amikor </w:t>
      </w:r>
      <w:r>
        <w:rPr>
          <w:rFonts w:ascii="Times New Roman" w:hAnsi="Times New Roman"/>
          <w:noProof/>
          <w:color w:val="000000" w:themeColor="text1"/>
          <w:sz w:val="24"/>
        </w:rPr>
        <w:t>a rasszizmus ellen küzdő civil társadalmi szervezetek egyre gyakrabban szembesülnek dezinformációs kampányokkal és nyomásgyakorlással.</w:t>
      </w:r>
      <w:r>
        <w:rPr>
          <w:rFonts w:ascii="Times New Roman" w:hAnsi="Times New Roman"/>
          <w:noProof/>
          <w:sz w:val="24"/>
        </w:rPr>
        <w:t xml:space="preserve"> A civil társadalomra vonatkozó uniós stratégiában bejelentetteknek megfelelően </w:t>
      </w:r>
      <w:r>
        <w:rPr>
          <w:rFonts w:ascii="Times New Roman" w:hAnsi="Times New Roman"/>
          <w:b/>
          <w:noProof/>
          <w:sz w:val="24"/>
        </w:rPr>
        <w:t>a Bizottság szélesebb körű civil társadalmi platformot hoz létre, amely rendszeres és strukturált keretet biztosít az uniós értékek védelméről és előmozdításáról folytatott párbeszédhez</w:t>
      </w:r>
      <w:r>
        <w:rPr>
          <w:rFonts w:ascii="Times New Roman" w:hAnsi="Times New Roman"/>
          <w:noProof/>
          <w:sz w:val="24"/>
        </w:rPr>
        <w:t>. Ez növelni fogja a civil társadalmi szervezetek, köztük a rasszizmus elleni küzdelemmel foglalkozó szervezetek rezilienciáját.</w:t>
      </w:r>
    </w:p>
    <w:p w14:paraId="08D313D5" w14:textId="747C9D30" w:rsidR="007C0784" w:rsidRPr="006107F8" w:rsidRDefault="00A81521" w:rsidP="00C627F2">
      <w:pPr>
        <w:spacing w:line="240" w:lineRule="auto"/>
        <w:jc w:val="both"/>
        <w:rPr>
          <w:rFonts w:ascii="Times New Roman" w:hAnsi="Times New Roman" w:cs="Times New Roman"/>
          <w:noProof/>
          <w:sz w:val="24"/>
          <w:szCs w:val="24"/>
        </w:rPr>
      </w:pPr>
      <w:r>
        <w:rPr>
          <w:rFonts w:ascii="Times New Roman" w:hAnsi="Times New Roman"/>
          <w:noProof/>
          <w:sz w:val="24"/>
        </w:rPr>
        <w:t xml:space="preserve">Annak biztosítása érdekében, hogy valamennyi uniós szakpolitika hozzájáruljon a rasszizmus elleni küzdelemhez, a Bizottság az egyenlőség általános érvényesítésére irányuló munkája során továbbra is figyelembe fogja venni a rasszizmust. Ezek az erőfeszítések az egyenlőségért felelős biztos irányítása, valamint a kabinetek egyenlőséggel foglalkozó kapcsolattartó pontjai, és a valamennyi főigazgatóság esélyegyenlőségi koordinátorait tömörítő </w:t>
      </w:r>
      <w:r>
        <w:rPr>
          <w:rFonts w:ascii="Times New Roman" w:hAnsi="Times New Roman"/>
          <w:b/>
          <w:noProof/>
          <w:sz w:val="24"/>
        </w:rPr>
        <w:t>Esélyegyenlőségi Munkacsoport</w:t>
      </w:r>
      <w:r>
        <w:rPr>
          <w:rFonts w:ascii="Times New Roman" w:hAnsi="Times New Roman"/>
          <w:noProof/>
          <w:sz w:val="24"/>
        </w:rPr>
        <w:t xml:space="preserve"> támogatása mellett fognak megvalósulni.</w:t>
      </w:r>
    </w:p>
    <w:p w14:paraId="471A2FAB" w14:textId="12A247B7" w:rsidR="00C627F2" w:rsidRPr="006107F8" w:rsidRDefault="00C627F2" w:rsidP="00C627F2">
      <w:pPr>
        <w:spacing w:line="240" w:lineRule="auto"/>
        <w:jc w:val="both"/>
        <w:rPr>
          <w:rFonts w:ascii="Times New Roman" w:hAnsi="Times New Roman" w:cs="Times New Roman"/>
          <w:b/>
          <w:i/>
          <w:noProof/>
          <w:sz w:val="24"/>
        </w:rPr>
      </w:pPr>
      <w:r>
        <w:rPr>
          <w:rFonts w:ascii="Times New Roman" w:hAnsi="Times New Roman"/>
          <w:b/>
          <w:i/>
          <w:noProof/>
          <w:sz w:val="24"/>
        </w:rPr>
        <w:t>A rasszizmus elleni küzdelem előmozdítása globális szinten</w:t>
      </w:r>
    </w:p>
    <w:p w14:paraId="140569AA" w14:textId="76A5FE5C" w:rsidR="00C7378E" w:rsidRPr="006107F8" w:rsidRDefault="00C627F2" w:rsidP="00C627F2">
      <w:pPr>
        <w:spacing w:line="240" w:lineRule="auto"/>
        <w:jc w:val="both"/>
        <w:rPr>
          <w:rFonts w:ascii="Times New Roman" w:hAnsi="Times New Roman" w:cs="Times New Roman"/>
          <w:noProof/>
          <w:sz w:val="24"/>
          <w:szCs w:val="24"/>
        </w:rPr>
      </w:pPr>
      <w:r>
        <w:rPr>
          <w:rFonts w:ascii="Times New Roman" w:hAnsi="Times New Roman"/>
          <w:noProof/>
          <w:sz w:val="24"/>
        </w:rPr>
        <w:t xml:space="preserve">Az EU rasszizmus elleni politikái mélyen beágyazódnak a nemzetközi emberi jogi keretbe. Az EU továbbra is szorgalmazni fogja </w:t>
      </w:r>
      <w:hyperlink r:id="rId84" w:history="1">
        <w:r>
          <w:rPr>
            <w:rStyle w:val="Hyperlink"/>
            <w:rFonts w:ascii="Times New Roman" w:hAnsi="Times New Roman"/>
            <w:noProof/>
            <w:sz w:val="24"/>
          </w:rPr>
          <w:t>a faji megkülönböztetés valamennyi formájának kiküszöböléséről szóló nemzetközi egyezmény</w:t>
        </w:r>
      </w:hyperlink>
      <w:r>
        <w:rPr>
          <w:rFonts w:ascii="Times New Roman" w:hAnsi="Times New Roman"/>
          <w:noProof/>
          <w:sz w:val="24"/>
        </w:rPr>
        <w:t xml:space="preserve"> egyetemes megerősítését, amelynek valamennyi uniós tagállam részes fele, és támogatni fogja</w:t>
      </w:r>
      <w:hyperlink r:id="rId85" w:history="1">
        <w:r>
          <w:rPr>
            <w:rStyle w:val="Hyperlink"/>
            <w:rFonts w:ascii="Times New Roman" w:hAnsi="Times New Roman"/>
            <w:noProof/>
            <w:sz w:val="24"/>
          </w:rPr>
          <w:t xml:space="preserve"> a durbani nyilatkozatot és cselekvési programot</w:t>
        </w:r>
      </w:hyperlink>
      <w:r>
        <w:rPr>
          <w:rFonts w:ascii="Times New Roman" w:hAnsi="Times New Roman"/>
          <w:noProof/>
          <w:sz w:val="24"/>
        </w:rPr>
        <w:t xml:space="preserve">, amely az ENSZ rasszizmus elleni küzdelemre vonatkozó globális kerete. Ezeket a kötelezettségvállalásokat megerősíti az </w:t>
      </w:r>
      <w:hyperlink r:id="rId86" w:history="1">
        <w:r>
          <w:rPr>
            <w:rStyle w:val="Hyperlink"/>
            <w:rFonts w:ascii="Times New Roman" w:hAnsi="Times New Roman"/>
            <w:noProof/>
            <w:sz w:val="24"/>
          </w:rPr>
          <w:t>Emberi Jogok Európai Bírósága (EJEB)</w:t>
        </w:r>
      </w:hyperlink>
      <w:r>
        <w:rPr>
          <w:rFonts w:ascii="Times New Roman" w:hAnsi="Times New Roman"/>
          <w:noProof/>
          <w:sz w:val="24"/>
        </w:rPr>
        <w:t xml:space="preserve"> és az </w:t>
      </w:r>
      <w:hyperlink r:id="rId87" w:history="1">
        <w:r>
          <w:rPr>
            <w:rStyle w:val="Hyperlink"/>
            <w:rFonts w:ascii="Times New Roman" w:hAnsi="Times New Roman"/>
            <w:noProof/>
            <w:sz w:val="24"/>
          </w:rPr>
          <w:t>Európa Tanács Rasszizmus és Intolerancia Elleni Európai Bizottsága (ECRI)</w:t>
        </w:r>
      </w:hyperlink>
      <w:r>
        <w:rPr>
          <w:rFonts w:ascii="Times New Roman" w:hAnsi="Times New Roman"/>
          <w:noProof/>
          <w:sz w:val="24"/>
        </w:rPr>
        <w:t xml:space="preserve"> is, amely fontos szakpolitikai ajánlásokat és országspecifikus jelentéseket fogalmaz meg. Az EU továbbra is globális vezető szerepet vállal, és a közös kül- és biztonságpolitika keretében rendelkezésére álló valamennyi eszközt felhasználva támogatja a nemzetközi kezdeményezéseket</w:t>
      </w:r>
      <w:r>
        <w:rPr>
          <w:rStyle w:val="FootnoteReference"/>
          <w:rFonts w:ascii="Times New Roman" w:hAnsi="Times New Roman" w:cs="Times New Roman"/>
          <w:noProof/>
          <w:sz w:val="24"/>
          <w:szCs w:val="24"/>
        </w:rPr>
        <w:footnoteReference w:id="45"/>
      </w:r>
      <w:r>
        <w:rPr>
          <w:rFonts w:ascii="Times New Roman" w:hAnsi="Times New Roman"/>
          <w:noProof/>
          <w:sz w:val="24"/>
        </w:rPr>
        <w:t>.</w:t>
      </w:r>
    </w:p>
    <w:p w14:paraId="39CC95D8" w14:textId="591C092E" w:rsidR="00C627F2" w:rsidRPr="006107F8" w:rsidRDefault="00A849FE" w:rsidP="00C627F2">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A Bizottság az együttműködés elmélyítése érdekében nemzetközi kerekasztal-megbeszélést tervez az ENSZ-szel, az Európa Tanáccsal és más multilaterális szervekkel.</w:t>
      </w:r>
      <w:r>
        <w:rPr>
          <w:rFonts w:ascii="Times New Roman" w:hAnsi="Times New Roman"/>
          <w:noProof/>
          <w:color w:val="000000" w:themeColor="text1"/>
          <w:sz w:val="24"/>
        </w:rPr>
        <w:t xml:space="preserve"> Ennek magában kell foglalnia a faji megkülönböztetés valamennyi formájának kiküszöböléséről szóló nemzetközi egyezmény és a Rasszizmus és Intolerancia Elleni Európai Bizottság ajánlásainak végrehajtásáról szóló rendszeres eszmecseréket, valamint </w:t>
      </w:r>
      <w:hyperlink r:id="rId88" w:history="1">
        <w:r>
          <w:rPr>
            <w:rStyle w:val="Hyperlink"/>
            <w:rFonts w:ascii="Times New Roman" w:hAnsi="Times New Roman"/>
            <w:noProof/>
            <w:sz w:val="24"/>
          </w:rPr>
          <w:t>a rasszizmus kérdésével foglalkozó különleges ENSZ-előadóval való szorosabb együttműködést</w:t>
        </w:r>
      </w:hyperlink>
      <w:r>
        <w:rPr>
          <w:rFonts w:ascii="Times New Roman" w:hAnsi="Times New Roman"/>
          <w:noProof/>
          <w:color w:val="000000" w:themeColor="text1"/>
          <w:sz w:val="24"/>
        </w:rPr>
        <w:t>.</w:t>
      </w:r>
    </w:p>
    <w:p w14:paraId="426F1B28" w14:textId="65CEC5FA" w:rsidR="00515BD8" w:rsidRPr="006107F8" w:rsidRDefault="00B74C31" w:rsidP="00C627F2">
      <w:pPr>
        <w:spacing w:line="240" w:lineRule="auto"/>
        <w:jc w:val="both"/>
        <w:rPr>
          <w:rFonts w:ascii="Times New Roman" w:hAnsi="Times New Roman" w:cs="Times New Roman"/>
          <w:noProof/>
          <w:sz w:val="24"/>
          <w:szCs w:val="24"/>
        </w:rPr>
      </w:pPr>
      <w:r>
        <w:rPr>
          <w:rFonts w:ascii="Times New Roman" w:hAnsi="Times New Roman"/>
          <w:b/>
          <w:noProof/>
          <w:color w:val="000000" w:themeColor="text1"/>
          <w:sz w:val="24"/>
        </w:rPr>
        <w:t>Az EU két- és többoldalú szinten továbbra is fel fogja használni diplomáciai és emberi jogi eszközeit</w:t>
      </w:r>
      <w:r>
        <w:rPr>
          <w:rFonts w:ascii="Times New Roman" w:hAnsi="Times New Roman"/>
          <w:noProof/>
          <w:color w:val="000000" w:themeColor="text1"/>
          <w:sz w:val="24"/>
        </w:rPr>
        <w:t xml:space="preserve"> a rasszizmus és a megkülönböztetés elleni politikáinak előmozdításához, többek között a stratégiai partnerekkel folytatott emberi jogi párbeszédek, miniszteri találkozók és csúcstalálkozók keretében. </w:t>
      </w:r>
      <w:hyperlink r:id="rId89" w:history="1">
        <w:r>
          <w:rPr>
            <w:rStyle w:val="Hyperlink"/>
            <w:rFonts w:ascii="Times New Roman" w:hAnsi="Times New Roman"/>
            <w:noProof/>
            <w:sz w:val="24"/>
          </w:rPr>
          <w:t>A földközi-tengeri paktum</w:t>
        </w:r>
      </w:hyperlink>
      <w:r>
        <w:rPr>
          <w:rFonts w:ascii="Times New Roman" w:hAnsi="Times New Roman"/>
          <w:noProof/>
          <w:sz w:val="24"/>
        </w:rPr>
        <w:t xml:space="preserve"> révén az EU fokozni fogja az oktatási, kulturális, valamint a sport területén folytatott együttműködést a partnerországokkal, előmozdítva a kölcsönös megértést és befogadást. Kétoldalú szinten az EU folytatni fogja </w:t>
      </w:r>
      <w:hyperlink r:id="rId90" w:history="1">
        <w:r>
          <w:rPr>
            <w:rStyle w:val="Hyperlink"/>
            <w:rFonts w:ascii="Times New Roman" w:hAnsi="Times New Roman"/>
            <w:noProof/>
            <w:sz w:val="24"/>
          </w:rPr>
          <w:t>a megkülönböztetésmentességre vonatkozó uniós emberi jogi iránymutatások</w:t>
        </w:r>
      </w:hyperlink>
      <w:r>
        <w:rPr>
          <w:rFonts w:ascii="Times New Roman" w:hAnsi="Times New Roman"/>
          <w:noProof/>
          <w:sz w:val="24"/>
        </w:rPr>
        <w:t xml:space="preserve"> és az emberi jogokra vonatkozó egyéb iránymutatások végrehajtását.</w:t>
      </w:r>
    </w:p>
    <w:p w14:paraId="419BB166" w14:textId="1BB9FEF6" w:rsidR="008D5D8F" w:rsidRDefault="008D5D8F" w:rsidP="008D5D8F">
      <w:pPr>
        <w:spacing w:line="240" w:lineRule="auto"/>
        <w:jc w:val="both"/>
        <w:rPr>
          <w:rFonts w:ascii="Times New Roman" w:hAnsi="Times New Roman" w:cs="Times New Roman"/>
          <w:noProof/>
          <w:sz w:val="24"/>
          <w:szCs w:val="24"/>
        </w:rPr>
      </w:pPr>
      <w:r>
        <w:rPr>
          <w:rFonts w:ascii="Times New Roman" w:hAnsi="Times New Roman"/>
          <w:noProof/>
          <w:sz w:val="24"/>
        </w:rPr>
        <w:t>A rasszizmus elleni küzdelem globális szinten történő előmozdítása érdekében a Bizottság szorosan együtt fog működni a tagállami képviseletekkel és a harmadik országokban működő uniós küldöttségekkel is.</w:t>
      </w:r>
    </w:p>
    <w:p w14:paraId="029A5443" w14:textId="488DED0C" w:rsidR="00C90E4F" w:rsidRPr="006107F8" w:rsidRDefault="00C90E4F" w:rsidP="00C90E4F">
      <w:pPr>
        <w:spacing w:line="240" w:lineRule="auto"/>
        <w:jc w:val="both"/>
        <w:rPr>
          <w:rFonts w:ascii="Times New Roman" w:hAnsi="Times New Roman" w:cs="Times New Roman"/>
          <w:noProof/>
          <w:sz w:val="24"/>
          <w:szCs w:val="24"/>
        </w:rPr>
      </w:pPr>
      <w:r>
        <w:rPr>
          <w:rFonts w:ascii="Times New Roman" w:hAnsi="Times New Roman"/>
          <w:noProof/>
          <w:sz w:val="24"/>
        </w:rPr>
        <w:t xml:space="preserve">Az EU továbbra is elkötelezett amellett, hogy világszerte támogassa az emberijog-védőket és a civil társadalmi szervezeteket – különösen </w:t>
      </w:r>
      <w:hyperlink r:id="rId91" w:history="1">
        <w:r>
          <w:rPr>
            <w:rStyle w:val="Hyperlink"/>
            <w:rFonts w:ascii="Times New Roman" w:hAnsi="Times New Roman"/>
            <w:noProof/>
            <w:sz w:val="24"/>
          </w:rPr>
          <w:t>az emberi jogokra és a demokráciára vonatkozó uniós cselekvési terv</w:t>
        </w:r>
      </w:hyperlink>
      <w:r>
        <w:rPr>
          <w:rFonts w:ascii="Times New Roman" w:hAnsi="Times New Roman"/>
          <w:noProof/>
          <w:sz w:val="24"/>
        </w:rPr>
        <w:t xml:space="preserve"> keretében –, különös tekintettel azokra, akik a faji vagy etnikai alapú megkülönböztetés által érintett őslakos népek, kisebbségek és marginalizált csoportok jogait védik. </w:t>
      </w:r>
      <w:r>
        <w:rPr>
          <w:rFonts w:ascii="Times New Roman" w:hAnsi="Times New Roman"/>
          <w:noProof/>
          <w:color w:val="000000" w:themeColor="text1"/>
          <w:sz w:val="24"/>
        </w:rPr>
        <w:t>Ezen túlmenően az EU továbbra is elemezi a rasszista és gyűlöletkeltő üzeneteket terjesztő külföldi információmanipulációs és beavatkozási tevékenységeket, és küzd azok ellen.</w:t>
      </w:r>
    </w:p>
    <w:p w14:paraId="759F336D" w14:textId="239909FF" w:rsidR="00C90E4F" w:rsidRPr="006107F8" w:rsidRDefault="00C90E4F" w:rsidP="00C90E4F">
      <w:pPr>
        <w:spacing w:line="240" w:lineRule="auto"/>
        <w:jc w:val="both"/>
        <w:rPr>
          <w:rFonts w:ascii="Times New Roman" w:hAnsi="Times New Roman" w:cs="Times New Roman"/>
          <w:noProof/>
          <w:sz w:val="24"/>
          <w:szCs w:val="24"/>
        </w:rPr>
      </w:pPr>
      <w:r>
        <w:rPr>
          <w:rFonts w:ascii="Times New Roman" w:hAnsi="Times New Roman"/>
          <w:noProof/>
          <w:sz w:val="24"/>
        </w:rPr>
        <w:t>Választási megfigyelő missziói keretében az EU továbbra is nyomon fogja követni, hogy a faji vagy etnikai kisebbségek, például a nemzeti kisebbségek és az őslakos népek milyen mértékben érvényesíthetik a közügyekben és választásokon való egyenlő részvételhez kapcsolódó jogaikat és lehetőségeiket</w:t>
      </w:r>
      <w:r>
        <w:rPr>
          <w:rStyle w:val="FootnoteReference"/>
          <w:rFonts w:ascii="Times New Roman" w:hAnsi="Times New Roman" w:cs="Times New Roman"/>
          <w:noProof/>
          <w:sz w:val="24"/>
          <w:szCs w:val="24"/>
        </w:rPr>
        <w:footnoteReference w:id="46"/>
      </w:r>
      <w:r>
        <w:rPr>
          <w:rFonts w:ascii="Times New Roman" w:hAnsi="Times New Roman"/>
          <w:noProof/>
          <w:sz w:val="24"/>
        </w:rPr>
        <w:t>.</w:t>
      </w:r>
    </w:p>
    <w:p w14:paraId="0049BE2E" w14:textId="41213EC6" w:rsidR="00C627F2" w:rsidRPr="006107F8" w:rsidRDefault="00C627F2" w:rsidP="00C627F2">
      <w:pPr>
        <w:spacing w:line="240" w:lineRule="auto"/>
        <w:jc w:val="both"/>
        <w:rPr>
          <w:rFonts w:ascii="Times New Roman" w:hAnsi="Times New Roman" w:cs="Times New Roman"/>
          <w:noProof/>
          <w:sz w:val="24"/>
          <w:szCs w:val="24"/>
        </w:rPr>
      </w:pPr>
      <w:r>
        <w:rPr>
          <w:rFonts w:ascii="Times New Roman" w:hAnsi="Times New Roman"/>
          <w:noProof/>
          <w:sz w:val="24"/>
        </w:rPr>
        <w:t xml:space="preserve">Ezenfelül az EU továbbra is elő fogja mozdítani a tagjelölt és potenciális tagjelölt országok fokozatos igazodását a rasszizmus és a faji megkülönböztetés megelőzésére és leküzdésére vonatkozó uniós jogszabályokhoz. </w:t>
      </w:r>
      <w:hyperlink r:id="rId92" w:history="1">
        <w:r>
          <w:rPr>
            <w:rStyle w:val="Hyperlink"/>
            <w:rFonts w:ascii="Times New Roman" w:hAnsi="Times New Roman"/>
            <w:noProof/>
            <w:sz w:val="24"/>
          </w:rPr>
          <w:t>A Bizottság éves bővítési csomagja</w:t>
        </w:r>
      </w:hyperlink>
      <w:r>
        <w:rPr>
          <w:noProof/>
        </w:rPr>
        <w:t xml:space="preserve"> </w:t>
      </w:r>
      <w:r>
        <w:rPr>
          <w:rFonts w:ascii="Times New Roman" w:hAnsi="Times New Roman"/>
          <w:noProof/>
          <w:sz w:val="24"/>
        </w:rPr>
        <w:t>továbbra is nyomon követi az emberi jogok helyzetét, valamint a megkülönböztetésmentességet célzó, illetve a rasszizmus, az idegengyűlölet, a gyűlölet-bűncselekmények és a gyűlöletbeszéd elleni intézkedések végrehajtását.</w:t>
      </w:r>
    </w:p>
    <w:p w14:paraId="0D53BB97" w14:textId="70802354" w:rsidR="00C627F2" w:rsidRPr="006107F8" w:rsidRDefault="00C627F2" w:rsidP="00C627F2">
      <w:pPr>
        <w:spacing w:line="240" w:lineRule="auto"/>
        <w:jc w:val="both"/>
        <w:rPr>
          <w:rFonts w:ascii="Times New Roman" w:hAnsi="Times New Roman" w:cs="Times New Roman"/>
          <w:noProof/>
          <w:sz w:val="24"/>
        </w:rPr>
      </w:pPr>
      <w:r>
        <w:rPr>
          <w:rFonts w:ascii="Times New Roman" w:hAnsi="Times New Roman"/>
          <w:b/>
          <w:noProof/>
          <w:sz w:val="24"/>
        </w:rPr>
        <w:t>A muszlimellenes gyűlölet elleni küzdelem koordinátora koordinációs csoportot fog szervezni</w:t>
      </w:r>
      <w:r>
        <w:rPr>
          <w:rFonts w:ascii="Times New Roman" w:hAnsi="Times New Roman"/>
          <w:noProof/>
          <w:sz w:val="24"/>
        </w:rPr>
        <w:t>, amely összefogja a tagállamokat, az uniós intézményeket, a nemzetközi szervezeteket, a partnerországokat és a civil társadalmi szervezeteket</w:t>
      </w:r>
      <w:r>
        <w:rPr>
          <w:rStyle w:val="FootnoteReference"/>
          <w:rFonts w:ascii="Times New Roman" w:hAnsi="Times New Roman" w:cs="Times New Roman"/>
          <w:noProof/>
          <w:sz w:val="24"/>
        </w:rPr>
        <w:footnoteReference w:id="47"/>
      </w:r>
      <w:r>
        <w:rPr>
          <w:rFonts w:ascii="Times New Roman" w:hAnsi="Times New Roman"/>
          <w:noProof/>
          <w:sz w:val="24"/>
        </w:rPr>
        <w:t>, hogy megvitassák, hogyan lehetne a legjobban kezelni a muszlimellenes gyűlöletet.</w:t>
      </w:r>
    </w:p>
    <w:p w14:paraId="0C6712C5" w14:textId="69813106" w:rsidR="00F0775D" w:rsidRPr="006107F8" w:rsidRDefault="00F0775D" w:rsidP="00F0775D">
      <w:pPr>
        <w:spacing w:line="240" w:lineRule="auto"/>
        <w:jc w:val="both"/>
        <w:rPr>
          <w:rFonts w:ascii="Times New Roman" w:hAnsi="Times New Roman" w:cs="Times New Roman"/>
          <w:b/>
          <w:i/>
          <w:noProof/>
          <w:sz w:val="24"/>
        </w:rPr>
      </w:pPr>
      <w:r>
        <w:rPr>
          <w:rFonts w:ascii="Times New Roman" w:hAnsi="Times New Roman"/>
          <w:b/>
          <w:i/>
          <w:noProof/>
          <w:sz w:val="24"/>
        </w:rPr>
        <w:t>A rasszizmus elleni nemzeti szintű küzdelem</w:t>
      </w:r>
    </w:p>
    <w:p w14:paraId="02CFE621" w14:textId="30B4348A" w:rsidR="00F0775D" w:rsidRPr="006107F8" w:rsidRDefault="00C7378E" w:rsidP="008E598E">
      <w:pPr>
        <w:spacing w:line="240" w:lineRule="auto"/>
        <w:jc w:val="both"/>
        <w:rPr>
          <w:rFonts w:ascii="Times New Roman" w:hAnsi="Times New Roman" w:cs="Times New Roman"/>
          <w:noProof/>
          <w:sz w:val="24"/>
          <w:szCs w:val="24"/>
        </w:rPr>
      </w:pPr>
      <w:r>
        <w:rPr>
          <w:rFonts w:ascii="Times New Roman" w:hAnsi="Times New Roman"/>
          <w:noProof/>
          <w:sz w:val="24"/>
        </w:rPr>
        <w:t xml:space="preserve">A rasszizmust elsősorban nemzeti, regionális és helyi szinten kell kezelni. A Bizottság a tagállamokat a </w:t>
      </w:r>
      <w:r>
        <w:rPr>
          <w:rFonts w:ascii="Times New Roman" w:hAnsi="Times New Roman"/>
          <w:b/>
          <w:noProof/>
          <w:sz w:val="24"/>
        </w:rPr>
        <w:t xml:space="preserve">kölcsönös tanulást szolgáló műhelyek szervezésével is támogatni fogja, amelyek célja a nemzeti szakpolitikák összehangolása e stratégiával. </w:t>
      </w:r>
      <w:r>
        <w:rPr>
          <w:rFonts w:ascii="Times New Roman" w:hAnsi="Times New Roman"/>
          <w:noProof/>
          <w:sz w:val="24"/>
        </w:rPr>
        <w:t xml:space="preserve">A Bizottság </w:t>
      </w:r>
      <w:r>
        <w:rPr>
          <w:rFonts w:ascii="Times New Roman" w:hAnsi="Times New Roman"/>
          <w:b/>
          <w:noProof/>
          <w:sz w:val="24"/>
        </w:rPr>
        <w:t>aktualizálni fogja és meg fogja erősíteni a rasszizmus elleni uniós cselekvési terv nemzeti végrehajtásával foglalkozó csoport</w:t>
      </w:r>
      <w:r>
        <w:rPr>
          <w:rStyle w:val="FootnoteReference"/>
          <w:rFonts w:ascii="Times New Roman" w:hAnsi="Times New Roman" w:cs="Times New Roman"/>
          <w:noProof/>
          <w:sz w:val="24"/>
          <w:szCs w:val="24"/>
        </w:rPr>
        <w:footnoteReference w:id="48"/>
      </w:r>
      <w:r>
        <w:rPr>
          <w:rFonts w:ascii="Times New Roman" w:hAnsi="Times New Roman"/>
          <w:b/>
          <w:noProof/>
          <w:sz w:val="24"/>
        </w:rPr>
        <w:t xml:space="preserve"> megbízatását</w:t>
      </w:r>
      <w:r>
        <w:rPr>
          <w:rFonts w:ascii="Times New Roman" w:hAnsi="Times New Roman"/>
          <w:noProof/>
          <w:sz w:val="24"/>
        </w:rPr>
        <w:t>, és valamennyi tagállamot a cselekvési tervben való aktív részvételre ösztönöz, az uniós tagjelölt országokat pedig felkéri a csatlakozásra. A szakértői csoporton keresztül a Bizottság elő fogja segíteni a bevált gyakorlatok cseréjét, valamint szakértői megbeszéléseket fog szervezni</w:t>
      </w:r>
      <w:r>
        <w:rPr>
          <w:rStyle w:val="FootnoteReference"/>
          <w:rFonts w:ascii="Times New Roman" w:hAnsi="Times New Roman" w:cs="Times New Roman"/>
          <w:noProof/>
          <w:sz w:val="24"/>
          <w:szCs w:val="24"/>
        </w:rPr>
        <w:footnoteReference w:id="49"/>
      </w:r>
      <w:r>
        <w:rPr>
          <w:rFonts w:ascii="Times New Roman" w:hAnsi="Times New Roman"/>
          <w:noProof/>
          <w:sz w:val="24"/>
        </w:rPr>
        <w:t>.</w:t>
      </w:r>
    </w:p>
    <w:p w14:paraId="28D0A018" w14:textId="3DE2AEE5" w:rsidR="00F0775D" w:rsidRPr="006107F8" w:rsidRDefault="00F0775D" w:rsidP="00F0775D">
      <w:pPr>
        <w:spacing w:line="240" w:lineRule="auto"/>
        <w:jc w:val="both"/>
        <w:rPr>
          <w:rFonts w:ascii="Times New Roman" w:hAnsi="Times New Roman" w:cs="Times New Roman"/>
          <w:noProof/>
          <w:sz w:val="24"/>
          <w:szCs w:val="24"/>
        </w:rPr>
      </w:pPr>
      <w:r>
        <w:rPr>
          <w:rFonts w:ascii="Times New Roman" w:hAnsi="Times New Roman"/>
          <w:b/>
          <w:noProof/>
          <w:sz w:val="24"/>
        </w:rPr>
        <w:t>A Bizottság arra ösztönzi a tagállamokat, hogy dolgozzanak ki rasszizmus elleni nemzeti cselekvési terveket</w:t>
      </w:r>
      <w:r>
        <w:rPr>
          <w:rFonts w:ascii="Times New Roman" w:hAnsi="Times New Roman"/>
          <w:noProof/>
          <w:sz w:val="24"/>
        </w:rPr>
        <w:t xml:space="preserve">, és a Polgárok, egyenlőség, jogok és értékek programon keresztül támogatni fogja őket azok előkészítésében és végrehajtásában. </w:t>
      </w:r>
      <w:r>
        <w:rPr>
          <w:rFonts w:ascii="Times New Roman" w:hAnsi="Times New Roman"/>
          <w:b/>
          <w:noProof/>
          <w:sz w:val="24"/>
        </w:rPr>
        <w:t>A Bizottság emellett ösztönzi a rasszizmus elleni helyi cselekvési tervek kidolgozását is a régiókban, városokban, iskolákban és közösségi központokban</w:t>
      </w:r>
      <w:r>
        <w:rPr>
          <w:rStyle w:val="FootnoteReference"/>
          <w:rFonts w:ascii="Times New Roman" w:hAnsi="Times New Roman" w:cs="Times New Roman"/>
          <w:noProof/>
          <w:sz w:val="24"/>
          <w:szCs w:val="24"/>
        </w:rPr>
        <w:footnoteReference w:id="50"/>
      </w:r>
      <w:r>
        <w:rPr>
          <w:rFonts w:ascii="Times New Roman" w:hAnsi="Times New Roman"/>
          <w:noProof/>
          <w:sz w:val="24"/>
        </w:rPr>
        <w:t>. Egyes tagállamok továbbá a rasszizmus elleni, valamint a muszlimellenes gyűlölet és az antiszemitizmus elleni küzdelemért felelős nemzeti koordinátorok kinevezése révén erősítették meg nemzeti kötelezettségvállalásukat és elszámoltathatóságukat. A Bizottság valamennyi tagállamot arra biztat, hogy kövessék ezt a megközelítést.</w:t>
      </w:r>
    </w:p>
    <w:p w14:paraId="1D24BA92" w14:textId="4E88BDA7" w:rsidR="00066083" w:rsidRPr="006107F8" w:rsidRDefault="00224BF4" w:rsidP="000F3D70">
      <w:pPr>
        <w:spacing w:line="240" w:lineRule="auto"/>
        <w:jc w:val="both"/>
        <w:rPr>
          <w:rFonts w:ascii="Times New Roman" w:hAnsi="Times New Roman" w:cs="Times New Roman"/>
          <w:b/>
          <w:i/>
          <w:noProof/>
          <w:sz w:val="24"/>
        </w:rPr>
      </w:pPr>
      <w:r>
        <w:rPr>
          <w:rFonts w:ascii="Times New Roman" w:hAnsi="Times New Roman"/>
          <w:b/>
          <w:i/>
          <w:noProof/>
          <w:sz w:val="24"/>
        </w:rPr>
        <w:t>A rasszizmus és a megkülönböztetés elleni kezdeményezések támogatása</w:t>
      </w:r>
    </w:p>
    <w:p w14:paraId="17E964D8" w14:textId="6B77A056" w:rsidR="00F864E5" w:rsidRPr="006107F8" w:rsidRDefault="00066083" w:rsidP="00F864E5">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Különös tekintettel azok csökkenő finanszírozására, a Bizottság elkötelezett a civil társadalmi szervezetek, az alulról szerveződő aktivizmus és a rasszizmus elleni fellépés támogatása mellett</w:t>
      </w:r>
      <w:r>
        <w:rPr>
          <w:rStyle w:val="FootnoteReference"/>
          <w:rFonts w:ascii="Times New Roman" w:hAnsi="Times New Roman" w:cs="Times New Roman"/>
          <w:noProof/>
          <w:sz w:val="24"/>
          <w:szCs w:val="24"/>
        </w:rPr>
        <w:footnoteReference w:id="51"/>
      </w:r>
      <w:r>
        <w:rPr>
          <w:rFonts w:ascii="Times New Roman" w:hAnsi="Times New Roman"/>
          <w:noProof/>
          <w:sz w:val="24"/>
        </w:rPr>
        <w:t xml:space="preserve">, ami elsősorban a </w:t>
      </w:r>
      <w:hyperlink r:id="rId93" w:history="1">
        <w:r>
          <w:rPr>
            <w:rStyle w:val="Hyperlink"/>
            <w:rFonts w:ascii="Times New Roman" w:hAnsi="Times New Roman"/>
            <w:noProof/>
            <w:sz w:val="24"/>
          </w:rPr>
          <w:t>Polgárok, egyenlőség, jogok és értékek programon</w:t>
        </w:r>
      </w:hyperlink>
      <w:r>
        <w:rPr>
          <w:rFonts w:ascii="Times New Roman" w:hAnsi="Times New Roman"/>
          <w:noProof/>
          <w:sz w:val="24"/>
        </w:rPr>
        <w:t xml:space="preserve"> keresztül valósul meg. Az egyenlőséggel és a megkülönböztetésmentességgel a következő</w:t>
      </w:r>
      <w:r>
        <w:rPr>
          <w:noProof/>
        </w:rPr>
        <w:t xml:space="preserve">, </w:t>
      </w:r>
      <w:r>
        <w:rPr>
          <w:rFonts w:ascii="Times New Roman" w:hAnsi="Times New Roman"/>
          <w:noProof/>
          <w:sz w:val="24"/>
        </w:rPr>
        <w:t>2028–2034 közötti időszakra vonatkozó</w:t>
      </w:r>
      <w:hyperlink r:id="rId94" w:history="1">
        <w:r>
          <w:rPr>
            <w:rStyle w:val="Hyperlink"/>
            <w:rFonts w:ascii="Times New Roman" w:hAnsi="Times New Roman"/>
            <w:noProof/>
            <w:sz w:val="24"/>
          </w:rPr>
          <w:t xml:space="preserve"> többéves pénzügyi keretre</w:t>
        </w:r>
      </w:hyperlink>
      <w:r>
        <w:rPr>
          <w:rFonts w:ascii="Times New Roman" w:hAnsi="Times New Roman"/>
          <w:noProof/>
          <w:sz w:val="24"/>
        </w:rPr>
        <w:t xml:space="preserve"> irányuló bizottsági javaslat is foglalkozik. Az új AgoraEU program részeként a Bizottság 3,6 milliárd EUR összegű költségvetést javasolt a Demokrácia, polgárok, egyenlőség, jogok és értékek (CERV+) ág számára, ami több mint kétszerese a CERV program költségvetésének</w:t>
      </w:r>
      <w:r>
        <w:rPr>
          <w:rFonts w:ascii="Times New Roman" w:hAnsi="Times New Roman"/>
          <w:noProof/>
          <w:color w:val="000000" w:themeColor="text1"/>
          <w:sz w:val="24"/>
        </w:rPr>
        <w:t>.</w:t>
      </w:r>
    </w:p>
    <w:p w14:paraId="6FCE609F" w14:textId="378980C7" w:rsidR="00F864E5" w:rsidRPr="006107F8" w:rsidRDefault="002F58B8" w:rsidP="00E66BA4">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 Bizottság </w:t>
      </w:r>
      <w:r>
        <w:rPr>
          <w:rFonts w:ascii="Times New Roman" w:hAnsi="Times New Roman"/>
          <w:noProof/>
          <w:sz w:val="24"/>
        </w:rPr>
        <w:t xml:space="preserve">ellenőrzi, hogy az uniós finanszírozás kedvezményezettjei </w:t>
      </w:r>
      <w:r>
        <w:rPr>
          <w:rFonts w:ascii="Times New Roman" w:hAnsi="Times New Roman"/>
          <w:noProof/>
          <w:color w:val="000000" w:themeColor="text1"/>
          <w:sz w:val="24"/>
        </w:rPr>
        <w:t>a költségvetési rendelettel</w:t>
      </w:r>
      <w:r>
        <w:rPr>
          <w:rFonts w:ascii="Times New Roman" w:hAnsi="Times New Roman"/>
          <w:noProof/>
          <w:sz w:val="24"/>
        </w:rPr>
        <w:t xml:space="preserve"> összhangban tiszteletben tartják-e az uniós értékeket az uniós költségvetésből finanszírozott projektek végrehajtása során.</w:t>
      </w:r>
      <w:r>
        <w:rPr>
          <w:rFonts w:ascii="Times New Roman" w:hAnsi="Times New Roman"/>
          <w:noProof/>
          <w:color w:val="000000" w:themeColor="text1"/>
          <w:sz w:val="24"/>
        </w:rPr>
        <w:t xml:space="preserve"> Szigorú ellenőrzéseket végez a támogatások odaítélése előtt, és </w:t>
      </w:r>
      <w:hyperlink r:id="rId95" w:history="1">
        <w:r>
          <w:rPr>
            <w:rStyle w:val="Hyperlink"/>
            <w:rFonts w:ascii="Times New Roman" w:hAnsi="Times New Roman"/>
            <w:noProof/>
            <w:sz w:val="24"/>
          </w:rPr>
          <w:t>a korai felismerési és kizárási rendszeren (EDES)</w:t>
        </w:r>
      </w:hyperlink>
      <w:r>
        <w:rPr>
          <w:noProof/>
        </w:rPr>
        <w:t xml:space="preserve"> </w:t>
      </w:r>
      <w:r>
        <w:rPr>
          <w:rFonts w:ascii="Times New Roman" w:hAnsi="Times New Roman"/>
          <w:noProof/>
          <w:color w:val="000000" w:themeColor="text1"/>
          <w:sz w:val="24"/>
        </w:rPr>
        <w:t>keresztül érvényesíti a szabályokat.</w:t>
      </w:r>
      <w:r>
        <w:rPr>
          <w:noProof/>
        </w:rPr>
        <w:t xml:space="preserve"> </w:t>
      </w:r>
      <w:r>
        <w:rPr>
          <w:rFonts w:ascii="Times New Roman" w:hAnsi="Times New Roman"/>
          <w:noProof/>
          <w:color w:val="000000" w:themeColor="text1"/>
          <w:sz w:val="24"/>
        </w:rPr>
        <w:t>Emellett tovább fogja vizsgálni az eszköztár teljes körű kihasználásának legjobb módját, többek között a potenciális kedvezményezettek kiválasztásakor.</w:t>
      </w:r>
    </w:p>
    <w:p w14:paraId="75A6235A" w14:textId="3372022E" w:rsidR="00677663" w:rsidRPr="006107F8" w:rsidRDefault="00066083" w:rsidP="008D07AB">
      <w:pPr>
        <w:spacing w:line="240" w:lineRule="auto"/>
        <w:jc w:val="both"/>
        <w:rPr>
          <w:rFonts w:ascii="Times New Roman" w:hAnsi="Times New Roman" w:cs="Times New Roman"/>
          <w:noProof/>
          <w:sz w:val="24"/>
          <w:szCs w:val="24"/>
        </w:rPr>
      </w:pPr>
      <w:r>
        <w:rPr>
          <w:rFonts w:ascii="Times New Roman" w:hAnsi="Times New Roman"/>
          <w:noProof/>
          <w:sz w:val="24"/>
        </w:rPr>
        <w:t xml:space="preserve">Az uniós finanszírozás odaítélése során a Bizottság továbbra is biztosítani fogja, hogy a tagállamok teljesítsék az Alapjogi Charta hatékony végrehajtására és alkalmazására vonatkozó </w:t>
      </w:r>
      <w:hyperlink r:id="rId96" w:history="1">
        <w:r>
          <w:rPr>
            <w:rStyle w:val="Hyperlink"/>
            <w:rFonts w:ascii="Times New Roman" w:hAnsi="Times New Roman"/>
            <w:noProof/>
            <w:sz w:val="24"/>
          </w:rPr>
          <w:t>horizontális feljogosító feltételeket</w:t>
        </w:r>
      </w:hyperlink>
      <w:r>
        <w:rPr>
          <w:rFonts w:ascii="Times New Roman" w:hAnsi="Times New Roman"/>
          <w:noProof/>
          <w:sz w:val="24"/>
        </w:rPr>
        <w:t xml:space="preserve">, amelyeket </w:t>
      </w:r>
      <w:hyperlink r:id="rId97" w:history="1">
        <w:r>
          <w:rPr>
            <w:rStyle w:val="Hyperlink"/>
            <w:rFonts w:ascii="Times New Roman" w:hAnsi="Times New Roman"/>
            <w:noProof/>
            <w:sz w:val="24"/>
          </w:rPr>
          <w:t>a közös rendelkezésekről szóló rendelet</w:t>
        </w:r>
      </w:hyperlink>
      <w:r>
        <w:rPr>
          <w:rFonts w:ascii="Times New Roman" w:hAnsi="Times New Roman"/>
          <w:noProof/>
          <w:sz w:val="24"/>
        </w:rPr>
        <w:t xml:space="preserve"> szabályoz. A tagállamoknak hatékony mechanizmusokkal kell rendelkezniük annak biztosításához, hogy a kohéziós politikai programok végrehajtása során tiszteletben tartsák a Chartában rögzített alapvető jogokat.</w:t>
      </w:r>
    </w:p>
    <w:p w14:paraId="184E961D" w14:textId="37CA66CB" w:rsidR="00590DF6" w:rsidRPr="006107F8" w:rsidRDefault="00066083" w:rsidP="008D07AB">
      <w:pPr>
        <w:spacing w:line="240" w:lineRule="auto"/>
        <w:jc w:val="both"/>
        <w:rPr>
          <w:rFonts w:ascii="Times New Roman" w:hAnsi="Times New Roman" w:cs="Times New Roman"/>
          <w:b/>
          <w:bCs/>
          <w:i/>
          <w:iCs/>
          <w:noProof/>
          <w:sz w:val="24"/>
          <w:szCs w:val="24"/>
        </w:rPr>
      </w:pPr>
      <w:r>
        <w:rPr>
          <w:rFonts w:ascii="Times New Roman" w:hAnsi="Times New Roman"/>
          <w:noProof/>
          <w:sz w:val="24"/>
        </w:rPr>
        <w:t xml:space="preserve">A 2028–2034 közötti időszakra vonatkozó következő többéves pénzügyi keretben a Bizottság azt javasolja, hogy </w:t>
      </w:r>
      <w:hyperlink r:id="rId98" w:history="1">
        <w:r>
          <w:rPr>
            <w:rStyle w:val="Hyperlink"/>
            <w:rFonts w:ascii="Times New Roman" w:hAnsi="Times New Roman"/>
            <w:noProof/>
            <w:sz w:val="24"/>
          </w:rPr>
          <w:t>a nemzeti és regionális partnerségi tervek</w:t>
        </w:r>
      </w:hyperlink>
      <w:r>
        <w:rPr>
          <w:rFonts w:ascii="Times New Roman" w:hAnsi="Times New Roman"/>
          <w:noProof/>
          <w:sz w:val="24"/>
        </w:rPr>
        <w:t xml:space="preserve"> tartalmazzanak szilárd biztosítékokat a jogállamiság feltételeinek való megfelelés és az Európai Unió Alapjogi Chartája hatékony alkalmazásának biztosítása érdekében. A tagállamoknak és a Bizottságnak megfelelő lépéseket kell tenniük annak megelőzésére, hogy faji vagy etnikai származáson alapuló hátrányos megkülönböztetésre kerüljön sor a tervek előkészítése, végrehajtása, nyomon követése, értékelése és a programokról való jelentéstétel során.</w:t>
      </w:r>
    </w:p>
    <w:p w14:paraId="58535F7E" w14:textId="62C05785" w:rsidR="00E06D6C" w:rsidRPr="006107F8" w:rsidRDefault="003E094F" w:rsidP="0055519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rPr>
      </w:pPr>
      <w:r>
        <w:rPr>
          <w:rFonts w:ascii="Times New Roman" w:hAnsi="Times New Roman"/>
          <w:b/>
          <w:noProof/>
          <w:sz w:val="24"/>
        </w:rPr>
        <w:t>A Bizottság</w:t>
      </w:r>
    </w:p>
    <w:p w14:paraId="006E24A0" w14:textId="74EAFE96" w:rsidR="003906DA" w:rsidRPr="006107F8" w:rsidRDefault="003906DA" w:rsidP="003906DA">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Pr>
          <w:rFonts w:ascii="Times New Roman" w:hAnsi="Times New Roman"/>
          <w:noProof/>
          <w:sz w:val="24"/>
        </w:rPr>
        <w:t>megújítja a Rasszizmus Elleni Állandó Civil Társadalmi Fórumot, és éves munkaprogramot dolgoz ki, amely iránymutatásul szolgál annak tevékenységéhez;</w:t>
      </w:r>
    </w:p>
    <w:p w14:paraId="528AE8A9" w14:textId="34544960" w:rsidR="00E06D6C" w:rsidRPr="006107F8" w:rsidRDefault="00E06D6C"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Pr>
          <w:rFonts w:ascii="Times New Roman" w:hAnsi="Times New Roman"/>
          <w:noProof/>
          <w:sz w:val="24"/>
        </w:rPr>
        <w:t>műhelytalálkozókat szervez a tagállamok részvételével a rasszizmus elleni nemzeti és regionális szintű erőfeszítések támogatása érdekében;</w:t>
      </w:r>
    </w:p>
    <w:p w14:paraId="0FA0AF1A" w14:textId="3B0550FA" w:rsidR="00E06D6C" w:rsidRPr="006107F8" w:rsidRDefault="00E06D6C"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Pr>
          <w:rFonts w:ascii="Times New Roman" w:hAnsi="Times New Roman"/>
          <w:noProof/>
          <w:sz w:val="24"/>
        </w:rPr>
        <w:t>aktualizálja és megerősíti a rasszizmus elleni uniós cselekvési terv nemzeti végrehajtásával foglalkozó szakértői csoport megbízatását, és felkéri az uniós tagjelölt országokat a csatlakozásra;</w:t>
      </w:r>
    </w:p>
    <w:p w14:paraId="24BDBD14" w14:textId="6434440A" w:rsidR="009D41AF" w:rsidRPr="006107F8" w:rsidRDefault="0028533D"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Pr>
          <w:rFonts w:ascii="Times New Roman" w:hAnsi="Times New Roman"/>
          <w:noProof/>
          <w:sz w:val="24"/>
        </w:rPr>
        <w:t>nemzeti kerekasztal-megbeszélést szervez az ENSZ-szel, az Európa Tanáccsal és más multilaterális szervekkel való együttműködés elmélyítése érdekében;</w:t>
      </w:r>
    </w:p>
    <w:p w14:paraId="373F5A99" w14:textId="6EE088AE" w:rsidR="00E06D6C" w:rsidRPr="006107F8" w:rsidRDefault="009D41AF"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Pr>
          <w:rFonts w:ascii="Times New Roman" w:hAnsi="Times New Roman"/>
          <w:noProof/>
          <w:sz w:val="24"/>
        </w:rPr>
        <w:t>a releváns uniós kiadási eszközökön keresztül támogatja a rasszizmus és a faji megkülönböztetés elleni küzdelemmel foglalkozó projekteket és szervezeteket.</w:t>
      </w:r>
    </w:p>
    <w:p w14:paraId="48415EC1" w14:textId="3E218148" w:rsidR="00E06D6C" w:rsidRPr="006107F8" w:rsidRDefault="00E06D6C" w:rsidP="0055519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rPr>
      </w:pPr>
      <w:r>
        <w:rPr>
          <w:rFonts w:ascii="Times New Roman" w:hAnsi="Times New Roman"/>
          <w:b/>
          <w:noProof/>
          <w:sz w:val="24"/>
        </w:rPr>
        <w:t>A Bizottság arra ösztönzi a tagállamokat, hogy</w:t>
      </w:r>
    </w:p>
    <w:p w14:paraId="0EDCF40C" w14:textId="7A8CA1DE" w:rsidR="00E06D6C" w:rsidRPr="006107F8" w:rsidRDefault="00E06D6C" w:rsidP="00555191">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4"/>
        </w:rPr>
      </w:pPr>
      <w:r>
        <w:rPr>
          <w:rFonts w:ascii="Times New Roman" w:hAnsi="Times New Roman"/>
          <w:noProof/>
          <w:sz w:val="24"/>
        </w:rPr>
        <w:t>dolgozzanak ki rasszizmus elleni nemzeti cselekvési terveket, és nevezzenek ki rasszizmus elleni nemzeti koordinátorokat;</w:t>
      </w:r>
    </w:p>
    <w:p w14:paraId="4D8B3358" w14:textId="54743CB8" w:rsidR="00E06D6C" w:rsidRPr="006107F8" w:rsidRDefault="00E06D6C" w:rsidP="00555191">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4"/>
        </w:rPr>
      </w:pPr>
      <w:r>
        <w:rPr>
          <w:rFonts w:ascii="Times New Roman" w:hAnsi="Times New Roman"/>
          <w:noProof/>
          <w:sz w:val="24"/>
        </w:rPr>
        <w:t>támogassák a rasszizmus elleni helyi cselekvési tervek kidolgozását a régiókban, városokban, iskolákban és közösségi központokban.</w:t>
      </w:r>
    </w:p>
    <w:p w14:paraId="1EDBE8DE" w14:textId="6A029671" w:rsidR="001D215D" w:rsidRDefault="001D215D">
      <w:pPr>
        <w:spacing w:after="0" w:line="240" w:lineRule="auto"/>
        <w:rPr>
          <w:rFonts w:ascii="Times New Roman" w:hAnsi="Times New Roman" w:cs="Times New Roman"/>
          <w:b/>
          <w:bCs/>
          <w:noProof/>
          <w:sz w:val="24"/>
          <w:szCs w:val="24"/>
        </w:rPr>
      </w:pPr>
    </w:p>
    <w:p w14:paraId="7FCA41C2" w14:textId="77777777" w:rsidR="005F0898" w:rsidRDefault="005F0898">
      <w:pPr>
        <w:spacing w:after="0" w:line="240" w:lineRule="auto"/>
        <w:rPr>
          <w:rFonts w:ascii="Times New Roman" w:hAnsi="Times New Roman" w:cs="Times New Roman"/>
          <w:b/>
          <w:bCs/>
          <w:noProof/>
          <w:sz w:val="24"/>
          <w:szCs w:val="24"/>
        </w:rPr>
      </w:pPr>
    </w:p>
    <w:p w14:paraId="006D8F84" w14:textId="77777777" w:rsidR="005F0898" w:rsidRDefault="005F0898">
      <w:pPr>
        <w:spacing w:after="0" w:line="240" w:lineRule="auto"/>
        <w:rPr>
          <w:rFonts w:ascii="Times New Roman" w:hAnsi="Times New Roman" w:cs="Times New Roman"/>
          <w:b/>
          <w:bCs/>
          <w:noProof/>
          <w:sz w:val="24"/>
          <w:szCs w:val="24"/>
        </w:rPr>
      </w:pPr>
      <w:r>
        <w:rPr>
          <w:noProof/>
        </w:rPr>
        <w:br w:type="page"/>
      </w:r>
    </w:p>
    <w:p w14:paraId="7837FC33" w14:textId="55177843" w:rsidR="00E66BA4" w:rsidRPr="006107F8" w:rsidRDefault="003E70D4" w:rsidP="00C90233">
      <w:pPr>
        <w:spacing w:line="240" w:lineRule="auto"/>
        <w:rPr>
          <w:rFonts w:ascii="Times New Roman" w:hAnsi="Times New Roman" w:cs="Times New Roman"/>
          <w:b/>
          <w:bCs/>
          <w:noProof/>
          <w:sz w:val="24"/>
          <w:szCs w:val="24"/>
        </w:rPr>
      </w:pPr>
      <w:r>
        <w:rPr>
          <w:rFonts w:ascii="Times New Roman" w:hAnsi="Times New Roman"/>
          <w:b/>
          <w:noProof/>
          <w:sz w:val="24"/>
        </w:rPr>
        <w:t>V. FEJEZET – PÉLDAMUTATÁS</w:t>
      </w:r>
    </w:p>
    <w:p w14:paraId="0C9870B1" w14:textId="21417401" w:rsidR="00E514EF" w:rsidRPr="006107F8" w:rsidRDefault="00391DF0" w:rsidP="00E514EF">
      <w:pPr>
        <w:spacing w:line="240" w:lineRule="auto"/>
        <w:jc w:val="both"/>
        <w:rPr>
          <w:rFonts w:ascii="Times New Roman" w:hAnsi="Times New Roman" w:cs="Times New Roman"/>
          <w:noProof/>
          <w:sz w:val="24"/>
          <w:szCs w:val="24"/>
        </w:rPr>
      </w:pPr>
      <w:r>
        <w:rPr>
          <w:rFonts w:ascii="Times New Roman" w:hAnsi="Times New Roman"/>
          <w:noProof/>
          <w:sz w:val="24"/>
        </w:rPr>
        <w:t>A sokszínűség és a befogadás előmozdítása elengedhetetlen a méltányos és hatékony munkahelyek biztosításához, valamint a tehetségek vonzásához. Erősíti az összetartozás érzését és a bizalmat, ha a személyzet tagjai úgy érezhetik, minden szinten képviseltetik magukat, beleértve a vezetői pozíciókat is. A Bizottság továbbra is elkötelezetten alkalmazza a zéró tolerancia politikáját a diszkriminatív magatartás valamennyi formájával szemben.</w:t>
      </w:r>
    </w:p>
    <w:p w14:paraId="65E917B7" w14:textId="09794911" w:rsidR="00BF6E0E" w:rsidRPr="006107F8" w:rsidRDefault="00391DF0" w:rsidP="00D46290">
      <w:pPr>
        <w:spacing w:after="120" w:line="240" w:lineRule="auto"/>
        <w:jc w:val="both"/>
        <w:rPr>
          <w:rFonts w:ascii="Times New Roman" w:hAnsi="Times New Roman" w:cs="Times New Roman"/>
          <w:b/>
          <w:bCs/>
          <w:i/>
          <w:iCs/>
          <w:noProof/>
          <w:sz w:val="24"/>
          <w:szCs w:val="24"/>
        </w:rPr>
      </w:pPr>
      <w:r>
        <w:rPr>
          <w:rFonts w:ascii="Times New Roman" w:hAnsi="Times New Roman"/>
          <w:b/>
          <w:i/>
          <w:noProof/>
          <w:sz w:val="24"/>
        </w:rPr>
        <w:t>A sokszínűség előmozdítása az Európai Bizottság munkaerő-felvételében</w:t>
      </w:r>
    </w:p>
    <w:p w14:paraId="0A3D33AA" w14:textId="52C2D42A" w:rsidR="001536B5" w:rsidRPr="006107F8" w:rsidDel="00E66BA4" w:rsidRDefault="00E514EF" w:rsidP="00646F75">
      <w:pPr>
        <w:spacing w:line="240" w:lineRule="auto"/>
        <w:jc w:val="both"/>
        <w:rPr>
          <w:rFonts w:ascii="Times New Roman" w:hAnsi="Times New Roman" w:cs="Times New Roman"/>
          <w:noProof/>
          <w:sz w:val="24"/>
          <w:szCs w:val="24"/>
        </w:rPr>
      </w:pPr>
      <w:r>
        <w:rPr>
          <w:rFonts w:ascii="Times New Roman" w:hAnsi="Times New Roman"/>
          <w:noProof/>
          <w:sz w:val="24"/>
        </w:rPr>
        <w:t xml:space="preserve">Az uniós intézmények személyzeti összetételének tükröznie kell Európa etnikai, kulturális és nyelvi sokszínűségét. </w:t>
      </w:r>
      <w:hyperlink r:id="rId99" w:history="1">
        <w:r>
          <w:rPr>
            <w:rStyle w:val="Hyperlink"/>
            <w:rFonts w:ascii="Times New Roman" w:hAnsi="Times New Roman"/>
            <w:noProof/>
            <w:sz w:val="24"/>
          </w:rPr>
          <w:t>Humánerőforrás-stratégiájában</w:t>
        </w:r>
      </w:hyperlink>
      <w:r>
        <w:rPr>
          <w:rFonts w:ascii="Times New Roman" w:hAnsi="Times New Roman"/>
          <w:noProof/>
          <w:sz w:val="24"/>
        </w:rPr>
        <w:t xml:space="preserve"> a Bizottság elköteleződött amellett, hogy jó példával jár elöl az inkluzivitás és a sokszínűség</w:t>
      </w:r>
      <w:r>
        <w:rPr>
          <w:rStyle w:val="FootnoteReference"/>
          <w:rFonts w:ascii="Times New Roman" w:hAnsi="Times New Roman" w:cs="Times New Roman"/>
          <w:noProof/>
          <w:sz w:val="24"/>
          <w:szCs w:val="24"/>
        </w:rPr>
        <w:footnoteReference w:id="52"/>
      </w:r>
      <w:r>
        <w:rPr>
          <w:rFonts w:ascii="Times New Roman" w:hAnsi="Times New Roman"/>
          <w:noProof/>
          <w:sz w:val="24"/>
        </w:rPr>
        <w:t xml:space="preserve"> terén, és biztosítja, hogy személyzete jobban tükrözze az európai társadalom sokszínűségét. </w:t>
      </w:r>
      <w:hyperlink r:id="rId100" w:history="1">
        <w:r>
          <w:rPr>
            <w:rStyle w:val="Hyperlink"/>
            <w:rFonts w:ascii="Times New Roman" w:hAnsi="Times New Roman"/>
            <w:noProof/>
            <w:sz w:val="24"/>
          </w:rPr>
          <w:t>A munkahelyi sokszínűségről, befogadásról és tiszteletről szóló felmérés</w:t>
        </w:r>
      </w:hyperlink>
      <w:r>
        <w:rPr>
          <w:rFonts w:ascii="Times New Roman" w:hAnsi="Times New Roman"/>
          <w:noProof/>
          <w:sz w:val="24"/>
        </w:rPr>
        <w:t xml:space="preserve"> eredményeire építve </w:t>
      </w:r>
      <w:hyperlink r:id="rId101" w:history="1">
        <w:r>
          <w:rPr>
            <w:rStyle w:val="Hyperlink"/>
            <w:rFonts w:ascii="Times New Roman" w:hAnsi="Times New Roman"/>
            <w:noProof/>
            <w:sz w:val="24"/>
          </w:rPr>
          <w:t>a munkahelyi sokszínűségről és befogadásról szóló cselekvési terv (2023–2024)</w:t>
        </w:r>
      </w:hyperlink>
      <w:r>
        <w:rPr>
          <w:rFonts w:ascii="Times New Roman" w:hAnsi="Times New Roman"/>
          <w:noProof/>
          <w:sz w:val="24"/>
        </w:rPr>
        <w:t xml:space="preserve"> keretet biztosít a stratégia kötelezettségvállalásainak teljesítéséhez, és célzott intézkedéseket vezet be a megkülönböztetés bármely típusával vagy formájával – többek között a faji vagy etnikai származáson alapuló megkülönböztetéssel – szembeni zéró tolerancián alapuló megközelítés alkalmazására vonatkozóan. A Bizottság 2025-ben ismét felmérést végzett, amelynek megállapításait fel fogja használni </w:t>
      </w:r>
      <w:r>
        <w:rPr>
          <w:rFonts w:ascii="Times New Roman" w:hAnsi="Times New Roman"/>
          <w:b/>
          <w:noProof/>
          <w:sz w:val="24"/>
        </w:rPr>
        <w:t>a cselekvési terv aktualizálása során, és tájékoztatási tevékenységek, valamint felülvizsgált munkaerő-felvételi iránymutatások révén törekszik a sokszínűség ösztönzésére</w:t>
      </w:r>
      <w:r>
        <w:rPr>
          <w:rFonts w:ascii="Times New Roman" w:hAnsi="Times New Roman"/>
          <w:noProof/>
          <w:sz w:val="24"/>
        </w:rPr>
        <w:t xml:space="preserve">. </w:t>
      </w:r>
    </w:p>
    <w:p w14:paraId="386F9DB1" w14:textId="6AD6498B" w:rsidR="00BF6E0E" w:rsidRPr="006107F8" w:rsidRDefault="00E514EF" w:rsidP="00646F75">
      <w:pPr>
        <w:spacing w:line="240" w:lineRule="auto"/>
        <w:jc w:val="both"/>
        <w:rPr>
          <w:rFonts w:ascii="Times New Roman" w:hAnsi="Times New Roman" w:cs="Times New Roman"/>
          <w:noProof/>
          <w:sz w:val="24"/>
          <w:szCs w:val="24"/>
        </w:rPr>
      </w:pPr>
      <w:r>
        <w:rPr>
          <w:rFonts w:ascii="Times New Roman" w:hAnsi="Times New Roman"/>
          <w:noProof/>
          <w:sz w:val="24"/>
        </w:rPr>
        <w:t xml:space="preserve">A célzott munkaerő-felvételi stratégiák célja, hogy növeljék az uniós állások láthatóságát és hozzáférhetőségét az alulreprezentált csoportok számára. Az </w:t>
      </w:r>
      <w:hyperlink r:id="rId102">
        <w:r>
          <w:rPr>
            <w:rStyle w:val="Hyperlink"/>
            <w:rFonts w:ascii="Times New Roman" w:hAnsi="Times New Roman"/>
            <w:noProof/>
            <w:sz w:val="24"/>
          </w:rPr>
          <w:t>Európai Személyzeti Felvételi Hivatal (EPSO)</w:t>
        </w:r>
      </w:hyperlink>
      <w:r>
        <w:rPr>
          <w:rFonts w:ascii="Times New Roman" w:hAnsi="Times New Roman"/>
          <w:noProof/>
          <w:sz w:val="24"/>
        </w:rPr>
        <w:t xml:space="preserve"> </w:t>
      </w:r>
      <w:bookmarkStart w:id="18" w:name="_Hlk218178018"/>
      <w:r>
        <w:rPr>
          <w:rFonts w:ascii="Times New Roman" w:hAnsi="Times New Roman"/>
          <w:b/>
          <w:noProof/>
          <w:sz w:val="24"/>
        </w:rPr>
        <w:t>célzott tájékoztatási stratégiák, például sokszínűségi vásárok és a civil társadalommal és a közösségi szervezetekkel létrehozott partnerségek révén igyekszik vonzani a különböző etnikai hátterű jelölteket.</w:t>
      </w:r>
      <w:r>
        <w:rPr>
          <w:rFonts w:ascii="Times New Roman" w:hAnsi="Times New Roman"/>
          <w:noProof/>
          <w:sz w:val="24"/>
        </w:rPr>
        <w:t xml:space="preserve"> </w:t>
      </w:r>
      <w:bookmarkEnd w:id="18"/>
      <w:r>
        <w:rPr>
          <w:rFonts w:ascii="Times New Roman" w:hAnsi="Times New Roman"/>
          <w:noProof/>
          <w:sz w:val="24"/>
        </w:rPr>
        <w:t>A sokszínűségre vonatkozó adatokat az EPSO-versenyvizsgák korábbi pályázói körében végzett anonim és önkéntes felmérések révén gyűjtötték össze, hogy azonosítsák és kezeljék azokat a problémákat, amelyek hozzájárulnak a pályázói állomány sokszínűségének csökkenéséhez.</w:t>
      </w:r>
    </w:p>
    <w:p w14:paraId="5F8DCAD5" w14:textId="105A125D" w:rsidR="007C07A3" w:rsidRPr="006107F8" w:rsidRDefault="0072442B" w:rsidP="00646F75">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Ami a </w:t>
      </w:r>
      <w:r>
        <w:rPr>
          <w:rFonts w:ascii="Times New Roman" w:hAnsi="Times New Roman"/>
          <w:b/>
          <w:noProof/>
          <w:sz w:val="24"/>
        </w:rPr>
        <w:t>Blue Book gyakornoki programot</w:t>
      </w:r>
      <w:r>
        <w:rPr>
          <w:rFonts w:ascii="Times New Roman" w:hAnsi="Times New Roman"/>
          <w:noProof/>
          <w:sz w:val="24"/>
        </w:rPr>
        <w:t xml:space="preserve"> illeti, a Bizottság – például a közösségi médiában terjesztett – célzott promóciós anyagok révén egyedi sokszínűségi és befogadási stratégiát alkalmazott a pályázói állomány sokszínűségének növelése érdekében. Emellett a Bizottság felülvizsgálja a gyakornoki programra vonatkozó szabályokról szóló határozatot, és mérlegeli a szakmai gyakorlat megnyitását a szakképzést végzett pályázók számára, valamint egyéb pozitív intézkedések végrehajtását az alulreprezentált csoportok érdekében.</w:t>
      </w:r>
    </w:p>
    <w:p w14:paraId="45DBDCF0" w14:textId="36E87352" w:rsidR="007C07A3" w:rsidRPr="006107F8" w:rsidRDefault="007C07A3" w:rsidP="007C07A3">
      <w:pPr>
        <w:jc w:val="both"/>
        <w:rPr>
          <w:rFonts w:ascii="Times New Roman" w:eastAsia="Times New Roman" w:hAnsi="Times New Roman" w:cs="Times New Roman"/>
          <w:noProof/>
          <w:sz w:val="24"/>
          <w:szCs w:val="24"/>
        </w:rPr>
      </w:pPr>
      <w:r>
        <w:rPr>
          <w:rFonts w:ascii="Times New Roman" w:hAnsi="Times New Roman"/>
          <w:noProof/>
          <w:sz w:val="24"/>
        </w:rPr>
        <w:t xml:space="preserve">A tényeken alapuló szakpolitikai döntéshozatal támogatása érdekében – többek között saját emberi erőforrásai tekintetében – </w:t>
      </w:r>
      <w:r>
        <w:rPr>
          <w:rFonts w:ascii="Times New Roman" w:hAnsi="Times New Roman"/>
          <w:b/>
          <w:noProof/>
          <w:sz w:val="24"/>
        </w:rPr>
        <w:t>a Bizottság továbbra is</w:t>
      </w:r>
      <w:r>
        <w:rPr>
          <w:rFonts w:ascii="Times New Roman" w:hAnsi="Times New Roman"/>
          <w:noProof/>
          <w:sz w:val="24"/>
        </w:rPr>
        <w:t xml:space="preserve"> önkéntes, anonimizált és a jogokat tiszteletben tartó alapon </w:t>
      </w:r>
      <w:r>
        <w:rPr>
          <w:rFonts w:ascii="Times New Roman" w:hAnsi="Times New Roman"/>
          <w:b/>
          <w:noProof/>
          <w:sz w:val="24"/>
        </w:rPr>
        <w:t>gyűjti a munkahelyi egyenlőségre vonatkozó adatokat</w:t>
      </w:r>
      <w:r>
        <w:rPr>
          <w:rFonts w:ascii="Times New Roman" w:hAnsi="Times New Roman"/>
          <w:noProof/>
          <w:sz w:val="24"/>
        </w:rPr>
        <w:t>.</w:t>
      </w:r>
    </w:p>
    <w:p w14:paraId="277D2607" w14:textId="31DB53ED" w:rsidR="00BF6E0E" w:rsidRPr="006107F8" w:rsidRDefault="00D1053A" w:rsidP="00C90233">
      <w:pPr>
        <w:spacing w:line="240" w:lineRule="auto"/>
        <w:jc w:val="both"/>
        <w:rPr>
          <w:rFonts w:ascii="Times New Roman" w:hAnsi="Times New Roman" w:cs="Times New Roman"/>
          <w:b/>
          <w:i/>
          <w:noProof/>
          <w:sz w:val="24"/>
        </w:rPr>
      </w:pPr>
      <w:r>
        <w:rPr>
          <w:rFonts w:ascii="Times New Roman" w:hAnsi="Times New Roman"/>
          <w:b/>
          <w:i/>
          <w:noProof/>
          <w:sz w:val="24"/>
        </w:rPr>
        <w:t>A kapacitásépítés javítása</w:t>
      </w:r>
    </w:p>
    <w:p w14:paraId="2437D90C" w14:textId="6A7F2AB6" w:rsidR="00EB6A6E" w:rsidRPr="006107F8" w:rsidRDefault="00A8067C" w:rsidP="00EB6A6E">
      <w:pPr>
        <w:spacing w:line="240" w:lineRule="auto"/>
        <w:jc w:val="both"/>
        <w:rPr>
          <w:rFonts w:ascii="Times New Roman" w:hAnsi="Times New Roman" w:cs="Times New Roman"/>
          <w:noProof/>
          <w:sz w:val="24"/>
          <w:szCs w:val="24"/>
        </w:rPr>
      </w:pPr>
      <w:r>
        <w:rPr>
          <w:rFonts w:ascii="Times New Roman" w:hAnsi="Times New Roman"/>
          <w:b/>
          <w:noProof/>
          <w:sz w:val="24"/>
        </w:rPr>
        <w:t>A Bizottság továbbra is képzési, mentorálási és coaching programokat biztosít valamennyi alkalmazottja</w:t>
      </w:r>
      <w:r>
        <w:rPr>
          <w:rFonts w:ascii="Times New Roman" w:hAnsi="Times New Roman"/>
          <w:noProof/>
          <w:sz w:val="24"/>
        </w:rPr>
        <w:t xml:space="preserve">, köztük a vezetők számára, </w:t>
      </w:r>
      <w:r>
        <w:rPr>
          <w:rFonts w:ascii="Times New Roman" w:hAnsi="Times New Roman"/>
          <w:b/>
          <w:noProof/>
          <w:sz w:val="24"/>
        </w:rPr>
        <w:t>és ösztönzi az azokban való részvételt</w:t>
      </w:r>
      <w:r>
        <w:rPr>
          <w:rFonts w:ascii="Times New Roman" w:hAnsi="Times New Roman"/>
          <w:noProof/>
          <w:sz w:val="24"/>
        </w:rPr>
        <w:t>. A tudattalan előítéletről és az etikus magatartásról szóló képzést a faji elfogultságról és a mikroagresszióról szóló modulok egészítik ki. E kezdeményezések célja a tudatosság növelése, a diszkriminatív magatartásformák csökkentése és a Bizottság rasszizmus elleni küzdelemre irányuló kapacitásának megerősítése.</w:t>
      </w:r>
    </w:p>
    <w:p w14:paraId="4E31D8B6" w14:textId="16E2B84F" w:rsidR="00BF6E0E" w:rsidRPr="006107F8" w:rsidRDefault="00A8067C" w:rsidP="000E3139">
      <w:pPr>
        <w:jc w:val="both"/>
        <w:rPr>
          <w:rFonts w:ascii="Times New Roman" w:hAnsi="Times New Roman" w:cs="Times New Roman"/>
          <w:noProof/>
          <w:sz w:val="24"/>
          <w:szCs w:val="24"/>
        </w:rPr>
      </w:pPr>
      <w:r>
        <w:rPr>
          <w:rFonts w:ascii="Times New Roman" w:hAnsi="Times New Roman"/>
          <w:noProof/>
          <w:sz w:val="24"/>
        </w:rPr>
        <w:t xml:space="preserve">Erőfeszítései részeként a Bizottság aktualizálta a rasszizmussal kapcsolatos zaklatásra vagy bármely más helytelen magatartásra </w:t>
      </w:r>
      <w:r>
        <w:rPr>
          <w:rFonts w:ascii="Times New Roman" w:hAnsi="Times New Roman"/>
          <w:noProof/>
          <w:color w:val="000000" w:themeColor="text1"/>
          <w:sz w:val="24"/>
        </w:rPr>
        <w:t>alkalmazandó</w:t>
      </w:r>
      <w:r>
        <w:rPr>
          <w:noProof/>
        </w:rPr>
        <w:t>,</w:t>
      </w:r>
      <w:hyperlink r:id="rId103" w:history="1">
        <w:r w:rsidRPr="008253BF">
          <w:rPr>
            <w:rStyle w:val="Hyperlink"/>
            <w:rFonts w:ascii="Times New Roman" w:hAnsi="Times New Roman"/>
            <w:noProof/>
            <w:sz w:val="24"/>
            <w:u w:val="none"/>
          </w:rPr>
          <w:t xml:space="preserve"> </w:t>
        </w:r>
        <w:r>
          <w:rPr>
            <w:rStyle w:val="Hyperlink"/>
            <w:rFonts w:ascii="Times New Roman" w:hAnsi="Times New Roman"/>
            <w:noProof/>
            <w:sz w:val="24"/>
          </w:rPr>
          <w:t>zaklatás elleni keretét</w:t>
        </w:r>
      </w:hyperlink>
      <w:r>
        <w:rPr>
          <w:rFonts w:ascii="Times New Roman" w:hAnsi="Times New Roman"/>
          <w:noProof/>
          <w:sz w:val="24"/>
        </w:rPr>
        <w:t xml:space="preserve">, hogy jobban kezelje a munkahelyi megkülönböztetés valamennyi formáját. </w:t>
      </w:r>
      <w:r>
        <w:rPr>
          <w:rFonts w:ascii="Times New Roman" w:hAnsi="Times New Roman"/>
          <w:b/>
          <w:noProof/>
          <w:sz w:val="24"/>
        </w:rPr>
        <w:t>A támogatási szolgáltatások – többek között a mediációs és tanácsadási szolgáltatások, a fő bizalmi személy és a bizalmi személyek hálózata – iránymutatást és segítséget nyújtanak a megkülönböztetés által érintett személyzetnek</w:t>
      </w:r>
      <w:r>
        <w:rPr>
          <w:rFonts w:ascii="Times New Roman" w:hAnsi="Times New Roman"/>
          <w:noProof/>
          <w:sz w:val="24"/>
        </w:rPr>
        <w:t>.</w:t>
      </w:r>
      <w:r>
        <w:rPr>
          <w:rFonts w:ascii="Times New Roman" w:hAnsi="Times New Roman"/>
          <w:noProof/>
          <w:color w:val="000000" w:themeColor="text1"/>
          <w:sz w:val="24"/>
        </w:rPr>
        <w:t xml:space="preserve"> A zaklatás elleni keret hatékonyságának érvényesítése érdekében </w:t>
      </w:r>
      <w:r>
        <w:rPr>
          <w:rFonts w:ascii="Times New Roman" w:hAnsi="Times New Roman"/>
          <w:noProof/>
          <w:sz w:val="24"/>
        </w:rPr>
        <w:t>a Vizsgálati és Fegyelmi Hivatal a faji megkülönböztetés és zaklatás eseteivel is foglalkozik.</w:t>
      </w:r>
    </w:p>
    <w:p w14:paraId="737324F2" w14:textId="40F04A93" w:rsidR="00E06D6C" w:rsidRPr="006107F8" w:rsidRDefault="00A8067C" w:rsidP="00555191">
      <w:pPr>
        <w:pStyle w:val="ListParagraph"/>
        <w:pBdr>
          <w:top w:val="single" w:sz="4" w:space="1" w:color="auto"/>
          <w:left w:val="single" w:sz="4" w:space="4" w:color="auto"/>
          <w:bottom w:val="single" w:sz="4" w:space="1" w:color="auto"/>
          <w:right w:val="single" w:sz="4" w:space="4" w:color="auto"/>
        </w:pBdr>
        <w:ind w:hanging="720"/>
        <w:contextualSpacing w:val="0"/>
        <w:rPr>
          <w:rFonts w:ascii="Times New Roman" w:hAnsi="Times New Roman" w:cs="Times New Roman"/>
          <w:b/>
          <w:bCs/>
          <w:noProof/>
          <w:sz w:val="24"/>
          <w:szCs w:val="24"/>
        </w:rPr>
      </w:pPr>
      <w:r>
        <w:rPr>
          <w:rFonts w:ascii="Times New Roman" w:hAnsi="Times New Roman"/>
          <w:b/>
          <w:noProof/>
          <w:sz w:val="24"/>
        </w:rPr>
        <w:t>A Bizottság</w:t>
      </w:r>
    </w:p>
    <w:p w14:paraId="1A792EAA" w14:textId="6342B6EE" w:rsidR="001E4235" w:rsidRPr="006107F8" w:rsidRDefault="001E4235"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Pr>
          <w:rFonts w:ascii="Times New Roman" w:hAnsi="Times New Roman"/>
          <w:noProof/>
          <w:sz w:val="24"/>
        </w:rPr>
        <w:t>2026-ban aktualizálja a munkahelyi sokszínűségre és befogadásra vonatkozó cselekvési tervet;</w:t>
      </w:r>
    </w:p>
    <w:p w14:paraId="31E58646" w14:textId="0316ADB9" w:rsidR="00C24968" w:rsidRPr="006107F8"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Pr>
          <w:rFonts w:ascii="Times New Roman" w:hAnsi="Times New Roman"/>
          <w:noProof/>
          <w:sz w:val="24"/>
        </w:rPr>
        <w:t>célzott esélyegyenlőségi képzést, mentorálást és coachingot biztosít valamennyi alkalmazottja számára, és ösztönzi az azokban való részvételt;</w:t>
      </w:r>
    </w:p>
    <w:p w14:paraId="177C0DDF" w14:textId="1D8A6FDF" w:rsidR="00FC3F20" w:rsidRPr="006107F8"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hAnsi="Times New Roman" w:cs="Times New Roman"/>
          <w:noProof/>
          <w:sz w:val="24"/>
          <w:szCs w:val="24"/>
        </w:rPr>
      </w:pPr>
      <w:r>
        <w:rPr>
          <w:rFonts w:ascii="Times New Roman" w:hAnsi="Times New Roman"/>
          <w:noProof/>
          <w:sz w:val="24"/>
        </w:rPr>
        <w:t>megkülönböztetéstől mentes munkakörnyezetet biztosít, és szigorúan végrehajtja a zaklatással szembeni zéró toleranciára vonatkozó stratégiáját;</w:t>
      </w:r>
    </w:p>
    <w:p w14:paraId="39054388" w14:textId="37569163" w:rsidR="00893D1A" w:rsidRPr="006107F8" w:rsidRDefault="00893D1A" w:rsidP="00893D1A">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Pr>
          <w:rFonts w:ascii="Times New Roman" w:hAnsi="Times New Roman"/>
          <w:noProof/>
          <w:sz w:val="24"/>
        </w:rPr>
        <w:t>továbbra is célzott tájékoztatási stratégiákat hajt végre a különböző etnikai hátterű jelöltek vonzása érdekében;</w:t>
      </w:r>
    </w:p>
    <w:p w14:paraId="6FEA70C8" w14:textId="0B7F887F" w:rsidR="00FC3F20" w:rsidRPr="006107F8"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hAnsi="Times New Roman" w:cs="Times New Roman"/>
          <w:noProof/>
          <w:sz w:val="24"/>
          <w:szCs w:val="24"/>
        </w:rPr>
      </w:pPr>
      <w:r>
        <w:rPr>
          <w:rFonts w:ascii="Times New Roman" w:hAnsi="Times New Roman"/>
          <w:noProof/>
          <w:sz w:val="24"/>
        </w:rPr>
        <w:t>adatokat gyűjt az egyenlőségre vonatkozóan, többek között a személyzet sokszínűségének és munkahelyi tapasztalatainak nyomon követésére irányuló felmérések révén.</w:t>
      </w:r>
    </w:p>
    <w:p w14:paraId="347FBB8F" w14:textId="77777777" w:rsidR="00D1312C" w:rsidRPr="006107F8" w:rsidRDefault="00D1312C" w:rsidP="00D1312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14:paraId="34A2C592" w14:textId="1802B6A0" w:rsidR="00BF6E0E" w:rsidRPr="006107F8" w:rsidRDefault="003E70D4" w:rsidP="00555191">
      <w:pPr>
        <w:pStyle w:val="ListParagraph"/>
        <w:pBdr>
          <w:top w:val="single" w:sz="4" w:space="1" w:color="auto"/>
          <w:left w:val="single" w:sz="4" w:space="4" w:color="auto"/>
          <w:bottom w:val="single" w:sz="4" w:space="1" w:color="auto"/>
          <w:right w:val="single" w:sz="4" w:space="4" w:color="auto"/>
        </w:pBdr>
        <w:spacing w:line="240" w:lineRule="auto"/>
        <w:ind w:left="0"/>
        <w:contextualSpacing w:val="0"/>
        <w:jc w:val="both"/>
        <w:rPr>
          <w:rFonts w:ascii="Times New Roman" w:hAnsi="Times New Roman" w:cs="Times New Roman"/>
          <w:b/>
          <w:noProof/>
          <w:sz w:val="24"/>
          <w:szCs w:val="24"/>
        </w:rPr>
      </w:pPr>
      <w:r>
        <w:rPr>
          <w:rFonts w:ascii="Times New Roman" w:hAnsi="Times New Roman"/>
          <w:b/>
          <w:noProof/>
          <w:sz w:val="24"/>
        </w:rPr>
        <w:t>A Bizottság arra ösztönzi a tagállamokat, hogy</w:t>
      </w:r>
    </w:p>
    <w:p w14:paraId="638248E1" w14:textId="36A43226" w:rsidR="00BF6E0E" w:rsidRPr="006107F8" w:rsidRDefault="003E70D4" w:rsidP="00555191">
      <w:pPr>
        <w:pStyle w:val="ListParagraph"/>
        <w:numPr>
          <w:ilvl w:val="0"/>
          <w:numId w:val="19"/>
        </w:numPr>
        <w:pBdr>
          <w:top w:val="single" w:sz="4" w:space="1" w:color="auto"/>
          <w:left w:val="single" w:sz="4" w:space="4" w:color="auto"/>
          <w:bottom w:val="single" w:sz="4" w:space="1" w:color="auto"/>
          <w:right w:val="single" w:sz="4" w:space="4" w:color="auto"/>
        </w:pBdr>
        <w:tabs>
          <w:tab w:val="left" w:pos="420"/>
        </w:tabs>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a közszférában alkalmazzanak zéró toleranciát a zaklatás eseteivel szemben;</w:t>
      </w:r>
    </w:p>
    <w:p w14:paraId="1832CD96" w14:textId="5424B69E" w:rsidR="00BF6E0E" w:rsidRPr="006107F8" w:rsidRDefault="00972C13" w:rsidP="00555191">
      <w:pPr>
        <w:pStyle w:val="ListParagraph"/>
        <w:numPr>
          <w:ilvl w:val="0"/>
          <w:numId w:val="19"/>
        </w:numPr>
        <w:pBdr>
          <w:top w:val="single" w:sz="4" w:space="1" w:color="auto"/>
          <w:left w:val="single" w:sz="4" w:space="4" w:color="auto"/>
          <w:bottom w:val="single" w:sz="4" w:space="1" w:color="auto"/>
          <w:right w:val="single" w:sz="4" w:space="4" w:color="auto"/>
        </w:pBdr>
        <w:tabs>
          <w:tab w:val="left" w:pos="420"/>
        </w:tabs>
        <w:spacing w:after="120" w:line="240" w:lineRule="auto"/>
        <w:ind w:left="357" w:hanging="357"/>
        <w:jc w:val="both"/>
        <w:rPr>
          <w:rFonts w:ascii="Times New Roman" w:hAnsi="Times New Roman" w:cs="Times New Roman"/>
          <w:noProof/>
          <w:sz w:val="24"/>
          <w:szCs w:val="24"/>
        </w:rPr>
      </w:pPr>
      <w:r>
        <w:rPr>
          <w:rFonts w:ascii="Times New Roman" w:hAnsi="Times New Roman"/>
          <w:noProof/>
          <w:sz w:val="24"/>
        </w:rPr>
        <w:t>valamennyi közalkalmazott számára biztosítsanak az elfogultság ellen, valamint a sokszínűség ösztönzésére irányuló szisztematikus képzést.</w:t>
      </w:r>
    </w:p>
    <w:p w14:paraId="7A281888" w14:textId="77777777" w:rsidR="005C5FFA" w:rsidRPr="006107F8" w:rsidRDefault="005C5FFA" w:rsidP="00590DF6">
      <w:pPr>
        <w:spacing w:after="0" w:line="240" w:lineRule="auto"/>
        <w:rPr>
          <w:rFonts w:ascii="Times New Roman" w:hAnsi="Times New Roman" w:cs="Times New Roman"/>
          <w:b/>
          <w:bCs/>
          <w:noProof/>
          <w:sz w:val="24"/>
          <w:szCs w:val="24"/>
        </w:rPr>
        <w:sectPr w:rsidR="005C5FFA" w:rsidRPr="006107F8" w:rsidSect="005C5FFA">
          <w:headerReference w:type="even" r:id="rId104"/>
          <w:headerReference w:type="default" r:id="rId105"/>
          <w:footerReference w:type="even" r:id="rId106"/>
          <w:footerReference w:type="default" r:id="rId107"/>
          <w:headerReference w:type="first" r:id="rId108"/>
          <w:footerReference w:type="first" r:id="rId109"/>
          <w:type w:val="continuous"/>
          <w:pgSz w:w="11906" w:h="16838"/>
          <w:pgMar w:top="1440" w:right="1440" w:bottom="1440" w:left="1440" w:header="708" w:footer="708" w:gutter="0"/>
          <w:cols w:space="720"/>
          <w:docGrid w:linePitch="360"/>
        </w:sectPr>
      </w:pPr>
    </w:p>
    <w:p w14:paraId="3B92C9DC" w14:textId="77777777" w:rsidR="00FC49F4" w:rsidRPr="006107F8" w:rsidRDefault="00FC49F4" w:rsidP="001536B5">
      <w:pPr>
        <w:tabs>
          <w:tab w:val="left" w:pos="3740"/>
        </w:tabs>
        <w:spacing w:after="0" w:line="240" w:lineRule="auto"/>
        <w:rPr>
          <w:rFonts w:ascii="Times New Roman" w:hAnsi="Times New Roman" w:cs="Times New Roman"/>
          <w:b/>
          <w:bCs/>
          <w:noProof/>
          <w:sz w:val="24"/>
          <w:szCs w:val="24"/>
        </w:rPr>
      </w:pPr>
    </w:p>
    <w:p w14:paraId="2586F6E3" w14:textId="0E4254EA" w:rsidR="00BF6E0E" w:rsidRPr="006107F8" w:rsidRDefault="003E70D4" w:rsidP="00C90233">
      <w:pPr>
        <w:spacing w:line="240" w:lineRule="auto"/>
        <w:rPr>
          <w:rFonts w:ascii="Times New Roman" w:hAnsi="Times New Roman" w:cs="Times New Roman"/>
          <w:b/>
          <w:noProof/>
          <w:sz w:val="24"/>
        </w:rPr>
      </w:pPr>
      <w:r>
        <w:rPr>
          <w:rFonts w:ascii="Times New Roman" w:hAnsi="Times New Roman"/>
          <w:b/>
          <w:noProof/>
          <w:sz w:val="24"/>
        </w:rPr>
        <w:t>KÖVETKEZTETÉS</w:t>
      </w:r>
    </w:p>
    <w:p w14:paraId="45BA21A1" w14:textId="54C2ECB1" w:rsidR="00BF6E0E" w:rsidRPr="006107F8" w:rsidRDefault="6EDC0851" w:rsidP="00C90233">
      <w:pPr>
        <w:spacing w:line="240" w:lineRule="auto"/>
        <w:jc w:val="both"/>
        <w:rPr>
          <w:rFonts w:ascii="Times New Roman" w:hAnsi="Times New Roman" w:cs="Times New Roman"/>
          <w:noProof/>
          <w:sz w:val="24"/>
          <w:szCs w:val="24"/>
        </w:rPr>
      </w:pPr>
      <w:r>
        <w:rPr>
          <w:rFonts w:ascii="Times New Roman" w:hAnsi="Times New Roman"/>
          <w:noProof/>
          <w:sz w:val="24"/>
        </w:rPr>
        <w:t>E stratégia döntő lépés a valódi egyenlőségközpontú Unió megvalósítása felé, ahol mindenki nyugodt életet élhet, vezető szerepet tölthet be és boldogulhat anélkül, hogy rasszizmus célpontjává válna, legyen szó a feketék és az ázsiaiak elleni rasszizmusról, a cigányellenességről, az antiszemitizmusról és a muszlimellenes gyűlöletről. A stratégia átfogó keretet biztosít a rasszizmus, az interperszonális és strukturális rasszizmus, a faji megkülönböztetés, a gyűlölet-bűncselekmények és az erőszak valamennyi formája elleni küzdelemhez, és konkrét, európai, nemzeti és helyi szinten végrehajtandó intézkedéseket javasol.</w:t>
      </w:r>
    </w:p>
    <w:p w14:paraId="10A8FC0D" w14:textId="12C56D6B" w:rsidR="00BF6E0E" w:rsidRPr="006107F8" w:rsidRDefault="00A47158" w:rsidP="00366F8E">
      <w:pPr>
        <w:spacing w:line="240" w:lineRule="auto"/>
        <w:jc w:val="both"/>
        <w:rPr>
          <w:rFonts w:ascii="Times New Roman" w:hAnsi="Times New Roman" w:cs="Times New Roman"/>
          <w:noProof/>
          <w:sz w:val="24"/>
          <w:szCs w:val="24"/>
        </w:rPr>
      </w:pPr>
      <w:r>
        <w:rPr>
          <w:rFonts w:ascii="Times New Roman" w:hAnsi="Times New Roman"/>
          <w:noProof/>
          <w:sz w:val="24"/>
        </w:rPr>
        <w:t>A rasszizmus elleni stratégia előterjesztésével a Bizottság kötelezettséget vállal arra, hogy holisztikus módon küzd a rasszizmus ellen azáltal, hogy általánosan érvényesíti a rasszizmus elleni küzdelem szempontjait az uniós szakpolitikákban, és rendszeresen együttműködik az érdekelt felekkel. Ahhoz, hogy eredményeket érjünk el, minden szinten egységes erőfeszítésre van szükség. Az európai intézményeknek és ügynökségeknek, a tagállamoknak, a regionális és helyi hatóságoknak, az egyenlőséggel foglalkozó szerveknek, a magánszektornak és a civil társadalomnak aktívan részt kell venniük e folyamatban, és konkrét intézkedéseket kell hozniuk.</w:t>
      </w:r>
    </w:p>
    <w:p w14:paraId="7817D0F0" w14:textId="69B142FF" w:rsidR="00BF6E0E" w:rsidRPr="006107F8" w:rsidRDefault="003E70D4" w:rsidP="00366F8E">
      <w:pPr>
        <w:spacing w:line="240" w:lineRule="auto"/>
        <w:jc w:val="both"/>
        <w:rPr>
          <w:rFonts w:ascii="Times New Roman" w:hAnsi="Times New Roman" w:cs="Times New Roman"/>
          <w:noProof/>
          <w:sz w:val="24"/>
          <w:szCs w:val="24"/>
        </w:rPr>
      </w:pPr>
      <w:r>
        <w:rPr>
          <w:rFonts w:ascii="Times New Roman" w:hAnsi="Times New Roman"/>
          <w:noProof/>
          <w:sz w:val="24"/>
        </w:rPr>
        <w:t>A rasszizmus ellentétes az EU alapját képező alapvető értékekkel, és roncsolja az EU társadalmi-gazdasági kohézióját. Annak biztosításával, hogy hátterétől függetlenül mindenki egyenlő esélyekhez jusson az oktatás, a foglalkoztatás és a társadalmi részvétel terén, az EU maximalizálja a polgáraiban rejlő potenciált. A sokszínű és befogadó környezet előmozdítja az innovációt, a kreativitást és a problémamegoldást, amelyek döntő tényezők a gazdasági növekedés szempontjából. Emellett az egyenlőség előmozdítása és a rasszizmus elleni küzdelem hozzájárul a beruházások és a tehetségek vonzásához, javítva az EU versenyképességét az egyre inkább összekapcsolt és sokszínű globális piacon.</w:t>
      </w:r>
    </w:p>
    <w:p w14:paraId="44B76D04" w14:textId="6946C768" w:rsidR="00BF6E0E" w:rsidRPr="006107F8" w:rsidRDefault="003E70D4" w:rsidP="00366F8E">
      <w:pPr>
        <w:spacing w:line="240" w:lineRule="auto"/>
        <w:jc w:val="both"/>
        <w:rPr>
          <w:rFonts w:ascii="Times New Roman" w:hAnsi="Times New Roman" w:cs="Times New Roman"/>
          <w:noProof/>
          <w:sz w:val="24"/>
          <w:szCs w:val="24"/>
        </w:rPr>
      </w:pPr>
      <w:r>
        <w:rPr>
          <w:rFonts w:ascii="Times New Roman" w:hAnsi="Times New Roman"/>
          <w:noProof/>
          <w:sz w:val="24"/>
        </w:rPr>
        <w:t xml:space="preserve">A Bizottság felkéri az Európai Parlamentet és a Tanácsot, hogy támogassák e stratégia végrehajtását. Emellett az Európai Bizottság felkéri a Régiók Bizottságát és az Európai Gazdasági és Szociális Bizottságot, hogy ültessék egy asztalhoz a helyi és regionális önkormányzatokat, a szociális partnereket és a civil társadalmat annak megvitatása érdekében, hogy miként lehetne előmozdítani a rasszizmus elleni küzdelmet. </w:t>
      </w:r>
    </w:p>
    <w:p w14:paraId="1FAFF4C0" w14:textId="5B5CD79E" w:rsidR="00BF6E0E" w:rsidRPr="006F7F1A" w:rsidRDefault="58A606F8" w:rsidP="00366F8E">
      <w:pPr>
        <w:spacing w:line="240" w:lineRule="auto"/>
        <w:jc w:val="both"/>
        <w:rPr>
          <w:rFonts w:ascii="Times New Roman" w:hAnsi="Times New Roman" w:cs="Times New Roman"/>
          <w:noProof/>
          <w:sz w:val="24"/>
          <w:szCs w:val="24"/>
        </w:rPr>
      </w:pPr>
      <w:r>
        <w:rPr>
          <w:rFonts w:ascii="Times New Roman" w:hAnsi="Times New Roman"/>
          <w:noProof/>
          <w:sz w:val="24"/>
        </w:rPr>
        <w:t>A Bizottság nyomon fogja követni az e stratégiában ismertetett intézkedések végrehajtását, és félidős jelentést készít majd.</w:t>
      </w:r>
    </w:p>
    <w:sectPr w:rsidR="00BF6E0E" w:rsidRPr="006F7F1A" w:rsidSect="00F14238">
      <w:headerReference w:type="even" r:id="rId110"/>
      <w:headerReference w:type="default" r:id="rId111"/>
      <w:footerReference w:type="even" r:id="rId112"/>
      <w:footerReference w:type="default" r:id="rId113"/>
      <w:headerReference w:type="first" r:id="rId114"/>
      <w:footerReference w:type="first" r:id="rId115"/>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0ACDB" w14:textId="77777777" w:rsidR="000C495A" w:rsidRDefault="000C495A">
      <w:pPr>
        <w:spacing w:line="240" w:lineRule="auto"/>
      </w:pPr>
      <w:r>
        <w:separator/>
      </w:r>
    </w:p>
  </w:endnote>
  <w:endnote w:type="continuationSeparator" w:id="0">
    <w:p w14:paraId="5D885A9B" w14:textId="77777777" w:rsidR="000C495A" w:rsidRDefault="000C495A">
      <w:pPr>
        <w:spacing w:line="240" w:lineRule="auto"/>
      </w:pPr>
      <w:r>
        <w:continuationSeparator/>
      </w:r>
    </w:p>
  </w:endnote>
  <w:endnote w:type="continuationNotice" w:id="1">
    <w:p w14:paraId="1452BE36" w14:textId="77777777" w:rsidR="000C495A" w:rsidRDefault="000C49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D8769" w14:textId="260853B7" w:rsidR="002A2434" w:rsidRPr="002A2434" w:rsidRDefault="002A2434" w:rsidP="002A2434">
    <w:pPr>
      <w:pStyle w:val="FooterCoverPage"/>
      <w:rPr>
        <w:rFonts w:ascii="Arial" w:hAnsi="Arial" w:cs="Arial"/>
        <w:b/>
        <w:sz w:val="48"/>
      </w:rPr>
    </w:pPr>
    <w:r w:rsidRPr="002A2434">
      <w:rPr>
        <w:rFonts w:ascii="Arial" w:hAnsi="Arial" w:cs="Arial"/>
        <w:b/>
        <w:sz w:val="48"/>
      </w:rPr>
      <w:t>HU</w:t>
    </w:r>
    <w:r w:rsidRPr="002A2434">
      <w:rPr>
        <w:rFonts w:ascii="Arial" w:hAnsi="Arial" w:cs="Arial"/>
        <w:b/>
        <w:sz w:val="48"/>
      </w:rPr>
      <w:tab/>
    </w:r>
    <w:r w:rsidRPr="002A2434">
      <w:rPr>
        <w:rFonts w:ascii="Arial" w:hAnsi="Arial" w:cs="Arial"/>
        <w:b/>
        <w:sz w:val="48"/>
      </w:rPr>
      <w:tab/>
    </w:r>
    <w:r w:rsidRPr="002A2434">
      <w:tab/>
    </w:r>
    <w:r w:rsidRPr="002A2434">
      <w:rPr>
        <w:rFonts w:ascii="Arial" w:hAnsi="Arial" w:cs="Arial"/>
        <w:b/>
        <w:sz w:val="48"/>
      </w:rPr>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D2560" w14:textId="662BAAFF" w:rsidR="002A2434" w:rsidRPr="002A2434" w:rsidRDefault="002A2434" w:rsidP="002A2434">
    <w:pPr>
      <w:pStyle w:val="FooterCoverPage"/>
      <w:rPr>
        <w:rFonts w:ascii="Arial" w:hAnsi="Arial" w:cs="Arial"/>
        <w:b/>
        <w:sz w:val="48"/>
      </w:rPr>
    </w:pPr>
    <w:r w:rsidRPr="002A2434">
      <w:rPr>
        <w:rFonts w:ascii="Arial" w:hAnsi="Arial" w:cs="Arial"/>
        <w:b/>
        <w:sz w:val="48"/>
      </w:rPr>
      <w:t>HU</w:t>
    </w:r>
    <w:r w:rsidRPr="002A2434">
      <w:rPr>
        <w:rFonts w:ascii="Arial" w:hAnsi="Arial" w:cs="Arial"/>
        <w:b/>
        <w:sz w:val="48"/>
      </w:rPr>
      <w:tab/>
    </w:r>
    <w:r w:rsidRPr="002A2434">
      <w:rPr>
        <w:rFonts w:ascii="Arial" w:hAnsi="Arial" w:cs="Arial"/>
        <w:b/>
        <w:sz w:val="48"/>
      </w:rPr>
      <w:tab/>
    </w:r>
    <w:r w:rsidRPr="002A2434">
      <w:tab/>
    </w:r>
    <w:r w:rsidRPr="002A2434">
      <w:rPr>
        <w:rFonts w:ascii="Arial" w:hAnsi="Arial" w:cs="Arial"/>
        <w:b/>
        <w:sz w:val="48"/>
      </w:rPr>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CBA21" w14:textId="77777777" w:rsidR="002A2434" w:rsidRPr="002A2434" w:rsidRDefault="002A2434" w:rsidP="002A243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E849D" w14:textId="77777777" w:rsidR="00BF6E0E" w:rsidRDefault="00BF6E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83191"/>
      <w:docPartObj>
        <w:docPartGallery w:val="Page Numbers (Bottom of Page)"/>
        <w:docPartUnique/>
      </w:docPartObj>
    </w:sdtPr>
    <w:sdtEndPr>
      <w:rPr>
        <w:noProof/>
      </w:rPr>
    </w:sdtEndPr>
    <w:sdtContent>
      <w:p w14:paraId="27B22B97" w14:textId="72E40581" w:rsidR="00AF2CBE" w:rsidRDefault="00AF2CBE">
        <w:pPr>
          <w:pStyle w:val="Footer"/>
          <w:jc w:val="right"/>
        </w:pPr>
        <w:r>
          <w:fldChar w:fldCharType="begin"/>
        </w:r>
        <w:r>
          <w:instrText xml:space="preserve"> PAGE   \* MERGEFORMAT </w:instrText>
        </w:r>
        <w:r>
          <w:fldChar w:fldCharType="separate"/>
        </w:r>
        <w:r w:rsidR="002A2434">
          <w:rPr>
            <w:noProof/>
          </w:rPr>
          <w:t>1</w:t>
        </w:r>
        <w:r>
          <w:fldChar w:fldCharType="end"/>
        </w:r>
      </w:p>
    </w:sdtContent>
  </w:sdt>
  <w:p w14:paraId="793F0E4D" w14:textId="77777777" w:rsidR="00BF6E0E" w:rsidRDefault="00BF6E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74467" w14:textId="77777777" w:rsidR="00BF6E0E" w:rsidRDefault="00BF6E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0F889" w14:textId="77777777" w:rsidR="00BF6E0E" w:rsidRDefault="00BF6E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864573"/>
      <w:docPartObj>
        <w:docPartGallery w:val="Page Numbers (Bottom of Page)"/>
        <w:docPartUnique/>
      </w:docPartObj>
    </w:sdtPr>
    <w:sdtEndPr>
      <w:rPr>
        <w:noProof/>
      </w:rPr>
    </w:sdtEndPr>
    <w:sdtContent>
      <w:p w14:paraId="4F36581F" w14:textId="0B40B924" w:rsidR="00AF2CBE" w:rsidRDefault="00AF2CBE">
        <w:pPr>
          <w:pStyle w:val="Footer"/>
          <w:jc w:val="right"/>
        </w:pPr>
        <w:r>
          <w:fldChar w:fldCharType="begin"/>
        </w:r>
        <w:r>
          <w:instrText xml:space="preserve"> PAGE   \* MERGEFORMAT </w:instrText>
        </w:r>
        <w:r>
          <w:fldChar w:fldCharType="separate"/>
        </w:r>
        <w:r>
          <w:t>2</w:t>
        </w:r>
        <w:r>
          <w:fldChar w:fldCharType="end"/>
        </w:r>
      </w:p>
    </w:sdtContent>
  </w:sdt>
  <w:p w14:paraId="4F38AF7A" w14:textId="77777777" w:rsidR="00BF6E0E" w:rsidRDefault="00BF6E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171E" w14:textId="77777777" w:rsidR="00BF6E0E" w:rsidRDefault="00BF6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A0394" w14:textId="77777777" w:rsidR="000C495A" w:rsidRDefault="000C495A">
      <w:pPr>
        <w:spacing w:after="0"/>
      </w:pPr>
      <w:r>
        <w:separator/>
      </w:r>
    </w:p>
  </w:footnote>
  <w:footnote w:type="continuationSeparator" w:id="0">
    <w:p w14:paraId="53F708CC" w14:textId="77777777" w:rsidR="000C495A" w:rsidRDefault="000C495A">
      <w:pPr>
        <w:spacing w:after="0"/>
      </w:pPr>
      <w:r>
        <w:continuationSeparator/>
      </w:r>
    </w:p>
  </w:footnote>
  <w:footnote w:type="continuationNotice" w:id="1">
    <w:p w14:paraId="33CA2B06" w14:textId="77777777" w:rsidR="000C495A" w:rsidRDefault="000C495A">
      <w:pPr>
        <w:spacing w:after="0" w:line="240" w:lineRule="auto"/>
      </w:pPr>
    </w:p>
  </w:footnote>
  <w:footnote w:id="2">
    <w:p w14:paraId="1F0FC477" w14:textId="77777777" w:rsidR="00BF6E0E" w:rsidRPr="006F7F1A" w:rsidRDefault="003E70D4" w:rsidP="003D7104">
      <w:pPr>
        <w:pStyle w:val="FootnoteText"/>
        <w:snapToGrid w:val="0"/>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1" w:history="1">
        <w:r>
          <w:rPr>
            <w:rStyle w:val="Hyperlink"/>
            <w:rFonts w:ascii="Times New Roman" w:hAnsi="Times New Roman"/>
            <w:sz w:val="16"/>
          </w:rPr>
          <w:t>Az Európai Unióról szóló szerződés (EUSZ) 2. cikke</w:t>
        </w:r>
      </w:hyperlink>
      <w:r>
        <w:t>.</w:t>
      </w:r>
    </w:p>
  </w:footnote>
  <w:footnote w:id="3">
    <w:p w14:paraId="514B5548" w14:textId="5690A815" w:rsidR="006A5092" w:rsidRPr="006F7F1A" w:rsidRDefault="006A5092" w:rsidP="003D710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További részletekért lásd: </w:t>
      </w:r>
      <w:hyperlink r:id="rId2" w:history="1">
        <w:r>
          <w:rPr>
            <w:rStyle w:val="Hyperlink"/>
            <w:rFonts w:ascii="Times New Roman" w:hAnsi="Times New Roman"/>
            <w:sz w:val="16"/>
          </w:rPr>
          <w:t>Végrehajtási jelentés a rasszizmus elleni cselekvési tervről</w:t>
        </w:r>
      </w:hyperlink>
      <w:r>
        <w:t>.</w:t>
      </w:r>
    </w:p>
  </w:footnote>
  <w:footnote w:id="4">
    <w:p w14:paraId="6A8FF2BF" w14:textId="16B505F7" w:rsidR="00BB2741" w:rsidRPr="00BB2741" w:rsidRDefault="00BB2741" w:rsidP="003D710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3" w:history="1">
        <w:r>
          <w:rPr>
            <w:rStyle w:val="Hyperlink"/>
            <w:rFonts w:ascii="Times New Roman" w:hAnsi="Times New Roman"/>
            <w:sz w:val="16"/>
          </w:rPr>
          <w:t>Eurobarométer felmérés</w:t>
        </w:r>
      </w:hyperlink>
      <w:r>
        <w:t xml:space="preserve"> – </w:t>
      </w:r>
      <w:r>
        <w:rPr>
          <w:rFonts w:ascii="Times New Roman" w:hAnsi="Times New Roman"/>
          <w:sz w:val="16"/>
        </w:rPr>
        <w:t>Hátrányos megkülönböztetés az Európai Unióban, 2023</w:t>
      </w:r>
      <w:r>
        <w:t>.</w:t>
      </w:r>
    </w:p>
  </w:footnote>
  <w:footnote w:id="5">
    <w:p w14:paraId="59DF4007" w14:textId="753D0CE7" w:rsidR="2A4AA904" w:rsidRPr="006F7F1A" w:rsidRDefault="2A4AA904" w:rsidP="003D710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
        <w:r>
          <w:rPr>
            <w:rStyle w:val="Hyperlink"/>
            <w:rFonts w:ascii="Times New Roman" w:hAnsi="Times New Roman"/>
            <w:sz w:val="16"/>
          </w:rPr>
          <w:t>Az Európai Parlament 2022. november 10-i állásfoglalása:</w:t>
        </w:r>
      </w:hyperlink>
      <w:hyperlink r:id="rId5">
        <w:r>
          <w:rPr>
            <w:rStyle w:val="Hyperlink"/>
            <w:rFonts w:ascii="Times New Roman" w:hAnsi="Times New Roman"/>
            <w:sz w:val="16"/>
          </w:rPr>
          <w:t xml:space="preserve"> Faji igazságosság, megkülönböztetésmentesség és rasszizmus elleni küzdelem az EU-ban (2022)0389</w:t>
        </w:r>
      </w:hyperlink>
      <w:r>
        <w:t>.</w:t>
      </w:r>
    </w:p>
  </w:footnote>
  <w:footnote w:id="6">
    <w:p w14:paraId="0A657AA7" w14:textId="06A3AD13" w:rsidR="2A4AA904" w:rsidRPr="006923E0" w:rsidRDefault="2A4AA904" w:rsidP="003D710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Lásd például </w:t>
      </w:r>
      <w:hyperlink r:id="rId6" w:history="1">
        <w:r>
          <w:rPr>
            <w:rStyle w:val="Hyperlink"/>
            <w:rFonts w:ascii="Times New Roman" w:hAnsi="Times New Roman"/>
            <w:sz w:val="16"/>
          </w:rPr>
          <w:t>a rasszizmus és az antiszemitizmus elleni küzdelemről szóló tanácsi következtetéseket</w:t>
        </w:r>
      </w:hyperlink>
      <w:r>
        <w:rPr>
          <w:rFonts w:ascii="Times New Roman" w:hAnsi="Times New Roman"/>
          <w:sz w:val="16"/>
        </w:rPr>
        <w:t xml:space="preserve">, </w:t>
      </w:r>
      <w:hyperlink r:id="rId7" w:history="1">
        <w:r>
          <w:rPr>
            <w:rStyle w:val="Hyperlink"/>
            <w:rFonts w:ascii="Times New Roman" w:hAnsi="Times New Roman"/>
            <w:sz w:val="16"/>
          </w:rPr>
          <w:t>az Európai Tanács 2025. december 18-i következtetéseit</w:t>
        </w:r>
      </w:hyperlink>
      <w:r>
        <w:t>,</w:t>
      </w:r>
      <w:r>
        <w:rPr>
          <w:rFonts w:ascii="Times New Roman" w:hAnsi="Times New Roman"/>
          <w:sz w:val="16"/>
        </w:rPr>
        <w:t xml:space="preserve"> valamint </w:t>
      </w:r>
      <w:hyperlink r:id="rId8">
        <w:r>
          <w:rPr>
            <w:rStyle w:val="Hyperlink"/>
            <w:rFonts w:ascii="Times New Roman" w:hAnsi="Times New Roman"/>
            <w:sz w:val="16"/>
          </w:rPr>
          <w:t>a Bel- és Igazságügyi Tanács (Igazságügy)</w:t>
        </w:r>
      </w:hyperlink>
      <w:r>
        <w:rPr>
          <w:rFonts w:ascii="Times New Roman" w:hAnsi="Times New Roman"/>
          <w:sz w:val="16"/>
        </w:rPr>
        <w:t xml:space="preserve"> keretében folytatott eszmecseréket – </w:t>
      </w:r>
      <w:hyperlink r:id="rId9" w:history="1">
        <w:r>
          <w:rPr>
            <w:rStyle w:val="Hyperlink"/>
            <w:rFonts w:ascii="Times New Roman" w:hAnsi="Times New Roman"/>
            <w:sz w:val="16"/>
          </w:rPr>
          <w:t>Foglalkoztatási, Szociálpolitikai, Egészségügyi és Fogyasztóvédelmi Tanács</w:t>
        </w:r>
      </w:hyperlink>
      <w:r>
        <w:t>.</w:t>
      </w:r>
    </w:p>
  </w:footnote>
  <w:footnote w:id="7">
    <w:p w14:paraId="0E725C3A" w14:textId="7DFD0E53" w:rsidR="00DB26D5" w:rsidRPr="00CB395D" w:rsidRDefault="00DB26D5" w:rsidP="00CB395D">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Az Európai Unió működéséről szóló szerződés 67. cikkének (3) bekezdése: Az Unió a bűncselekmények, a rasszizmus és az idegengyűlölet megelőzésére és leküzdésére irányuló intézkedésekkel […] a biztonság magas szintjének garantálásán munkálkodik.</w:t>
      </w:r>
    </w:p>
  </w:footnote>
  <w:footnote w:id="8">
    <w:p w14:paraId="1034A430" w14:textId="50336D9F" w:rsidR="007123CB" w:rsidRPr="005B0D7E" w:rsidRDefault="007123CB" w:rsidP="00CB395D">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 faji vagy etnikai származáson alapuló megkülönböztetés együtt járhat más jellemzőkhöz vagy identitásokhoz, például nemhez, fogyatékossághoz, életkorhoz, valláshoz vagy meggyőződéshez, szexuális irányultsághoz, nemi identitáshoz, társadalmi-gazdasági háttérhez/státuszhoz kapcsolódó megkülönböztetéssel, tovább súlyosbítva a hátrányokat. A migránsok ellen irányuló gyűlölet gyakran rasszizmussal jár együtt, és erősíti azt.</w:t>
      </w:r>
    </w:p>
  </w:footnote>
  <w:footnote w:id="9">
    <w:p w14:paraId="0BD71C95" w14:textId="5230A901" w:rsidR="6E969E13" w:rsidRPr="006F7F1A" w:rsidRDefault="6E969E13" w:rsidP="003D710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Többek között a </w:t>
      </w:r>
      <w:hyperlink r:id="rId10" w:history="1">
        <w:r>
          <w:rPr>
            <w:rStyle w:val="Hyperlink"/>
            <w:rFonts w:ascii="Times New Roman" w:hAnsi="Times New Roman"/>
            <w:sz w:val="16"/>
          </w:rPr>
          <w:t>romákról</w:t>
        </w:r>
      </w:hyperlink>
      <w:r>
        <w:rPr>
          <w:rFonts w:ascii="Times New Roman" w:hAnsi="Times New Roman"/>
          <w:sz w:val="16"/>
        </w:rPr>
        <w:t xml:space="preserve">, </w:t>
      </w:r>
      <w:hyperlink r:id="rId11" w:history="1">
        <w:r>
          <w:rPr>
            <w:rStyle w:val="Hyperlink"/>
            <w:rFonts w:ascii="Times New Roman" w:hAnsi="Times New Roman"/>
            <w:sz w:val="16"/>
          </w:rPr>
          <w:t>az antiszemitizmus elleni küzdelemről és a zsidó élet előmozdításáról</w:t>
        </w:r>
      </w:hyperlink>
      <w:r>
        <w:rPr>
          <w:rFonts w:ascii="Times New Roman" w:hAnsi="Times New Roman"/>
          <w:sz w:val="16"/>
        </w:rPr>
        <w:t xml:space="preserve">, </w:t>
      </w:r>
      <w:hyperlink r:id="rId12" w:history="1">
        <w:r>
          <w:rPr>
            <w:rStyle w:val="Hyperlink"/>
            <w:rFonts w:ascii="Times New Roman" w:hAnsi="Times New Roman"/>
            <w:sz w:val="16"/>
          </w:rPr>
          <w:t>a nemek közötti egyenlőségről</w:t>
        </w:r>
      </w:hyperlink>
      <w:r>
        <w:rPr>
          <w:rFonts w:ascii="Times New Roman" w:hAnsi="Times New Roman"/>
          <w:sz w:val="16"/>
        </w:rPr>
        <w:t xml:space="preserve">, </w:t>
      </w:r>
      <w:hyperlink r:id="rId13" w:history="1">
        <w:r>
          <w:rPr>
            <w:rStyle w:val="Hyperlink"/>
            <w:rFonts w:ascii="Times New Roman" w:hAnsi="Times New Roman"/>
            <w:sz w:val="16"/>
          </w:rPr>
          <w:t>az LMBTIQ-személyek egyenlőségéről</w:t>
        </w:r>
      </w:hyperlink>
      <w:r>
        <w:rPr>
          <w:rFonts w:ascii="Times New Roman" w:hAnsi="Times New Roman"/>
          <w:sz w:val="16"/>
        </w:rPr>
        <w:t xml:space="preserve">, </w:t>
      </w:r>
      <w:hyperlink r:id="rId14" w:history="1">
        <w:r>
          <w:rPr>
            <w:rStyle w:val="Hyperlink"/>
            <w:rFonts w:ascii="Times New Roman" w:hAnsi="Times New Roman"/>
            <w:sz w:val="16"/>
          </w:rPr>
          <w:t>a fogyatékossággal élő személyek jogairól</w:t>
        </w:r>
      </w:hyperlink>
      <w:r>
        <w:rPr>
          <w:rFonts w:ascii="Times New Roman" w:hAnsi="Times New Roman"/>
          <w:sz w:val="16"/>
        </w:rPr>
        <w:t xml:space="preserve">, </w:t>
      </w:r>
      <w:hyperlink r:id="rId15" w:history="1">
        <w:r>
          <w:rPr>
            <w:rStyle w:val="Hyperlink"/>
            <w:rFonts w:ascii="Times New Roman" w:hAnsi="Times New Roman"/>
            <w:sz w:val="16"/>
          </w:rPr>
          <w:t>a muszlimellenes gyűlölet elleni küzdelemről</w:t>
        </w:r>
      </w:hyperlink>
      <w:r>
        <w:rPr>
          <w:rFonts w:ascii="Times New Roman" w:hAnsi="Times New Roman"/>
          <w:sz w:val="16"/>
        </w:rPr>
        <w:t xml:space="preserve">, </w:t>
      </w:r>
      <w:hyperlink r:id="rId16" w:history="1">
        <w:r>
          <w:rPr>
            <w:rStyle w:val="Hyperlink"/>
            <w:rFonts w:ascii="Times New Roman" w:hAnsi="Times New Roman"/>
            <w:sz w:val="16"/>
          </w:rPr>
          <w:t>a gyűlölet elleni küzdelemről</w:t>
        </w:r>
      </w:hyperlink>
      <w:r>
        <w:rPr>
          <w:rFonts w:ascii="Times New Roman" w:hAnsi="Times New Roman"/>
          <w:sz w:val="16"/>
        </w:rPr>
        <w:t xml:space="preserve">, </w:t>
      </w:r>
      <w:hyperlink r:id="rId17" w:history="1">
        <w:r>
          <w:rPr>
            <w:rStyle w:val="Hyperlink"/>
            <w:rFonts w:ascii="Times New Roman" w:hAnsi="Times New Roman"/>
            <w:sz w:val="16"/>
          </w:rPr>
          <w:t>az integrációról és a befogadásról</w:t>
        </w:r>
      </w:hyperlink>
      <w:r>
        <w:rPr>
          <w:rFonts w:ascii="Times New Roman" w:hAnsi="Times New Roman"/>
          <w:sz w:val="16"/>
        </w:rPr>
        <w:t xml:space="preserve">, </w:t>
      </w:r>
      <w:hyperlink r:id="rId18" w:history="1">
        <w:r>
          <w:rPr>
            <w:rStyle w:val="Hyperlink"/>
            <w:rFonts w:ascii="Times New Roman" w:hAnsi="Times New Roman"/>
            <w:sz w:val="16"/>
          </w:rPr>
          <w:t>a gyermekek jogairól</w:t>
        </w:r>
      </w:hyperlink>
      <w:r>
        <w:rPr>
          <w:rFonts w:ascii="Times New Roman" w:hAnsi="Times New Roman"/>
          <w:sz w:val="16"/>
        </w:rPr>
        <w:t xml:space="preserve">, valamint </w:t>
      </w:r>
      <w:hyperlink r:id="rId19" w:history="1">
        <w:r>
          <w:rPr>
            <w:rStyle w:val="Hyperlink"/>
            <w:rFonts w:ascii="Times New Roman" w:hAnsi="Times New Roman"/>
            <w:sz w:val="16"/>
          </w:rPr>
          <w:t>a megfizethető lakhatásról</w:t>
        </w:r>
      </w:hyperlink>
      <w:r>
        <w:rPr>
          <w:rFonts w:ascii="Times New Roman" w:hAnsi="Times New Roman"/>
          <w:sz w:val="16"/>
        </w:rPr>
        <w:t xml:space="preserve">, </w:t>
      </w:r>
      <w:hyperlink r:id="rId20" w:anchor=":~:text=One%20in%20five%20adults%20struggle,thanks%20to%20its%20competitive%20economy." w:history="1">
        <w:r>
          <w:rPr>
            <w:rStyle w:val="Hyperlink"/>
            <w:rFonts w:ascii="Times New Roman" w:hAnsi="Times New Roman"/>
            <w:sz w:val="16"/>
          </w:rPr>
          <w:t>a minőségi munkahelyekről</w:t>
        </w:r>
      </w:hyperlink>
      <w:r>
        <w:rPr>
          <w:rFonts w:ascii="Times New Roman" w:hAnsi="Times New Roman"/>
          <w:sz w:val="16"/>
        </w:rPr>
        <w:t xml:space="preserve">, </w:t>
      </w:r>
      <w:hyperlink r:id="rId21" w:history="1">
        <w:r>
          <w:rPr>
            <w:rStyle w:val="Hyperlink"/>
            <w:rFonts w:ascii="Times New Roman" w:hAnsi="Times New Roman"/>
            <w:sz w:val="16"/>
          </w:rPr>
          <w:t>a szegénység elleni küzdelemről</w:t>
        </w:r>
      </w:hyperlink>
      <w:r>
        <w:rPr>
          <w:rFonts w:ascii="Times New Roman" w:hAnsi="Times New Roman"/>
          <w:sz w:val="16"/>
        </w:rPr>
        <w:t xml:space="preserve"> és </w:t>
      </w:r>
      <w:hyperlink r:id="rId22" w:history="1">
        <w:r>
          <w:rPr>
            <w:rStyle w:val="Hyperlink"/>
            <w:rFonts w:ascii="Times New Roman" w:hAnsi="Times New Roman"/>
            <w:sz w:val="16"/>
          </w:rPr>
          <w:t>a civil társadalomról</w:t>
        </w:r>
      </w:hyperlink>
      <w:r>
        <w:rPr>
          <w:rFonts w:ascii="Times New Roman" w:hAnsi="Times New Roman"/>
          <w:sz w:val="16"/>
        </w:rPr>
        <w:t xml:space="preserve"> szóló kezdeményezéshez.</w:t>
      </w:r>
    </w:p>
  </w:footnote>
  <w:footnote w:id="10">
    <w:p w14:paraId="6F06F17B" w14:textId="15D0A47B" w:rsidR="00AF2CBE" w:rsidRPr="006F7F1A" w:rsidRDefault="00AF2CBE" w:rsidP="003D7104">
      <w:pPr>
        <w:spacing w:after="0" w:line="240" w:lineRule="auto"/>
        <w:jc w:val="both"/>
        <w:rPr>
          <w:rFonts w:ascii="Times New Roman" w:hAnsi="Times New Roman" w:cs="Times New Roman"/>
          <w:sz w:val="16"/>
          <w:szCs w:val="16"/>
        </w:rPr>
      </w:pPr>
      <w:r>
        <w:rPr>
          <w:rStyle w:val="FootnoteReference"/>
          <w:rFonts w:ascii="Times New Roman" w:eastAsia="Times New Roman" w:hAnsi="Times New Roman" w:cs="Times New Roman"/>
          <w:sz w:val="16"/>
          <w:szCs w:val="16"/>
        </w:rPr>
        <w:footnoteRef/>
      </w:r>
      <w:r>
        <w:rPr>
          <w:rFonts w:ascii="Times New Roman" w:hAnsi="Times New Roman"/>
          <w:sz w:val="16"/>
        </w:rPr>
        <w:t xml:space="preserve"> </w:t>
      </w:r>
      <w:hyperlink r:id="rId23" w:history="1">
        <w:r>
          <w:rPr>
            <w:rStyle w:val="Hyperlink"/>
            <w:rFonts w:ascii="Times New Roman" w:hAnsi="Times New Roman"/>
            <w:sz w:val="16"/>
          </w:rPr>
          <w:t>Ossza meg velünk véleményét:</w:t>
        </w:r>
      </w:hyperlink>
      <w:hyperlink r:id="rId24" w:history="1">
        <w:r>
          <w:rPr>
            <w:rStyle w:val="Hyperlink"/>
            <w:rFonts w:ascii="Times New Roman" w:hAnsi="Times New Roman"/>
            <w:sz w:val="16"/>
          </w:rPr>
          <w:t xml:space="preserve"> Rasszizmus elleni stratégia</w:t>
        </w:r>
      </w:hyperlink>
      <w:r>
        <w:rPr>
          <w:rFonts w:ascii="Times New Roman" w:hAnsi="Times New Roman"/>
          <w:sz w:val="16"/>
        </w:rPr>
        <w:t xml:space="preserve"> – véleményezési felhívás és nyilvános konzultáció. A Bizottság az ifjúsági szempontú ellenőrzés keretében konzultált az ifjúsági civil társadalmi szervezetekkel is.</w:t>
      </w:r>
    </w:p>
  </w:footnote>
  <w:footnote w:id="11">
    <w:p w14:paraId="7990BFA2" w14:textId="5C67C5CF" w:rsidR="00DE443C" w:rsidRPr="006F7F1A" w:rsidRDefault="00DE443C" w:rsidP="003D710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 „faji és etnikai származásra” való hivatkozás összhangban van az uniós és nemzetközi jogi terminológiával. A Bizottság azonban azt az általános felfogást hangsúlyozza, hogy a „faj” kizárólag társadalmilag konstruált fogalom, és elutasítja a biológiai „faj” fogalmát.</w:t>
      </w:r>
    </w:p>
  </w:footnote>
  <w:footnote w:id="12">
    <w:p w14:paraId="46CE9EA1" w14:textId="77777777" w:rsidR="00BF6E0E" w:rsidRPr="006F7F1A" w:rsidRDefault="003E70D4" w:rsidP="003D710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5" w:history="1">
        <w:r>
          <w:rPr>
            <w:rStyle w:val="Hyperlink"/>
            <w:rFonts w:ascii="Times New Roman" w:hAnsi="Times New Roman"/>
            <w:sz w:val="16"/>
          </w:rPr>
          <w:t>FRA (2023):</w:t>
        </w:r>
      </w:hyperlink>
      <w:hyperlink r:id="rId26" w:history="1">
        <w:r>
          <w:rPr>
            <w:rStyle w:val="Hyperlink"/>
            <w:rFonts w:ascii="Times New Roman" w:hAnsi="Times New Roman"/>
            <w:sz w:val="16"/>
          </w:rPr>
          <w:t xml:space="preserve"> Being Black in the European Union (Feketeként az Európai Unióban)</w:t>
        </w:r>
      </w:hyperlink>
      <w:r>
        <w:t>.</w:t>
      </w:r>
    </w:p>
  </w:footnote>
  <w:footnote w:id="13">
    <w:p w14:paraId="7FA84EDE" w14:textId="77777777" w:rsidR="00BF6E0E" w:rsidRPr="006F7F1A" w:rsidRDefault="003E70D4" w:rsidP="003D710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7" w:history="1">
        <w:r>
          <w:rPr>
            <w:rStyle w:val="Hyperlink"/>
            <w:rFonts w:ascii="Times New Roman" w:hAnsi="Times New Roman"/>
            <w:sz w:val="16"/>
          </w:rPr>
          <w:t>OECD (2025):</w:t>
        </w:r>
      </w:hyperlink>
      <w:hyperlink r:id="rId28" w:history="1">
        <w:r>
          <w:rPr>
            <w:rStyle w:val="Hyperlink"/>
            <w:rFonts w:ascii="Times New Roman" w:hAnsi="Times New Roman"/>
            <w:sz w:val="16"/>
          </w:rPr>
          <w:t xml:space="preserve"> Monitoring and Assessing the Impact of National Action Plans Against Racism (A rasszizmus elleni nemzeti cselekvési tervek hatásának nyomon követése és értékelése)</w:t>
        </w:r>
      </w:hyperlink>
      <w:r>
        <w:t>.</w:t>
      </w:r>
    </w:p>
  </w:footnote>
  <w:footnote w:id="14">
    <w:p w14:paraId="1AFA9011" w14:textId="423FA4C9" w:rsidR="001D1538" w:rsidRPr="006F7F1A" w:rsidRDefault="001D1538" w:rsidP="001D1538">
      <w:pPr>
        <w:pStyle w:val="FootnoteText"/>
        <w:snapToGrid w:val="0"/>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29" w:history="1">
        <w:r>
          <w:rPr>
            <w:rStyle w:val="Hyperlink"/>
            <w:rFonts w:ascii="Times New Roman" w:hAnsi="Times New Roman"/>
            <w:sz w:val="16"/>
          </w:rPr>
          <w:t>FRA (2025):</w:t>
        </w:r>
      </w:hyperlink>
      <w:hyperlink r:id="rId30" w:history="1">
        <w:r>
          <w:rPr>
            <w:rStyle w:val="Hyperlink"/>
            <w:rFonts w:ascii="Times New Roman" w:hAnsi="Times New Roman"/>
            <w:sz w:val="16"/>
          </w:rPr>
          <w:t xml:space="preserve"> Rights of Roma and Travellers in 13 European Countries (A romák és nomád életmódot folytató emberek jogai 13 európai országban)</w:t>
        </w:r>
      </w:hyperlink>
      <w:r>
        <w:rPr>
          <w:rFonts w:ascii="Times New Roman" w:hAnsi="Times New Roman"/>
          <w:sz w:val="16"/>
        </w:rPr>
        <w:t>,</w:t>
      </w:r>
      <w:r>
        <w:t xml:space="preserve"> </w:t>
      </w:r>
      <w:hyperlink r:id="rId31" w:history="1">
        <w:r>
          <w:rPr>
            <w:rStyle w:val="Hyperlink"/>
            <w:rFonts w:ascii="Times New Roman" w:hAnsi="Times New Roman"/>
            <w:sz w:val="16"/>
          </w:rPr>
          <w:t>FRA (2023):</w:t>
        </w:r>
      </w:hyperlink>
      <w:hyperlink r:id="rId32" w:history="1">
        <w:r>
          <w:rPr>
            <w:rStyle w:val="Hyperlink"/>
            <w:rFonts w:ascii="Times New Roman" w:hAnsi="Times New Roman"/>
            <w:sz w:val="16"/>
          </w:rPr>
          <w:t xml:space="preserve"> Being Black in the European Union (Feketeként az Európai Unióban)</w:t>
        </w:r>
      </w:hyperlink>
      <w:r>
        <w:t xml:space="preserve">, </w:t>
      </w:r>
      <w:hyperlink r:id="rId33" w:history="1">
        <w:r>
          <w:rPr>
            <w:rStyle w:val="Hyperlink"/>
            <w:rFonts w:ascii="Times New Roman" w:hAnsi="Times New Roman"/>
            <w:sz w:val="16"/>
          </w:rPr>
          <w:t>FRA 2024:</w:t>
        </w:r>
      </w:hyperlink>
      <w:hyperlink r:id="rId34" w:history="1">
        <w:r>
          <w:rPr>
            <w:rStyle w:val="Hyperlink"/>
            <w:rFonts w:ascii="Times New Roman" w:hAnsi="Times New Roman"/>
            <w:sz w:val="16"/>
          </w:rPr>
          <w:t xml:space="preserve"> Being Muslim in the European Union (Muszlimként az Európai Unióban)</w:t>
        </w:r>
      </w:hyperlink>
      <w:r>
        <w:t>.</w:t>
      </w:r>
    </w:p>
  </w:footnote>
  <w:footnote w:id="15">
    <w:p w14:paraId="784CB4E7" w14:textId="66287274" w:rsidR="00DF41E2" w:rsidRPr="003D604D" w:rsidRDefault="00DF41E2" w:rsidP="003D604D">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 szakértői csoport a tagállamok, valamint az Európai Unió Alapjogi Ügynökségének és az Európa Tanács Rasszizmus Elleni Európai Bizottságának (Norvégia) szakértőit és megfigyelőit foglalja magában. Ez a szakértői csoport </w:t>
      </w:r>
      <w:hyperlink r:id="rId35" w:history="1">
        <w:r>
          <w:rPr>
            <w:rStyle w:val="Hyperlink"/>
            <w:rFonts w:ascii="Times New Roman" w:hAnsi="Times New Roman"/>
            <w:sz w:val="16"/>
          </w:rPr>
          <w:t>a gyűlölet-bűncselekmények és a gyűlöletbeszéd elleni küzdelemmel foglalkozó magas szintű munkacsoport</w:t>
        </w:r>
      </w:hyperlink>
      <w:r>
        <w:rPr>
          <w:rFonts w:ascii="Times New Roman" w:hAnsi="Times New Roman"/>
          <w:sz w:val="16"/>
        </w:rPr>
        <w:t xml:space="preserve">, valamint </w:t>
      </w:r>
      <w:hyperlink r:id="rId36" w:history="1">
        <w:r>
          <w:rPr>
            <w:rStyle w:val="Hyperlink"/>
            <w:rFonts w:ascii="Times New Roman" w:hAnsi="Times New Roman"/>
            <w:sz w:val="16"/>
          </w:rPr>
          <w:t>a megkülönböztetésmentességgel, az egyenlőséggel és a sokszínűséggel foglalkozó magas szintű munkacsoport</w:t>
        </w:r>
      </w:hyperlink>
      <w:r>
        <w:rPr>
          <w:rFonts w:ascii="Times New Roman" w:hAnsi="Times New Roman"/>
          <w:sz w:val="16"/>
        </w:rPr>
        <w:t xml:space="preserve"> alcsoportja.</w:t>
      </w:r>
    </w:p>
  </w:footnote>
  <w:footnote w:id="16">
    <w:p w14:paraId="6D7F6F7D" w14:textId="7E4C845E" w:rsidR="003D604D" w:rsidRPr="003D604D" w:rsidRDefault="003D604D" w:rsidP="003D604D">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Az IHRA antiszemitizmusra vonatkozó fogalommeghatározása a </w:t>
      </w:r>
      <w:r>
        <w:rPr>
          <w:rStyle w:val="Hyperlink"/>
          <w:rFonts w:ascii="Times New Roman" w:hAnsi="Times New Roman"/>
          <w:sz w:val="16"/>
        </w:rPr>
        <w:t>https://holocaustremembrance.com/resources/working-definition-antisemitism</w:t>
      </w:r>
      <w:r>
        <w:rPr>
          <w:rFonts w:ascii="Times New Roman" w:hAnsi="Times New Roman"/>
          <w:sz w:val="16"/>
        </w:rPr>
        <w:t xml:space="preserve"> címen érhető el.</w:t>
      </w:r>
    </w:p>
  </w:footnote>
  <w:footnote w:id="17">
    <w:p w14:paraId="0B120094" w14:textId="45B218A2" w:rsidR="0078553E" w:rsidRPr="0080795A" w:rsidRDefault="0078553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r w:rsidR="008253BF">
        <w:rPr>
          <w:rFonts w:ascii="Times New Roman" w:hAnsi="Times New Roman"/>
          <w:sz w:val="16"/>
        </w:rPr>
        <w:t>P</w:t>
      </w:r>
      <w:r>
        <w:rPr>
          <w:rFonts w:ascii="Times New Roman" w:hAnsi="Times New Roman"/>
          <w:sz w:val="16"/>
        </w:rPr>
        <w:t xml:space="preserve">éldául </w:t>
      </w:r>
      <w:hyperlink r:id="rId37">
        <w:r>
          <w:rPr>
            <w:rStyle w:val="Hyperlink"/>
            <w:rFonts w:ascii="Times New Roman" w:hAnsi="Times New Roman"/>
            <w:sz w:val="16"/>
          </w:rPr>
          <w:t>a faji megkülönböztetés elleni küzdelem nemzetközi napja</w:t>
        </w:r>
      </w:hyperlink>
      <w:r>
        <w:rPr>
          <w:rFonts w:ascii="Times New Roman" w:hAnsi="Times New Roman"/>
          <w:sz w:val="16"/>
        </w:rPr>
        <w:t xml:space="preserve">, </w:t>
      </w:r>
      <w:hyperlink r:id="rId38">
        <w:r>
          <w:rPr>
            <w:rStyle w:val="Hyperlink"/>
            <w:rFonts w:ascii="Times New Roman" w:hAnsi="Times New Roman"/>
            <w:sz w:val="16"/>
          </w:rPr>
          <w:t>a rabszolga-kereskedelem eltörlésének európai emléknapja</w:t>
        </w:r>
      </w:hyperlink>
      <w:r>
        <w:rPr>
          <w:rFonts w:ascii="Times New Roman" w:hAnsi="Times New Roman"/>
          <w:sz w:val="16"/>
        </w:rPr>
        <w:t xml:space="preserve">, </w:t>
      </w:r>
      <w:hyperlink r:id="rId39">
        <w:r>
          <w:rPr>
            <w:rStyle w:val="Hyperlink"/>
            <w:rFonts w:ascii="Times New Roman" w:hAnsi="Times New Roman"/>
            <w:sz w:val="16"/>
          </w:rPr>
          <w:t>a holokauszt nemzetközi emléknapja</w:t>
        </w:r>
      </w:hyperlink>
      <w:r>
        <w:rPr>
          <w:rFonts w:ascii="Times New Roman" w:hAnsi="Times New Roman"/>
          <w:sz w:val="16"/>
        </w:rPr>
        <w:t xml:space="preserve">, valamint </w:t>
      </w:r>
      <w:hyperlink r:id="rId40">
        <w:r>
          <w:rPr>
            <w:rStyle w:val="Hyperlink"/>
            <w:rFonts w:ascii="Times New Roman" w:hAnsi="Times New Roman"/>
            <w:sz w:val="16"/>
          </w:rPr>
          <w:t>a Roma Holokauszt Európai Emléknapja</w:t>
        </w:r>
      </w:hyperlink>
      <w:r>
        <w:t>.</w:t>
      </w:r>
    </w:p>
  </w:footnote>
  <w:footnote w:id="18">
    <w:p w14:paraId="729EE7A5" w14:textId="481C7D59" w:rsidR="005B190B" w:rsidRPr="0078553E" w:rsidRDefault="005B190B" w:rsidP="006F7F1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1" w:history="1">
        <w:r>
          <w:rPr>
            <w:rStyle w:val="Hyperlink"/>
            <w:rFonts w:ascii="Times New Roman" w:hAnsi="Times New Roman"/>
            <w:sz w:val="16"/>
          </w:rPr>
          <w:t>A 2023. évi EU–CELAC csúcstalálkozó nyilatkozata</w:t>
        </w:r>
      </w:hyperlink>
      <w:r>
        <w:t>.</w:t>
      </w:r>
    </w:p>
  </w:footnote>
  <w:footnote w:id="19">
    <w:p w14:paraId="76E68651" w14:textId="77777777" w:rsidR="00BF6E0E" w:rsidRPr="003D604D" w:rsidRDefault="003E70D4" w:rsidP="006F7F1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2" w:history="1">
        <w:r>
          <w:rPr>
            <w:rStyle w:val="Hyperlink"/>
            <w:rFonts w:ascii="Times New Roman" w:hAnsi="Times New Roman"/>
            <w:sz w:val="16"/>
          </w:rPr>
          <w:t>Az antiszemitizmus kezelése az oktatás révén</w:t>
        </w:r>
      </w:hyperlink>
      <w:r>
        <w:t>.</w:t>
      </w:r>
    </w:p>
  </w:footnote>
  <w:footnote w:id="20">
    <w:p w14:paraId="26277060" w14:textId="1607B209" w:rsidR="00F77C79" w:rsidRPr="006F7F1A" w:rsidRDefault="00F77C79" w:rsidP="006F7F1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3" w:history="1">
        <w:r>
          <w:rPr>
            <w:rStyle w:val="Hyperlink"/>
            <w:rFonts w:ascii="Times New Roman" w:hAnsi="Times New Roman"/>
            <w:sz w:val="16"/>
          </w:rPr>
          <w:t>Report on the outcomes and transformational potential of the European Universities initiative (Jelentés az „Európai Egyetemek” kezdeményezés eredményeiről és átalakító potenciáljáról)</w:t>
        </w:r>
      </w:hyperlink>
      <w:r>
        <w:t>.</w:t>
      </w:r>
    </w:p>
  </w:footnote>
  <w:footnote w:id="21">
    <w:p w14:paraId="47496F8B" w14:textId="3A3FC1AE" w:rsidR="003460E1" w:rsidRPr="006F7F1A" w:rsidRDefault="003460E1" w:rsidP="006F7F1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Lásd: </w:t>
      </w:r>
      <w:hyperlink r:id="rId44" w:history="1">
        <w:r>
          <w:rPr>
            <w:rStyle w:val="Hyperlink"/>
            <w:rFonts w:ascii="Times New Roman" w:hAnsi="Times New Roman"/>
            <w:sz w:val="16"/>
          </w:rPr>
          <w:t>Iránymutató feljegyzés az egyenlőségre vonatkozó, a faji vagy etnikai származáson alapuló adatok gyűjtéséről és felhasználásáról</w:t>
        </w:r>
      </w:hyperlink>
      <w:r>
        <w:rPr>
          <w:rFonts w:ascii="Times New Roman" w:hAnsi="Times New Roman"/>
          <w:sz w:val="16"/>
        </w:rPr>
        <w:t>.</w:t>
      </w:r>
    </w:p>
  </w:footnote>
  <w:footnote w:id="22">
    <w:p w14:paraId="7136F407" w14:textId="77777777" w:rsidR="00BF6E0E" w:rsidRPr="006F7F1A" w:rsidRDefault="003E70D4" w:rsidP="00E119B7">
      <w:pPr>
        <w:pStyle w:val="FootnoteText"/>
        <w:snapToGrid w:val="0"/>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5" w:history="1">
        <w:r>
          <w:rPr>
            <w:rStyle w:val="Hyperlink"/>
            <w:rFonts w:ascii="Times New Roman" w:hAnsi="Times New Roman"/>
            <w:sz w:val="16"/>
          </w:rPr>
          <w:t>2023. évi Eurobarométer felmérés:</w:t>
        </w:r>
      </w:hyperlink>
      <w:hyperlink r:id="rId46" w:history="1">
        <w:r>
          <w:rPr>
            <w:rStyle w:val="Hyperlink"/>
            <w:rFonts w:ascii="Times New Roman" w:hAnsi="Times New Roman"/>
            <w:sz w:val="16"/>
          </w:rPr>
          <w:t xml:space="preserve"> Hátrányos megkülönböztetés az Európai Unióban</w:t>
        </w:r>
      </w:hyperlink>
      <w:r>
        <w:t>.</w:t>
      </w:r>
    </w:p>
  </w:footnote>
  <w:footnote w:id="23">
    <w:p w14:paraId="643CB77D" w14:textId="77777777" w:rsidR="00BF6E0E" w:rsidRPr="006F7F1A" w:rsidRDefault="003E70D4" w:rsidP="00E119B7">
      <w:pPr>
        <w:pStyle w:val="FootnoteText"/>
        <w:snapToGrid w:val="0"/>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7" w:history="1">
        <w:r>
          <w:rPr>
            <w:rStyle w:val="Hyperlink"/>
            <w:rFonts w:ascii="Times New Roman" w:hAnsi="Times New Roman"/>
            <w:sz w:val="16"/>
          </w:rPr>
          <w:t>FRA (2024):</w:t>
        </w:r>
      </w:hyperlink>
      <w:hyperlink r:id="rId48" w:history="1">
        <w:r>
          <w:rPr>
            <w:rStyle w:val="Hyperlink"/>
            <w:rFonts w:ascii="Times New Roman" w:hAnsi="Times New Roman"/>
            <w:sz w:val="16"/>
          </w:rPr>
          <w:t xml:space="preserve"> A zsidó emberek antiszemitizmussal kapcsolatos tapasztalatai és benyomásai</w:t>
        </w:r>
      </w:hyperlink>
      <w:r>
        <w:t>.</w:t>
      </w:r>
    </w:p>
  </w:footnote>
  <w:footnote w:id="24">
    <w:p w14:paraId="0858157F" w14:textId="77777777" w:rsidR="00BF6E0E" w:rsidRPr="006F7F1A" w:rsidRDefault="003E70D4" w:rsidP="00E119B7">
      <w:pPr>
        <w:pStyle w:val="FootnoteText"/>
        <w:snapToGrid w:val="0"/>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49" w:history="1">
        <w:r>
          <w:rPr>
            <w:rStyle w:val="Hyperlink"/>
            <w:rFonts w:ascii="Times New Roman" w:hAnsi="Times New Roman"/>
            <w:sz w:val="16"/>
          </w:rPr>
          <w:t>FRA (2023):</w:t>
        </w:r>
      </w:hyperlink>
      <w:hyperlink r:id="rId50" w:history="1">
        <w:r>
          <w:rPr>
            <w:rStyle w:val="Hyperlink"/>
            <w:rFonts w:ascii="Times New Roman" w:hAnsi="Times New Roman"/>
            <w:sz w:val="16"/>
          </w:rPr>
          <w:t xml:space="preserve"> Being Black in the European Union (Feketeként az Európai Unióban)</w:t>
        </w:r>
      </w:hyperlink>
      <w:r>
        <w:t>.</w:t>
      </w:r>
    </w:p>
  </w:footnote>
  <w:footnote w:id="25">
    <w:p w14:paraId="026A53C4" w14:textId="39633F36" w:rsidR="00E83720" w:rsidRPr="00E83720" w:rsidRDefault="00E83720"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Például a következő esetben: a nyilvánosság előtt erőszakra vagy gyűlöletre uszítás faji, bőrszín szerinti, vallási, származás szerinti vagy nemzeti, illetve etnikai hovatartozásuk alapján meghatározott személyek csoportjával vagy e csoport valamely tagjával szemben.</w:t>
      </w:r>
    </w:p>
  </w:footnote>
  <w:footnote w:id="26">
    <w:p w14:paraId="363D6FDF" w14:textId="4BA8A9CD" w:rsidR="00BF6E0E" w:rsidRPr="006F7F1A" w:rsidRDefault="003E70D4"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Az FRA jelentései: </w:t>
      </w:r>
      <w:hyperlink r:id="rId51" w:history="1">
        <w:r>
          <w:rPr>
            <w:rStyle w:val="Hyperlink"/>
            <w:rFonts w:ascii="Times New Roman" w:hAnsi="Times New Roman"/>
            <w:sz w:val="16"/>
          </w:rPr>
          <w:t>Addressing Racism in Policing (A rasszizmus kezelése a rendészetben)</w:t>
        </w:r>
      </w:hyperlink>
      <w:r>
        <w:rPr>
          <w:rFonts w:ascii="Times New Roman" w:hAnsi="Times New Roman"/>
          <w:sz w:val="16"/>
        </w:rPr>
        <w:t xml:space="preserve">; </w:t>
      </w:r>
      <w:hyperlink r:id="rId52" w:history="1">
        <w:r>
          <w:rPr>
            <w:rStyle w:val="Hyperlink"/>
            <w:rFonts w:ascii="Times New Roman" w:hAnsi="Times New Roman"/>
            <w:sz w:val="16"/>
          </w:rPr>
          <w:t>Being Muslim in the EU (Muszlimként az EU-ban)</w:t>
        </w:r>
      </w:hyperlink>
      <w:r>
        <w:rPr>
          <w:rFonts w:ascii="Times New Roman" w:hAnsi="Times New Roman"/>
          <w:sz w:val="16"/>
        </w:rPr>
        <w:t xml:space="preserve">; </w:t>
      </w:r>
      <w:hyperlink r:id="rId53" w:history="1">
        <w:r>
          <w:rPr>
            <w:rStyle w:val="Hyperlink"/>
            <w:rFonts w:ascii="Times New Roman" w:hAnsi="Times New Roman"/>
            <w:sz w:val="16"/>
          </w:rPr>
          <w:t>Jewish People’s Experiences and Perceptions of Antisemitism (A zsidó emberek antiszemitizmussal kapcsolatos tapasztalatai és benyomásai).</w:t>
        </w:r>
      </w:hyperlink>
    </w:p>
  </w:footnote>
  <w:footnote w:id="27">
    <w:p w14:paraId="022C8195" w14:textId="77777777" w:rsidR="0013275F" w:rsidRPr="006F7F1A" w:rsidRDefault="0013275F"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54" w:history="1">
        <w:r>
          <w:rPr>
            <w:rStyle w:val="Hyperlink"/>
            <w:rFonts w:ascii="Times New Roman" w:hAnsi="Times New Roman"/>
            <w:sz w:val="16"/>
          </w:rPr>
          <w:t>Tanulmány a faji-etnikai-vallási alapon történő megkülönböztetés szankcionálásáról</w:t>
        </w:r>
      </w:hyperlink>
      <w:r>
        <w:t>.</w:t>
      </w:r>
    </w:p>
  </w:footnote>
  <w:footnote w:id="28">
    <w:p w14:paraId="3D02BE9B" w14:textId="778885F2" w:rsidR="0009184B" w:rsidRPr="00BB2741" w:rsidRDefault="0009184B">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55" w:history="1">
        <w:r>
          <w:rPr>
            <w:rStyle w:val="Hyperlink"/>
            <w:rFonts w:ascii="Times New Roman" w:hAnsi="Times New Roman"/>
            <w:sz w:val="16"/>
          </w:rPr>
          <w:t>Kötelezettségszegési ügyek az EU-ban</w:t>
        </w:r>
      </w:hyperlink>
      <w:r>
        <w:t>.</w:t>
      </w:r>
    </w:p>
  </w:footnote>
  <w:footnote w:id="29">
    <w:p w14:paraId="3A10D652" w14:textId="6C6DF418" w:rsidR="00C05E38" w:rsidRPr="006F7F1A" w:rsidRDefault="00C05E38" w:rsidP="006F7F1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56" w:history="1">
        <w:r>
          <w:rPr>
            <w:rStyle w:val="Hyperlink"/>
            <w:rFonts w:ascii="Times New Roman" w:hAnsi="Times New Roman"/>
            <w:sz w:val="16"/>
          </w:rPr>
          <w:t>Az áldozatok jogai az EU-ban – Európai Bizottság</w:t>
        </w:r>
      </w:hyperlink>
      <w:r>
        <w:t>,</w:t>
      </w:r>
      <w:hyperlink r:id="rId57" w:history="1">
        <w:r>
          <w:rPr>
            <w:rStyle w:val="Hyperlink"/>
            <w:rFonts w:ascii="Times New Roman" w:hAnsi="Times New Roman"/>
            <w:sz w:val="16"/>
          </w:rPr>
          <w:t xml:space="preserve"> a Bizottság üdvözli az áldozatok jogait biztosító szigorúbb uniós szabályokról szóló megállapodást</w:t>
        </w:r>
      </w:hyperlink>
      <w:r>
        <w:t>.</w:t>
      </w:r>
    </w:p>
  </w:footnote>
  <w:footnote w:id="30">
    <w:p w14:paraId="43F004A4" w14:textId="77777777" w:rsidR="001C289D" w:rsidRPr="006F7F1A" w:rsidRDefault="001C289D" w:rsidP="001C289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Lásd például: </w:t>
      </w:r>
      <w:hyperlink r:id="rId58" w:history="1">
        <w:r>
          <w:rPr>
            <w:rStyle w:val="Hyperlink"/>
            <w:rFonts w:ascii="Times New Roman" w:hAnsi="Times New Roman"/>
            <w:sz w:val="16"/>
          </w:rPr>
          <w:t>Európai Bűnmegelőzési Tudásközpont:</w:t>
        </w:r>
      </w:hyperlink>
      <w:hyperlink r:id="rId59" w:history="1">
        <w:r>
          <w:rPr>
            <w:rStyle w:val="Hyperlink"/>
            <w:rFonts w:ascii="Times New Roman" w:hAnsi="Times New Roman"/>
            <w:sz w:val="16"/>
          </w:rPr>
          <w:t>Közösségi rendészet az Európai Unióban</w:t>
        </w:r>
      </w:hyperlink>
      <w:r>
        <w:t>.</w:t>
      </w:r>
    </w:p>
  </w:footnote>
  <w:footnote w:id="31">
    <w:p w14:paraId="69EED7E6" w14:textId="77777777" w:rsidR="001C289D" w:rsidRPr="006F7F1A" w:rsidRDefault="001C289D" w:rsidP="001C289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0" w:history="1">
        <w:r>
          <w:rPr>
            <w:rStyle w:val="Hyperlink"/>
            <w:rFonts w:ascii="Times New Roman" w:hAnsi="Times New Roman"/>
            <w:sz w:val="16"/>
          </w:rPr>
          <w:t>FRA – Addressing racism in policing (A rasszizmus kezelése a rendészetben)</w:t>
        </w:r>
      </w:hyperlink>
      <w:r>
        <w:t>.</w:t>
      </w:r>
    </w:p>
  </w:footnote>
  <w:footnote w:id="32">
    <w:p w14:paraId="7333457F" w14:textId="507972DC" w:rsidR="002E239E" w:rsidRPr="006F7F1A" w:rsidRDefault="002E239E" w:rsidP="002E239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1" w:history="1">
        <w:r>
          <w:rPr>
            <w:rStyle w:val="Hyperlink"/>
            <w:rFonts w:ascii="Times New Roman" w:hAnsi="Times New Roman"/>
            <w:sz w:val="16"/>
          </w:rPr>
          <w:t>Nyilvános konzultáció:</w:t>
        </w:r>
      </w:hyperlink>
      <w:r>
        <w:rPr>
          <w:rFonts w:ascii="Times New Roman" w:hAnsi="Times New Roman"/>
          <w:sz w:val="16"/>
        </w:rPr>
        <w:t xml:space="preserve"> Rasszizmus elleni stratégia.</w:t>
      </w:r>
    </w:p>
  </w:footnote>
  <w:footnote w:id="33">
    <w:p w14:paraId="7F19FD16" w14:textId="77777777" w:rsidR="00BF6E0E" w:rsidRPr="006F7F1A" w:rsidRDefault="003E70D4" w:rsidP="006F7F1A">
      <w:pPr>
        <w:pStyle w:val="FootnoteText"/>
        <w:snapToGrid w:val="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2" w:history="1">
        <w:r>
          <w:rPr>
            <w:rStyle w:val="Hyperlink"/>
            <w:rFonts w:ascii="Times New Roman" w:hAnsi="Times New Roman"/>
            <w:sz w:val="16"/>
          </w:rPr>
          <w:t>2023. évi Eurobarométer felmérés:</w:t>
        </w:r>
      </w:hyperlink>
      <w:hyperlink r:id="rId63" w:history="1">
        <w:r>
          <w:rPr>
            <w:rStyle w:val="Hyperlink"/>
            <w:rFonts w:ascii="Times New Roman" w:hAnsi="Times New Roman"/>
            <w:sz w:val="16"/>
          </w:rPr>
          <w:t xml:space="preserve"> Hátrányos megkülönböztetés az Európai Unióban.</w:t>
        </w:r>
      </w:hyperlink>
    </w:p>
  </w:footnote>
  <w:footnote w:id="34">
    <w:p w14:paraId="230F2BAE" w14:textId="319168DE" w:rsidR="00BF6E0E" w:rsidRPr="006F7F1A" w:rsidRDefault="003E70D4" w:rsidP="006F7F1A">
      <w:pPr>
        <w:pStyle w:val="FootnoteText"/>
        <w:snapToGrid w:val="0"/>
        <w:rPr>
          <w:rFonts w:ascii="Times New Roman" w:hAnsi="Times New Roman" w:cs="Times New Roman"/>
          <w:sz w:val="16"/>
          <w:szCs w:val="16"/>
        </w:rPr>
      </w:pPr>
      <w:r>
        <w:rPr>
          <w:rStyle w:val="FootnoteReference"/>
          <w:rFonts w:ascii="Times New Roman" w:hAnsi="Times New Roman" w:cs="Times New Roman"/>
          <w:sz w:val="16"/>
          <w:szCs w:val="16"/>
        </w:rPr>
        <w:footnoteRef/>
      </w:r>
      <w:hyperlink r:id="rId64" w:history="1">
        <w:r>
          <w:rPr>
            <w:rStyle w:val="Hyperlink"/>
            <w:rFonts w:ascii="Times New Roman" w:hAnsi="Times New Roman"/>
            <w:sz w:val="16"/>
          </w:rPr>
          <w:t xml:space="preserve"> FRA (2025) – Rights of Roma and Travellers in 13 European countries (A romák és nomád életmódot folytató emberek jogai 13 európai országban)</w:t>
        </w:r>
      </w:hyperlink>
      <w:r>
        <w:t>.</w:t>
      </w:r>
    </w:p>
  </w:footnote>
  <w:footnote w:id="35">
    <w:p w14:paraId="180B8143" w14:textId="77777777" w:rsidR="00BF6E0E" w:rsidRPr="006F7F1A" w:rsidRDefault="003E70D4" w:rsidP="006F7F1A">
      <w:pPr>
        <w:pStyle w:val="FootnoteText"/>
        <w:snapToGrid w:val="0"/>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5" w:history="1">
        <w:r>
          <w:rPr>
            <w:rStyle w:val="Hyperlink"/>
            <w:rFonts w:ascii="Times New Roman" w:hAnsi="Times New Roman"/>
            <w:sz w:val="16"/>
          </w:rPr>
          <w:t>FRA – Being Muslim in the EU (Muszlimként az EU-ban)</w:t>
        </w:r>
      </w:hyperlink>
      <w:r>
        <w:t>.</w:t>
      </w:r>
    </w:p>
  </w:footnote>
  <w:footnote w:id="36">
    <w:p w14:paraId="6842ABAE" w14:textId="6F8BB78E" w:rsidR="00060C1E" w:rsidRPr="006F7F1A" w:rsidRDefault="00060C1E" w:rsidP="00060C1E">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6" w:history="1">
        <w:r>
          <w:rPr>
            <w:rStyle w:val="Hyperlink"/>
            <w:rFonts w:ascii="Times New Roman" w:hAnsi="Times New Roman"/>
            <w:sz w:val="16"/>
          </w:rPr>
          <w:t>OECD (2025):</w:t>
        </w:r>
      </w:hyperlink>
      <w:hyperlink r:id="rId67" w:history="1">
        <w:r>
          <w:rPr>
            <w:rStyle w:val="Hyperlink"/>
            <w:rFonts w:ascii="Times New Roman" w:hAnsi="Times New Roman"/>
            <w:sz w:val="16"/>
          </w:rPr>
          <w:t xml:space="preserve"> A rasszizmus elleni nemzeti cselekvési tervek hatásának nyomon követése és értékelése</w:t>
        </w:r>
      </w:hyperlink>
      <w:r>
        <w:t>.</w:t>
      </w:r>
    </w:p>
  </w:footnote>
  <w:footnote w:id="37">
    <w:p w14:paraId="039B02A9" w14:textId="6FAEB70D" w:rsidR="00BF6E0E" w:rsidRPr="006F7F1A" w:rsidRDefault="003E70D4" w:rsidP="006F7F1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68" w:history="1">
        <w:r>
          <w:rPr>
            <w:rStyle w:val="Hyperlink"/>
            <w:rFonts w:ascii="Times New Roman" w:hAnsi="Times New Roman"/>
            <w:sz w:val="16"/>
          </w:rPr>
          <w:t>Új vitaanyag:</w:t>
        </w:r>
      </w:hyperlink>
      <w:hyperlink r:id="rId69" w:history="1">
        <w:r>
          <w:rPr>
            <w:rStyle w:val="Hyperlink"/>
            <w:rFonts w:ascii="Times New Roman" w:hAnsi="Times New Roman"/>
            <w:sz w:val="16"/>
          </w:rPr>
          <w:t xml:space="preserve"> Az előítéleteknek és a hátrányos megkülönböztetésnek az oktatás és a képzés keretében, illetve ezek révén történő kezeléséről |</w:t>
        </w:r>
      </w:hyperlink>
      <w:hyperlink r:id="rId70" w:history="1">
        <w:r>
          <w:rPr>
            <w:rStyle w:val="Hyperlink"/>
            <w:rFonts w:ascii="Times New Roman" w:hAnsi="Times New Roman"/>
            <w:sz w:val="16"/>
          </w:rPr>
          <w:t xml:space="preserve"> Európai oktatási térség</w:t>
        </w:r>
      </w:hyperlink>
      <w:r>
        <w:t>.</w:t>
      </w:r>
    </w:p>
  </w:footnote>
  <w:footnote w:id="38">
    <w:p w14:paraId="12EEF417" w14:textId="74F887AA" w:rsidR="00947693" w:rsidRDefault="00947693"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71" w:history="1">
        <w:r>
          <w:rPr>
            <w:rStyle w:val="Hyperlink"/>
            <w:rFonts w:ascii="Times New Roman" w:hAnsi="Times New Roman"/>
            <w:sz w:val="16"/>
          </w:rPr>
          <w:t>Susanne Veit, et.al. In your face:</w:t>
        </w:r>
      </w:hyperlink>
      <w:hyperlink r:id="rId72" w:history="1">
        <w:r>
          <w:rPr>
            <w:rStyle w:val="Hyperlink"/>
            <w:rFonts w:ascii="Times New Roman" w:hAnsi="Times New Roman"/>
            <w:sz w:val="16"/>
          </w:rPr>
          <w:t xml:space="preserve"> a comparative field experiment on racial discrimination in Europe, Socio-Economic Review</w:t>
        </w:r>
      </w:hyperlink>
      <w:r>
        <w:t>.</w:t>
      </w:r>
    </w:p>
  </w:footnote>
  <w:footnote w:id="39">
    <w:p w14:paraId="45CF2849" w14:textId="5E894CE4" w:rsidR="00BF6E0E" w:rsidRPr="006F7F1A" w:rsidRDefault="003E70D4"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73" w:history="1">
        <w:r>
          <w:rPr>
            <w:rStyle w:val="Hyperlink"/>
            <w:rFonts w:ascii="Times New Roman" w:hAnsi="Times New Roman"/>
            <w:sz w:val="16"/>
          </w:rPr>
          <w:t>OECD (2025):</w:t>
        </w:r>
      </w:hyperlink>
      <w:hyperlink r:id="rId74" w:history="1">
        <w:r>
          <w:rPr>
            <w:rStyle w:val="Hyperlink"/>
            <w:rFonts w:ascii="Times New Roman" w:hAnsi="Times New Roman"/>
            <w:sz w:val="16"/>
          </w:rPr>
          <w:t xml:space="preserve"> A rasszizmus elleni nemzeti cselekvési tervek hatásának nyomon követése és értékelése</w:t>
        </w:r>
      </w:hyperlink>
      <w:r>
        <w:t>.</w:t>
      </w:r>
    </w:p>
  </w:footnote>
  <w:footnote w:id="40">
    <w:p w14:paraId="2D428BBF" w14:textId="17FC2FFF" w:rsidR="00644AB1" w:rsidRPr="006F7F1A" w:rsidRDefault="00644AB1"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75" w:history="1">
        <w:r>
          <w:rPr>
            <w:rStyle w:val="Hyperlink"/>
            <w:rFonts w:ascii="Times New Roman" w:hAnsi="Times New Roman"/>
            <w:sz w:val="16"/>
          </w:rPr>
          <w:t>Összefoglaló jelentés: |</w:t>
        </w:r>
      </w:hyperlink>
      <w:hyperlink r:id="rId76" w:history="1">
        <w:r>
          <w:rPr>
            <w:rStyle w:val="Hyperlink"/>
            <w:rFonts w:ascii="Times New Roman" w:hAnsi="Times New Roman"/>
            <w:sz w:val="16"/>
          </w:rPr>
          <w:t xml:space="preserve"> Bevált gyakorlatokról szóló webinárium:</w:t>
        </w:r>
      </w:hyperlink>
      <w:hyperlink r:id="rId77" w:history="1">
        <w:r>
          <w:rPr>
            <w:rStyle w:val="Hyperlink"/>
            <w:rFonts w:ascii="Times New Roman" w:hAnsi="Times New Roman"/>
            <w:sz w:val="16"/>
          </w:rPr>
          <w:t>Vidéki lakhatás |</w:t>
        </w:r>
      </w:hyperlink>
      <w:hyperlink r:id="rId78" w:history="1">
        <w:r>
          <w:rPr>
            <w:rStyle w:val="Hyperlink"/>
            <w:rFonts w:ascii="Times New Roman" w:hAnsi="Times New Roman"/>
            <w:sz w:val="16"/>
          </w:rPr>
          <w:t xml:space="preserve"> A Vidékfejlesztési Paktum közösségének platformja</w:t>
        </w:r>
      </w:hyperlink>
      <w:r>
        <w:t>.</w:t>
      </w:r>
    </w:p>
  </w:footnote>
  <w:footnote w:id="41">
    <w:p w14:paraId="6C22475D" w14:textId="2C95A249" w:rsidR="00AF48AF" w:rsidRPr="006F7F1A" w:rsidRDefault="00AF48AF"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Toolkit „Social </w:t>
      </w:r>
      <w:hyperlink r:id="rId79" w:history="1">
        <w:r>
          <w:rPr>
            <w:rStyle w:val="Hyperlink"/>
            <w:rFonts w:ascii="Times New Roman" w:hAnsi="Times New Roman"/>
            <w:sz w:val="16"/>
          </w:rPr>
          <w:t>housing</w:t>
        </w:r>
      </w:hyperlink>
      <w:r>
        <w:rPr>
          <w:rFonts w:ascii="Times New Roman" w:hAnsi="Times New Roman"/>
          <w:sz w:val="16"/>
        </w:rPr>
        <w:t xml:space="preserve"> and beyond” (Eszköztár: „Szociális lakhatás és azon túl”)</w:t>
      </w:r>
      <w:r>
        <w:t>.</w:t>
      </w:r>
    </w:p>
  </w:footnote>
  <w:footnote w:id="42">
    <w:p w14:paraId="1D3755CC" w14:textId="141C7091" w:rsidR="00855A87" w:rsidRPr="006F7F1A" w:rsidRDefault="00855A87" w:rsidP="00855A8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Gender equality and health in the EU (Nemek közötti egyenlőség és egészség az EU-ban): </w:t>
      </w:r>
      <w:hyperlink r:id="rId80" w:history="1">
        <w:r>
          <w:rPr>
            <w:rStyle w:val="Hyperlink"/>
            <w:rFonts w:ascii="Times New Roman" w:hAnsi="Times New Roman"/>
            <w:sz w:val="16"/>
          </w:rPr>
          <w:t>https://www.saage-network.eu/sites/default/files/media/publication/DS0320880ENN-en.pdf</w:t>
        </w:r>
      </w:hyperlink>
      <w:r>
        <w:t>.</w:t>
      </w:r>
      <w:r>
        <w:rPr>
          <w:rFonts w:ascii="Times New Roman" w:hAnsi="Times New Roman"/>
          <w:sz w:val="16"/>
        </w:rPr>
        <w:t xml:space="preserve"> </w:t>
      </w:r>
    </w:p>
  </w:footnote>
  <w:footnote w:id="43">
    <w:p w14:paraId="61BDCBC4" w14:textId="77777777" w:rsidR="00F41F44" w:rsidRPr="006F7F1A" w:rsidRDefault="00F41F44" w:rsidP="00F41F44">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81" w:history="1">
        <w:r>
          <w:rPr>
            <w:rStyle w:val="Hyperlink"/>
            <w:rFonts w:ascii="Times New Roman" w:hAnsi="Times New Roman"/>
            <w:sz w:val="16"/>
          </w:rPr>
          <w:t>WHO:</w:t>
        </w:r>
      </w:hyperlink>
      <w:hyperlink r:id="rId82" w:history="1">
        <w:r>
          <w:rPr>
            <w:rStyle w:val="Hyperlink"/>
            <w:rFonts w:ascii="Times New Roman" w:hAnsi="Times New Roman"/>
            <w:sz w:val="16"/>
          </w:rPr>
          <w:t xml:space="preserve"> Tackling structural racism and ethnicity based discrimination in health (A strukturális rasszizmus és az etnikai alapú megkülönböztetés elleni küzdelem az egészségügyben)</w:t>
        </w:r>
      </w:hyperlink>
      <w:r>
        <w:t>.</w:t>
      </w:r>
    </w:p>
  </w:footnote>
  <w:footnote w:id="44">
    <w:p w14:paraId="68EAEF6A" w14:textId="434024A6" w:rsidR="00644AB1" w:rsidRPr="006F7F1A" w:rsidRDefault="00644AB1"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83" w:history="1">
        <w:r>
          <w:rPr>
            <w:rStyle w:val="Hyperlink"/>
            <w:rFonts w:ascii="Times New Roman" w:hAnsi="Times New Roman"/>
            <w:sz w:val="16"/>
          </w:rPr>
          <w:t>Az Európai Bizottság közleménye – Hosszú távú jövőkép az EU vidéki területei számára</w:t>
        </w:r>
      </w:hyperlink>
      <w:r>
        <w:t>.</w:t>
      </w:r>
    </w:p>
  </w:footnote>
  <w:footnote w:id="45">
    <w:p w14:paraId="77AE9956" w14:textId="06F5047C" w:rsidR="00A83756" w:rsidRDefault="00A83756">
      <w:pPr>
        <w:pStyle w:val="FootnoteText"/>
      </w:pPr>
      <w:r>
        <w:rPr>
          <w:rStyle w:val="FootnoteReference"/>
          <w:rFonts w:ascii="Times New Roman" w:hAnsi="Times New Roman" w:cs="Times New Roman"/>
          <w:sz w:val="16"/>
          <w:szCs w:val="16"/>
        </w:rPr>
        <w:footnoteRef/>
      </w:r>
      <w:r>
        <w:rPr>
          <w:rFonts w:ascii="Times New Roman" w:hAnsi="Times New Roman"/>
          <w:sz w:val="16"/>
        </w:rPr>
        <w:t>Ide tartozik például</w:t>
      </w:r>
      <w:hyperlink r:id="rId84" w:history="1">
        <w:r>
          <w:rPr>
            <w:rStyle w:val="Hyperlink"/>
            <w:rFonts w:ascii="Times New Roman" w:hAnsi="Times New Roman"/>
            <w:sz w:val="16"/>
          </w:rPr>
          <w:t xml:space="preserve"> az ENSZ Afrikai Származásúak Nemzetközi Évtizede</w:t>
        </w:r>
      </w:hyperlink>
      <w:r>
        <w:rPr>
          <w:rFonts w:ascii="Times New Roman" w:hAnsi="Times New Roman"/>
          <w:sz w:val="16"/>
        </w:rPr>
        <w:t xml:space="preserve">, valamint </w:t>
      </w:r>
      <w:hyperlink r:id="rId85" w:history="1">
        <w:r>
          <w:rPr>
            <w:rStyle w:val="Hyperlink"/>
            <w:rFonts w:ascii="Times New Roman" w:hAnsi="Times New Roman"/>
            <w:sz w:val="16"/>
          </w:rPr>
          <w:t>az UNESCO rasszizmus és megkülönböztetés elleni globális szövetsége.</w:t>
        </w:r>
      </w:hyperlink>
    </w:p>
  </w:footnote>
  <w:footnote w:id="46">
    <w:p w14:paraId="73A9E201" w14:textId="34FB3534" w:rsidR="00044518" w:rsidRPr="00495BB3" w:rsidRDefault="00044518"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Az </w:t>
      </w:r>
      <w:hyperlink r:id="rId86" w:history="1">
        <w:r>
          <w:rPr>
            <w:rStyle w:val="Hyperlink"/>
            <w:rFonts w:ascii="Times New Roman" w:hAnsi="Times New Roman"/>
            <w:sz w:val="16"/>
          </w:rPr>
          <w:t>uniós választási megfigyelő missziók 2023–2025-ös jelentései | EKSZ</w:t>
        </w:r>
      </w:hyperlink>
      <w:r>
        <w:t>.</w:t>
      </w:r>
    </w:p>
  </w:footnote>
  <w:footnote w:id="47">
    <w:p w14:paraId="336EBC3D" w14:textId="77777777" w:rsidR="00C627F2" w:rsidRPr="00495BB3" w:rsidRDefault="00C627F2"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87" w:history="1">
        <w:r>
          <w:rPr>
            <w:rStyle w:val="Hyperlink"/>
            <w:rFonts w:ascii="Times New Roman" w:hAnsi="Times New Roman"/>
            <w:sz w:val="16"/>
          </w:rPr>
          <w:t>Sajtóközlemény – Koordinációs ülés a muszlimellenes gyűlölet elleni küzdelemről |</w:t>
        </w:r>
      </w:hyperlink>
      <w:hyperlink r:id="rId88" w:history="1">
        <w:r>
          <w:rPr>
            <w:rStyle w:val="Hyperlink"/>
            <w:rFonts w:ascii="Times New Roman" w:hAnsi="Times New Roman"/>
            <w:sz w:val="16"/>
          </w:rPr>
          <w:t xml:space="preserve"> Európai Bizottság</w:t>
        </w:r>
      </w:hyperlink>
      <w:r>
        <w:t>.</w:t>
      </w:r>
    </w:p>
  </w:footnote>
  <w:footnote w:id="48">
    <w:p w14:paraId="4799E39C" w14:textId="14E5F808" w:rsidR="008E598E" w:rsidRPr="006F7F1A" w:rsidRDefault="008E598E" w:rsidP="008E598E">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89" w:history="1">
        <w:r>
          <w:rPr>
            <w:rStyle w:val="Hyperlink"/>
            <w:rFonts w:ascii="Times New Roman" w:hAnsi="Times New Roman"/>
            <w:sz w:val="16"/>
          </w:rPr>
          <w:t>A megkülönböztetésmentességgel, az egyenlőséggel és a sokféleséggel foglalkozó magas szintű munkacsoport alcsoportja</w:t>
        </w:r>
      </w:hyperlink>
      <w:r>
        <w:rPr>
          <w:rFonts w:ascii="Times New Roman" w:hAnsi="Times New Roman"/>
          <w:sz w:val="16"/>
        </w:rPr>
        <w:t xml:space="preserve">, valamint </w:t>
      </w:r>
      <w:hyperlink r:id="rId90" w:history="1">
        <w:r>
          <w:rPr>
            <w:rStyle w:val="Hyperlink"/>
            <w:rFonts w:ascii="Times New Roman" w:hAnsi="Times New Roman"/>
            <w:sz w:val="16"/>
          </w:rPr>
          <w:t>a gyűlöletbeszéd és a gyűlölet-bűncselekmények elleni küzdelemmel foglalkozó magas szintű munkacsoport</w:t>
        </w:r>
      </w:hyperlink>
      <w:r>
        <w:t>.</w:t>
      </w:r>
    </w:p>
  </w:footnote>
  <w:footnote w:id="49">
    <w:p w14:paraId="46B23B95" w14:textId="3E2A03CF" w:rsidR="00C7378E" w:rsidRPr="00C7378E" w:rsidRDefault="00C7378E">
      <w:pPr>
        <w:pStyle w:val="FootnoteText"/>
      </w:pPr>
      <w:r>
        <w:rPr>
          <w:rStyle w:val="FootnoteReference"/>
          <w:rFonts w:ascii="Times New Roman" w:hAnsi="Times New Roman" w:cs="Times New Roman"/>
          <w:sz w:val="16"/>
          <w:szCs w:val="16"/>
        </w:rPr>
        <w:footnoteRef/>
      </w:r>
      <w:r>
        <w:rPr>
          <w:rStyle w:val="FootnoteReference"/>
          <w:rFonts w:ascii="Times New Roman" w:hAnsi="Times New Roman"/>
          <w:sz w:val="16"/>
        </w:rPr>
        <w:t xml:space="preserve"> </w:t>
      </w:r>
      <w:r>
        <w:rPr>
          <w:rFonts w:ascii="Times New Roman" w:hAnsi="Times New Roman"/>
          <w:sz w:val="16"/>
        </w:rPr>
        <w:t xml:space="preserve">Lásd például </w:t>
      </w:r>
      <w:hyperlink r:id="rId91" w:history="1">
        <w:r>
          <w:rPr>
            <w:rStyle w:val="Hyperlink"/>
            <w:rFonts w:ascii="Times New Roman" w:hAnsi="Times New Roman"/>
            <w:sz w:val="16"/>
          </w:rPr>
          <w:t>a rasszizmus és a faji megkülönböztetés elleni nemzeti cselekvési tervekre vonatkozó közös irányadó elveket</w:t>
        </w:r>
      </w:hyperlink>
      <w:r>
        <w:t>.</w:t>
      </w:r>
    </w:p>
  </w:footnote>
  <w:footnote w:id="50">
    <w:p w14:paraId="78F5E039" w14:textId="77777777" w:rsidR="00F0775D" w:rsidRPr="006F7F1A" w:rsidRDefault="00F0775D"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92" w:history="1">
        <w:r>
          <w:rPr>
            <w:rStyle w:val="Hyperlink"/>
            <w:rFonts w:ascii="Times New Roman" w:hAnsi="Times New Roman"/>
            <w:sz w:val="16"/>
          </w:rPr>
          <w:t>A rasszizmus elleni nemzeti cselekvési tervek kidolgozására vonatkozó közös irányadó elvek</w:t>
        </w:r>
      </w:hyperlink>
      <w:r>
        <w:t>.</w:t>
      </w:r>
    </w:p>
  </w:footnote>
  <w:footnote w:id="51">
    <w:p w14:paraId="480DC1C3" w14:textId="0A1EE6CF" w:rsidR="00066083" w:rsidRPr="006F7F1A" w:rsidRDefault="00845314"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93" w:history="1">
        <w:r>
          <w:rPr>
            <w:rStyle w:val="Hyperlink"/>
            <w:rFonts w:ascii="Times New Roman" w:hAnsi="Times New Roman"/>
            <w:sz w:val="16"/>
          </w:rPr>
          <w:t>Európai Politikai Központ 2025:</w:t>
        </w:r>
      </w:hyperlink>
      <w:hyperlink r:id="rId94" w:history="1">
        <w:r>
          <w:rPr>
            <w:rStyle w:val="Hyperlink"/>
            <w:rFonts w:ascii="Times New Roman" w:hAnsi="Times New Roman"/>
            <w:sz w:val="16"/>
          </w:rPr>
          <w:t xml:space="preserve"> Az európai civil társadalmi tér biztosítása</w:t>
        </w:r>
      </w:hyperlink>
      <w:r>
        <w:rPr>
          <w:rFonts w:ascii="Times New Roman" w:hAnsi="Times New Roman"/>
          <w:color w:val="0000FF"/>
          <w:sz w:val="16"/>
          <w:u w:val="single"/>
        </w:rPr>
        <w:t xml:space="preserve">; </w:t>
      </w:r>
      <w:hyperlink r:id="rId95" w:history="1">
        <w:r>
          <w:rPr>
            <w:rStyle w:val="Hyperlink"/>
            <w:rFonts w:ascii="Times New Roman" w:hAnsi="Times New Roman"/>
            <w:sz w:val="16"/>
          </w:rPr>
          <w:t>FRA (2024):</w:t>
        </w:r>
      </w:hyperlink>
      <w:hyperlink r:id="rId96" w:history="1">
        <w:r>
          <w:rPr>
            <w:rStyle w:val="Hyperlink"/>
            <w:rFonts w:ascii="Times New Roman" w:hAnsi="Times New Roman"/>
            <w:sz w:val="16"/>
          </w:rPr>
          <w:t xml:space="preserve"> Az FRA civil társadalmi térrel kapcsolatos, 2024-re vonatkozó konzultációja főbb megállapításainak összefoglalása</w:t>
        </w:r>
      </w:hyperlink>
      <w:r>
        <w:rPr>
          <w:rFonts w:ascii="Times New Roman" w:hAnsi="Times New Roman"/>
          <w:color w:val="0000FF"/>
          <w:sz w:val="16"/>
          <w:u w:val="single"/>
        </w:rPr>
        <w:t xml:space="preserve">; </w:t>
      </w:r>
      <w:hyperlink r:id="rId97" w:history="1">
        <w:r>
          <w:rPr>
            <w:rStyle w:val="Hyperlink"/>
            <w:rFonts w:ascii="Times New Roman" w:hAnsi="Times New Roman"/>
            <w:sz w:val="16"/>
          </w:rPr>
          <w:t>Civil Society Europe 2025:</w:t>
        </w:r>
      </w:hyperlink>
      <w:hyperlink r:id="rId98" w:history="1">
        <w:r>
          <w:rPr>
            <w:rStyle w:val="Hyperlink"/>
            <w:rFonts w:ascii="Times New Roman" w:hAnsi="Times New Roman"/>
            <w:sz w:val="16"/>
          </w:rPr>
          <w:t xml:space="preserve"> Hozzájárulás a 2025. évi éves jogállamisági jelentéshez</w:t>
        </w:r>
      </w:hyperlink>
      <w:r>
        <w:t>.</w:t>
      </w:r>
    </w:p>
  </w:footnote>
  <w:footnote w:id="52">
    <w:p w14:paraId="54AD430E" w14:textId="3B03569F" w:rsidR="001536B5" w:rsidRPr="006F7F1A" w:rsidRDefault="001536B5" w:rsidP="006F7F1A">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sz w:val="16"/>
        </w:rPr>
        <w:t xml:space="preserve"> </w:t>
      </w:r>
      <w:hyperlink r:id="rId99" w:history="1">
        <w:r>
          <w:rPr>
            <w:rStyle w:val="Hyperlink"/>
            <w:rFonts w:ascii="Times New Roman" w:hAnsi="Times New Roman"/>
            <w:sz w:val="16"/>
          </w:rPr>
          <w:t>Sokszínűség és társadalmi befogadás – Európai Bizottság</w:t>
        </w:r>
      </w:hyperlink>
      <w:r>
        <w:rPr>
          <w:rFonts w:ascii="Times New Roman" w:hAnsi="Times New Roman"/>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6B557" w14:textId="77777777" w:rsidR="002A2434" w:rsidRPr="002A2434" w:rsidRDefault="002A2434" w:rsidP="002A243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8DCC6" w14:textId="77777777" w:rsidR="002A2434" w:rsidRPr="002A2434" w:rsidRDefault="002A2434" w:rsidP="002A243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C2797" w14:textId="77777777" w:rsidR="002A2434" w:rsidRPr="002A2434" w:rsidRDefault="002A2434" w:rsidP="002A243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B8170" w14:textId="77777777" w:rsidR="00BF6E0E" w:rsidRDefault="00BF6E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160E2" w14:textId="77777777" w:rsidR="00BF6E0E" w:rsidRDefault="00BF6E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4A6FF" w14:textId="77777777" w:rsidR="00BF6E0E" w:rsidRDefault="00BF6E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0C4DC" w14:textId="77777777" w:rsidR="00BF6E0E" w:rsidRDefault="00BF6E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8EC1F" w14:textId="77777777" w:rsidR="00BF6E0E" w:rsidRDefault="00BF6E0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99B94" w14:textId="77777777" w:rsidR="00BF6E0E" w:rsidRDefault="00BF6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FF823F"/>
    <w:multiLevelType w:val="singleLevel"/>
    <w:tmpl w:val="59C8B518"/>
    <w:lvl w:ilvl="0">
      <w:start w:val="1"/>
      <w:numFmt w:val="bullet"/>
      <w:lvlText w:val=""/>
      <w:lvlJc w:val="left"/>
      <w:pPr>
        <w:ind w:left="360" w:hanging="360"/>
      </w:pPr>
      <w:rPr>
        <w:rFonts w:ascii="Symbol" w:hAnsi="Symbol" w:hint="default"/>
        <w:sz w:val="22"/>
        <w:szCs w:val="22"/>
        <w:lang w:val="de-DE"/>
      </w:rPr>
    </w:lvl>
  </w:abstractNum>
  <w:abstractNum w:abstractNumId="1" w15:restartNumberingAfterBreak="0">
    <w:nsid w:val="D7FF8B57"/>
    <w:multiLevelType w:val="singleLevel"/>
    <w:tmpl w:val="D7FF8B57"/>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E57FDE0F"/>
    <w:multiLevelType w:val="singleLevel"/>
    <w:tmpl w:val="0809000B"/>
    <w:lvl w:ilvl="0">
      <w:start w:val="1"/>
      <w:numFmt w:val="bullet"/>
      <w:lvlText w:val=""/>
      <w:lvlJc w:val="left"/>
      <w:pPr>
        <w:ind w:left="360" w:hanging="360"/>
      </w:pPr>
      <w:rPr>
        <w:rFonts w:ascii="Wingdings" w:hAnsi="Wingdings" w:hint="default"/>
        <w:sz w:val="18"/>
        <w:szCs w:val="18"/>
      </w:rPr>
    </w:lvl>
  </w:abstractNum>
  <w:abstractNum w:abstractNumId="3" w15:restartNumberingAfterBreak="0">
    <w:nsid w:val="E760E8A4"/>
    <w:multiLevelType w:val="singleLevel"/>
    <w:tmpl w:val="0809000B"/>
    <w:lvl w:ilvl="0">
      <w:start w:val="1"/>
      <w:numFmt w:val="bullet"/>
      <w:lvlText w:val=""/>
      <w:lvlJc w:val="left"/>
      <w:pPr>
        <w:ind w:left="360" w:hanging="360"/>
      </w:pPr>
      <w:rPr>
        <w:rFonts w:ascii="Wingdings" w:hAnsi="Wingdings" w:hint="default"/>
      </w:rPr>
    </w:lvl>
  </w:abstractNum>
  <w:abstractNum w:abstractNumId="4" w15:restartNumberingAfterBreak="0">
    <w:nsid w:val="EDF69A95"/>
    <w:multiLevelType w:val="singleLevel"/>
    <w:tmpl w:val="EDF69A95"/>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39D6061"/>
    <w:multiLevelType w:val="multilevel"/>
    <w:tmpl w:val="039D606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A17473D"/>
    <w:multiLevelType w:val="hybridMultilevel"/>
    <w:tmpl w:val="166C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E9410D"/>
    <w:multiLevelType w:val="hybridMultilevel"/>
    <w:tmpl w:val="A9C09CEA"/>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001184B"/>
    <w:multiLevelType w:val="hybridMultilevel"/>
    <w:tmpl w:val="3176FF1C"/>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0E26F32"/>
    <w:multiLevelType w:val="multilevel"/>
    <w:tmpl w:val="10E26F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4E849D0"/>
    <w:multiLevelType w:val="hybridMultilevel"/>
    <w:tmpl w:val="DCD42B90"/>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8C276B2"/>
    <w:multiLevelType w:val="hybridMultilevel"/>
    <w:tmpl w:val="B01A43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F72C12"/>
    <w:multiLevelType w:val="hybridMultilevel"/>
    <w:tmpl w:val="F11ECD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D9E6F97"/>
    <w:multiLevelType w:val="hybridMultilevel"/>
    <w:tmpl w:val="730AB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F1BB012"/>
    <w:multiLevelType w:val="hybridMultilevel"/>
    <w:tmpl w:val="FBAED548"/>
    <w:lvl w:ilvl="0" w:tplc="ACAA6B5C">
      <w:start w:val="1"/>
      <w:numFmt w:val="bullet"/>
      <w:lvlText w:val="·"/>
      <w:lvlJc w:val="left"/>
      <w:pPr>
        <w:ind w:left="720" w:hanging="360"/>
      </w:pPr>
      <w:rPr>
        <w:rFonts w:ascii="Symbol" w:hAnsi="Symbol" w:hint="default"/>
      </w:rPr>
    </w:lvl>
    <w:lvl w:ilvl="1" w:tplc="05A4BE92">
      <w:start w:val="1"/>
      <w:numFmt w:val="bullet"/>
      <w:lvlText w:val="o"/>
      <w:lvlJc w:val="left"/>
      <w:pPr>
        <w:ind w:left="1440" w:hanging="360"/>
      </w:pPr>
      <w:rPr>
        <w:rFonts w:ascii="Courier New" w:hAnsi="Courier New" w:hint="default"/>
      </w:rPr>
    </w:lvl>
    <w:lvl w:ilvl="2" w:tplc="8FF8ADE2">
      <w:start w:val="1"/>
      <w:numFmt w:val="bullet"/>
      <w:lvlText w:val=""/>
      <w:lvlJc w:val="left"/>
      <w:pPr>
        <w:ind w:left="2160" w:hanging="360"/>
      </w:pPr>
      <w:rPr>
        <w:rFonts w:ascii="Wingdings" w:hAnsi="Wingdings" w:hint="default"/>
      </w:rPr>
    </w:lvl>
    <w:lvl w:ilvl="3" w:tplc="5F022848">
      <w:start w:val="1"/>
      <w:numFmt w:val="bullet"/>
      <w:lvlText w:val=""/>
      <w:lvlJc w:val="left"/>
      <w:pPr>
        <w:ind w:left="2880" w:hanging="360"/>
      </w:pPr>
      <w:rPr>
        <w:rFonts w:ascii="Symbol" w:hAnsi="Symbol" w:hint="default"/>
      </w:rPr>
    </w:lvl>
    <w:lvl w:ilvl="4" w:tplc="B94651B2">
      <w:start w:val="1"/>
      <w:numFmt w:val="bullet"/>
      <w:lvlText w:val="o"/>
      <w:lvlJc w:val="left"/>
      <w:pPr>
        <w:ind w:left="3600" w:hanging="360"/>
      </w:pPr>
      <w:rPr>
        <w:rFonts w:ascii="Courier New" w:hAnsi="Courier New" w:hint="default"/>
      </w:rPr>
    </w:lvl>
    <w:lvl w:ilvl="5" w:tplc="7464C30C">
      <w:start w:val="1"/>
      <w:numFmt w:val="bullet"/>
      <w:lvlText w:val=""/>
      <w:lvlJc w:val="left"/>
      <w:pPr>
        <w:ind w:left="4320" w:hanging="360"/>
      </w:pPr>
      <w:rPr>
        <w:rFonts w:ascii="Wingdings" w:hAnsi="Wingdings" w:hint="default"/>
      </w:rPr>
    </w:lvl>
    <w:lvl w:ilvl="6" w:tplc="528C17D0">
      <w:start w:val="1"/>
      <w:numFmt w:val="bullet"/>
      <w:lvlText w:val=""/>
      <w:lvlJc w:val="left"/>
      <w:pPr>
        <w:ind w:left="5040" w:hanging="360"/>
      </w:pPr>
      <w:rPr>
        <w:rFonts w:ascii="Symbol" w:hAnsi="Symbol" w:hint="default"/>
      </w:rPr>
    </w:lvl>
    <w:lvl w:ilvl="7" w:tplc="DA60453E">
      <w:start w:val="1"/>
      <w:numFmt w:val="bullet"/>
      <w:lvlText w:val="o"/>
      <w:lvlJc w:val="left"/>
      <w:pPr>
        <w:ind w:left="5760" w:hanging="360"/>
      </w:pPr>
      <w:rPr>
        <w:rFonts w:ascii="Courier New" w:hAnsi="Courier New" w:hint="default"/>
      </w:rPr>
    </w:lvl>
    <w:lvl w:ilvl="8" w:tplc="A6E4ECEA">
      <w:start w:val="1"/>
      <w:numFmt w:val="bullet"/>
      <w:lvlText w:val=""/>
      <w:lvlJc w:val="left"/>
      <w:pPr>
        <w:ind w:left="6480" w:hanging="360"/>
      </w:pPr>
      <w:rPr>
        <w:rFonts w:ascii="Wingdings" w:hAnsi="Wingdings" w:hint="default"/>
      </w:rPr>
    </w:lvl>
  </w:abstractNum>
  <w:abstractNum w:abstractNumId="15" w15:restartNumberingAfterBreak="0">
    <w:nsid w:val="20F75499"/>
    <w:multiLevelType w:val="hybridMultilevel"/>
    <w:tmpl w:val="6C02F3F6"/>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BA2962"/>
    <w:multiLevelType w:val="hybridMultilevel"/>
    <w:tmpl w:val="7CB6BAA6"/>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150DD1"/>
    <w:multiLevelType w:val="hybridMultilevel"/>
    <w:tmpl w:val="A2427028"/>
    <w:lvl w:ilvl="0" w:tplc="ACAA6B5C">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A303C5B"/>
    <w:multiLevelType w:val="hybridMultilevel"/>
    <w:tmpl w:val="EDCA18BC"/>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292E17"/>
    <w:multiLevelType w:val="hybridMultilevel"/>
    <w:tmpl w:val="D916A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E4D05D3"/>
    <w:multiLevelType w:val="hybridMultilevel"/>
    <w:tmpl w:val="4CC0C8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2F866775"/>
    <w:multiLevelType w:val="hybridMultilevel"/>
    <w:tmpl w:val="78A4A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7E3F23"/>
    <w:multiLevelType w:val="hybridMultilevel"/>
    <w:tmpl w:val="E8E09BC0"/>
    <w:lvl w:ilvl="0" w:tplc="ACAA6B5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BE4396"/>
    <w:multiLevelType w:val="hybridMultilevel"/>
    <w:tmpl w:val="3F1CA322"/>
    <w:lvl w:ilvl="0" w:tplc="4718B91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017B48"/>
    <w:multiLevelType w:val="hybridMultilevel"/>
    <w:tmpl w:val="2AC6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6D39F3"/>
    <w:multiLevelType w:val="hybridMultilevel"/>
    <w:tmpl w:val="9F7A8F0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45A725C"/>
    <w:multiLevelType w:val="hybridMultilevel"/>
    <w:tmpl w:val="19787E26"/>
    <w:lvl w:ilvl="0" w:tplc="ACAA6B5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8F5AFE"/>
    <w:multiLevelType w:val="hybridMultilevel"/>
    <w:tmpl w:val="02EE9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D4C1CEE"/>
    <w:multiLevelType w:val="multilevel"/>
    <w:tmpl w:val="4D4C1C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2926F20"/>
    <w:multiLevelType w:val="hybridMultilevel"/>
    <w:tmpl w:val="DF28A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2A118B"/>
    <w:multiLevelType w:val="hybridMultilevel"/>
    <w:tmpl w:val="5D608A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4FC1603"/>
    <w:multiLevelType w:val="multilevel"/>
    <w:tmpl w:val="54FC16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11299B"/>
    <w:multiLevelType w:val="hybridMultilevel"/>
    <w:tmpl w:val="C6B6F17E"/>
    <w:lvl w:ilvl="0" w:tplc="4718B91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D6418AD"/>
    <w:multiLevelType w:val="multilevel"/>
    <w:tmpl w:val="5D6418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DEEE573"/>
    <w:multiLevelType w:val="hybridMultilevel"/>
    <w:tmpl w:val="7A2A08A6"/>
    <w:lvl w:ilvl="0" w:tplc="4718B912">
      <w:start w:val="1"/>
      <w:numFmt w:val="bullet"/>
      <w:lvlText w:val="·"/>
      <w:lvlJc w:val="left"/>
      <w:pPr>
        <w:ind w:left="720" w:hanging="360"/>
      </w:pPr>
      <w:rPr>
        <w:rFonts w:ascii="Symbol" w:hAnsi="Symbol" w:hint="default"/>
      </w:rPr>
    </w:lvl>
    <w:lvl w:ilvl="1" w:tplc="A13637CA">
      <w:start w:val="1"/>
      <w:numFmt w:val="bullet"/>
      <w:lvlText w:val="o"/>
      <w:lvlJc w:val="left"/>
      <w:pPr>
        <w:ind w:left="1440" w:hanging="360"/>
      </w:pPr>
      <w:rPr>
        <w:rFonts w:ascii="Courier New" w:hAnsi="Courier New" w:hint="default"/>
      </w:rPr>
    </w:lvl>
    <w:lvl w:ilvl="2" w:tplc="C6CE843A">
      <w:start w:val="1"/>
      <w:numFmt w:val="bullet"/>
      <w:lvlText w:val=""/>
      <w:lvlJc w:val="left"/>
      <w:pPr>
        <w:ind w:left="2160" w:hanging="360"/>
      </w:pPr>
      <w:rPr>
        <w:rFonts w:ascii="Wingdings" w:hAnsi="Wingdings" w:hint="default"/>
      </w:rPr>
    </w:lvl>
    <w:lvl w:ilvl="3" w:tplc="1E089128">
      <w:start w:val="1"/>
      <w:numFmt w:val="bullet"/>
      <w:lvlText w:val=""/>
      <w:lvlJc w:val="left"/>
      <w:pPr>
        <w:ind w:left="2880" w:hanging="360"/>
      </w:pPr>
      <w:rPr>
        <w:rFonts w:ascii="Symbol" w:hAnsi="Symbol" w:hint="default"/>
      </w:rPr>
    </w:lvl>
    <w:lvl w:ilvl="4" w:tplc="291EE6E4">
      <w:start w:val="1"/>
      <w:numFmt w:val="bullet"/>
      <w:lvlText w:val="o"/>
      <w:lvlJc w:val="left"/>
      <w:pPr>
        <w:ind w:left="3600" w:hanging="360"/>
      </w:pPr>
      <w:rPr>
        <w:rFonts w:ascii="Courier New" w:hAnsi="Courier New" w:hint="default"/>
      </w:rPr>
    </w:lvl>
    <w:lvl w:ilvl="5" w:tplc="6D945E22">
      <w:start w:val="1"/>
      <w:numFmt w:val="bullet"/>
      <w:lvlText w:val=""/>
      <w:lvlJc w:val="left"/>
      <w:pPr>
        <w:ind w:left="4320" w:hanging="360"/>
      </w:pPr>
      <w:rPr>
        <w:rFonts w:ascii="Wingdings" w:hAnsi="Wingdings" w:hint="default"/>
      </w:rPr>
    </w:lvl>
    <w:lvl w:ilvl="6" w:tplc="A95CC6CA">
      <w:start w:val="1"/>
      <w:numFmt w:val="bullet"/>
      <w:lvlText w:val=""/>
      <w:lvlJc w:val="left"/>
      <w:pPr>
        <w:ind w:left="5040" w:hanging="360"/>
      </w:pPr>
      <w:rPr>
        <w:rFonts w:ascii="Symbol" w:hAnsi="Symbol" w:hint="default"/>
      </w:rPr>
    </w:lvl>
    <w:lvl w:ilvl="7" w:tplc="BCDE3388">
      <w:start w:val="1"/>
      <w:numFmt w:val="bullet"/>
      <w:lvlText w:val="o"/>
      <w:lvlJc w:val="left"/>
      <w:pPr>
        <w:ind w:left="5760" w:hanging="360"/>
      </w:pPr>
      <w:rPr>
        <w:rFonts w:ascii="Courier New" w:hAnsi="Courier New" w:hint="default"/>
      </w:rPr>
    </w:lvl>
    <w:lvl w:ilvl="8" w:tplc="444EE770">
      <w:start w:val="1"/>
      <w:numFmt w:val="bullet"/>
      <w:lvlText w:val=""/>
      <w:lvlJc w:val="left"/>
      <w:pPr>
        <w:ind w:left="6480" w:hanging="360"/>
      </w:pPr>
      <w:rPr>
        <w:rFonts w:ascii="Wingdings" w:hAnsi="Wingdings" w:hint="default"/>
      </w:rPr>
    </w:lvl>
  </w:abstractNum>
  <w:abstractNum w:abstractNumId="35" w15:restartNumberingAfterBreak="0">
    <w:nsid w:val="66ED6F90"/>
    <w:multiLevelType w:val="multilevel"/>
    <w:tmpl w:val="64B62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8AA053F"/>
    <w:multiLevelType w:val="hybridMultilevel"/>
    <w:tmpl w:val="EE68D5C0"/>
    <w:lvl w:ilvl="0" w:tplc="4718B91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AF4331"/>
    <w:multiLevelType w:val="hybridMultilevel"/>
    <w:tmpl w:val="BCCC51F0"/>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0AC3C33"/>
    <w:multiLevelType w:val="hybridMultilevel"/>
    <w:tmpl w:val="586CB94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B8C7DD4"/>
    <w:multiLevelType w:val="multilevel"/>
    <w:tmpl w:val="7B8C7D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BBA5F82"/>
    <w:multiLevelType w:val="hybridMultilevel"/>
    <w:tmpl w:val="89805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BDB57B5"/>
    <w:multiLevelType w:val="hybridMultilevel"/>
    <w:tmpl w:val="FE6E4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EE1E0B"/>
    <w:multiLevelType w:val="hybridMultilevel"/>
    <w:tmpl w:val="BE487C6E"/>
    <w:lvl w:ilvl="0" w:tplc="4718B91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FFA3EF3"/>
    <w:multiLevelType w:val="singleLevel"/>
    <w:tmpl w:val="7FFA3EF3"/>
    <w:lvl w:ilvl="0">
      <w:start w:val="1"/>
      <w:numFmt w:val="bullet"/>
      <w:lvlText w:val=""/>
      <w:lvlJc w:val="left"/>
      <w:pPr>
        <w:tabs>
          <w:tab w:val="left" w:pos="420"/>
        </w:tabs>
        <w:ind w:left="420" w:hanging="420"/>
      </w:pPr>
      <w:rPr>
        <w:rFonts w:ascii="Wingdings" w:hAnsi="Wingdings" w:hint="default"/>
      </w:rPr>
    </w:lvl>
  </w:abstractNum>
  <w:num w:numId="1">
    <w:abstractNumId w:val="14"/>
  </w:num>
  <w:num w:numId="2">
    <w:abstractNumId w:val="34"/>
  </w:num>
  <w:num w:numId="3">
    <w:abstractNumId w:val="2"/>
  </w:num>
  <w:num w:numId="4">
    <w:abstractNumId w:val="5"/>
  </w:num>
  <w:num w:numId="5">
    <w:abstractNumId w:val="0"/>
  </w:num>
  <w:num w:numId="6">
    <w:abstractNumId w:val="33"/>
  </w:num>
  <w:num w:numId="7">
    <w:abstractNumId w:val="28"/>
  </w:num>
  <w:num w:numId="8">
    <w:abstractNumId w:val="3"/>
  </w:num>
  <w:num w:numId="9">
    <w:abstractNumId w:val="39"/>
  </w:num>
  <w:num w:numId="10">
    <w:abstractNumId w:val="4"/>
  </w:num>
  <w:num w:numId="11">
    <w:abstractNumId w:val="9"/>
  </w:num>
  <w:num w:numId="12">
    <w:abstractNumId w:val="1"/>
  </w:num>
  <w:num w:numId="13">
    <w:abstractNumId w:val="31"/>
  </w:num>
  <w:num w:numId="14">
    <w:abstractNumId w:val="43"/>
  </w:num>
  <w:num w:numId="15">
    <w:abstractNumId w:val="20"/>
  </w:num>
  <w:num w:numId="16">
    <w:abstractNumId w:val="13"/>
  </w:num>
  <w:num w:numId="17">
    <w:abstractNumId w:val="27"/>
  </w:num>
  <w:num w:numId="18">
    <w:abstractNumId w:val="40"/>
  </w:num>
  <w:num w:numId="19">
    <w:abstractNumId w:val="12"/>
  </w:num>
  <w:num w:numId="20">
    <w:abstractNumId w:val="30"/>
  </w:num>
  <w:num w:numId="21">
    <w:abstractNumId w:val="26"/>
  </w:num>
  <w:num w:numId="22">
    <w:abstractNumId w:val="22"/>
  </w:num>
  <w:num w:numId="23">
    <w:abstractNumId w:val="6"/>
  </w:num>
  <w:num w:numId="24">
    <w:abstractNumId w:val="21"/>
  </w:num>
  <w:num w:numId="25">
    <w:abstractNumId w:val="29"/>
  </w:num>
  <w:num w:numId="26">
    <w:abstractNumId w:val="15"/>
  </w:num>
  <w:num w:numId="27">
    <w:abstractNumId w:val="18"/>
  </w:num>
  <w:num w:numId="28">
    <w:abstractNumId w:val="42"/>
  </w:num>
  <w:num w:numId="29">
    <w:abstractNumId w:val="7"/>
  </w:num>
  <w:num w:numId="30">
    <w:abstractNumId w:val="16"/>
  </w:num>
  <w:num w:numId="31">
    <w:abstractNumId w:val="19"/>
  </w:num>
  <w:num w:numId="32">
    <w:abstractNumId w:val="38"/>
  </w:num>
  <w:num w:numId="33">
    <w:abstractNumId w:val="8"/>
  </w:num>
  <w:num w:numId="34">
    <w:abstractNumId w:val="25"/>
  </w:num>
  <w:num w:numId="35">
    <w:abstractNumId w:val="37"/>
  </w:num>
  <w:num w:numId="36">
    <w:abstractNumId w:val="10"/>
  </w:num>
  <w:num w:numId="37">
    <w:abstractNumId w:val="11"/>
  </w:num>
  <w:num w:numId="38">
    <w:abstractNumId w:val="24"/>
  </w:num>
  <w:num w:numId="39">
    <w:abstractNumId w:val="41"/>
  </w:num>
  <w:num w:numId="40">
    <w:abstractNumId w:val="17"/>
  </w:num>
  <w:num w:numId="41">
    <w:abstractNumId w:val="36"/>
  </w:num>
  <w:num w:numId="42">
    <w:abstractNumId w:val="23"/>
  </w:num>
  <w:num w:numId="43">
    <w:abstractNumId w:val="32"/>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E5A5191-5BC0-43A2-AA01-748BCBD3A3CB"/>
    <w:docVar w:name="LW_COVERPAGE_TYPE" w:val="1"/>
    <w:docVar w:name="LW_CROSSREFERENCE" w:val="&lt;UNUSED&gt;"/>
    <w:docVar w:name="LW_DocType" w:val="NORMAL"/>
    <w:docVar w:name="LW_EMISSION" w:val="2026.1.20."/>
    <w:docVar w:name="LW_EMISSION_ISODATE" w:val="2026-01-20"/>
    <w:docVar w:name="LW_EMISSION_LOCATION" w:val="STR"/>
    <w:docVar w:name="LW_EMISSION_PREFIX" w:val="Strasbourg, "/>
    <w:docVar w:name="LW_EMISSION_SUFFIX" w:val=" "/>
    <w:docVar w:name="LW_ID_DOCTYPE_NONLW" w:val="CP-014"/>
    <w:docVar w:name="LW_LANGUE" w:val="HU"/>
    <w:docVar w:name="LW_LEVEL_OF_SENSITIVITY" w:val="Standard treatment"/>
    <w:docVar w:name="LW_NOM.INST" w:val="EURÓPAI BIZOTTSÁG"/>
    <w:docVar w:name="LW_NOM.INST_JOINTDOC" w:val="&lt;EMPTY&gt;"/>
    <w:docVar w:name="LW_PART_NBR" w:val="1"/>
    <w:docVar w:name="LW_PART_NBR_TOTAL" w:val="1"/>
    <w:docVar w:name="LW_REF.INST.NEW" w:val="COM"/>
    <w:docVar w:name="LW_REF.INST.NEW_ADOPTED" w:val="final"/>
    <w:docVar w:name="LW_REF.INST.NEW_TEXT" w:val="(2026) 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z egyenl\u337?ségközpontú Unió: az EU rasszizmus elleni stratégiája (2026\u8211?2030)"/>
    <w:docVar w:name="LW_TYPE.DOC.CP" w:val="A BIZOTTSÁG KÖZLEMÉNYE AZ EURÓPAI PARLAMENTNEK, A TANÁCSNAK, AZ EURÓPAI GAZDASÁGI ÉS SZOCIÁLIS BIZOTTSÁGNAK ÉS A RÉGIÓK BIZOTTSÁGÁNAK"/>
    <w:docVar w:name="LW_TYPE.DOC.CP.USERTEXT" w:val="&lt;EMPTY&gt;"/>
    <w:docVar w:name="LwApiVersions" w:val="LW4CoDe 1.24.5.0; LW 9.2, Build 20251112"/>
  </w:docVars>
  <w:rsids>
    <w:rsidRoot w:val="00505E28"/>
    <w:rsid w:val="D7DFF81B"/>
    <w:rsid w:val="E5D9A0F3"/>
    <w:rsid w:val="FAFB9F08"/>
    <w:rsid w:val="0000002D"/>
    <w:rsid w:val="0000054F"/>
    <w:rsid w:val="00000CF9"/>
    <w:rsid w:val="000013D3"/>
    <w:rsid w:val="00001641"/>
    <w:rsid w:val="000017D1"/>
    <w:rsid w:val="00002035"/>
    <w:rsid w:val="00002897"/>
    <w:rsid w:val="00002E97"/>
    <w:rsid w:val="00003007"/>
    <w:rsid w:val="00003940"/>
    <w:rsid w:val="00003A2D"/>
    <w:rsid w:val="00003F4A"/>
    <w:rsid w:val="0000477F"/>
    <w:rsid w:val="000047FC"/>
    <w:rsid w:val="00004AD3"/>
    <w:rsid w:val="00005566"/>
    <w:rsid w:val="000056AE"/>
    <w:rsid w:val="00005F1B"/>
    <w:rsid w:val="00006090"/>
    <w:rsid w:val="0000663F"/>
    <w:rsid w:val="00006789"/>
    <w:rsid w:val="000068B9"/>
    <w:rsid w:val="000069CD"/>
    <w:rsid w:val="000069F0"/>
    <w:rsid w:val="00006B11"/>
    <w:rsid w:val="0000708F"/>
    <w:rsid w:val="00007794"/>
    <w:rsid w:val="00007AA0"/>
    <w:rsid w:val="00007FB3"/>
    <w:rsid w:val="00010254"/>
    <w:rsid w:val="000106D4"/>
    <w:rsid w:val="00011646"/>
    <w:rsid w:val="0001213A"/>
    <w:rsid w:val="0001253A"/>
    <w:rsid w:val="00012AC4"/>
    <w:rsid w:val="00012DE6"/>
    <w:rsid w:val="00013218"/>
    <w:rsid w:val="000134DC"/>
    <w:rsid w:val="00013694"/>
    <w:rsid w:val="000136FD"/>
    <w:rsid w:val="00013F7D"/>
    <w:rsid w:val="00013FEB"/>
    <w:rsid w:val="00014154"/>
    <w:rsid w:val="0001436C"/>
    <w:rsid w:val="000146B8"/>
    <w:rsid w:val="00014EF6"/>
    <w:rsid w:val="0001555B"/>
    <w:rsid w:val="00015BC4"/>
    <w:rsid w:val="00015BF3"/>
    <w:rsid w:val="00015D66"/>
    <w:rsid w:val="00015F0D"/>
    <w:rsid w:val="00015FE2"/>
    <w:rsid w:val="0001661A"/>
    <w:rsid w:val="000171A6"/>
    <w:rsid w:val="000173FC"/>
    <w:rsid w:val="0002017B"/>
    <w:rsid w:val="00020DF7"/>
    <w:rsid w:val="000219AF"/>
    <w:rsid w:val="00021FAA"/>
    <w:rsid w:val="0002201E"/>
    <w:rsid w:val="00022359"/>
    <w:rsid w:val="000225A0"/>
    <w:rsid w:val="000226B1"/>
    <w:rsid w:val="00022F5A"/>
    <w:rsid w:val="00022FD7"/>
    <w:rsid w:val="00022FE5"/>
    <w:rsid w:val="00023159"/>
    <w:rsid w:val="00023290"/>
    <w:rsid w:val="0002426D"/>
    <w:rsid w:val="00025490"/>
    <w:rsid w:val="00026B2A"/>
    <w:rsid w:val="00026D32"/>
    <w:rsid w:val="00027AE9"/>
    <w:rsid w:val="00030690"/>
    <w:rsid w:val="00030EDB"/>
    <w:rsid w:val="0003105B"/>
    <w:rsid w:val="000310E1"/>
    <w:rsid w:val="0003118E"/>
    <w:rsid w:val="0003178B"/>
    <w:rsid w:val="00031DD1"/>
    <w:rsid w:val="00031ECA"/>
    <w:rsid w:val="00032F85"/>
    <w:rsid w:val="000332C8"/>
    <w:rsid w:val="00033415"/>
    <w:rsid w:val="0003645D"/>
    <w:rsid w:val="000367F1"/>
    <w:rsid w:val="00036A47"/>
    <w:rsid w:val="00036B63"/>
    <w:rsid w:val="00036C2E"/>
    <w:rsid w:val="0003717B"/>
    <w:rsid w:val="00037893"/>
    <w:rsid w:val="00037927"/>
    <w:rsid w:val="00037C16"/>
    <w:rsid w:val="00040F96"/>
    <w:rsid w:val="00041745"/>
    <w:rsid w:val="00041880"/>
    <w:rsid w:val="00042448"/>
    <w:rsid w:val="000425CC"/>
    <w:rsid w:val="0004261A"/>
    <w:rsid w:val="00042B2F"/>
    <w:rsid w:val="00042CF9"/>
    <w:rsid w:val="00042DBA"/>
    <w:rsid w:val="000431B2"/>
    <w:rsid w:val="000440A8"/>
    <w:rsid w:val="00044518"/>
    <w:rsid w:val="000450D3"/>
    <w:rsid w:val="00046125"/>
    <w:rsid w:val="00046138"/>
    <w:rsid w:val="000461D1"/>
    <w:rsid w:val="00047742"/>
    <w:rsid w:val="00047752"/>
    <w:rsid w:val="000487F3"/>
    <w:rsid w:val="0005057B"/>
    <w:rsid w:val="0005092E"/>
    <w:rsid w:val="00050B21"/>
    <w:rsid w:val="000510E9"/>
    <w:rsid w:val="0005147B"/>
    <w:rsid w:val="00052501"/>
    <w:rsid w:val="00053F5A"/>
    <w:rsid w:val="00054274"/>
    <w:rsid w:val="000543B5"/>
    <w:rsid w:val="00054461"/>
    <w:rsid w:val="00054705"/>
    <w:rsid w:val="00054E50"/>
    <w:rsid w:val="00055340"/>
    <w:rsid w:val="000564C2"/>
    <w:rsid w:val="000566DE"/>
    <w:rsid w:val="00057933"/>
    <w:rsid w:val="00057A4A"/>
    <w:rsid w:val="00057F79"/>
    <w:rsid w:val="000609F9"/>
    <w:rsid w:val="00060C1E"/>
    <w:rsid w:val="0006150B"/>
    <w:rsid w:val="000622AF"/>
    <w:rsid w:val="0006269B"/>
    <w:rsid w:val="000626B3"/>
    <w:rsid w:val="000627DD"/>
    <w:rsid w:val="000627F6"/>
    <w:rsid w:val="00062D6B"/>
    <w:rsid w:val="000632C5"/>
    <w:rsid w:val="00063546"/>
    <w:rsid w:val="00063B04"/>
    <w:rsid w:val="00063E6A"/>
    <w:rsid w:val="00064408"/>
    <w:rsid w:val="00065054"/>
    <w:rsid w:val="00065ACB"/>
    <w:rsid w:val="00065EAB"/>
    <w:rsid w:val="00066083"/>
    <w:rsid w:val="0006614B"/>
    <w:rsid w:val="0006666D"/>
    <w:rsid w:val="00066EA5"/>
    <w:rsid w:val="00067073"/>
    <w:rsid w:val="00067316"/>
    <w:rsid w:val="00067738"/>
    <w:rsid w:val="000677D0"/>
    <w:rsid w:val="00067C11"/>
    <w:rsid w:val="000701B8"/>
    <w:rsid w:val="00070386"/>
    <w:rsid w:val="0007090E"/>
    <w:rsid w:val="00070A44"/>
    <w:rsid w:val="00070F31"/>
    <w:rsid w:val="00071CE2"/>
    <w:rsid w:val="00071DA3"/>
    <w:rsid w:val="0007248E"/>
    <w:rsid w:val="00072869"/>
    <w:rsid w:val="00072AC6"/>
    <w:rsid w:val="00072D34"/>
    <w:rsid w:val="00072E1B"/>
    <w:rsid w:val="000739F1"/>
    <w:rsid w:val="00073C09"/>
    <w:rsid w:val="00073DC1"/>
    <w:rsid w:val="000742CB"/>
    <w:rsid w:val="00074449"/>
    <w:rsid w:val="0007478C"/>
    <w:rsid w:val="00074CFE"/>
    <w:rsid w:val="00075ACD"/>
    <w:rsid w:val="00076181"/>
    <w:rsid w:val="00076637"/>
    <w:rsid w:val="00076BAF"/>
    <w:rsid w:val="00076F17"/>
    <w:rsid w:val="00077130"/>
    <w:rsid w:val="00077B43"/>
    <w:rsid w:val="00077E08"/>
    <w:rsid w:val="00080387"/>
    <w:rsid w:val="0008041D"/>
    <w:rsid w:val="00080EC6"/>
    <w:rsid w:val="00080F93"/>
    <w:rsid w:val="0008156F"/>
    <w:rsid w:val="00081ED1"/>
    <w:rsid w:val="00082598"/>
    <w:rsid w:val="00082AE7"/>
    <w:rsid w:val="00082E76"/>
    <w:rsid w:val="00082F53"/>
    <w:rsid w:val="000831BD"/>
    <w:rsid w:val="00084062"/>
    <w:rsid w:val="000840ED"/>
    <w:rsid w:val="00084506"/>
    <w:rsid w:val="00084D85"/>
    <w:rsid w:val="00085014"/>
    <w:rsid w:val="0008569D"/>
    <w:rsid w:val="00085B26"/>
    <w:rsid w:val="00085C38"/>
    <w:rsid w:val="00085E54"/>
    <w:rsid w:val="00086381"/>
    <w:rsid w:val="00086544"/>
    <w:rsid w:val="000865B9"/>
    <w:rsid w:val="00086725"/>
    <w:rsid w:val="000868C0"/>
    <w:rsid w:val="00086963"/>
    <w:rsid w:val="000871A1"/>
    <w:rsid w:val="000871E3"/>
    <w:rsid w:val="00087AD8"/>
    <w:rsid w:val="0009013C"/>
    <w:rsid w:val="00090640"/>
    <w:rsid w:val="000908C7"/>
    <w:rsid w:val="000912B6"/>
    <w:rsid w:val="0009184B"/>
    <w:rsid w:val="00091D93"/>
    <w:rsid w:val="00092AB7"/>
    <w:rsid w:val="00092DC1"/>
    <w:rsid w:val="000938CB"/>
    <w:rsid w:val="00094227"/>
    <w:rsid w:val="00094395"/>
    <w:rsid w:val="00094A0D"/>
    <w:rsid w:val="00094D7B"/>
    <w:rsid w:val="00094E8F"/>
    <w:rsid w:val="00095BAC"/>
    <w:rsid w:val="0009678C"/>
    <w:rsid w:val="000968B1"/>
    <w:rsid w:val="00096EB7"/>
    <w:rsid w:val="00097169"/>
    <w:rsid w:val="00097B81"/>
    <w:rsid w:val="000A052D"/>
    <w:rsid w:val="000A058F"/>
    <w:rsid w:val="000A06AF"/>
    <w:rsid w:val="000A0889"/>
    <w:rsid w:val="000A160A"/>
    <w:rsid w:val="000A2D9C"/>
    <w:rsid w:val="000A302D"/>
    <w:rsid w:val="000A3F2E"/>
    <w:rsid w:val="000A429C"/>
    <w:rsid w:val="000A4B7E"/>
    <w:rsid w:val="000A4C70"/>
    <w:rsid w:val="000A5D0A"/>
    <w:rsid w:val="000A66CE"/>
    <w:rsid w:val="000A717C"/>
    <w:rsid w:val="000A7E54"/>
    <w:rsid w:val="000B0471"/>
    <w:rsid w:val="000B0590"/>
    <w:rsid w:val="000B0EDC"/>
    <w:rsid w:val="000B18ED"/>
    <w:rsid w:val="000B1E15"/>
    <w:rsid w:val="000B2727"/>
    <w:rsid w:val="000B2E34"/>
    <w:rsid w:val="000B2F31"/>
    <w:rsid w:val="000B3220"/>
    <w:rsid w:val="000B35BF"/>
    <w:rsid w:val="000B40E4"/>
    <w:rsid w:val="000B4890"/>
    <w:rsid w:val="000B4926"/>
    <w:rsid w:val="000B4F6C"/>
    <w:rsid w:val="000B5760"/>
    <w:rsid w:val="000B5A1C"/>
    <w:rsid w:val="000B5BAD"/>
    <w:rsid w:val="000B63B1"/>
    <w:rsid w:val="000B69ED"/>
    <w:rsid w:val="000B7667"/>
    <w:rsid w:val="000B7A1F"/>
    <w:rsid w:val="000C0141"/>
    <w:rsid w:val="000C0EE6"/>
    <w:rsid w:val="000C1748"/>
    <w:rsid w:val="000C1847"/>
    <w:rsid w:val="000C1BB2"/>
    <w:rsid w:val="000C2257"/>
    <w:rsid w:val="000C243B"/>
    <w:rsid w:val="000C2644"/>
    <w:rsid w:val="000C2A3D"/>
    <w:rsid w:val="000C34B2"/>
    <w:rsid w:val="000C39E3"/>
    <w:rsid w:val="000C4035"/>
    <w:rsid w:val="000C445C"/>
    <w:rsid w:val="000C47B7"/>
    <w:rsid w:val="000C495A"/>
    <w:rsid w:val="000C4C3F"/>
    <w:rsid w:val="000C58C0"/>
    <w:rsid w:val="000C5C48"/>
    <w:rsid w:val="000C6649"/>
    <w:rsid w:val="000C6E6D"/>
    <w:rsid w:val="000C6F28"/>
    <w:rsid w:val="000C775C"/>
    <w:rsid w:val="000D013B"/>
    <w:rsid w:val="000D0715"/>
    <w:rsid w:val="000D0788"/>
    <w:rsid w:val="000D0ACF"/>
    <w:rsid w:val="000D1924"/>
    <w:rsid w:val="000D2239"/>
    <w:rsid w:val="000D29C0"/>
    <w:rsid w:val="000D345B"/>
    <w:rsid w:val="000D38F9"/>
    <w:rsid w:val="000D3B94"/>
    <w:rsid w:val="000D3D47"/>
    <w:rsid w:val="000D3F9A"/>
    <w:rsid w:val="000D4707"/>
    <w:rsid w:val="000D578C"/>
    <w:rsid w:val="000D59B7"/>
    <w:rsid w:val="000D5A34"/>
    <w:rsid w:val="000D5D64"/>
    <w:rsid w:val="000D64B2"/>
    <w:rsid w:val="000D69F5"/>
    <w:rsid w:val="000D6DE5"/>
    <w:rsid w:val="000D6EEA"/>
    <w:rsid w:val="000D7426"/>
    <w:rsid w:val="000E0784"/>
    <w:rsid w:val="000E0A9C"/>
    <w:rsid w:val="000E110C"/>
    <w:rsid w:val="000E1267"/>
    <w:rsid w:val="000E18AF"/>
    <w:rsid w:val="000E1CD8"/>
    <w:rsid w:val="000E20C5"/>
    <w:rsid w:val="000E2706"/>
    <w:rsid w:val="000E2D7F"/>
    <w:rsid w:val="000E2E75"/>
    <w:rsid w:val="000E3139"/>
    <w:rsid w:val="000E361F"/>
    <w:rsid w:val="000E4467"/>
    <w:rsid w:val="000E44F2"/>
    <w:rsid w:val="000E50B2"/>
    <w:rsid w:val="000E53F9"/>
    <w:rsid w:val="000E5847"/>
    <w:rsid w:val="000E58BD"/>
    <w:rsid w:val="000E5AA8"/>
    <w:rsid w:val="000E5D09"/>
    <w:rsid w:val="000E5DF0"/>
    <w:rsid w:val="000E62B3"/>
    <w:rsid w:val="000E72CD"/>
    <w:rsid w:val="000E78CE"/>
    <w:rsid w:val="000F00D3"/>
    <w:rsid w:val="000F04E9"/>
    <w:rsid w:val="000F0BB3"/>
    <w:rsid w:val="000F0E1B"/>
    <w:rsid w:val="000F12A6"/>
    <w:rsid w:val="000F175C"/>
    <w:rsid w:val="000F19B4"/>
    <w:rsid w:val="000F1DE9"/>
    <w:rsid w:val="000F2567"/>
    <w:rsid w:val="000F283A"/>
    <w:rsid w:val="000F2972"/>
    <w:rsid w:val="000F3040"/>
    <w:rsid w:val="000F390F"/>
    <w:rsid w:val="000F3D70"/>
    <w:rsid w:val="000F4263"/>
    <w:rsid w:val="000F4264"/>
    <w:rsid w:val="000F45B4"/>
    <w:rsid w:val="000F4957"/>
    <w:rsid w:val="000F4A47"/>
    <w:rsid w:val="000F6022"/>
    <w:rsid w:val="000F6794"/>
    <w:rsid w:val="000F6942"/>
    <w:rsid w:val="000F7176"/>
    <w:rsid w:val="000F7ADB"/>
    <w:rsid w:val="000F7E39"/>
    <w:rsid w:val="00100473"/>
    <w:rsid w:val="00100889"/>
    <w:rsid w:val="0010092F"/>
    <w:rsid w:val="001009C4"/>
    <w:rsid w:val="001012B0"/>
    <w:rsid w:val="00101F55"/>
    <w:rsid w:val="00102959"/>
    <w:rsid w:val="00102EDB"/>
    <w:rsid w:val="001037FA"/>
    <w:rsid w:val="0010432E"/>
    <w:rsid w:val="00104543"/>
    <w:rsid w:val="001049D9"/>
    <w:rsid w:val="00105393"/>
    <w:rsid w:val="00105496"/>
    <w:rsid w:val="00105B07"/>
    <w:rsid w:val="00105F5B"/>
    <w:rsid w:val="0010602E"/>
    <w:rsid w:val="001066BB"/>
    <w:rsid w:val="001071EC"/>
    <w:rsid w:val="00107A99"/>
    <w:rsid w:val="00110FD9"/>
    <w:rsid w:val="0011140A"/>
    <w:rsid w:val="0011199D"/>
    <w:rsid w:val="00111DA6"/>
    <w:rsid w:val="00112287"/>
    <w:rsid w:val="00112549"/>
    <w:rsid w:val="001125EB"/>
    <w:rsid w:val="00112617"/>
    <w:rsid w:val="00112E16"/>
    <w:rsid w:val="00113073"/>
    <w:rsid w:val="00113126"/>
    <w:rsid w:val="0011382E"/>
    <w:rsid w:val="00113941"/>
    <w:rsid w:val="00114942"/>
    <w:rsid w:val="001149C5"/>
    <w:rsid w:val="001149E8"/>
    <w:rsid w:val="00114DA2"/>
    <w:rsid w:val="00115239"/>
    <w:rsid w:val="001157E5"/>
    <w:rsid w:val="00116445"/>
    <w:rsid w:val="00116719"/>
    <w:rsid w:val="001171F1"/>
    <w:rsid w:val="0011788B"/>
    <w:rsid w:val="00117A06"/>
    <w:rsid w:val="00117B7B"/>
    <w:rsid w:val="00117D8B"/>
    <w:rsid w:val="00117EF6"/>
    <w:rsid w:val="0012015F"/>
    <w:rsid w:val="00120234"/>
    <w:rsid w:val="00120C44"/>
    <w:rsid w:val="0012105C"/>
    <w:rsid w:val="00121295"/>
    <w:rsid w:val="00121F3B"/>
    <w:rsid w:val="0012232C"/>
    <w:rsid w:val="001226F6"/>
    <w:rsid w:val="00122A53"/>
    <w:rsid w:val="001232D1"/>
    <w:rsid w:val="00123445"/>
    <w:rsid w:val="001235A6"/>
    <w:rsid w:val="001237BB"/>
    <w:rsid w:val="00123F37"/>
    <w:rsid w:val="00123F49"/>
    <w:rsid w:val="00124158"/>
    <w:rsid w:val="00124571"/>
    <w:rsid w:val="00124857"/>
    <w:rsid w:val="0012493C"/>
    <w:rsid w:val="0012529E"/>
    <w:rsid w:val="00126ADC"/>
    <w:rsid w:val="00127437"/>
    <w:rsid w:val="00127467"/>
    <w:rsid w:val="00127C03"/>
    <w:rsid w:val="001303BB"/>
    <w:rsid w:val="00130936"/>
    <w:rsid w:val="00130DCB"/>
    <w:rsid w:val="00130E9E"/>
    <w:rsid w:val="0013121D"/>
    <w:rsid w:val="0013238A"/>
    <w:rsid w:val="0013275F"/>
    <w:rsid w:val="00132C5E"/>
    <w:rsid w:val="001334B1"/>
    <w:rsid w:val="00133531"/>
    <w:rsid w:val="00133825"/>
    <w:rsid w:val="0013395A"/>
    <w:rsid w:val="0013495E"/>
    <w:rsid w:val="00134F89"/>
    <w:rsid w:val="001358BB"/>
    <w:rsid w:val="00135C88"/>
    <w:rsid w:val="00135E5E"/>
    <w:rsid w:val="00137130"/>
    <w:rsid w:val="00137D90"/>
    <w:rsid w:val="00137F08"/>
    <w:rsid w:val="00140434"/>
    <w:rsid w:val="0014138B"/>
    <w:rsid w:val="00141486"/>
    <w:rsid w:val="00141688"/>
    <w:rsid w:val="001425C8"/>
    <w:rsid w:val="001427BB"/>
    <w:rsid w:val="00142BD7"/>
    <w:rsid w:val="00142C00"/>
    <w:rsid w:val="00142CA6"/>
    <w:rsid w:val="00142CB4"/>
    <w:rsid w:val="00143065"/>
    <w:rsid w:val="001434C1"/>
    <w:rsid w:val="00143BEB"/>
    <w:rsid w:val="00143F4A"/>
    <w:rsid w:val="001440E4"/>
    <w:rsid w:val="00144D00"/>
    <w:rsid w:val="00144FAB"/>
    <w:rsid w:val="001453B5"/>
    <w:rsid w:val="00145CB4"/>
    <w:rsid w:val="00145E3D"/>
    <w:rsid w:val="001468A2"/>
    <w:rsid w:val="001469C3"/>
    <w:rsid w:val="00146ACE"/>
    <w:rsid w:val="00147265"/>
    <w:rsid w:val="00147557"/>
    <w:rsid w:val="0014792D"/>
    <w:rsid w:val="001479D1"/>
    <w:rsid w:val="00147A79"/>
    <w:rsid w:val="00147C81"/>
    <w:rsid w:val="0015023D"/>
    <w:rsid w:val="00150E9D"/>
    <w:rsid w:val="00151188"/>
    <w:rsid w:val="00151625"/>
    <w:rsid w:val="00151756"/>
    <w:rsid w:val="00151BDD"/>
    <w:rsid w:val="001520BE"/>
    <w:rsid w:val="001524BC"/>
    <w:rsid w:val="0015301B"/>
    <w:rsid w:val="00153595"/>
    <w:rsid w:val="001536B5"/>
    <w:rsid w:val="00154357"/>
    <w:rsid w:val="0015563F"/>
    <w:rsid w:val="00155D7D"/>
    <w:rsid w:val="00155FA6"/>
    <w:rsid w:val="001561DB"/>
    <w:rsid w:val="00156DDB"/>
    <w:rsid w:val="001574E8"/>
    <w:rsid w:val="00160484"/>
    <w:rsid w:val="00160759"/>
    <w:rsid w:val="001609A6"/>
    <w:rsid w:val="00160B35"/>
    <w:rsid w:val="001610E7"/>
    <w:rsid w:val="00161323"/>
    <w:rsid w:val="0016163C"/>
    <w:rsid w:val="00161A44"/>
    <w:rsid w:val="00161C3A"/>
    <w:rsid w:val="00161E46"/>
    <w:rsid w:val="0016212E"/>
    <w:rsid w:val="001621CE"/>
    <w:rsid w:val="0016257B"/>
    <w:rsid w:val="00162643"/>
    <w:rsid w:val="001629FE"/>
    <w:rsid w:val="00162E7F"/>
    <w:rsid w:val="001632E3"/>
    <w:rsid w:val="0016345F"/>
    <w:rsid w:val="0016391B"/>
    <w:rsid w:val="001643EA"/>
    <w:rsid w:val="00164632"/>
    <w:rsid w:val="00164639"/>
    <w:rsid w:val="00164749"/>
    <w:rsid w:val="0016480B"/>
    <w:rsid w:val="0016539A"/>
    <w:rsid w:val="00165FB4"/>
    <w:rsid w:val="001662B1"/>
    <w:rsid w:val="00166C5A"/>
    <w:rsid w:val="00167AF4"/>
    <w:rsid w:val="001708A6"/>
    <w:rsid w:val="001708DC"/>
    <w:rsid w:val="00170935"/>
    <w:rsid w:val="00170AC9"/>
    <w:rsid w:val="00171156"/>
    <w:rsid w:val="00171AA3"/>
    <w:rsid w:val="001723EB"/>
    <w:rsid w:val="001723F0"/>
    <w:rsid w:val="0017273C"/>
    <w:rsid w:val="00172D73"/>
    <w:rsid w:val="001731A3"/>
    <w:rsid w:val="00173C2B"/>
    <w:rsid w:val="00173F9E"/>
    <w:rsid w:val="001748F7"/>
    <w:rsid w:val="00175253"/>
    <w:rsid w:val="0017557B"/>
    <w:rsid w:val="00175DE8"/>
    <w:rsid w:val="0017619A"/>
    <w:rsid w:val="001761F0"/>
    <w:rsid w:val="00176C50"/>
    <w:rsid w:val="0017725C"/>
    <w:rsid w:val="00177296"/>
    <w:rsid w:val="00177F0F"/>
    <w:rsid w:val="00177FD1"/>
    <w:rsid w:val="00180D53"/>
    <w:rsid w:val="0018105A"/>
    <w:rsid w:val="0018164F"/>
    <w:rsid w:val="0018172A"/>
    <w:rsid w:val="00182203"/>
    <w:rsid w:val="00182E64"/>
    <w:rsid w:val="00184351"/>
    <w:rsid w:val="001844D5"/>
    <w:rsid w:val="00185680"/>
    <w:rsid w:val="0018583B"/>
    <w:rsid w:val="00185BA8"/>
    <w:rsid w:val="00185C52"/>
    <w:rsid w:val="00185D3B"/>
    <w:rsid w:val="001861B2"/>
    <w:rsid w:val="001864B5"/>
    <w:rsid w:val="00186C47"/>
    <w:rsid w:val="00186CE4"/>
    <w:rsid w:val="00187351"/>
    <w:rsid w:val="00187BCD"/>
    <w:rsid w:val="00190A31"/>
    <w:rsid w:val="00190C91"/>
    <w:rsid w:val="00191528"/>
    <w:rsid w:val="001916A0"/>
    <w:rsid w:val="0019329F"/>
    <w:rsid w:val="0019356A"/>
    <w:rsid w:val="001937F5"/>
    <w:rsid w:val="00193B73"/>
    <w:rsid w:val="00194D4D"/>
    <w:rsid w:val="00194EB5"/>
    <w:rsid w:val="00196639"/>
    <w:rsid w:val="00196F9F"/>
    <w:rsid w:val="00197540"/>
    <w:rsid w:val="001976BD"/>
    <w:rsid w:val="00197D92"/>
    <w:rsid w:val="001A042C"/>
    <w:rsid w:val="001A10F4"/>
    <w:rsid w:val="001A16F3"/>
    <w:rsid w:val="001A1A21"/>
    <w:rsid w:val="001A1AE8"/>
    <w:rsid w:val="001A1E77"/>
    <w:rsid w:val="001A246B"/>
    <w:rsid w:val="001A273F"/>
    <w:rsid w:val="001A2CB7"/>
    <w:rsid w:val="001A2E14"/>
    <w:rsid w:val="001A37FE"/>
    <w:rsid w:val="001A3E2E"/>
    <w:rsid w:val="001A4C24"/>
    <w:rsid w:val="001A4F84"/>
    <w:rsid w:val="001A50B0"/>
    <w:rsid w:val="001A535F"/>
    <w:rsid w:val="001A607E"/>
    <w:rsid w:val="001A616F"/>
    <w:rsid w:val="001A6354"/>
    <w:rsid w:val="001A688D"/>
    <w:rsid w:val="001A6A3F"/>
    <w:rsid w:val="001A6EB2"/>
    <w:rsid w:val="001A761A"/>
    <w:rsid w:val="001A77B6"/>
    <w:rsid w:val="001A7AB3"/>
    <w:rsid w:val="001A7EF2"/>
    <w:rsid w:val="001B01C8"/>
    <w:rsid w:val="001B03E9"/>
    <w:rsid w:val="001B0607"/>
    <w:rsid w:val="001B10E6"/>
    <w:rsid w:val="001B121D"/>
    <w:rsid w:val="001B14B3"/>
    <w:rsid w:val="001B27D6"/>
    <w:rsid w:val="001B2BA4"/>
    <w:rsid w:val="001B2C4F"/>
    <w:rsid w:val="001B377F"/>
    <w:rsid w:val="001B4973"/>
    <w:rsid w:val="001B4DDF"/>
    <w:rsid w:val="001B503E"/>
    <w:rsid w:val="001B5A6D"/>
    <w:rsid w:val="001B6024"/>
    <w:rsid w:val="001B622E"/>
    <w:rsid w:val="001B6456"/>
    <w:rsid w:val="001B70D7"/>
    <w:rsid w:val="001C066F"/>
    <w:rsid w:val="001C08CA"/>
    <w:rsid w:val="001C0EBD"/>
    <w:rsid w:val="001C1860"/>
    <w:rsid w:val="001C1BDE"/>
    <w:rsid w:val="001C2588"/>
    <w:rsid w:val="001C289D"/>
    <w:rsid w:val="001C2CEB"/>
    <w:rsid w:val="001C4B0F"/>
    <w:rsid w:val="001C4DFF"/>
    <w:rsid w:val="001C4F24"/>
    <w:rsid w:val="001C59BB"/>
    <w:rsid w:val="001C5A66"/>
    <w:rsid w:val="001C5A70"/>
    <w:rsid w:val="001C70AB"/>
    <w:rsid w:val="001C7DA6"/>
    <w:rsid w:val="001D04C7"/>
    <w:rsid w:val="001D0B04"/>
    <w:rsid w:val="001D0BB3"/>
    <w:rsid w:val="001D1538"/>
    <w:rsid w:val="001D15B7"/>
    <w:rsid w:val="001D1D70"/>
    <w:rsid w:val="001D1EDA"/>
    <w:rsid w:val="001D1F31"/>
    <w:rsid w:val="001D2041"/>
    <w:rsid w:val="001D215D"/>
    <w:rsid w:val="001D2AF8"/>
    <w:rsid w:val="001D2F0B"/>
    <w:rsid w:val="001D2F52"/>
    <w:rsid w:val="001D3EF2"/>
    <w:rsid w:val="001D448A"/>
    <w:rsid w:val="001D4668"/>
    <w:rsid w:val="001D4848"/>
    <w:rsid w:val="001D6915"/>
    <w:rsid w:val="001D75C0"/>
    <w:rsid w:val="001E0238"/>
    <w:rsid w:val="001E0521"/>
    <w:rsid w:val="001E0BCE"/>
    <w:rsid w:val="001E0C16"/>
    <w:rsid w:val="001E10BB"/>
    <w:rsid w:val="001E1A65"/>
    <w:rsid w:val="001E1F9D"/>
    <w:rsid w:val="001E20C4"/>
    <w:rsid w:val="001E2852"/>
    <w:rsid w:val="001E2AE8"/>
    <w:rsid w:val="001E2FFF"/>
    <w:rsid w:val="001E369A"/>
    <w:rsid w:val="001E3ADD"/>
    <w:rsid w:val="001E40B8"/>
    <w:rsid w:val="001E4235"/>
    <w:rsid w:val="001E47E2"/>
    <w:rsid w:val="001E4F18"/>
    <w:rsid w:val="001E50E0"/>
    <w:rsid w:val="001E6A25"/>
    <w:rsid w:val="001E6B7A"/>
    <w:rsid w:val="001E6CE7"/>
    <w:rsid w:val="001E6D27"/>
    <w:rsid w:val="001E7842"/>
    <w:rsid w:val="001F033A"/>
    <w:rsid w:val="001F0E26"/>
    <w:rsid w:val="001F0E3F"/>
    <w:rsid w:val="001F1DB0"/>
    <w:rsid w:val="001F2666"/>
    <w:rsid w:val="001F34D7"/>
    <w:rsid w:val="001F3E9B"/>
    <w:rsid w:val="001F4154"/>
    <w:rsid w:val="001F41FC"/>
    <w:rsid w:val="001F4659"/>
    <w:rsid w:val="001F4ADB"/>
    <w:rsid w:val="001F5071"/>
    <w:rsid w:val="001F54AA"/>
    <w:rsid w:val="001F54C8"/>
    <w:rsid w:val="001F63DF"/>
    <w:rsid w:val="001F6466"/>
    <w:rsid w:val="001F68F1"/>
    <w:rsid w:val="001F74C0"/>
    <w:rsid w:val="001F758D"/>
    <w:rsid w:val="001F75B5"/>
    <w:rsid w:val="002003D4"/>
    <w:rsid w:val="00200403"/>
    <w:rsid w:val="00201008"/>
    <w:rsid w:val="002014CF"/>
    <w:rsid w:val="002020FE"/>
    <w:rsid w:val="00202B01"/>
    <w:rsid w:val="002034D0"/>
    <w:rsid w:val="00203970"/>
    <w:rsid w:val="00203BCF"/>
    <w:rsid w:val="00203CF6"/>
    <w:rsid w:val="002054E2"/>
    <w:rsid w:val="00205837"/>
    <w:rsid w:val="00206512"/>
    <w:rsid w:val="0020685C"/>
    <w:rsid w:val="00206C72"/>
    <w:rsid w:val="00207277"/>
    <w:rsid w:val="0020758A"/>
    <w:rsid w:val="00207DB7"/>
    <w:rsid w:val="002101BA"/>
    <w:rsid w:val="00210BA0"/>
    <w:rsid w:val="0021120A"/>
    <w:rsid w:val="00211671"/>
    <w:rsid w:val="00211FCB"/>
    <w:rsid w:val="00212470"/>
    <w:rsid w:val="0021265F"/>
    <w:rsid w:val="00212820"/>
    <w:rsid w:val="00213961"/>
    <w:rsid w:val="00213D42"/>
    <w:rsid w:val="00213F04"/>
    <w:rsid w:val="002140E0"/>
    <w:rsid w:val="0021469A"/>
    <w:rsid w:val="0021528A"/>
    <w:rsid w:val="002153EE"/>
    <w:rsid w:val="0021582C"/>
    <w:rsid w:val="00215B79"/>
    <w:rsid w:val="00216CDE"/>
    <w:rsid w:val="002171BE"/>
    <w:rsid w:val="002175A3"/>
    <w:rsid w:val="002178E7"/>
    <w:rsid w:val="00217FA7"/>
    <w:rsid w:val="00220503"/>
    <w:rsid w:val="002207D9"/>
    <w:rsid w:val="00220A9C"/>
    <w:rsid w:val="00221A10"/>
    <w:rsid w:val="00221B42"/>
    <w:rsid w:val="00222620"/>
    <w:rsid w:val="00222969"/>
    <w:rsid w:val="002231D0"/>
    <w:rsid w:val="0022355F"/>
    <w:rsid w:val="0022411D"/>
    <w:rsid w:val="00224437"/>
    <w:rsid w:val="00224BC7"/>
    <w:rsid w:val="00224BF4"/>
    <w:rsid w:val="00224C8E"/>
    <w:rsid w:val="00224D2F"/>
    <w:rsid w:val="00224E14"/>
    <w:rsid w:val="00224F8F"/>
    <w:rsid w:val="002254F6"/>
    <w:rsid w:val="002255A2"/>
    <w:rsid w:val="00225F22"/>
    <w:rsid w:val="00226109"/>
    <w:rsid w:val="00226484"/>
    <w:rsid w:val="00226C66"/>
    <w:rsid w:val="00226D6A"/>
    <w:rsid w:val="002271B1"/>
    <w:rsid w:val="00227AF4"/>
    <w:rsid w:val="002302C3"/>
    <w:rsid w:val="0023055E"/>
    <w:rsid w:val="00230D6C"/>
    <w:rsid w:val="002325C2"/>
    <w:rsid w:val="00232D6E"/>
    <w:rsid w:val="00233CE2"/>
    <w:rsid w:val="00233E4A"/>
    <w:rsid w:val="00234496"/>
    <w:rsid w:val="002345FB"/>
    <w:rsid w:val="00234878"/>
    <w:rsid w:val="00234A98"/>
    <w:rsid w:val="00234EC1"/>
    <w:rsid w:val="002351F0"/>
    <w:rsid w:val="00235786"/>
    <w:rsid w:val="00236D06"/>
    <w:rsid w:val="00236EAC"/>
    <w:rsid w:val="00237737"/>
    <w:rsid w:val="00240684"/>
    <w:rsid w:val="0024138D"/>
    <w:rsid w:val="00241F0A"/>
    <w:rsid w:val="0024255B"/>
    <w:rsid w:val="00242636"/>
    <w:rsid w:val="00242921"/>
    <w:rsid w:val="00242922"/>
    <w:rsid w:val="00242C15"/>
    <w:rsid w:val="002434AF"/>
    <w:rsid w:val="0024381B"/>
    <w:rsid w:val="002440A7"/>
    <w:rsid w:val="0024425E"/>
    <w:rsid w:val="00244548"/>
    <w:rsid w:val="002447C3"/>
    <w:rsid w:val="002448C3"/>
    <w:rsid w:val="00245C71"/>
    <w:rsid w:val="00245C9A"/>
    <w:rsid w:val="00245D38"/>
    <w:rsid w:val="0024618C"/>
    <w:rsid w:val="0024634E"/>
    <w:rsid w:val="0024687D"/>
    <w:rsid w:val="00250C36"/>
    <w:rsid w:val="00250C80"/>
    <w:rsid w:val="00251083"/>
    <w:rsid w:val="00251394"/>
    <w:rsid w:val="00252552"/>
    <w:rsid w:val="00252710"/>
    <w:rsid w:val="00252C94"/>
    <w:rsid w:val="002532B2"/>
    <w:rsid w:val="00253720"/>
    <w:rsid w:val="00253A04"/>
    <w:rsid w:val="00253C88"/>
    <w:rsid w:val="002545E0"/>
    <w:rsid w:val="00254649"/>
    <w:rsid w:val="0025489C"/>
    <w:rsid w:val="00254D7F"/>
    <w:rsid w:val="00255318"/>
    <w:rsid w:val="0025549A"/>
    <w:rsid w:val="00255819"/>
    <w:rsid w:val="002558EF"/>
    <w:rsid w:val="00255C1E"/>
    <w:rsid w:val="00256BCA"/>
    <w:rsid w:val="002571BF"/>
    <w:rsid w:val="002573B8"/>
    <w:rsid w:val="00260835"/>
    <w:rsid w:val="00260C8E"/>
    <w:rsid w:val="00261C1B"/>
    <w:rsid w:val="002620A4"/>
    <w:rsid w:val="00262333"/>
    <w:rsid w:val="00262359"/>
    <w:rsid w:val="00263335"/>
    <w:rsid w:val="00263561"/>
    <w:rsid w:val="0026498A"/>
    <w:rsid w:val="00264E24"/>
    <w:rsid w:val="0026526E"/>
    <w:rsid w:val="00265739"/>
    <w:rsid w:val="00265FCA"/>
    <w:rsid w:val="00266397"/>
    <w:rsid w:val="00266768"/>
    <w:rsid w:val="0026E86F"/>
    <w:rsid w:val="00270A3C"/>
    <w:rsid w:val="002715FB"/>
    <w:rsid w:val="00272035"/>
    <w:rsid w:val="002724DA"/>
    <w:rsid w:val="00273698"/>
    <w:rsid w:val="002738BC"/>
    <w:rsid w:val="00273A42"/>
    <w:rsid w:val="0027443E"/>
    <w:rsid w:val="002745A3"/>
    <w:rsid w:val="0027480E"/>
    <w:rsid w:val="00274D7E"/>
    <w:rsid w:val="00275727"/>
    <w:rsid w:val="00275B82"/>
    <w:rsid w:val="00275D4F"/>
    <w:rsid w:val="00276118"/>
    <w:rsid w:val="002763F8"/>
    <w:rsid w:val="002769C9"/>
    <w:rsid w:val="002808ED"/>
    <w:rsid w:val="00280E61"/>
    <w:rsid w:val="00280F9F"/>
    <w:rsid w:val="002814D3"/>
    <w:rsid w:val="00281BF3"/>
    <w:rsid w:val="00281E6B"/>
    <w:rsid w:val="00281FA1"/>
    <w:rsid w:val="00282ACD"/>
    <w:rsid w:val="0028398C"/>
    <w:rsid w:val="002839CA"/>
    <w:rsid w:val="0028533D"/>
    <w:rsid w:val="002854AD"/>
    <w:rsid w:val="002867AD"/>
    <w:rsid w:val="00287114"/>
    <w:rsid w:val="0028746E"/>
    <w:rsid w:val="002874E7"/>
    <w:rsid w:val="00287DB7"/>
    <w:rsid w:val="00287DFF"/>
    <w:rsid w:val="00290453"/>
    <w:rsid w:val="00290653"/>
    <w:rsid w:val="00290A3C"/>
    <w:rsid w:val="00290A53"/>
    <w:rsid w:val="00290EC2"/>
    <w:rsid w:val="0029175C"/>
    <w:rsid w:val="00291BFD"/>
    <w:rsid w:val="00292551"/>
    <w:rsid w:val="00292953"/>
    <w:rsid w:val="0029356C"/>
    <w:rsid w:val="00293E6C"/>
    <w:rsid w:val="0029510B"/>
    <w:rsid w:val="00295D2B"/>
    <w:rsid w:val="00296006"/>
    <w:rsid w:val="002960C5"/>
    <w:rsid w:val="00296205"/>
    <w:rsid w:val="002962D9"/>
    <w:rsid w:val="002968E5"/>
    <w:rsid w:val="002969FE"/>
    <w:rsid w:val="00296D73"/>
    <w:rsid w:val="00297A3F"/>
    <w:rsid w:val="002A07C0"/>
    <w:rsid w:val="002A0B96"/>
    <w:rsid w:val="002A0C46"/>
    <w:rsid w:val="002A1341"/>
    <w:rsid w:val="002A17EA"/>
    <w:rsid w:val="002A2153"/>
    <w:rsid w:val="002A2290"/>
    <w:rsid w:val="002A242E"/>
    <w:rsid w:val="002A2434"/>
    <w:rsid w:val="002A301C"/>
    <w:rsid w:val="002A35F3"/>
    <w:rsid w:val="002A5B21"/>
    <w:rsid w:val="002A5FC7"/>
    <w:rsid w:val="002A619B"/>
    <w:rsid w:val="002A679B"/>
    <w:rsid w:val="002A72AA"/>
    <w:rsid w:val="002A7433"/>
    <w:rsid w:val="002A7466"/>
    <w:rsid w:val="002A7653"/>
    <w:rsid w:val="002A792C"/>
    <w:rsid w:val="002B01A7"/>
    <w:rsid w:val="002B02E6"/>
    <w:rsid w:val="002B0935"/>
    <w:rsid w:val="002B0DCC"/>
    <w:rsid w:val="002B18D1"/>
    <w:rsid w:val="002B19A6"/>
    <w:rsid w:val="002B1CEB"/>
    <w:rsid w:val="002B1F57"/>
    <w:rsid w:val="002B2499"/>
    <w:rsid w:val="002B293B"/>
    <w:rsid w:val="002B3004"/>
    <w:rsid w:val="002B35E3"/>
    <w:rsid w:val="002B3823"/>
    <w:rsid w:val="002B3AF3"/>
    <w:rsid w:val="002B3F15"/>
    <w:rsid w:val="002B4708"/>
    <w:rsid w:val="002B4C6B"/>
    <w:rsid w:val="002B5870"/>
    <w:rsid w:val="002B5FB0"/>
    <w:rsid w:val="002B6045"/>
    <w:rsid w:val="002B6389"/>
    <w:rsid w:val="002B6A91"/>
    <w:rsid w:val="002B73C8"/>
    <w:rsid w:val="002B7A70"/>
    <w:rsid w:val="002B7D5E"/>
    <w:rsid w:val="002B7FC6"/>
    <w:rsid w:val="002C0314"/>
    <w:rsid w:val="002C0D69"/>
    <w:rsid w:val="002C12D5"/>
    <w:rsid w:val="002C12DE"/>
    <w:rsid w:val="002C14BF"/>
    <w:rsid w:val="002C1633"/>
    <w:rsid w:val="002C1A00"/>
    <w:rsid w:val="002C1E6F"/>
    <w:rsid w:val="002C2C6E"/>
    <w:rsid w:val="002C2F05"/>
    <w:rsid w:val="002C3A3D"/>
    <w:rsid w:val="002C3BE7"/>
    <w:rsid w:val="002C4162"/>
    <w:rsid w:val="002C41F5"/>
    <w:rsid w:val="002C4616"/>
    <w:rsid w:val="002C4725"/>
    <w:rsid w:val="002C5A11"/>
    <w:rsid w:val="002C5C85"/>
    <w:rsid w:val="002C5E91"/>
    <w:rsid w:val="002C5FA9"/>
    <w:rsid w:val="002C601F"/>
    <w:rsid w:val="002C68AF"/>
    <w:rsid w:val="002C6995"/>
    <w:rsid w:val="002C6CC1"/>
    <w:rsid w:val="002C6E1F"/>
    <w:rsid w:val="002C7489"/>
    <w:rsid w:val="002C752C"/>
    <w:rsid w:val="002C761A"/>
    <w:rsid w:val="002C7888"/>
    <w:rsid w:val="002C7A1E"/>
    <w:rsid w:val="002C7C32"/>
    <w:rsid w:val="002C7FDC"/>
    <w:rsid w:val="002D070C"/>
    <w:rsid w:val="002D0888"/>
    <w:rsid w:val="002D08E9"/>
    <w:rsid w:val="002D0DF3"/>
    <w:rsid w:val="002D17D4"/>
    <w:rsid w:val="002D1FA1"/>
    <w:rsid w:val="002D391B"/>
    <w:rsid w:val="002D419D"/>
    <w:rsid w:val="002D4FBF"/>
    <w:rsid w:val="002D5B4F"/>
    <w:rsid w:val="002D5C1E"/>
    <w:rsid w:val="002D5E80"/>
    <w:rsid w:val="002D73E6"/>
    <w:rsid w:val="002D7E84"/>
    <w:rsid w:val="002E0C09"/>
    <w:rsid w:val="002E1082"/>
    <w:rsid w:val="002E134E"/>
    <w:rsid w:val="002E134F"/>
    <w:rsid w:val="002E2158"/>
    <w:rsid w:val="002E239E"/>
    <w:rsid w:val="002E2561"/>
    <w:rsid w:val="002E2662"/>
    <w:rsid w:val="002E2819"/>
    <w:rsid w:val="002E2846"/>
    <w:rsid w:val="002E2C0D"/>
    <w:rsid w:val="002E333E"/>
    <w:rsid w:val="002E37BF"/>
    <w:rsid w:val="002E3B1F"/>
    <w:rsid w:val="002E3CB6"/>
    <w:rsid w:val="002E3EA9"/>
    <w:rsid w:val="002E4189"/>
    <w:rsid w:val="002E5F6E"/>
    <w:rsid w:val="002E7181"/>
    <w:rsid w:val="002E73AE"/>
    <w:rsid w:val="002E77AE"/>
    <w:rsid w:val="002F0BFB"/>
    <w:rsid w:val="002F1038"/>
    <w:rsid w:val="002F10CE"/>
    <w:rsid w:val="002F12C7"/>
    <w:rsid w:val="002F168A"/>
    <w:rsid w:val="002F1815"/>
    <w:rsid w:val="002F1A98"/>
    <w:rsid w:val="002F1D7D"/>
    <w:rsid w:val="002F2822"/>
    <w:rsid w:val="002F2978"/>
    <w:rsid w:val="002F2B64"/>
    <w:rsid w:val="002F2DAA"/>
    <w:rsid w:val="002F3385"/>
    <w:rsid w:val="002F3D98"/>
    <w:rsid w:val="002F4067"/>
    <w:rsid w:val="002F41D7"/>
    <w:rsid w:val="002F42CA"/>
    <w:rsid w:val="002F43B1"/>
    <w:rsid w:val="002F4462"/>
    <w:rsid w:val="002F5807"/>
    <w:rsid w:val="002F58B8"/>
    <w:rsid w:val="002F665A"/>
    <w:rsid w:val="0030035C"/>
    <w:rsid w:val="003003C6"/>
    <w:rsid w:val="003004EC"/>
    <w:rsid w:val="00300BD7"/>
    <w:rsid w:val="00301221"/>
    <w:rsid w:val="00301937"/>
    <w:rsid w:val="003019A9"/>
    <w:rsid w:val="00302EFA"/>
    <w:rsid w:val="00302F55"/>
    <w:rsid w:val="00303726"/>
    <w:rsid w:val="00303D5A"/>
    <w:rsid w:val="00304F0C"/>
    <w:rsid w:val="003052E1"/>
    <w:rsid w:val="00305B52"/>
    <w:rsid w:val="003062DE"/>
    <w:rsid w:val="00306590"/>
    <w:rsid w:val="0030694F"/>
    <w:rsid w:val="00306FF2"/>
    <w:rsid w:val="003071D1"/>
    <w:rsid w:val="00307C45"/>
    <w:rsid w:val="00307E37"/>
    <w:rsid w:val="00310600"/>
    <w:rsid w:val="00310659"/>
    <w:rsid w:val="00310D87"/>
    <w:rsid w:val="00311127"/>
    <w:rsid w:val="003112C1"/>
    <w:rsid w:val="00311AFD"/>
    <w:rsid w:val="00312712"/>
    <w:rsid w:val="00312A28"/>
    <w:rsid w:val="0031302E"/>
    <w:rsid w:val="003130E2"/>
    <w:rsid w:val="003131F7"/>
    <w:rsid w:val="00313978"/>
    <w:rsid w:val="00313B82"/>
    <w:rsid w:val="00313F09"/>
    <w:rsid w:val="003144C8"/>
    <w:rsid w:val="003149BA"/>
    <w:rsid w:val="00315598"/>
    <w:rsid w:val="0031607E"/>
    <w:rsid w:val="00316467"/>
    <w:rsid w:val="003167F5"/>
    <w:rsid w:val="003173CE"/>
    <w:rsid w:val="00317677"/>
    <w:rsid w:val="00317CAD"/>
    <w:rsid w:val="00317D02"/>
    <w:rsid w:val="00320974"/>
    <w:rsid w:val="00320D27"/>
    <w:rsid w:val="00320D41"/>
    <w:rsid w:val="003217AC"/>
    <w:rsid w:val="00321D4F"/>
    <w:rsid w:val="003231DA"/>
    <w:rsid w:val="003234C7"/>
    <w:rsid w:val="003240BC"/>
    <w:rsid w:val="003243C6"/>
    <w:rsid w:val="003245B8"/>
    <w:rsid w:val="00325064"/>
    <w:rsid w:val="003255FF"/>
    <w:rsid w:val="00325847"/>
    <w:rsid w:val="00325BB5"/>
    <w:rsid w:val="00325EF3"/>
    <w:rsid w:val="00325FAC"/>
    <w:rsid w:val="0032652B"/>
    <w:rsid w:val="00326700"/>
    <w:rsid w:val="0032682E"/>
    <w:rsid w:val="00326C84"/>
    <w:rsid w:val="003271E7"/>
    <w:rsid w:val="003274C4"/>
    <w:rsid w:val="0032755B"/>
    <w:rsid w:val="00327ED7"/>
    <w:rsid w:val="003310FA"/>
    <w:rsid w:val="0033128B"/>
    <w:rsid w:val="003313F7"/>
    <w:rsid w:val="003314C6"/>
    <w:rsid w:val="00331717"/>
    <w:rsid w:val="00331AFB"/>
    <w:rsid w:val="00331DAA"/>
    <w:rsid w:val="003322EF"/>
    <w:rsid w:val="0033288F"/>
    <w:rsid w:val="003329B7"/>
    <w:rsid w:val="00332B13"/>
    <w:rsid w:val="00333C3E"/>
    <w:rsid w:val="00333CFB"/>
    <w:rsid w:val="00333D74"/>
    <w:rsid w:val="003345DE"/>
    <w:rsid w:val="00334AC6"/>
    <w:rsid w:val="0033521F"/>
    <w:rsid w:val="003353A5"/>
    <w:rsid w:val="0033642C"/>
    <w:rsid w:val="00336473"/>
    <w:rsid w:val="00336D81"/>
    <w:rsid w:val="00336E6A"/>
    <w:rsid w:val="003372B4"/>
    <w:rsid w:val="0033734D"/>
    <w:rsid w:val="0033753B"/>
    <w:rsid w:val="003376D1"/>
    <w:rsid w:val="00337EB1"/>
    <w:rsid w:val="00340953"/>
    <w:rsid w:val="00341298"/>
    <w:rsid w:val="003412FC"/>
    <w:rsid w:val="0034174C"/>
    <w:rsid w:val="00341E8D"/>
    <w:rsid w:val="00342ED1"/>
    <w:rsid w:val="003434F5"/>
    <w:rsid w:val="003448B3"/>
    <w:rsid w:val="00344A4B"/>
    <w:rsid w:val="00345490"/>
    <w:rsid w:val="00345CD4"/>
    <w:rsid w:val="003460E1"/>
    <w:rsid w:val="003462FD"/>
    <w:rsid w:val="00346774"/>
    <w:rsid w:val="003475A0"/>
    <w:rsid w:val="00347984"/>
    <w:rsid w:val="00347D7D"/>
    <w:rsid w:val="00347EF7"/>
    <w:rsid w:val="00347FEE"/>
    <w:rsid w:val="0035016C"/>
    <w:rsid w:val="003509CF"/>
    <w:rsid w:val="00350C72"/>
    <w:rsid w:val="00351C81"/>
    <w:rsid w:val="00351F0E"/>
    <w:rsid w:val="003521A1"/>
    <w:rsid w:val="003527CA"/>
    <w:rsid w:val="00352F56"/>
    <w:rsid w:val="003537BE"/>
    <w:rsid w:val="00353881"/>
    <w:rsid w:val="00353AA1"/>
    <w:rsid w:val="00353D2A"/>
    <w:rsid w:val="00353FBF"/>
    <w:rsid w:val="0035408F"/>
    <w:rsid w:val="00354560"/>
    <w:rsid w:val="003545BC"/>
    <w:rsid w:val="003546C8"/>
    <w:rsid w:val="003550B3"/>
    <w:rsid w:val="00355102"/>
    <w:rsid w:val="00355E32"/>
    <w:rsid w:val="00356270"/>
    <w:rsid w:val="003562F3"/>
    <w:rsid w:val="0035639F"/>
    <w:rsid w:val="0035670B"/>
    <w:rsid w:val="0035689F"/>
    <w:rsid w:val="00356A66"/>
    <w:rsid w:val="00356EE6"/>
    <w:rsid w:val="003602E8"/>
    <w:rsid w:val="0036066B"/>
    <w:rsid w:val="00360AB6"/>
    <w:rsid w:val="00360F61"/>
    <w:rsid w:val="0036149A"/>
    <w:rsid w:val="00361D94"/>
    <w:rsid w:val="00361FFB"/>
    <w:rsid w:val="00362603"/>
    <w:rsid w:val="00362A09"/>
    <w:rsid w:val="00362BC9"/>
    <w:rsid w:val="0036389E"/>
    <w:rsid w:val="003649E8"/>
    <w:rsid w:val="003650A0"/>
    <w:rsid w:val="003651EF"/>
    <w:rsid w:val="00365368"/>
    <w:rsid w:val="00366251"/>
    <w:rsid w:val="00366535"/>
    <w:rsid w:val="00366735"/>
    <w:rsid w:val="00366995"/>
    <w:rsid w:val="00366D21"/>
    <w:rsid w:val="00366DB5"/>
    <w:rsid w:val="00366E4C"/>
    <w:rsid w:val="00366F8E"/>
    <w:rsid w:val="0036733B"/>
    <w:rsid w:val="00367381"/>
    <w:rsid w:val="003674C0"/>
    <w:rsid w:val="00370067"/>
    <w:rsid w:val="003703E7"/>
    <w:rsid w:val="003711C6"/>
    <w:rsid w:val="003715BF"/>
    <w:rsid w:val="00371817"/>
    <w:rsid w:val="0037243A"/>
    <w:rsid w:val="00372502"/>
    <w:rsid w:val="003729A6"/>
    <w:rsid w:val="00373083"/>
    <w:rsid w:val="00373085"/>
    <w:rsid w:val="00373DBF"/>
    <w:rsid w:val="003746B6"/>
    <w:rsid w:val="00374CD1"/>
    <w:rsid w:val="003754CD"/>
    <w:rsid w:val="0037569F"/>
    <w:rsid w:val="00375DC3"/>
    <w:rsid w:val="00376461"/>
    <w:rsid w:val="00376FB2"/>
    <w:rsid w:val="003774CC"/>
    <w:rsid w:val="003776C2"/>
    <w:rsid w:val="003800D9"/>
    <w:rsid w:val="00380204"/>
    <w:rsid w:val="00380399"/>
    <w:rsid w:val="00380447"/>
    <w:rsid w:val="003807A2"/>
    <w:rsid w:val="00380ADB"/>
    <w:rsid w:val="003810D9"/>
    <w:rsid w:val="00381219"/>
    <w:rsid w:val="00381466"/>
    <w:rsid w:val="00381E33"/>
    <w:rsid w:val="00382939"/>
    <w:rsid w:val="00382A38"/>
    <w:rsid w:val="00383677"/>
    <w:rsid w:val="003837F4"/>
    <w:rsid w:val="00383A58"/>
    <w:rsid w:val="00383E45"/>
    <w:rsid w:val="00384394"/>
    <w:rsid w:val="00384C43"/>
    <w:rsid w:val="00384DBA"/>
    <w:rsid w:val="00384EBC"/>
    <w:rsid w:val="00385A3E"/>
    <w:rsid w:val="00385B5C"/>
    <w:rsid w:val="003866DC"/>
    <w:rsid w:val="00386EB3"/>
    <w:rsid w:val="00387001"/>
    <w:rsid w:val="0038747D"/>
    <w:rsid w:val="003876AF"/>
    <w:rsid w:val="003877E0"/>
    <w:rsid w:val="00387CB4"/>
    <w:rsid w:val="003900A0"/>
    <w:rsid w:val="00390393"/>
    <w:rsid w:val="003906DA"/>
    <w:rsid w:val="00390B95"/>
    <w:rsid w:val="00390C52"/>
    <w:rsid w:val="003912D2"/>
    <w:rsid w:val="00391471"/>
    <w:rsid w:val="003914AE"/>
    <w:rsid w:val="00391DF0"/>
    <w:rsid w:val="0039265F"/>
    <w:rsid w:val="003929B3"/>
    <w:rsid w:val="00392B77"/>
    <w:rsid w:val="00393989"/>
    <w:rsid w:val="003946DA"/>
    <w:rsid w:val="00394F7B"/>
    <w:rsid w:val="003958CF"/>
    <w:rsid w:val="003966A6"/>
    <w:rsid w:val="00396B6C"/>
    <w:rsid w:val="00397871"/>
    <w:rsid w:val="00397999"/>
    <w:rsid w:val="00397EEA"/>
    <w:rsid w:val="003A107A"/>
    <w:rsid w:val="003A17D4"/>
    <w:rsid w:val="003A1D3D"/>
    <w:rsid w:val="003A2740"/>
    <w:rsid w:val="003A2970"/>
    <w:rsid w:val="003A39B0"/>
    <w:rsid w:val="003A4421"/>
    <w:rsid w:val="003A5CDD"/>
    <w:rsid w:val="003A6586"/>
    <w:rsid w:val="003A690E"/>
    <w:rsid w:val="003A699B"/>
    <w:rsid w:val="003A6A0C"/>
    <w:rsid w:val="003A6C92"/>
    <w:rsid w:val="003A70C9"/>
    <w:rsid w:val="003A7B00"/>
    <w:rsid w:val="003A7B5A"/>
    <w:rsid w:val="003A7D22"/>
    <w:rsid w:val="003A7EF9"/>
    <w:rsid w:val="003A7FAF"/>
    <w:rsid w:val="003B02F7"/>
    <w:rsid w:val="003B0391"/>
    <w:rsid w:val="003B062A"/>
    <w:rsid w:val="003B0CEA"/>
    <w:rsid w:val="003B1C1C"/>
    <w:rsid w:val="003B2FF6"/>
    <w:rsid w:val="003B3225"/>
    <w:rsid w:val="003B5206"/>
    <w:rsid w:val="003B584A"/>
    <w:rsid w:val="003B5FC1"/>
    <w:rsid w:val="003B6670"/>
    <w:rsid w:val="003C000D"/>
    <w:rsid w:val="003C0076"/>
    <w:rsid w:val="003C0A99"/>
    <w:rsid w:val="003C0B33"/>
    <w:rsid w:val="003C0BBD"/>
    <w:rsid w:val="003C0C73"/>
    <w:rsid w:val="003C1521"/>
    <w:rsid w:val="003C2A12"/>
    <w:rsid w:val="003C3B19"/>
    <w:rsid w:val="003C464B"/>
    <w:rsid w:val="003C4AE5"/>
    <w:rsid w:val="003C59DC"/>
    <w:rsid w:val="003C5E1D"/>
    <w:rsid w:val="003C723B"/>
    <w:rsid w:val="003C7447"/>
    <w:rsid w:val="003C788E"/>
    <w:rsid w:val="003D08F1"/>
    <w:rsid w:val="003D0BC3"/>
    <w:rsid w:val="003D1AD9"/>
    <w:rsid w:val="003D1E83"/>
    <w:rsid w:val="003D27AF"/>
    <w:rsid w:val="003D2965"/>
    <w:rsid w:val="003D2CF1"/>
    <w:rsid w:val="003D342B"/>
    <w:rsid w:val="003D366B"/>
    <w:rsid w:val="003D3C0C"/>
    <w:rsid w:val="003D406A"/>
    <w:rsid w:val="003D41EA"/>
    <w:rsid w:val="003D423A"/>
    <w:rsid w:val="003D49B3"/>
    <w:rsid w:val="003D4D21"/>
    <w:rsid w:val="003D513D"/>
    <w:rsid w:val="003D5249"/>
    <w:rsid w:val="003D52B7"/>
    <w:rsid w:val="003D5ACA"/>
    <w:rsid w:val="003D5CEF"/>
    <w:rsid w:val="003D604D"/>
    <w:rsid w:val="003D6673"/>
    <w:rsid w:val="003D690E"/>
    <w:rsid w:val="003D7104"/>
    <w:rsid w:val="003D7E5B"/>
    <w:rsid w:val="003E0423"/>
    <w:rsid w:val="003E0764"/>
    <w:rsid w:val="003E094F"/>
    <w:rsid w:val="003E1AA8"/>
    <w:rsid w:val="003E267D"/>
    <w:rsid w:val="003E2A91"/>
    <w:rsid w:val="003E373D"/>
    <w:rsid w:val="003E377E"/>
    <w:rsid w:val="003E3FD8"/>
    <w:rsid w:val="003E43EE"/>
    <w:rsid w:val="003E4544"/>
    <w:rsid w:val="003E4FFD"/>
    <w:rsid w:val="003E5726"/>
    <w:rsid w:val="003E58E0"/>
    <w:rsid w:val="003E6145"/>
    <w:rsid w:val="003E6831"/>
    <w:rsid w:val="003E70D4"/>
    <w:rsid w:val="003E795F"/>
    <w:rsid w:val="003E7A36"/>
    <w:rsid w:val="003E7ADD"/>
    <w:rsid w:val="003F07A4"/>
    <w:rsid w:val="003F082C"/>
    <w:rsid w:val="003F09A7"/>
    <w:rsid w:val="003F0B59"/>
    <w:rsid w:val="003F1436"/>
    <w:rsid w:val="003F15EA"/>
    <w:rsid w:val="003F1839"/>
    <w:rsid w:val="003F2A47"/>
    <w:rsid w:val="003F3407"/>
    <w:rsid w:val="003F35EF"/>
    <w:rsid w:val="003F38F5"/>
    <w:rsid w:val="003F4A15"/>
    <w:rsid w:val="003F4D79"/>
    <w:rsid w:val="003F5057"/>
    <w:rsid w:val="003F5074"/>
    <w:rsid w:val="003F518D"/>
    <w:rsid w:val="003F5634"/>
    <w:rsid w:val="003F5649"/>
    <w:rsid w:val="003F6265"/>
    <w:rsid w:val="003F6500"/>
    <w:rsid w:val="003F6B79"/>
    <w:rsid w:val="003F6CEC"/>
    <w:rsid w:val="003F6F03"/>
    <w:rsid w:val="003F73AA"/>
    <w:rsid w:val="003F73D5"/>
    <w:rsid w:val="003F73F0"/>
    <w:rsid w:val="003F7627"/>
    <w:rsid w:val="003F78D3"/>
    <w:rsid w:val="003F7A0A"/>
    <w:rsid w:val="0040090A"/>
    <w:rsid w:val="00400E57"/>
    <w:rsid w:val="0040194C"/>
    <w:rsid w:val="004019F6"/>
    <w:rsid w:val="00401A4C"/>
    <w:rsid w:val="00401B7D"/>
    <w:rsid w:val="00401ECF"/>
    <w:rsid w:val="00402281"/>
    <w:rsid w:val="004029EB"/>
    <w:rsid w:val="00403D1B"/>
    <w:rsid w:val="00403E31"/>
    <w:rsid w:val="00403F00"/>
    <w:rsid w:val="00404744"/>
    <w:rsid w:val="00404E22"/>
    <w:rsid w:val="004057AE"/>
    <w:rsid w:val="00405EDE"/>
    <w:rsid w:val="0040607E"/>
    <w:rsid w:val="0040612C"/>
    <w:rsid w:val="00406628"/>
    <w:rsid w:val="004067DD"/>
    <w:rsid w:val="00406989"/>
    <w:rsid w:val="00406F96"/>
    <w:rsid w:val="0040736D"/>
    <w:rsid w:val="00407D80"/>
    <w:rsid w:val="00407FE5"/>
    <w:rsid w:val="00410A37"/>
    <w:rsid w:val="00411286"/>
    <w:rsid w:val="0041151F"/>
    <w:rsid w:val="004115E4"/>
    <w:rsid w:val="0041194F"/>
    <w:rsid w:val="00411A75"/>
    <w:rsid w:val="004121A3"/>
    <w:rsid w:val="0041229E"/>
    <w:rsid w:val="004129CF"/>
    <w:rsid w:val="00412AC1"/>
    <w:rsid w:val="004135C7"/>
    <w:rsid w:val="004138BD"/>
    <w:rsid w:val="00413BAB"/>
    <w:rsid w:val="004148CD"/>
    <w:rsid w:val="00415536"/>
    <w:rsid w:val="004162E7"/>
    <w:rsid w:val="00416B06"/>
    <w:rsid w:val="00416D54"/>
    <w:rsid w:val="0041787D"/>
    <w:rsid w:val="0042039D"/>
    <w:rsid w:val="004203BB"/>
    <w:rsid w:val="004211EE"/>
    <w:rsid w:val="00421415"/>
    <w:rsid w:val="004215CB"/>
    <w:rsid w:val="0042188F"/>
    <w:rsid w:val="00421BC5"/>
    <w:rsid w:val="00421D49"/>
    <w:rsid w:val="00421E32"/>
    <w:rsid w:val="004220DD"/>
    <w:rsid w:val="00422702"/>
    <w:rsid w:val="00422A59"/>
    <w:rsid w:val="004231C9"/>
    <w:rsid w:val="0042374F"/>
    <w:rsid w:val="004239F8"/>
    <w:rsid w:val="00423BAB"/>
    <w:rsid w:val="00423ED1"/>
    <w:rsid w:val="00425566"/>
    <w:rsid w:val="00425580"/>
    <w:rsid w:val="00425F88"/>
    <w:rsid w:val="00426B38"/>
    <w:rsid w:val="004276F1"/>
    <w:rsid w:val="0042783E"/>
    <w:rsid w:val="00427E7C"/>
    <w:rsid w:val="00430043"/>
    <w:rsid w:val="004308D6"/>
    <w:rsid w:val="0043096E"/>
    <w:rsid w:val="00431211"/>
    <w:rsid w:val="00431377"/>
    <w:rsid w:val="00431830"/>
    <w:rsid w:val="00431CF9"/>
    <w:rsid w:val="004324CC"/>
    <w:rsid w:val="00432A3C"/>
    <w:rsid w:val="00432A95"/>
    <w:rsid w:val="00432BAC"/>
    <w:rsid w:val="00432CA8"/>
    <w:rsid w:val="00432CC5"/>
    <w:rsid w:val="0043329C"/>
    <w:rsid w:val="0043409C"/>
    <w:rsid w:val="00434C29"/>
    <w:rsid w:val="00434F8B"/>
    <w:rsid w:val="00435A69"/>
    <w:rsid w:val="00435B8F"/>
    <w:rsid w:val="0043700A"/>
    <w:rsid w:val="004373DD"/>
    <w:rsid w:val="004377FF"/>
    <w:rsid w:val="004400E3"/>
    <w:rsid w:val="004401A4"/>
    <w:rsid w:val="00440A84"/>
    <w:rsid w:val="004411C8"/>
    <w:rsid w:val="00442FB2"/>
    <w:rsid w:val="0044326B"/>
    <w:rsid w:val="00443350"/>
    <w:rsid w:val="00443A70"/>
    <w:rsid w:val="00443C21"/>
    <w:rsid w:val="00443EB3"/>
    <w:rsid w:val="00443F34"/>
    <w:rsid w:val="0044416E"/>
    <w:rsid w:val="004448A8"/>
    <w:rsid w:val="0044492C"/>
    <w:rsid w:val="00444E3F"/>
    <w:rsid w:val="00445910"/>
    <w:rsid w:val="004459F1"/>
    <w:rsid w:val="0044636A"/>
    <w:rsid w:val="00446967"/>
    <w:rsid w:val="00447858"/>
    <w:rsid w:val="004507F3"/>
    <w:rsid w:val="0045117B"/>
    <w:rsid w:val="0045134C"/>
    <w:rsid w:val="0045138F"/>
    <w:rsid w:val="00451A97"/>
    <w:rsid w:val="00451BC9"/>
    <w:rsid w:val="004526FF"/>
    <w:rsid w:val="00452CC1"/>
    <w:rsid w:val="0045341A"/>
    <w:rsid w:val="00453A12"/>
    <w:rsid w:val="00453AC0"/>
    <w:rsid w:val="00453B2E"/>
    <w:rsid w:val="00453BAB"/>
    <w:rsid w:val="0045422E"/>
    <w:rsid w:val="0045451E"/>
    <w:rsid w:val="004547BE"/>
    <w:rsid w:val="00454862"/>
    <w:rsid w:val="00454B1E"/>
    <w:rsid w:val="00455A9F"/>
    <w:rsid w:val="00455F1A"/>
    <w:rsid w:val="0045623B"/>
    <w:rsid w:val="004562E9"/>
    <w:rsid w:val="0045653F"/>
    <w:rsid w:val="00456C48"/>
    <w:rsid w:val="00456E06"/>
    <w:rsid w:val="00456F45"/>
    <w:rsid w:val="0045703A"/>
    <w:rsid w:val="00457900"/>
    <w:rsid w:val="00457AF7"/>
    <w:rsid w:val="00457E7A"/>
    <w:rsid w:val="004601E1"/>
    <w:rsid w:val="004602C8"/>
    <w:rsid w:val="004602D9"/>
    <w:rsid w:val="004604D5"/>
    <w:rsid w:val="00460942"/>
    <w:rsid w:val="00461133"/>
    <w:rsid w:val="00461394"/>
    <w:rsid w:val="004614EB"/>
    <w:rsid w:val="00461628"/>
    <w:rsid w:val="00461C2C"/>
    <w:rsid w:val="004625F0"/>
    <w:rsid w:val="0046398B"/>
    <w:rsid w:val="00463AD0"/>
    <w:rsid w:val="0046444A"/>
    <w:rsid w:val="00464A1B"/>
    <w:rsid w:val="00464B0E"/>
    <w:rsid w:val="004655C6"/>
    <w:rsid w:val="00465800"/>
    <w:rsid w:val="00465F20"/>
    <w:rsid w:val="004663DA"/>
    <w:rsid w:val="0046688B"/>
    <w:rsid w:val="0046762D"/>
    <w:rsid w:val="00470433"/>
    <w:rsid w:val="00470B4C"/>
    <w:rsid w:val="00472316"/>
    <w:rsid w:val="004725F4"/>
    <w:rsid w:val="004726AE"/>
    <w:rsid w:val="00472784"/>
    <w:rsid w:val="004728DB"/>
    <w:rsid w:val="004733C1"/>
    <w:rsid w:val="00473550"/>
    <w:rsid w:val="00473653"/>
    <w:rsid w:val="00473C50"/>
    <w:rsid w:val="00473E04"/>
    <w:rsid w:val="00474447"/>
    <w:rsid w:val="00474507"/>
    <w:rsid w:val="0047501B"/>
    <w:rsid w:val="004753A9"/>
    <w:rsid w:val="0047550B"/>
    <w:rsid w:val="004758B4"/>
    <w:rsid w:val="0047599E"/>
    <w:rsid w:val="00476137"/>
    <w:rsid w:val="00476C86"/>
    <w:rsid w:val="00477289"/>
    <w:rsid w:val="004772D1"/>
    <w:rsid w:val="00477C04"/>
    <w:rsid w:val="00480708"/>
    <w:rsid w:val="004807CB"/>
    <w:rsid w:val="00480C46"/>
    <w:rsid w:val="00480F59"/>
    <w:rsid w:val="00481021"/>
    <w:rsid w:val="00481925"/>
    <w:rsid w:val="0048207A"/>
    <w:rsid w:val="004820F5"/>
    <w:rsid w:val="0048294C"/>
    <w:rsid w:val="00482AAD"/>
    <w:rsid w:val="0048304F"/>
    <w:rsid w:val="0048348F"/>
    <w:rsid w:val="00483C09"/>
    <w:rsid w:val="00483C52"/>
    <w:rsid w:val="004842DE"/>
    <w:rsid w:val="0048445E"/>
    <w:rsid w:val="00484A4B"/>
    <w:rsid w:val="0048579A"/>
    <w:rsid w:val="0048581C"/>
    <w:rsid w:val="00486080"/>
    <w:rsid w:val="0048653C"/>
    <w:rsid w:val="00486592"/>
    <w:rsid w:val="00486B8E"/>
    <w:rsid w:val="00486BB9"/>
    <w:rsid w:val="00487315"/>
    <w:rsid w:val="00487799"/>
    <w:rsid w:val="00487BEC"/>
    <w:rsid w:val="00487D41"/>
    <w:rsid w:val="00490C43"/>
    <w:rsid w:val="00491673"/>
    <w:rsid w:val="004919AA"/>
    <w:rsid w:val="00491EBC"/>
    <w:rsid w:val="00492971"/>
    <w:rsid w:val="00493190"/>
    <w:rsid w:val="0049328F"/>
    <w:rsid w:val="0049341C"/>
    <w:rsid w:val="004937D1"/>
    <w:rsid w:val="004940A0"/>
    <w:rsid w:val="00494375"/>
    <w:rsid w:val="00494A90"/>
    <w:rsid w:val="00494A94"/>
    <w:rsid w:val="00494D9F"/>
    <w:rsid w:val="00494FB9"/>
    <w:rsid w:val="0049521E"/>
    <w:rsid w:val="00495BB3"/>
    <w:rsid w:val="00496A7F"/>
    <w:rsid w:val="004973A8"/>
    <w:rsid w:val="00497779"/>
    <w:rsid w:val="0049797A"/>
    <w:rsid w:val="00497E07"/>
    <w:rsid w:val="004A0A0A"/>
    <w:rsid w:val="004A0C56"/>
    <w:rsid w:val="004A1157"/>
    <w:rsid w:val="004A1797"/>
    <w:rsid w:val="004A1E21"/>
    <w:rsid w:val="004A1FC8"/>
    <w:rsid w:val="004A23CA"/>
    <w:rsid w:val="004A3438"/>
    <w:rsid w:val="004A494A"/>
    <w:rsid w:val="004A4B47"/>
    <w:rsid w:val="004A4CB7"/>
    <w:rsid w:val="004A6390"/>
    <w:rsid w:val="004A656F"/>
    <w:rsid w:val="004A6BBA"/>
    <w:rsid w:val="004A6EFE"/>
    <w:rsid w:val="004A75A1"/>
    <w:rsid w:val="004A7D39"/>
    <w:rsid w:val="004AD9B6"/>
    <w:rsid w:val="004B046D"/>
    <w:rsid w:val="004B062D"/>
    <w:rsid w:val="004B1379"/>
    <w:rsid w:val="004B18F9"/>
    <w:rsid w:val="004B1982"/>
    <w:rsid w:val="004B1B3B"/>
    <w:rsid w:val="004B1D42"/>
    <w:rsid w:val="004B26DD"/>
    <w:rsid w:val="004B2D2B"/>
    <w:rsid w:val="004B2E37"/>
    <w:rsid w:val="004B4541"/>
    <w:rsid w:val="004B4843"/>
    <w:rsid w:val="004B5588"/>
    <w:rsid w:val="004B60AE"/>
    <w:rsid w:val="004B61D1"/>
    <w:rsid w:val="004B6280"/>
    <w:rsid w:val="004B6FC0"/>
    <w:rsid w:val="004B7A1A"/>
    <w:rsid w:val="004C0361"/>
    <w:rsid w:val="004C0469"/>
    <w:rsid w:val="004C04E3"/>
    <w:rsid w:val="004C064F"/>
    <w:rsid w:val="004C0843"/>
    <w:rsid w:val="004C0973"/>
    <w:rsid w:val="004C0C55"/>
    <w:rsid w:val="004C12B2"/>
    <w:rsid w:val="004C157D"/>
    <w:rsid w:val="004C163C"/>
    <w:rsid w:val="004C1F1F"/>
    <w:rsid w:val="004C2047"/>
    <w:rsid w:val="004C23A9"/>
    <w:rsid w:val="004C2631"/>
    <w:rsid w:val="004C270B"/>
    <w:rsid w:val="004C284E"/>
    <w:rsid w:val="004C41FE"/>
    <w:rsid w:val="004C46FE"/>
    <w:rsid w:val="004C47D9"/>
    <w:rsid w:val="004C4A97"/>
    <w:rsid w:val="004C5549"/>
    <w:rsid w:val="004C6724"/>
    <w:rsid w:val="004C6D67"/>
    <w:rsid w:val="004C754D"/>
    <w:rsid w:val="004C7B5D"/>
    <w:rsid w:val="004C7DFF"/>
    <w:rsid w:val="004C7F30"/>
    <w:rsid w:val="004D004A"/>
    <w:rsid w:val="004D01B8"/>
    <w:rsid w:val="004D01E5"/>
    <w:rsid w:val="004D0591"/>
    <w:rsid w:val="004D0CF4"/>
    <w:rsid w:val="004D1AE6"/>
    <w:rsid w:val="004D1D09"/>
    <w:rsid w:val="004D1D5A"/>
    <w:rsid w:val="004D1E8F"/>
    <w:rsid w:val="004D2368"/>
    <w:rsid w:val="004D239B"/>
    <w:rsid w:val="004D253D"/>
    <w:rsid w:val="004D2A3D"/>
    <w:rsid w:val="004D3DE9"/>
    <w:rsid w:val="004D42A3"/>
    <w:rsid w:val="004D4C1A"/>
    <w:rsid w:val="004D5D86"/>
    <w:rsid w:val="004D60D6"/>
    <w:rsid w:val="004D67DB"/>
    <w:rsid w:val="004D779B"/>
    <w:rsid w:val="004D7802"/>
    <w:rsid w:val="004D7948"/>
    <w:rsid w:val="004E0288"/>
    <w:rsid w:val="004E06BE"/>
    <w:rsid w:val="004E1E5D"/>
    <w:rsid w:val="004E2022"/>
    <w:rsid w:val="004E29FB"/>
    <w:rsid w:val="004E2D07"/>
    <w:rsid w:val="004E2E76"/>
    <w:rsid w:val="004E3FF0"/>
    <w:rsid w:val="004E4442"/>
    <w:rsid w:val="004E46D1"/>
    <w:rsid w:val="004E4C10"/>
    <w:rsid w:val="004E4E3C"/>
    <w:rsid w:val="004E4E9D"/>
    <w:rsid w:val="004E53A5"/>
    <w:rsid w:val="004E5F75"/>
    <w:rsid w:val="004E663F"/>
    <w:rsid w:val="004E6D87"/>
    <w:rsid w:val="004E6DEB"/>
    <w:rsid w:val="004E741D"/>
    <w:rsid w:val="004E7F5B"/>
    <w:rsid w:val="004F0156"/>
    <w:rsid w:val="004F064C"/>
    <w:rsid w:val="004F084C"/>
    <w:rsid w:val="004F0C23"/>
    <w:rsid w:val="004F174A"/>
    <w:rsid w:val="004F17D7"/>
    <w:rsid w:val="004F1810"/>
    <w:rsid w:val="004F20CD"/>
    <w:rsid w:val="004F2765"/>
    <w:rsid w:val="004F37B9"/>
    <w:rsid w:val="004F37E4"/>
    <w:rsid w:val="004F3FD8"/>
    <w:rsid w:val="004F4D6C"/>
    <w:rsid w:val="004F5746"/>
    <w:rsid w:val="004F58A6"/>
    <w:rsid w:val="004F5C10"/>
    <w:rsid w:val="004F5F2A"/>
    <w:rsid w:val="004F6642"/>
    <w:rsid w:val="004F6705"/>
    <w:rsid w:val="004F6E37"/>
    <w:rsid w:val="004F743F"/>
    <w:rsid w:val="004F7B4B"/>
    <w:rsid w:val="005000D7"/>
    <w:rsid w:val="005008E1"/>
    <w:rsid w:val="005009A9"/>
    <w:rsid w:val="00500E2B"/>
    <w:rsid w:val="00502F1C"/>
    <w:rsid w:val="005034DF"/>
    <w:rsid w:val="00504D1C"/>
    <w:rsid w:val="00505600"/>
    <w:rsid w:val="00505E28"/>
    <w:rsid w:val="00505F80"/>
    <w:rsid w:val="005065B1"/>
    <w:rsid w:val="00506688"/>
    <w:rsid w:val="00506AF6"/>
    <w:rsid w:val="00506F28"/>
    <w:rsid w:val="005074B9"/>
    <w:rsid w:val="00507680"/>
    <w:rsid w:val="0051020E"/>
    <w:rsid w:val="00510266"/>
    <w:rsid w:val="00510E8B"/>
    <w:rsid w:val="0051104C"/>
    <w:rsid w:val="00511121"/>
    <w:rsid w:val="005119C9"/>
    <w:rsid w:val="00511AD8"/>
    <w:rsid w:val="005122A6"/>
    <w:rsid w:val="005122A7"/>
    <w:rsid w:val="00512BCA"/>
    <w:rsid w:val="00512D12"/>
    <w:rsid w:val="00512D72"/>
    <w:rsid w:val="0051320D"/>
    <w:rsid w:val="00513771"/>
    <w:rsid w:val="0051399D"/>
    <w:rsid w:val="00513E28"/>
    <w:rsid w:val="00514762"/>
    <w:rsid w:val="00514F51"/>
    <w:rsid w:val="00515991"/>
    <w:rsid w:val="00515AC1"/>
    <w:rsid w:val="00515BD8"/>
    <w:rsid w:val="00515FDF"/>
    <w:rsid w:val="005160EF"/>
    <w:rsid w:val="005174B1"/>
    <w:rsid w:val="005175AC"/>
    <w:rsid w:val="00520455"/>
    <w:rsid w:val="005207F0"/>
    <w:rsid w:val="00520AF1"/>
    <w:rsid w:val="00520C6A"/>
    <w:rsid w:val="00520E61"/>
    <w:rsid w:val="00520EA0"/>
    <w:rsid w:val="00521CEE"/>
    <w:rsid w:val="00522228"/>
    <w:rsid w:val="00522B03"/>
    <w:rsid w:val="00522B0D"/>
    <w:rsid w:val="00522C98"/>
    <w:rsid w:val="00523D64"/>
    <w:rsid w:val="00523DB9"/>
    <w:rsid w:val="00523EB4"/>
    <w:rsid w:val="00523FCC"/>
    <w:rsid w:val="005240E2"/>
    <w:rsid w:val="0052468F"/>
    <w:rsid w:val="0052490C"/>
    <w:rsid w:val="0052494A"/>
    <w:rsid w:val="005253A9"/>
    <w:rsid w:val="005259F0"/>
    <w:rsid w:val="00525D98"/>
    <w:rsid w:val="00526688"/>
    <w:rsid w:val="005302B2"/>
    <w:rsid w:val="00530E76"/>
    <w:rsid w:val="0053115A"/>
    <w:rsid w:val="0053139F"/>
    <w:rsid w:val="00531DB0"/>
    <w:rsid w:val="00532038"/>
    <w:rsid w:val="0053208C"/>
    <w:rsid w:val="00532345"/>
    <w:rsid w:val="0053308E"/>
    <w:rsid w:val="005336B6"/>
    <w:rsid w:val="00533BE5"/>
    <w:rsid w:val="00533CC5"/>
    <w:rsid w:val="005342FC"/>
    <w:rsid w:val="00534525"/>
    <w:rsid w:val="0053467A"/>
    <w:rsid w:val="00535527"/>
    <w:rsid w:val="00536D8B"/>
    <w:rsid w:val="00536DB3"/>
    <w:rsid w:val="00536EF3"/>
    <w:rsid w:val="00537007"/>
    <w:rsid w:val="005370FA"/>
    <w:rsid w:val="00537E7D"/>
    <w:rsid w:val="00540710"/>
    <w:rsid w:val="00540741"/>
    <w:rsid w:val="00540AF2"/>
    <w:rsid w:val="00540B74"/>
    <w:rsid w:val="00541666"/>
    <w:rsid w:val="005417E2"/>
    <w:rsid w:val="0054226A"/>
    <w:rsid w:val="005429A8"/>
    <w:rsid w:val="00542E17"/>
    <w:rsid w:val="00543A08"/>
    <w:rsid w:val="00543B16"/>
    <w:rsid w:val="00543DE8"/>
    <w:rsid w:val="005440AC"/>
    <w:rsid w:val="0054470A"/>
    <w:rsid w:val="00544E9B"/>
    <w:rsid w:val="00545148"/>
    <w:rsid w:val="00545457"/>
    <w:rsid w:val="00546087"/>
    <w:rsid w:val="00546097"/>
    <w:rsid w:val="00546C8C"/>
    <w:rsid w:val="00546D8F"/>
    <w:rsid w:val="00547109"/>
    <w:rsid w:val="00547CFC"/>
    <w:rsid w:val="00551372"/>
    <w:rsid w:val="00551A2A"/>
    <w:rsid w:val="00551BA2"/>
    <w:rsid w:val="00551D7D"/>
    <w:rsid w:val="00552666"/>
    <w:rsid w:val="00552D93"/>
    <w:rsid w:val="0055390E"/>
    <w:rsid w:val="00553992"/>
    <w:rsid w:val="00553F0F"/>
    <w:rsid w:val="005543EB"/>
    <w:rsid w:val="00554AE5"/>
    <w:rsid w:val="00555191"/>
    <w:rsid w:val="0055551A"/>
    <w:rsid w:val="00555906"/>
    <w:rsid w:val="005565F9"/>
    <w:rsid w:val="005566B9"/>
    <w:rsid w:val="00556700"/>
    <w:rsid w:val="00556AD0"/>
    <w:rsid w:val="005575B9"/>
    <w:rsid w:val="0055779C"/>
    <w:rsid w:val="00557B30"/>
    <w:rsid w:val="00560055"/>
    <w:rsid w:val="00560194"/>
    <w:rsid w:val="00560BB4"/>
    <w:rsid w:val="00560CC9"/>
    <w:rsid w:val="00560E12"/>
    <w:rsid w:val="0056112D"/>
    <w:rsid w:val="0056120F"/>
    <w:rsid w:val="005616EF"/>
    <w:rsid w:val="00562ACF"/>
    <w:rsid w:val="005631AF"/>
    <w:rsid w:val="00563741"/>
    <w:rsid w:val="00563D62"/>
    <w:rsid w:val="00564149"/>
    <w:rsid w:val="00564F98"/>
    <w:rsid w:val="0056583C"/>
    <w:rsid w:val="00566112"/>
    <w:rsid w:val="00566BC7"/>
    <w:rsid w:val="00566F4F"/>
    <w:rsid w:val="005671E0"/>
    <w:rsid w:val="00567210"/>
    <w:rsid w:val="00567561"/>
    <w:rsid w:val="00567C54"/>
    <w:rsid w:val="00567E49"/>
    <w:rsid w:val="0057047F"/>
    <w:rsid w:val="005706AE"/>
    <w:rsid w:val="005710E1"/>
    <w:rsid w:val="00571BFC"/>
    <w:rsid w:val="00571C3F"/>
    <w:rsid w:val="00572003"/>
    <w:rsid w:val="0057254E"/>
    <w:rsid w:val="00572703"/>
    <w:rsid w:val="00573493"/>
    <w:rsid w:val="00573B1F"/>
    <w:rsid w:val="00574628"/>
    <w:rsid w:val="00574B1E"/>
    <w:rsid w:val="0057565E"/>
    <w:rsid w:val="005758B2"/>
    <w:rsid w:val="00575DED"/>
    <w:rsid w:val="00576230"/>
    <w:rsid w:val="005767FE"/>
    <w:rsid w:val="005769C8"/>
    <w:rsid w:val="00576BE5"/>
    <w:rsid w:val="00576F24"/>
    <w:rsid w:val="0057784F"/>
    <w:rsid w:val="00577BBC"/>
    <w:rsid w:val="005804A7"/>
    <w:rsid w:val="005804F8"/>
    <w:rsid w:val="00580959"/>
    <w:rsid w:val="005809BC"/>
    <w:rsid w:val="005809C8"/>
    <w:rsid w:val="00580C4A"/>
    <w:rsid w:val="0058110D"/>
    <w:rsid w:val="00581195"/>
    <w:rsid w:val="005813F4"/>
    <w:rsid w:val="0058143F"/>
    <w:rsid w:val="0058180D"/>
    <w:rsid w:val="0058196A"/>
    <w:rsid w:val="00582F0C"/>
    <w:rsid w:val="00582FB1"/>
    <w:rsid w:val="0058367E"/>
    <w:rsid w:val="00583C30"/>
    <w:rsid w:val="005846BF"/>
    <w:rsid w:val="005848CA"/>
    <w:rsid w:val="00584A36"/>
    <w:rsid w:val="00584E3D"/>
    <w:rsid w:val="00584FCF"/>
    <w:rsid w:val="00585AA9"/>
    <w:rsid w:val="00586345"/>
    <w:rsid w:val="00586956"/>
    <w:rsid w:val="00586A52"/>
    <w:rsid w:val="00586AFC"/>
    <w:rsid w:val="00586DB0"/>
    <w:rsid w:val="0058706C"/>
    <w:rsid w:val="005873BF"/>
    <w:rsid w:val="00587D0C"/>
    <w:rsid w:val="005904FE"/>
    <w:rsid w:val="00590DF6"/>
    <w:rsid w:val="00590FC4"/>
    <w:rsid w:val="005919A7"/>
    <w:rsid w:val="00592102"/>
    <w:rsid w:val="00592B26"/>
    <w:rsid w:val="00592C08"/>
    <w:rsid w:val="00592E09"/>
    <w:rsid w:val="00593AE2"/>
    <w:rsid w:val="005953B2"/>
    <w:rsid w:val="0059543A"/>
    <w:rsid w:val="00595763"/>
    <w:rsid w:val="00596097"/>
    <w:rsid w:val="00596FBF"/>
    <w:rsid w:val="00596FE0"/>
    <w:rsid w:val="0059748E"/>
    <w:rsid w:val="00597B5A"/>
    <w:rsid w:val="005A005A"/>
    <w:rsid w:val="005A020A"/>
    <w:rsid w:val="005A05C5"/>
    <w:rsid w:val="005A0DE4"/>
    <w:rsid w:val="005A12F2"/>
    <w:rsid w:val="005A17D1"/>
    <w:rsid w:val="005A2176"/>
    <w:rsid w:val="005A2767"/>
    <w:rsid w:val="005A28B1"/>
    <w:rsid w:val="005A316D"/>
    <w:rsid w:val="005A3517"/>
    <w:rsid w:val="005A463F"/>
    <w:rsid w:val="005A4682"/>
    <w:rsid w:val="005A4DB7"/>
    <w:rsid w:val="005A5635"/>
    <w:rsid w:val="005A568E"/>
    <w:rsid w:val="005A5732"/>
    <w:rsid w:val="005A58BC"/>
    <w:rsid w:val="005A61A3"/>
    <w:rsid w:val="005A76A3"/>
    <w:rsid w:val="005A7E7D"/>
    <w:rsid w:val="005B0473"/>
    <w:rsid w:val="005B0BD9"/>
    <w:rsid w:val="005B0D7E"/>
    <w:rsid w:val="005B18D7"/>
    <w:rsid w:val="005B190B"/>
    <w:rsid w:val="005B1C0C"/>
    <w:rsid w:val="005B2934"/>
    <w:rsid w:val="005B36D6"/>
    <w:rsid w:val="005B3894"/>
    <w:rsid w:val="005B486C"/>
    <w:rsid w:val="005B5915"/>
    <w:rsid w:val="005B616E"/>
    <w:rsid w:val="005B6205"/>
    <w:rsid w:val="005B64E7"/>
    <w:rsid w:val="005B661B"/>
    <w:rsid w:val="005B6BDB"/>
    <w:rsid w:val="005B76B5"/>
    <w:rsid w:val="005B7A83"/>
    <w:rsid w:val="005B7F3A"/>
    <w:rsid w:val="005B7F50"/>
    <w:rsid w:val="005C031B"/>
    <w:rsid w:val="005C04E9"/>
    <w:rsid w:val="005C06C5"/>
    <w:rsid w:val="005C0A13"/>
    <w:rsid w:val="005C0D3A"/>
    <w:rsid w:val="005C0EC8"/>
    <w:rsid w:val="005C2A61"/>
    <w:rsid w:val="005C2B04"/>
    <w:rsid w:val="005C2C84"/>
    <w:rsid w:val="005C2DCE"/>
    <w:rsid w:val="005C3673"/>
    <w:rsid w:val="005C3726"/>
    <w:rsid w:val="005C3D9E"/>
    <w:rsid w:val="005C3F1A"/>
    <w:rsid w:val="005C49E0"/>
    <w:rsid w:val="005C4AC7"/>
    <w:rsid w:val="005C5654"/>
    <w:rsid w:val="005C5A7A"/>
    <w:rsid w:val="005C5B27"/>
    <w:rsid w:val="005C5D3C"/>
    <w:rsid w:val="005C5F08"/>
    <w:rsid w:val="005C5FFA"/>
    <w:rsid w:val="005C6D3D"/>
    <w:rsid w:val="005C75D0"/>
    <w:rsid w:val="005D0111"/>
    <w:rsid w:val="005D04EA"/>
    <w:rsid w:val="005D059F"/>
    <w:rsid w:val="005D0647"/>
    <w:rsid w:val="005D0A41"/>
    <w:rsid w:val="005D0F29"/>
    <w:rsid w:val="005D0F78"/>
    <w:rsid w:val="005D1D80"/>
    <w:rsid w:val="005D2641"/>
    <w:rsid w:val="005D285C"/>
    <w:rsid w:val="005D2C0E"/>
    <w:rsid w:val="005D2E1C"/>
    <w:rsid w:val="005D2E7D"/>
    <w:rsid w:val="005D31A9"/>
    <w:rsid w:val="005D3C6A"/>
    <w:rsid w:val="005D5014"/>
    <w:rsid w:val="005D51EF"/>
    <w:rsid w:val="005D52A4"/>
    <w:rsid w:val="005D5B2D"/>
    <w:rsid w:val="005D6392"/>
    <w:rsid w:val="005D6534"/>
    <w:rsid w:val="005E0DE1"/>
    <w:rsid w:val="005E0F94"/>
    <w:rsid w:val="005E1166"/>
    <w:rsid w:val="005E1885"/>
    <w:rsid w:val="005E1F24"/>
    <w:rsid w:val="005E2898"/>
    <w:rsid w:val="005E2941"/>
    <w:rsid w:val="005E2B1B"/>
    <w:rsid w:val="005E2D78"/>
    <w:rsid w:val="005E32B0"/>
    <w:rsid w:val="005E420B"/>
    <w:rsid w:val="005E4567"/>
    <w:rsid w:val="005E7028"/>
    <w:rsid w:val="005E7167"/>
    <w:rsid w:val="005E7509"/>
    <w:rsid w:val="005E7D59"/>
    <w:rsid w:val="005E7E13"/>
    <w:rsid w:val="005E7FF6"/>
    <w:rsid w:val="005F04BD"/>
    <w:rsid w:val="005F0898"/>
    <w:rsid w:val="005F0A55"/>
    <w:rsid w:val="005F0E45"/>
    <w:rsid w:val="005F1567"/>
    <w:rsid w:val="005F1776"/>
    <w:rsid w:val="005F1D50"/>
    <w:rsid w:val="005F2B77"/>
    <w:rsid w:val="005F3EFE"/>
    <w:rsid w:val="005F41EE"/>
    <w:rsid w:val="005F489B"/>
    <w:rsid w:val="005F4A5B"/>
    <w:rsid w:val="005F4A8B"/>
    <w:rsid w:val="005F57FC"/>
    <w:rsid w:val="005F5857"/>
    <w:rsid w:val="005F5F5D"/>
    <w:rsid w:val="005F66FB"/>
    <w:rsid w:val="005F6CF3"/>
    <w:rsid w:val="005F6E6C"/>
    <w:rsid w:val="005F71A1"/>
    <w:rsid w:val="005F7437"/>
    <w:rsid w:val="005F74C9"/>
    <w:rsid w:val="005F75AD"/>
    <w:rsid w:val="005F7CC0"/>
    <w:rsid w:val="00600028"/>
    <w:rsid w:val="006006B4"/>
    <w:rsid w:val="006011AF"/>
    <w:rsid w:val="006014BC"/>
    <w:rsid w:val="006015C5"/>
    <w:rsid w:val="0060194E"/>
    <w:rsid w:val="00602194"/>
    <w:rsid w:val="00603008"/>
    <w:rsid w:val="00603167"/>
    <w:rsid w:val="006037D4"/>
    <w:rsid w:val="00603BBC"/>
    <w:rsid w:val="0060428F"/>
    <w:rsid w:val="0060431F"/>
    <w:rsid w:val="00604470"/>
    <w:rsid w:val="006045B3"/>
    <w:rsid w:val="006051E9"/>
    <w:rsid w:val="00605E10"/>
    <w:rsid w:val="00605EF4"/>
    <w:rsid w:val="0060649B"/>
    <w:rsid w:val="006065CD"/>
    <w:rsid w:val="00606709"/>
    <w:rsid w:val="00606AB8"/>
    <w:rsid w:val="00607391"/>
    <w:rsid w:val="00607AC6"/>
    <w:rsid w:val="00607D90"/>
    <w:rsid w:val="006107F8"/>
    <w:rsid w:val="00611079"/>
    <w:rsid w:val="00612004"/>
    <w:rsid w:val="006122C4"/>
    <w:rsid w:val="00612537"/>
    <w:rsid w:val="00612820"/>
    <w:rsid w:val="00612A4A"/>
    <w:rsid w:val="00612EB0"/>
    <w:rsid w:val="0061326E"/>
    <w:rsid w:val="00613EB2"/>
    <w:rsid w:val="006149B1"/>
    <w:rsid w:val="00614B25"/>
    <w:rsid w:val="006157DA"/>
    <w:rsid w:val="00615F73"/>
    <w:rsid w:val="0061640C"/>
    <w:rsid w:val="00616A0F"/>
    <w:rsid w:val="0061737F"/>
    <w:rsid w:val="00617BFA"/>
    <w:rsid w:val="00621007"/>
    <w:rsid w:val="00621AD5"/>
    <w:rsid w:val="00621C9C"/>
    <w:rsid w:val="00621F6D"/>
    <w:rsid w:val="006224E7"/>
    <w:rsid w:val="006225D1"/>
    <w:rsid w:val="0062297B"/>
    <w:rsid w:val="006241B3"/>
    <w:rsid w:val="0062432E"/>
    <w:rsid w:val="00624A1C"/>
    <w:rsid w:val="00625115"/>
    <w:rsid w:val="00625545"/>
    <w:rsid w:val="006260A8"/>
    <w:rsid w:val="00627523"/>
    <w:rsid w:val="006275CC"/>
    <w:rsid w:val="006300E9"/>
    <w:rsid w:val="00631349"/>
    <w:rsid w:val="00631C50"/>
    <w:rsid w:val="00632B8A"/>
    <w:rsid w:val="00632BA5"/>
    <w:rsid w:val="006335F1"/>
    <w:rsid w:val="00633ADC"/>
    <w:rsid w:val="00633BA4"/>
    <w:rsid w:val="00634135"/>
    <w:rsid w:val="00634171"/>
    <w:rsid w:val="00634FE9"/>
    <w:rsid w:val="00635850"/>
    <w:rsid w:val="00637137"/>
    <w:rsid w:val="006371B1"/>
    <w:rsid w:val="00640898"/>
    <w:rsid w:val="00640CF1"/>
    <w:rsid w:val="0064195A"/>
    <w:rsid w:val="00641E52"/>
    <w:rsid w:val="00641FE3"/>
    <w:rsid w:val="00642891"/>
    <w:rsid w:val="00642D85"/>
    <w:rsid w:val="00642DF7"/>
    <w:rsid w:val="006434BA"/>
    <w:rsid w:val="00643889"/>
    <w:rsid w:val="00643A1C"/>
    <w:rsid w:val="006440E7"/>
    <w:rsid w:val="0064425D"/>
    <w:rsid w:val="00644AB1"/>
    <w:rsid w:val="00644B48"/>
    <w:rsid w:val="00644DD8"/>
    <w:rsid w:val="006454AF"/>
    <w:rsid w:val="006454BB"/>
    <w:rsid w:val="00645A9D"/>
    <w:rsid w:val="00645AA0"/>
    <w:rsid w:val="006467C1"/>
    <w:rsid w:val="00646AD0"/>
    <w:rsid w:val="00646BDD"/>
    <w:rsid w:val="00646F75"/>
    <w:rsid w:val="00647C58"/>
    <w:rsid w:val="00650111"/>
    <w:rsid w:val="0065023B"/>
    <w:rsid w:val="00651690"/>
    <w:rsid w:val="00651732"/>
    <w:rsid w:val="006517B8"/>
    <w:rsid w:val="00651B12"/>
    <w:rsid w:val="00651C83"/>
    <w:rsid w:val="006521FB"/>
    <w:rsid w:val="00652237"/>
    <w:rsid w:val="00652814"/>
    <w:rsid w:val="0065290B"/>
    <w:rsid w:val="00652A87"/>
    <w:rsid w:val="00652AF5"/>
    <w:rsid w:val="00652E1F"/>
    <w:rsid w:val="00653459"/>
    <w:rsid w:val="00653F1A"/>
    <w:rsid w:val="00654263"/>
    <w:rsid w:val="00654A4F"/>
    <w:rsid w:val="006566E8"/>
    <w:rsid w:val="00656710"/>
    <w:rsid w:val="006569EC"/>
    <w:rsid w:val="00657CD1"/>
    <w:rsid w:val="00657FE9"/>
    <w:rsid w:val="006601A6"/>
    <w:rsid w:val="00660A3A"/>
    <w:rsid w:val="00660F4A"/>
    <w:rsid w:val="00661C7B"/>
    <w:rsid w:val="00661F59"/>
    <w:rsid w:val="00662421"/>
    <w:rsid w:val="006629AE"/>
    <w:rsid w:val="0066304C"/>
    <w:rsid w:val="00663068"/>
    <w:rsid w:val="00663F01"/>
    <w:rsid w:val="00664135"/>
    <w:rsid w:val="006641FE"/>
    <w:rsid w:val="00664258"/>
    <w:rsid w:val="00664360"/>
    <w:rsid w:val="00666126"/>
    <w:rsid w:val="00667B3B"/>
    <w:rsid w:val="00667C4D"/>
    <w:rsid w:val="00667CAF"/>
    <w:rsid w:val="00667ED9"/>
    <w:rsid w:val="00670619"/>
    <w:rsid w:val="00670E07"/>
    <w:rsid w:val="006715DF"/>
    <w:rsid w:val="00671E1C"/>
    <w:rsid w:val="006721BB"/>
    <w:rsid w:val="0067248C"/>
    <w:rsid w:val="00672E7B"/>
    <w:rsid w:val="00673199"/>
    <w:rsid w:val="00673522"/>
    <w:rsid w:val="00673883"/>
    <w:rsid w:val="006738BD"/>
    <w:rsid w:val="00673F40"/>
    <w:rsid w:val="006746DA"/>
    <w:rsid w:val="00674766"/>
    <w:rsid w:val="00674F97"/>
    <w:rsid w:val="00675192"/>
    <w:rsid w:val="006751AC"/>
    <w:rsid w:val="00675D3D"/>
    <w:rsid w:val="00675D65"/>
    <w:rsid w:val="00676155"/>
    <w:rsid w:val="00676378"/>
    <w:rsid w:val="006763E1"/>
    <w:rsid w:val="0067709D"/>
    <w:rsid w:val="00677663"/>
    <w:rsid w:val="0067796F"/>
    <w:rsid w:val="006779C0"/>
    <w:rsid w:val="00677BB4"/>
    <w:rsid w:val="00677C2F"/>
    <w:rsid w:val="00677D0E"/>
    <w:rsid w:val="00677D48"/>
    <w:rsid w:val="006801DA"/>
    <w:rsid w:val="0068034D"/>
    <w:rsid w:val="00680FB4"/>
    <w:rsid w:val="00681221"/>
    <w:rsid w:val="0068137E"/>
    <w:rsid w:val="00681502"/>
    <w:rsid w:val="00681566"/>
    <w:rsid w:val="00681A4B"/>
    <w:rsid w:val="00681AA6"/>
    <w:rsid w:val="0068236D"/>
    <w:rsid w:val="00682632"/>
    <w:rsid w:val="006831B1"/>
    <w:rsid w:val="00683DAE"/>
    <w:rsid w:val="006840F3"/>
    <w:rsid w:val="00684BAD"/>
    <w:rsid w:val="006854A7"/>
    <w:rsid w:val="006855E4"/>
    <w:rsid w:val="00685817"/>
    <w:rsid w:val="00685C36"/>
    <w:rsid w:val="00686B8A"/>
    <w:rsid w:val="00686C2C"/>
    <w:rsid w:val="00687155"/>
    <w:rsid w:val="00687269"/>
    <w:rsid w:val="00687490"/>
    <w:rsid w:val="00687B03"/>
    <w:rsid w:val="00690A36"/>
    <w:rsid w:val="00690F19"/>
    <w:rsid w:val="006923E0"/>
    <w:rsid w:val="00692912"/>
    <w:rsid w:val="00693685"/>
    <w:rsid w:val="00693726"/>
    <w:rsid w:val="006937AB"/>
    <w:rsid w:val="00693FBD"/>
    <w:rsid w:val="006942A0"/>
    <w:rsid w:val="006944C2"/>
    <w:rsid w:val="0069459D"/>
    <w:rsid w:val="00694B9D"/>
    <w:rsid w:val="00694D7C"/>
    <w:rsid w:val="00695373"/>
    <w:rsid w:val="00695774"/>
    <w:rsid w:val="00696855"/>
    <w:rsid w:val="00696AEE"/>
    <w:rsid w:val="0069740C"/>
    <w:rsid w:val="006978A6"/>
    <w:rsid w:val="006A00C2"/>
    <w:rsid w:val="006A0510"/>
    <w:rsid w:val="006A0E4E"/>
    <w:rsid w:val="006A1198"/>
    <w:rsid w:val="006A1395"/>
    <w:rsid w:val="006A1471"/>
    <w:rsid w:val="006A1775"/>
    <w:rsid w:val="006A1CA8"/>
    <w:rsid w:val="006A2587"/>
    <w:rsid w:val="006A2B52"/>
    <w:rsid w:val="006A3A60"/>
    <w:rsid w:val="006A3BA7"/>
    <w:rsid w:val="006A4312"/>
    <w:rsid w:val="006A508A"/>
    <w:rsid w:val="006A5092"/>
    <w:rsid w:val="006A5226"/>
    <w:rsid w:val="006A5E6F"/>
    <w:rsid w:val="006A67D6"/>
    <w:rsid w:val="006A6A70"/>
    <w:rsid w:val="006A700A"/>
    <w:rsid w:val="006B0C72"/>
    <w:rsid w:val="006B125B"/>
    <w:rsid w:val="006B14E1"/>
    <w:rsid w:val="006B1FD6"/>
    <w:rsid w:val="006B280A"/>
    <w:rsid w:val="006B2AEB"/>
    <w:rsid w:val="006B34E8"/>
    <w:rsid w:val="006B534F"/>
    <w:rsid w:val="006B5850"/>
    <w:rsid w:val="006B5D64"/>
    <w:rsid w:val="006B64D6"/>
    <w:rsid w:val="006B675A"/>
    <w:rsid w:val="006B6BA6"/>
    <w:rsid w:val="006B733B"/>
    <w:rsid w:val="006B7383"/>
    <w:rsid w:val="006B7917"/>
    <w:rsid w:val="006B7C87"/>
    <w:rsid w:val="006BFEED"/>
    <w:rsid w:val="006C0CE7"/>
    <w:rsid w:val="006C119C"/>
    <w:rsid w:val="006C1675"/>
    <w:rsid w:val="006C19BA"/>
    <w:rsid w:val="006C1BCC"/>
    <w:rsid w:val="006C2491"/>
    <w:rsid w:val="006C24E3"/>
    <w:rsid w:val="006C2D5D"/>
    <w:rsid w:val="006C2EF4"/>
    <w:rsid w:val="006C3770"/>
    <w:rsid w:val="006C3FE5"/>
    <w:rsid w:val="006C446C"/>
    <w:rsid w:val="006C4552"/>
    <w:rsid w:val="006C46C1"/>
    <w:rsid w:val="006C49C0"/>
    <w:rsid w:val="006C576A"/>
    <w:rsid w:val="006C5D14"/>
    <w:rsid w:val="006C65FF"/>
    <w:rsid w:val="006D18BA"/>
    <w:rsid w:val="006D1AE3"/>
    <w:rsid w:val="006D1CA6"/>
    <w:rsid w:val="006D1DE8"/>
    <w:rsid w:val="006D214D"/>
    <w:rsid w:val="006D23CC"/>
    <w:rsid w:val="006D33C2"/>
    <w:rsid w:val="006D3B8F"/>
    <w:rsid w:val="006D43D8"/>
    <w:rsid w:val="006D46B3"/>
    <w:rsid w:val="006D49C5"/>
    <w:rsid w:val="006D4A44"/>
    <w:rsid w:val="006D4CD5"/>
    <w:rsid w:val="006D5AC4"/>
    <w:rsid w:val="006D5E0E"/>
    <w:rsid w:val="006D7622"/>
    <w:rsid w:val="006D7631"/>
    <w:rsid w:val="006D7693"/>
    <w:rsid w:val="006E0021"/>
    <w:rsid w:val="006E023F"/>
    <w:rsid w:val="006E063A"/>
    <w:rsid w:val="006E086C"/>
    <w:rsid w:val="006E0A6F"/>
    <w:rsid w:val="006E0C02"/>
    <w:rsid w:val="006E0FCE"/>
    <w:rsid w:val="006E1CD0"/>
    <w:rsid w:val="006E2872"/>
    <w:rsid w:val="006E2986"/>
    <w:rsid w:val="006E3070"/>
    <w:rsid w:val="006E3303"/>
    <w:rsid w:val="006E52CF"/>
    <w:rsid w:val="006E5C69"/>
    <w:rsid w:val="006E6117"/>
    <w:rsid w:val="006E62A0"/>
    <w:rsid w:val="006E6FD1"/>
    <w:rsid w:val="006E7F91"/>
    <w:rsid w:val="006F0316"/>
    <w:rsid w:val="006F05FE"/>
    <w:rsid w:val="006F0648"/>
    <w:rsid w:val="006F0689"/>
    <w:rsid w:val="006F0FBD"/>
    <w:rsid w:val="006F1463"/>
    <w:rsid w:val="006F20EB"/>
    <w:rsid w:val="006F2269"/>
    <w:rsid w:val="006F24A1"/>
    <w:rsid w:val="006F2912"/>
    <w:rsid w:val="006F2C85"/>
    <w:rsid w:val="006F2F5F"/>
    <w:rsid w:val="006F32F4"/>
    <w:rsid w:val="006F33C4"/>
    <w:rsid w:val="006F35B4"/>
    <w:rsid w:val="006F44D6"/>
    <w:rsid w:val="006F66F5"/>
    <w:rsid w:val="006F6737"/>
    <w:rsid w:val="006F6A34"/>
    <w:rsid w:val="006F7135"/>
    <w:rsid w:val="006F72DB"/>
    <w:rsid w:val="006F74AC"/>
    <w:rsid w:val="006F7C6A"/>
    <w:rsid w:val="006F7F1A"/>
    <w:rsid w:val="00700147"/>
    <w:rsid w:val="0070030A"/>
    <w:rsid w:val="00700401"/>
    <w:rsid w:val="00700E04"/>
    <w:rsid w:val="00701579"/>
    <w:rsid w:val="00701850"/>
    <w:rsid w:val="007020B4"/>
    <w:rsid w:val="0070284A"/>
    <w:rsid w:val="00703187"/>
    <w:rsid w:val="007031E5"/>
    <w:rsid w:val="007036AB"/>
    <w:rsid w:val="007042C0"/>
    <w:rsid w:val="00705551"/>
    <w:rsid w:val="00705BCC"/>
    <w:rsid w:val="0070622E"/>
    <w:rsid w:val="0071053A"/>
    <w:rsid w:val="0071175F"/>
    <w:rsid w:val="007123CB"/>
    <w:rsid w:val="0071286A"/>
    <w:rsid w:val="00712C88"/>
    <w:rsid w:val="00712EB4"/>
    <w:rsid w:val="00713139"/>
    <w:rsid w:val="007136AA"/>
    <w:rsid w:val="007137EA"/>
    <w:rsid w:val="007139BB"/>
    <w:rsid w:val="00713A37"/>
    <w:rsid w:val="0071400C"/>
    <w:rsid w:val="007149E7"/>
    <w:rsid w:val="007158B5"/>
    <w:rsid w:val="00716DB0"/>
    <w:rsid w:val="00717636"/>
    <w:rsid w:val="007177F8"/>
    <w:rsid w:val="00717BC7"/>
    <w:rsid w:val="00717C01"/>
    <w:rsid w:val="007201C1"/>
    <w:rsid w:val="007206CE"/>
    <w:rsid w:val="0072081A"/>
    <w:rsid w:val="00720867"/>
    <w:rsid w:val="00721639"/>
    <w:rsid w:val="00722433"/>
    <w:rsid w:val="007224C1"/>
    <w:rsid w:val="00722E41"/>
    <w:rsid w:val="00722EB1"/>
    <w:rsid w:val="00723918"/>
    <w:rsid w:val="0072442B"/>
    <w:rsid w:val="00724D16"/>
    <w:rsid w:val="0072506D"/>
    <w:rsid w:val="00725539"/>
    <w:rsid w:val="0072594D"/>
    <w:rsid w:val="00726812"/>
    <w:rsid w:val="0072749B"/>
    <w:rsid w:val="0072751E"/>
    <w:rsid w:val="00727F14"/>
    <w:rsid w:val="0073069A"/>
    <w:rsid w:val="007312F4"/>
    <w:rsid w:val="007316C2"/>
    <w:rsid w:val="007325EF"/>
    <w:rsid w:val="0073279C"/>
    <w:rsid w:val="00732916"/>
    <w:rsid w:val="00733124"/>
    <w:rsid w:val="007336B8"/>
    <w:rsid w:val="00733B4B"/>
    <w:rsid w:val="007344E9"/>
    <w:rsid w:val="00734543"/>
    <w:rsid w:val="0073462B"/>
    <w:rsid w:val="00734687"/>
    <w:rsid w:val="00734FB4"/>
    <w:rsid w:val="00735317"/>
    <w:rsid w:val="00735AFE"/>
    <w:rsid w:val="00735EFA"/>
    <w:rsid w:val="007367E2"/>
    <w:rsid w:val="00737363"/>
    <w:rsid w:val="00737578"/>
    <w:rsid w:val="0073774E"/>
    <w:rsid w:val="007378A3"/>
    <w:rsid w:val="007400AD"/>
    <w:rsid w:val="00740539"/>
    <w:rsid w:val="007405AB"/>
    <w:rsid w:val="00740E0B"/>
    <w:rsid w:val="00740E36"/>
    <w:rsid w:val="0074110D"/>
    <w:rsid w:val="007415A3"/>
    <w:rsid w:val="0074183E"/>
    <w:rsid w:val="007418E8"/>
    <w:rsid w:val="00742005"/>
    <w:rsid w:val="007425E9"/>
    <w:rsid w:val="00742D5B"/>
    <w:rsid w:val="007432CB"/>
    <w:rsid w:val="00743554"/>
    <w:rsid w:val="007439BF"/>
    <w:rsid w:val="00743E3D"/>
    <w:rsid w:val="00744F4D"/>
    <w:rsid w:val="007450D3"/>
    <w:rsid w:val="00745682"/>
    <w:rsid w:val="0074573C"/>
    <w:rsid w:val="00745A1E"/>
    <w:rsid w:val="0074603E"/>
    <w:rsid w:val="00746754"/>
    <w:rsid w:val="00746F04"/>
    <w:rsid w:val="00747415"/>
    <w:rsid w:val="00747BAF"/>
    <w:rsid w:val="00747BC0"/>
    <w:rsid w:val="00747D5A"/>
    <w:rsid w:val="0075005A"/>
    <w:rsid w:val="00750314"/>
    <w:rsid w:val="00750D4F"/>
    <w:rsid w:val="00750D91"/>
    <w:rsid w:val="007512A4"/>
    <w:rsid w:val="00751306"/>
    <w:rsid w:val="007526B1"/>
    <w:rsid w:val="00752F79"/>
    <w:rsid w:val="00753079"/>
    <w:rsid w:val="00753638"/>
    <w:rsid w:val="00753D61"/>
    <w:rsid w:val="00754046"/>
    <w:rsid w:val="00754459"/>
    <w:rsid w:val="0075456F"/>
    <w:rsid w:val="007550E1"/>
    <w:rsid w:val="00755BDA"/>
    <w:rsid w:val="00757673"/>
    <w:rsid w:val="00757C97"/>
    <w:rsid w:val="00757D68"/>
    <w:rsid w:val="0076045D"/>
    <w:rsid w:val="00761230"/>
    <w:rsid w:val="007617CE"/>
    <w:rsid w:val="007619A2"/>
    <w:rsid w:val="00761E98"/>
    <w:rsid w:val="00762532"/>
    <w:rsid w:val="007626A3"/>
    <w:rsid w:val="0076270F"/>
    <w:rsid w:val="007627CA"/>
    <w:rsid w:val="00762E0B"/>
    <w:rsid w:val="0076322E"/>
    <w:rsid w:val="0076344C"/>
    <w:rsid w:val="00763799"/>
    <w:rsid w:val="00763A55"/>
    <w:rsid w:val="00764B44"/>
    <w:rsid w:val="00764FDF"/>
    <w:rsid w:val="00765AE0"/>
    <w:rsid w:val="007660B7"/>
    <w:rsid w:val="007662AD"/>
    <w:rsid w:val="007664F6"/>
    <w:rsid w:val="0076655A"/>
    <w:rsid w:val="00766662"/>
    <w:rsid w:val="007668A2"/>
    <w:rsid w:val="007670B6"/>
    <w:rsid w:val="0076729C"/>
    <w:rsid w:val="00767FD3"/>
    <w:rsid w:val="00770104"/>
    <w:rsid w:val="00770DDA"/>
    <w:rsid w:val="0077131A"/>
    <w:rsid w:val="007715B9"/>
    <w:rsid w:val="00771B65"/>
    <w:rsid w:val="00772002"/>
    <w:rsid w:val="007720CF"/>
    <w:rsid w:val="00772586"/>
    <w:rsid w:val="00774061"/>
    <w:rsid w:val="0077430D"/>
    <w:rsid w:val="007747F5"/>
    <w:rsid w:val="007749BF"/>
    <w:rsid w:val="00774C84"/>
    <w:rsid w:val="00774CFE"/>
    <w:rsid w:val="0077521C"/>
    <w:rsid w:val="007752CC"/>
    <w:rsid w:val="00775B92"/>
    <w:rsid w:val="00776CB1"/>
    <w:rsid w:val="00776FC8"/>
    <w:rsid w:val="0077725E"/>
    <w:rsid w:val="00777762"/>
    <w:rsid w:val="00777952"/>
    <w:rsid w:val="007812D8"/>
    <w:rsid w:val="007813B4"/>
    <w:rsid w:val="007814E5"/>
    <w:rsid w:val="00781598"/>
    <w:rsid w:val="00781784"/>
    <w:rsid w:val="00782244"/>
    <w:rsid w:val="00782C5A"/>
    <w:rsid w:val="007830A2"/>
    <w:rsid w:val="00783172"/>
    <w:rsid w:val="007844C3"/>
    <w:rsid w:val="00784C49"/>
    <w:rsid w:val="00784D50"/>
    <w:rsid w:val="00784E93"/>
    <w:rsid w:val="0078553E"/>
    <w:rsid w:val="007859BB"/>
    <w:rsid w:val="00785B38"/>
    <w:rsid w:val="00786E93"/>
    <w:rsid w:val="00787031"/>
    <w:rsid w:val="00787317"/>
    <w:rsid w:val="007879A3"/>
    <w:rsid w:val="007905A8"/>
    <w:rsid w:val="00790ACE"/>
    <w:rsid w:val="00791746"/>
    <w:rsid w:val="00792358"/>
    <w:rsid w:val="00792439"/>
    <w:rsid w:val="00792913"/>
    <w:rsid w:val="00792BB5"/>
    <w:rsid w:val="00792D3F"/>
    <w:rsid w:val="00792FD6"/>
    <w:rsid w:val="007933BD"/>
    <w:rsid w:val="0079405E"/>
    <w:rsid w:val="00794700"/>
    <w:rsid w:val="0079498E"/>
    <w:rsid w:val="0079499D"/>
    <w:rsid w:val="007966C3"/>
    <w:rsid w:val="00796C93"/>
    <w:rsid w:val="00796DB9"/>
    <w:rsid w:val="007970D9"/>
    <w:rsid w:val="007972AB"/>
    <w:rsid w:val="00797DAA"/>
    <w:rsid w:val="007A05C1"/>
    <w:rsid w:val="007A1477"/>
    <w:rsid w:val="007A1672"/>
    <w:rsid w:val="007A170A"/>
    <w:rsid w:val="007A1922"/>
    <w:rsid w:val="007A1DE9"/>
    <w:rsid w:val="007A204A"/>
    <w:rsid w:val="007A23FF"/>
    <w:rsid w:val="007A2574"/>
    <w:rsid w:val="007A26B0"/>
    <w:rsid w:val="007A2AB3"/>
    <w:rsid w:val="007A2DD6"/>
    <w:rsid w:val="007A2E82"/>
    <w:rsid w:val="007A2ECB"/>
    <w:rsid w:val="007A3107"/>
    <w:rsid w:val="007A3191"/>
    <w:rsid w:val="007A31AD"/>
    <w:rsid w:val="007A36D5"/>
    <w:rsid w:val="007A39D2"/>
    <w:rsid w:val="007A3AFE"/>
    <w:rsid w:val="007A3BE9"/>
    <w:rsid w:val="007A3F43"/>
    <w:rsid w:val="007A3FE0"/>
    <w:rsid w:val="007A45B9"/>
    <w:rsid w:val="007A46A6"/>
    <w:rsid w:val="007A57F3"/>
    <w:rsid w:val="007A6280"/>
    <w:rsid w:val="007A74CC"/>
    <w:rsid w:val="007A7C79"/>
    <w:rsid w:val="007B0713"/>
    <w:rsid w:val="007B2190"/>
    <w:rsid w:val="007B31E2"/>
    <w:rsid w:val="007B389C"/>
    <w:rsid w:val="007B5927"/>
    <w:rsid w:val="007B5A19"/>
    <w:rsid w:val="007B61AC"/>
    <w:rsid w:val="007B67D1"/>
    <w:rsid w:val="007B6C18"/>
    <w:rsid w:val="007B6DA5"/>
    <w:rsid w:val="007B73F0"/>
    <w:rsid w:val="007B759C"/>
    <w:rsid w:val="007C0366"/>
    <w:rsid w:val="007C0784"/>
    <w:rsid w:val="007C07A3"/>
    <w:rsid w:val="007C1342"/>
    <w:rsid w:val="007C13D3"/>
    <w:rsid w:val="007C16E0"/>
    <w:rsid w:val="007C1E0D"/>
    <w:rsid w:val="007C24AB"/>
    <w:rsid w:val="007C2644"/>
    <w:rsid w:val="007C3622"/>
    <w:rsid w:val="007C44FF"/>
    <w:rsid w:val="007C453C"/>
    <w:rsid w:val="007C521C"/>
    <w:rsid w:val="007C52D3"/>
    <w:rsid w:val="007C52FC"/>
    <w:rsid w:val="007C580E"/>
    <w:rsid w:val="007C6B9A"/>
    <w:rsid w:val="007C708C"/>
    <w:rsid w:val="007C7659"/>
    <w:rsid w:val="007C7818"/>
    <w:rsid w:val="007D008F"/>
    <w:rsid w:val="007D0822"/>
    <w:rsid w:val="007D186F"/>
    <w:rsid w:val="007D1B97"/>
    <w:rsid w:val="007D1D8B"/>
    <w:rsid w:val="007D2CF9"/>
    <w:rsid w:val="007D42CB"/>
    <w:rsid w:val="007D46C1"/>
    <w:rsid w:val="007D4A52"/>
    <w:rsid w:val="007D4E1C"/>
    <w:rsid w:val="007D53FA"/>
    <w:rsid w:val="007D6D17"/>
    <w:rsid w:val="007D6DE4"/>
    <w:rsid w:val="007D7539"/>
    <w:rsid w:val="007D7BF9"/>
    <w:rsid w:val="007E01D4"/>
    <w:rsid w:val="007E0470"/>
    <w:rsid w:val="007E07C9"/>
    <w:rsid w:val="007E092E"/>
    <w:rsid w:val="007E1EA3"/>
    <w:rsid w:val="007E29C4"/>
    <w:rsid w:val="007E3501"/>
    <w:rsid w:val="007E38A0"/>
    <w:rsid w:val="007E3B0F"/>
    <w:rsid w:val="007E405F"/>
    <w:rsid w:val="007E4230"/>
    <w:rsid w:val="007E4248"/>
    <w:rsid w:val="007E4B98"/>
    <w:rsid w:val="007E5193"/>
    <w:rsid w:val="007E5F03"/>
    <w:rsid w:val="007E6A84"/>
    <w:rsid w:val="007E7188"/>
    <w:rsid w:val="007E7902"/>
    <w:rsid w:val="007E7FB8"/>
    <w:rsid w:val="007F00FD"/>
    <w:rsid w:val="007F040C"/>
    <w:rsid w:val="007F086E"/>
    <w:rsid w:val="007F1354"/>
    <w:rsid w:val="007F195A"/>
    <w:rsid w:val="007F1D6B"/>
    <w:rsid w:val="007F2812"/>
    <w:rsid w:val="007F2A8C"/>
    <w:rsid w:val="007F337E"/>
    <w:rsid w:val="007F3C51"/>
    <w:rsid w:val="007F3FD0"/>
    <w:rsid w:val="007F425C"/>
    <w:rsid w:val="007F4875"/>
    <w:rsid w:val="007F4CCC"/>
    <w:rsid w:val="007F532E"/>
    <w:rsid w:val="007F547B"/>
    <w:rsid w:val="007F5E4F"/>
    <w:rsid w:val="007F62FF"/>
    <w:rsid w:val="007F7280"/>
    <w:rsid w:val="007F7BF7"/>
    <w:rsid w:val="0080006B"/>
    <w:rsid w:val="00800F4E"/>
    <w:rsid w:val="00800F85"/>
    <w:rsid w:val="008013BE"/>
    <w:rsid w:val="008016CE"/>
    <w:rsid w:val="00801CEB"/>
    <w:rsid w:val="008021F1"/>
    <w:rsid w:val="00802837"/>
    <w:rsid w:val="00802B19"/>
    <w:rsid w:val="00802D95"/>
    <w:rsid w:val="00803D13"/>
    <w:rsid w:val="00803E29"/>
    <w:rsid w:val="008042B4"/>
    <w:rsid w:val="00804BCE"/>
    <w:rsid w:val="0080506A"/>
    <w:rsid w:val="0080555F"/>
    <w:rsid w:val="00805742"/>
    <w:rsid w:val="00805E43"/>
    <w:rsid w:val="00805EB4"/>
    <w:rsid w:val="008063C4"/>
    <w:rsid w:val="0080644B"/>
    <w:rsid w:val="00806A83"/>
    <w:rsid w:val="00806C74"/>
    <w:rsid w:val="00806F95"/>
    <w:rsid w:val="0080795A"/>
    <w:rsid w:val="00810698"/>
    <w:rsid w:val="00810CAC"/>
    <w:rsid w:val="00811069"/>
    <w:rsid w:val="00811111"/>
    <w:rsid w:val="00811508"/>
    <w:rsid w:val="008115A1"/>
    <w:rsid w:val="00811649"/>
    <w:rsid w:val="00811851"/>
    <w:rsid w:val="00811C60"/>
    <w:rsid w:val="00811FEF"/>
    <w:rsid w:val="00812FB4"/>
    <w:rsid w:val="00813C9C"/>
    <w:rsid w:val="008143D0"/>
    <w:rsid w:val="008143E9"/>
    <w:rsid w:val="0081525D"/>
    <w:rsid w:val="00815792"/>
    <w:rsid w:val="00815A03"/>
    <w:rsid w:val="00817254"/>
    <w:rsid w:val="00817B8C"/>
    <w:rsid w:val="008206D2"/>
    <w:rsid w:val="008206F7"/>
    <w:rsid w:val="008208F5"/>
    <w:rsid w:val="0082094F"/>
    <w:rsid w:val="008212E0"/>
    <w:rsid w:val="008215C2"/>
    <w:rsid w:val="00821F7C"/>
    <w:rsid w:val="00822152"/>
    <w:rsid w:val="0082356E"/>
    <w:rsid w:val="00823C38"/>
    <w:rsid w:val="00823F2E"/>
    <w:rsid w:val="008253BF"/>
    <w:rsid w:val="00825AF4"/>
    <w:rsid w:val="00825B87"/>
    <w:rsid w:val="008269F9"/>
    <w:rsid w:val="00826BB4"/>
    <w:rsid w:val="00827445"/>
    <w:rsid w:val="0082750B"/>
    <w:rsid w:val="008275B5"/>
    <w:rsid w:val="00830132"/>
    <w:rsid w:val="00830657"/>
    <w:rsid w:val="0083069F"/>
    <w:rsid w:val="00831144"/>
    <w:rsid w:val="00831B80"/>
    <w:rsid w:val="00831BF7"/>
    <w:rsid w:val="00831D9B"/>
    <w:rsid w:val="00831DF2"/>
    <w:rsid w:val="00832019"/>
    <w:rsid w:val="0083212D"/>
    <w:rsid w:val="00832333"/>
    <w:rsid w:val="0083279D"/>
    <w:rsid w:val="00832927"/>
    <w:rsid w:val="008330B3"/>
    <w:rsid w:val="0083341D"/>
    <w:rsid w:val="00833A5D"/>
    <w:rsid w:val="00834760"/>
    <w:rsid w:val="008349FB"/>
    <w:rsid w:val="00834BA3"/>
    <w:rsid w:val="00834DA7"/>
    <w:rsid w:val="00835102"/>
    <w:rsid w:val="008351CB"/>
    <w:rsid w:val="0083548A"/>
    <w:rsid w:val="00835C23"/>
    <w:rsid w:val="00836B77"/>
    <w:rsid w:val="00837079"/>
    <w:rsid w:val="0083759F"/>
    <w:rsid w:val="00840337"/>
    <w:rsid w:val="008420B8"/>
    <w:rsid w:val="00842AEE"/>
    <w:rsid w:val="00843378"/>
    <w:rsid w:val="008446BD"/>
    <w:rsid w:val="00844D09"/>
    <w:rsid w:val="00845314"/>
    <w:rsid w:val="008458CE"/>
    <w:rsid w:val="00847196"/>
    <w:rsid w:val="008471FC"/>
    <w:rsid w:val="00847D3F"/>
    <w:rsid w:val="00847D9D"/>
    <w:rsid w:val="00847F24"/>
    <w:rsid w:val="00850011"/>
    <w:rsid w:val="008509CF"/>
    <w:rsid w:val="00850FB6"/>
    <w:rsid w:val="008526ED"/>
    <w:rsid w:val="00852B9F"/>
    <w:rsid w:val="00852CFA"/>
    <w:rsid w:val="00852D36"/>
    <w:rsid w:val="008539D1"/>
    <w:rsid w:val="008540BC"/>
    <w:rsid w:val="00854DE6"/>
    <w:rsid w:val="0085552F"/>
    <w:rsid w:val="00855A87"/>
    <w:rsid w:val="00855E81"/>
    <w:rsid w:val="008563DE"/>
    <w:rsid w:val="00856719"/>
    <w:rsid w:val="00856988"/>
    <w:rsid w:val="00856CD8"/>
    <w:rsid w:val="0085707B"/>
    <w:rsid w:val="00857728"/>
    <w:rsid w:val="00857742"/>
    <w:rsid w:val="00860C02"/>
    <w:rsid w:val="00861B0E"/>
    <w:rsid w:val="008620D5"/>
    <w:rsid w:val="0086241F"/>
    <w:rsid w:val="0086242D"/>
    <w:rsid w:val="0086290C"/>
    <w:rsid w:val="00863351"/>
    <w:rsid w:val="00863F5A"/>
    <w:rsid w:val="00864278"/>
    <w:rsid w:val="008642FE"/>
    <w:rsid w:val="0086453E"/>
    <w:rsid w:val="008660D3"/>
    <w:rsid w:val="00866436"/>
    <w:rsid w:val="0086707B"/>
    <w:rsid w:val="0086726A"/>
    <w:rsid w:val="0086791C"/>
    <w:rsid w:val="00867EB6"/>
    <w:rsid w:val="00867F16"/>
    <w:rsid w:val="0087020F"/>
    <w:rsid w:val="00870212"/>
    <w:rsid w:val="00870356"/>
    <w:rsid w:val="00870674"/>
    <w:rsid w:val="00870735"/>
    <w:rsid w:val="00870BD2"/>
    <w:rsid w:val="00870C37"/>
    <w:rsid w:val="00870EF6"/>
    <w:rsid w:val="00872164"/>
    <w:rsid w:val="00873005"/>
    <w:rsid w:val="0087475F"/>
    <w:rsid w:val="008749E6"/>
    <w:rsid w:val="00874A52"/>
    <w:rsid w:val="00874AD0"/>
    <w:rsid w:val="00874DF6"/>
    <w:rsid w:val="0087546A"/>
    <w:rsid w:val="008758AB"/>
    <w:rsid w:val="00875A09"/>
    <w:rsid w:val="00875C53"/>
    <w:rsid w:val="00876A7B"/>
    <w:rsid w:val="00876F4B"/>
    <w:rsid w:val="00877A63"/>
    <w:rsid w:val="00880C1E"/>
    <w:rsid w:val="00880D2C"/>
    <w:rsid w:val="00881457"/>
    <w:rsid w:val="00881538"/>
    <w:rsid w:val="00881A24"/>
    <w:rsid w:val="00881D1C"/>
    <w:rsid w:val="008825E2"/>
    <w:rsid w:val="008827BD"/>
    <w:rsid w:val="00882EA0"/>
    <w:rsid w:val="00883012"/>
    <w:rsid w:val="00883852"/>
    <w:rsid w:val="00884F59"/>
    <w:rsid w:val="00885E55"/>
    <w:rsid w:val="00886356"/>
    <w:rsid w:val="00886833"/>
    <w:rsid w:val="00890507"/>
    <w:rsid w:val="00890C87"/>
    <w:rsid w:val="00890EC8"/>
    <w:rsid w:val="0089116F"/>
    <w:rsid w:val="00891DA8"/>
    <w:rsid w:val="00891E83"/>
    <w:rsid w:val="00892C2E"/>
    <w:rsid w:val="00892D6C"/>
    <w:rsid w:val="00893077"/>
    <w:rsid w:val="008934AB"/>
    <w:rsid w:val="0089353C"/>
    <w:rsid w:val="00893732"/>
    <w:rsid w:val="008937FC"/>
    <w:rsid w:val="00893D1A"/>
    <w:rsid w:val="008941D5"/>
    <w:rsid w:val="00894962"/>
    <w:rsid w:val="008949C4"/>
    <w:rsid w:val="00894DCF"/>
    <w:rsid w:val="008952B1"/>
    <w:rsid w:val="008954C3"/>
    <w:rsid w:val="008958D1"/>
    <w:rsid w:val="00895B24"/>
    <w:rsid w:val="00895EDF"/>
    <w:rsid w:val="00896121"/>
    <w:rsid w:val="00896BFF"/>
    <w:rsid w:val="00896C72"/>
    <w:rsid w:val="00897A09"/>
    <w:rsid w:val="00897A2F"/>
    <w:rsid w:val="00897E79"/>
    <w:rsid w:val="00897FD0"/>
    <w:rsid w:val="008A0BB1"/>
    <w:rsid w:val="008A0F0A"/>
    <w:rsid w:val="008A1194"/>
    <w:rsid w:val="008A18ED"/>
    <w:rsid w:val="008A1972"/>
    <w:rsid w:val="008A1B05"/>
    <w:rsid w:val="008A1DA5"/>
    <w:rsid w:val="008A214F"/>
    <w:rsid w:val="008A29C3"/>
    <w:rsid w:val="008A2B8E"/>
    <w:rsid w:val="008A320B"/>
    <w:rsid w:val="008A3769"/>
    <w:rsid w:val="008A3EEB"/>
    <w:rsid w:val="008A4E1B"/>
    <w:rsid w:val="008A541C"/>
    <w:rsid w:val="008A551E"/>
    <w:rsid w:val="008A5621"/>
    <w:rsid w:val="008A5B0C"/>
    <w:rsid w:val="008A5FDD"/>
    <w:rsid w:val="008A5FDF"/>
    <w:rsid w:val="008A646B"/>
    <w:rsid w:val="008A665B"/>
    <w:rsid w:val="008A6972"/>
    <w:rsid w:val="008A6CCC"/>
    <w:rsid w:val="008A772E"/>
    <w:rsid w:val="008A789F"/>
    <w:rsid w:val="008A7D21"/>
    <w:rsid w:val="008B0C96"/>
    <w:rsid w:val="008B0F2E"/>
    <w:rsid w:val="008B1B8A"/>
    <w:rsid w:val="008B211E"/>
    <w:rsid w:val="008B2856"/>
    <w:rsid w:val="008B2F8C"/>
    <w:rsid w:val="008B3291"/>
    <w:rsid w:val="008B36E7"/>
    <w:rsid w:val="008B442A"/>
    <w:rsid w:val="008B4F65"/>
    <w:rsid w:val="008B501D"/>
    <w:rsid w:val="008B553C"/>
    <w:rsid w:val="008B5D22"/>
    <w:rsid w:val="008B63C4"/>
    <w:rsid w:val="008B66A7"/>
    <w:rsid w:val="008B6C43"/>
    <w:rsid w:val="008B6C6B"/>
    <w:rsid w:val="008B7BBD"/>
    <w:rsid w:val="008B7BC3"/>
    <w:rsid w:val="008C0CD5"/>
    <w:rsid w:val="008C16BF"/>
    <w:rsid w:val="008C17D4"/>
    <w:rsid w:val="008C25FD"/>
    <w:rsid w:val="008C2A44"/>
    <w:rsid w:val="008C2EBD"/>
    <w:rsid w:val="008C315B"/>
    <w:rsid w:val="008C38C3"/>
    <w:rsid w:val="008C3EB9"/>
    <w:rsid w:val="008C440F"/>
    <w:rsid w:val="008C44BE"/>
    <w:rsid w:val="008C483E"/>
    <w:rsid w:val="008C4A4E"/>
    <w:rsid w:val="008C561D"/>
    <w:rsid w:val="008C5E52"/>
    <w:rsid w:val="008C6051"/>
    <w:rsid w:val="008C6E3E"/>
    <w:rsid w:val="008C73A0"/>
    <w:rsid w:val="008C73A3"/>
    <w:rsid w:val="008C78BC"/>
    <w:rsid w:val="008C7C40"/>
    <w:rsid w:val="008C7D0B"/>
    <w:rsid w:val="008C7DE4"/>
    <w:rsid w:val="008D0606"/>
    <w:rsid w:val="008D07AB"/>
    <w:rsid w:val="008D08F3"/>
    <w:rsid w:val="008D0E16"/>
    <w:rsid w:val="008D12B6"/>
    <w:rsid w:val="008D163F"/>
    <w:rsid w:val="008D199A"/>
    <w:rsid w:val="008D3519"/>
    <w:rsid w:val="008D35CF"/>
    <w:rsid w:val="008D3DE1"/>
    <w:rsid w:val="008D4018"/>
    <w:rsid w:val="008D5456"/>
    <w:rsid w:val="008D5D8F"/>
    <w:rsid w:val="008D657F"/>
    <w:rsid w:val="008D6936"/>
    <w:rsid w:val="008D69E6"/>
    <w:rsid w:val="008D6DBB"/>
    <w:rsid w:val="008D7AE1"/>
    <w:rsid w:val="008D7D1C"/>
    <w:rsid w:val="008E00B8"/>
    <w:rsid w:val="008E04A7"/>
    <w:rsid w:val="008E1FDE"/>
    <w:rsid w:val="008E2C3F"/>
    <w:rsid w:val="008E2F3F"/>
    <w:rsid w:val="008E31CA"/>
    <w:rsid w:val="008E32BD"/>
    <w:rsid w:val="008E32C8"/>
    <w:rsid w:val="008E33D7"/>
    <w:rsid w:val="008E42F0"/>
    <w:rsid w:val="008E4492"/>
    <w:rsid w:val="008E4511"/>
    <w:rsid w:val="008E4825"/>
    <w:rsid w:val="008E4A41"/>
    <w:rsid w:val="008E536B"/>
    <w:rsid w:val="008E538B"/>
    <w:rsid w:val="008E5477"/>
    <w:rsid w:val="008E55D6"/>
    <w:rsid w:val="008E589A"/>
    <w:rsid w:val="008E598E"/>
    <w:rsid w:val="008E5AC3"/>
    <w:rsid w:val="008E5C2F"/>
    <w:rsid w:val="008E6482"/>
    <w:rsid w:val="008E653C"/>
    <w:rsid w:val="008E6A14"/>
    <w:rsid w:val="008E6D74"/>
    <w:rsid w:val="008E7AD1"/>
    <w:rsid w:val="008E7E9C"/>
    <w:rsid w:val="008E7FA5"/>
    <w:rsid w:val="008F056A"/>
    <w:rsid w:val="008F0934"/>
    <w:rsid w:val="008F11B8"/>
    <w:rsid w:val="008F1297"/>
    <w:rsid w:val="008F2FA8"/>
    <w:rsid w:val="008F3037"/>
    <w:rsid w:val="008F308F"/>
    <w:rsid w:val="008F3FE0"/>
    <w:rsid w:val="008F4705"/>
    <w:rsid w:val="008F4751"/>
    <w:rsid w:val="008F4F26"/>
    <w:rsid w:val="008F5336"/>
    <w:rsid w:val="008F55A8"/>
    <w:rsid w:val="008F5C29"/>
    <w:rsid w:val="008F6CDD"/>
    <w:rsid w:val="008F6EBA"/>
    <w:rsid w:val="008F70E4"/>
    <w:rsid w:val="008F717D"/>
    <w:rsid w:val="008F7680"/>
    <w:rsid w:val="008F7C7E"/>
    <w:rsid w:val="008F7E72"/>
    <w:rsid w:val="008F7EFB"/>
    <w:rsid w:val="00900207"/>
    <w:rsid w:val="00900669"/>
    <w:rsid w:val="00900F93"/>
    <w:rsid w:val="0090105F"/>
    <w:rsid w:val="0090107E"/>
    <w:rsid w:val="009015EA"/>
    <w:rsid w:val="009025F4"/>
    <w:rsid w:val="0090268B"/>
    <w:rsid w:val="00902991"/>
    <w:rsid w:val="00903B73"/>
    <w:rsid w:val="009046AB"/>
    <w:rsid w:val="00905584"/>
    <w:rsid w:val="00905587"/>
    <w:rsid w:val="00906075"/>
    <w:rsid w:val="0090647E"/>
    <w:rsid w:val="00906560"/>
    <w:rsid w:val="00906E66"/>
    <w:rsid w:val="00906FC3"/>
    <w:rsid w:val="009074EE"/>
    <w:rsid w:val="00907555"/>
    <w:rsid w:val="00907EFF"/>
    <w:rsid w:val="00910AC8"/>
    <w:rsid w:val="00910CF1"/>
    <w:rsid w:val="0091165F"/>
    <w:rsid w:val="00912285"/>
    <w:rsid w:val="00912938"/>
    <w:rsid w:val="00912D2F"/>
    <w:rsid w:val="00912D4F"/>
    <w:rsid w:val="009135C1"/>
    <w:rsid w:val="009135E4"/>
    <w:rsid w:val="00913DD3"/>
    <w:rsid w:val="00913F34"/>
    <w:rsid w:val="00914270"/>
    <w:rsid w:val="00914281"/>
    <w:rsid w:val="009145A9"/>
    <w:rsid w:val="009146F3"/>
    <w:rsid w:val="00915293"/>
    <w:rsid w:val="0091531B"/>
    <w:rsid w:val="009157B9"/>
    <w:rsid w:val="00915C5D"/>
    <w:rsid w:val="0091662E"/>
    <w:rsid w:val="00916BD7"/>
    <w:rsid w:val="00916FA6"/>
    <w:rsid w:val="00917311"/>
    <w:rsid w:val="0091736C"/>
    <w:rsid w:val="009175FE"/>
    <w:rsid w:val="009208ED"/>
    <w:rsid w:val="009209FA"/>
    <w:rsid w:val="00920B96"/>
    <w:rsid w:val="00920DA8"/>
    <w:rsid w:val="00921206"/>
    <w:rsid w:val="00921608"/>
    <w:rsid w:val="00921961"/>
    <w:rsid w:val="00921C6E"/>
    <w:rsid w:val="00921EA9"/>
    <w:rsid w:val="00922090"/>
    <w:rsid w:val="00922B16"/>
    <w:rsid w:val="00922FCF"/>
    <w:rsid w:val="009243E7"/>
    <w:rsid w:val="00925264"/>
    <w:rsid w:val="009252C0"/>
    <w:rsid w:val="0092588C"/>
    <w:rsid w:val="009259F9"/>
    <w:rsid w:val="00925E39"/>
    <w:rsid w:val="00926A4C"/>
    <w:rsid w:val="00927323"/>
    <w:rsid w:val="00930897"/>
    <w:rsid w:val="009315DF"/>
    <w:rsid w:val="0093220C"/>
    <w:rsid w:val="00932B2C"/>
    <w:rsid w:val="00932E05"/>
    <w:rsid w:val="00934631"/>
    <w:rsid w:val="00934DD0"/>
    <w:rsid w:val="009355E4"/>
    <w:rsid w:val="00935E68"/>
    <w:rsid w:val="009361CF"/>
    <w:rsid w:val="0093629D"/>
    <w:rsid w:val="0093696C"/>
    <w:rsid w:val="00937158"/>
    <w:rsid w:val="00940698"/>
    <w:rsid w:val="00941520"/>
    <w:rsid w:val="009419EE"/>
    <w:rsid w:val="00941C10"/>
    <w:rsid w:val="00941DB5"/>
    <w:rsid w:val="00942048"/>
    <w:rsid w:val="009425C7"/>
    <w:rsid w:val="00942832"/>
    <w:rsid w:val="00942AE8"/>
    <w:rsid w:val="00942CAA"/>
    <w:rsid w:val="00942EDD"/>
    <w:rsid w:val="00943443"/>
    <w:rsid w:val="00943523"/>
    <w:rsid w:val="009436CE"/>
    <w:rsid w:val="00943ABC"/>
    <w:rsid w:val="00943B13"/>
    <w:rsid w:val="00943CF0"/>
    <w:rsid w:val="00944BFA"/>
    <w:rsid w:val="00944F13"/>
    <w:rsid w:val="00945336"/>
    <w:rsid w:val="009458BA"/>
    <w:rsid w:val="00946450"/>
    <w:rsid w:val="00946656"/>
    <w:rsid w:val="009471B3"/>
    <w:rsid w:val="00947693"/>
    <w:rsid w:val="0095119D"/>
    <w:rsid w:val="00951CB8"/>
    <w:rsid w:val="0095200D"/>
    <w:rsid w:val="00952C4C"/>
    <w:rsid w:val="00952DAE"/>
    <w:rsid w:val="00953C19"/>
    <w:rsid w:val="00954055"/>
    <w:rsid w:val="009542A3"/>
    <w:rsid w:val="009545EB"/>
    <w:rsid w:val="00954882"/>
    <w:rsid w:val="0095583D"/>
    <w:rsid w:val="009559A5"/>
    <w:rsid w:val="00955EF1"/>
    <w:rsid w:val="00956170"/>
    <w:rsid w:val="00956A78"/>
    <w:rsid w:val="009576BA"/>
    <w:rsid w:val="00957747"/>
    <w:rsid w:val="009577C6"/>
    <w:rsid w:val="00957A60"/>
    <w:rsid w:val="00957F26"/>
    <w:rsid w:val="00960D41"/>
    <w:rsid w:val="00961238"/>
    <w:rsid w:val="0096179C"/>
    <w:rsid w:val="0096281D"/>
    <w:rsid w:val="009639BD"/>
    <w:rsid w:val="00963DE5"/>
    <w:rsid w:val="0096404F"/>
    <w:rsid w:val="0096450E"/>
    <w:rsid w:val="0096482D"/>
    <w:rsid w:val="00964BAF"/>
    <w:rsid w:val="00964DE9"/>
    <w:rsid w:val="00965494"/>
    <w:rsid w:val="00965B74"/>
    <w:rsid w:val="00965E10"/>
    <w:rsid w:val="00965ECE"/>
    <w:rsid w:val="00965FBA"/>
    <w:rsid w:val="009665F7"/>
    <w:rsid w:val="009667D3"/>
    <w:rsid w:val="00966821"/>
    <w:rsid w:val="00966AD9"/>
    <w:rsid w:val="00966D25"/>
    <w:rsid w:val="00967227"/>
    <w:rsid w:val="00967544"/>
    <w:rsid w:val="00967F76"/>
    <w:rsid w:val="00967FB5"/>
    <w:rsid w:val="009711BF"/>
    <w:rsid w:val="009711EC"/>
    <w:rsid w:val="00971511"/>
    <w:rsid w:val="00971BF6"/>
    <w:rsid w:val="00971D9B"/>
    <w:rsid w:val="00971E41"/>
    <w:rsid w:val="00972C13"/>
    <w:rsid w:val="00972FBE"/>
    <w:rsid w:val="009730E0"/>
    <w:rsid w:val="00974184"/>
    <w:rsid w:val="00974463"/>
    <w:rsid w:val="00974894"/>
    <w:rsid w:val="00974F12"/>
    <w:rsid w:val="00975B56"/>
    <w:rsid w:val="00975E10"/>
    <w:rsid w:val="00976706"/>
    <w:rsid w:val="00976B74"/>
    <w:rsid w:val="00977514"/>
    <w:rsid w:val="009776A0"/>
    <w:rsid w:val="009804CA"/>
    <w:rsid w:val="0098083B"/>
    <w:rsid w:val="00981817"/>
    <w:rsid w:val="00981A50"/>
    <w:rsid w:val="00981A62"/>
    <w:rsid w:val="00981D30"/>
    <w:rsid w:val="00981FE5"/>
    <w:rsid w:val="009828AC"/>
    <w:rsid w:val="00983C28"/>
    <w:rsid w:val="00984005"/>
    <w:rsid w:val="009843C7"/>
    <w:rsid w:val="009847D8"/>
    <w:rsid w:val="00984D83"/>
    <w:rsid w:val="00985283"/>
    <w:rsid w:val="00985461"/>
    <w:rsid w:val="00985786"/>
    <w:rsid w:val="00985C66"/>
    <w:rsid w:val="00986237"/>
    <w:rsid w:val="0098690A"/>
    <w:rsid w:val="00987217"/>
    <w:rsid w:val="0098728E"/>
    <w:rsid w:val="009876CC"/>
    <w:rsid w:val="00990D83"/>
    <w:rsid w:val="009910F6"/>
    <w:rsid w:val="00991281"/>
    <w:rsid w:val="009914DF"/>
    <w:rsid w:val="00991CCB"/>
    <w:rsid w:val="00991EA2"/>
    <w:rsid w:val="0099225E"/>
    <w:rsid w:val="009923F1"/>
    <w:rsid w:val="00992587"/>
    <w:rsid w:val="009925B4"/>
    <w:rsid w:val="00992E44"/>
    <w:rsid w:val="00992E91"/>
    <w:rsid w:val="00993682"/>
    <w:rsid w:val="00993D02"/>
    <w:rsid w:val="00994AA8"/>
    <w:rsid w:val="00994D3C"/>
    <w:rsid w:val="00995373"/>
    <w:rsid w:val="00995380"/>
    <w:rsid w:val="00995569"/>
    <w:rsid w:val="00995814"/>
    <w:rsid w:val="00995898"/>
    <w:rsid w:val="00995977"/>
    <w:rsid w:val="00995D7E"/>
    <w:rsid w:val="00996690"/>
    <w:rsid w:val="00996CB5"/>
    <w:rsid w:val="00997056"/>
    <w:rsid w:val="009971F8"/>
    <w:rsid w:val="009973CB"/>
    <w:rsid w:val="00997F5A"/>
    <w:rsid w:val="009A15D6"/>
    <w:rsid w:val="009A1A97"/>
    <w:rsid w:val="009A243F"/>
    <w:rsid w:val="009A27DE"/>
    <w:rsid w:val="009A293B"/>
    <w:rsid w:val="009A2A0E"/>
    <w:rsid w:val="009A2D8A"/>
    <w:rsid w:val="009A2E81"/>
    <w:rsid w:val="009A2EE1"/>
    <w:rsid w:val="009A3206"/>
    <w:rsid w:val="009A3AEF"/>
    <w:rsid w:val="009A40B4"/>
    <w:rsid w:val="009A411B"/>
    <w:rsid w:val="009A4D53"/>
    <w:rsid w:val="009A5138"/>
    <w:rsid w:val="009A51FB"/>
    <w:rsid w:val="009A589A"/>
    <w:rsid w:val="009A58F7"/>
    <w:rsid w:val="009A5E88"/>
    <w:rsid w:val="009A6349"/>
    <w:rsid w:val="009A6C3D"/>
    <w:rsid w:val="009A6F33"/>
    <w:rsid w:val="009A71D6"/>
    <w:rsid w:val="009A75DE"/>
    <w:rsid w:val="009A7916"/>
    <w:rsid w:val="009A7BF0"/>
    <w:rsid w:val="009B0769"/>
    <w:rsid w:val="009B0AB2"/>
    <w:rsid w:val="009B0FAB"/>
    <w:rsid w:val="009B1722"/>
    <w:rsid w:val="009B17AE"/>
    <w:rsid w:val="009B253B"/>
    <w:rsid w:val="009B254A"/>
    <w:rsid w:val="009B28BF"/>
    <w:rsid w:val="009B462F"/>
    <w:rsid w:val="009B52DC"/>
    <w:rsid w:val="009B59D5"/>
    <w:rsid w:val="009B5C97"/>
    <w:rsid w:val="009B5EA2"/>
    <w:rsid w:val="009B636F"/>
    <w:rsid w:val="009B64F5"/>
    <w:rsid w:val="009B7026"/>
    <w:rsid w:val="009B71B6"/>
    <w:rsid w:val="009C02B3"/>
    <w:rsid w:val="009C0346"/>
    <w:rsid w:val="009C0A64"/>
    <w:rsid w:val="009C10C5"/>
    <w:rsid w:val="009C11A5"/>
    <w:rsid w:val="009C1597"/>
    <w:rsid w:val="009C1DCA"/>
    <w:rsid w:val="009C3A5D"/>
    <w:rsid w:val="009C48DA"/>
    <w:rsid w:val="009C4B03"/>
    <w:rsid w:val="009C642C"/>
    <w:rsid w:val="009C69FB"/>
    <w:rsid w:val="009C7048"/>
    <w:rsid w:val="009C7398"/>
    <w:rsid w:val="009C7863"/>
    <w:rsid w:val="009C7F50"/>
    <w:rsid w:val="009D036C"/>
    <w:rsid w:val="009D046C"/>
    <w:rsid w:val="009D127A"/>
    <w:rsid w:val="009D1891"/>
    <w:rsid w:val="009D1993"/>
    <w:rsid w:val="009D1D95"/>
    <w:rsid w:val="009D2562"/>
    <w:rsid w:val="009D2A67"/>
    <w:rsid w:val="009D2E2F"/>
    <w:rsid w:val="009D2E4A"/>
    <w:rsid w:val="009D2EB4"/>
    <w:rsid w:val="009D3374"/>
    <w:rsid w:val="009D3417"/>
    <w:rsid w:val="009D34CA"/>
    <w:rsid w:val="009D36C3"/>
    <w:rsid w:val="009D3973"/>
    <w:rsid w:val="009D39B4"/>
    <w:rsid w:val="009D3BD6"/>
    <w:rsid w:val="009D3F90"/>
    <w:rsid w:val="009D41AF"/>
    <w:rsid w:val="009D459A"/>
    <w:rsid w:val="009D4CBA"/>
    <w:rsid w:val="009D5065"/>
    <w:rsid w:val="009D54FA"/>
    <w:rsid w:val="009D5E5E"/>
    <w:rsid w:val="009D62BF"/>
    <w:rsid w:val="009D7034"/>
    <w:rsid w:val="009D77A6"/>
    <w:rsid w:val="009E05D2"/>
    <w:rsid w:val="009E0C67"/>
    <w:rsid w:val="009E0E1F"/>
    <w:rsid w:val="009E1589"/>
    <w:rsid w:val="009E17D5"/>
    <w:rsid w:val="009E196E"/>
    <w:rsid w:val="009E1D8A"/>
    <w:rsid w:val="009E1DCE"/>
    <w:rsid w:val="009E206A"/>
    <w:rsid w:val="009E21ED"/>
    <w:rsid w:val="009E2263"/>
    <w:rsid w:val="009E22D6"/>
    <w:rsid w:val="009E26F8"/>
    <w:rsid w:val="009E28DE"/>
    <w:rsid w:val="009E2DE7"/>
    <w:rsid w:val="009E312D"/>
    <w:rsid w:val="009E496C"/>
    <w:rsid w:val="009E5235"/>
    <w:rsid w:val="009E529D"/>
    <w:rsid w:val="009E5388"/>
    <w:rsid w:val="009E5485"/>
    <w:rsid w:val="009E5D8D"/>
    <w:rsid w:val="009E5F05"/>
    <w:rsid w:val="009E690F"/>
    <w:rsid w:val="009E6CAF"/>
    <w:rsid w:val="009E6F40"/>
    <w:rsid w:val="009E75BE"/>
    <w:rsid w:val="009E7B79"/>
    <w:rsid w:val="009E7BF9"/>
    <w:rsid w:val="009F001C"/>
    <w:rsid w:val="009F00BB"/>
    <w:rsid w:val="009F00C2"/>
    <w:rsid w:val="009F0738"/>
    <w:rsid w:val="009F19BD"/>
    <w:rsid w:val="009F2146"/>
    <w:rsid w:val="009F218E"/>
    <w:rsid w:val="009F2C2D"/>
    <w:rsid w:val="009F2C95"/>
    <w:rsid w:val="009F2CC3"/>
    <w:rsid w:val="009F3517"/>
    <w:rsid w:val="009F38A4"/>
    <w:rsid w:val="009F43CA"/>
    <w:rsid w:val="009F52AF"/>
    <w:rsid w:val="009F53D0"/>
    <w:rsid w:val="009F5A0E"/>
    <w:rsid w:val="009F5E72"/>
    <w:rsid w:val="009F6FA1"/>
    <w:rsid w:val="009F6FDD"/>
    <w:rsid w:val="009F785A"/>
    <w:rsid w:val="009F7874"/>
    <w:rsid w:val="009F7DF4"/>
    <w:rsid w:val="00A00874"/>
    <w:rsid w:val="00A00CF8"/>
    <w:rsid w:val="00A00D9D"/>
    <w:rsid w:val="00A00FCD"/>
    <w:rsid w:val="00A010FE"/>
    <w:rsid w:val="00A016F8"/>
    <w:rsid w:val="00A01BCA"/>
    <w:rsid w:val="00A01EE9"/>
    <w:rsid w:val="00A02779"/>
    <w:rsid w:val="00A02B3B"/>
    <w:rsid w:val="00A0382A"/>
    <w:rsid w:val="00A03DC3"/>
    <w:rsid w:val="00A03E7E"/>
    <w:rsid w:val="00A0532B"/>
    <w:rsid w:val="00A0553A"/>
    <w:rsid w:val="00A05D7F"/>
    <w:rsid w:val="00A05F00"/>
    <w:rsid w:val="00A0611A"/>
    <w:rsid w:val="00A06370"/>
    <w:rsid w:val="00A06455"/>
    <w:rsid w:val="00A06610"/>
    <w:rsid w:val="00A0684E"/>
    <w:rsid w:val="00A06DBE"/>
    <w:rsid w:val="00A06E82"/>
    <w:rsid w:val="00A071E6"/>
    <w:rsid w:val="00A07223"/>
    <w:rsid w:val="00A07311"/>
    <w:rsid w:val="00A07A63"/>
    <w:rsid w:val="00A07E1A"/>
    <w:rsid w:val="00A10258"/>
    <w:rsid w:val="00A1058B"/>
    <w:rsid w:val="00A10808"/>
    <w:rsid w:val="00A10AEA"/>
    <w:rsid w:val="00A1134E"/>
    <w:rsid w:val="00A11DDD"/>
    <w:rsid w:val="00A12002"/>
    <w:rsid w:val="00A1217D"/>
    <w:rsid w:val="00A12D75"/>
    <w:rsid w:val="00A12D96"/>
    <w:rsid w:val="00A13141"/>
    <w:rsid w:val="00A136E0"/>
    <w:rsid w:val="00A13EF3"/>
    <w:rsid w:val="00A14065"/>
    <w:rsid w:val="00A14454"/>
    <w:rsid w:val="00A1499A"/>
    <w:rsid w:val="00A14F32"/>
    <w:rsid w:val="00A15008"/>
    <w:rsid w:val="00A15047"/>
    <w:rsid w:val="00A16083"/>
    <w:rsid w:val="00A16AFF"/>
    <w:rsid w:val="00A170F2"/>
    <w:rsid w:val="00A17766"/>
    <w:rsid w:val="00A17A38"/>
    <w:rsid w:val="00A2090B"/>
    <w:rsid w:val="00A20F44"/>
    <w:rsid w:val="00A21381"/>
    <w:rsid w:val="00A2147E"/>
    <w:rsid w:val="00A2203C"/>
    <w:rsid w:val="00A221A3"/>
    <w:rsid w:val="00A22345"/>
    <w:rsid w:val="00A22B5F"/>
    <w:rsid w:val="00A23041"/>
    <w:rsid w:val="00A23929"/>
    <w:rsid w:val="00A23C07"/>
    <w:rsid w:val="00A24B4B"/>
    <w:rsid w:val="00A25C54"/>
    <w:rsid w:val="00A269F8"/>
    <w:rsid w:val="00A26AC0"/>
    <w:rsid w:val="00A27326"/>
    <w:rsid w:val="00A27B97"/>
    <w:rsid w:val="00A27E70"/>
    <w:rsid w:val="00A27FA7"/>
    <w:rsid w:val="00A300F2"/>
    <w:rsid w:val="00A30166"/>
    <w:rsid w:val="00A3077F"/>
    <w:rsid w:val="00A30972"/>
    <w:rsid w:val="00A30E06"/>
    <w:rsid w:val="00A31296"/>
    <w:rsid w:val="00A31473"/>
    <w:rsid w:val="00A31538"/>
    <w:rsid w:val="00A31677"/>
    <w:rsid w:val="00A31B6F"/>
    <w:rsid w:val="00A320D7"/>
    <w:rsid w:val="00A322B3"/>
    <w:rsid w:val="00A322E2"/>
    <w:rsid w:val="00A324E9"/>
    <w:rsid w:val="00A3286A"/>
    <w:rsid w:val="00A3286D"/>
    <w:rsid w:val="00A32D74"/>
    <w:rsid w:val="00A3345B"/>
    <w:rsid w:val="00A3361C"/>
    <w:rsid w:val="00A33879"/>
    <w:rsid w:val="00A33C90"/>
    <w:rsid w:val="00A33E46"/>
    <w:rsid w:val="00A3448F"/>
    <w:rsid w:val="00A3489C"/>
    <w:rsid w:val="00A34B90"/>
    <w:rsid w:val="00A34C10"/>
    <w:rsid w:val="00A35F11"/>
    <w:rsid w:val="00A369CD"/>
    <w:rsid w:val="00A3733D"/>
    <w:rsid w:val="00A37D26"/>
    <w:rsid w:val="00A4054A"/>
    <w:rsid w:val="00A40CD1"/>
    <w:rsid w:val="00A41719"/>
    <w:rsid w:val="00A41F53"/>
    <w:rsid w:val="00A424D2"/>
    <w:rsid w:val="00A426AE"/>
    <w:rsid w:val="00A42E51"/>
    <w:rsid w:val="00A42F1C"/>
    <w:rsid w:val="00A43CA5"/>
    <w:rsid w:val="00A43E87"/>
    <w:rsid w:val="00A44236"/>
    <w:rsid w:val="00A44579"/>
    <w:rsid w:val="00A448F2"/>
    <w:rsid w:val="00A44B7C"/>
    <w:rsid w:val="00A450DD"/>
    <w:rsid w:val="00A45550"/>
    <w:rsid w:val="00A45872"/>
    <w:rsid w:val="00A45A74"/>
    <w:rsid w:val="00A45D18"/>
    <w:rsid w:val="00A45F94"/>
    <w:rsid w:val="00A46031"/>
    <w:rsid w:val="00A46070"/>
    <w:rsid w:val="00A46A56"/>
    <w:rsid w:val="00A46D40"/>
    <w:rsid w:val="00A46DCC"/>
    <w:rsid w:val="00A47158"/>
    <w:rsid w:val="00A47950"/>
    <w:rsid w:val="00A50293"/>
    <w:rsid w:val="00A508A6"/>
    <w:rsid w:val="00A50CB7"/>
    <w:rsid w:val="00A50D67"/>
    <w:rsid w:val="00A5132B"/>
    <w:rsid w:val="00A51D18"/>
    <w:rsid w:val="00A51E08"/>
    <w:rsid w:val="00A537A5"/>
    <w:rsid w:val="00A54702"/>
    <w:rsid w:val="00A5563C"/>
    <w:rsid w:val="00A557CC"/>
    <w:rsid w:val="00A55D28"/>
    <w:rsid w:val="00A56B73"/>
    <w:rsid w:val="00A570CE"/>
    <w:rsid w:val="00A57490"/>
    <w:rsid w:val="00A57730"/>
    <w:rsid w:val="00A607D6"/>
    <w:rsid w:val="00A60BD7"/>
    <w:rsid w:val="00A60CAC"/>
    <w:rsid w:val="00A6108A"/>
    <w:rsid w:val="00A611D6"/>
    <w:rsid w:val="00A611E0"/>
    <w:rsid w:val="00A61214"/>
    <w:rsid w:val="00A61377"/>
    <w:rsid w:val="00A613F1"/>
    <w:rsid w:val="00A61881"/>
    <w:rsid w:val="00A621B0"/>
    <w:rsid w:val="00A62233"/>
    <w:rsid w:val="00A62282"/>
    <w:rsid w:val="00A62BFA"/>
    <w:rsid w:val="00A62D01"/>
    <w:rsid w:val="00A62D59"/>
    <w:rsid w:val="00A6311F"/>
    <w:rsid w:val="00A63416"/>
    <w:rsid w:val="00A6381D"/>
    <w:rsid w:val="00A639DE"/>
    <w:rsid w:val="00A649FA"/>
    <w:rsid w:val="00A65299"/>
    <w:rsid w:val="00A65463"/>
    <w:rsid w:val="00A65C6D"/>
    <w:rsid w:val="00A660D1"/>
    <w:rsid w:val="00A66523"/>
    <w:rsid w:val="00A67156"/>
    <w:rsid w:val="00A675A9"/>
    <w:rsid w:val="00A67A25"/>
    <w:rsid w:val="00A70180"/>
    <w:rsid w:val="00A70391"/>
    <w:rsid w:val="00A70E9A"/>
    <w:rsid w:val="00A7119B"/>
    <w:rsid w:val="00A713C2"/>
    <w:rsid w:val="00A71AFF"/>
    <w:rsid w:val="00A7213E"/>
    <w:rsid w:val="00A72449"/>
    <w:rsid w:val="00A72D73"/>
    <w:rsid w:val="00A73EFE"/>
    <w:rsid w:val="00A74307"/>
    <w:rsid w:val="00A751A1"/>
    <w:rsid w:val="00A75E72"/>
    <w:rsid w:val="00A75F95"/>
    <w:rsid w:val="00A76312"/>
    <w:rsid w:val="00A76F47"/>
    <w:rsid w:val="00A771A4"/>
    <w:rsid w:val="00A7724B"/>
    <w:rsid w:val="00A7724C"/>
    <w:rsid w:val="00A774F9"/>
    <w:rsid w:val="00A77D36"/>
    <w:rsid w:val="00A80018"/>
    <w:rsid w:val="00A805D0"/>
    <w:rsid w:val="00A8067C"/>
    <w:rsid w:val="00A8094E"/>
    <w:rsid w:val="00A81521"/>
    <w:rsid w:val="00A8206A"/>
    <w:rsid w:val="00A82152"/>
    <w:rsid w:val="00A8297E"/>
    <w:rsid w:val="00A8303A"/>
    <w:rsid w:val="00A8316F"/>
    <w:rsid w:val="00A8322C"/>
    <w:rsid w:val="00A8346F"/>
    <w:rsid w:val="00A83528"/>
    <w:rsid w:val="00A83756"/>
    <w:rsid w:val="00A84413"/>
    <w:rsid w:val="00A849AB"/>
    <w:rsid w:val="00A849FE"/>
    <w:rsid w:val="00A84D9F"/>
    <w:rsid w:val="00A84FEC"/>
    <w:rsid w:val="00A851A8"/>
    <w:rsid w:val="00A858AC"/>
    <w:rsid w:val="00A85A6A"/>
    <w:rsid w:val="00A86989"/>
    <w:rsid w:val="00A86A21"/>
    <w:rsid w:val="00A8718F"/>
    <w:rsid w:val="00A8757F"/>
    <w:rsid w:val="00A87A65"/>
    <w:rsid w:val="00A87AB1"/>
    <w:rsid w:val="00A87F94"/>
    <w:rsid w:val="00A900AA"/>
    <w:rsid w:val="00A908EF"/>
    <w:rsid w:val="00A911C9"/>
    <w:rsid w:val="00A91614"/>
    <w:rsid w:val="00A91BE0"/>
    <w:rsid w:val="00A91D8C"/>
    <w:rsid w:val="00A91E92"/>
    <w:rsid w:val="00A92468"/>
    <w:rsid w:val="00A92F87"/>
    <w:rsid w:val="00A94458"/>
    <w:rsid w:val="00A94595"/>
    <w:rsid w:val="00A94A05"/>
    <w:rsid w:val="00A94CC9"/>
    <w:rsid w:val="00A957EF"/>
    <w:rsid w:val="00A95C51"/>
    <w:rsid w:val="00A96018"/>
    <w:rsid w:val="00A9604A"/>
    <w:rsid w:val="00A96159"/>
    <w:rsid w:val="00A96D79"/>
    <w:rsid w:val="00A97060"/>
    <w:rsid w:val="00A974FA"/>
    <w:rsid w:val="00AA041B"/>
    <w:rsid w:val="00AA050B"/>
    <w:rsid w:val="00AA0B92"/>
    <w:rsid w:val="00AA109D"/>
    <w:rsid w:val="00AA1494"/>
    <w:rsid w:val="00AA1876"/>
    <w:rsid w:val="00AA199D"/>
    <w:rsid w:val="00AA2FB1"/>
    <w:rsid w:val="00AA3821"/>
    <w:rsid w:val="00AA4A55"/>
    <w:rsid w:val="00AA4BB6"/>
    <w:rsid w:val="00AA4E93"/>
    <w:rsid w:val="00AA5618"/>
    <w:rsid w:val="00AA5BB4"/>
    <w:rsid w:val="00AA5DD6"/>
    <w:rsid w:val="00AA5FFD"/>
    <w:rsid w:val="00AA6362"/>
    <w:rsid w:val="00AA6866"/>
    <w:rsid w:val="00AA6D00"/>
    <w:rsid w:val="00AA72B6"/>
    <w:rsid w:val="00AA74A8"/>
    <w:rsid w:val="00AA781A"/>
    <w:rsid w:val="00AA7A38"/>
    <w:rsid w:val="00AB0576"/>
    <w:rsid w:val="00AB0DF6"/>
    <w:rsid w:val="00AB0EFD"/>
    <w:rsid w:val="00AB11CC"/>
    <w:rsid w:val="00AB12A3"/>
    <w:rsid w:val="00AB19A8"/>
    <w:rsid w:val="00AB1E07"/>
    <w:rsid w:val="00AB1ED5"/>
    <w:rsid w:val="00AB1EF4"/>
    <w:rsid w:val="00AB1F71"/>
    <w:rsid w:val="00AB2318"/>
    <w:rsid w:val="00AB2396"/>
    <w:rsid w:val="00AB2A52"/>
    <w:rsid w:val="00AB3047"/>
    <w:rsid w:val="00AB3A67"/>
    <w:rsid w:val="00AB3E82"/>
    <w:rsid w:val="00AB4250"/>
    <w:rsid w:val="00AB42EE"/>
    <w:rsid w:val="00AB59A0"/>
    <w:rsid w:val="00AB5C0B"/>
    <w:rsid w:val="00AB608D"/>
    <w:rsid w:val="00AB6472"/>
    <w:rsid w:val="00AB6931"/>
    <w:rsid w:val="00AB6CB2"/>
    <w:rsid w:val="00AB6F85"/>
    <w:rsid w:val="00AB7112"/>
    <w:rsid w:val="00AB77E1"/>
    <w:rsid w:val="00AB78C5"/>
    <w:rsid w:val="00AB7E0C"/>
    <w:rsid w:val="00AC0189"/>
    <w:rsid w:val="00AC03FE"/>
    <w:rsid w:val="00AC0A74"/>
    <w:rsid w:val="00AC0C84"/>
    <w:rsid w:val="00AC146C"/>
    <w:rsid w:val="00AC17C2"/>
    <w:rsid w:val="00AC198E"/>
    <w:rsid w:val="00AC1CB0"/>
    <w:rsid w:val="00AC1E62"/>
    <w:rsid w:val="00AC2BF6"/>
    <w:rsid w:val="00AC2F82"/>
    <w:rsid w:val="00AC30C1"/>
    <w:rsid w:val="00AC3182"/>
    <w:rsid w:val="00AC33C3"/>
    <w:rsid w:val="00AC430A"/>
    <w:rsid w:val="00AC629B"/>
    <w:rsid w:val="00AC6F7F"/>
    <w:rsid w:val="00AC71C7"/>
    <w:rsid w:val="00AC7884"/>
    <w:rsid w:val="00AD04D3"/>
    <w:rsid w:val="00AD12A0"/>
    <w:rsid w:val="00AD1332"/>
    <w:rsid w:val="00AD22B1"/>
    <w:rsid w:val="00AD2621"/>
    <w:rsid w:val="00AD2CA9"/>
    <w:rsid w:val="00AD31F3"/>
    <w:rsid w:val="00AD32AC"/>
    <w:rsid w:val="00AD390B"/>
    <w:rsid w:val="00AD3B3C"/>
    <w:rsid w:val="00AD3D2B"/>
    <w:rsid w:val="00AD43EC"/>
    <w:rsid w:val="00AD4C33"/>
    <w:rsid w:val="00AD4C98"/>
    <w:rsid w:val="00AD4D59"/>
    <w:rsid w:val="00AD585C"/>
    <w:rsid w:val="00AD5D64"/>
    <w:rsid w:val="00AD7032"/>
    <w:rsid w:val="00AD717E"/>
    <w:rsid w:val="00AD7280"/>
    <w:rsid w:val="00AD74FF"/>
    <w:rsid w:val="00AD762A"/>
    <w:rsid w:val="00AD7D15"/>
    <w:rsid w:val="00AE0805"/>
    <w:rsid w:val="00AE12E4"/>
    <w:rsid w:val="00AE159A"/>
    <w:rsid w:val="00AE25A6"/>
    <w:rsid w:val="00AE2683"/>
    <w:rsid w:val="00AE26D4"/>
    <w:rsid w:val="00AE2D97"/>
    <w:rsid w:val="00AE2FEB"/>
    <w:rsid w:val="00AE36DA"/>
    <w:rsid w:val="00AE3763"/>
    <w:rsid w:val="00AE3B66"/>
    <w:rsid w:val="00AE3F53"/>
    <w:rsid w:val="00AE57E0"/>
    <w:rsid w:val="00AE6234"/>
    <w:rsid w:val="00AE7CD9"/>
    <w:rsid w:val="00AE7FAE"/>
    <w:rsid w:val="00AF0135"/>
    <w:rsid w:val="00AF03C4"/>
    <w:rsid w:val="00AF0C79"/>
    <w:rsid w:val="00AF15C2"/>
    <w:rsid w:val="00AF1E57"/>
    <w:rsid w:val="00AF214C"/>
    <w:rsid w:val="00AF2227"/>
    <w:rsid w:val="00AF257F"/>
    <w:rsid w:val="00AF27D9"/>
    <w:rsid w:val="00AF28F4"/>
    <w:rsid w:val="00AF2CBE"/>
    <w:rsid w:val="00AF3051"/>
    <w:rsid w:val="00AF34AF"/>
    <w:rsid w:val="00AF3A75"/>
    <w:rsid w:val="00AF3BDD"/>
    <w:rsid w:val="00AF4222"/>
    <w:rsid w:val="00AF4884"/>
    <w:rsid w:val="00AF48AF"/>
    <w:rsid w:val="00AF4A17"/>
    <w:rsid w:val="00AF4C23"/>
    <w:rsid w:val="00AF4E09"/>
    <w:rsid w:val="00AF5003"/>
    <w:rsid w:val="00AF5152"/>
    <w:rsid w:val="00AF60E2"/>
    <w:rsid w:val="00AF6AC5"/>
    <w:rsid w:val="00AF6E5C"/>
    <w:rsid w:val="00AF7801"/>
    <w:rsid w:val="00B00014"/>
    <w:rsid w:val="00B00E3A"/>
    <w:rsid w:val="00B0149C"/>
    <w:rsid w:val="00B017E9"/>
    <w:rsid w:val="00B01901"/>
    <w:rsid w:val="00B024DC"/>
    <w:rsid w:val="00B02522"/>
    <w:rsid w:val="00B02CF9"/>
    <w:rsid w:val="00B034C0"/>
    <w:rsid w:val="00B03519"/>
    <w:rsid w:val="00B0447C"/>
    <w:rsid w:val="00B049D7"/>
    <w:rsid w:val="00B05187"/>
    <w:rsid w:val="00B05238"/>
    <w:rsid w:val="00B05503"/>
    <w:rsid w:val="00B05871"/>
    <w:rsid w:val="00B06177"/>
    <w:rsid w:val="00B064BB"/>
    <w:rsid w:val="00B06641"/>
    <w:rsid w:val="00B07989"/>
    <w:rsid w:val="00B10400"/>
    <w:rsid w:val="00B10626"/>
    <w:rsid w:val="00B10A19"/>
    <w:rsid w:val="00B11968"/>
    <w:rsid w:val="00B11B36"/>
    <w:rsid w:val="00B11DCF"/>
    <w:rsid w:val="00B11E5A"/>
    <w:rsid w:val="00B1204C"/>
    <w:rsid w:val="00B12111"/>
    <w:rsid w:val="00B126B3"/>
    <w:rsid w:val="00B126E3"/>
    <w:rsid w:val="00B1286A"/>
    <w:rsid w:val="00B13C5F"/>
    <w:rsid w:val="00B14077"/>
    <w:rsid w:val="00B140B0"/>
    <w:rsid w:val="00B142E4"/>
    <w:rsid w:val="00B145B0"/>
    <w:rsid w:val="00B14B46"/>
    <w:rsid w:val="00B15617"/>
    <w:rsid w:val="00B16C0B"/>
    <w:rsid w:val="00B17554"/>
    <w:rsid w:val="00B17CEC"/>
    <w:rsid w:val="00B20885"/>
    <w:rsid w:val="00B209A8"/>
    <w:rsid w:val="00B2146D"/>
    <w:rsid w:val="00B214DF"/>
    <w:rsid w:val="00B21663"/>
    <w:rsid w:val="00B2230E"/>
    <w:rsid w:val="00B224D6"/>
    <w:rsid w:val="00B229F7"/>
    <w:rsid w:val="00B22D63"/>
    <w:rsid w:val="00B22DEB"/>
    <w:rsid w:val="00B22E77"/>
    <w:rsid w:val="00B244CB"/>
    <w:rsid w:val="00B24683"/>
    <w:rsid w:val="00B24C21"/>
    <w:rsid w:val="00B24D4C"/>
    <w:rsid w:val="00B255E9"/>
    <w:rsid w:val="00B258B8"/>
    <w:rsid w:val="00B2631D"/>
    <w:rsid w:val="00B2632F"/>
    <w:rsid w:val="00B2649A"/>
    <w:rsid w:val="00B26724"/>
    <w:rsid w:val="00B27080"/>
    <w:rsid w:val="00B272A9"/>
    <w:rsid w:val="00B272EE"/>
    <w:rsid w:val="00B300E1"/>
    <w:rsid w:val="00B3011B"/>
    <w:rsid w:val="00B308C5"/>
    <w:rsid w:val="00B30A4A"/>
    <w:rsid w:val="00B30BF6"/>
    <w:rsid w:val="00B3141B"/>
    <w:rsid w:val="00B319AF"/>
    <w:rsid w:val="00B31A36"/>
    <w:rsid w:val="00B31D62"/>
    <w:rsid w:val="00B32375"/>
    <w:rsid w:val="00B32447"/>
    <w:rsid w:val="00B32DD0"/>
    <w:rsid w:val="00B334ED"/>
    <w:rsid w:val="00B33C05"/>
    <w:rsid w:val="00B33C2B"/>
    <w:rsid w:val="00B33D1B"/>
    <w:rsid w:val="00B33E8A"/>
    <w:rsid w:val="00B3427B"/>
    <w:rsid w:val="00B3440E"/>
    <w:rsid w:val="00B3466D"/>
    <w:rsid w:val="00B3467D"/>
    <w:rsid w:val="00B34C69"/>
    <w:rsid w:val="00B34D90"/>
    <w:rsid w:val="00B350BF"/>
    <w:rsid w:val="00B351D9"/>
    <w:rsid w:val="00B35279"/>
    <w:rsid w:val="00B36CFA"/>
    <w:rsid w:val="00B37189"/>
    <w:rsid w:val="00B37FF4"/>
    <w:rsid w:val="00B40944"/>
    <w:rsid w:val="00B40999"/>
    <w:rsid w:val="00B40D73"/>
    <w:rsid w:val="00B417BB"/>
    <w:rsid w:val="00B424CD"/>
    <w:rsid w:val="00B436DE"/>
    <w:rsid w:val="00B43A66"/>
    <w:rsid w:val="00B43BE9"/>
    <w:rsid w:val="00B43FC3"/>
    <w:rsid w:val="00B4430E"/>
    <w:rsid w:val="00B44C9E"/>
    <w:rsid w:val="00B45864"/>
    <w:rsid w:val="00B4668B"/>
    <w:rsid w:val="00B46715"/>
    <w:rsid w:val="00B47F06"/>
    <w:rsid w:val="00B503AE"/>
    <w:rsid w:val="00B506D1"/>
    <w:rsid w:val="00B5072D"/>
    <w:rsid w:val="00B50C7F"/>
    <w:rsid w:val="00B50E28"/>
    <w:rsid w:val="00B5120A"/>
    <w:rsid w:val="00B5159B"/>
    <w:rsid w:val="00B52E19"/>
    <w:rsid w:val="00B5349C"/>
    <w:rsid w:val="00B5386D"/>
    <w:rsid w:val="00B539F9"/>
    <w:rsid w:val="00B54165"/>
    <w:rsid w:val="00B541E8"/>
    <w:rsid w:val="00B54AD5"/>
    <w:rsid w:val="00B54F7D"/>
    <w:rsid w:val="00B5535B"/>
    <w:rsid w:val="00B555E7"/>
    <w:rsid w:val="00B55B77"/>
    <w:rsid w:val="00B5609F"/>
    <w:rsid w:val="00B56736"/>
    <w:rsid w:val="00B56C81"/>
    <w:rsid w:val="00B5733C"/>
    <w:rsid w:val="00B57983"/>
    <w:rsid w:val="00B57B93"/>
    <w:rsid w:val="00B57BD9"/>
    <w:rsid w:val="00B600A0"/>
    <w:rsid w:val="00B60142"/>
    <w:rsid w:val="00B6016A"/>
    <w:rsid w:val="00B6037B"/>
    <w:rsid w:val="00B6106A"/>
    <w:rsid w:val="00B6115F"/>
    <w:rsid w:val="00B61273"/>
    <w:rsid w:val="00B6252A"/>
    <w:rsid w:val="00B62D7D"/>
    <w:rsid w:val="00B62D8A"/>
    <w:rsid w:val="00B63C0F"/>
    <w:rsid w:val="00B63FC9"/>
    <w:rsid w:val="00B6469E"/>
    <w:rsid w:val="00B646A5"/>
    <w:rsid w:val="00B64FE7"/>
    <w:rsid w:val="00B65609"/>
    <w:rsid w:val="00B65A8C"/>
    <w:rsid w:val="00B65EA3"/>
    <w:rsid w:val="00B669DD"/>
    <w:rsid w:val="00B66AC0"/>
    <w:rsid w:val="00B67E7E"/>
    <w:rsid w:val="00B70D99"/>
    <w:rsid w:val="00B71048"/>
    <w:rsid w:val="00B7143A"/>
    <w:rsid w:val="00B725B2"/>
    <w:rsid w:val="00B72BE5"/>
    <w:rsid w:val="00B72F37"/>
    <w:rsid w:val="00B73286"/>
    <w:rsid w:val="00B73675"/>
    <w:rsid w:val="00B7373D"/>
    <w:rsid w:val="00B73898"/>
    <w:rsid w:val="00B73FB5"/>
    <w:rsid w:val="00B741B6"/>
    <w:rsid w:val="00B74C31"/>
    <w:rsid w:val="00B75874"/>
    <w:rsid w:val="00B75A86"/>
    <w:rsid w:val="00B7675E"/>
    <w:rsid w:val="00B76A70"/>
    <w:rsid w:val="00B76D76"/>
    <w:rsid w:val="00B76FA1"/>
    <w:rsid w:val="00B801BC"/>
    <w:rsid w:val="00B80484"/>
    <w:rsid w:val="00B809CA"/>
    <w:rsid w:val="00B80B42"/>
    <w:rsid w:val="00B80E6D"/>
    <w:rsid w:val="00B8115A"/>
    <w:rsid w:val="00B81318"/>
    <w:rsid w:val="00B8137C"/>
    <w:rsid w:val="00B81836"/>
    <w:rsid w:val="00B82680"/>
    <w:rsid w:val="00B8295A"/>
    <w:rsid w:val="00B82BE4"/>
    <w:rsid w:val="00B82C42"/>
    <w:rsid w:val="00B8327B"/>
    <w:rsid w:val="00B83BBB"/>
    <w:rsid w:val="00B83CD9"/>
    <w:rsid w:val="00B83FD0"/>
    <w:rsid w:val="00B847F0"/>
    <w:rsid w:val="00B84F94"/>
    <w:rsid w:val="00B8563A"/>
    <w:rsid w:val="00B85667"/>
    <w:rsid w:val="00B8589F"/>
    <w:rsid w:val="00B859EC"/>
    <w:rsid w:val="00B85B1A"/>
    <w:rsid w:val="00B85FA5"/>
    <w:rsid w:val="00B86507"/>
    <w:rsid w:val="00B866C1"/>
    <w:rsid w:val="00B86ADC"/>
    <w:rsid w:val="00B86EE6"/>
    <w:rsid w:val="00B87460"/>
    <w:rsid w:val="00B8759E"/>
    <w:rsid w:val="00B87B9F"/>
    <w:rsid w:val="00B87C06"/>
    <w:rsid w:val="00B87F4A"/>
    <w:rsid w:val="00B90C7E"/>
    <w:rsid w:val="00B914A3"/>
    <w:rsid w:val="00B91F39"/>
    <w:rsid w:val="00B929D7"/>
    <w:rsid w:val="00B93FC9"/>
    <w:rsid w:val="00B94A7B"/>
    <w:rsid w:val="00B94B78"/>
    <w:rsid w:val="00B9511C"/>
    <w:rsid w:val="00B965E9"/>
    <w:rsid w:val="00B96A20"/>
    <w:rsid w:val="00B96D6A"/>
    <w:rsid w:val="00B9717F"/>
    <w:rsid w:val="00B972AB"/>
    <w:rsid w:val="00B9765B"/>
    <w:rsid w:val="00B976B2"/>
    <w:rsid w:val="00B97961"/>
    <w:rsid w:val="00B97B48"/>
    <w:rsid w:val="00B97D9A"/>
    <w:rsid w:val="00BA0547"/>
    <w:rsid w:val="00BA0736"/>
    <w:rsid w:val="00BA0756"/>
    <w:rsid w:val="00BA1153"/>
    <w:rsid w:val="00BA17B6"/>
    <w:rsid w:val="00BA1DB0"/>
    <w:rsid w:val="00BA205F"/>
    <w:rsid w:val="00BA21CE"/>
    <w:rsid w:val="00BA231D"/>
    <w:rsid w:val="00BA3ADF"/>
    <w:rsid w:val="00BA3BA1"/>
    <w:rsid w:val="00BA3F47"/>
    <w:rsid w:val="00BA4137"/>
    <w:rsid w:val="00BA44A8"/>
    <w:rsid w:val="00BA481E"/>
    <w:rsid w:val="00BA4B22"/>
    <w:rsid w:val="00BA4DCF"/>
    <w:rsid w:val="00BA56D3"/>
    <w:rsid w:val="00BA5A53"/>
    <w:rsid w:val="00BA5F15"/>
    <w:rsid w:val="00BA5F88"/>
    <w:rsid w:val="00BA6128"/>
    <w:rsid w:val="00BA653D"/>
    <w:rsid w:val="00BA6908"/>
    <w:rsid w:val="00BA7023"/>
    <w:rsid w:val="00BA772C"/>
    <w:rsid w:val="00BA77C9"/>
    <w:rsid w:val="00BA7BEF"/>
    <w:rsid w:val="00BA7CBE"/>
    <w:rsid w:val="00BB041F"/>
    <w:rsid w:val="00BB086F"/>
    <w:rsid w:val="00BB0F8D"/>
    <w:rsid w:val="00BB0F9A"/>
    <w:rsid w:val="00BB11FE"/>
    <w:rsid w:val="00BB2173"/>
    <w:rsid w:val="00BB2205"/>
    <w:rsid w:val="00BB2741"/>
    <w:rsid w:val="00BB27C1"/>
    <w:rsid w:val="00BB2A38"/>
    <w:rsid w:val="00BB2A4D"/>
    <w:rsid w:val="00BB3132"/>
    <w:rsid w:val="00BB3E26"/>
    <w:rsid w:val="00BB430A"/>
    <w:rsid w:val="00BB4E02"/>
    <w:rsid w:val="00BB50FC"/>
    <w:rsid w:val="00BB5491"/>
    <w:rsid w:val="00BB59AD"/>
    <w:rsid w:val="00BB5C95"/>
    <w:rsid w:val="00BB5E9C"/>
    <w:rsid w:val="00BB6506"/>
    <w:rsid w:val="00BB6759"/>
    <w:rsid w:val="00BB6976"/>
    <w:rsid w:val="00BB699B"/>
    <w:rsid w:val="00BB6BEE"/>
    <w:rsid w:val="00BC005A"/>
    <w:rsid w:val="00BC1B7C"/>
    <w:rsid w:val="00BC1EE8"/>
    <w:rsid w:val="00BC235D"/>
    <w:rsid w:val="00BC23B2"/>
    <w:rsid w:val="00BC3BAC"/>
    <w:rsid w:val="00BC3D1B"/>
    <w:rsid w:val="00BC4AE9"/>
    <w:rsid w:val="00BC4DA3"/>
    <w:rsid w:val="00BC52F4"/>
    <w:rsid w:val="00BC54F7"/>
    <w:rsid w:val="00BC5DA1"/>
    <w:rsid w:val="00BC64EB"/>
    <w:rsid w:val="00BC76C5"/>
    <w:rsid w:val="00BC77C3"/>
    <w:rsid w:val="00BD001E"/>
    <w:rsid w:val="00BD06BF"/>
    <w:rsid w:val="00BD0E47"/>
    <w:rsid w:val="00BD1C6A"/>
    <w:rsid w:val="00BD25D7"/>
    <w:rsid w:val="00BD3EFD"/>
    <w:rsid w:val="00BD4A36"/>
    <w:rsid w:val="00BD5681"/>
    <w:rsid w:val="00BD5D4B"/>
    <w:rsid w:val="00BD7264"/>
    <w:rsid w:val="00BD7F30"/>
    <w:rsid w:val="00BD7FC5"/>
    <w:rsid w:val="00BE0205"/>
    <w:rsid w:val="00BE076F"/>
    <w:rsid w:val="00BE244B"/>
    <w:rsid w:val="00BE257D"/>
    <w:rsid w:val="00BE32C8"/>
    <w:rsid w:val="00BE3683"/>
    <w:rsid w:val="00BE3A93"/>
    <w:rsid w:val="00BE4532"/>
    <w:rsid w:val="00BE4C27"/>
    <w:rsid w:val="00BE52AF"/>
    <w:rsid w:val="00BE5629"/>
    <w:rsid w:val="00BE5672"/>
    <w:rsid w:val="00BE5C2D"/>
    <w:rsid w:val="00BE6403"/>
    <w:rsid w:val="00BE65F2"/>
    <w:rsid w:val="00BE69BB"/>
    <w:rsid w:val="00BE6ABB"/>
    <w:rsid w:val="00BE6EE2"/>
    <w:rsid w:val="00BE70B6"/>
    <w:rsid w:val="00BE7167"/>
    <w:rsid w:val="00BE7925"/>
    <w:rsid w:val="00BE7A1A"/>
    <w:rsid w:val="00BE7C9F"/>
    <w:rsid w:val="00BE7CB3"/>
    <w:rsid w:val="00BF08E3"/>
    <w:rsid w:val="00BF0B5B"/>
    <w:rsid w:val="00BF0CB8"/>
    <w:rsid w:val="00BF1719"/>
    <w:rsid w:val="00BF266D"/>
    <w:rsid w:val="00BF3225"/>
    <w:rsid w:val="00BF32FD"/>
    <w:rsid w:val="00BF3B0F"/>
    <w:rsid w:val="00BF3DB3"/>
    <w:rsid w:val="00BF3DCB"/>
    <w:rsid w:val="00BF3EB7"/>
    <w:rsid w:val="00BF45A5"/>
    <w:rsid w:val="00BF4D4B"/>
    <w:rsid w:val="00BF4FC2"/>
    <w:rsid w:val="00BF5621"/>
    <w:rsid w:val="00BF5EE1"/>
    <w:rsid w:val="00BF63E2"/>
    <w:rsid w:val="00BF666C"/>
    <w:rsid w:val="00BF67A3"/>
    <w:rsid w:val="00BF6D35"/>
    <w:rsid w:val="00BF6E0E"/>
    <w:rsid w:val="00BF7809"/>
    <w:rsid w:val="00BF7C1E"/>
    <w:rsid w:val="00BF7C7F"/>
    <w:rsid w:val="00C0041B"/>
    <w:rsid w:val="00C00A8B"/>
    <w:rsid w:val="00C00D9F"/>
    <w:rsid w:val="00C01140"/>
    <w:rsid w:val="00C016EC"/>
    <w:rsid w:val="00C0295D"/>
    <w:rsid w:val="00C02BC7"/>
    <w:rsid w:val="00C02F1B"/>
    <w:rsid w:val="00C030B7"/>
    <w:rsid w:val="00C030BE"/>
    <w:rsid w:val="00C038C7"/>
    <w:rsid w:val="00C03EC2"/>
    <w:rsid w:val="00C04BD0"/>
    <w:rsid w:val="00C04CFC"/>
    <w:rsid w:val="00C04E8B"/>
    <w:rsid w:val="00C04ECD"/>
    <w:rsid w:val="00C04FE4"/>
    <w:rsid w:val="00C0576A"/>
    <w:rsid w:val="00C05AEB"/>
    <w:rsid w:val="00C05C77"/>
    <w:rsid w:val="00C05E38"/>
    <w:rsid w:val="00C06377"/>
    <w:rsid w:val="00C06403"/>
    <w:rsid w:val="00C06854"/>
    <w:rsid w:val="00C069CC"/>
    <w:rsid w:val="00C06D2C"/>
    <w:rsid w:val="00C07452"/>
    <w:rsid w:val="00C07579"/>
    <w:rsid w:val="00C07899"/>
    <w:rsid w:val="00C07B01"/>
    <w:rsid w:val="00C07B18"/>
    <w:rsid w:val="00C07EB7"/>
    <w:rsid w:val="00C10139"/>
    <w:rsid w:val="00C106C5"/>
    <w:rsid w:val="00C10817"/>
    <w:rsid w:val="00C10DA3"/>
    <w:rsid w:val="00C10F3E"/>
    <w:rsid w:val="00C1170F"/>
    <w:rsid w:val="00C11B9D"/>
    <w:rsid w:val="00C11BF2"/>
    <w:rsid w:val="00C123FA"/>
    <w:rsid w:val="00C13636"/>
    <w:rsid w:val="00C13841"/>
    <w:rsid w:val="00C14259"/>
    <w:rsid w:val="00C1442D"/>
    <w:rsid w:val="00C1474B"/>
    <w:rsid w:val="00C14C8B"/>
    <w:rsid w:val="00C14F6F"/>
    <w:rsid w:val="00C1512F"/>
    <w:rsid w:val="00C15796"/>
    <w:rsid w:val="00C157BE"/>
    <w:rsid w:val="00C15A75"/>
    <w:rsid w:val="00C15D1D"/>
    <w:rsid w:val="00C16194"/>
    <w:rsid w:val="00C165DB"/>
    <w:rsid w:val="00C1678B"/>
    <w:rsid w:val="00C1746E"/>
    <w:rsid w:val="00C17AC9"/>
    <w:rsid w:val="00C21093"/>
    <w:rsid w:val="00C2187A"/>
    <w:rsid w:val="00C22EE1"/>
    <w:rsid w:val="00C22F0E"/>
    <w:rsid w:val="00C22F8A"/>
    <w:rsid w:val="00C23392"/>
    <w:rsid w:val="00C236C6"/>
    <w:rsid w:val="00C238FF"/>
    <w:rsid w:val="00C23F9D"/>
    <w:rsid w:val="00C245C3"/>
    <w:rsid w:val="00C24968"/>
    <w:rsid w:val="00C24EFC"/>
    <w:rsid w:val="00C24F78"/>
    <w:rsid w:val="00C25814"/>
    <w:rsid w:val="00C25AA2"/>
    <w:rsid w:val="00C2626D"/>
    <w:rsid w:val="00C26651"/>
    <w:rsid w:val="00C26EB3"/>
    <w:rsid w:val="00C2708B"/>
    <w:rsid w:val="00C271C0"/>
    <w:rsid w:val="00C2792A"/>
    <w:rsid w:val="00C27D8C"/>
    <w:rsid w:val="00C3008F"/>
    <w:rsid w:val="00C3117B"/>
    <w:rsid w:val="00C3150E"/>
    <w:rsid w:val="00C31842"/>
    <w:rsid w:val="00C319B5"/>
    <w:rsid w:val="00C31B03"/>
    <w:rsid w:val="00C31B72"/>
    <w:rsid w:val="00C32585"/>
    <w:rsid w:val="00C32E67"/>
    <w:rsid w:val="00C332FB"/>
    <w:rsid w:val="00C332FF"/>
    <w:rsid w:val="00C342BA"/>
    <w:rsid w:val="00C34697"/>
    <w:rsid w:val="00C34BEA"/>
    <w:rsid w:val="00C35A53"/>
    <w:rsid w:val="00C365DC"/>
    <w:rsid w:val="00C368A2"/>
    <w:rsid w:val="00C37484"/>
    <w:rsid w:val="00C40D03"/>
    <w:rsid w:val="00C41391"/>
    <w:rsid w:val="00C417DA"/>
    <w:rsid w:val="00C4197C"/>
    <w:rsid w:val="00C419CD"/>
    <w:rsid w:val="00C41EFA"/>
    <w:rsid w:val="00C41F15"/>
    <w:rsid w:val="00C422AD"/>
    <w:rsid w:val="00C42491"/>
    <w:rsid w:val="00C424F0"/>
    <w:rsid w:val="00C42695"/>
    <w:rsid w:val="00C4288D"/>
    <w:rsid w:val="00C42C47"/>
    <w:rsid w:val="00C43355"/>
    <w:rsid w:val="00C43DEA"/>
    <w:rsid w:val="00C43FC6"/>
    <w:rsid w:val="00C44451"/>
    <w:rsid w:val="00C44AD4"/>
    <w:rsid w:val="00C44B87"/>
    <w:rsid w:val="00C44F5A"/>
    <w:rsid w:val="00C45784"/>
    <w:rsid w:val="00C46B3F"/>
    <w:rsid w:val="00C474F0"/>
    <w:rsid w:val="00C503FE"/>
    <w:rsid w:val="00C50CA6"/>
    <w:rsid w:val="00C50E61"/>
    <w:rsid w:val="00C5166D"/>
    <w:rsid w:val="00C51FF4"/>
    <w:rsid w:val="00C524AC"/>
    <w:rsid w:val="00C52B8C"/>
    <w:rsid w:val="00C53247"/>
    <w:rsid w:val="00C5356E"/>
    <w:rsid w:val="00C53CDE"/>
    <w:rsid w:val="00C541EF"/>
    <w:rsid w:val="00C54D6A"/>
    <w:rsid w:val="00C550CE"/>
    <w:rsid w:val="00C556CE"/>
    <w:rsid w:val="00C56E8A"/>
    <w:rsid w:val="00C57290"/>
    <w:rsid w:val="00C60761"/>
    <w:rsid w:val="00C60A0F"/>
    <w:rsid w:val="00C611DB"/>
    <w:rsid w:val="00C62621"/>
    <w:rsid w:val="00C627F2"/>
    <w:rsid w:val="00C6299B"/>
    <w:rsid w:val="00C62C78"/>
    <w:rsid w:val="00C63912"/>
    <w:rsid w:val="00C64461"/>
    <w:rsid w:val="00C65024"/>
    <w:rsid w:val="00C651BE"/>
    <w:rsid w:val="00C65202"/>
    <w:rsid w:val="00C65325"/>
    <w:rsid w:val="00C66078"/>
    <w:rsid w:val="00C66FDB"/>
    <w:rsid w:val="00C67018"/>
    <w:rsid w:val="00C70092"/>
    <w:rsid w:val="00C70571"/>
    <w:rsid w:val="00C70F91"/>
    <w:rsid w:val="00C71CF7"/>
    <w:rsid w:val="00C72006"/>
    <w:rsid w:val="00C72465"/>
    <w:rsid w:val="00C73423"/>
    <w:rsid w:val="00C7378E"/>
    <w:rsid w:val="00C737EB"/>
    <w:rsid w:val="00C741B8"/>
    <w:rsid w:val="00C74F90"/>
    <w:rsid w:val="00C75049"/>
    <w:rsid w:val="00C76247"/>
    <w:rsid w:val="00C76248"/>
    <w:rsid w:val="00C76432"/>
    <w:rsid w:val="00C77184"/>
    <w:rsid w:val="00C7786C"/>
    <w:rsid w:val="00C8044A"/>
    <w:rsid w:val="00C806F1"/>
    <w:rsid w:val="00C809D7"/>
    <w:rsid w:val="00C810F1"/>
    <w:rsid w:val="00C819CD"/>
    <w:rsid w:val="00C820A6"/>
    <w:rsid w:val="00C8277E"/>
    <w:rsid w:val="00C82821"/>
    <w:rsid w:val="00C82BEB"/>
    <w:rsid w:val="00C838C5"/>
    <w:rsid w:val="00C838C7"/>
    <w:rsid w:val="00C84200"/>
    <w:rsid w:val="00C856BE"/>
    <w:rsid w:val="00C856C6"/>
    <w:rsid w:val="00C862BA"/>
    <w:rsid w:val="00C86B50"/>
    <w:rsid w:val="00C870A7"/>
    <w:rsid w:val="00C873E5"/>
    <w:rsid w:val="00C87787"/>
    <w:rsid w:val="00C879CA"/>
    <w:rsid w:val="00C87CDA"/>
    <w:rsid w:val="00C87D5B"/>
    <w:rsid w:val="00C90233"/>
    <w:rsid w:val="00C905ED"/>
    <w:rsid w:val="00C90741"/>
    <w:rsid w:val="00C90BF6"/>
    <w:rsid w:val="00C90E4F"/>
    <w:rsid w:val="00C91261"/>
    <w:rsid w:val="00C91D6F"/>
    <w:rsid w:val="00C9223F"/>
    <w:rsid w:val="00C92259"/>
    <w:rsid w:val="00C92590"/>
    <w:rsid w:val="00C92A30"/>
    <w:rsid w:val="00C92FE5"/>
    <w:rsid w:val="00C937E0"/>
    <w:rsid w:val="00C93B95"/>
    <w:rsid w:val="00C946E2"/>
    <w:rsid w:val="00C947E6"/>
    <w:rsid w:val="00C9482C"/>
    <w:rsid w:val="00C94AA7"/>
    <w:rsid w:val="00C94F20"/>
    <w:rsid w:val="00C95C48"/>
    <w:rsid w:val="00C95F07"/>
    <w:rsid w:val="00C95FE6"/>
    <w:rsid w:val="00C9622C"/>
    <w:rsid w:val="00C96793"/>
    <w:rsid w:val="00C971BA"/>
    <w:rsid w:val="00C972B5"/>
    <w:rsid w:val="00C975EE"/>
    <w:rsid w:val="00CA03A2"/>
    <w:rsid w:val="00CA04F1"/>
    <w:rsid w:val="00CA1B73"/>
    <w:rsid w:val="00CA1C89"/>
    <w:rsid w:val="00CA1D75"/>
    <w:rsid w:val="00CA243D"/>
    <w:rsid w:val="00CA2B04"/>
    <w:rsid w:val="00CA2B3C"/>
    <w:rsid w:val="00CA2DB0"/>
    <w:rsid w:val="00CA2F20"/>
    <w:rsid w:val="00CA3545"/>
    <w:rsid w:val="00CA3CB1"/>
    <w:rsid w:val="00CA40C3"/>
    <w:rsid w:val="00CA40F2"/>
    <w:rsid w:val="00CA551A"/>
    <w:rsid w:val="00CA55E0"/>
    <w:rsid w:val="00CA57C8"/>
    <w:rsid w:val="00CA5E70"/>
    <w:rsid w:val="00CA62B3"/>
    <w:rsid w:val="00CA67CE"/>
    <w:rsid w:val="00CA703E"/>
    <w:rsid w:val="00CA7200"/>
    <w:rsid w:val="00CA73DA"/>
    <w:rsid w:val="00CA772A"/>
    <w:rsid w:val="00CB014C"/>
    <w:rsid w:val="00CB06D2"/>
    <w:rsid w:val="00CB0DC0"/>
    <w:rsid w:val="00CB1E64"/>
    <w:rsid w:val="00CB273E"/>
    <w:rsid w:val="00CB36C9"/>
    <w:rsid w:val="00CB395D"/>
    <w:rsid w:val="00CB399F"/>
    <w:rsid w:val="00CB4799"/>
    <w:rsid w:val="00CB4D9F"/>
    <w:rsid w:val="00CB4FE3"/>
    <w:rsid w:val="00CB58DA"/>
    <w:rsid w:val="00CB618C"/>
    <w:rsid w:val="00CB67A4"/>
    <w:rsid w:val="00CB695E"/>
    <w:rsid w:val="00CB69E1"/>
    <w:rsid w:val="00CB6D19"/>
    <w:rsid w:val="00CC0EB4"/>
    <w:rsid w:val="00CC11A3"/>
    <w:rsid w:val="00CC1265"/>
    <w:rsid w:val="00CC139F"/>
    <w:rsid w:val="00CC13DE"/>
    <w:rsid w:val="00CC1645"/>
    <w:rsid w:val="00CC1F31"/>
    <w:rsid w:val="00CC25DF"/>
    <w:rsid w:val="00CC2A86"/>
    <w:rsid w:val="00CC2DA8"/>
    <w:rsid w:val="00CC3563"/>
    <w:rsid w:val="00CC37BA"/>
    <w:rsid w:val="00CC380A"/>
    <w:rsid w:val="00CC3B11"/>
    <w:rsid w:val="00CC3B44"/>
    <w:rsid w:val="00CC3B8A"/>
    <w:rsid w:val="00CC3FD5"/>
    <w:rsid w:val="00CC4475"/>
    <w:rsid w:val="00CC4634"/>
    <w:rsid w:val="00CC478C"/>
    <w:rsid w:val="00CC489C"/>
    <w:rsid w:val="00CC4D5B"/>
    <w:rsid w:val="00CC5093"/>
    <w:rsid w:val="00CC660F"/>
    <w:rsid w:val="00CC740F"/>
    <w:rsid w:val="00CC7680"/>
    <w:rsid w:val="00CC77D9"/>
    <w:rsid w:val="00CD01BA"/>
    <w:rsid w:val="00CD0972"/>
    <w:rsid w:val="00CD0B7C"/>
    <w:rsid w:val="00CD0DF2"/>
    <w:rsid w:val="00CD1844"/>
    <w:rsid w:val="00CD2010"/>
    <w:rsid w:val="00CD2580"/>
    <w:rsid w:val="00CD2FB4"/>
    <w:rsid w:val="00CD33C3"/>
    <w:rsid w:val="00CD353D"/>
    <w:rsid w:val="00CD3DBF"/>
    <w:rsid w:val="00CD408C"/>
    <w:rsid w:val="00CD4321"/>
    <w:rsid w:val="00CD4526"/>
    <w:rsid w:val="00CD4529"/>
    <w:rsid w:val="00CD4907"/>
    <w:rsid w:val="00CD56A7"/>
    <w:rsid w:val="00CD5AB6"/>
    <w:rsid w:val="00CD7B1A"/>
    <w:rsid w:val="00CD7BE8"/>
    <w:rsid w:val="00CE0137"/>
    <w:rsid w:val="00CE0D2F"/>
    <w:rsid w:val="00CE0FD6"/>
    <w:rsid w:val="00CE1494"/>
    <w:rsid w:val="00CE1767"/>
    <w:rsid w:val="00CE19F7"/>
    <w:rsid w:val="00CE1AF0"/>
    <w:rsid w:val="00CE1F24"/>
    <w:rsid w:val="00CE2484"/>
    <w:rsid w:val="00CE26F9"/>
    <w:rsid w:val="00CE3340"/>
    <w:rsid w:val="00CE3EC2"/>
    <w:rsid w:val="00CE3F81"/>
    <w:rsid w:val="00CE4839"/>
    <w:rsid w:val="00CE5323"/>
    <w:rsid w:val="00CE532A"/>
    <w:rsid w:val="00CE549F"/>
    <w:rsid w:val="00CE5D5A"/>
    <w:rsid w:val="00CE5F18"/>
    <w:rsid w:val="00CE6544"/>
    <w:rsid w:val="00CE669D"/>
    <w:rsid w:val="00CE6D15"/>
    <w:rsid w:val="00CE7455"/>
    <w:rsid w:val="00CE7877"/>
    <w:rsid w:val="00CE78C7"/>
    <w:rsid w:val="00CF0EF3"/>
    <w:rsid w:val="00CF1E01"/>
    <w:rsid w:val="00CF2856"/>
    <w:rsid w:val="00CF2DEE"/>
    <w:rsid w:val="00CF2E8C"/>
    <w:rsid w:val="00CF30B1"/>
    <w:rsid w:val="00CF30C8"/>
    <w:rsid w:val="00CF353A"/>
    <w:rsid w:val="00CF3701"/>
    <w:rsid w:val="00CF5623"/>
    <w:rsid w:val="00CF5C29"/>
    <w:rsid w:val="00CF69E3"/>
    <w:rsid w:val="00CF6ADA"/>
    <w:rsid w:val="00CF6BE6"/>
    <w:rsid w:val="00CF6CB4"/>
    <w:rsid w:val="00CF7ACD"/>
    <w:rsid w:val="00CF7BB1"/>
    <w:rsid w:val="00D00009"/>
    <w:rsid w:val="00D0074E"/>
    <w:rsid w:val="00D009FF"/>
    <w:rsid w:val="00D00EDA"/>
    <w:rsid w:val="00D00FA8"/>
    <w:rsid w:val="00D01737"/>
    <w:rsid w:val="00D01751"/>
    <w:rsid w:val="00D0219C"/>
    <w:rsid w:val="00D0322F"/>
    <w:rsid w:val="00D033A9"/>
    <w:rsid w:val="00D03AAB"/>
    <w:rsid w:val="00D03E13"/>
    <w:rsid w:val="00D03EFA"/>
    <w:rsid w:val="00D0436E"/>
    <w:rsid w:val="00D04B66"/>
    <w:rsid w:val="00D04CB6"/>
    <w:rsid w:val="00D04E2B"/>
    <w:rsid w:val="00D05602"/>
    <w:rsid w:val="00D06210"/>
    <w:rsid w:val="00D0671E"/>
    <w:rsid w:val="00D068B2"/>
    <w:rsid w:val="00D06C7C"/>
    <w:rsid w:val="00D06F36"/>
    <w:rsid w:val="00D070F7"/>
    <w:rsid w:val="00D077A4"/>
    <w:rsid w:val="00D07A18"/>
    <w:rsid w:val="00D10069"/>
    <w:rsid w:val="00D100C8"/>
    <w:rsid w:val="00D102AF"/>
    <w:rsid w:val="00D1042B"/>
    <w:rsid w:val="00D1053A"/>
    <w:rsid w:val="00D106BE"/>
    <w:rsid w:val="00D10B96"/>
    <w:rsid w:val="00D122AA"/>
    <w:rsid w:val="00D12CEC"/>
    <w:rsid w:val="00D12F23"/>
    <w:rsid w:val="00D1312C"/>
    <w:rsid w:val="00D13C51"/>
    <w:rsid w:val="00D13C8B"/>
    <w:rsid w:val="00D13E16"/>
    <w:rsid w:val="00D14139"/>
    <w:rsid w:val="00D14168"/>
    <w:rsid w:val="00D14488"/>
    <w:rsid w:val="00D145E5"/>
    <w:rsid w:val="00D14A82"/>
    <w:rsid w:val="00D14EF4"/>
    <w:rsid w:val="00D156C2"/>
    <w:rsid w:val="00D16B03"/>
    <w:rsid w:val="00D1781D"/>
    <w:rsid w:val="00D20FB9"/>
    <w:rsid w:val="00D2150F"/>
    <w:rsid w:val="00D21738"/>
    <w:rsid w:val="00D218F7"/>
    <w:rsid w:val="00D22E89"/>
    <w:rsid w:val="00D236CF"/>
    <w:rsid w:val="00D248F7"/>
    <w:rsid w:val="00D2552D"/>
    <w:rsid w:val="00D25943"/>
    <w:rsid w:val="00D25AF0"/>
    <w:rsid w:val="00D269E6"/>
    <w:rsid w:val="00D271BC"/>
    <w:rsid w:val="00D27688"/>
    <w:rsid w:val="00D27DAB"/>
    <w:rsid w:val="00D27E39"/>
    <w:rsid w:val="00D30447"/>
    <w:rsid w:val="00D306E0"/>
    <w:rsid w:val="00D30B2F"/>
    <w:rsid w:val="00D30C94"/>
    <w:rsid w:val="00D31093"/>
    <w:rsid w:val="00D31449"/>
    <w:rsid w:val="00D3159D"/>
    <w:rsid w:val="00D31672"/>
    <w:rsid w:val="00D31AFD"/>
    <w:rsid w:val="00D32679"/>
    <w:rsid w:val="00D32A02"/>
    <w:rsid w:val="00D32E64"/>
    <w:rsid w:val="00D33180"/>
    <w:rsid w:val="00D331B5"/>
    <w:rsid w:val="00D3332D"/>
    <w:rsid w:val="00D33547"/>
    <w:rsid w:val="00D348ED"/>
    <w:rsid w:val="00D34DB4"/>
    <w:rsid w:val="00D34F6A"/>
    <w:rsid w:val="00D35973"/>
    <w:rsid w:val="00D359BF"/>
    <w:rsid w:val="00D35AC2"/>
    <w:rsid w:val="00D35D1C"/>
    <w:rsid w:val="00D35D51"/>
    <w:rsid w:val="00D35EDE"/>
    <w:rsid w:val="00D36104"/>
    <w:rsid w:val="00D36490"/>
    <w:rsid w:val="00D36925"/>
    <w:rsid w:val="00D36AC4"/>
    <w:rsid w:val="00D36C23"/>
    <w:rsid w:val="00D36E89"/>
    <w:rsid w:val="00D37579"/>
    <w:rsid w:val="00D37BCF"/>
    <w:rsid w:val="00D400CD"/>
    <w:rsid w:val="00D40178"/>
    <w:rsid w:val="00D405B6"/>
    <w:rsid w:val="00D406D0"/>
    <w:rsid w:val="00D40ACA"/>
    <w:rsid w:val="00D40B3B"/>
    <w:rsid w:val="00D41C35"/>
    <w:rsid w:val="00D4255F"/>
    <w:rsid w:val="00D42C67"/>
    <w:rsid w:val="00D433D7"/>
    <w:rsid w:val="00D437AB"/>
    <w:rsid w:val="00D44295"/>
    <w:rsid w:val="00D44C9A"/>
    <w:rsid w:val="00D44DFA"/>
    <w:rsid w:val="00D45194"/>
    <w:rsid w:val="00D45249"/>
    <w:rsid w:val="00D46290"/>
    <w:rsid w:val="00D46AE9"/>
    <w:rsid w:val="00D505F9"/>
    <w:rsid w:val="00D5075C"/>
    <w:rsid w:val="00D5097B"/>
    <w:rsid w:val="00D50E6B"/>
    <w:rsid w:val="00D50EAB"/>
    <w:rsid w:val="00D50F61"/>
    <w:rsid w:val="00D50F73"/>
    <w:rsid w:val="00D5152F"/>
    <w:rsid w:val="00D515BC"/>
    <w:rsid w:val="00D51B64"/>
    <w:rsid w:val="00D51F7F"/>
    <w:rsid w:val="00D52465"/>
    <w:rsid w:val="00D525F4"/>
    <w:rsid w:val="00D52F13"/>
    <w:rsid w:val="00D5371F"/>
    <w:rsid w:val="00D53905"/>
    <w:rsid w:val="00D53A8E"/>
    <w:rsid w:val="00D55337"/>
    <w:rsid w:val="00D55460"/>
    <w:rsid w:val="00D556CA"/>
    <w:rsid w:val="00D55871"/>
    <w:rsid w:val="00D564B4"/>
    <w:rsid w:val="00D56614"/>
    <w:rsid w:val="00D568CA"/>
    <w:rsid w:val="00D60AAB"/>
    <w:rsid w:val="00D61A06"/>
    <w:rsid w:val="00D61C71"/>
    <w:rsid w:val="00D620FC"/>
    <w:rsid w:val="00D6243D"/>
    <w:rsid w:val="00D62CC6"/>
    <w:rsid w:val="00D63691"/>
    <w:rsid w:val="00D63BD3"/>
    <w:rsid w:val="00D63C1C"/>
    <w:rsid w:val="00D64098"/>
    <w:rsid w:val="00D64130"/>
    <w:rsid w:val="00D64C8B"/>
    <w:rsid w:val="00D6559D"/>
    <w:rsid w:val="00D65A09"/>
    <w:rsid w:val="00D65C25"/>
    <w:rsid w:val="00D6615B"/>
    <w:rsid w:val="00D66488"/>
    <w:rsid w:val="00D6678D"/>
    <w:rsid w:val="00D67143"/>
    <w:rsid w:val="00D67DDD"/>
    <w:rsid w:val="00D70795"/>
    <w:rsid w:val="00D709DD"/>
    <w:rsid w:val="00D70A87"/>
    <w:rsid w:val="00D70B8E"/>
    <w:rsid w:val="00D70C1A"/>
    <w:rsid w:val="00D70E09"/>
    <w:rsid w:val="00D71392"/>
    <w:rsid w:val="00D715B7"/>
    <w:rsid w:val="00D7169A"/>
    <w:rsid w:val="00D730ED"/>
    <w:rsid w:val="00D731E6"/>
    <w:rsid w:val="00D737DD"/>
    <w:rsid w:val="00D74F01"/>
    <w:rsid w:val="00D761CF"/>
    <w:rsid w:val="00D76FD5"/>
    <w:rsid w:val="00D77A3D"/>
    <w:rsid w:val="00D77F18"/>
    <w:rsid w:val="00D77FC2"/>
    <w:rsid w:val="00D80663"/>
    <w:rsid w:val="00D80E70"/>
    <w:rsid w:val="00D81639"/>
    <w:rsid w:val="00D81ACE"/>
    <w:rsid w:val="00D8214F"/>
    <w:rsid w:val="00D824AC"/>
    <w:rsid w:val="00D83849"/>
    <w:rsid w:val="00D83B71"/>
    <w:rsid w:val="00D83BFE"/>
    <w:rsid w:val="00D8530F"/>
    <w:rsid w:val="00D855CC"/>
    <w:rsid w:val="00D8568A"/>
    <w:rsid w:val="00D85E02"/>
    <w:rsid w:val="00D86E22"/>
    <w:rsid w:val="00D870EA"/>
    <w:rsid w:val="00D908AF"/>
    <w:rsid w:val="00D908D5"/>
    <w:rsid w:val="00D90EC2"/>
    <w:rsid w:val="00D9132E"/>
    <w:rsid w:val="00D9147A"/>
    <w:rsid w:val="00D91FD0"/>
    <w:rsid w:val="00D92715"/>
    <w:rsid w:val="00D92D6D"/>
    <w:rsid w:val="00D92F39"/>
    <w:rsid w:val="00D934CB"/>
    <w:rsid w:val="00D93753"/>
    <w:rsid w:val="00D93B55"/>
    <w:rsid w:val="00D94607"/>
    <w:rsid w:val="00D94B2F"/>
    <w:rsid w:val="00D94CC4"/>
    <w:rsid w:val="00D94ED5"/>
    <w:rsid w:val="00D954AA"/>
    <w:rsid w:val="00D9559A"/>
    <w:rsid w:val="00D955BA"/>
    <w:rsid w:val="00D95B2C"/>
    <w:rsid w:val="00D966CA"/>
    <w:rsid w:val="00D96902"/>
    <w:rsid w:val="00D96EB4"/>
    <w:rsid w:val="00D96F3A"/>
    <w:rsid w:val="00D97CAF"/>
    <w:rsid w:val="00DA0160"/>
    <w:rsid w:val="00DA0C68"/>
    <w:rsid w:val="00DA11D1"/>
    <w:rsid w:val="00DA140F"/>
    <w:rsid w:val="00DA16B1"/>
    <w:rsid w:val="00DA1C19"/>
    <w:rsid w:val="00DA1DD4"/>
    <w:rsid w:val="00DA1E9E"/>
    <w:rsid w:val="00DA28CF"/>
    <w:rsid w:val="00DA2950"/>
    <w:rsid w:val="00DA29C0"/>
    <w:rsid w:val="00DA29EE"/>
    <w:rsid w:val="00DA2AA4"/>
    <w:rsid w:val="00DA2DB7"/>
    <w:rsid w:val="00DA3651"/>
    <w:rsid w:val="00DA3BE4"/>
    <w:rsid w:val="00DA3F4D"/>
    <w:rsid w:val="00DA413B"/>
    <w:rsid w:val="00DA43D4"/>
    <w:rsid w:val="00DA4668"/>
    <w:rsid w:val="00DA4784"/>
    <w:rsid w:val="00DA495E"/>
    <w:rsid w:val="00DA4E01"/>
    <w:rsid w:val="00DA66F2"/>
    <w:rsid w:val="00DA6B40"/>
    <w:rsid w:val="00DA6E7E"/>
    <w:rsid w:val="00DA7342"/>
    <w:rsid w:val="00DA738A"/>
    <w:rsid w:val="00DA73B6"/>
    <w:rsid w:val="00DA7A06"/>
    <w:rsid w:val="00DA7CC0"/>
    <w:rsid w:val="00DB003A"/>
    <w:rsid w:val="00DB00F3"/>
    <w:rsid w:val="00DB02CE"/>
    <w:rsid w:val="00DB0CEC"/>
    <w:rsid w:val="00DB0E08"/>
    <w:rsid w:val="00DB111F"/>
    <w:rsid w:val="00DB145A"/>
    <w:rsid w:val="00DB1801"/>
    <w:rsid w:val="00DB23A7"/>
    <w:rsid w:val="00DB26D5"/>
    <w:rsid w:val="00DB278E"/>
    <w:rsid w:val="00DB2F54"/>
    <w:rsid w:val="00DB40F8"/>
    <w:rsid w:val="00DB42B3"/>
    <w:rsid w:val="00DB5165"/>
    <w:rsid w:val="00DB58F6"/>
    <w:rsid w:val="00DB6856"/>
    <w:rsid w:val="00DB6A4D"/>
    <w:rsid w:val="00DB6FF8"/>
    <w:rsid w:val="00DB7239"/>
    <w:rsid w:val="00DB7590"/>
    <w:rsid w:val="00DB780F"/>
    <w:rsid w:val="00DB7948"/>
    <w:rsid w:val="00DC03B3"/>
    <w:rsid w:val="00DC08D1"/>
    <w:rsid w:val="00DC0AE4"/>
    <w:rsid w:val="00DC0CDE"/>
    <w:rsid w:val="00DC19C9"/>
    <w:rsid w:val="00DC1CFE"/>
    <w:rsid w:val="00DC2A92"/>
    <w:rsid w:val="00DC2C94"/>
    <w:rsid w:val="00DC3062"/>
    <w:rsid w:val="00DC33D3"/>
    <w:rsid w:val="00DC3B43"/>
    <w:rsid w:val="00DC3B6A"/>
    <w:rsid w:val="00DC40D3"/>
    <w:rsid w:val="00DC443C"/>
    <w:rsid w:val="00DC50F4"/>
    <w:rsid w:val="00DC5146"/>
    <w:rsid w:val="00DC5D71"/>
    <w:rsid w:val="00DC6C43"/>
    <w:rsid w:val="00DC6D69"/>
    <w:rsid w:val="00DC718F"/>
    <w:rsid w:val="00DC7C4D"/>
    <w:rsid w:val="00DD0269"/>
    <w:rsid w:val="00DD05A6"/>
    <w:rsid w:val="00DD0E9A"/>
    <w:rsid w:val="00DD0F2F"/>
    <w:rsid w:val="00DD1173"/>
    <w:rsid w:val="00DD194F"/>
    <w:rsid w:val="00DD1A76"/>
    <w:rsid w:val="00DD241E"/>
    <w:rsid w:val="00DD24DC"/>
    <w:rsid w:val="00DD2DCD"/>
    <w:rsid w:val="00DD391A"/>
    <w:rsid w:val="00DD3984"/>
    <w:rsid w:val="00DD3D2E"/>
    <w:rsid w:val="00DD4FDC"/>
    <w:rsid w:val="00DD5AB2"/>
    <w:rsid w:val="00DD6014"/>
    <w:rsid w:val="00DD691A"/>
    <w:rsid w:val="00DD7368"/>
    <w:rsid w:val="00DD774A"/>
    <w:rsid w:val="00DD7DBF"/>
    <w:rsid w:val="00DD7DDA"/>
    <w:rsid w:val="00DD7FD9"/>
    <w:rsid w:val="00DE04F4"/>
    <w:rsid w:val="00DE0CDD"/>
    <w:rsid w:val="00DE123F"/>
    <w:rsid w:val="00DE1671"/>
    <w:rsid w:val="00DE1971"/>
    <w:rsid w:val="00DE1C5B"/>
    <w:rsid w:val="00DE1CF9"/>
    <w:rsid w:val="00DE200C"/>
    <w:rsid w:val="00DE2CE8"/>
    <w:rsid w:val="00DE2F29"/>
    <w:rsid w:val="00DE3324"/>
    <w:rsid w:val="00DE3A9F"/>
    <w:rsid w:val="00DE3B00"/>
    <w:rsid w:val="00DE3BF7"/>
    <w:rsid w:val="00DE3E25"/>
    <w:rsid w:val="00DE443C"/>
    <w:rsid w:val="00DE5134"/>
    <w:rsid w:val="00DE59F2"/>
    <w:rsid w:val="00DE5E9F"/>
    <w:rsid w:val="00DE6CD4"/>
    <w:rsid w:val="00DE6E3C"/>
    <w:rsid w:val="00DE76EE"/>
    <w:rsid w:val="00DE7E9B"/>
    <w:rsid w:val="00DF000E"/>
    <w:rsid w:val="00DF03CE"/>
    <w:rsid w:val="00DF0D70"/>
    <w:rsid w:val="00DF10E8"/>
    <w:rsid w:val="00DF1369"/>
    <w:rsid w:val="00DF14A6"/>
    <w:rsid w:val="00DF1888"/>
    <w:rsid w:val="00DF23D1"/>
    <w:rsid w:val="00DF32F0"/>
    <w:rsid w:val="00DF33B8"/>
    <w:rsid w:val="00DF41B3"/>
    <w:rsid w:val="00DF41E2"/>
    <w:rsid w:val="00DF4D7E"/>
    <w:rsid w:val="00DF4EBB"/>
    <w:rsid w:val="00DF541A"/>
    <w:rsid w:val="00DF5F19"/>
    <w:rsid w:val="00DF615B"/>
    <w:rsid w:val="00DF6584"/>
    <w:rsid w:val="00DF7307"/>
    <w:rsid w:val="00DF7930"/>
    <w:rsid w:val="00DF7B3F"/>
    <w:rsid w:val="00DF7BE5"/>
    <w:rsid w:val="00DF7C5D"/>
    <w:rsid w:val="00E00507"/>
    <w:rsid w:val="00E014AF"/>
    <w:rsid w:val="00E018DB"/>
    <w:rsid w:val="00E01BDF"/>
    <w:rsid w:val="00E02988"/>
    <w:rsid w:val="00E029E3"/>
    <w:rsid w:val="00E02AC5"/>
    <w:rsid w:val="00E0387A"/>
    <w:rsid w:val="00E039F0"/>
    <w:rsid w:val="00E0513A"/>
    <w:rsid w:val="00E052A1"/>
    <w:rsid w:val="00E05C80"/>
    <w:rsid w:val="00E063E2"/>
    <w:rsid w:val="00E064BE"/>
    <w:rsid w:val="00E06D6C"/>
    <w:rsid w:val="00E076F1"/>
    <w:rsid w:val="00E07852"/>
    <w:rsid w:val="00E07994"/>
    <w:rsid w:val="00E07E80"/>
    <w:rsid w:val="00E10AB3"/>
    <w:rsid w:val="00E10DF8"/>
    <w:rsid w:val="00E1188A"/>
    <w:rsid w:val="00E119B7"/>
    <w:rsid w:val="00E124CA"/>
    <w:rsid w:val="00E126F5"/>
    <w:rsid w:val="00E12949"/>
    <w:rsid w:val="00E14385"/>
    <w:rsid w:val="00E14603"/>
    <w:rsid w:val="00E14C02"/>
    <w:rsid w:val="00E15112"/>
    <w:rsid w:val="00E15596"/>
    <w:rsid w:val="00E156DA"/>
    <w:rsid w:val="00E16743"/>
    <w:rsid w:val="00E16A01"/>
    <w:rsid w:val="00E172BA"/>
    <w:rsid w:val="00E179B3"/>
    <w:rsid w:val="00E2047E"/>
    <w:rsid w:val="00E214AE"/>
    <w:rsid w:val="00E215D6"/>
    <w:rsid w:val="00E21B68"/>
    <w:rsid w:val="00E21E3E"/>
    <w:rsid w:val="00E22055"/>
    <w:rsid w:val="00E225F3"/>
    <w:rsid w:val="00E233CB"/>
    <w:rsid w:val="00E24163"/>
    <w:rsid w:val="00E24801"/>
    <w:rsid w:val="00E25619"/>
    <w:rsid w:val="00E266A1"/>
    <w:rsid w:val="00E2726D"/>
    <w:rsid w:val="00E273DE"/>
    <w:rsid w:val="00E27658"/>
    <w:rsid w:val="00E278AD"/>
    <w:rsid w:val="00E2796A"/>
    <w:rsid w:val="00E27AF2"/>
    <w:rsid w:val="00E27C75"/>
    <w:rsid w:val="00E27CFC"/>
    <w:rsid w:val="00E27F97"/>
    <w:rsid w:val="00E309AF"/>
    <w:rsid w:val="00E31364"/>
    <w:rsid w:val="00E31F6F"/>
    <w:rsid w:val="00E321AE"/>
    <w:rsid w:val="00E32204"/>
    <w:rsid w:val="00E322FE"/>
    <w:rsid w:val="00E330D8"/>
    <w:rsid w:val="00E333EC"/>
    <w:rsid w:val="00E338B8"/>
    <w:rsid w:val="00E33A9F"/>
    <w:rsid w:val="00E34000"/>
    <w:rsid w:val="00E3467F"/>
    <w:rsid w:val="00E346D5"/>
    <w:rsid w:val="00E34834"/>
    <w:rsid w:val="00E34B0A"/>
    <w:rsid w:val="00E358A8"/>
    <w:rsid w:val="00E3607A"/>
    <w:rsid w:val="00E364CC"/>
    <w:rsid w:val="00E3694F"/>
    <w:rsid w:val="00E36B91"/>
    <w:rsid w:val="00E37013"/>
    <w:rsid w:val="00E37178"/>
    <w:rsid w:val="00E371BA"/>
    <w:rsid w:val="00E375D9"/>
    <w:rsid w:val="00E37859"/>
    <w:rsid w:val="00E400CD"/>
    <w:rsid w:val="00E4064E"/>
    <w:rsid w:val="00E41169"/>
    <w:rsid w:val="00E41262"/>
    <w:rsid w:val="00E42587"/>
    <w:rsid w:val="00E42985"/>
    <w:rsid w:val="00E42ECB"/>
    <w:rsid w:val="00E438C1"/>
    <w:rsid w:val="00E43962"/>
    <w:rsid w:val="00E43C27"/>
    <w:rsid w:val="00E43F7C"/>
    <w:rsid w:val="00E44523"/>
    <w:rsid w:val="00E44CD2"/>
    <w:rsid w:val="00E44D1D"/>
    <w:rsid w:val="00E44DD4"/>
    <w:rsid w:val="00E45045"/>
    <w:rsid w:val="00E4530D"/>
    <w:rsid w:val="00E4538E"/>
    <w:rsid w:val="00E45604"/>
    <w:rsid w:val="00E46206"/>
    <w:rsid w:val="00E467CF"/>
    <w:rsid w:val="00E46D36"/>
    <w:rsid w:val="00E46F52"/>
    <w:rsid w:val="00E46F9C"/>
    <w:rsid w:val="00E47A1F"/>
    <w:rsid w:val="00E47E07"/>
    <w:rsid w:val="00E50348"/>
    <w:rsid w:val="00E508AD"/>
    <w:rsid w:val="00E50CA9"/>
    <w:rsid w:val="00E511A4"/>
    <w:rsid w:val="00E51214"/>
    <w:rsid w:val="00E514EF"/>
    <w:rsid w:val="00E528EC"/>
    <w:rsid w:val="00E52B7B"/>
    <w:rsid w:val="00E532D0"/>
    <w:rsid w:val="00E53355"/>
    <w:rsid w:val="00E5353F"/>
    <w:rsid w:val="00E53806"/>
    <w:rsid w:val="00E53BB0"/>
    <w:rsid w:val="00E541AA"/>
    <w:rsid w:val="00E546E2"/>
    <w:rsid w:val="00E548C7"/>
    <w:rsid w:val="00E54B49"/>
    <w:rsid w:val="00E55677"/>
    <w:rsid w:val="00E56613"/>
    <w:rsid w:val="00E571BD"/>
    <w:rsid w:val="00E572A6"/>
    <w:rsid w:val="00E57869"/>
    <w:rsid w:val="00E57CE4"/>
    <w:rsid w:val="00E602E2"/>
    <w:rsid w:val="00E603B9"/>
    <w:rsid w:val="00E603E0"/>
    <w:rsid w:val="00E60527"/>
    <w:rsid w:val="00E60EB0"/>
    <w:rsid w:val="00E62509"/>
    <w:rsid w:val="00E6281C"/>
    <w:rsid w:val="00E63461"/>
    <w:rsid w:val="00E64FF4"/>
    <w:rsid w:val="00E652B7"/>
    <w:rsid w:val="00E65394"/>
    <w:rsid w:val="00E6688E"/>
    <w:rsid w:val="00E66B4B"/>
    <w:rsid w:val="00E66BA4"/>
    <w:rsid w:val="00E66EF3"/>
    <w:rsid w:val="00E673AE"/>
    <w:rsid w:val="00E678F6"/>
    <w:rsid w:val="00E679AA"/>
    <w:rsid w:val="00E70D6B"/>
    <w:rsid w:val="00E70DBA"/>
    <w:rsid w:val="00E70E3F"/>
    <w:rsid w:val="00E70EAF"/>
    <w:rsid w:val="00E71102"/>
    <w:rsid w:val="00E714BB"/>
    <w:rsid w:val="00E71806"/>
    <w:rsid w:val="00E71BDB"/>
    <w:rsid w:val="00E71E54"/>
    <w:rsid w:val="00E723B5"/>
    <w:rsid w:val="00E7245F"/>
    <w:rsid w:val="00E72856"/>
    <w:rsid w:val="00E7295A"/>
    <w:rsid w:val="00E72EFB"/>
    <w:rsid w:val="00E74039"/>
    <w:rsid w:val="00E74CC2"/>
    <w:rsid w:val="00E74DCC"/>
    <w:rsid w:val="00E74E4C"/>
    <w:rsid w:val="00E74E90"/>
    <w:rsid w:val="00E74EFC"/>
    <w:rsid w:val="00E7502A"/>
    <w:rsid w:val="00E7546B"/>
    <w:rsid w:val="00E75886"/>
    <w:rsid w:val="00E75C2E"/>
    <w:rsid w:val="00E75CA7"/>
    <w:rsid w:val="00E7619E"/>
    <w:rsid w:val="00E766E0"/>
    <w:rsid w:val="00E769EA"/>
    <w:rsid w:val="00E76F61"/>
    <w:rsid w:val="00E77925"/>
    <w:rsid w:val="00E77B55"/>
    <w:rsid w:val="00E77BC3"/>
    <w:rsid w:val="00E80419"/>
    <w:rsid w:val="00E8113C"/>
    <w:rsid w:val="00E8122B"/>
    <w:rsid w:val="00E82449"/>
    <w:rsid w:val="00E83038"/>
    <w:rsid w:val="00E832C2"/>
    <w:rsid w:val="00E83720"/>
    <w:rsid w:val="00E83B0F"/>
    <w:rsid w:val="00E83DAA"/>
    <w:rsid w:val="00E83F0B"/>
    <w:rsid w:val="00E841D3"/>
    <w:rsid w:val="00E84734"/>
    <w:rsid w:val="00E853A0"/>
    <w:rsid w:val="00E85E86"/>
    <w:rsid w:val="00E86083"/>
    <w:rsid w:val="00E86684"/>
    <w:rsid w:val="00E87106"/>
    <w:rsid w:val="00E8780E"/>
    <w:rsid w:val="00E87BFD"/>
    <w:rsid w:val="00E87E64"/>
    <w:rsid w:val="00E87FEF"/>
    <w:rsid w:val="00E90423"/>
    <w:rsid w:val="00E91184"/>
    <w:rsid w:val="00E91AEB"/>
    <w:rsid w:val="00E922D1"/>
    <w:rsid w:val="00E92707"/>
    <w:rsid w:val="00E92763"/>
    <w:rsid w:val="00E92CAA"/>
    <w:rsid w:val="00E92D57"/>
    <w:rsid w:val="00E92D66"/>
    <w:rsid w:val="00E9347A"/>
    <w:rsid w:val="00E93789"/>
    <w:rsid w:val="00E938D5"/>
    <w:rsid w:val="00E93D40"/>
    <w:rsid w:val="00E940A1"/>
    <w:rsid w:val="00E9488F"/>
    <w:rsid w:val="00E94A4B"/>
    <w:rsid w:val="00E94D19"/>
    <w:rsid w:val="00E95577"/>
    <w:rsid w:val="00E95F89"/>
    <w:rsid w:val="00E9653C"/>
    <w:rsid w:val="00E967BF"/>
    <w:rsid w:val="00E96DCD"/>
    <w:rsid w:val="00E97B8F"/>
    <w:rsid w:val="00E97EE5"/>
    <w:rsid w:val="00E97FEA"/>
    <w:rsid w:val="00EA03AD"/>
    <w:rsid w:val="00EA0CCF"/>
    <w:rsid w:val="00EA0E87"/>
    <w:rsid w:val="00EA1017"/>
    <w:rsid w:val="00EA1038"/>
    <w:rsid w:val="00EA10D2"/>
    <w:rsid w:val="00EA18C7"/>
    <w:rsid w:val="00EA1993"/>
    <w:rsid w:val="00EA2168"/>
    <w:rsid w:val="00EA2472"/>
    <w:rsid w:val="00EA2669"/>
    <w:rsid w:val="00EA2E4D"/>
    <w:rsid w:val="00EA38D4"/>
    <w:rsid w:val="00EA39AC"/>
    <w:rsid w:val="00EA3D9F"/>
    <w:rsid w:val="00EA40C8"/>
    <w:rsid w:val="00EA4C4B"/>
    <w:rsid w:val="00EA541E"/>
    <w:rsid w:val="00EA594D"/>
    <w:rsid w:val="00EA68B2"/>
    <w:rsid w:val="00EA6B7D"/>
    <w:rsid w:val="00EA6C42"/>
    <w:rsid w:val="00EA6CC5"/>
    <w:rsid w:val="00EA7198"/>
    <w:rsid w:val="00EA76A6"/>
    <w:rsid w:val="00EB002E"/>
    <w:rsid w:val="00EB0D8D"/>
    <w:rsid w:val="00EB0FA0"/>
    <w:rsid w:val="00EB1EB8"/>
    <w:rsid w:val="00EB26C6"/>
    <w:rsid w:val="00EB3E79"/>
    <w:rsid w:val="00EB4059"/>
    <w:rsid w:val="00EB4657"/>
    <w:rsid w:val="00EB4982"/>
    <w:rsid w:val="00EB4A95"/>
    <w:rsid w:val="00EB4DB7"/>
    <w:rsid w:val="00EB4EC4"/>
    <w:rsid w:val="00EB5287"/>
    <w:rsid w:val="00EB575F"/>
    <w:rsid w:val="00EB5919"/>
    <w:rsid w:val="00EB627C"/>
    <w:rsid w:val="00EB686C"/>
    <w:rsid w:val="00EB696D"/>
    <w:rsid w:val="00EB6A6E"/>
    <w:rsid w:val="00EB6BCC"/>
    <w:rsid w:val="00EB6D5F"/>
    <w:rsid w:val="00EB6EB1"/>
    <w:rsid w:val="00EB7BC3"/>
    <w:rsid w:val="00EB7F24"/>
    <w:rsid w:val="00EC066A"/>
    <w:rsid w:val="00EC06D5"/>
    <w:rsid w:val="00EC07C1"/>
    <w:rsid w:val="00EC0D50"/>
    <w:rsid w:val="00EC122C"/>
    <w:rsid w:val="00EC1520"/>
    <w:rsid w:val="00EC15F8"/>
    <w:rsid w:val="00EC1A6A"/>
    <w:rsid w:val="00EC2FCE"/>
    <w:rsid w:val="00EC3222"/>
    <w:rsid w:val="00EC3A88"/>
    <w:rsid w:val="00EC40F1"/>
    <w:rsid w:val="00EC41E2"/>
    <w:rsid w:val="00EC4B54"/>
    <w:rsid w:val="00EC5386"/>
    <w:rsid w:val="00EC53C4"/>
    <w:rsid w:val="00EC5BE8"/>
    <w:rsid w:val="00EC5DC2"/>
    <w:rsid w:val="00EC61E0"/>
    <w:rsid w:val="00EC6E18"/>
    <w:rsid w:val="00EC6EEE"/>
    <w:rsid w:val="00EC7445"/>
    <w:rsid w:val="00ED095D"/>
    <w:rsid w:val="00ED18B7"/>
    <w:rsid w:val="00ED19D6"/>
    <w:rsid w:val="00ED2564"/>
    <w:rsid w:val="00ED2E7C"/>
    <w:rsid w:val="00ED3302"/>
    <w:rsid w:val="00ED34FA"/>
    <w:rsid w:val="00ED352F"/>
    <w:rsid w:val="00ED36FE"/>
    <w:rsid w:val="00ED3A45"/>
    <w:rsid w:val="00ED3B70"/>
    <w:rsid w:val="00ED4773"/>
    <w:rsid w:val="00ED59E9"/>
    <w:rsid w:val="00ED5B0B"/>
    <w:rsid w:val="00ED5CA5"/>
    <w:rsid w:val="00ED5D1E"/>
    <w:rsid w:val="00ED64D4"/>
    <w:rsid w:val="00ED6AA3"/>
    <w:rsid w:val="00ED7196"/>
    <w:rsid w:val="00ED7222"/>
    <w:rsid w:val="00ED730C"/>
    <w:rsid w:val="00ED78D9"/>
    <w:rsid w:val="00ED7938"/>
    <w:rsid w:val="00ED7A64"/>
    <w:rsid w:val="00ED7ADF"/>
    <w:rsid w:val="00EE023C"/>
    <w:rsid w:val="00EE126E"/>
    <w:rsid w:val="00EE1CD1"/>
    <w:rsid w:val="00EE2054"/>
    <w:rsid w:val="00EE248F"/>
    <w:rsid w:val="00EE2571"/>
    <w:rsid w:val="00EE2CC2"/>
    <w:rsid w:val="00EE2CC4"/>
    <w:rsid w:val="00EE3282"/>
    <w:rsid w:val="00EE3AD2"/>
    <w:rsid w:val="00EE3CA1"/>
    <w:rsid w:val="00EE40AC"/>
    <w:rsid w:val="00EE42BE"/>
    <w:rsid w:val="00EE456C"/>
    <w:rsid w:val="00EE47FD"/>
    <w:rsid w:val="00EE499A"/>
    <w:rsid w:val="00EE4B8C"/>
    <w:rsid w:val="00EE4EF6"/>
    <w:rsid w:val="00EE5290"/>
    <w:rsid w:val="00EE5302"/>
    <w:rsid w:val="00EE682A"/>
    <w:rsid w:val="00EE6A1B"/>
    <w:rsid w:val="00EE74D0"/>
    <w:rsid w:val="00EE7ED9"/>
    <w:rsid w:val="00EF06A2"/>
    <w:rsid w:val="00EF0B52"/>
    <w:rsid w:val="00EF0D0D"/>
    <w:rsid w:val="00EF14C8"/>
    <w:rsid w:val="00EF1F4C"/>
    <w:rsid w:val="00EF201D"/>
    <w:rsid w:val="00EF215E"/>
    <w:rsid w:val="00EF24D7"/>
    <w:rsid w:val="00EF25E7"/>
    <w:rsid w:val="00EF2843"/>
    <w:rsid w:val="00EF2862"/>
    <w:rsid w:val="00EF2C6B"/>
    <w:rsid w:val="00EF3188"/>
    <w:rsid w:val="00EF329C"/>
    <w:rsid w:val="00EF359C"/>
    <w:rsid w:val="00EF367D"/>
    <w:rsid w:val="00EF3724"/>
    <w:rsid w:val="00EF3E3F"/>
    <w:rsid w:val="00EF3F63"/>
    <w:rsid w:val="00EF4A43"/>
    <w:rsid w:val="00EF4B5E"/>
    <w:rsid w:val="00EF54AF"/>
    <w:rsid w:val="00EF567D"/>
    <w:rsid w:val="00EF5E6F"/>
    <w:rsid w:val="00EF60CE"/>
    <w:rsid w:val="00EF6199"/>
    <w:rsid w:val="00EF63D3"/>
    <w:rsid w:val="00EF69A5"/>
    <w:rsid w:val="00EF6BA7"/>
    <w:rsid w:val="00EF6BEC"/>
    <w:rsid w:val="00EF6ED2"/>
    <w:rsid w:val="00EF763D"/>
    <w:rsid w:val="00F0019C"/>
    <w:rsid w:val="00F00C60"/>
    <w:rsid w:val="00F00CCC"/>
    <w:rsid w:val="00F00E7F"/>
    <w:rsid w:val="00F00EB4"/>
    <w:rsid w:val="00F012BD"/>
    <w:rsid w:val="00F018C1"/>
    <w:rsid w:val="00F01FF1"/>
    <w:rsid w:val="00F023A1"/>
    <w:rsid w:val="00F025E4"/>
    <w:rsid w:val="00F02D75"/>
    <w:rsid w:val="00F03CF5"/>
    <w:rsid w:val="00F03EA8"/>
    <w:rsid w:val="00F04936"/>
    <w:rsid w:val="00F04A22"/>
    <w:rsid w:val="00F05F8E"/>
    <w:rsid w:val="00F06312"/>
    <w:rsid w:val="00F068C8"/>
    <w:rsid w:val="00F0698C"/>
    <w:rsid w:val="00F06C7C"/>
    <w:rsid w:val="00F06D9F"/>
    <w:rsid w:val="00F0775D"/>
    <w:rsid w:val="00F07F4E"/>
    <w:rsid w:val="00F10064"/>
    <w:rsid w:val="00F106C6"/>
    <w:rsid w:val="00F10B83"/>
    <w:rsid w:val="00F10DB2"/>
    <w:rsid w:val="00F1137E"/>
    <w:rsid w:val="00F11834"/>
    <w:rsid w:val="00F11FC9"/>
    <w:rsid w:val="00F12B33"/>
    <w:rsid w:val="00F12E97"/>
    <w:rsid w:val="00F12FB3"/>
    <w:rsid w:val="00F13275"/>
    <w:rsid w:val="00F13BF0"/>
    <w:rsid w:val="00F14238"/>
    <w:rsid w:val="00F14CBC"/>
    <w:rsid w:val="00F14F66"/>
    <w:rsid w:val="00F15FA4"/>
    <w:rsid w:val="00F1603D"/>
    <w:rsid w:val="00F16204"/>
    <w:rsid w:val="00F1652F"/>
    <w:rsid w:val="00F1670A"/>
    <w:rsid w:val="00F16FA8"/>
    <w:rsid w:val="00F200EA"/>
    <w:rsid w:val="00F202F0"/>
    <w:rsid w:val="00F2033B"/>
    <w:rsid w:val="00F20503"/>
    <w:rsid w:val="00F21377"/>
    <w:rsid w:val="00F21A25"/>
    <w:rsid w:val="00F21BC1"/>
    <w:rsid w:val="00F21C4F"/>
    <w:rsid w:val="00F21E5E"/>
    <w:rsid w:val="00F2378D"/>
    <w:rsid w:val="00F2407D"/>
    <w:rsid w:val="00F245C7"/>
    <w:rsid w:val="00F24BE4"/>
    <w:rsid w:val="00F25253"/>
    <w:rsid w:val="00F258F1"/>
    <w:rsid w:val="00F25CE4"/>
    <w:rsid w:val="00F260CF"/>
    <w:rsid w:val="00F2695F"/>
    <w:rsid w:val="00F27450"/>
    <w:rsid w:val="00F27486"/>
    <w:rsid w:val="00F27EA7"/>
    <w:rsid w:val="00F27F71"/>
    <w:rsid w:val="00F30BD2"/>
    <w:rsid w:val="00F3123C"/>
    <w:rsid w:val="00F315A9"/>
    <w:rsid w:val="00F318B8"/>
    <w:rsid w:val="00F320F5"/>
    <w:rsid w:val="00F3232D"/>
    <w:rsid w:val="00F32F93"/>
    <w:rsid w:val="00F33B72"/>
    <w:rsid w:val="00F33D3F"/>
    <w:rsid w:val="00F34123"/>
    <w:rsid w:val="00F34180"/>
    <w:rsid w:val="00F34205"/>
    <w:rsid w:val="00F342CE"/>
    <w:rsid w:val="00F3435A"/>
    <w:rsid w:val="00F34689"/>
    <w:rsid w:val="00F34BD8"/>
    <w:rsid w:val="00F35AA1"/>
    <w:rsid w:val="00F35F3C"/>
    <w:rsid w:val="00F35FE9"/>
    <w:rsid w:val="00F366CD"/>
    <w:rsid w:val="00F374A1"/>
    <w:rsid w:val="00F375FE"/>
    <w:rsid w:val="00F40443"/>
    <w:rsid w:val="00F40933"/>
    <w:rsid w:val="00F40F07"/>
    <w:rsid w:val="00F41F44"/>
    <w:rsid w:val="00F4217C"/>
    <w:rsid w:val="00F423BF"/>
    <w:rsid w:val="00F4323F"/>
    <w:rsid w:val="00F44992"/>
    <w:rsid w:val="00F44A42"/>
    <w:rsid w:val="00F45045"/>
    <w:rsid w:val="00F459D6"/>
    <w:rsid w:val="00F4605E"/>
    <w:rsid w:val="00F461CE"/>
    <w:rsid w:val="00F46BF4"/>
    <w:rsid w:val="00F46D8A"/>
    <w:rsid w:val="00F473FC"/>
    <w:rsid w:val="00F4750C"/>
    <w:rsid w:val="00F47B73"/>
    <w:rsid w:val="00F50340"/>
    <w:rsid w:val="00F507D3"/>
    <w:rsid w:val="00F50927"/>
    <w:rsid w:val="00F51995"/>
    <w:rsid w:val="00F521CE"/>
    <w:rsid w:val="00F52C58"/>
    <w:rsid w:val="00F5327E"/>
    <w:rsid w:val="00F53603"/>
    <w:rsid w:val="00F53928"/>
    <w:rsid w:val="00F5488B"/>
    <w:rsid w:val="00F54895"/>
    <w:rsid w:val="00F54BDE"/>
    <w:rsid w:val="00F54CA3"/>
    <w:rsid w:val="00F55102"/>
    <w:rsid w:val="00F551F5"/>
    <w:rsid w:val="00F55627"/>
    <w:rsid w:val="00F55AFF"/>
    <w:rsid w:val="00F55D19"/>
    <w:rsid w:val="00F56BF2"/>
    <w:rsid w:val="00F570E1"/>
    <w:rsid w:val="00F572DC"/>
    <w:rsid w:val="00F57672"/>
    <w:rsid w:val="00F577AB"/>
    <w:rsid w:val="00F57E67"/>
    <w:rsid w:val="00F60006"/>
    <w:rsid w:val="00F604B6"/>
    <w:rsid w:val="00F60D5A"/>
    <w:rsid w:val="00F60DF5"/>
    <w:rsid w:val="00F6149A"/>
    <w:rsid w:val="00F61507"/>
    <w:rsid w:val="00F62076"/>
    <w:rsid w:val="00F6207B"/>
    <w:rsid w:val="00F62B71"/>
    <w:rsid w:val="00F62F26"/>
    <w:rsid w:val="00F62F46"/>
    <w:rsid w:val="00F63EE2"/>
    <w:rsid w:val="00F63FAF"/>
    <w:rsid w:val="00F6408B"/>
    <w:rsid w:val="00F640B3"/>
    <w:rsid w:val="00F6416B"/>
    <w:rsid w:val="00F648E7"/>
    <w:rsid w:val="00F652EB"/>
    <w:rsid w:val="00F65674"/>
    <w:rsid w:val="00F66DF7"/>
    <w:rsid w:val="00F67029"/>
    <w:rsid w:val="00F673CF"/>
    <w:rsid w:val="00F67DEC"/>
    <w:rsid w:val="00F717DD"/>
    <w:rsid w:val="00F72F5B"/>
    <w:rsid w:val="00F73796"/>
    <w:rsid w:val="00F74F34"/>
    <w:rsid w:val="00F75256"/>
    <w:rsid w:val="00F759F8"/>
    <w:rsid w:val="00F75A98"/>
    <w:rsid w:val="00F75D0D"/>
    <w:rsid w:val="00F767EB"/>
    <w:rsid w:val="00F76963"/>
    <w:rsid w:val="00F77752"/>
    <w:rsid w:val="00F777D9"/>
    <w:rsid w:val="00F77A06"/>
    <w:rsid w:val="00F77C79"/>
    <w:rsid w:val="00F80608"/>
    <w:rsid w:val="00F806EE"/>
    <w:rsid w:val="00F8195C"/>
    <w:rsid w:val="00F81DE0"/>
    <w:rsid w:val="00F8204E"/>
    <w:rsid w:val="00F828E5"/>
    <w:rsid w:val="00F8300E"/>
    <w:rsid w:val="00F83A45"/>
    <w:rsid w:val="00F83BB3"/>
    <w:rsid w:val="00F83CFC"/>
    <w:rsid w:val="00F83F14"/>
    <w:rsid w:val="00F83F98"/>
    <w:rsid w:val="00F84E9D"/>
    <w:rsid w:val="00F851A9"/>
    <w:rsid w:val="00F85F0E"/>
    <w:rsid w:val="00F85FDF"/>
    <w:rsid w:val="00F864E5"/>
    <w:rsid w:val="00F866EA"/>
    <w:rsid w:val="00F868AB"/>
    <w:rsid w:val="00F904B7"/>
    <w:rsid w:val="00F90525"/>
    <w:rsid w:val="00F90658"/>
    <w:rsid w:val="00F9098A"/>
    <w:rsid w:val="00F90A5D"/>
    <w:rsid w:val="00F90AC8"/>
    <w:rsid w:val="00F916A6"/>
    <w:rsid w:val="00F91734"/>
    <w:rsid w:val="00F917E7"/>
    <w:rsid w:val="00F91FFC"/>
    <w:rsid w:val="00F92192"/>
    <w:rsid w:val="00F92B77"/>
    <w:rsid w:val="00F9306B"/>
    <w:rsid w:val="00F9312C"/>
    <w:rsid w:val="00F93511"/>
    <w:rsid w:val="00F93E74"/>
    <w:rsid w:val="00F95838"/>
    <w:rsid w:val="00F9589C"/>
    <w:rsid w:val="00F95AAA"/>
    <w:rsid w:val="00F95D10"/>
    <w:rsid w:val="00F96136"/>
    <w:rsid w:val="00F9624B"/>
    <w:rsid w:val="00F966C8"/>
    <w:rsid w:val="00F96A60"/>
    <w:rsid w:val="00F9706B"/>
    <w:rsid w:val="00F9709E"/>
    <w:rsid w:val="00F97451"/>
    <w:rsid w:val="00F9748F"/>
    <w:rsid w:val="00FA0460"/>
    <w:rsid w:val="00FA0605"/>
    <w:rsid w:val="00FA081F"/>
    <w:rsid w:val="00FA0855"/>
    <w:rsid w:val="00FA0B9B"/>
    <w:rsid w:val="00FA10A3"/>
    <w:rsid w:val="00FA123D"/>
    <w:rsid w:val="00FA15DF"/>
    <w:rsid w:val="00FA1B69"/>
    <w:rsid w:val="00FA1DAB"/>
    <w:rsid w:val="00FA1FA4"/>
    <w:rsid w:val="00FA2200"/>
    <w:rsid w:val="00FA2499"/>
    <w:rsid w:val="00FA2E5C"/>
    <w:rsid w:val="00FA2F71"/>
    <w:rsid w:val="00FA38FC"/>
    <w:rsid w:val="00FA3BAA"/>
    <w:rsid w:val="00FA42B0"/>
    <w:rsid w:val="00FA43CA"/>
    <w:rsid w:val="00FA4FE3"/>
    <w:rsid w:val="00FA5784"/>
    <w:rsid w:val="00FA589A"/>
    <w:rsid w:val="00FA62CD"/>
    <w:rsid w:val="00FA6497"/>
    <w:rsid w:val="00FA64E4"/>
    <w:rsid w:val="00FA6999"/>
    <w:rsid w:val="00FA6DDA"/>
    <w:rsid w:val="00FA7C98"/>
    <w:rsid w:val="00FB0316"/>
    <w:rsid w:val="00FB0EE9"/>
    <w:rsid w:val="00FB1E28"/>
    <w:rsid w:val="00FB2405"/>
    <w:rsid w:val="00FB2A45"/>
    <w:rsid w:val="00FB2D00"/>
    <w:rsid w:val="00FB2E88"/>
    <w:rsid w:val="00FB2EB9"/>
    <w:rsid w:val="00FB33B2"/>
    <w:rsid w:val="00FB3CDB"/>
    <w:rsid w:val="00FB4FB3"/>
    <w:rsid w:val="00FB5091"/>
    <w:rsid w:val="00FB5714"/>
    <w:rsid w:val="00FB5858"/>
    <w:rsid w:val="00FB5F9C"/>
    <w:rsid w:val="00FB6D0C"/>
    <w:rsid w:val="00FB6F5D"/>
    <w:rsid w:val="00FB7AF9"/>
    <w:rsid w:val="00FB7FF8"/>
    <w:rsid w:val="00FC04FB"/>
    <w:rsid w:val="00FC1279"/>
    <w:rsid w:val="00FC15F0"/>
    <w:rsid w:val="00FC1A5C"/>
    <w:rsid w:val="00FC1E5F"/>
    <w:rsid w:val="00FC1EE1"/>
    <w:rsid w:val="00FC2005"/>
    <w:rsid w:val="00FC2313"/>
    <w:rsid w:val="00FC2415"/>
    <w:rsid w:val="00FC2931"/>
    <w:rsid w:val="00FC312B"/>
    <w:rsid w:val="00FC3746"/>
    <w:rsid w:val="00FC3A1F"/>
    <w:rsid w:val="00FC3A4D"/>
    <w:rsid w:val="00FC3A68"/>
    <w:rsid w:val="00FC3C2B"/>
    <w:rsid w:val="00FC3F20"/>
    <w:rsid w:val="00FC4000"/>
    <w:rsid w:val="00FC403F"/>
    <w:rsid w:val="00FC497C"/>
    <w:rsid w:val="00FC49F4"/>
    <w:rsid w:val="00FC4C90"/>
    <w:rsid w:val="00FC4C9D"/>
    <w:rsid w:val="00FC4FAF"/>
    <w:rsid w:val="00FC5150"/>
    <w:rsid w:val="00FC51D9"/>
    <w:rsid w:val="00FC5327"/>
    <w:rsid w:val="00FC5375"/>
    <w:rsid w:val="00FC53E3"/>
    <w:rsid w:val="00FC5915"/>
    <w:rsid w:val="00FC5DB7"/>
    <w:rsid w:val="00FC6231"/>
    <w:rsid w:val="00FC6C1E"/>
    <w:rsid w:val="00FC74EF"/>
    <w:rsid w:val="00FC7FEE"/>
    <w:rsid w:val="00FD0412"/>
    <w:rsid w:val="00FD0692"/>
    <w:rsid w:val="00FD089B"/>
    <w:rsid w:val="00FD0EB8"/>
    <w:rsid w:val="00FD2041"/>
    <w:rsid w:val="00FD357C"/>
    <w:rsid w:val="00FD3BAA"/>
    <w:rsid w:val="00FD3ED6"/>
    <w:rsid w:val="00FD561B"/>
    <w:rsid w:val="00FD576C"/>
    <w:rsid w:val="00FD6501"/>
    <w:rsid w:val="00FD6D7C"/>
    <w:rsid w:val="00FD78A7"/>
    <w:rsid w:val="00FE0668"/>
    <w:rsid w:val="00FE09A6"/>
    <w:rsid w:val="00FE0F90"/>
    <w:rsid w:val="00FE147D"/>
    <w:rsid w:val="00FE19D9"/>
    <w:rsid w:val="00FE28BE"/>
    <w:rsid w:val="00FE2AA4"/>
    <w:rsid w:val="00FE2ABA"/>
    <w:rsid w:val="00FE2CBF"/>
    <w:rsid w:val="00FE2DB6"/>
    <w:rsid w:val="00FE38C0"/>
    <w:rsid w:val="00FE3945"/>
    <w:rsid w:val="00FE3B53"/>
    <w:rsid w:val="00FE3CB3"/>
    <w:rsid w:val="00FE44B3"/>
    <w:rsid w:val="00FE4BAC"/>
    <w:rsid w:val="00FE4E80"/>
    <w:rsid w:val="00FE57D3"/>
    <w:rsid w:val="00FE5EEB"/>
    <w:rsid w:val="00FE69CA"/>
    <w:rsid w:val="00FE6F93"/>
    <w:rsid w:val="00FE77D6"/>
    <w:rsid w:val="00FE7B45"/>
    <w:rsid w:val="00FE7E08"/>
    <w:rsid w:val="00FE7FE9"/>
    <w:rsid w:val="00FF0188"/>
    <w:rsid w:val="00FF0C9F"/>
    <w:rsid w:val="00FF1492"/>
    <w:rsid w:val="00FF19D9"/>
    <w:rsid w:val="00FF2011"/>
    <w:rsid w:val="00FF3494"/>
    <w:rsid w:val="00FF3F9C"/>
    <w:rsid w:val="00FF4C7F"/>
    <w:rsid w:val="00FF52D8"/>
    <w:rsid w:val="00FF5EE8"/>
    <w:rsid w:val="00FF6015"/>
    <w:rsid w:val="00FF6666"/>
    <w:rsid w:val="00FF729E"/>
    <w:rsid w:val="01038B6B"/>
    <w:rsid w:val="010559D0"/>
    <w:rsid w:val="0128391B"/>
    <w:rsid w:val="012A4793"/>
    <w:rsid w:val="01514403"/>
    <w:rsid w:val="016D0D09"/>
    <w:rsid w:val="017610D8"/>
    <w:rsid w:val="017B9145"/>
    <w:rsid w:val="0182CE2D"/>
    <w:rsid w:val="01949AA3"/>
    <w:rsid w:val="01A7AC5A"/>
    <w:rsid w:val="01B17C91"/>
    <w:rsid w:val="01B2397F"/>
    <w:rsid w:val="01BBD68F"/>
    <w:rsid w:val="01DA8920"/>
    <w:rsid w:val="0223098C"/>
    <w:rsid w:val="022C44EE"/>
    <w:rsid w:val="022FC8C5"/>
    <w:rsid w:val="023978ED"/>
    <w:rsid w:val="0242D9DA"/>
    <w:rsid w:val="02496476"/>
    <w:rsid w:val="0298CC1D"/>
    <w:rsid w:val="02EE8C6B"/>
    <w:rsid w:val="02F4FB36"/>
    <w:rsid w:val="02FDFCAC"/>
    <w:rsid w:val="032A4DB8"/>
    <w:rsid w:val="035C1F5D"/>
    <w:rsid w:val="03686085"/>
    <w:rsid w:val="03739730"/>
    <w:rsid w:val="03761283"/>
    <w:rsid w:val="037C06F7"/>
    <w:rsid w:val="03A872CE"/>
    <w:rsid w:val="03BDE13D"/>
    <w:rsid w:val="03BFBA38"/>
    <w:rsid w:val="03C74717"/>
    <w:rsid w:val="03D6E6E2"/>
    <w:rsid w:val="03EBF2B5"/>
    <w:rsid w:val="04206BE9"/>
    <w:rsid w:val="04261CE3"/>
    <w:rsid w:val="04276E5F"/>
    <w:rsid w:val="04608553"/>
    <w:rsid w:val="0468B9CB"/>
    <w:rsid w:val="04A64AB6"/>
    <w:rsid w:val="04C687A5"/>
    <w:rsid w:val="04E737B7"/>
    <w:rsid w:val="051462B1"/>
    <w:rsid w:val="051F3AA9"/>
    <w:rsid w:val="052DBFD2"/>
    <w:rsid w:val="05346EA4"/>
    <w:rsid w:val="058DB169"/>
    <w:rsid w:val="0597293F"/>
    <w:rsid w:val="05A0FC51"/>
    <w:rsid w:val="05C4E02C"/>
    <w:rsid w:val="05DF09E1"/>
    <w:rsid w:val="05FF7BD9"/>
    <w:rsid w:val="0609C32A"/>
    <w:rsid w:val="0628F370"/>
    <w:rsid w:val="062B9E79"/>
    <w:rsid w:val="064FC44B"/>
    <w:rsid w:val="065F9F1C"/>
    <w:rsid w:val="066C424A"/>
    <w:rsid w:val="066D756F"/>
    <w:rsid w:val="067B09DA"/>
    <w:rsid w:val="067F0B11"/>
    <w:rsid w:val="067FD050"/>
    <w:rsid w:val="069646CB"/>
    <w:rsid w:val="06AF7224"/>
    <w:rsid w:val="06B07BD8"/>
    <w:rsid w:val="06B97908"/>
    <w:rsid w:val="06BB4D2B"/>
    <w:rsid w:val="06D5080A"/>
    <w:rsid w:val="06E3EE04"/>
    <w:rsid w:val="07156858"/>
    <w:rsid w:val="07359BAA"/>
    <w:rsid w:val="07385835"/>
    <w:rsid w:val="0745C9F0"/>
    <w:rsid w:val="0789C5F4"/>
    <w:rsid w:val="0791F473"/>
    <w:rsid w:val="07A9F7B3"/>
    <w:rsid w:val="07F89CD9"/>
    <w:rsid w:val="07FB4DF4"/>
    <w:rsid w:val="0821ED96"/>
    <w:rsid w:val="083714C9"/>
    <w:rsid w:val="085E596C"/>
    <w:rsid w:val="087BE24B"/>
    <w:rsid w:val="0886A104"/>
    <w:rsid w:val="08D17A67"/>
    <w:rsid w:val="08D49577"/>
    <w:rsid w:val="08F8CDF9"/>
    <w:rsid w:val="09122583"/>
    <w:rsid w:val="095774B2"/>
    <w:rsid w:val="0957B98E"/>
    <w:rsid w:val="098D9411"/>
    <w:rsid w:val="09ABFE10"/>
    <w:rsid w:val="09C42E9A"/>
    <w:rsid w:val="0A1DAC01"/>
    <w:rsid w:val="0A28164D"/>
    <w:rsid w:val="0A57E380"/>
    <w:rsid w:val="0A7EFDEA"/>
    <w:rsid w:val="0A914C97"/>
    <w:rsid w:val="0AC8070C"/>
    <w:rsid w:val="0AD6BF7C"/>
    <w:rsid w:val="0AF88F0F"/>
    <w:rsid w:val="0B03EE6D"/>
    <w:rsid w:val="0B2D0536"/>
    <w:rsid w:val="0B2F240E"/>
    <w:rsid w:val="0B371F96"/>
    <w:rsid w:val="0B37AD54"/>
    <w:rsid w:val="0B7792E0"/>
    <w:rsid w:val="0B848F5B"/>
    <w:rsid w:val="0BA592E5"/>
    <w:rsid w:val="0BC9CC07"/>
    <w:rsid w:val="0BF84631"/>
    <w:rsid w:val="0C2CFC85"/>
    <w:rsid w:val="0C4DEA72"/>
    <w:rsid w:val="0C4F8C34"/>
    <w:rsid w:val="0C4FA820"/>
    <w:rsid w:val="0C517459"/>
    <w:rsid w:val="0C914902"/>
    <w:rsid w:val="0C982F4A"/>
    <w:rsid w:val="0C9E9848"/>
    <w:rsid w:val="0CA9D3E4"/>
    <w:rsid w:val="0CDB224F"/>
    <w:rsid w:val="0CF02201"/>
    <w:rsid w:val="0CF06D17"/>
    <w:rsid w:val="0CFEC720"/>
    <w:rsid w:val="0D22B4D1"/>
    <w:rsid w:val="0D5E2D9C"/>
    <w:rsid w:val="0D71E39C"/>
    <w:rsid w:val="0D73E718"/>
    <w:rsid w:val="0DB4C6F9"/>
    <w:rsid w:val="0DC5CDEA"/>
    <w:rsid w:val="0DDFC8B0"/>
    <w:rsid w:val="0DDFF04B"/>
    <w:rsid w:val="0DECA567"/>
    <w:rsid w:val="0DEEE47C"/>
    <w:rsid w:val="0DEF3E3A"/>
    <w:rsid w:val="0E11626F"/>
    <w:rsid w:val="0E1943DD"/>
    <w:rsid w:val="0E266D2F"/>
    <w:rsid w:val="0E2DA73B"/>
    <w:rsid w:val="0E322D57"/>
    <w:rsid w:val="0E3DE47B"/>
    <w:rsid w:val="0E415D7D"/>
    <w:rsid w:val="0E51A944"/>
    <w:rsid w:val="0E650580"/>
    <w:rsid w:val="0E6D033B"/>
    <w:rsid w:val="0E91F653"/>
    <w:rsid w:val="0E924EC4"/>
    <w:rsid w:val="0E9C1BAD"/>
    <w:rsid w:val="0E9FE3D8"/>
    <w:rsid w:val="0EA4350B"/>
    <w:rsid w:val="0EC3FFAF"/>
    <w:rsid w:val="0EE02836"/>
    <w:rsid w:val="0F28CDE1"/>
    <w:rsid w:val="0F3DCE0F"/>
    <w:rsid w:val="0F64073F"/>
    <w:rsid w:val="0FA007F1"/>
    <w:rsid w:val="0FA44546"/>
    <w:rsid w:val="0FA615F7"/>
    <w:rsid w:val="0FA99FB6"/>
    <w:rsid w:val="0FBA7DA6"/>
    <w:rsid w:val="0FDC920B"/>
    <w:rsid w:val="10026D43"/>
    <w:rsid w:val="103F3A27"/>
    <w:rsid w:val="105193C3"/>
    <w:rsid w:val="10524DC3"/>
    <w:rsid w:val="1072CA32"/>
    <w:rsid w:val="1091CD64"/>
    <w:rsid w:val="109EBA8B"/>
    <w:rsid w:val="10BCC595"/>
    <w:rsid w:val="10F77575"/>
    <w:rsid w:val="11249441"/>
    <w:rsid w:val="11279E4F"/>
    <w:rsid w:val="11289E5F"/>
    <w:rsid w:val="115105DD"/>
    <w:rsid w:val="11617B73"/>
    <w:rsid w:val="11994F8E"/>
    <w:rsid w:val="11C8100D"/>
    <w:rsid w:val="11D5ECDA"/>
    <w:rsid w:val="11E4A7BC"/>
    <w:rsid w:val="12210AB8"/>
    <w:rsid w:val="12218520"/>
    <w:rsid w:val="123EC415"/>
    <w:rsid w:val="124C7A73"/>
    <w:rsid w:val="12561F65"/>
    <w:rsid w:val="126D60E8"/>
    <w:rsid w:val="1280EC2B"/>
    <w:rsid w:val="12886296"/>
    <w:rsid w:val="12933E72"/>
    <w:rsid w:val="12A141E0"/>
    <w:rsid w:val="12BF800B"/>
    <w:rsid w:val="12D8B44D"/>
    <w:rsid w:val="12F7A5A5"/>
    <w:rsid w:val="12FAE74B"/>
    <w:rsid w:val="1304B8F7"/>
    <w:rsid w:val="136F5A45"/>
    <w:rsid w:val="138B4F9E"/>
    <w:rsid w:val="139D9055"/>
    <w:rsid w:val="13A126B2"/>
    <w:rsid w:val="13A3723C"/>
    <w:rsid w:val="13BC188B"/>
    <w:rsid w:val="13BF1348"/>
    <w:rsid w:val="140A8DFC"/>
    <w:rsid w:val="141B2A05"/>
    <w:rsid w:val="144AFCB0"/>
    <w:rsid w:val="1457A53C"/>
    <w:rsid w:val="145A06C5"/>
    <w:rsid w:val="14976584"/>
    <w:rsid w:val="14A72619"/>
    <w:rsid w:val="14AC6CDE"/>
    <w:rsid w:val="150AC148"/>
    <w:rsid w:val="15143877"/>
    <w:rsid w:val="152F74FA"/>
    <w:rsid w:val="15324BA9"/>
    <w:rsid w:val="1536F6D3"/>
    <w:rsid w:val="153A4A1C"/>
    <w:rsid w:val="154EF7C7"/>
    <w:rsid w:val="1555CC26"/>
    <w:rsid w:val="15A58005"/>
    <w:rsid w:val="15AE025C"/>
    <w:rsid w:val="15B08E21"/>
    <w:rsid w:val="15B7B44E"/>
    <w:rsid w:val="15D1FEF2"/>
    <w:rsid w:val="15D45698"/>
    <w:rsid w:val="15DD555B"/>
    <w:rsid w:val="15EAD13C"/>
    <w:rsid w:val="16012F4D"/>
    <w:rsid w:val="16060892"/>
    <w:rsid w:val="160F8173"/>
    <w:rsid w:val="16277B8F"/>
    <w:rsid w:val="163635BB"/>
    <w:rsid w:val="1638FC09"/>
    <w:rsid w:val="1652DE38"/>
    <w:rsid w:val="1657B5BF"/>
    <w:rsid w:val="1666C21E"/>
    <w:rsid w:val="166AB0B4"/>
    <w:rsid w:val="16869F88"/>
    <w:rsid w:val="168B4F60"/>
    <w:rsid w:val="168CA8D5"/>
    <w:rsid w:val="16B8D6EF"/>
    <w:rsid w:val="16D0C562"/>
    <w:rsid w:val="16D92323"/>
    <w:rsid w:val="16DC787F"/>
    <w:rsid w:val="170430DF"/>
    <w:rsid w:val="17091BD5"/>
    <w:rsid w:val="171B2BEB"/>
    <w:rsid w:val="171DEE17"/>
    <w:rsid w:val="171E31D5"/>
    <w:rsid w:val="172715E4"/>
    <w:rsid w:val="1738ABCC"/>
    <w:rsid w:val="173CF0FA"/>
    <w:rsid w:val="1745EBBA"/>
    <w:rsid w:val="1758DE56"/>
    <w:rsid w:val="176D23AD"/>
    <w:rsid w:val="178EDB25"/>
    <w:rsid w:val="179047D1"/>
    <w:rsid w:val="17ABFB61"/>
    <w:rsid w:val="17B829C5"/>
    <w:rsid w:val="17BA3368"/>
    <w:rsid w:val="17E1DD18"/>
    <w:rsid w:val="1846444B"/>
    <w:rsid w:val="185A8377"/>
    <w:rsid w:val="187EB8C1"/>
    <w:rsid w:val="18A795B3"/>
    <w:rsid w:val="18BA1332"/>
    <w:rsid w:val="18C0D512"/>
    <w:rsid w:val="18EAADF6"/>
    <w:rsid w:val="19311266"/>
    <w:rsid w:val="193AFD36"/>
    <w:rsid w:val="193FF3AB"/>
    <w:rsid w:val="1948F800"/>
    <w:rsid w:val="194A54A9"/>
    <w:rsid w:val="194B3A04"/>
    <w:rsid w:val="195E3D35"/>
    <w:rsid w:val="19AB8D7C"/>
    <w:rsid w:val="19C25C30"/>
    <w:rsid w:val="1A0A1D62"/>
    <w:rsid w:val="1A12D6D2"/>
    <w:rsid w:val="1A1F6CE6"/>
    <w:rsid w:val="1A2E0978"/>
    <w:rsid w:val="1A495BF1"/>
    <w:rsid w:val="1A4CEEDF"/>
    <w:rsid w:val="1A50BA49"/>
    <w:rsid w:val="1A6F006B"/>
    <w:rsid w:val="1A7CBA07"/>
    <w:rsid w:val="1A7F61DA"/>
    <w:rsid w:val="1AA6B126"/>
    <w:rsid w:val="1AB649BD"/>
    <w:rsid w:val="1AC555C8"/>
    <w:rsid w:val="1ACAB265"/>
    <w:rsid w:val="1ACE6DC9"/>
    <w:rsid w:val="1AD2A872"/>
    <w:rsid w:val="1AD73135"/>
    <w:rsid w:val="1AF1D73D"/>
    <w:rsid w:val="1AF8E224"/>
    <w:rsid w:val="1B09EA45"/>
    <w:rsid w:val="1B0BFD1C"/>
    <w:rsid w:val="1B37F04E"/>
    <w:rsid w:val="1B5C8DCD"/>
    <w:rsid w:val="1B687FEB"/>
    <w:rsid w:val="1B73AD4C"/>
    <w:rsid w:val="1B77EB18"/>
    <w:rsid w:val="1B9B9C2A"/>
    <w:rsid w:val="1BA84ECC"/>
    <w:rsid w:val="1BA85848"/>
    <w:rsid w:val="1BB120F1"/>
    <w:rsid w:val="1BB311A0"/>
    <w:rsid w:val="1BB536E9"/>
    <w:rsid w:val="1BC405EE"/>
    <w:rsid w:val="1BD52A2C"/>
    <w:rsid w:val="1BE0C5E7"/>
    <w:rsid w:val="1BE70330"/>
    <w:rsid w:val="1BE81217"/>
    <w:rsid w:val="1BEBE14D"/>
    <w:rsid w:val="1C1AD7A6"/>
    <w:rsid w:val="1C3BC71E"/>
    <w:rsid w:val="1C634EAE"/>
    <w:rsid w:val="1C63C045"/>
    <w:rsid w:val="1C8E024A"/>
    <w:rsid w:val="1C9397CB"/>
    <w:rsid w:val="1CA2843B"/>
    <w:rsid w:val="1CB7A3CC"/>
    <w:rsid w:val="1CB854CA"/>
    <w:rsid w:val="1CBE166B"/>
    <w:rsid w:val="1CC5EF66"/>
    <w:rsid w:val="1CEFEDE5"/>
    <w:rsid w:val="1D118940"/>
    <w:rsid w:val="1D15A50D"/>
    <w:rsid w:val="1D29C8E9"/>
    <w:rsid w:val="1D429B95"/>
    <w:rsid w:val="1D55146A"/>
    <w:rsid w:val="1DBF051C"/>
    <w:rsid w:val="1DC7EC23"/>
    <w:rsid w:val="1DCAD1DD"/>
    <w:rsid w:val="1DDFF037"/>
    <w:rsid w:val="1DEBCB10"/>
    <w:rsid w:val="1DF99E18"/>
    <w:rsid w:val="1DFB1B31"/>
    <w:rsid w:val="1E126966"/>
    <w:rsid w:val="1E1A2B04"/>
    <w:rsid w:val="1E1BD462"/>
    <w:rsid w:val="1E2E08D0"/>
    <w:rsid w:val="1E3D9785"/>
    <w:rsid w:val="1E9BE515"/>
    <w:rsid w:val="1EA8C4B4"/>
    <w:rsid w:val="1EC05C7A"/>
    <w:rsid w:val="1EDEEB31"/>
    <w:rsid w:val="1EDF61D8"/>
    <w:rsid w:val="1F2AE371"/>
    <w:rsid w:val="1F33398E"/>
    <w:rsid w:val="1F6F36B2"/>
    <w:rsid w:val="1FB18D13"/>
    <w:rsid w:val="1FBCC8A1"/>
    <w:rsid w:val="2023BDD1"/>
    <w:rsid w:val="203841D7"/>
    <w:rsid w:val="203D1209"/>
    <w:rsid w:val="2064A34A"/>
    <w:rsid w:val="2068B4A8"/>
    <w:rsid w:val="206AAAE9"/>
    <w:rsid w:val="20AEC603"/>
    <w:rsid w:val="20BAA0F0"/>
    <w:rsid w:val="20BBB250"/>
    <w:rsid w:val="20C69FE6"/>
    <w:rsid w:val="20D341DF"/>
    <w:rsid w:val="20E725F6"/>
    <w:rsid w:val="21256120"/>
    <w:rsid w:val="2154731C"/>
    <w:rsid w:val="2163A49B"/>
    <w:rsid w:val="217769CD"/>
    <w:rsid w:val="21896973"/>
    <w:rsid w:val="21928A05"/>
    <w:rsid w:val="21A39C1A"/>
    <w:rsid w:val="21B56F3D"/>
    <w:rsid w:val="21FB3048"/>
    <w:rsid w:val="2203DE7B"/>
    <w:rsid w:val="2206142C"/>
    <w:rsid w:val="22183795"/>
    <w:rsid w:val="2234F0BE"/>
    <w:rsid w:val="223F8EF9"/>
    <w:rsid w:val="224504C2"/>
    <w:rsid w:val="2278A219"/>
    <w:rsid w:val="2278E687"/>
    <w:rsid w:val="2295BB5A"/>
    <w:rsid w:val="22AF8598"/>
    <w:rsid w:val="22B5AD06"/>
    <w:rsid w:val="22BC3FB2"/>
    <w:rsid w:val="22E18481"/>
    <w:rsid w:val="22F742F8"/>
    <w:rsid w:val="231D43A7"/>
    <w:rsid w:val="23226C7A"/>
    <w:rsid w:val="2365FB15"/>
    <w:rsid w:val="2367FD86"/>
    <w:rsid w:val="2371D495"/>
    <w:rsid w:val="237A9165"/>
    <w:rsid w:val="239CF719"/>
    <w:rsid w:val="23C21F41"/>
    <w:rsid w:val="23C70D47"/>
    <w:rsid w:val="23E12773"/>
    <w:rsid w:val="23E3B78F"/>
    <w:rsid w:val="23F1A770"/>
    <w:rsid w:val="240EAE85"/>
    <w:rsid w:val="2413E765"/>
    <w:rsid w:val="2422340E"/>
    <w:rsid w:val="24252A41"/>
    <w:rsid w:val="2463993D"/>
    <w:rsid w:val="246467A8"/>
    <w:rsid w:val="2477BF56"/>
    <w:rsid w:val="2483C221"/>
    <w:rsid w:val="2488396B"/>
    <w:rsid w:val="249624F3"/>
    <w:rsid w:val="24A5620B"/>
    <w:rsid w:val="24C56258"/>
    <w:rsid w:val="24E437AF"/>
    <w:rsid w:val="24E67007"/>
    <w:rsid w:val="24EAD174"/>
    <w:rsid w:val="2523EE30"/>
    <w:rsid w:val="25297239"/>
    <w:rsid w:val="2542A085"/>
    <w:rsid w:val="2542A086"/>
    <w:rsid w:val="2557AC25"/>
    <w:rsid w:val="257D51A1"/>
    <w:rsid w:val="25A70CD5"/>
    <w:rsid w:val="25B6D13E"/>
    <w:rsid w:val="25C971BC"/>
    <w:rsid w:val="25D7A7A2"/>
    <w:rsid w:val="260DADCC"/>
    <w:rsid w:val="26108EED"/>
    <w:rsid w:val="26585D94"/>
    <w:rsid w:val="265BBD60"/>
    <w:rsid w:val="26665110"/>
    <w:rsid w:val="26805F6F"/>
    <w:rsid w:val="26970F7F"/>
    <w:rsid w:val="269FA28B"/>
    <w:rsid w:val="26A29CE4"/>
    <w:rsid w:val="26ACAB83"/>
    <w:rsid w:val="26AEA98F"/>
    <w:rsid w:val="26E018F7"/>
    <w:rsid w:val="26F6DB98"/>
    <w:rsid w:val="26FCD8C3"/>
    <w:rsid w:val="271B712F"/>
    <w:rsid w:val="2723F1D4"/>
    <w:rsid w:val="27840542"/>
    <w:rsid w:val="278A5652"/>
    <w:rsid w:val="279CD79A"/>
    <w:rsid w:val="27CB14D2"/>
    <w:rsid w:val="27F79023"/>
    <w:rsid w:val="283A0FDD"/>
    <w:rsid w:val="283A969A"/>
    <w:rsid w:val="283C07DE"/>
    <w:rsid w:val="284C623A"/>
    <w:rsid w:val="286091D0"/>
    <w:rsid w:val="287126AB"/>
    <w:rsid w:val="289963D0"/>
    <w:rsid w:val="28A5C2B7"/>
    <w:rsid w:val="28BCA50A"/>
    <w:rsid w:val="28CF37E8"/>
    <w:rsid w:val="28F14E13"/>
    <w:rsid w:val="28F16701"/>
    <w:rsid w:val="28FCB716"/>
    <w:rsid w:val="296B8048"/>
    <w:rsid w:val="296BC7ED"/>
    <w:rsid w:val="297A8C1E"/>
    <w:rsid w:val="298FE984"/>
    <w:rsid w:val="29977C8C"/>
    <w:rsid w:val="29C130BE"/>
    <w:rsid w:val="29C5FA57"/>
    <w:rsid w:val="29CBFE5E"/>
    <w:rsid w:val="29D54DB9"/>
    <w:rsid w:val="29F23407"/>
    <w:rsid w:val="2A270B88"/>
    <w:rsid w:val="2A4AA904"/>
    <w:rsid w:val="2A8E6DFB"/>
    <w:rsid w:val="2A949CEC"/>
    <w:rsid w:val="2AA03987"/>
    <w:rsid w:val="2AAD09CD"/>
    <w:rsid w:val="2AAE2EFE"/>
    <w:rsid w:val="2AC53A26"/>
    <w:rsid w:val="2ACC73BB"/>
    <w:rsid w:val="2AD2C19E"/>
    <w:rsid w:val="2AF91D1C"/>
    <w:rsid w:val="2B07E2A5"/>
    <w:rsid w:val="2B1977AD"/>
    <w:rsid w:val="2B3E0172"/>
    <w:rsid w:val="2B5B1488"/>
    <w:rsid w:val="2B88373D"/>
    <w:rsid w:val="2B93C242"/>
    <w:rsid w:val="2BA22AC4"/>
    <w:rsid w:val="2BA8B74F"/>
    <w:rsid w:val="2BC16E3F"/>
    <w:rsid w:val="2BDA429A"/>
    <w:rsid w:val="2BFD4302"/>
    <w:rsid w:val="2C23BEC6"/>
    <w:rsid w:val="2C2FD8C5"/>
    <w:rsid w:val="2C311C02"/>
    <w:rsid w:val="2C4B9775"/>
    <w:rsid w:val="2C9823AA"/>
    <w:rsid w:val="2CD0F721"/>
    <w:rsid w:val="2CE5D4CA"/>
    <w:rsid w:val="2CFEF73A"/>
    <w:rsid w:val="2D3072A0"/>
    <w:rsid w:val="2D50F593"/>
    <w:rsid w:val="2D6104ED"/>
    <w:rsid w:val="2D62E093"/>
    <w:rsid w:val="2D8C7C90"/>
    <w:rsid w:val="2DA2CA99"/>
    <w:rsid w:val="2DB62BDD"/>
    <w:rsid w:val="2DC37D83"/>
    <w:rsid w:val="2DEC8C51"/>
    <w:rsid w:val="2E05EF81"/>
    <w:rsid w:val="2E0B678A"/>
    <w:rsid w:val="2E170C7E"/>
    <w:rsid w:val="2E1F91A2"/>
    <w:rsid w:val="2E2801F1"/>
    <w:rsid w:val="2E3E46E0"/>
    <w:rsid w:val="2E88D971"/>
    <w:rsid w:val="2E970E7B"/>
    <w:rsid w:val="2E9BE741"/>
    <w:rsid w:val="2EC594E5"/>
    <w:rsid w:val="2EDE5EA7"/>
    <w:rsid w:val="2EE1B9BA"/>
    <w:rsid w:val="2EF87F79"/>
    <w:rsid w:val="2EFFCF66"/>
    <w:rsid w:val="2F03E480"/>
    <w:rsid w:val="2F0B3239"/>
    <w:rsid w:val="2F96AD67"/>
    <w:rsid w:val="2F9DF528"/>
    <w:rsid w:val="2FB3F0B1"/>
    <w:rsid w:val="2FD03ACC"/>
    <w:rsid w:val="2FD5BC54"/>
    <w:rsid w:val="2FE2F4B8"/>
    <w:rsid w:val="2FEF0954"/>
    <w:rsid w:val="2FF0A1E4"/>
    <w:rsid w:val="2FFFC5AA"/>
    <w:rsid w:val="30069B62"/>
    <w:rsid w:val="30255859"/>
    <w:rsid w:val="305F773C"/>
    <w:rsid w:val="306F1241"/>
    <w:rsid w:val="307CCB03"/>
    <w:rsid w:val="30C7BA3D"/>
    <w:rsid w:val="30DE4692"/>
    <w:rsid w:val="30F08C10"/>
    <w:rsid w:val="30FED5EC"/>
    <w:rsid w:val="310147A1"/>
    <w:rsid w:val="313F5B72"/>
    <w:rsid w:val="3184CA9C"/>
    <w:rsid w:val="31BDD781"/>
    <w:rsid w:val="31D2056F"/>
    <w:rsid w:val="31DEC54C"/>
    <w:rsid w:val="31F35F71"/>
    <w:rsid w:val="3209EA21"/>
    <w:rsid w:val="320B582B"/>
    <w:rsid w:val="3242609B"/>
    <w:rsid w:val="328B73CD"/>
    <w:rsid w:val="32DB7465"/>
    <w:rsid w:val="32DFB0F2"/>
    <w:rsid w:val="32F08B6C"/>
    <w:rsid w:val="330102BB"/>
    <w:rsid w:val="330B5301"/>
    <w:rsid w:val="331400DF"/>
    <w:rsid w:val="336D845D"/>
    <w:rsid w:val="337D48F3"/>
    <w:rsid w:val="337D86CA"/>
    <w:rsid w:val="338685D7"/>
    <w:rsid w:val="33AC3596"/>
    <w:rsid w:val="33C2F5A5"/>
    <w:rsid w:val="33CD689C"/>
    <w:rsid w:val="33D28E69"/>
    <w:rsid w:val="33DF564E"/>
    <w:rsid w:val="340F25D9"/>
    <w:rsid w:val="34396A2D"/>
    <w:rsid w:val="34410640"/>
    <w:rsid w:val="3450BA7C"/>
    <w:rsid w:val="34580745"/>
    <w:rsid w:val="34648F59"/>
    <w:rsid w:val="349C08D4"/>
    <w:rsid w:val="349EE8B5"/>
    <w:rsid w:val="3512D992"/>
    <w:rsid w:val="351CD91A"/>
    <w:rsid w:val="351F02CC"/>
    <w:rsid w:val="353BEE3B"/>
    <w:rsid w:val="357EFDC0"/>
    <w:rsid w:val="35A0A440"/>
    <w:rsid w:val="35A98BA8"/>
    <w:rsid w:val="35A9B4CB"/>
    <w:rsid w:val="35AC28F0"/>
    <w:rsid w:val="362519F7"/>
    <w:rsid w:val="362B757F"/>
    <w:rsid w:val="362CABF9"/>
    <w:rsid w:val="36348C9B"/>
    <w:rsid w:val="365B7EA8"/>
    <w:rsid w:val="3689BAEA"/>
    <w:rsid w:val="3689DF6F"/>
    <w:rsid w:val="369CC6F5"/>
    <w:rsid w:val="36B0FF55"/>
    <w:rsid w:val="36D0E942"/>
    <w:rsid w:val="36E10B1C"/>
    <w:rsid w:val="370DB3A7"/>
    <w:rsid w:val="3712AA27"/>
    <w:rsid w:val="3743C720"/>
    <w:rsid w:val="3744DA09"/>
    <w:rsid w:val="37460E9B"/>
    <w:rsid w:val="3749E15A"/>
    <w:rsid w:val="374EA3A0"/>
    <w:rsid w:val="37A1E67D"/>
    <w:rsid w:val="37B24BB6"/>
    <w:rsid w:val="37CF8718"/>
    <w:rsid w:val="37EA24C8"/>
    <w:rsid w:val="37EC55D3"/>
    <w:rsid w:val="3825CF60"/>
    <w:rsid w:val="383EA52C"/>
    <w:rsid w:val="38861535"/>
    <w:rsid w:val="3886836B"/>
    <w:rsid w:val="38A9B9D9"/>
    <w:rsid w:val="38A9D915"/>
    <w:rsid w:val="38B3A8F9"/>
    <w:rsid w:val="38C4EBCE"/>
    <w:rsid w:val="38CBF151"/>
    <w:rsid w:val="391F6170"/>
    <w:rsid w:val="3920A79D"/>
    <w:rsid w:val="39238360"/>
    <w:rsid w:val="39383108"/>
    <w:rsid w:val="393E3417"/>
    <w:rsid w:val="394F911B"/>
    <w:rsid w:val="396E3821"/>
    <w:rsid w:val="39910D8D"/>
    <w:rsid w:val="39BD6E38"/>
    <w:rsid w:val="39CC3EE5"/>
    <w:rsid w:val="3A1363A8"/>
    <w:rsid w:val="3A15D104"/>
    <w:rsid w:val="3A1C36D6"/>
    <w:rsid w:val="3A244917"/>
    <w:rsid w:val="3A5CED9C"/>
    <w:rsid w:val="3A661663"/>
    <w:rsid w:val="3A6875F3"/>
    <w:rsid w:val="3A79ECDF"/>
    <w:rsid w:val="3A88FF6E"/>
    <w:rsid w:val="3A8DE7B0"/>
    <w:rsid w:val="3AA679C1"/>
    <w:rsid w:val="3AA78183"/>
    <w:rsid w:val="3AB9A26F"/>
    <w:rsid w:val="3ABAF56C"/>
    <w:rsid w:val="3AC68EAA"/>
    <w:rsid w:val="3AD00FA5"/>
    <w:rsid w:val="3B0CC8EC"/>
    <w:rsid w:val="3B0F1EFD"/>
    <w:rsid w:val="3B186123"/>
    <w:rsid w:val="3B58682B"/>
    <w:rsid w:val="3B666718"/>
    <w:rsid w:val="3B7261A9"/>
    <w:rsid w:val="3BEDB0E8"/>
    <w:rsid w:val="3BEFC715"/>
    <w:rsid w:val="3BF0A324"/>
    <w:rsid w:val="3BF1008F"/>
    <w:rsid w:val="3C398296"/>
    <w:rsid w:val="3C4CF3E3"/>
    <w:rsid w:val="3C635039"/>
    <w:rsid w:val="3C72C11F"/>
    <w:rsid w:val="3C7412B7"/>
    <w:rsid w:val="3C787328"/>
    <w:rsid w:val="3CA12831"/>
    <w:rsid w:val="3CC36522"/>
    <w:rsid w:val="3D0ABA6F"/>
    <w:rsid w:val="3D2C9076"/>
    <w:rsid w:val="3D3A0F00"/>
    <w:rsid w:val="3D6A3BFD"/>
    <w:rsid w:val="3D72433B"/>
    <w:rsid w:val="3D96829B"/>
    <w:rsid w:val="3DAAE042"/>
    <w:rsid w:val="3DBB43FE"/>
    <w:rsid w:val="3DCAD50C"/>
    <w:rsid w:val="3E0BC39E"/>
    <w:rsid w:val="3E117009"/>
    <w:rsid w:val="3E376230"/>
    <w:rsid w:val="3E4B5E44"/>
    <w:rsid w:val="3E5B11B8"/>
    <w:rsid w:val="3E673213"/>
    <w:rsid w:val="3EB1160C"/>
    <w:rsid w:val="3EC20EC0"/>
    <w:rsid w:val="3EC51202"/>
    <w:rsid w:val="3F0A651E"/>
    <w:rsid w:val="3F21B24F"/>
    <w:rsid w:val="3F31A1E5"/>
    <w:rsid w:val="3F6E38A4"/>
    <w:rsid w:val="3F97CBE4"/>
    <w:rsid w:val="3F987A21"/>
    <w:rsid w:val="3F989D80"/>
    <w:rsid w:val="3FBF0DD5"/>
    <w:rsid w:val="3FCE0E49"/>
    <w:rsid w:val="3FD75804"/>
    <w:rsid w:val="3FF11AF0"/>
    <w:rsid w:val="3FF9163C"/>
    <w:rsid w:val="3FFC5E85"/>
    <w:rsid w:val="4008DB20"/>
    <w:rsid w:val="4010BA96"/>
    <w:rsid w:val="4012AF84"/>
    <w:rsid w:val="4014062E"/>
    <w:rsid w:val="40153F80"/>
    <w:rsid w:val="4015BE37"/>
    <w:rsid w:val="401DF988"/>
    <w:rsid w:val="402CAF60"/>
    <w:rsid w:val="4034CCE9"/>
    <w:rsid w:val="4038FFEC"/>
    <w:rsid w:val="404A7ADA"/>
    <w:rsid w:val="4063C7BA"/>
    <w:rsid w:val="40689F8A"/>
    <w:rsid w:val="406FD7E0"/>
    <w:rsid w:val="4081434E"/>
    <w:rsid w:val="409E8465"/>
    <w:rsid w:val="40C0CB9D"/>
    <w:rsid w:val="40D36674"/>
    <w:rsid w:val="40D6E888"/>
    <w:rsid w:val="40D70686"/>
    <w:rsid w:val="40F815B0"/>
    <w:rsid w:val="4139A327"/>
    <w:rsid w:val="4154F66E"/>
    <w:rsid w:val="415F1B9F"/>
    <w:rsid w:val="416E3D75"/>
    <w:rsid w:val="4184CC9C"/>
    <w:rsid w:val="41862E64"/>
    <w:rsid w:val="4186E05D"/>
    <w:rsid w:val="41974B3E"/>
    <w:rsid w:val="419C5A27"/>
    <w:rsid w:val="41C26833"/>
    <w:rsid w:val="41C41502"/>
    <w:rsid w:val="41E66B1A"/>
    <w:rsid w:val="41F6FDAA"/>
    <w:rsid w:val="422D2A40"/>
    <w:rsid w:val="423444B5"/>
    <w:rsid w:val="4258BE30"/>
    <w:rsid w:val="4262EA7A"/>
    <w:rsid w:val="4263F33A"/>
    <w:rsid w:val="428A2E55"/>
    <w:rsid w:val="428BE65C"/>
    <w:rsid w:val="42904A3D"/>
    <w:rsid w:val="42947AA4"/>
    <w:rsid w:val="42975A0F"/>
    <w:rsid w:val="42D4E3A8"/>
    <w:rsid w:val="433BF6BC"/>
    <w:rsid w:val="437085D9"/>
    <w:rsid w:val="43821568"/>
    <w:rsid w:val="43A61030"/>
    <w:rsid w:val="43B9A6C2"/>
    <w:rsid w:val="43D13FA6"/>
    <w:rsid w:val="43DFCA9D"/>
    <w:rsid w:val="43E78FED"/>
    <w:rsid w:val="43EA8897"/>
    <w:rsid w:val="43EE1D1B"/>
    <w:rsid w:val="440E1D23"/>
    <w:rsid w:val="44279541"/>
    <w:rsid w:val="44568532"/>
    <w:rsid w:val="4456A225"/>
    <w:rsid w:val="44743F0C"/>
    <w:rsid w:val="448979D0"/>
    <w:rsid w:val="44AE69A3"/>
    <w:rsid w:val="44BCB642"/>
    <w:rsid w:val="44F25A38"/>
    <w:rsid w:val="44F4021A"/>
    <w:rsid w:val="44FED232"/>
    <w:rsid w:val="4510F3AF"/>
    <w:rsid w:val="452B60AB"/>
    <w:rsid w:val="45429957"/>
    <w:rsid w:val="45471837"/>
    <w:rsid w:val="454A8041"/>
    <w:rsid w:val="454BD50C"/>
    <w:rsid w:val="45539DB4"/>
    <w:rsid w:val="4567B2B8"/>
    <w:rsid w:val="456AEE64"/>
    <w:rsid w:val="457F2541"/>
    <w:rsid w:val="45854A22"/>
    <w:rsid w:val="45A55A0C"/>
    <w:rsid w:val="45CF5A01"/>
    <w:rsid w:val="45D7BE90"/>
    <w:rsid w:val="45DEF356"/>
    <w:rsid w:val="45E957F9"/>
    <w:rsid w:val="45F06717"/>
    <w:rsid w:val="45F3061C"/>
    <w:rsid w:val="46061DBA"/>
    <w:rsid w:val="46147F83"/>
    <w:rsid w:val="466345D2"/>
    <w:rsid w:val="4675452E"/>
    <w:rsid w:val="46C70C89"/>
    <w:rsid w:val="46CAB956"/>
    <w:rsid w:val="46D59BAF"/>
    <w:rsid w:val="46D785DA"/>
    <w:rsid w:val="46E01CC9"/>
    <w:rsid w:val="46E79AD9"/>
    <w:rsid w:val="470A16C0"/>
    <w:rsid w:val="4711D351"/>
    <w:rsid w:val="471553FA"/>
    <w:rsid w:val="471E76F8"/>
    <w:rsid w:val="471F3414"/>
    <w:rsid w:val="47354C4D"/>
    <w:rsid w:val="477896A3"/>
    <w:rsid w:val="477AD166"/>
    <w:rsid w:val="47878F18"/>
    <w:rsid w:val="4790250E"/>
    <w:rsid w:val="47BE7092"/>
    <w:rsid w:val="47BF21AF"/>
    <w:rsid w:val="47FDEDE1"/>
    <w:rsid w:val="480BC2A3"/>
    <w:rsid w:val="480BF126"/>
    <w:rsid w:val="481D921B"/>
    <w:rsid w:val="4825E1AC"/>
    <w:rsid w:val="488E1C66"/>
    <w:rsid w:val="48A66ACE"/>
    <w:rsid w:val="48A6D75D"/>
    <w:rsid w:val="48C511DB"/>
    <w:rsid w:val="48D08C19"/>
    <w:rsid w:val="48F49275"/>
    <w:rsid w:val="49058406"/>
    <w:rsid w:val="492E7F68"/>
    <w:rsid w:val="494B1639"/>
    <w:rsid w:val="49566A09"/>
    <w:rsid w:val="49639993"/>
    <w:rsid w:val="49769371"/>
    <w:rsid w:val="49B9EEAC"/>
    <w:rsid w:val="49C39DE5"/>
    <w:rsid w:val="49E5312A"/>
    <w:rsid w:val="49ECC033"/>
    <w:rsid w:val="49F7DCA2"/>
    <w:rsid w:val="4A072250"/>
    <w:rsid w:val="4A1CFAE4"/>
    <w:rsid w:val="4A247730"/>
    <w:rsid w:val="4A2DC937"/>
    <w:rsid w:val="4A3CE6CD"/>
    <w:rsid w:val="4A51FAEF"/>
    <w:rsid w:val="4A798BCC"/>
    <w:rsid w:val="4A8C925F"/>
    <w:rsid w:val="4A9D815A"/>
    <w:rsid w:val="4ACE95CC"/>
    <w:rsid w:val="4AD4FA4A"/>
    <w:rsid w:val="4AF15FCC"/>
    <w:rsid w:val="4AFDE919"/>
    <w:rsid w:val="4B0EF6E8"/>
    <w:rsid w:val="4B132A94"/>
    <w:rsid w:val="4B14DCC7"/>
    <w:rsid w:val="4B4E2DE7"/>
    <w:rsid w:val="4B83E803"/>
    <w:rsid w:val="4B9CF080"/>
    <w:rsid w:val="4BBD41EF"/>
    <w:rsid w:val="4BBED512"/>
    <w:rsid w:val="4BE9C53E"/>
    <w:rsid w:val="4BF93B16"/>
    <w:rsid w:val="4C0CC062"/>
    <w:rsid w:val="4C31B9C9"/>
    <w:rsid w:val="4C3FB5B5"/>
    <w:rsid w:val="4C48DA9A"/>
    <w:rsid w:val="4C603A98"/>
    <w:rsid w:val="4C6D8CD4"/>
    <w:rsid w:val="4C8898F5"/>
    <w:rsid w:val="4CDB17C4"/>
    <w:rsid w:val="4CDCDD10"/>
    <w:rsid w:val="4CE2146E"/>
    <w:rsid w:val="4CF4BD06"/>
    <w:rsid w:val="4CF7ED47"/>
    <w:rsid w:val="4CFF6F50"/>
    <w:rsid w:val="4D1D6F42"/>
    <w:rsid w:val="4D1E9B70"/>
    <w:rsid w:val="4D378605"/>
    <w:rsid w:val="4D49606D"/>
    <w:rsid w:val="4D599AA1"/>
    <w:rsid w:val="4D8396E9"/>
    <w:rsid w:val="4DA4FD6E"/>
    <w:rsid w:val="4DBA0377"/>
    <w:rsid w:val="4DC80ABE"/>
    <w:rsid w:val="4DCB157C"/>
    <w:rsid w:val="4E002A7F"/>
    <w:rsid w:val="4E18EFCB"/>
    <w:rsid w:val="4E6644F3"/>
    <w:rsid w:val="4EAD69A1"/>
    <w:rsid w:val="4EB6C4D2"/>
    <w:rsid w:val="4EC4E9D7"/>
    <w:rsid w:val="4EFF986D"/>
    <w:rsid w:val="4F1BEAB4"/>
    <w:rsid w:val="4F35C68D"/>
    <w:rsid w:val="4F51793B"/>
    <w:rsid w:val="4F56C235"/>
    <w:rsid w:val="4F712083"/>
    <w:rsid w:val="4F81CBA4"/>
    <w:rsid w:val="4F99AF2B"/>
    <w:rsid w:val="4F9E3481"/>
    <w:rsid w:val="4FAA6BD4"/>
    <w:rsid w:val="4FBDBF73"/>
    <w:rsid w:val="4FDE806B"/>
    <w:rsid w:val="4FE7144A"/>
    <w:rsid w:val="4FFE44DF"/>
    <w:rsid w:val="501FE15C"/>
    <w:rsid w:val="5030095F"/>
    <w:rsid w:val="5046BEDB"/>
    <w:rsid w:val="504BBC8E"/>
    <w:rsid w:val="50790C7F"/>
    <w:rsid w:val="5097175F"/>
    <w:rsid w:val="50A26554"/>
    <w:rsid w:val="50E6125C"/>
    <w:rsid w:val="510BA9C6"/>
    <w:rsid w:val="51183D37"/>
    <w:rsid w:val="511C0386"/>
    <w:rsid w:val="511EBA0C"/>
    <w:rsid w:val="5140041D"/>
    <w:rsid w:val="51518F91"/>
    <w:rsid w:val="5155E957"/>
    <w:rsid w:val="515B2229"/>
    <w:rsid w:val="516833FE"/>
    <w:rsid w:val="51832A62"/>
    <w:rsid w:val="5192FB15"/>
    <w:rsid w:val="5193675E"/>
    <w:rsid w:val="51B88693"/>
    <w:rsid w:val="51C34CC8"/>
    <w:rsid w:val="521E2A7B"/>
    <w:rsid w:val="52263F49"/>
    <w:rsid w:val="52328FD5"/>
    <w:rsid w:val="525600E4"/>
    <w:rsid w:val="5265372F"/>
    <w:rsid w:val="52690442"/>
    <w:rsid w:val="527A770A"/>
    <w:rsid w:val="528C9344"/>
    <w:rsid w:val="52A3A701"/>
    <w:rsid w:val="52A59565"/>
    <w:rsid w:val="52D5E10D"/>
    <w:rsid w:val="52E8D090"/>
    <w:rsid w:val="52F7371F"/>
    <w:rsid w:val="53107884"/>
    <w:rsid w:val="532900AA"/>
    <w:rsid w:val="5334559E"/>
    <w:rsid w:val="5391721E"/>
    <w:rsid w:val="5395B5F4"/>
    <w:rsid w:val="539F7C33"/>
    <w:rsid w:val="53BA3A2A"/>
    <w:rsid w:val="53BCAFA5"/>
    <w:rsid w:val="53C59CC7"/>
    <w:rsid w:val="5417AB3E"/>
    <w:rsid w:val="543F161F"/>
    <w:rsid w:val="5486327F"/>
    <w:rsid w:val="5490CB24"/>
    <w:rsid w:val="54A38D94"/>
    <w:rsid w:val="54AE5870"/>
    <w:rsid w:val="54D75A87"/>
    <w:rsid w:val="54D97B0F"/>
    <w:rsid w:val="550452BE"/>
    <w:rsid w:val="55219D15"/>
    <w:rsid w:val="55337791"/>
    <w:rsid w:val="553EFF5D"/>
    <w:rsid w:val="5549882D"/>
    <w:rsid w:val="5575A17B"/>
    <w:rsid w:val="5589BBB7"/>
    <w:rsid w:val="55944A77"/>
    <w:rsid w:val="55B3DE1F"/>
    <w:rsid w:val="55D0843B"/>
    <w:rsid w:val="55E0F441"/>
    <w:rsid w:val="55EDBC41"/>
    <w:rsid w:val="5636F217"/>
    <w:rsid w:val="565C8023"/>
    <w:rsid w:val="56641252"/>
    <w:rsid w:val="566BCDBB"/>
    <w:rsid w:val="56755FCE"/>
    <w:rsid w:val="56820AE2"/>
    <w:rsid w:val="56B9E262"/>
    <w:rsid w:val="56C0264A"/>
    <w:rsid w:val="56CF5225"/>
    <w:rsid w:val="56E85A38"/>
    <w:rsid w:val="56F90839"/>
    <w:rsid w:val="56FD6604"/>
    <w:rsid w:val="57038F2C"/>
    <w:rsid w:val="571CDD3D"/>
    <w:rsid w:val="57228E0A"/>
    <w:rsid w:val="577E92CC"/>
    <w:rsid w:val="577F4657"/>
    <w:rsid w:val="57B63BEF"/>
    <w:rsid w:val="57C77124"/>
    <w:rsid w:val="57F3D3D8"/>
    <w:rsid w:val="57F8246A"/>
    <w:rsid w:val="57FDDB26"/>
    <w:rsid w:val="580758B7"/>
    <w:rsid w:val="581A2748"/>
    <w:rsid w:val="582433B7"/>
    <w:rsid w:val="5855E86E"/>
    <w:rsid w:val="586DCC5D"/>
    <w:rsid w:val="58725FAE"/>
    <w:rsid w:val="5873D666"/>
    <w:rsid w:val="588CF435"/>
    <w:rsid w:val="58A606F8"/>
    <w:rsid w:val="58B8841E"/>
    <w:rsid w:val="58C9D5D1"/>
    <w:rsid w:val="58D1275E"/>
    <w:rsid w:val="58D6C216"/>
    <w:rsid w:val="58E26FD6"/>
    <w:rsid w:val="58FAFC79"/>
    <w:rsid w:val="5906FC59"/>
    <w:rsid w:val="59088690"/>
    <w:rsid w:val="59159B01"/>
    <w:rsid w:val="591A6127"/>
    <w:rsid w:val="5921BFF9"/>
    <w:rsid w:val="592804E2"/>
    <w:rsid w:val="59398FE5"/>
    <w:rsid w:val="593E70BD"/>
    <w:rsid w:val="59401102"/>
    <w:rsid w:val="595D2A2B"/>
    <w:rsid w:val="59E1BC64"/>
    <w:rsid w:val="5A08702F"/>
    <w:rsid w:val="5A1C98EA"/>
    <w:rsid w:val="5A3C903F"/>
    <w:rsid w:val="5A4963C1"/>
    <w:rsid w:val="5A4BE429"/>
    <w:rsid w:val="5A5CA7BD"/>
    <w:rsid w:val="5A60CF3B"/>
    <w:rsid w:val="5A670477"/>
    <w:rsid w:val="5A6F54AB"/>
    <w:rsid w:val="5A7984D3"/>
    <w:rsid w:val="5A802A9F"/>
    <w:rsid w:val="5ABB4E9E"/>
    <w:rsid w:val="5AC3C874"/>
    <w:rsid w:val="5B1B8B6B"/>
    <w:rsid w:val="5B2B4B6A"/>
    <w:rsid w:val="5B2D1E33"/>
    <w:rsid w:val="5B5A6096"/>
    <w:rsid w:val="5B664B18"/>
    <w:rsid w:val="5B889713"/>
    <w:rsid w:val="5B98DB8A"/>
    <w:rsid w:val="5BAD2860"/>
    <w:rsid w:val="5C229D51"/>
    <w:rsid w:val="5C3C5EC4"/>
    <w:rsid w:val="5C458287"/>
    <w:rsid w:val="5C76E6B5"/>
    <w:rsid w:val="5C78E072"/>
    <w:rsid w:val="5C7F6F05"/>
    <w:rsid w:val="5C87A398"/>
    <w:rsid w:val="5CC9146D"/>
    <w:rsid w:val="5CD1851C"/>
    <w:rsid w:val="5D1D8D93"/>
    <w:rsid w:val="5D410E1B"/>
    <w:rsid w:val="5D598F91"/>
    <w:rsid w:val="5D61F9BB"/>
    <w:rsid w:val="5D6B95B0"/>
    <w:rsid w:val="5D6D3133"/>
    <w:rsid w:val="5D792DF0"/>
    <w:rsid w:val="5DA68EF3"/>
    <w:rsid w:val="5DABEA44"/>
    <w:rsid w:val="5DD4803A"/>
    <w:rsid w:val="5DE1A1D5"/>
    <w:rsid w:val="5DE6AF9D"/>
    <w:rsid w:val="5DF04620"/>
    <w:rsid w:val="5DF92E7D"/>
    <w:rsid w:val="5E1D4B30"/>
    <w:rsid w:val="5E24EDB1"/>
    <w:rsid w:val="5E29CF95"/>
    <w:rsid w:val="5E471177"/>
    <w:rsid w:val="5E7595F1"/>
    <w:rsid w:val="5EAD85D2"/>
    <w:rsid w:val="5ED8628A"/>
    <w:rsid w:val="5ED8A3AA"/>
    <w:rsid w:val="5EEEC62A"/>
    <w:rsid w:val="5F28508C"/>
    <w:rsid w:val="5F89F2C0"/>
    <w:rsid w:val="5F916701"/>
    <w:rsid w:val="5FA8F973"/>
    <w:rsid w:val="5FDD10E9"/>
    <w:rsid w:val="60042572"/>
    <w:rsid w:val="60406459"/>
    <w:rsid w:val="6043A507"/>
    <w:rsid w:val="6046AC98"/>
    <w:rsid w:val="604703D2"/>
    <w:rsid w:val="604C3314"/>
    <w:rsid w:val="604E0AF9"/>
    <w:rsid w:val="607189A9"/>
    <w:rsid w:val="6091058E"/>
    <w:rsid w:val="60A377E4"/>
    <w:rsid w:val="60A5604F"/>
    <w:rsid w:val="60A9708B"/>
    <w:rsid w:val="60BD251E"/>
    <w:rsid w:val="611D2C66"/>
    <w:rsid w:val="612A5BD9"/>
    <w:rsid w:val="613B9B54"/>
    <w:rsid w:val="61481568"/>
    <w:rsid w:val="6152F915"/>
    <w:rsid w:val="615B2E9C"/>
    <w:rsid w:val="617E884F"/>
    <w:rsid w:val="619EFA23"/>
    <w:rsid w:val="61AFCE5A"/>
    <w:rsid w:val="61B1C55C"/>
    <w:rsid w:val="61BDEBCB"/>
    <w:rsid w:val="61DBA1E3"/>
    <w:rsid w:val="61FEDF00"/>
    <w:rsid w:val="6216A90C"/>
    <w:rsid w:val="621728D4"/>
    <w:rsid w:val="623A7E06"/>
    <w:rsid w:val="6255FA85"/>
    <w:rsid w:val="625BD9EC"/>
    <w:rsid w:val="626D6032"/>
    <w:rsid w:val="6288125A"/>
    <w:rsid w:val="629831DF"/>
    <w:rsid w:val="62C0A122"/>
    <w:rsid w:val="62C1D01C"/>
    <w:rsid w:val="62C45A7C"/>
    <w:rsid w:val="62CCBE85"/>
    <w:rsid w:val="62D1198E"/>
    <w:rsid w:val="6300A213"/>
    <w:rsid w:val="6314D6BE"/>
    <w:rsid w:val="6323B465"/>
    <w:rsid w:val="63330B0B"/>
    <w:rsid w:val="636D4F9F"/>
    <w:rsid w:val="636F3E81"/>
    <w:rsid w:val="63A81066"/>
    <w:rsid w:val="63CF599F"/>
    <w:rsid w:val="63D5B095"/>
    <w:rsid w:val="63E0A0A6"/>
    <w:rsid w:val="63EA6503"/>
    <w:rsid w:val="63F6A2BD"/>
    <w:rsid w:val="63FA4014"/>
    <w:rsid w:val="640F1A57"/>
    <w:rsid w:val="641D4230"/>
    <w:rsid w:val="641FC282"/>
    <w:rsid w:val="64200D09"/>
    <w:rsid w:val="64441DF5"/>
    <w:rsid w:val="64590428"/>
    <w:rsid w:val="646B7F4A"/>
    <w:rsid w:val="647062F6"/>
    <w:rsid w:val="6470A9E5"/>
    <w:rsid w:val="649C0C18"/>
    <w:rsid w:val="64A15CB8"/>
    <w:rsid w:val="64C25E6A"/>
    <w:rsid w:val="64FA8A28"/>
    <w:rsid w:val="65350507"/>
    <w:rsid w:val="654C86C9"/>
    <w:rsid w:val="657D6827"/>
    <w:rsid w:val="65888EDB"/>
    <w:rsid w:val="6596832C"/>
    <w:rsid w:val="659D9169"/>
    <w:rsid w:val="65B00969"/>
    <w:rsid w:val="65CFD987"/>
    <w:rsid w:val="65FB92F0"/>
    <w:rsid w:val="66084FDC"/>
    <w:rsid w:val="6632DFF9"/>
    <w:rsid w:val="66543071"/>
    <w:rsid w:val="6659696A"/>
    <w:rsid w:val="665A5FD3"/>
    <w:rsid w:val="66B540A3"/>
    <w:rsid w:val="66C2A86E"/>
    <w:rsid w:val="66EFB280"/>
    <w:rsid w:val="66F8DC8C"/>
    <w:rsid w:val="67016509"/>
    <w:rsid w:val="671B881E"/>
    <w:rsid w:val="6722178D"/>
    <w:rsid w:val="6723783D"/>
    <w:rsid w:val="6739E95F"/>
    <w:rsid w:val="677FE83D"/>
    <w:rsid w:val="678C93F2"/>
    <w:rsid w:val="67A4FEB7"/>
    <w:rsid w:val="67AE69B4"/>
    <w:rsid w:val="67B61C1F"/>
    <w:rsid w:val="67F5239A"/>
    <w:rsid w:val="680AB2A3"/>
    <w:rsid w:val="6823931E"/>
    <w:rsid w:val="6831071B"/>
    <w:rsid w:val="6851C054"/>
    <w:rsid w:val="68548E5A"/>
    <w:rsid w:val="685BB4CA"/>
    <w:rsid w:val="68A05B61"/>
    <w:rsid w:val="68B1800F"/>
    <w:rsid w:val="68C84837"/>
    <w:rsid w:val="68CE8195"/>
    <w:rsid w:val="693C6A01"/>
    <w:rsid w:val="6949510E"/>
    <w:rsid w:val="69578021"/>
    <w:rsid w:val="69863429"/>
    <w:rsid w:val="699DB849"/>
    <w:rsid w:val="69C64CE8"/>
    <w:rsid w:val="69CAA63C"/>
    <w:rsid w:val="69CD13E0"/>
    <w:rsid w:val="69CD592D"/>
    <w:rsid w:val="69EC6E49"/>
    <w:rsid w:val="69EF2D08"/>
    <w:rsid w:val="6A01F5A4"/>
    <w:rsid w:val="6A22176C"/>
    <w:rsid w:val="6A464764"/>
    <w:rsid w:val="6A5F42A0"/>
    <w:rsid w:val="6A85B244"/>
    <w:rsid w:val="6A9A26F6"/>
    <w:rsid w:val="6AA25C31"/>
    <w:rsid w:val="6ADA6A4D"/>
    <w:rsid w:val="6ADDC4C3"/>
    <w:rsid w:val="6AE09EE6"/>
    <w:rsid w:val="6AE8D3EE"/>
    <w:rsid w:val="6B2F239F"/>
    <w:rsid w:val="6B3A3125"/>
    <w:rsid w:val="6B40022E"/>
    <w:rsid w:val="6B46640B"/>
    <w:rsid w:val="6B4C5C37"/>
    <w:rsid w:val="6B59EB40"/>
    <w:rsid w:val="6B64C23E"/>
    <w:rsid w:val="6B6A9F48"/>
    <w:rsid w:val="6B6E971E"/>
    <w:rsid w:val="6B6FD616"/>
    <w:rsid w:val="6B7A215F"/>
    <w:rsid w:val="6B8B3CF2"/>
    <w:rsid w:val="6BA9DFEE"/>
    <w:rsid w:val="6BBC03E1"/>
    <w:rsid w:val="6BC1B96B"/>
    <w:rsid w:val="6BD0F5CC"/>
    <w:rsid w:val="6BFAD7D8"/>
    <w:rsid w:val="6BFBEA89"/>
    <w:rsid w:val="6C26DBF7"/>
    <w:rsid w:val="6C2EDB7D"/>
    <w:rsid w:val="6C370604"/>
    <w:rsid w:val="6C496F0F"/>
    <w:rsid w:val="6C54B7D5"/>
    <w:rsid w:val="6C7B3B0D"/>
    <w:rsid w:val="6C840127"/>
    <w:rsid w:val="6C95363E"/>
    <w:rsid w:val="6CC3E2D2"/>
    <w:rsid w:val="6CD261AE"/>
    <w:rsid w:val="6CEFB11B"/>
    <w:rsid w:val="6CFD8DDD"/>
    <w:rsid w:val="6D0F176A"/>
    <w:rsid w:val="6D259B36"/>
    <w:rsid w:val="6D373BEF"/>
    <w:rsid w:val="6D3C148B"/>
    <w:rsid w:val="6D4C7D5C"/>
    <w:rsid w:val="6D61BC6B"/>
    <w:rsid w:val="6D75177A"/>
    <w:rsid w:val="6D75D8BC"/>
    <w:rsid w:val="6D770052"/>
    <w:rsid w:val="6D81E147"/>
    <w:rsid w:val="6DB0E390"/>
    <w:rsid w:val="6DE3AA03"/>
    <w:rsid w:val="6DEB6EC8"/>
    <w:rsid w:val="6DF948DE"/>
    <w:rsid w:val="6E02FEAB"/>
    <w:rsid w:val="6E11A144"/>
    <w:rsid w:val="6E18F8BB"/>
    <w:rsid w:val="6E225366"/>
    <w:rsid w:val="6E4FEA87"/>
    <w:rsid w:val="6E684BE9"/>
    <w:rsid w:val="6E79CDC6"/>
    <w:rsid w:val="6E9028BA"/>
    <w:rsid w:val="6E969E13"/>
    <w:rsid w:val="6EB9D85C"/>
    <w:rsid w:val="6EDC0851"/>
    <w:rsid w:val="6EEAF92C"/>
    <w:rsid w:val="6EEFFD95"/>
    <w:rsid w:val="6EF7AB74"/>
    <w:rsid w:val="6F0669F2"/>
    <w:rsid w:val="6F076F35"/>
    <w:rsid w:val="6F1C5113"/>
    <w:rsid w:val="6F27FB89"/>
    <w:rsid w:val="6F3BEEC9"/>
    <w:rsid w:val="6F468C12"/>
    <w:rsid w:val="6F4942D1"/>
    <w:rsid w:val="6F4A24A8"/>
    <w:rsid w:val="6F6CB051"/>
    <w:rsid w:val="6F89DCCB"/>
    <w:rsid w:val="6FB5B76F"/>
    <w:rsid w:val="6FDCDD11"/>
    <w:rsid w:val="6FE1B1F2"/>
    <w:rsid w:val="6FE6A9DA"/>
    <w:rsid w:val="7019D5F6"/>
    <w:rsid w:val="7032AA84"/>
    <w:rsid w:val="70491DE8"/>
    <w:rsid w:val="706A6A63"/>
    <w:rsid w:val="708E28E6"/>
    <w:rsid w:val="70CE170F"/>
    <w:rsid w:val="70FD5EB5"/>
    <w:rsid w:val="7138876B"/>
    <w:rsid w:val="714833B0"/>
    <w:rsid w:val="715487DB"/>
    <w:rsid w:val="71560FD6"/>
    <w:rsid w:val="71572C15"/>
    <w:rsid w:val="715E8969"/>
    <w:rsid w:val="717D6B22"/>
    <w:rsid w:val="71BDA308"/>
    <w:rsid w:val="71C677E6"/>
    <w:rsid w:val="71CD6872"/>
    <w:rsid w:val="71D89928"/>
    <w:rsid w:val="71DDF477"/>
    <w:rsid w:val="71E29CFE"/>
    <w:rsid w:val="723FC924"/>
    <w:rsid w:val="7246DA70"/>
    <w:rsid w:val="725B9310"/>
    <w:rsid w:val="726DE4EB"/>
    <w:rsid w:val="7273C3A0"/>
    <w:rsid w:val="7278B54B"/>
    <w:rsid w:val="7278F13A"/>
    <w:rsid w:val="7298EFA3"/>
    <w:rsid w:val="7299EBB3"/>
    <w:rsid w:val="72A75E6A"/>
    <w:rsid w:val="72E914B8"/>
    <w:rsid w:val="72EB750C"/>
    <w:rsid w:val="72ED02C1"/>
    <w:rsid w:val="72F3818F"/>
    <w:rsid w:val="72FFBA03"/>
    <w:rsid w:val="7330C6D3"/>
    <w:rsid w:val="733596B0"/>
    <w:rsid w:val="7335F79C"/>
    <w:rsid w:val="73515014"/>
    <w:rsid w:val="73584B63"/>
    <w:rsid w:val="73587B8F"/>
    <w:rsid w:val="7363F399"/>
    <w:rsid w:val="736CCB25"/>
    <w:rsid w:val="7383F72A"/>
    <w:rsid w:val="73A787E1"/>
    <w:rsid w:val="73AD7576"/>
    <w:rsid w:val="73B95AF0"/>
    <w:rsid w:val="73E5E33D"/>
    <w:rsid w:val="73F6D9BD"/>
    <w:rsid w:val="73F837C5"/>
    <w:rsid w:val="740FD627"/>
    <w:rsid w:val="74476B97"/>
    <w:rsid w:val="7448A440"/>
    <w:rsid w:val="744F3E0B"/>
    <w:rsid w:val="7467A94C"/>
    <w:rsid w:val="7475E847"/>
    <w:rsid w:val="7491E569"/>
    <w:rsid w:val="74DEF40B"/>
    <w:rsid w:val="750B6CE5"/>
    <w:rsid w:val="751F220B"/>
    <w:rsid w:val="7525437B"/>
    <w:rsid w:val="753DC64C"/>
    <w:rsid w:val="756BB46A"/>
    <w:rsid w:val="759201CE"/>
    <w:rsid w:val="7597C148"/>
    <w:rsid w:val="76100DC9"/>
    <w:rsid w:val="76199908"/>
    <w:rsid w:val="7633D833"/>
    <w:rsid w:val="7688CF69"/>
    <w:rsid w:val="769DBF6A"/>
    <w:rsid w:val="76A40AC7"/>
    <w:rsid w:val="76C9D8D7"/>
    <w:rsid w:val="76CE93B9"/>
    <w:rsid w:val="76DDAD41"/>
    <w:rsid w:val="76E7793C"/>
    <w:rsid w:val="76F47539"/>
    <w:rsid w:val="771F108B"/>
    <w:rsid w:val="77224532"/>
    <w:rsid w:val="77328F16"/>
    <w:rsid w:val="773CC18F"/>
    <w:rsid w:val="774BE394"/>
    <w:rsid w:val="774F978E"/>
    <w:rsid w:val="7754B907"/>
    <w:rsid w:val="778791DC"/>
    <w:rsid w:val="7799C51A"/>
    <w:rsid w:val="779AD00B"/>
    <w:rsid w:val="77C1B2F3"/>
    <w:rsid w:val="77DCA94D"/>
    <w:rsid w:val="77E41EBC"/>
    <w:rsid w:val="77ECB5DB"/>
    <w:rsid w:val="77F95C15"/>
    <w:rsid w:val="781E6021"/>
    <w:rsid w:val="785E8060"/>
    <w:rsid w:val="78689AAB"/>
    <w:rsid w:val="78705AE0"/>
    <w:rsid w:val="789D8AAF"/>
    <w:rsid w:val="78BB18AC"/>
    <w:rsid w:val="78BE99FE"/>
    <w:rsid w:val="78C86FF2"/>
    <w:rsid w:val="78D33940"/>
    <w:rsid w:val="78F6BA46"/>
    <w:rsid w:val="78F6FE4B"/>
    <w:rsid w:val="79941AEA"/>
    <w:rsid w:val="7995D1AE"/>
    <w:rsid w:val="79D5F066"/>
    <w:rsid w:val="79D89C63"/>
    <w:rsid w:val="79E27989"/>
    <w:rsid w:val="7A1A5208"/>
    <w:rsid w:val="7A417BC6"/>
    <w:rsid w:val="7A61E8FC"/>
    <w:rsid w:val="7A713637"/>
    <w:rsid w:val="7A837EA6"/>
    <w:rsid w:val="7AAD114B"/>
    <w:rsid w:val="7AAD233A"/>
    <w:rsid w:val="7AB19883"/>
    <w:rsid w:val="7AE091A2"/>
    <w:rsid w:val="7AE82B0B"/>
    <w:rsid w:val="7AF216EB"/>
    <w:rsid w:val="7AF79B55"/>
    <w:rsid w:val="7B08B588"/>
    <w:rsid w:val="7B25A96F"/>
    <w:rsid w:val="7B3F2F81"/>
    <w:rsid w:val="7B8B0AE6"/>
    <w:rsid w:val="7B972E72"/>
    <w:rsid w:val="7B9C6BAB"/>
    <w:rsid w:val="7BB2F42C"/>
    <w:rsid w:val="7BCF511F"/>
    <w:rsid w:val="7BE7CC02"/>
    <w:rsid w:val="7C11B9AA"/>
    <w:rsid w:val="7C15E5A9"/>
    <w:rsid w:val="7C24D9DB"/>
    <w:rsid w:val="7C3492A9"/>
    <w:rsid w:val="7C3A963E"/>
    <w:rsid w:val="7C7BBAB0"/>
    <w:rsid w:val="7C8DB8C3"/>
    <w:rsid w:val="7CB8C88D"/>
    <w:rsid w:val="7CBBE62E"/>
    <w:rsid w:val="7CCFF28D"/>
    <w:rsid w:val="7CDEB5B4"/>
    <w:rsid w:val="7CEB7042"/>
    <w:rsid w:val="7CF9B35F"/>
    <w:rsid w:val="7D414067"/>
    <w:rsid w:val="7D532655"/>
    <w:rsid w:val="7D7E14E2"/>
    <w:rsid w:val="7D97DB31"/>
    <w:rsid w:val="7DA9CA11"/>
    <w:rsid w:val="7DDB4323"/>
    <w:rsid w:val="7E30FC7B"/>
    <w:rsid w:val="7E5116FE"/>
    <w:rsid w:val="7E9C7463"/>
    <w:rsid w:val="7ED879D3"/>
    <w:rsid w:val="7ED93C65"/>
    <w:rsid w:val="7EEACED8"/>
    <w:rsid w:val="7F020102"/>
    <w:rsid w:val="7F1A886B"/>
    <w:rsid w:val="7F2CD22B"/>
    <w:rsid w:val="7F2D8054"/>
    <w:rsid w:val="7F30E0E3"/>
    <w:rsid w:val="7F9BF5B5"/>
    <w:rsid w:val="7FAFAAFF"/>
    <w:rsid w:val="7FE372FA"/>
    <w:rsid w:val="7FF7AAFC"/>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B1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hu-HU"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trefCharCharCharCharCharCharCharCharChar"/>
    <w:uiPriority w:val="99"/>
    <w:unhideWhenUsed/>
    <w:qFormat/>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line="240" w:lineRule="exact"/>
      <w:jc w:val="both"/>
    </w:pPr>
    <w:rPr>
      <w:vertAlign w:val="superscript"/>
    </w:rPr>
  </w:style>
  <w:style w:type="character" w:styleId="FollowedHyperlink">
    <w:name w:val="FollowedHyperlink"/>
    <w:uiPriority w:val="99"/>
    <w:semiHidden/>
    <w:unhideWhenUsed/>
    <w:rPr>
      <w:color w:val="800080"/>
      <w:u w:val="single"/>
    </w:rPr>
  </w:style>
  <w:style w:type="character" w:styleId="Hyperlink">
    <w:name w:val="Hyperlink"/>
    <w:uiPriority w:val="99"/>
    <w:rPr>
      <w:color w:val="0000FF"/>
      <w:u w:val="single"/>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ingle space,FOOTNO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NormalWeb">
    <w:name w:val="Normal (Web)"/>
    <w:uiPriority w:val="99"/>
    <w:unhideWhenUsed/>
    <w:pPr>
      <w:spacing w:beforeAutospacing="1" w:afterAutospacing="1"/>
    </w:pPr>
    <w:rPr>
      <w:sz w:val="24"/>
      <w:szCs w:val="24"/>
      <w:lang w:eastAsia="zh-CN"/>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Marker">
    <w:name w:val="Marker"/>
    <w:basedOn w:val="DefaultParagraphFont"/>
    <w:rPr>
      <w:color w:val="0000FF"/>
      <w:shd w:val="clear" w:color="auto" w:fill="auto"/>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eastAsiaTheme="minorHAnsi"/>
      <w:sz w:val="28"/>
      <w:szCs w:val="22"/>
      <w:lang w:eastAsia="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Pr>
      <w:sz w:val="20"/>
      <w:szCs w:val="20"/>
    </w:rPr>
  </w:style>
  <w:style w:type="character" w:customStyle="1" w:styleId="FootnoteTextChar1">
    <w:name w:val="Footnote Text Char1"/>
    <w:basedOn w:val="DefaultParagraphFont"/>
    <w:uiPriority w:val="99"/>
    <w:semiHidden/>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Revision1">
    <w:name w:val="Revision1"/>
    <w:hidden/>
    <w:uiPriority w:val="99"/>
    <w:semiHidden/>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2">
    <w:name w:val="Unresolved Mention2"/>
    <w:basedOn w:val="DefaultParagraphFont"/>
    <w:uiPriority w:val="99"/>
    <w:semiHidden/>
    <w:unhideWhenUsed/>
    <w:rsid w:val="008E2C3F"/>
    <w:rPr>
      <w:color w:val="605E5C"/>
      <w:shd w:val="clear" w:color="auto" w:fill="E1DFDD"/>
    </w:rPr>
  </w:style>
  <w:style w:type="paragraph" w:styleId="Revision">
    <w:name w:val="Revision"/>
    <w:hidden/>
    <w:uiPriority w:val="99"/>
    <w:unhideWhenUsed/>
    <w:rsid w:val="002E134E"/>
    <w:rPr>
      <w:rFonts w:asciiTheme="minorHAnsi" w:eastAsiaTheme="minorHAnsi" w:hAnsiTheme="minorHAnsi" w:cstheme="minorBidi"/>
      <w:sz w:val="22"/>
      <w:szCs w:val="22"/>
      <w:lang w:eastAsia="en-US"/>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anguesfaisantfoi">
    <w:name w:val="Langues faisant foi"/>
    <w:basedOn w:val="Normal"/>
    <w:next w:val="Normal"/>
    <w:rsid w:val="001D2041"/>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1D2041"/>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1D2041"/>
    <w:pPr>
      <w:spacing w:after="0"/>
    </w:pPr>
  </w:style>
  <w:style w:type="paragraph" w:customStyle="1" w:styleId="IntrtEEEPagedecouverture">
    <w:name w:val="Intérêt EEE (Page de couverture)"/>
    <w:basedOn w:val="IntrtEEE"/>
    <w:next w:val="Normal"/>
    <w:rsid w:val="001D2041"/>
  </w:style>
  <w:style w:type="paragraph" w:styleId="BalloonText">
    <w:name w:val="Balloon Text"/>
    <w:basedOn w:val="Normal"/>
    <w:link w:val="BalloonTextChar"/>
    <w:uiPriority w:val="99"/>
    <w:semiHidden/>
    <w:unhideWhenUsed/>
    <w:rsid w:val="00C44A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4AD4"/>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57661">
      <w:bodyDiv w:val="1"/>
      <w:marLeft w:val="0"/>
      <w:marRight w:val="0"/>
      <w:marTop w:val="0"/>
      <w:marBottom w:val="0"/>
      <w:divBdr>
        <w:top w:val="none" w:sz="0" w:space="0" w:color="auto"/>
        <w:left w:val="none" w:sz="0" w:space="0" w:color="auto"/>
        <w:bottom w:val="none" w:sz="0" w:space="0" w:color="auto"/>
        <w:right w:val="none" w:sz="0" w:space="0" w:color="auto"/>
      </w:divBdr>
    </w:div>
    <w:div w:id="158740842">
      <w:bodyDiv w:val="1"/>
      <w:marLeft w:val="0"/>
      <w:marRight w:val="0"/>
      <w:marTop w:val="0"/>
      <w:marBottom w:val="0"/>
      <w:divBdr>
        <w:top w:val="none" w:sz="0" w:space="0" w:color="auto"/>
        <w:left w:val="none" w:sz="0" w:space="0" w:color="auto"/>
        <w:bottom w:val="none" w:sz="0" w:space="0" w:color="auto"/>
        <w:right w:val="none" w:sz="0" w:space="0" w:color="auto"/>
      </w:divBdr>
    </w:div>
    <w:div w:id="225116541">
      <w:bodyDiv w:val="1"/>
      <w:marLeft w:val="0"/>
      <w:marRight w:val="0"/>
      <w:marTop w:val="0"/>
      <w:marBottom w:val="0"/>
      <w:divBdr>
        <w:top w:val="none" w:sz="0" w:space="0" w:color="auto"/>
        <w:left w:val="none" w:sz="0" w:space="0" w:color="auto"/>
        <w:bottom w:val="none" w:sz="0" w:space="0" w:color="auto"/>
        <w:right w:val="none" w:sz="0" w:space="0" w:color="auto"/>
      </w:divBdr>
    </w:div>
    <w:div w:id="273250502">
      <w:bodyDiv w:val="1"/>
      <w:marLeft w:val="0"/>
      <w:marRight w:val="0"/>
      <w:marTop w:val="0"/>
      <w:marBottom w:val="0"/>
      <w:divBdr>
        <w:top w:val="none" w:sz="0" w:space="0" w:color="auto"/>
        <w:left w:val="none" w:sz="0" w:space="0" w:color="auto"/>
        <w:bottom w:val="none" w:sz="0" w:space="0" w:color="auto"/>
        <w:right w:val="none" w:sz="0" w:space="0" w:color="auto"/>
      </w:divBdr>
    </w:div>
    <w:div w:id="282079533">
      <w:bodyDiv w:val="1"/>
      <w:marLeft w:val="0"/>
      <w:marRight w:val="0"/>
      <w:marTop w:val="0"/>
      <w:marBottom w:val="0"/>
      <w:divBdr>
        <w:top w:val="none" w:sz="0" w:space="0" w:color="auto"/>
        <w:left w:val="none" w:sz="0" w:space="0" w:color="auto"/>
        <w:bottom w:val="none" w:sz="0" w:space="0" w:color="auto"/>
        <w:right w:val="none" w:sz="0" w:space="0" w:color="auto"/>
      </w:divBdr>
    </w:div>
    <w:div w:id="338241149">
      <w:bodyDiv w:val="1"/>
      <w:marLeft w:val="0"/>
      <w:marRight w:val="0"/>
      <w:marTop w:val="0"/>
      <w:marBottom w:val="0"/>
      <w:divBdr>
        <w:top w:val="none" w:sz="0" w:space="0" w:color="auto"/>
        <w:left w:val="none" w:sz="0" w:space="0" w:color="auto"/>
        <w:bottom w:val="none" w:sz="0" w:space="0" w:color="auto"/>
        <w:right w:val="none" w:sz="0" w:space="0" w:color="auto"/>
      </w:divBdr>
    </w:div>
    <w:div w:id="472214323">
      <w:bodyDiv w:val="1"/>
      <w:marLeft w:val="0"/>
      <w:marRight w:val="0"/>
      <w:marTop w:val="0"/>
      <w:marBottom w:val="0"/>
      <w:divBdr>
        <w:top w:val="none" w:sz="0" w:space="0" w:color="auto"/>
        <w:left w:val="none" w:sz="0" w:space="0" w:color="auto"/>
        <w:bottom w:val="none" w:sz="0" w:space="0" w:color="auto"/>
        <w:right w:val="none" w:sz="0" w:space="0" w:color="auto"/>
      </w:divBdr>
    </w:div>
    <w:div w:id="474562989">
      <w:bodyDiv w:val="1"/>
      <w:marLeft w:val="0"/>
      <w:marRight w:val="0"/>
      <w:marTop w:val="0"/>
      <w:marBottom w:val="0"/>
      <w:divBdr>
        <w:top w:val="none" w:sz="0" w:space="0" w:color="auto"/>
        <w:left w:val="none" w:sz="0" w:space="0" w:color="auto"/>
        <w:bottom w:val="none" w:sz="0" w:space="0" w:color="auto"/>
        <w:right w:val="none" w:sz="0" w:space="0" w:color="auto"/>
      </w:divBdr>
    </w:div>
    <w:div w:id="487475767">
      <w:bodyDiv w:val="1"/>
      <w:marLeft w:val="0"/>
      <w:marRight w:val="0"/>
      <w:marTop w:val="0"/>
      <w:marBottom w:val="0"/>
      <w:divBdr>
        <w:top w:val="none" w:sz="0" w:space="0" w:color="auto"/>
        <w:left w:val="none" w:sz="0" w:space="0" w:color="auto"/>
        <w:bottom w:val="none" w:sz="0" w:space="0" w:color="auto"/>
        <w:right w:val="none" w:sz="0" w:space="0" w:color="auto"/>
      </w:divBdr>
    </w:div>
    <w:div w:id="521749170">
      <w:bodyDiv w:val="1"/>
      <w:marLeft w:val="0"/>
      <w:marRight w:val="0"/>
      <w:marTop w:val="0"/>
      <w:marBottom w:val="0"/>
      <w:divBdr>
        <w:top w:val="none" w:sz="0" w:space="0" w:color="auto"/>
        <w:left w:val="none" w:sz="0" w:space="0" w:color="auto"/>
        <w:bottom w:val="none" w:sz="0" w:space="0" w:color="auto"/>
        <w:right w:val="none" w:sz="0" w:space="0" w:color="auto"/>
      </w:divBdr>
    </w:div>
    <w:div w:id="583535577">
      <w:bodyDiv w:val="1"/>
      <w:marLeft w:val="0"/>
      <w:marRight w:val="0"/>
      <w:marTop w:val="0"/>
      <w:marBottom w:val="0"/>
      <w:divBdr>
        <w:top w:val="none" w:sz="0" w:space="0" w:color="auto"/>
        <w:left w:val="none" w:sz="0" w:space="0" w:color="auto"/>
        <w:bottom w:val="none" w:sz="0" w:space="0" w:color="auto"/>
        <w:right w:val="none" w:sz="0" w:space="0" w:color="auto"/>
      </w:divBdr>
    </w:div>
    <w:div w:id="591360942">
      <w:bodyDiv w:val="1"/>
      <w:marLeft w:val="0"/>
      <w:marRight w:val="0"/>
      <w:marTop w:val="0"/>
      <w:marBottom w:val="0"/>
      <w:divBdr>
        <w:top w:val="none" w:sz="0" w:space="0" w:color="auto"/>
        <w:left w:val="none" w:sz="0" w:space="0" w:color="auto"/>
        <w:bottom w:val="none" w:sz="0" w:space="0" w:color="auto"/>
        <w:right w:val="none" w:sz="0" w:space="0" w:color="auto"/>
      </w:divBdr>
    </w:div>
    <w:div w:id="674576381">
      <w:bodyDiv w:val="1"/>
      <w:marLeft w:val="0"/>
      <w:marRight w:val="0"/>
      <w:marTop w:val="0"/>
      <w:marBottom w:val="0"/>
      <w:divBdr>
        <w:top w:val="none" w:sz="0" w:space="0" w:color="auto"/>
        <w:left w:val="none" w:sz="0" w:space="0" w:color="auto"/>
        <w:bottom w:val="none" w:sz="0" w:space="0" w:color="auto"/>
        <w:right w:val="none" w:sz="0" w:space="0" w:color="auto"/>
      </w:divBdr>
    </w:div>
    <w:div w:id="709650216">
      <w:bodyDiv w:val="1"/>
      <w:marLeft w:val="0"/>
      <w:marRight w:val="0"/>
      <w:marTop w:val="0"/>
      <w:marBottom w:val="0"/>
      <w:divBdr>
        <w:top w:val="none" w:sz="0" w:space="0" w:color="auto"/>
        <w:left w:val="none" w:sz="0" w:space="0" w:color="auto"/>
        <w:bottom w:val="none" w:sz="0" w:space="0" w:color="auto"/>
        <w:right w:val="none" w:sz="0" w:space="0" w:color="auto"/>
      </w:divBdr>
    </w:div>
    <w:div w:id="711921598">
      <w:bodyDiv w:val="1"/>
      <w:marLeft w:val="0"/>
      <w:marRight w:val="0"/>
      <w:marTop w:val="0"/>
      <w:marBottom w:val="0"/>
      <w:divBdr>
        <w:top w:val="none" w:sz="0" w:space="0" w:color="auto"/>
        <w:left w:val="none" w:sz="0" w:space="0" w:color="auto"/>
        <w:bottom w:val="none" w:sz="0" w:space="0" w:color="auto"/>
        <w:right w:val="none" w:sz="0" w:space="0" w:color="auto"/>
      </w:divBdr>
    </w:div>
    <w:div w:id="741950171">
      <w:bodyDiv w:val="1"/>
      <w:marLeft w:val="0"/>
      <w:marRight w:val="0"/>
      <w:marTop w:val="0"/>
      <w:marBottom w:val="0"/>
      <w:divBdr>
        <w:top w:val="none" w:sz="0" w:space="0" w:color="auto"/>
        <w:left w:val="none" w:sz="0" w:space="0" w:color="auto"/>
        <w:bottom w:val="none" w:sz="0" w:space="0" w:color="auto"/>
        <w:right w:val="none" w:sz="0" w:space="0" w:color="auto"/>
      </w:divBdr>
    </w:div>
    <w:div w:id="744423516">
      <w:bodyDiv w:val="1"/>
      <w:marLeft w:val="0"/>
      <w:marRight w:val="0"/>
      <w:marTop w:val="0"/>
      <w:marBottom w:val="0"/>
      <w:divBdr>
        <w:top w:val="none" w:sz="0" w:space="0" w:color="auto"/>
        <w:left w:val="none" w:sz="0" w:space="0" w:color="auto"/>
        <w:bottom w:val="none" w:sz="0" w:space="0" w:color="auto"/>
        <w:right w:val="none" w:sz="0" w:space="0" w:color="auto"/>
      </w:divBdr>
    </w:div>
    <w:div w:id="773019639">
      <w:bodyDiv w:val="1"/>
      <w:marLeft w:val="0"/>
      <w:marRight w:val="0"/>
      <w:marTop w:val="0"/>
      <w:marBottom w:val="0"/>
      <w:divBdr>
        <w:top w:val="none" w:sz="0" w:space="0" w:color="auto"/>
        <w:left w:val="none" w:sz="0" w:space="0" w:color="auto"/>
        <w:bottom w:val="none" w:sz="0" w:space="0" w:color="auto"/>
        <w:right w:val="none" w:sz="0" w:space="0" w:color="auto"/>
      </w:divBdr>
    </w:div>
    <w:div w:id="861087207">
      <w:bodyDiv w:val="1"/>
      <w:marLeft w:val="0"/>
      <w:marRight w:val="0"/>
      <w:marTop w:val="0"/>
      <w:marBottom w:val="0"/>
      <w:divBdr>
        <w:top w:val="none" w:sz="0" w:space="0" w:color="auto"/>
        <w:left w:val="none" w:sz="0" w:space="0" w:color="auto"/>
        <w:bottom w:val="none" w:sz="0" w:space="0" w:color="auto"/>
        <w:right w:val="none" w:sz="0" w:space="0" w:color="auto"/>
      </w:divBdr>
    </w:div>
    <w:div w:id="884216522">
      <w:bodyDiv w:val="1"/>
      <w:marLeft w:val="0"/>
      <w:marRight w:val="0"/>
      <w:marTop w:val="0"/>
      <w:marBottom w:val="0"/>
      <w:divBdr>
        <w:top w:val="none" w:sz="0" w:space="0" w:color="auto"/>
        <w:left w:val="none" w:sz="0" w:space="0" w:color="auto"/>
        <w:bottom w:val="none" w:sz="0" w:space="0" w:color="auto"/>
        <w:right w:val="none" w:sz="0" w:space="0" w:color="auto"/>
      </w:divBdr>
    </w:div>
    <w:div w:id="994449968">
      <w:bodyDiv w:val="1"/>
      <w:marLeft w:val="0"/>
      <w:marRight w:val="0"/>
      <w:marTop w:val="0"/>
      <w:marBottom w:val="0"/>
      <w:divBdr>
        <w:top w:val="none" w:sz="0" w:space="0" w:color="auto"/>
        <w:left w:val="none" w:sz="0" w:space="0" w:color="auto"/>
        <w:bottom w:val="none" w:sz="0" w:space="0" w:color="auto"/>
        <w:right w:val="none" w:sz="0" w:space="0" w:color="auto"/>
      </w:divBdr>
    </w:div>
    <w:div w:id="1018502447">
      <w:bodyDiv w:val="1"/>
      <w:marLeft w:val="0"/>
      <w:marRight w:val="0"/>
      <w:marTop w:val="0"/>
      <w:marBottom w:val="0"/>
      <w:divBdr>
        <w:top w:val="none" w:sz="0" w:space="0" w:color="auto"/>
        <w:left w:val="none" w:sz="0" w:space="0" w:color="auto"/>
        <w:bottom w:val="none" w:sz="0" w:space="0" w:color="auto"/>
        <w:right w:val="none" w:sz="0" w:space="0" w:color="auto"/>
      </w:divBdr>
    </w:div>
    <w:div w:id="1045443684">
      <w:bodyDiv w:val="1"/>
      <w:marLeft w:val="0"/>
      <w:marRight w:val="0"/>
      <w:marTop w:val="0"/>
      <w:marBottom w:val="0"/>
      <w:divBdr>
        <w:top w:val="none" w:sz="0" w:space="0" w:color="auto"/>
        <w:left w:val="none" w:sz="0" w:space="0" w:color="auto"/>
        <w:bottom w:val="none" w:sz="0" w:space="0" w:color="auto"/>
        <w:right w:val="none" w:sz="0" w:space="0" w:color="auto"/>
      </w:divBdr>
    </w:div>
    <w:div w:id="1064569373">
      <w:bodyDiv w:val="1"/>
      <w:marLeft w:val="0"/>
      <w:marRight w:val="0"/>
      <w:marTop w:val="0"/>
      <w:marBottom w:val="0"/>
      <w:divBdr>
        <w:top w:val="none" w:sz="0" w:space="0" w:color="auto"/>
        <w:left w:val="none" w:sz="0" w:space="0" w:color="auto"/>
        <w:bottom w:val="none" w:sz="0" w:space="0" w:color="auto"/>
        <w:right w:val="none" w:sz="0" w:space="0" w:color="auto"/>
      </w:divBdr>
    </w:div>
    <w:div w:id="1097947955">
      <w:bodyDiv w:val="1"/>
      <w:marLeft w:val="0"/>
      <w:marRight w:val="0"/>
      <w:marTop w:val="0"/>
      <w:marBottom w:val="0"/>
      <w:divBdr>
        <w:top w:val="none" w:sz="0" w:space="0" w:color="auto"/>
        <w:left w:val="none" w:sz="0" w:space="0" w:color="auto"/>
        <w:bottom w:val="none" w:sz="0" w:space="0" w:color="auto"/>
        <w:right w:val="none" w:sz="0" w:space="0" w:color="auto"/>
      </w:divBdr>
    </w:div>
    <w:div w:id="1101610908">
      <w:bodyDiv w:val="1"/>
      <w:marLeft w:val="0"/>
      <w:marRight w:val="0"/>
      <w:marTop w:val="0"/>
      <w:marBottom w:val="0"/>
      <w:divBdr>
        <w:top w:val="none" w:sz="0" w:space="0" w:color="auto"/>
        <w:left w:val="none" w:sz="0" w:space="0" w:color="auto"/>
        <w:bottom w:val="none" w:sz="0" w:space="0" w:color="auto"/>
        <w:right w:val="none" w:sz="0" w:space="0" w:color="auto"/>
      </w:divBdr>
    </w:div>
    <w:div w:id="1140881254">
      <w:bodyDiv w:val="1"/>
      <w:marLeft w:val="0"/>
      <w:marRight w:val="0"/>
      <w:marTop w:val="0"/>
      <w:marBottom w:val="0"/>
      <w:divBdr>
        <w:top w:val="none" w:sz="0" w:space="0" w:color="auto"/>
        <w:left w:val="none" w:sz="0" w:space="0" w:color="auto"/>
        <w:bottom w:val="none" w:sz="0" w:space="0" w:color="auto"/>
        <w:right w:val="none" w:sz="0" w:space="0" w:color="auto"/>
      </w:divBdr>
    </w:div>
    <w:div w:id="1171994821">
      <w:bodyDiv w:val="1"/>
      <w:marLeft w:val="0"/>
      <w:marRight w:val="0"/>
      <w:marTop w:val="0"/>
      <w:marBottom w:val="0"/>
      <w:divBdr>
        <w:top w:val="none" w:sz="0" w:space="0" w:color="auto"/>
        <w:left w:val="none" w:sz="0" w:space="0" w:color="auto"/>
        <w:bottom w:val="none" w:sz="0" w:space="0" w:color="auto"/>
        <w:right w:val="none" w:sz="0" w:space="0" w:color="auto"/>
      </w:divBdr>
    </w:div>
    <w:div w:id="1184398170">
      <w:bodyDiv w:val="1"/>
      <w:marLeft w:val="0"/>
      <w:marRight w:val="0"/>
      <w:marTop w:val="0"/>
      <w:marBottom w:val="0"/>
      <w:divBdr>
        <w:top w:val="none" w:sz="0" w:space="0" w:color="auto"/>
        <w:left w:val="none" w:sz="0" w:space="0" w:color="auto"/>
        <w:bottom w:val="none" w:sz="0" w:space="0" w:color="auto"/>
        <w:right w:val="none" w:sz="0" w:space="0" w:color="auto"/>
      </w:divBdr>
    </w:div>
    <w:div w:id="1189877413">
      <w:bodyDiv w:val="1"/>
      <w:marLeft w:val="0"/>
      <w:marRight w:val="0"/>
      <w:marTop w:val="0"/>
      <w:marBottom w:val="0"/>
      <w:divBdr>
        <w:top w:val="none" w:sz="0" w:space="0" w:color="auto"/>
        <w:left w:val="none" w:sz="0" w:space="0" w:color="auto"/>
        <w:bottom w:val="none" w:sz="0" w:space="0" w:color="auto"/>
        <w:right w:val="none" w:sz="0" w:space="0" w:color="auto"/>
      </w:divBdr>
    </w:div>
    <w:div w:id="1199318160">
      <w:bodyDiv w:val="1"/>
      <w:marLeft w:val="0"/>
      <w:marRight w:val="0"/>
      <w:marTop w:val="0"/>
      <w:marBottom w:val="0"/>
      <w:divBdr>
        <w:top w:val="none" w:sz="0" w:space="0" w:color="auto"/>
        <w:left w:val="none" w:sz="0" w:space="0" w:color="auto"/>
        <w:bottom w:val="none" w:sz="0" w:space="0" w:color="auto"/>
        <w:right w:val="none" w:sz="0" w:space="0" w:color="auto"/>
      </w:divBdr>
    </w:div>
    <w:div w:id="1274479986">
      <w:bodyDiv w:val="1"/>
      <w:marLeft w:val="0"/>
      <w:marRight w:val="0"/>
      <w:marTop w:val="0"/>
      <w:marBottom w:val="0"/>
      <w:divBdr>
        <w:top w:val="none" w:sz="0" w:space="0" w:color="auto"/>
        <w:left w:val="none" w:sz="0" w:space="0" w:color="auto"/>
        <w:bottom w:val="none" w:sz="0" w:space="0" w:color="auto"/>
        <w:right w:val="none" w:sz="0" w:space="0" w:color="auto"/>
      </w:divBdr>
    </w:div>
    <w:div w:id="1277178052">
      <w:bodyDiv w:val="1"/>
      <w:marLeft w:val="0"/>
      <w:marRight w:val="0"/>
      <w:marTop w:val="0"/>
      <w:marBottom w:val="0"/>
      <w:divBdr>
        <w:top w:val="none" w:sz="0" w:space="0" w:color="auto"/>
        <w:left w:val="none" w:sz="0" w:space="0" w:color="auto"/>
        <w:bottom w:val="none" w:sz="0" w:space="0" w:color="auto"/>
        <w:right w:val="none" w:sz="0" w:space="0" w:color="auto"/>
      </w:divBdr>
    </w:div>
    <w:div w:id="1308440762">
      <w:bodyDiv w:val="1"/>
      <w:marLeft w:val="0"/>
      <w:marRight w:val="0"/>
      <w:marTop w:val="0"/>
      <w:marBottom w:val="0"/>
      <w:divBdr>
        <w:top w:val="none" w:sz="0" w:space="0" w:color="auto"/>
        <w:left w:val="none" w:sz="0" w:space="0" w:color="auto"/>
        <w:bottom w:val="none" w:sz="0" w:space="0" w:color="auto"/>
        <w:right w:val="none" w:sz="0" w:space="0" w:color="auto"/>
      </w:divBdr>
    </w:div>
    <w:div w:id="1344209647">
      <w:bodyDiv w:val="1"/>
      <w:marLeft w:val="0"/>
      <w:marRight w:val="0"/>
      <w:marTop w:val="0"/>
      <w:marBottom w:val="0"/>
      <w:divBdr>
        <w:top w:val="none" w:sz="0" w:space="0" w:color="auto"/>
        <w:left w:val="none" w:sz="0" w:space="0" w:color="auto"/>
        <w:bottom w:val="none" w:sz="0" w:space="0" w:color="auto"/>
        <w:right w:val="none" w:sz="0" w:space="0" w:color="auto"/>
      </w:divBdr>
    </w:div>
    <w:div w:id="1346639407">
      <w:bodyDiv w:val="1"/>
      <w:marLeft w:val="0"/>
      <w:marRight w:val="0"/>
      <w:marTop w:val="0"/>
      <w:marBottom w:val="0"/>
      <w:divBdr>
        <w:top w:val="none" w:sz="0" w:space="0" w:color="auto"/>
        <w:left w:val="none" w:sz="0" w:space="0" w:color="auto"/>
        <w:bottom w:val="none" w:sz="0" w:space="0" w:color="auto"/>
        <w:right w:val="none" w:sz="0" w:space="0" w:color="auto"/>
      </w:divBdr>
    </w:div>
    <w:div w:id="1348483749">
      <w:bodyDiv w:val="1"/>
      <w:marLeft w:val="0"/>
      <w:marRight w:val="0"/>
      <w:marTop w:val="0"/>
      <w:marBottom w:val="0"/>
      <w:divBdr>
        <w:top w:val="none" w:sz="0" w:space="0" w:color="auto"/>
        <w:left w:val="none" w:sz="0" w:space="0" w:color="auto"/>
        <w:bottom w:val="none" w:sz="0" w:space="0" w:color="auto"/>
        <w:right w:val="none" w:sz="0" w:space="0" w:color="auto"/>
      </w:divBdr>
    </w:div>
    <w:div w:id="1371420073">
      <w:bodyDiv w:val="1"/>
      <w:marLeft w:val="0"/>
      <w:marRight w:val="0"/>
      <w:marTop w:val="0"/>
      <w:marBottom w:val="0"/>
      <w:divBdr>
        <w:top w:val="none" w:sz="0" w:space="0" w:color="auto"/>
        <w:left w:val="none" w:sz="0" w:space="0" w:color="auto"/>
        <w:bottom w:val="none" w:sz="0" w:space="0" w:color="auto"/>
        <w:right w:val="none" w:sz="0" w:space="0" w:color="auto"/>
      </w:divBdr>
    </w:div>
    <w:div w:id="1419476904">
      <w:bodyDiv w:val="1"/>
      <w:marLeft w:val="0"/>
      <w:marRight w:val="0"/>
      <w:marTop w:val="0"/>
      <w:marBottom w:val="0"/>
      <w:divBdr>
        <w:top w:val="none" w:sz="0" w:space="0" w:color="auto"/>
        <w:left w:val="none" w:sz="0" w:space="0" w:color="auto"/>
        <w:bottom w:val="none" w:sz="0" w:space="0" w:color="auto"/>
        <w:right w:val="none" w:sz="0" w:space="0" w:color="auto"/>
      </w:divBdr>
    </w:div>
    <w:div w:id="1491218865">
      <w:bodyDiv w:val="1"/>
      <w:marLeft w:val="0"/>
      <w:marRight w:val="0"/>
      <w:marTop w:val="0"/>
      <w:marBottom w:val="0"/>
      <w:divBdr>
        <w:top w:val="none" w:sz="0" w:space="0" w:color="auto"/>
        <w:left w:val="none" w:sz="0" w:space="0" w:color="auto"/>
        <w:bottom w:val="none" w:sz="0" w:space="0" w:color="auto"/>
        <w:right w:val="none" w:sz="0" w:space="0" w:color="auto"/>
      </w:divBdr>
    </w:div>
    <w:div w:id="1560238571">
      <w:bodyDiv w:val="1"/>
      <w:marLeft w:val="0"/>
      <w:marRight w:val="0"/>
      <w:marTop w:val="0"/>
      <w:marBottom w:val="0"/>
      <w:divBdr>
        <w:top w:val="none" w:sz="0" w:space="0" w:color="auto"/>
        <w:left w:val="none" w:sz="0" w:space="0" w:color="auto"/>
        <w:bottom w:val="none" w:sz="0" w:space="0" w:color="auto"/>
        <w:right w:val="none" w:sz="0" w:space="0" w:color="auto"/>
      </w:divBdr>
    </w:div>
    <w:div w:id="1564483972">
      <w:bodyDiv w:val="1"/>
      <w:marLeft w:val="0"/>
      <w:marRight w:val="0"/>
      <w:marTop w:val="0"/>
      <w:marBottom w:val="0"/>
      <w:divBdr>
        <w:top w:val="none" w:sz="0" w:space="0" w:color="auto"/>
        <w:left w:val="none" w:sz="0" w:space="0" w:color="auto"/>
        <w:bottom w:val="none" w:sz="0" w:space="0" w:color="auto"/>
        <w:right w:val="none" w:sz="0" w:space="0" w:color="auto"/>
      </w:divBdr>
    </w:div>
    <w:div w:id="1667980901">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12805794">
      <w:bodyDiv w:val="1"/>
      <w:marLeft w:val="0"/>
      <w:marRight w:val="0"/>
      <w:marTop w:val="0"/>
      <w:marBottom w:val="0"/>
      <w:divBdr>
        <w:top w:val="none" w:sz="0" w:space="0" w:color="auto"/>
        <w:left w:val="none" w:sz="0" w:space="0" w:color="auto"/>
        <w:bottom w:val="none" w:sz="0" w:space="0" w:color="auto"/>
        <w:right w:val="none" w:sz="0" w:space="0" w:color="auto"/>
      </w:divBdr>
    </w:div>
    <w:div w:id="1731417006">
      <w:bodyDiv w:val="1"/>
      <w:marLeft w:val="0"/>
      <w:marRight w:val="0"/>
      <w:marTop w:val="0"/>
      <w:marBottom w:val="0"/>
      <w:divBdr>
        <w:top w:val="none" w:sz="0" w:space="0" w:color="auto"/>
        <w:left w:val="none" w:sz="0" w:space="0" w:color="auto"/>
        <w:bottom w:val="none" w:sz="0" w:space="0" w:color="auto"/>
        <w:right w:val="none" w:sz="0" w:space="0" w:color="auto"/>
      </w:divBdr>
    </w:div>
    <w:div w:id="1733114439">
      <w:bodyDiv w:val="1"/>
      <w:marLeft w:val="0"/>
      <w:marRight w:val="0"/>
      <w:marTop w:val="0"/>
      <w:marBottom w:val="0"/>
      <w:divBdr>
        <w:top w:val="none" w:sz="0" w:space="0" w:color="auto"/>
        <w:left w:val="none" w:sz="0" w:space="0" w:color="auto"/>
        <w:bottom w:val="none" w:sz="0" w:space="0" w:color="auto"/>
        <w:right w:val="none" w:sz="0" w:space="0" w:color="auto"/>
      </w:divBdr>
    </w:div>
    <w:div w:id="1752464286">
      <w:bodyDiv w:val="1"/>
      <w:marLeft w:val="0"/>
      <w:marRight w:val="0"/>
      <w:marTop w:val="0"/>
      <w:marBottom w:val="0"/>
      <w:divBdr>
        <w:top w:val="none" w:sz="0" w:space="0" w:color="auto"/>
        <w:left w:val="none" w:sz="0" w:space="0" w:color="auto"/>
        <w:bottom w:val="none" w:sz="0" w:space="0" w:color="auto"/>
        <w:right w:val="none" w:sz="0" w:space="0" w:color="auto"/>
      </w:divBdr>
    </w:div>
    <w:div w:id="1770276656">
      <w:bodyDiv w:val="1"/>
      <w:marLeft w:val="0"/>
      <w:marRight w:val="0"/>
      <w:marTop w:val="0"/>
      <w:marBottom w:val="0"/>
      <w:divBdr>
        <w:top w:val="none" w:sz="0" w:space="0" w:color="auto"/>
        <w:left w:val="none" w:sz="0" w:space="0" w:color="auto"/>
        <w:bottom w:val="none" w:sz="0" w:space="0" w:color="auto"/>
        <w:right w:val="none" w:sz="0" w:space="0" w:color="auto"/>
      </w:divBdr>
    </w:div>
    <w:div w:id="1823041776">
      <w:bodyDiv w:val="1"/>
      <w:marLeft w:val="0"/>
      <w:marRight w:val="0"/>
      <w:marTop w:val="0"/>
      <w:marBottom w:val="0"/>
      <w:divBdr>
        <w:top w:val="none" w:sz="0" w:space="0" w:color="auto"/>
        <w:left w:val="none" w:sz="0" w:space="0" w:color="auto"/>
        <w:bottom w:val="none" w:sz="0" w:space="0" w:color="auto"/>
        <w:right w:val="none" w:sz="0" w:space="0" w:color="auto"/>
      </w:divBdr>
    </w:div>
    <w:div w:id="1831825820">
      <w:bodyDiv w:val="1"/>
      <w:marLeft w:val="0"/>
      <w:marRight w:val="0"/>
      <w:marTop w:val="0"/>
      <w:marBottom w:val="0"/>
      <w:divBdr>
        <w:top w:val="none" w:sz="0" w:space="0" w:color="auto"/>
        <w:left w:val="none" w:sz="0" w:space="0" w:color="auto"/>
        <w:bottom w:val="none" w:sz="0" w:space="0" w:color="auto"/>
        <w:right w:val="none" w:sz="0" w:space="0" w:color="auto"/>
      </w:divBdr>
    </w:div>
    <w:div w:id="1881505610">
      <w:bodyDiv w:val="1"/>
      <w:marLeft w:val="0"/>
      <w:marRight w:val="0"/>
      <w:marTop w:val="0"/>
      <w:marBottom w:val="0"/>
      <w:divBdr>
        <w:top w:val="none" w:sz="0" w:space="0" w:color="auto"/>
        <w:left w:val="none" w:sz="0" w:space="0" w:color="auto"/>
        <w:bottom w:val="none" w:sz="0" w:space="0" w:color="auto"/>
        <w:right w:val="none" w:sz="0" w:space="0" w:color="auto"/>
      </w:divBdr>
    </w:div>
    <w:div w:id="1891384683">
      <w:bodyDiv w:val="1"/>
      <w:marLeft w:val="0"/>
      <w:marRight w:val="0"/>
      <w:marTop w:val="0"/>
      <w:marBottom w:val="0"/>
      <w:divBdr>
        <w:top w:val="none" w:sz="0" w:space="0" w:color="auto"/>
        <w:left w:val="none" w:sz="0" w:space="0" w:color="auto"/>
        <w:bottom w:val="none" w:sz="0" w:space="0" w:color="auto"/>
        <w:right w:val="none" w:sz="0" w:space="0" w:color="auto"/>
      </w:divBdr>
    </w:div>
    <w:div w:id="1917083799">
      <w:bodyDiv w:val="1"/>
      <w:marLeft w:val="0"/>
      <w:marRight w:val="0"/>
      <w:marTop w:val="0"/>
      <w:marBottom w:val="0"/>
      <w:divBdr>
        <w:top w:val="none" w:sz="0" w:space="0" w:color="auto"/>
        <w:left w:val="none" w:sz="0" w:space="0" w:color="auto"/>
        <w:bottom w:val="none" w:sz="0" w:space="0" w:color="auto"/>
        <w:right w:val="none" w:sz="0" w:space="0" w:color="auto"/>
      </w:divBdr>
    </w:div>
    <w:div w:id="1982466410">
      <w:bodyDiv w:val="1"/>
      <w:marLeft w:val="0"/>
      <w:marRight w:val="0"/>
      <w:marTop w:val="0"/>
      <w:marBottom w:val="0"/>
      <w:divBdr>
        <w:top w:val="none" w:sz="0" w:space="0" w:color="auto"/>
        <w:left w:val="none" w:sz="0" w:space="0" w:color="auto"/>
        <w:bottom w:val="none" w:sz="0" w:space="0" w:color="auto"/>
        <w:right w:val="none" w:sz="0" w:space="0" w:color="auto"/>
      </w:divBdr>
    </w:div>
    <w:div w:id="1987277213">
      <w:bodyDiv w:val="1"/>
      <w:marLeft w:val="0"/>
      <w:marRight w:val="0"/>
      <w:marTop w:val="0"/>
      <w:marBottom w:val="0"/>
      <w:divBdr>
        <w:top w:val="none" w:sz="0" w:space="0" w:color="auto"/>
        <w:left w:val="none" w:sz="0" w:space="0" w:color="auto"/>
        <w:bottom w:val="none" w:sz="0" w:space="0" w:color="auto"/>
        <w:right w:val="none" w:sz="0" w:space="0" w:color="auto"/>
      </w:divBdr>
    </w:div>
    <w:div w:id="2020083520">
      <w:bodyDiv w:val="1"/>
      <w:marLeft w:val="0"/>
      <w:marRight w:val="0"/>
      <w:marTop w:val="0"/>
      <w:marBottom w:val="0"/>
      <w:divBdr>
        <w:top w:val="none" w:sz="0" w:space="0" w:color="auto"/>
        <w:left w:val="none" w:sz="0" w:space="0" w:color="auto"/>
        <w:bottom w:val="none" w:sz="0" w:space="0" w:color="auto"/>
        <w:right w:val="none" w:sz="0" w:space="0" w:color="auto"/>
      </w:divBdr>
    </w:div>
    <w:div w:id="2020348882">
      <w:bodyDiv w:val="1"/>
      <w:marLeft w:val="0"/>
      <w:marRight w:val="0"/>
      <w:marTop w:val="0"/>
      <w:marBottom w:val="0"/>
      <w:divBdr>
        <w:top w:val="none" w:sz="0" w:space="0" w:color="auto"/>
        <w:left w:val="none" w:sz="0" w:space="0" w:color="auto"/>
        <w:bottom w:val="none" w:sz="0" w:space="0" w:color="auto"/>
        <w:right w:val="none" w:sz="0" w:space="0" w:color="auto"/>
      </w:divBdr>
    </w:div>
    <w:div w:id="2027514500">
      <w:bodyDiv w:val="1"/>
      <w:marLeft w:val="0"/>
      <w:marRight w:val="0"/>
      <w:marTop w:val="0"/>
      <w:marBottom w:val="0"/>
      <w:divBdr>
        <w:top w:val="none" w:sz="0" w:space="0" w:color="auto"/>
        <w:left w:val="none" w:sz="0" w:space="0" w:color="auto"/>
        <w:bottom w:val="none" w:sz="0" w:space="0" w:color="auto"/>
        <w:right w:val="none" w:sz="0" w:space="0" w:color="auto"/>
      </w:divBdr>
    </w:div>
    <w:div w:id="2074740427">
      <w:bodyDiv w:val="1"/>
      <w:marLeft w:val="0"/>
      <w:marRight w:val="0"/>
      <w:marTop w:val="0"/>
      <w:marBottom w:val="0"/>
      <w:divBdr>
        <w:top w:val="none" w:sz="0" w:space="0" w:color="auto"/>
        <w:left w:val="none" w:sz="0" w:space="0" w:color="auto"/>
        <w:bottom w:val="none" w:sz="0" w:space="0" w:color="auto"/>
        <w:right w:val="none" w:sz="0" w:space="0" w:color="auto"/>
      </w:divBdr>
    </w:div>
    <w:div w:id="2080400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commission.europa.eu/strategy-and-policy/state-union/state-union-2022/building-union-equality_hu" TargetMode="External"/><Relationship Id="rId117" Type="http://schemas.openxmlformats.org/officeDocument/2006/relationships/theme" Target="theme/theme1.xml"/><Relationship Id="rId21" Type="http://schemas.openxmlformats.org/officeDocument/2006/relationships/hyperlink" Target="https://commission.europa.eu/strategy-and-policy/policies/justice-and-fundamental-rights/combatting-discrimination/racism-and-xenophobia/commissions-coordinator-combating-racism_en?prefLang=hu" TargetMode="External"/><Relationship Id="rId42" Type="http://schemas.openxmlformats.org/officeDocument/2006/relationships/hyperlink" Target="https://commission.europa.eu/system/files/2021-01/eu_roma_strategic_framework_for_equality_inclusion_and_participation_for_2020_-_2030_0.pdf" TargetMode="External"/><Relationship Id="rId47" Type="http://schemas.openxmlformats.org/officeDocument/2006/relationships/hyperlink" Target="https://eur-lex.europa.eu/eli/reg/2024/1689/oj/hun" TargetMode="External"/><Relationship Id="rId63" Type="http://schemas.openxmlformats.org/officeDocument/2006/relationships/hyperlink" Target="https://fra.europa.eu/sites/default/files/fra_uploads/fra-2024-addressing-racism-in-policing_en.pdf" TargetMode="External"/><Relationship Id="rId68" Type="http://schemas.openxmlformats.org/officeDocument/2006/relationships/hyperlink" Target="https://european-social-fund-plus.ec.europa.eu/hu" TargetMode="External"/><Relationship Id="rId84" Type="http://schemas.openxmlformats.org/officeDocument/2006/relationships/hyperlink" Target="https://www.ohchr.org/en/instruments-mechanisms/instruments/international-convention-elimination-all-forms-racial" TargetMode="External"/><Relationship Id="rId89" Type="http://schemas.openxmlformats.org/officeDocument/2006/relationships/hyperlink" Target="https://north-africa-middle-east-gulf.ec.europa.eu/what-we-do/pact-mediterranean_en" TargetMode="External"/><Relationship Id="rId112" Type="http://schemas.openxmlformats.org/officeDocument/2006/relationships/footer" Target="footer7.xml"/><Relationship Id="rId16" Type="http://schemas.openxmlformats.org/officeDocument/2006/relationships/header" Target="header3.xml"/><Relationship Id="rId107" Type="http://schemas.openxmlformats.org/officeDocument/2006/relationships/footer" Target="footer5.xml"/><Relationship Id="rId11" Type="http://schemas.openxmlformats.org/officeDocument/2006/relationships/image" Target="media/image1.emf"/><Relationship Id="rId24" Type="http://schemas.openxmlformats.org/officeDocument/2006/relationships/hyperlink" Target="https://commission.europa.eu/document/download/e6cd4328-673c-4e7a-8683-f63ffb2cf648_hu?filename=Political%20Guidelines%202024-2029_HU.pdf" TargetMode="External"/><Relationship Id="rId32" Type="http://schemas.openxmlformats.org/officeDocument/2006/relationships/hyperlink" Target="https://youth.europa.eu/strategy_hu" TargetMode="External"/><Relationship Id="rId37" Type="http://schemas.openxmlformats.org/officeDocument/2006/relationships/hyperlink" Target="https://ec.europa.eu/transparency/expert-groups-register/screen/expert-groups/consult?lang=hu&amp;groupId=3328&amp;fromNews=true" TargetMode="External"/><Relationship Id="rId40" Type="http://schemas.openxmlformats.org/officeDocument/2006/relationships/hyperlink" Target="https://eige.europa.eu" TargetMode="External"/><Relationship Id="rId45" Type="http://schemas.openxmlformats.org/officeDocument/2006/relationships/hyperlink" Target="https://eur-lex.europa.eu/HU/legal-content/summary/standards-for-equality-bodies-in-the-field-of-equal-treatment-and-equal-opportunities.html" TargetMode="External"/><Relationship Id="rId53" Type="http://schemas.openxmlformats.org/officeDocument/2006/relationships/hyperlink" Target="https://eur-lex.europa.eu/eli/treaty/tfeu_2008/art_83/oj/hun" TargetMode="External"/><Relationship Id="rId58" Type="http://schemas.openxmlformats.org/officeDocument/2006/relationships/hyperlink" Target="https://digital-strategy.ec.europa.eu/hu/library/code-conduct-countering-illegal-hate-speech-online" TargetMode="External"/><Relationship Id="rId66" Type="http://schemas.openxmlformats.org/officeDocument/2006/relationships/hyperlink" Target="https://eur-lex.europa.eu/legal-content/HU/TXT/?uri=CELEX:32021G0226%2801%29" TargetMode="External"/><Relationship Id="rId74" Type="http://schemas.openxmlformats.org/officeDocument/2006/relationships/hyperlink" Target="https://health.ec.europa.eu/non-communicable-diseases/mental-health_hu" TargetMode="External"/><Relationship Id="rId79" Type="http://schemas.openxmlformats.org/officeDocument/2006/relationships/hyperlink" Target="https://eu-diversity-inclusion.campaign.europa.eu/european-capitals-inclusion-and-diversity-award_hu" TargetMode="External"/><Relationship Id="rId87" Type="http://schemas.openxmlformats.org/officeDocument/2006/relationships/hyperlink" Target="https://www.coe.int/en/web/european-commission-against-racism-and-intolerance" TargetMode="External"/><Relationship Id="rId102" Type="http://schemas.openxmlformats.org/officeDocument/2006/relationships/hyperlink" Target="https://eu-careers.europa.eu/hu" TargetMode="External"/><Relationship Id="rId110" Type="http://schemas.openxmlformats.org/officeDocument/2006/relationships/header" Target="header7.xml"/><Relationship Id="rId115" Type="http://schemas.openxmlformats.org/officeDocument/2006/relationships/footer" Target="footer9.xml"/><Relationship Id="rId5" Type="http://schemas.openxmlformats.org/officeDocument/2006/relationships/numbering" Target="numbering.xml"/><Relationship Id="rId61" Type="http://schemas.openxmlformats.org/officeDocument/2006/relationships/hyperlink" Target="https://digital-strategy.ec.europa.eu/hu/library/code-conduct-disinformation" TargetMode="External"/><Relationship Id="rId82" Type="http://schemas.openxmlformats.org/officeDocument/2006/relationships/hyperlink" Target="https://commission.europa.eu/strategy-and-policy/policies/justice-and-fundamental-rights/combatting-discrimination/racism-and-xenophobia/consultation-process_en?prefLang=hu" TargetMode="External"/><Relationship Id="rId90" Type="http://schemas.openxmlformats.org/officeDocument/2006/relationships/hyperlink" Target="https://www.consilium.europa.eu/media/hlyf1gsa/eu-guidelines-human-rights-non-discrimination.pdf" TargetMode="External"/><Relationship Id="rId95" Type="http://schemas.openxmlformats.org/officeDocument/2006/relationships/hyperlink" Target="https://commission.europa.eu/strategy-and-policy/eu-budget/how-it-works/annual-lifecycle/implementation/anti-fraud-measures/edes_hu" TargetMode="External"/><Relationship Id="rId19" Type="http://schemas.openxmlformats.org/officeDocument/2006/relationships/hyperlink" Target="https://eur-lex.europa.eu/legal-content/HU/TXT/?uri=CELEX%3A52020DC0565&amp;qid=1758870120076" TargetMode="External"/><Relationship Id="rId14" Type="http://schemas.openxmlformats.org/officeDocument/2006/relationships/footer" Target="footer1.xml"/><Relationship Id="rId22" Type="http://schemas.openxmlformats.org/officeDocument/2006/relationships/hyperlink" Target="https://commission.europa.eu/document/download/4968fa88-5350-48d9-bf36-abd3c0142aa8_en?filename=Report%20Antiracism.pdf" TargetMode="External"/><Relationship Id="rId27" Type="http://schemas.openxmlformats.org/officeDocument/2006/relationships/hyperlink" Target="https://citizens.ec.europa.eu/european-citizens-panels/tackling-hatred-society-panel_hu" TargetMode="External"/><Relationship Id="rId30" Type="http://schemas.openxmlformats.org/officeDocument/2006/relationships/hyperlink" Target="https://commission.europa.eu/publications/new-eu-roma-strategic-framework-equality-inclusion-and-participation-full-package_hu" TargetMode="External"/><Relationship Id="rId35" Type="http://schemas.openxmlformats.org/officeDocument/2006/relationships/hyperlink" Target="https://research-and-innovation.ec.europa.eu/funding/funding-opportunities/funding-programmes-and-open-calls/horizon-europe_en?prefLang=hu" TargetMode="External"/><Relationship Id="rId43" Type="http://schemas.openxmlformats.org/officeDocument/2006/relationships/hyperlink" Target="https://eur-lex.europa.eu/eli/treaty/char_2012/oj/hun" TargetMode="External"/><Relationship Id="rId48" Type="http://schemas.openxmlformats.org/officeDocument/2006/relationships/hyperlink" Target="https://eur-lex.europa.eu/HU/legal-content/summary/standards-for-equality-bodies-in-the-field-of-equal-treatment-and-equal-opportunities.html" TargetMode="External"/><Relationship Id="rId56" Type="http://schemas.openxmlformats.org/officeDocument/2006/relationships/hyperlink" Target="https://eur-lex.europa.eu/legal-content/HU/TXT/?uri=CELEX%3A52020DC0258" TargetMode="External"/><Relationship Id="rId64" Type="http://schemas.openxmlformats.org/officeDocument/2006/relationships/hyperlink" Target="https://commission.europa.eu/document/download/e03c60e7-4139-430b-9216-3340f7c73c20_en?filename=social-summit-european-pillar-social-rights-booklet_en.pdf" TargetMode="External"/><Relationship Id="rId69" Type="http://schemas.openxmlformats.org/officeDocument/2006/relationships/hyperlink" Target="https://research-and-innovation.ec.europa.eu/funding/funding-opportunities/funding-programmes-and-open-calls/horizon-europe_en?prefLang=hu" TargetMode="External"/><Relationship Id="rId77" Type="http://schemas.openxmlformats.org/officeDocument/2006/relationships/hyperlink" Target="https://eur-lex.europa.eu/eli/reco/2021/1004/oj/hun" TargetMode="External"/><Relationship Id="rId100" Type="http://schemas.openxmlformats.org/officeDocument/2006/relationships/hyperlink" Target="https://commission.europa.eu/document/download/91926dd1-3dd2-4000-98e7-726597189d12_en?filename=Factsheet-diversity-and-inclusion-survey_en.pdf" TargetMode="External"/><Relationship Id="rId105" Type="http://schemas.openxmlformats.org/officeDocument/2006/relationships/header" Target="header5.xml"/><Relationship Id="rId113" Type="http://schemas.openxmlformats.org/officeDocument/2006/relationships/footer" Target="footer8.xml"/><Relationship Id="rId8" Type="http://schemas.openxmlformats.org/officeDocument/2006/relationships/webSettings" Target="webSettings.xml"/><Relationship Id="rId51" Type="http://schemas.openxmlformats.org/officeDocument/2006/relationships/hyperlink" Target="https://ec.europa.eu/transparency/expert-groups-register/screen/expert-groups/consult?lang=hu&amp;groupID=3425" TargetMode="External"/><Relationship Id="rId72" Type="http://schemas.openxmlformats.org/officeDocument/2006/relationships/hyperlink" Target="https://ec.europa.eu/regional_policy/information-sources/publications/communications/2025/eu-agenda-for-cities-2025_hu" TargetMode="External"/><Relationship Id="rId80" Type="http://schemas.openxmlformats.org/officeDocument/2006/relationships/hyperlink" Target="https://commission.europa.eu/strategy-and-policy/policies/justice-and-fundamental-rights/combatting-discrimination/tackling-discrimination/diversity-and-inclusion-initiatives/european-diversity-month_en?prefLang=hu" TargetMode="External"/><Relationship Id="rId85" Type="http://schemas.openxmlformats.org/officeDocument/2006/relationships/hyperlink" Target="https://www.un.org/en/fight-racism/background/durban-declaration-and-programme-of-action" TargetMode="External"/><Relationship Id="rId93" Type="http://schemas.openxmlformats.org/officeDocument/2006/relationships/hyperlink" Target="https://commission.europa.eu/funding-tenders/find-funding/eu-funding-programmes/citizens-equality-rights-and-values-programme/citizens-equality-rights-and-values-programme-overview_hu" TargetMode="External"/><Relationship Id="rId98" Type="http://schemas.openxmlformats.org/officeDocument/2006/relationships/hyperlink" Target="https://commission.europa.eu/topics/budget/eu-budget-2028-2034-explained/investing-people-member-states-and-regions_hu"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oecd.org/en/publications/combatting-discrimination-in-the-european-union_29c2c36a-en/full-report.html" TargetMode="External"/><Relationship Id="rId33" Type="http://schemas.openxmlformats.org/officeDocument/2006/relationships/hyperlink" Target="https://european-research-area.ec.europa.eu/" TargetMode="External"/><Relationship Id="rId38" Type="http://schemas.openxmlformats.org/officeDocument/2006/relationships/hyperlink" Target="https://fra.europa.eu/hu/project/2019/subgroup-equality-data" TargetMode="External"/><Relationship Id="rId46" Type="http://schemas.openxmlformats.org/officeDocument/2006/relationships/hyperlink" Target="https://eur-lex.europa.eu/HU/legal-content/summary/framework-decision-on-combating-certain-forms-and-expressions-of-racism-and-xenophobia-by-means-of-criminal-law.html" TargetMode="External"/><Relationship Id="rId59" Type="http://schemas.openxmlformats.org/officeDocument/2006/relationships/hyperlink" Target="https://education.ec.europa.eu/hu/focus-topics/digital-education/actions" TargetMode="External"/><Relationship Id="rId67" Type="http://schemas.openxmlformats.org/officeDocument/2006/relationships/hyperlink" Target="https://erasmus-plus.ec.europa.eu/hu" TargetMode="External"/><Relationship Id="rId103" Type="http://schemas.openxmlformats.org/officeDocument/2006/relationships/hyperlink" Target="https://www.era.europa.eu/system/files/2024-05/MB%20Decision%20n%C2%B0%20350%20-%20Annex%20-%20C_2023_8630_F1_COMMISSION_DECISION_EN_V6_P1_3034149.pdf?t=1716299982" TargetMode="External"/><Relationship Id="rId108" Type="http://schemas.openxmlformats.org/officeDocument/2006/relationships/header" Target="header6.xml"/><Relationship Id="rId116" Type="http://schemas.openxmlformats.org/officeDocument/2006/relationships/fontTable" Target="fontTable.xml"/><Relationship Id="rId20" Type="http://schemas.openxmlformats.org/officeDocument/2006/relationships/hyperlink" Target="https://ec.europa.eu/info/funding-tenders/opportunities/portal/screen/programmes/cerv" TargetMode="External"/><Relationship Id="rId41" Type="http://schemas.openxmlformats.org/officeDocument/2006/relationships/hyperlink" Target="https://fra.europa.eu/en/project/2022/eu-survey-immigrants-and-descendants-immigrants" TargetMode="External"/><Relationship Id="rId54" Type="http://schemas.openxmlformats.org/officeDocument/2006/relationships/hyperlink" Target="https://citizens.ec.europa.eu/european-citizens-panels/tackling-hatred-society-panel_hu" TargetMode="External"/><Relationship Id="rId62" Type="http://schemas.openxmlformats.org/officeDocument/2006/relationships/hyperlink" Target="https://data.consilium.europa.eu/doc/document/ST-9771-2024-INIT/hu/pdf." TargetMode="External"/><Relationship Id="rId70" Type="http://schemas.openxmlformats.org/officeDocument/2006/relationships/hyperlink" Target="https://eur-lex.europa.eu/legal-content/HU/TXT/?uri=CELEX%3A52020DC0758" TargetMode="External"/><Relationship Id="rId75" Type="http://schemas.openxmlformats.org/officeDocument/2006/relationships/hyperlink" Target="https://health.ec.europa.eu/funding/eu4health-programme-2021-2027-vision-healthier-european-union_hu" TargetMode="External"/><Relationship Id="rId83" Type="http://schemas.openxmlformats.org/officeDocument/2006/relationships/hyperlink" Target="https://commission.europa.eu/document/download/8c30975d-bc1c-4415-8dcd-a71cb28f3662_en?filename=JUST_template_comingsoon_standard.pdf" TargetMode="External"/><Relationship Id="rId88" Type="http://schemas.openxmlformats.org/officeDocument/2006/relationships/hyperlink" Target="https://www.ohchr.org/en/special-procedures/sr-racism" TargetMode="External"/><Relationship Id="rId91" Type="http://schemas.openxmlformats.org/officeDocument/2006/relationships/hyperlink" Target="https://www.eeas.europa.eu/eeas/eu-extends-its-action-plan-human-rights-and-democracy-until-2027_en" TargetMode="External"/><Relationship Id="rId96" Type="http://schemas.openxmlformats.org/officeDocument/2006/relationships/hyperlink" Target="https://ec.europa.eu/regional_policy/policy/what/glossary/enabling-conditions_hu" TargetMode="External"/><Relationship Id="rId11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eur-lex.europa.eu/resource.html?uri=cellar:2bf140bf-a3f8-4ab2-b506-fd71826e6da6.0023.02/DOC_1&amp;format=PDF" TargetMode="External"/><Relationship Id="rId28" Type="http://schemas.openxmlformats.org/officeDocument/2006/relationships/hyperlink" Target="https://rm.coe.int/ecri-general-policy-recommendation-no-7-revised-on-national-legislatio/16808b5aae" TargetMode="External"/><Relationship Id="rId36" Type="http://schemas.openxmlformats.org/officeDocument/2006/relationships/hyperlink" Target="https://marie-sklodowska-curie-actions.ec.europa.eu" TargetMode="External"/><Relationship Id="rId49" Type="http://schemas.openxmlformats.org/officeDocument/2006/relationships/hyperlink" Target="https://eur-lex.europa.eu/eli/dir/2024/1385/oj/hun" TargetMode="External"/><Relationship Id="rId57" Type="http://schemas.openxmlformats.org/officeDocument/2006/relationships/hyperlink" Target="https://eur-lex.europa.eu/HU/legal-content/summary/digital-services-act.html" TargetMode="External"/><Relationship Id="rId106" Type="http://schemas.openxmlformats.org/officeDocument/2006/relationships/footer" Target="footer4.xml"/><Relationship Id="rId114" Type="http://schemas.openxmlformats.org/officeDocument/2006/relationships/header" Target="header9.xml"/><Relationship Id="rId10" Type="http://schemas.openxmlformats.org/officeDocument/2006/relationships/endnotes" Target="endnotes.xml"/><Relationship Id="rId31" Type="http://schemas.openxmlformats.org/officeDocument/2006/relationships/hyperlink" Target="https://eur-lex.europa.eu/HU/legal-content/summary/strategic-framework-for-european-cooperation-in-education-and-training-towards-the-european-education-area-and-beyond.html" TargetMode="External"/><Relationship Id="rId44" Type="http://schemas.openxmlformats.org/officeDocument/2006/relationships/hyperlink" Target="https://eur-lex.europa.eu/eli/dir/2000/43/oj/hun" TargetMode="External"/><Relationship Id="rId52" Type="http://schemas.openxmlformats.org/officeDocument/2006/relationships/hyperlink" Target="https://eur-lex.europa.eu/legal-content/HU/TXT/?uri=CELEX:52021DC0777" TargetMode="External"/><Relationship Id="rId60" Type="http://schemas.openxmlformats.org/officeDocument/2006/relationships/hyperlink" Target="https://education.ec.europa.eu/news/guidelines-for-teachers-and-educators-on-tackling-disinformation-and-promoting-digital-literacy-through-education-and-training?etrans=hu" TargetMode="External"/><Relationship Id="rId65" Type="http://schemas.openxmlformats.org/officeDocument/2006/relationships/hyperlink" Target="https://eur-lex.europa.eu/legal-content/HU/TXT/PDF/?uri=CELEX%3A52025DC0090" TargetMode="External"/><Relationship Id="rId73" Type="http://schemas.openxmlformats.org/officeDocument/2006/relationships/hyperlink" Target="https://commission.europa.eu/funding-tenders/find-funding/eu-funding-programmes/european-regional-development-fund-erdf_en?prefLang=hu" TargetMode="External"/><Relationship Id="rId78" Type="http://schemas.openxmlformats.org/officeDocument/2006/relationships/hyperlink" Target="https://eur-lex.europa.eu/legal-content/HU/TXT/?uri=oj:JOC_2023_041_R_0001" TargetMode="External"/><Relationship Id="rId81" Type="http://schemas.openxmlformats.org/officeDocument/2006/relationships/hyperlink" Target="https://commission.europa.eu/strategy-and-policy/policies/justice-and-fundamental-rights/combatting-discrimination/racism-and-xenophobia/commissions-coordinator-combating-racism_en?prefLang=hu" TargetMode="External"/><Relationship Id="rId86" Type="http://schemas.openxmlformats.org/officeDocument/2006/relationships/hyperlink" Target="https://www.echr.coe.int" TargetMode="External"/><Relationship Id="rId94" Type="http://schemas.openxmlformats.org/officeDocument/2006/relationships/hyperlink" Target="https://commission.europa.eu/strategy-and-policy/eu-budget/long-term-eu-budget/eu-budget-2028-2034_en?prefLang=hu" TargetMode="External"/><Relationship Id="rId99" Type="http://schemas.openxmlformats.org/officeDocument/2006/relationships/hyperlink" Target="https://commission.europa.eu/system/files/2022-04/c_2022_2229_2_en_act_part1_v12.pdf" TargetMode="External"/><Relationship Id="rId101" Type="http://schemas.openxmlformats.org/officeDocument/2006/relationships/hyperlink" Target="https://commission.europa.eu/document/download/196676b9-9b29-4034-84ca-d75d3cd5912c_en?filename=fact-sheet-diversity-inclusion-in-workplace-action-plan-2023-2024_en_0.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commission.europa.eu/strategy-and-policy/state-union/state-union-2022/building-union-equality_hu" TargetMode="External"/><Relationship Id="rId39" Type="http://schemas.openxmlformats.org/officeDocument/2006/relationships/hyperlink" Target="https://european-union.europa.eu/institutions-law-budget/institutions-and-bodies/search-all-eu-institutions-and-bodies/eurofound_hu" TargetMode="External"/><Relationship Id="rId109" Type="http://schemas.openxmlformats.org/officeDocument/2006/relationships/footer" Target="footer6.xml"/><Relationship Id="rId34" Type="http://schemas.openxmlformats.org/officeDocument/2006/relationships/hyperlink" Target="https://european-research-area.ec.europa.eu/era-policy-agenda-2025-2027" TargetMode="External"/><Relationship Id="rId50" Type="http://schemas.openxmlformats.org/officeDocument/2006/relationships/hyperlink" Target="https://eur-lex.europa.eu/eli/dec_framw/2008/913/oj/hun" TargetMode="External"/><Relationship Id="rId55" Type="http://schemas.openxmlformats.org/officeDocument/2006/relationships/hyperlink" Target="https://eur-lex.europa.eu/legal-content/HU/TXT/PDF/?uri=CELEX:52025DC0148" TargetMode="External"/><Relationship Id="rId76" Type="http://schemas.openxmlformats.org/officeDocument/2006/relationships/hyperlink" Target="https://ec.europa.eu/info/law/better-regulation/have-your-say/initiatives/14683-A-szegenyseg-elleni-unios-strategia_hu" TargetMode="External"/><Relationship Id="rId97" Type="http://schemas.openxmlformats.org/officeDocument/2006/relationships/hyperlink" Target="https://commission.europa.eu/funding-tenders/find-funding/funding-management-mode/common-provisions-regulation_en?prefLang=hu&amp;etrans=hu" TargetMode="External"/><Relationship Id="rId104"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hyperlink" Target="https://www.urbanagenda.urban-initiative.eu/" TargetMode="External"/><Relationship Id="rId92" Type="http://schemas.openxmlformats.org/officeDocument/2006/relationships/hyperlink" Target="https://enlargement.ec.europa.eu/enlargement-policy/strategy-and-reports_en?prefLang=hu" TargetMode="External"/><Relationship Id="rId2" Type="http://schemas.openxmlformats.org/officeDocument/2006/relationships/customXml" Target="../customXml/item2.xml"/><Relationship Id="rId29" Type="http://schemas.openxmlformats.org/officeDocument/2006/relationships/hyperlink" Target="https://commission.europa.eu/strategy-and-policy/policies/justice-and-fundamental-rights/combatting-discrimination/racism-and-xenophobia/combating-antisemitism/eu-strategy-combating-antisemitism-and-fostering-jewish-life-2021-2030/about-eu-strategy_en?prefLang=hu"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fra.europa.eu/sites/default/files/fra_uploads/fra-2023-being-black_in_the_eu_en.pdf" TargetMode="External"/><Relationship Id="rId21" Type="http://schemas.openxmlformats.org/officeDocument/2006/relationships/hyperlink" Target="https://ec.europa.eu/info/law/better-regulation/have-your-say/initiatives/14683-A-szegenyseg-elleni-unios-strategia_hu" TargetMode="External"/><Relationship Id="rId34" Type="http://schemas.openxmlformats.org/officeDocument/2006/relationships/hyperlink" Target="https://fra.europa.eu/en/news/2024/muslims-europe-face-ever-more-racism-and-discrimination" TargetMode="External"/><Relationship Id="rId42" Type="http://schemas.openxmlformats.org/officeDocument/2006/relationships/hyperlink" Target="https://ec.europa.eu/commission/presscorner/detail/hu/ip_23_2087" TargetMode="External"/><Relationship Id="rId47" Type="http://schemas.openxmlformats.org/officeDocument/2006/relationships/hyperlink" Target="https://fra.europa.eu/sites/default/files/fra_uploads/fra-2024-experiences-perceptions-antisemitism-survey_en.pdf" TargetMode="External"/><Relationship Id="rId50" Type="http://schemas.openxmlformats.org/officeDocument/2006/relationships/hyperlink" Target="https://fra.europa.eu/sites/default/files/fra_uploads/fra-2023-being-black_in_the_eu_en.pdf" TargetMode="External"/><Relationship Id="rId55" Type="http://schemas.openxmlformats.org/officeDocument/2006/relationships/hyperlink" Target="https://ec.europa.eu/implementing-eu-law/member-state-infringement-cases/hu" TargetMode="External"/><Relationship Id="rId63" Type="http://schemas.openxmlformats.org/officeDocument/2006/relationships/hyperlink" Target="https://europa.eu/eurobarometer/surveys/detail/2972" TargetMode="External"/><Relationship Id="rId68" Type="http://schemas.openxmlformats.org/officeDocument/2006/relationships/hyperlink" Target="https://education.ec.europa.eu/news/new-issue-paper-tackling-prejudice-and-discrimination-in-and-through-education-and-training?etrans=hu" TargetMode="External"/><Relationship Id="rId76" Type="http://schemas.openxmlformats.org/officeDocument/2006/relationships/hyperlink" Target="https://ruralpact.rural-vision.europa.eu/publications/highlights-report-good-practice-webinar-rural-housing_hu?etrans=hu" TargetMode="External"/><Relationship Id="rId84" Type="http://schemas.openxmlformats.org/officeDocument/2006/relationships/hyperlink" Target="https://www.un.org/en/observances/decade-people-african-descent" TargetMode="External"/><Relationship Id="rId89" Type="http://schemas.openxmlformats.org/officeDocument/2006/relationships/hyperlink" Target="https://ec.europa.eu/transparency/expert-groups-register/screen/expert-groups/consult?lang=hu&amp;do=groupDetail.groupDetail&amp;groupID=3328" TargetMode="External"/><Relationship Id="rId97" Type="http://schemas.openxmlformats.org/officeDocument/2006/relationships/hyperlink" Target="https://civilsocietyeurope.eu/wp-content/uploads/2025/06/Joint-Civil-Society-Contribution-on-Civic-Space-to-the-2025-Rule-of-Law-Report.docx.pdf" TargetMode="External"/><Relationship Id="rId7" Type="http://schemas.openxmlformats.org/officeDocument/2006/relationships/hyperlink" Target="https://www.consilium.europa.eu/media/1xkhgwbr/hu-20251218-european-council-conclusions.pdf" TargetMode="External"/><Relationship Id="rId71" Type="http://schemas.openxmlformats.org/officeDocument/2006/relationships/hyperlink" Target="https://academic.oup.com/ser/article/21/3/1551/7086060" TargetMode="External"/><Relationship Id="rId92" Type="http://schemas.openxmlformats.org/officeDocument/2006/relationships/hyperlink" Target="https://commission.europa.eu/document/download/d23174d0-9a1f-46da-992d-a47ccd56391a_en?filename=common_guiding_principles_for_national_action_plans_against_racism_and_racial_discrimination.pdf" TargetMode="External"/><Relationship Id="rId2" Type="http://schemas.openxmlformats.org/officeDocument/2006/relationships/hyperlink" Target="https://commission.europa.eu/document/download/4968fa88-5350-48d9-bf36-abd3c0142aa8_en?filename=Report%20Antiracism.pdf" TargetMode="External"/><Relationship Id="rId16" Type="http://schemas.openxmlformats.org/officeDocument/2006/relationships/hyperlink" Target="https://commission.europa.eu/strategy-and-policy/policies/justice-and-fundamental-rights/combatting-discrimination/racism-and-xenophobia/no-place-hate-europe-united-against-hatred_en?prefLang=hu" TargetMode="External"/><Relationship Id="rId29" Type="http://schemas.openxmlformats.org/officeDocument/2006/relationships/hyperlink" Target="https://fra.europa.eu/sites/default/files/fra_uploads/fra-2025-roma-survey-2024_en.pdf" TargetMode="External"/><Relationship Id="rId11" Type="http://schemas.openxmlformats.org/officeDocument/2006/relationships/hyperlink" Target="https://eur-lex.europa.eu/legal-content/HU/ALL/?uri=COM:2021:615:FIN&amp;pk_campaign=doc&amp;pk_source=EUR-Lex&amp;pk_medium=tw&amp;pk_keyword=No2Antisemitism" TargetMode="External"/><Relationship Id="rId24" Type="http://schemas.openxmlformats.org/officeDocument/2006/relationships/hyperlink" Target="https://ec.europa.eu/info/law/better-regulation/have-your-say/initiatives/14552-Anti-racism-Strategy_hu" TargetMode="External"/><Relationship Id="rId32" Type="http://schemas.openxmlformats.org/officeDocument/2006/relationships/hyperlink" Target="https://fra.europa.eu/sites/default/files/fra_uploads/fra-2023-being-black_in_the_eu_en.pdf" TargetMode="External"/><Relationship Id="rId37" Type="http://schemas.openxmlformats.org/officeDocument/2006/relationships/hyperlink" Target="https://www.un.org/en/observances/end-racism-day" TargetMode="External"/><Relationship Id="rId40" Type="http://schemas.openxmlformats.org/officeDocument/2006/relationships/hyperlink" Target="https://eur-lex.europa.eu/legal-content/HU/TXT/PDF/?uri=CELEX:52015IP0095" TargetMode="External"/><Relationship Id="rId45" Type="http://schemas.openxmlformats.org/officeDocument/2006/relationships/hyperlink" Target="https://europa.eu/eurobarometer/surveys/detail/2972?etrans=hu" TargetMode="External"/><Relationship Id="rId53" Type="http://schemas.openxmlformats.org/officeDocument/2006/relationships/hyperlink" Target="https://fra.europa.eu/sites/default/files/fra_uploads/fra-2024-experiences-perceptions-antisemitism-survey_en.pdf" TargetMode="External"/><Relationship Id="rId58" Type="http://schemas.openxmlformats.org/officeDocument/2006/relationships/hyperlink" Target="https://eucpn.org/sites/default/files/document/files/POLICY%20PAPER%202019%20COP_ENG_LR.pdf" TargetMode="External"/><Relationship Id="rId66" Type="http://schemas.openxmlformats.org/officeDocument/2006/relationships/hyperlink" Target="https://www.oecd.org/content/dam/oecd/en/publications/reports/2025/03/monitoring-and-assessing-the-impact-of-national-action-plans-against-racism_0d72a33d/13e32676-en.pdf" TargetMode="External"/><Relationship Id="rId74" Type="http://schemas.openxmlformats.org/officeDocument/2006/relationships/hyperlink" Target="https://www.oecd.org/content/dam/oecd/en/publications/reports/2025/03/monitoring-and-assessing-the-impact-of-national-action-plans-against-racism_0d72a33d/13e32676-en.pdf" TargetMode="External"/><Relationship Id="rId79" Type="http://schemas.openxmlformats.org/officeDocument/2006/relationships/hyperlink" Target="file:///\\net1.cec.eu.int\homes\05\florata\Meins%20-%20Mine%20-%20Mio\Projects\Strategy\Draft\Pre-ISC%20111125\(https:\op.europa.eu\en\publication-detail\-\publication\042f7559-fd3f-11ee-a251-01aa75ed71a1\language-en)" TargetMode="External"/><Relationship Id="rId87" Type="http://schemas.openxmlformats.org/officeDocument/2006/relationships/hyperlink" Target="https://commission.europa.eu/document/2587f7c6-7353-4a65-9ca2-3d5e2a41489d_en?prefLang=hu" TargetMode="External"/><Relationship Id="rId5" Type="http://schemas.openxmlformats.org/officeDocument/2006/relationships/hyperlink" Target="https://eur-lex.europa.eu/legal-content/HU/TXT/?from=HU&amp;uri=CELEX%3A52022IP0389" TargetMode="External"/><Relationship Id="rId61" Type="http://schemas.openxmlformats.org/officeDocument/2006/relationships/hyperlink" Target="https://ec.europa.eu/info/law/better-regulation/have-your-say/initiatives/14552-Rasszizmus-elleni-strategia_hu" TargetMode="External"/><Relationship Id="rId82" Type="http://schemas.openxmlformats.org/officeDocument/2006/relationships/hyperlink" Target="https://www.who.int/activities/tackling-structural-racism-and-ethnicity-based-discrimination-in-health" TargetMode="External"/><Relationship Id="rId90" Type="http://schemas.openxmlformats.org/officeDocument/2006/relationships/hyperlink" Target="https://ec.europa.eu/transparency/expert-groups-register/screen/expert-groups/consult?lang=hu&amp;groupID=3425" TargetMode="External"/><Relationship Id="rId95" Type="http://schemas.openxmlformats.org/officeDocument/2006/relationships/hyperlink" Target="https://fra.europa.eu/sites/default/files/fra_uploads/report-key-findings-fra-civic-space-consultation-2024_en_0.pdf" TargetMode="External"/><Relationship Id="rId19" Type="http://schemas.openxmlformats.org/officeDocument/2006/relationships/hyperlink" Target="https://single-market-economy.ec.europa.eu/sectors/proximity-and-social-economy/social-economy-eu/affordable-housing-initiative_en?prefLang=hu" TargetMode="External"/><Relationship Id="rId14" Type="http://schemas.openxmlformats.org/officeDocument/2006/relationships/hyperlink" Target="https://op.europa.eu/hu/publication-detail/-/publication/3e1e2228-7c97-11eb-9ac9-01aa75ed71a1" TargetMode="External"/><Relationship Id="rId22" Type="http://schemas.openxmlformats.org/officeDocument/2006/relationships/hyperlink" Target="https://ec.europa.eu/commission/presscorner/detail/hu/ip_25_2660" TargetMode="External"/><Relationship Id="rId27" Type="http://schemas.openxmlformats.org/officeDocument/2006/relationships/hyperlink" Target="https://www.oecd.org/en/publications/monitoring-and-assessing-the-impact-of-national-action-plans-against-racism_13e32676-en/full-report.html" TargetMode="External"/><Relationship Id="rId30" Type="http://schemas.openxmlformats.org/officeDocument/2006/relationships/hyperlink" Target="https://fra.europa.eu/sites/default/files/fra_uploads/fra-2025-roma-survey-2024_en.pdf" TargetMode="External"/><Relationship Id="rId35" Type="http://schemas.openxmlformats.org/officeDocument/2006/relationships/hyperlink" Target="https://ec.europa.eu/transparency/expert-groups-register/screen/expert-groups/consult?lang=hu&amp;groupID=3425" TargetMode="External"/><Relationship Id="rId43" Type="http://schemas.openxmlformats.org/officeDocument/2006/relationships/hyperlink" Target="https://op.europa.eu/en/publication-detail/-/publication/db43f6ca-da14-11ef-be2a-01aa75ed71a1/language-en" TargetMode="External"/><Relationship Id="rId48" Type="http://schemas.openxmlformats.org/officeDocument/2006/relationships/hyperlink" Target="https://fra.europa.eu/sites/default/files/fra_uploads/fra-2024-experiences-perceptions-antisemitism-survey_en.pdf" TargetMode="External"/><Relationship Id="rId56" Type="http://schemas.openxmlformats.org/officeDocument/2006/relationships/hyperlink" Target="https://commission.europa.eu/strategy-and-policy/policies/justice-and-fundamental-rights/criminal-justice/protecting-victims-rights/victims-rights-eu_en?prefLang=hu" TargetMode="External"/><Relationship Id="rId64" Type="http://schemas.openxmlformats.org/officeDocument/2006/relationships/hyperlink" Target="https://fra.europa.eu/sites/default/files/fra_uploads/fra-2025-roma-survey-2024_en.pdf" TargetMode="External"/><Relationship Id="rId69" Type="http://schemas.openxmlformats.org/officeDocument/2006/relationships/hyperlink" Target="https://education.ec.europa.eu/news/new-issue-paper-tackling-prejudice-and-discrimination-in-and-through-education-and-training?etrans=hu" TargetMode="External"/><Relationship Id="rId77" Type="http://schemas.openxmlformats.org/officeDocument/2006/relationships/hyperlink" Target="https://ruralpact.rural-vision.europa.eu/publications/highlights-report-good-practice-webinar-rural-housing_hu?etrans=hu" TargetMode="External"/><Relationship Id="rId8" Type="http://schemas.openxmlformats.org/officeDocument/2006/relationships/hyperlink" Target="https://www.consilium.europa.eu/hu/meetings/jha/2024/10/11/" TargetMode="External"/><Relationship Id="rId51" Type="http://schemas.openxmlformats.org/officeDocument/2006/relationships/hyperlink" Target="https://fra.europa.eu/sites/default/files/fra_uploads/fra-2024-addressing-racism-in-policing_en.pdf" TargetMode="External"/><Relationship Id="rId72" Type="http://schemas.openxmlformats.org/officeDocument/2006/relationships/hyperlink" Target="https://academic.oup.com/ser/article/21/3/1551/7086060" TargetMode="External"/><Relationship Id="rId80" Type="http://schemas.openxmlformats.org/officeDocument/2006/relationships/hyperlink" Target="https://www.saage-network.eu/sites/default/files/media/publication/DS0320880ENN-en.pdf" TargetMode="External"/><Relationship Id="rId85" Type="http://schemas.openxmlformats.org/officeDocument/2006/relationships/hyperlink" Target="https://www.unesco.org/en/articles/unesco-launches-global-alliance-racism-and-discriminations-after-4th-edition-global-forum" TargetMode="External"/><Relationship Id="rId93" Type="http://schemas.openxmlformats.org/officeDocument/2006/relationships/hyperlink" Target="https://epc-web-s3.s3.amazonaws.com/uploads/ckeditor/2025/06/25/securing-europes-civil-space_final.pdf" TargetMode="External"/><Relationship Id="rId98" Type="http://schemas.openxmlformats.org/officeDocument/2006/relationships/hyperlink" Target="https://civilsocietyeurope.eu/wp-content/uploads/2025/06/Joint-Civil-Society-Contribution-on-Civic-Space-to-the-2025-Rule-of-Law-Report.docx.pdf" TargetMode="External"/><Relationship Id="rId3" Type="http://schemas.openxmlformats.org/officeDocument/2006/relationships/hyperlink" Target="https://europa.eu/eurobarometer/surveys/detail/2972." TargetMode="External"/><Relationship Id="rId12" Type="http://schemas.openxmlformats.org/officeDocument/2006/relationships/hyperlink" Target="https://commission.europa.eu/document/download/0c3fe55d-9e4f-4377-9d14-93d03398b434_en?filename=Gender%20Equality%20Report%20Chapeau%20Communication.pdf" TargetMode="External"/><Relationship Id="rId17" Type="http://schemas.openxmlformats.org/officeDocument/2006/relationships/hyperlink" Target="https://op.europa.eu/en/publication-detail/-/publication/bb47d489-a2b1-11eb-9585-01aa75ed71a1/language-hu" TargetMode="External"/><Relationship Id="rId25" Type="http://schemas.openxmlformats.org/officeDocument/2006/relationships/hyperlink" Target="https://fra.europa.eu/sites/default/files/fra_uploads/fra-2023-being-black_in_the_eu_en.pdf" TargetMode="External"/><Relationship Id="rId33" Type="http://schemas.openxmlformats.org/officeDocument/2006/relationships/hyperlink" Target="https://fra.europa.eu/en/news/2024/muslims-europe-face-ever-more-racism-and-discrimination" TargetMode="External"/><Relationship Id="rId38" Type="http://schemas.openxmlformats.org/officeDocument/2006/relationships/hyperlink" Target="https://www.europarl.europa.eu/doceo/document/TA-9-2020-0173_HU.html" TargetMode="External"/><Relationship Id="rId46" Type="http://schemas.openxmlformats.org/officeDocument/2006/relationships/hyperlink" Target="https://europa.eu/eurobarometer/surveys/detail/2972?etrans=hu" TargetMode="External"/><Relationship Id="rId59" Type="http://schemas.openxmlformats.org/officeDocument/2006/relationships/hyperlink" Target="https://eucpn.org/sites/default/files/document/files/POLICY%20PAPER%202019%20COP_ENG_LR.pdf" TargetMode="External"/><Relationship Id="rId67" Type="http://schemas.openxmlformats.org/officeDocument/2006/relationships/hyperlink" Target="https://www.oecd.org/content/dam/oecd/en/publications/reports/2025/03/monitoring-and-assessing-the-impact-of-national-action-plans-against-racism_0d72a33d/13e32676-en.pdf" TargetMode="External"/><Relationship Id="rId20" Type="http://schemas.openxmlformats.org/officeDocument/2006/relationships/hyperlink" Target="https://commission.europa.eu/topics/competitiveness/union-skills_hu" TargetMode="External"/><Relationship Id="rId41" Type="http://schemas.openxmlformats.org/officeDocument/2006/relationships/hyperlink" Target="https://data.consilium.europa.eu/doc/document/ST-12000-2023-INIT/hu/pdf" TargetMode="External"/><Relationship Id="rId54" Type="http://schemas.openxmlformats.org/officeDocument/2006/relationships/hyperlink" Target="https://commission.europa.eu/document/download/f713e60d-403a-41eb-934b-a70f65ec66a8_en?filename=Study%20on%20sanctions%20for%20discrimination%20on%20racial%2Cethnic%2Creligious%20grounds.pdf" TargetMode="External"/><Relationship Id="rId62" Type="http://schemas.openxmlformats.org/officeDocument/2006/relationships/hyperlink" Target="https://europa.eu/eurobarometer/surveys/detail/2972" TargetMode="External"/><Relationship Id="rId70" Type="http://schemas.openxmlformats.org/officeDocument/2006/relationships/hyperlink" Target="https://education.ec.europa.eu/news/new-issue-paper-tackling-prejudice-and-discrimination-in-and-through-education-and-training?etrans=hu" TargetMode="External"/><Relationship Id="rId75" Type="http://schemas.openxmlformats.org/officeDocument/2006/relationships/hyperlink" Target="https://ruralpact.rural-vision.europa.eu/publications/highlights-report-good-practice-webinar-rural-housing_hu?etrans=hu" TargetMode="External"/><Relationship Id="rId83" Type="http://schemas.openxmlformats.org/officeDocument/2006/relationships/hyperlink" Target="https://eur-lex.europa.eu/resource.html?uri=cellar:6c924246-da52-11eb-895a-01aa75ed71a1.0003.02/DOC_1&amp;format=PDF" TargetMode="External"/><Relationship Id="rId88" Type="http://schemas.openxmlformats.org/officeDocument/2006/relationships/hyperlink" Target="https://commission.europa.eu/document/2587f7c6-7353-4a65-9ca2-3d5e2a41489d_en?prefLang=hu" TargetMode="External"/><Relationship Id="rId91" Type="http://schemas.openxmlformats.org/officeDocument/2006/relationships/hyperlink" Target="https://commission.europa.eu/system/files/2022-05/common_guiding_principles_for_national_action_plans_against_racism_and_racial_discrimination.pdf" TargetMode="External"/><Relationship Id="rId96" Type="http://schemas.openxmlformats.org/officeDocument/2006/relationships/hyperlink" Target="https://fra.europa.eu/sites/default/files/fra_uploads/report-key-findings-fra-civic-space-consultation-2024_en_0.pdf" TargetMode="External"/><Relationship Id="rId1" Type="http://schemas.openxmlformats.org/officeDocument/2006/relationships/hyperlink" Target="https://eur-lex.europa.eu/legal-content/HU/TXT/?uri=CELEX:12016M/TXT" TargetMode="External"/><Relationship Id="rId6" Type="http://schemas.openxmlformats.org/officeDocument/2006/relationships/hyperlink" Target="https://www.consilium.europa.eu/hu/press/press-releases/2022/03/04/council-adopts-conclusions-on-combating-racism-and-antisemitism/" TargetMode="External"/><Relationship Id="rId15" Type="http://schemas.openxmlformats.org/officeDocument/2006/relationships/hyperlink" Target="https://commission.europa.eu/strategy-and-policy/policies/justice-and-fundamental-rights/combatting-discrimination/racism-and-xenophobia/combating-anti-muslim-hatred_en?prefLang=hu" TargetMode="External"/><Relationship Id="rId23" Type="http://schemas.openxmlformats.org/officeDocument/2006/relationships/hyperlink" Target="https://ec.europa.eu/info/law/better-regulation/have-your-say/initiatives/14552-Anti-racism-Strategy_hu" TargetMode="External"/><Relationship Id="rId28" Type="http://schemas.openxmlformats.org/officeDocument/2006/relationships/hyperlink" Target="https://www.oecd.org/en/publications/monitoring-and-assessing-the-impact-of-national-action-plans-against-racism_13e32676-en/full-report.html" TargetMode="External"/><Relationship Id="rId36" Type="http://schemas.openxmlformats.org/officeDocument/2006/relationships/hyperlink" Target="https://commission.europa.eu/strategy-and-policy/policies/justice-and-fundamental-rights/combatting-discrimination/tackling-discrimination/network-experts-field-anti-discrimination_en?prefLang=hu" TargetMode="External"/><Relationship Id="rId49" Type="http://schemas.openxmlformats.org/officeDocument/2006/relationships/hyperlink" Target="https://fra.europa.eu/sites/default/files/fra_uploads/fra-2023-being-black_in_the_eu_en.pdf" TargetMode="External"/><Relationship Id="rId57" Type="http://schemas.openxmlformats.org/officeDocument/2006/relationships/hyperlink" Target="https://ec.europa.eu/commission/presscorner/detail/hu/ip_25_3017" TargetMode="External"/><Relationship Id="rId10" Type="http://schemas.openxmlformats.org/officeDocument/2006/relationships/hyperlink" Target="https://commission.europa.eu/system/files/2021-01/eu_roma_strategic_framework_for_equality_inclusion_and_participation_for_2020_-_2030_0.pdf" TargetMode="External"/><Relationship Id="rId31" Type="http://schemas.openxmlformats.org/officeDocument/2006/relationships/hyperlink" Target="https://fra.europa.eu/sites/default/files/fra_uploads/fra-2023-being-black_in_the_eu_en.pdf" TargetMode="External"/><Relationship Id="rId44" Type="http://schemas.openxmlformats.org/officeDocument/2006/relationships/hyperlink" Target="https://commission.europa.eu/system/files/2022-02/guidance_note_on_the_collection_and_use_of_equality_data_based_on_racial_or_ethnic_origin_final.pdf" TargetMode="External"/><Relationship Id="rId52" Type="http://schemas.openxmlformats.org/officeDocument/2006/relationships/hyperlink" Target="https://fra.europa.eu/sites/default/files/fra_uploads/fra-2024-being-muslim-in-the-eu_en.pdf" TargetMode="External"/><Relationship Id="rId60" Type="http://schemas.openxmlformats.org/officeDocument/2006/relationships/hyperlink" Target="https://fra.europa.eu/sites/default/files/fra_uploads/fra-2024-addressing-racism-in-policing_en.pdf" TargetMode="External"/><Relationship Id="rId65" Type="http://schemas.openxmlformats.org/officeDocument/2006/relationships/hyperlink" Target="https://fra.europa.eu/sites/default/files/fra_uploads/fra-2024-being-muslim-in-the-eu_en.pdf" TargetMode="External"/><Relationship Id="rId73" Type="http://schemas.openxmlformats.org/officeDocument/2006/relationships/hyperlink" Target="https://www.oecd.org/content/dam/oecd/en/publications/reports/2025/03/monitoring-and-assessing-the-impact-of-national-action-plans-against-racism_0d72a33d/13e32676-en.pdf" TargetMode="External"/><Relationship Id="rId78" Type="http://schemas.openxmlformats.org/officeDocument/2006/relationships/hyperlink" Target="https://ruralpact.rural-vision.europa.eu/publications/highlights-report-good-practice-webinar-rural-housing_hu?etrans=hu" TargetMode="External"/><Relationship Id="rId81" Type="http://schemas.openxmlformats.org/officeDocument/2006/relationships/hyperlink" Target="https://www.who.int/activities/tackling-structural-racism-and-ethnicity-based-discrimination-in-health" TargetMode="External"/><Relationship Id="rId86" Type="http://schemas.openxmlformats.org/officeDocument/2006/relationships/hyperlink" Target="https://www.eeas.europa.eu/eeas/eu-election-observation-missions-1_en" TargetMode="External"/><Relationship Id="rId94" Type="http://schemas.openxmlformats.org/officeDocument/2006/relationships/hyperlink" Target="https://epc-web-s3.s3.amazonaws.com/uploads/ckeditor/2025/06/25/securing-europes-civil-space_final.pdf" TargetMode="External"/><Relationship Id="rId99" Type="http://schemas.openxmlformats.org/officeDocument/2006/relationships/hyperlink" Target="https://commission.europa.eu/about/service-standards-and-principles/modernising-european-commission/diversity-and-inclusion_hu" TargetMode="External"/><Relationship Id="rId4" Type="http://schemas.openxmlformats.org/officeDocument/2006/relationships/hyperlink" Target="https://eur-lex.europa.eu/legal-content/HU/TXT/?from=HU&amp;uri=CELEX%3A52022IP0389" TargetMode="External"/><Relationship Id="rId9" Type="http://schemas.openxmlformats.org/officeDocument/2006/relationships/hyperlink" Target="https://www.consilium.europa.eu/hu/meetings/epsco/2023/11/27-28/" TargetMode="External"/><Relationship Id="rId13" Type="http://schemas.openxmlformats.org/officeDocument/2006/relationships/hyperlink" Target="https://commission.europa.eu/document/download/b4952371-4308-47ad-b995-02c539b75dda_en?filename=JUST_template_comingsoon_standard.pdf" TargetMode="External"/><Relationship Id="rId18" Type="http://schemas.openxmlformats.org/officeDocument/2006/relationships/hyperlink" Target="https://commission.europa.eu/document/download/86b296ab-95ee-4139-aad3-d7016e096195_en?filename=EU%20Strategy%20on%20the%20Rights%20of%20the%20Child%20-%20Illustrated%20version" TargetMode="External"/><Relationship Id="rId39" Type="http://schemas.openxmlformats.org/officeDocument/2006/relationships/hyperlink" Target="https://commission.europa.eu/news-and-media/news/holocaust-remembrance-european-commission-and-polish-presidency-host-international-conference-and-2025-01-20_en?prefLang=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A5DC02BE-28C5-4697-A6CF-840EBD1E15FB}">
  <ds:schemaRefs>
    <ds:schemaRef ds:uri="http://schemas.microsoft.com/office/2006/metadata/properties"/>
    <ds:schemaRef ds:uri="http://schemas.microsoft.com/office/infopath/2007/PartnerControls"/>
    <ds:schemaRef ds:uri="38bf3bd7-73ad-4948-8b71-aa2c92f53103"/>
  </ds:schemaRefs>
</ds:datastoreItem>
</file>

<file path=customXml/itemProps2.xml><?xml version="1.0" encoding="utf-8"?>
<ds:datastoreItem xmlns:ds="http://schemas.openxmlformats.org/officeDocument/2006/customXml" ds:itemID="{36630F7B-4566-44DC-BCE9-E8DC5E0758E0}">
  <ds:schemaRefs>
    <ds:schemaRef ds:uri="http://schemas.microsoft.com/sharepoint/v3/contenttype/forms"/>
  </ds:schemaRefs>
</ds:datastoreItem>
</file>

<file path=customXml/itemProps3.xml><?xml version="1.0" encoding="utf-8"?>
<ds:datastoreItem xmlns:ds="http://schemas.openxmlformats.org/officeDocument/2006/customXml" ds:itemID="{8431CAEF-2F00-4FF0-9279-F60D8EBAB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8B4CD7-7562-4CF2-BBD6-BAF86F0B0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10987</Words>
  <Characters>62629</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73470</CharactersWithSpaces>
  <SharedDoc>false</SharedDoc>
  <HLinks>
    <vt:vector size="990" baseType="variant">
      <vt:variant>
        <vt:i4>2031676</vt:i4>
      </vt:variant>
      <vt:variant>
        <vt:i4>333</vt:i4>
      </vt:variant>
      <vt:variant>
        <vt:i4>0</vt:i4>
      </vt:variant>
      <vt:variant>
        <vt:i4>5</vt:i4>
      </vt:variant>
      <vt:variant>
        <vt:lpwstr>https://commission.europa.eu/strategy-and-policy/policies/justice-and-fundamental-rights/combatting-discrimination/tackling-discrimination/diversity-and-inclusion-initiatives/european-diversity-month_en</vt:lpwstr>
      </vt:variant>
      <vt:variant>
        <vt:lpwstr/>
      </vt:variant>
      <vt:variant>
        <vt:i4>2228321</vt:i4>
      </vt:variant>
      <vt:variant>
        <vt:i4>330</vt:i4>
      </vt:variant>
      <vt:variant>
        <vt:i4>0</vt:i4>
      </vt:variant>
      <vt:variant>
        <vt:i4>5</vt:i4>
      </vt:variant>
      <vt:variant>
        <vt:lpwstr>https://eur-lex.europa.eu/legal-content/EN/TXT/HTML/?uri=CELEX:32024D1043</vt:lpwstr>
      </vt:variant>
      <vt:variant>
        <vt:lpwstr>:~:text=The%20Commission%20has%20put%20in%20place%20a%20policy,for%20in%20Commission%20Decision%20C%20%282023%29%208630%20%283%29.</vt:lpwstr>
      </vt:variant>
      <vt:variant>
        <vt:i4>2752600</vt:i4>
      </vt:variant>
      <vt:variant>
        <vt:i4>327</vt:i4>
      </vt:variant>
      <vt:variant>
        <vt:i4>0</vt:i4>
      </vt:variant>
      <vt:variant>
        <vt:i4>5</vt:i4>
      </vt:variant>
      <vt:variant>
        <vt:lpwstr>https://commission.europa.eu/about/service-standards-and-principles/ethics-and-good-administration/commissioners-and-ethics/code-conduct-members-european-commission_en</vt:lpwstr>
      </vt:variant>
      <vt:variant>
        <vt:lpwstr>:~:text=The%20Code%20of%20Conduct%20sets%20out%20how%20European,version%20came%20into%20force%20on%201%20February%202018.</vt:lpwstr>
      </vt:variant>
      <vt:variant>
        <vt:i4>4653056</vt:i4>
      </vt:variant>
      <vt:variant>
        <vt:i4>324</vt:i4>
      </vt:variant>
      <vt:variant>
        <vt:i4>0</vt:i4>
      </vt:variant>
      <vt:variant>
        <vt:i4>5</vt:i4>
      </vt:variant>
      <vt:variant>
        <vt:lpwstr>https://commission.europa.eu/document/download/91926dd1-3dd2-4000-98e7-726597189d12_en?filename=Factsheet-diversity-and-inclusion-survey_en.pdf</vt:lpwstr>
      </vt:variant>
      <vt:variant>
        <vt:lpwstr/>
      </vt:variant>
      <vt:variant>
        <vt:i4>5046310</vt:i4>
      </vt:variant>
      <vt:variant>
        <vt:i4>321</vt:i4>
      </vt:variant>
      <vt:variant>
        <vt:i4>0</vt:i4>
      </vt:variant>
      <vt:variant>
        <vt:i4>5</vt:i4>
      </vt:variant>
      <vt:variant>
        <vt:lpwstr>https://traineeships.ec.europa.eu/index_de</vt:lpwstr>
      </vt:variant>
      <vt:variant>
        <vt:lpwstr/>
      </vt:variant>
      <vt:variant>
        <vt:i4>8323111</vt:i4>
      </vt:variant>
      <vt:variant>
        <vt:i4>318</vt:i4>
      </vt:variant>
      <vt:variant>
        <vt:i4>0</vt:i4>
      </vt:variant>
      <vt:variant>
        <vt:i4>5</vt:i4>
      </vt:variant>
      <vt:variant>
        <vt:lpwstr>https://commission.europa.eu/system/files/2023-09/fact-sheet-diversity-inclusion-in-workplace-action-plan-2023-2024_en_0.pdf</vt:lpwstr>
      </vt:variant>
      <vt:variant>
        <vt:lpwstr/>
      </vt:variant>
      <vt:variant>
        <vt:i4>3801185</vt:i4>
      </vt:variant>
      <vt:variant>
        <vt:i4>315</vt:i4>
      </vt:variant>
      <vt:variant>
        <vt:i4>0</vt:i4>
      </vt:variant>
      <vt:variant>
        <vt:i4>5</vt:i4>
      </vt:variant>
      <vt:variant>
        <vt:lpwstr>https://eu-careers.europa.eu/en</vt:lpwstr>
      </vt:variant>
      <vt:variant>
        <vt:lpwstr/>
      </vt:variant>
      <vt:variant>
        <vt:i4>2162802</vt:i4>
      </vt:variant>
      <vt:variant>
        <vt:i4>312</vt:i4>
      </vt:variant>
      <vt:variant>
        <vt:i4>0</vt:i4>
      </vt:variant>
      <vt:variant>
        <vt:i4>5</vt:i4>
      </vt:variant>
      <vt:variant>
        <vt:lpwstr>https://eige.europa.eu/</vt:lpwstr>
      </vt:variant>
      <vt:variant>
        <vt:lpwstr/>
      </vt:variant>
      <vt:variant>
        <vt:i4>2424922</vt:i4>
      </vt:variant>
      <vt:variant>
        <vt:i4>309</vt:i4>
      </vt:variant>
      <vt:variant>
        <vt:i4>0</vt:i4>
      </vt:variant>
      <vt:variant>
        <vt:i4>5</vt:i4>
      </vt:variant>
      <vt:variant>
        <vt:lpwstr>https://european-union.europa.eu/institutions-law-budget/institutions-and-bodies/search-all-eu-institutions-and-bodies/eurofound_en</vt:lpwstr>
      </vt:variant>
      <vt:variant>
        <vt:lpwstr/>
      </vt:variant>
      <vt:variant>
        <vt:i4>1572935</vt:i4>
      </vt:variant>
      <vt:variant>
        <vt:i4>306</vt:i4>
      </vt:variant>
      <vt:variant>
        <vt:i4>0</vt:i4>
      </vt:variant>
      <vt:variant>
        <vt:i4>5</vt:i4>
      </vt:variant>
      <vt:variant>
        <vt:lpwstr>https://fra.europa.eu/en/project/2019/subgroup-equality-data</vt:lpwstr>
      </vt:variant>
      <vt:variant>
        <vt:lpwstr/>
      </vt:variant>
      <vt:variant>
        <vt:i4>65658</vt:i4>
      </vt:variant>
      <vt:variant>
        <vt:i4>303</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983058</vt:i4>
      </vt:variant>
      <vt:variant>
        <vt:i4>300</vt:i4>
      </vt:variant>
      <vt:variant>
        <vt:i4>0</vt:i4>
      </vt:variant>
      <vt:variant>
        <vt:i4>5</vt:i4>
      </vt:variant>
      <vt:variant>
        <vt:lpwstr>https://www.unesco.org/en/articles/unesco-launches-global-alliance-racism-and-discriminations-after-4th-edition-global-forum</vt:lpwstr>
      </vt:variant>
      <vt:variant>
        <vt:lpwstr/>
      </vt:variant>
      <vt:variant>
        <vt:i4>2424933</vt:i4>
      </vt:variant>
      <vt:variant>
        <vt:i4>297</vt:i4>
      </vt:variant>
      <vt:variant>
        <vt:i4>0</vt:i4>
      </vt:variant>
      <vt:variant>
        <vt:i4>5</vt:i4>
      </vt:variant>
      <vt:variant>
        <vt:lpwstr>https://www.un.org/en/observances/decade-people-african-descent</vt:lpwstr>
      </vt:variant>
      <vt:variant>
        <vt:lpwstr/>
      </vt:variant>
      <vt:variant>
        <vt:i4>1245185</vt:i4>
      </vt:variant>
      <vt:variant>
        <vt:i4>294</vt:i4>
      </vt:variant>
      <vt:variant>
        <vt:i4>0</vt:i4>
      </vt:variant>
      <vt:variant>
        <vt:i4>5</vt:i4>
      </vt:variant>
      <vt:variant>
        <vt:lpwstr>https://www.ohchr.org/en/special-procedures/sr-racism</vt:lpwstr>
      </vt:variant>
      <vt:variant>
        <vt:lpwstr/>
      </vt:variant>
      <vt:variant>
        <vt:i4>4325452</vt:i4>
      </vt:variant>
      <vt:variant>
        <vt:i4>291</vt:i4>
      </vt:variant>
      <vt:variant>
        <vt:i4>0</vt:i4>
      </vt:variant>
      <vt:variant>
        <vt:i4>5</vt:i4>
      </vt:variant>
      <vt:variant>
        <vt:lpwstr>https://www.echr.coe.int/</vt:lpwstr>
      </vt:variant>
      <vt:variant>
        <vt:lpwstr/>
      </vt:variant>
      <vt:variant>
        <vt:i4>5242944</vt:i4>
      </vt:variant>
      <vt:variant>
        <vt:i4>288</vt:i4>
      </vt:variant>
      <vt:variant>
        <vt:i4>0</vt:i4>
      </vt:variant>
      <vt:variant>
        <vt:i4>5</vt:i4>
      </vt:variant>
      <vt:variant>
        <vt:lpwstr>https://www.coe.int/en/web/portal</vt:lpwstr>
      </vt:variant>
      <vt:variant>
        <vt:lpwstr/>
      </vt:variant>
      <vt:variant>
        <vt:i4>196688</vt:i4>
      </vt:variant>
      <vt:variant>
        <vt:i4>285</vt:i4>
      </vt:variant>
      <vt:variant>
        <vt:i4>0</vt:i4>
      </vt:variant>
      <vt:variant>
        <vt:i4>5</vt:i4>
      </vt:variant>
      <vt:variant>
        <vt:lpwstr>https://www.ohchr.org/en/instruments-mechanisms/instruments/international-convention-elimination-all-forms-racial</vt:lpwstr>
      </vt:variant>
      <vt:variant>
        <vt:lpwstr/>
      </vt:variant>
      <vt:variant>
        <vt:i4>8192094</vt:i4>
      </vt:variant>
      <vt:variant>
        <vt:i4>282</vt:i4>
      </vt:variant>
      <vt:variant>
        <vt:i4>0</vt:i4>
      </vt:variant>
      <vt:variant>
        <vt:i4>5</vt:i4>
      </vt:variant>
      <vt:variant>
        <vt:lpwstr>https://commission.europa.eu/strategy-and-policy/policies/justice-and-fundamental-rights/combatting-discrimination/racism-and-xenophobia/consultation-process_en</vt:lpwstr>
      </vt:variant>
      <vt:variant>
        <vt:lpwstr/>
      </vt:variant>
      <vt:variant>
        <vt:i4>2490445</vt:i4>
      </vt:variant>
      <vt:variant>
        <vt:i4>279</vt:i4>
      </vt:variant>
      <vt:variant>
        <vt:i4>0</vt:i4>
      </vt:variant>
      <vt:variant>
        <vt:i4>5</vt:i4>
      </vt:variant>
      <vt:variant>
        <vt:lpwstr>https://commission.europa.eu/system/files/2022-05/common_guiding_principles_for_national_action_plans_against_racism_and_racial_discrimination.pdf</vt:lpwstr>
      </vt:variant>
      <vt:variant>
        <vt:lpwstr/>
      </vt:variant>
      <vt:variant>
        <vt:i4>7405649</vt:i4>
      </vt:variant>
      <vt:variant>
        <vt:i4>276</vt:i4>
      </vt:variant>
      <vt:variant>
        <vt:i4>0</vt:i4>
      </vt:variant>
      <vt:variant>
        <vt:i4>5</vt:i4>
      </vt:variant>
      <vt:variant>
        <vt:lpwstr>https://commission.europa.eu/strategy-and-policy/policies/justice-and-fundamental-rights/combatting-discrimination/racism-and-xenophobia/combating-anti-muslim-hatred_en</vt:lpwstr>
      </vt:variant>
      <vt:variant>
        <vt:lpwstr/>
      </vt:variant>
      <vt:variant>
        <vt:i4>7471119</vt:i4>
      </vt:variant>
      <vt:variant>
        <vt:i4>273</vt:i4>
      </vt:variant>
      <vt:variant>
        <vt:i4>0</vt:i4>
      </vt:variant>
      <vt:variant>
        <vt:i4>5</vt:i4>
      </vt:variant>
      <vt:variant>
        <vt:lpwstr>https://commission.europa.eu/strategy-and-policy/policies/justice-and-fundamental-rights/combatting-discrimination/racism-and-xenophobia/commissions-coordinator-combating-racism_en</vt:lpwstr>
      </vt:variant>
      <vt:variant>
        <vt:lpwstr>:~:text=In%20addition%2C%20the%20coordinator%20joins,ever%20nominated%20Coordinator%20(2021).</vt:lpwstr>
      </vt:variant>
      <vt:variant>
        <vt:i4>3473426</vt:i4>
      </vt:variant>
      <vt:variant>
        <vt:i4>267</vt:i4>
      </vt:variant>
      <vt:variant>
        <vt:i4>0</vt:i4>
      </vt:variant>
      <vt:variant>
        <vt:i4>5</vt:i4>
      </vt:variant>
      <vt:variant>
        <vt:lpwstr>https://ec.europa.eu/info/law/better-regulation/have-your-say/initiatives/14552-Anti-racism-Strategy_en</vt:lpwstr>
      </vt:variant>
      <vt:variant>
        <vt:lpwstr/>
      </vt:variant>
      <vt:variant>
        <vt:i4>5570623</vt:i4>
      </vt:variant>
      <vt:variant>
        <vt:i4>264</vt:i4>
      </vt:variant>
      <vt:variant>
        <vt:i4>0</vt:i4>
      </vt:variant>
      <vt:variant>
        <vt:i4>5</vt:i4>
      </vt:variant>
      <vt:variant>
        <vt:lpwstr>https://commission.europa.eu/document/download/4968fa88-5350-48d9-bf36-abd3c0142aa8_en?filename=Report%20Antiracism.pdf</vt:lpwstr>
      </vt:variant>
      <vt:variant>
        <vt:lpwstr/>
      </vt:variant>
      <vt:variant>
        <vt:i4>5177352</vt:i4>
      </vt:variant>
      <vt:variant>
        <vt:i4>261</vt:i4>
      </vt:variant>
      <vt:variant>
        <vt:i4>0</vt:i4>
      </vt:variant>
      <vt:variant>
        <vt:i4>5</vt:i4>
      </vt:variant>
      <vt:variant>
        <vt:lpwstr>https://ec.europa.eu/regional_policy/policy/what/glossary/enabling-conditions_en</vt:lpwstr>
      </vt:variant>
      <vt:variant>
        <vt:lpwstr/>
      </vt:variant>
      <vt:variant>
        <vt:i4>983083</vt:i4>
      </vt:variant>
      <vt:variant>
        <vt:i4>258</vt:i4>
      </vt:variant>
      <vt:variant>
        <vt:i4>0</vt:i4>
      </vt:variant>
      <vt:variant>
        <vt:i4>5</vt:i4>
      </vt:variant>
      <vt:variant>
        <vt:lpwstr>https://commission.europa.eu/topics/budget/eu-budget-2028-2034-explained/investing-people-member-states-and-regions_en</vt:lpwstr>
      </vt:variant>
      <vt:variant>
        <vt:lpwstr/>
      </vt:variant>
      <vt:variant>
        <vt:i4>8061035</vt:i4>
      </vt:variant>
      <vt:variant>
        <vt:i4>255</vt:i4>
      </vt:variant>
      <vt:variant>
        <vt:i4>0</vt:i4>
      </vt:variant>
      <vt:variant>
        <vt:i4>5</vt:i4>
      </vt:variant>
      <vt:variant>
        <vt:lpwstr>https://eur-lex.europa.eu/eli/reg/2024/2509/oj/eng</vt:lpwstr>
      </vt:variant>
      <vt:variant>
        <vt:lpwstr/>
      </vt:variant>
      <vt:variant>
        <vt:i4>458877</vt:i4>
      </vt:variant>
      <vt:variant>
        <vt:i4>252</vt:i4>
      </vt:variant>
      <vt:variant>
        <vt:i4>0</vt:i4>
      </vt:variant>
      <vt:variant>
        <vt:i4>5</vt:i4>
      </vt:variant>
      <vt:variant>
        <vt:lpwstr>https://commission.europa.eu/funding-tenders/find-funding/funding-management-mode/common-provisions-regulation_en</vt:lpwstr>
      </vt:variant>
      <vt:variant>
        <vt:lpwstr/>
      </vt:variant>
      <vt:variant>
        <vt:i4>5177352</vt:i4>
      </vt:variant>
      <vt:variant>
        <vt:i4>249</vt:i4>
      </vt:variant>
      <vt:variant>
        <vt:i4>0</vt:i4>
      </vt:variant>
      <vt:variant>
        <vt:i4>5</vt:i4>
      </vt:variant>
      <vt:variant>
        <vt:lpwstr>https://ec.europa.eu/regional_policy/policy/what/glossary/enabling-conditions_en</vt:lpwstr>
      </vt:variant>
      <vt:variant>
        <vt:lpwstr/>
      </vt:variant>
      <vt:variant>
        <vt:i4>3866625</vt:i4>
      </vt:variant>
      <vt:variant>
        <vt:i4>246</vt:i4>
      </vt:variant>
      <vt:variant>
        <vt:i4>0</vt:i4>
      </vt:variant>
      <vt:variant>
        <vt:i4>5</vt:i4>
      </vt:variant>
      <vt:variant>
        <vt:lpwstr>https://www.google.com/search?client=safari&amp;cs=0&amp;sca_esv=5187336602293079&amp;sxsrf=AE3TifO7u2ws-s-axKVJP7yuUI1WxQw9UA%3A1761316588389&amp;q=Citizens%2C+Equality%2C+Rights+and+Values+%28CERV%29+Programme&amp;sa=X&amp;ved=2ahUKEwjyoYDLh72QAxXi4wIHHYbGJf0QxccNegQIAxAC&amp;mstk=AUtExfDQ-WoerNc9AtexZkuk0C8h7_5X9w0sbioJWqehlC5jzw6BqvHCYshYLTYgGQT8z9pjV666c6FJG8_Yqr7Qvz3LJlEaHgCPfZrejanWEhgeTUFiwnFbDzrd9DDvLDUCNbq4Mp8oOzQ2j0kichCLSXMbdtiNAk1oNntom1IYDOs7sII&amp;csui=3</vt:lpwstr>
      </vt:variant>
      <vt:variant>
        <vt:lpwstr/>
      </vt:variant>
      <vt:variant>
        <vt:i4>2555927</vt:i4>
      </vt:variant>
      <vt:variant>
        <vt:i4>243</vt:i4>
      </vt:variant>
      <vt:variant>
        <vt:i4>0</vt:i4>
      </vt:variant>
      <vt:variant>
        <vt:i4>5</vt:i4>
      </vt:variant>
      <vt:variant>
        <vt:lpwstr>https://www.google.com/search?client=safari&amp;cs=0&amp;sca_esv=5187336602293079&amp;sxsrf=AE3TifO7u2ws-s-axKVJP7yuUI1WxQw9UA%3A1761316588389&amp;q=Recovery+and+Resilience+Facility&amp;sa=X&amp;ved=2ahUKEwjyoYDLh72QAxXi4wIHHYbGJf0QxccNegQIAxAB&amp;mstk=AUtExfDQ-WoerNc9AtexZkuk0C8h7_5X9w0sbioJWqehlC5jzw6BqvHCYshYLTYgGQT8z9pjV666c6FJG8_Yqr7Qvz3LJlEaHgCPfZrejanWEhgeTUFiwnFbDzrd9DDvLDUCNbq4Mp8oOzQ2j0kichCLSXMbdtiNAk1oNntom1IYDOs7sII&amp;csui=3</vt:lpwstr>
      </vt:variant>
      <vt:variant>
        <vt:lpwstr/>
      </vt:variant>
      <vt:variant>
        <vt:i4>2621513</vt:i4>
      </vt:variant>
      <vt:variant>
        <vt:i4>240</vt:i4>
      </vt:variant>
      <vt:variant>
        <vt:i4>0</vt:i4>
      </vt:variant>
      <vt:variant>
        <vt:i4>5</vt:i4>
      </vt:variant>
      <vt:variant>
        <vt:lpwstr>https://commission.europa.eu/publications/agoraeu_en</vt:lpwstr>
      </vt:variant>
      <vt:variant>
        <vt:lpwstr/>
      </vt:variant>
      <vt:variant>
        <vt:i4>1900598</vt:i4>
      </vt:variant>
      <vt:variant>
        <vt:i4>237</vt:i4>
      </vt:variant>
      <vt:variant>
        <vt:i4>0</vt:i4>
      </vt:variant>
      <vt:variant>
        <vt:i4>5</vt:i4>
      </vt:variant>
      <vt:variant>
        <vt:lpwstr>https://commission.europa.eu/strategy-and-policy/eu-budget/long-term-eu-budget/eu-budget-2028-2034_en</vt:lpwstr>
      </vt:variant>
      <vt:variant>
        <vt:lpwstr/>
      </vt:variant>
      <vt:variant>
        <vt:i4>3866625</vt:i4>
      </vt:variant>
      <vt:variant>
        <vt:i4>234</vt:i4>
      </vt:variant>
      <vt:variant>
        <vt:i4>0</vt:i4>
      </vt:variant>
      <vt:variant>
        <vt:i4>5</vt:i4>
      </vt:variant>
      <vt:variant>
        <vt:lpwstr>https://www.google.com/search?client=safari&amp;cs=0&amp;sca_esv=5187336602293079&amp;sxsrf=AE3TifO7u2ws-s-axKVJP7yuUI1WxQw9UA%3A1761316588389&amp;q=Citizens%2C+Equality%2C+Rights+and+Values+%28CERV%29+Programme&amp;sa=X&amp;ved=2ahUKEwjyoYDLh72QAxXi4wIHHYbGJf0QxccNegQIAxAC&amp;mstk=AUtExfDQ-WoerNc9AtexZkuk0C8h7_5X9w0sbioJWqehlC5jzw6BqvHCYshYLTYgGQT8z9pjV666c6FJG8_Yqr7Qvz3LJlEaHgCPfZrejanWEhgeTUFiwnFbDzrd9DDvLDUCNbq4Mp8oOzQ2j0kichCLSXMbdtiNAk1oNntom1IYDOs7sII&amp;csui=3</vt:lpwstr>
      </vt:variant>
      <vt:variant>
        <vt:lpwstr/>
      </vt:variant>
      <vt:variant>
        <vt:i4>2555927</vt:i4>
      </vt:variant>
      <vt:variant>
        <vt:i4>231</vt:i4>
      </vt:variant>
      <vt:variant>
        <vt:i4>0</vt:i4>
      </vt:variant>
      <vt:variant>
        <vt:i4>5</vt:i4>
      </vt:variant>
      <vt:variant>
        <vt:lpwstr>https://www.google.com/search?client=safari&amp;cs=0&amp;sca_esv=5187336602293079&amp;sxsrf=AE3TifO7u2ws-s-axKVJP7yuUI1WxQw9UA%3A1761316588389&amp;q=Recovery+and+Resilience+Facility&amp;sa=X&amp;ved=2ahUKEwjyoYDLh72QAxXi4wIHHYbGJf0QxccNegQIAxAB&amp;mstk=AUtExfDQ-WoerNc9AtexZkuk0C8h7_5X9w0sbioJWqehlC5jzw6BqvHCYshYLTYgGQT8z9pjV666c6FJG8_Yqr7Qvz3LJlEaHgCPfZrejanWEhgeTUFiwnFbDzrd9DDvLDUCNbq4Mp8oOzQ2j0kichCLSXMbdtiNAk1oNntom1IYDOs7sII&amp;csui=3</vt:lpwstr>
      </vt:variant>
      <vt:variant>
        <vt:lpwstr/>
      </vt:variant>
      <vt:variant>
        <vt:i4>2031676</vt:i4>
      </vt:variant>
      <vt:variant>
        <vt:i4>216</vt:i4>
      </vt:variant>
      <vt:variant>
        <vt:i4>0</vt:i4>
      </vt:variant>
      <vt:variant>
        <vt:i4>5</vt:i4>
      </vt:variant>
      <vt:variant>
        <vt:lpwstr>https://commission.europa.eu/strategy-and-policy/policies/justice-and-fundamental-rights/combatting-discrimination/tackling-discrimination/diversity-and-inclusion-initiatives/european-diversity-month_en</vt:lpwstr>
      </vt:variant>
      <vt:variant>
        <vt:lpwstr/>
      </vt:variant>
      <vt:variant>
        <vt:i4>3014665</vt:i4>
      </vt:variant>
      <vt:variant>
        <vt:i4>213</vt:i4>
      </vt:variant>
      <vt:variant>
        <vt:i4>0</vt:i4>
      </vt:variant>
      <vt:variant>
        <vt:i4>5</vt:i4>
      </vt:variant>
      <vt:variant>
        <vt:lpwstr>https://eu-diversity-inclusion.campaign.europa.eu/european-capitals-inclusion-and-diversity-award_en</vt:lpwstr>
      </vt:variant>
      <vt:variant>
        <vt:lpwstr/>
      </vt:variant>
      <vt:variant>
        <vt:i4>3014680</vt:i4>
      </vt:variant>
      <vt:variant>
        <vt:i4>210</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5701648</vt:i4>
      </vt:variant>
      <vt:variant>
        <vt:i4>207</vt:i4>
      </vt:variant>
      <vt:variant>
        <vt:i4>0</vt:i4>
      </vt:variant>
      <vt:variant>
        <vt:i4>5</vt:i4>
      </vt:variant>
      <vt:variant>
        <vt:lpwstr>https://eur-lex.europa.eu/legal-content/EN/TXT/?uri=oj:JOC_2023_041_R_0001</vt:lpwstr>
      </vt:variant>
      <vt:variant>
        <vt:lpwstr/>
      </vt:variant>
      <vt:variant>
        <vt:i4>8323181</vt:i4>
      </vt:variant>
      <vt:variant>
        <vt:i4>204</vt:i4>
      </vt:variant>
      <vt:variant>
        <vt:i4>0</vt:i4>
      </vt:variant>
      <vt:variant>
        <vt:i4>5</vt:i4>
      </vt:variant>
      <vt:variant>
        <vt:lpwstr>https://eur-lex.europa.eu/eli/reco/2021/1004/oj/eng</vt:lpwstr>
      </vt:variant>
      <vt:variant>
        <vt:lpwstr/>
      </vt:variant>
      <vt:variant>
        <vt:i4>7208975</vt:i4>
      </vt:variant>
      <vt:variant>
        <vt:i4>201</vt:i4>
      </vt:variant>
      <vt:variant>
        <vt:i4>0</vt:i4>
      </vt:variant>
      <vt:variant>
        <vt:i4>5</vt:i4>
      </vt:variant>
      <vt:variant>
        <vt:lpwstr>https://ec.europa.eu/info/law/better-regulation/have-your-say/initiatives/14683-EU-Anti-Poverty-Strategy_en</vt:lpwstr>
      </vt:variant>
      <vt:variant>
        <vt:lpwstr/>
      </vt:variant>
      <vt:variant>
        <vt:i4>7602269</vt:i4>
      </vt:variant>
      <vt:variant>
        <vt:i4>198</vt:i4>
      </vt:variant>
      <vt:variant>
        <vt:i4>0</vt:i4>
      </vt:variant>
      <vt:variant>
        <vt:i4>5</vt:i4>
      </vt:variant>
      <vt:variant>
        <vt:lpwstr>https://health.ec.europa.eu/funding/eu4health-programme-2021-2027-vision-healthier-european-union_en</vt:lpwstr>
      </vt:variant>
      <vt:variant>
        <vt:lpwstr/>
      </vt:variant>
      <vt:variant>
        <vt:i4>6225983</vt:i4>
      </vt:variant>
      <vt:variant>
        <vt:i4>195</vt:i4>
      </vt:variant>
      <vt:variant>
        <vt:i4>0</vt:i4>
      </vt:variant>
      <vt:variant>
        <vt:i4>5</vt:i4>
      </vt:variant>
      <vt:variant>
        <vt:lpwstr>https://single-market-economy.ec.europa.eu/sectors/proximity-and-social-economy/social-economy-eu/affordable-housing-initiative_en</vt:lpwstr>
      </vt:variant>
      <vt:variant>
        <vt:lpwstr/>
      </vt:variant>
      <vt:variant>
        <vt:i4>5898303</vt:i4>
      </vt:variant>
      <vt:variant>
        <vt:i4>192</vt:i4>
      </vt:variant>
      <vt:variant>
        <vt:i4>0</vt:i4>
      </vt:variant>
      <vt:variant>
        <vt:i4>5</vt:i4>
      </vt:variant>
      <vt:variant>
        <vt:lpwstr>https://commission.europa.eu/funding-tenders/find-funding/eu-funding-programmes/european-regional-development-fund-erdf_en</vt:lpwstr>
      </vt:variant>
      <vt:variant>
        <vt:lpwstr/>
      </vt:variant>
      <vt:variant>
        <vt:i4>131105</vt:i4>
      </vt:variant>
      <vt:variant>
        <vt:i4>189</vt:i4>
      </vt:variant>
      <vt:variant>
        <vt:i4>0</vt:i4>
      </vt:variant>
      <vt:variant>
        <vt:i4>5</vt:i4>
      </vt:variant>
      <vt:variant>
        <vt:lpwstr>https://commission.europa.eu/eu-regional-and-urban-development/topics/cities-and-urban-development/urban-agenda-eu_en</vt:lpwstr>
      </vt:variant>
      <vt:variant>
        <vt:lpwstr/>
      </vt:variant>
      <vt:variant>
        <vt:i4>3539029</vt:i4>
      </vt:variant>
      <vt:variant>
        <vt:i4>186</vt:i4>
      </vt:variant>
      <vt:variant>
        <vt:i4>0</vt:i4>
      </vt:variant>
      <vt:variant>
        <vt:i4>5</vt:i4>
      </vt:variant>
      <vt:variant>
        <vt:lpwstr>https://employment-social-affairs.ec.europa.eu/policies-and-activities/funding/european-social-fund-plus-esf_en</vt:lpwstr>
      </vt:variant>
      <vt:variant>
        <vt:lpwstr/>
      </vt:variant>
      <vt:variant>
        <vt:i4>3014680</vt:i4>
      </vt:variant>
      <vt:variant>
        <vt:i4>183</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4849748</vt:i4>
      </vt:variant>
      <vt:variant>
        <vt:i4>180</vt:i4>
      </vt:variant>
      <vt:variant>
        <vt:i4>0</vt:i4>
      </vt:variant>
      <vt:variant>
        <vt:i4>5</vt:i4>
      </vt:variant>
      <vt:variant>
        <vt:lpwstr>https://ec.europa.eu/commission/presscorner/detail/en/ip_25_657</vt:lpwstr>
      </vt:variant>
      <vt:variant>
        <vt:lpwstr/>
      </vt:variant>
      <vt:variant>
        <vt:i4>4784239</vt:i4>
      </vt:variant>
      <vt:variant>
        <vt:i4>177</vt:i4>
      </vt:variant>
      <vt:variant>
        <vt:i4>0</vt:i4>
      </vt:variant>
      <vt:variant>
        <vt:i4>5</vt:i4>
      </vt:variant>
      <vt:variant>
        <vt:lpwstr>https://research-and-innovation.ec.europa.eu/funding/funding-opportunities/funding-programmes-and-open-calls/horizon-europe_en</vt:lpwstr>
      </vt:variant>
      <vt:variant>
        <vt:lpwstr/>
      </vt:variant>
      <vt:variant>
        <vt:i4>4718666</vt:i4>
      </vt:variant>
      <vt:variant>
        <vt:i4>174</vt:i4>
      </vt:variant>
      <vt:variant>
        <vt:i4>0</vt:i4>
      </vt:variant>
      <vt:variant>
        <vt:i4>5</vt:i4>
      </vt:variant>
      <vt:variant>
        <vt:lpwstr>https://erasmus-plus.ec.europa.eu/de</vt:lpwstr>
      </vt:variant>
      <vt:variant>
        <vt:lpwstr/>
      </vt:variant>
      <vt:variant>
        <vt:i4>8126563</vt:i4>
      </vt:variant>
      <vt:variant>
        <vt:i4>171</vt:i4>
      </vt:variant>
      <vt:variant>
        <vt:i4>0</vt:i4>
      </vt:variant>
      <vt:variant>
        <vt:i4>5</vt:i4>
      </vt:variant>
      <vt:variant>
        <vt:lpwstr>https://education.ec.europa.eu/</vt:lpwstr>
      </vt:variant>
      <vt:variant>
        <vt:lpwstr/>
      </vt:variant>
      <vt:variant>
        <vt:i4>7340154</vt:i4>
      </vt:variant>
      <vt:variant>
        <vt:i4>168</vt:i4>
      </vt:variant>
      <vt:variant>
        <vt:i4>0</vt:i4>
      </vt:variant>
      <vt:variant>
        <vt:i4>5</vt:i4>
      </vt:variant>
      <vt:variant>
        <vt:lpwstr>https://www.coe.int/en/web/istanbul-convention/about-the-convention</vt:lpwstr>
      </vt:variant>
      <vt:variant>
        <vt:lpwstr/>
      </vt:variant>
      <vt:variant>
        <vt:i4>8126562</vt:i4>
      </vt:variant>
      <vt:variant>
        <vt:i4>165</vt:i4>
      </vt:variant>
      <vt:variant>
        <vt:i4>0</vt:i4>
      </vt:variant>
      <vt:variant>
        <vt:i4>5</vt:i4>
      </vt:variant>
      <vt:variant>
        <vt:lpwstr>https://eur-lex.europa.eu/eli/dir/2024/1385/oj/eng</vt:lpwstr>
      </vt:variant>
      <vt:variant>
        <vt:lpwstr/>
      </vt:variant>
      <vt:variant>
        <vt:i4>3276809</vt:i4>
      </vt:variant>
      <vt:variant>
        <vt:i4>159</vt:i4>
      </vt:variant>
      <vt:variant>
        <vt:i4>0</vt:i4>
      </vt:variant>
      <vt:variant>
        <vt:i4>5</vt:i4>
      </vt:variant>
      <vt:variant>
        <vt:lpwstr>https://commission.europa.eu/strategy-and-policy/priorities-2019-2024/europe-fit-digital-age/digital-services-act_en</vt:lpwstr>
      </vt:variant>
      <vt:variant>
        <vt:lpwstr/>
      </vt:variant>
      <vt:variant>
        <vt:i4>1507364</vt:i4>
      </vt:variant>
      <vt:variant>
        <vt:i4>156</vt:i4>
      </vt:variant>
      <vt:variant>
        <vt:i4>0</vt:i4>
      </vt:variant>
      <vt:variant>
        <vt:i4>5</vt:i4>
      </vt:variant>
      <vt:variant>
        <vt:lpwstr>https://commission.europa.eu/strategy-and-policy/policies/justice-and-fundamental-rights/combatting-discrimination/racism-and-xenophobia/eu-code-conduct-countering-illegal-hate-speech-online_en</vt:lpwstr>
      </vt:variant>
      <vt:variant>
        <vt:lpwstr/>
      </vt:variant>
      <vt:variant>
        <vt:i4>1441811</vt:i4>
      </vt:variant>
      <vt:variant>
        <vt:i4>150</vt:i4>
      </vt:variant>
      <vt:variant>
        <vt:i4>0</vt:i4>
      </vt:variant>
      <vt:variant>
        <vt:i4>5</vt:i4>
      </vt:variant>
      <vt:variant>
        <vt:lpwstr>https://eur-lex.europa.eu/legal-content/EN/TXT/?uri=celex:52023PC0424</vt:lpwstr>
      </vt:variant>
      <vt:variant>
        <vt:lpwstr/>
      </vt:variant>
      <vt:variant>
        <vt:i4>2949145</vt:i4>
      </vt:variant>
      <vt:variant>
        <vt:i4>147</vt:i4>
      </vt:variant>
      <vt:variant>
        <vt:i4>0</vt:i4>
      </vt:variant>
      <vt:variant>
        <vt:i4>5</vt:i4>
      </vt:variant>
      <vt:variant>
        <vt:lpwstr>https://commission.europa.eu/strategy-and-policy/policies/justice-and-fundamental-rights/criminal-justice/protecting-victims-rights/eu-strategy-victims-rights-2020-2025_en</vt:lpwstr>
      </vt:variant>
      <vt:variant>
        <vt:lpwstr/>
      </vt:variant>
      <vt:variant>
        <vt:i4>8257559</vt:i4>
      </vt:variant>
      <vt:variant>
        <vt:i4>144</vt:i4>
      </vt:variant>
      <vt:variant>
        <vt:i4>0</vt:i4>
      </vt:variant>
      <vt:variant>
        <vt:i4>5</vt:i4>
      </vt:variant>
      <vt:variant>
        <vt:lpwstr>https://commission.europa.eu/strategy-and-policy/policies/justice-and-fundamental-rights/criminal-justice/protecting-victims-rights/victims-rights-eu_en</vt:lpwstr>
      </vt:variant>
      <vt:variant>
        <vt:lpwstr/>
      </vt:variant>
      <vt:variant>
        <vt:i4>8060983</vt:i4>
      </vt:variant>
      <vt:variant>
        <vt:i4>141</vt:i4>
      </vt:variant>
      <vt:variant>
        <vt:i4>0</vt:i4>
      </vt:variant>
      <vt:variant>
        <vt:i4>5</vt:i4>
      </vt:variant>
      <vt:variant>
        <vt:lpwstr>https://ec.europa.eu/transparency/expert-groups-register/screen/expert-groups/consult?lang=en&amp;groupID=3425</vt:lpwstr>
      </vt:variant>
      <vt:variant>
        <vt:lpwstr/>
      </vt:variant>
      <vt:variant>
        <vt:i4>6488106</vt:i4>
      </vt:variant>
      <vt:variant>
        <vt:i4>138</vt:i4>
      </vt:variant>
      <vt:variant>
        <vt:i4>0</vt:i4>
      </vt:variant>
      <vt:variant>
        <vt:i4>5</vt:i4>
      </vt:variant>
      <vt:variant>
        <vt:lpwstr>https://commission.europa.eu/document/download/beb25da4-e6b9-459e-89f7-bcdbd3a8f0c8_en?filename=a_union_of_equality_eu_action_plan_against_racism_2020_-2025_en.pdf</vt:lpwstr>
      </vt:variant>
      <vt:variant>
        <vt:lpwstr/>
      </vt:variant>
      <vt:variant>
        <vt:i4>5636152</vt:i4>
      </vt:variant>
      <vt:variant>
        <vt:i4>135</vt:i4>
      </vt:variant>
      <vt:variant>
        <vt:i4>0</vt:i4>
      </vt:variant>
      <vt:variant>
        <vt:i4>5</vt:i4>
      </vt:variant>
      <vt:variant>
        <vt:lpwstr>https://eur-lex.europa.eu/eli/dec_framw/2008/913/oj/eng</vt:lpwstr>
      </vt:variant>
      <vt:variant>
        <vt:lpwstr/>
      </vt:variant>
      <vt:variant>
        <vt:i4>196628</vt:i4>
      </vt:variant>
      <vt:variant>
        <vt:i4>132</vt:i4>
      </vt:variant>
      <vt:variant>
        <vt:i4>0</vt:i4>
      </vt:variant>
      <vt:variant>
        <vt:i4>5</vt:i4>
      </vt:variant>
      <vt:variant>
        <vt:lpwstr>https://eur-lex.europa.eu/legal-content/EN/TXT/?uri=celex:52021DC0139</vt:lpwstr>
      </vt:variant>
      <vt:variant>
        <vt:lpwstr/>
      </vt:variant>
      <vt:variant>
        <vt:i4>4390999</vt:i4>
      </vt:variant>
      <vt:variant>
        <vt:i4>129</vt:i4>
      </vt:variant>
      <vt:variant>
        <vt:i4>0</vt:i4>
      </vt:variant>
      <vt:variant>
        <vt:i4>5</vt:i4>
      </vt:variant>
      <vt:variant>
        <vt:lpwstr>https://eur-lex.europa.eu/EN/legal-content/summary/standards-for-equality-bodies-in-the-field-of-equal-treatment-and-equal-opportunities.html</vt:lpwstr>
      </vt:variant>
      <vt:variant>
        <vt:lpwstr/>
      </vt:variant>
      <vt:variant>
        <vt:i4>4259966</vt:i4>
      </vt:variant>
      <vt:variant>
        <vt:i4>111</vt:i4>
      </vt:variant>
      <vt:variant>
        <vt:i4>0</vt:i4>
      </vt:variant>
      <vt:variant>
        <vt:i4>5</vt:i4>
      </vt:variant>
      <vt:variant>
        <vt:lpwstr>https://fra.europa.eu/sites/default/files/fra_uploads/fra-2023-being-black_in_the_eu_en.pdf</vt:lpwstr>
      </vt:variant>
      <vt:variant>
        <vt:lpwstr/>
      </vt:variant>
      <vt:variant>
        <vt:i4>4849748</vt:i4>
      </vt:variant>
      <vt:variant>
        <vt:i4>108</vt:i4>
      </vt:variant>
      <vt:variant>
        <vt:i4>0</vt:i4>
      </vt:variant>
      <vt:variant>
        <vt:i4>5</vt:i4>
      </vt:variant>
      <vt:variant>
        <vt:lpwstr>https://marie-sklodowska-curie-actions.ec.europa.eu/</vt:lpwstr>
      </vt:variant>
      <vt:variant>
        <vt:lpwstr/>
      </vt:variant>
      <vt:variant>
        <vt:i4>4784239</vt:i4>
      </vt:variant>
      <vt:variant>
        <vt:i4>105</vt:i4>
      </vt:variant>
      <vt:variant>
        <vt:i4>0</vt:i4>
      </vt:variant>
      <vt:variant>
        <vt:i4>5</vt:i4>
      </vt:variant>
      <vt:variant>
        <vt:lpwstr>https://research-and-innovation.ec.europa.eu/funding/funding-opportunities/funding-programmes-and-open-calls/horizon-europe_en</vt:lpwstr>
      </vt:variant>
      <vt:variant>
        <vt:lpwstr/>
      </vt:variant>
      <vt:variant>
        <vt:i4>5177417</vt:i4>
      </vt:variant>
      <vt:variant>
        <vt:i4>102</vt:i4>
      </vt:variant>
      <vt:variant>
        <vt:i4>0</vt:i4>
      </vt:variant>
      <vt:variant>
        <vt:i4>5</vt:i4>
      </vt:variant>
      <vt:variant>
        <vt:lpwstr>https://fra.europa.eu/sites/default/files/fra_uploads/fra-2024-addressing-racism-in-policing_en.pdf</vt:lpwstr>
      </vt:variant>
      <vt:variant>
        <vt:lpwstr/>
      </vt:variant>
      <vt:variant>
        <vt:i4>20</vt:i4>
      </vt:variant>
      <vt:variant>
        <vt:i4>99</vt:i4>
      </vt:variant>
      <vt:variant>
        <vt:i4>0</vt:i4>
      </vt:variant>
      <vt:variant>
        <vt:i4>5</vt:i4>
      </vt:variant>
      <vt:variant>
        <vt:lpwstr>https://www.eccar.info/en</vt:lpwstr>
      </vt:variant>
      <vt:variant>
        <vt:lpwstr/>
      </vt:variant>
      <vt:variant>
        <vt:i4>6881357</vt:i4>
      </vt:variant>
      <vt:variant>
        <vt:i4>96</vt:i4>
      </vt:variant>
      <vt:variant>
        <vt:i4>0</vt:i4>
      </vt:variant>
      <vt:variant>
        <vt:i4>5</vt:i4>
      </vt:variant>
      <vt:variant>
        <vt:lpwstr>https://eu-diversity-inclusion.campaign.europa.eu/eu-platform-diversity-charters_en</vt:lpwstr>
      </vt:variant>
      <vt:variant>
        <vt:lpwstr/>
      </vt:variant>
      <vt:variant>
        <vt:i4>7471125</vt:i4>
      </vt:variant>
      <vt:variant>
        <vt:i4>93</vt:i4>
      </vt:variant>
      <vt:variant>
        <vt:i4>0</vt:i4>
      </vt:variant>
      <vt:variant>
        <vt:i4>5</vt:i4>
      </vt:variant>
      <vt:variant>
        <vt:lpwstr>https://commission.europa.eu/news-and-media/news/holocaust-remembrance-european-commission-and-polish-presidency-host-international-conference-and-2025-01-20_en</vt:lpwstr>
      </vt:variant>
      <vt:variant>
        <vt:lpwstr/>
      </vt:variant>
      <vt:variant>
        <vt:i4>1114185</vt:i4>
      </vt:variant>
      <vt:variant>
        <vt:i4>90</vt:i4>
      </vt:variant>
      <vt:variant>
        <vt:i4>0</vt:i4>
      </vt:variant>
      <vt:variant>
        <vt:i4>5</vt:i4>
      </vt:variant>
      <vt:variant>
        <vt:lpwstr>https://eur-lex.europa.eu/legal-content/EN/TXT/PDF/?uri=CELEX:52015IP0095</vt:lpwstr>
      </vt:variant>
      <vt:variant>
        <vt:lpwstr/>
      </vt:variant>
      <vt:variant>
        <vt:i4>262179</vt:i4>
      </vt:variant>
      <vt:variant>
        <vt:i4>87</vt:i4>
      </vt:variant>
      <vt:variant>
        <vt:i4>0</vt:i4>
      </vt:variant>
      <vt:variant>
        <vt:i4>5</vt:i4>
      </vt:variant>
      <vt:variant>
        <vt:lpwstr>https://www.europarl.europa.eu/doceo/document/TA-9-2020-0173_EN.html</vt:lpwstr>
      </vt:variant>
      <vt:variant>
        <vt:lpwstr/>
      </vt:variant>
      <vt:variant>
        <vt:i4>655384</vt:i4>
      </vt:variant>
      <vt:variant>
        <vt:i4>84</vt:i4>
      </vt:variant>
      <vt:variant>
        <vt:i4>0</vt:i4>
      </vt:variant>
      <vt:variant>
        <vt:i4>5</vt:i4>
      </vt:variant>
      <vt:variant>
        <vt:lpwstr>https://www.un.org/en/observances/end-racism-day</vt:lpwstr>
      </vt:variant>
      <vt:variant>
        <vt:lpwstr/>
      </vt:variant>
      <vt:variant>
        <vt:i4>4390999</vt:i4>
      </vt:variant>
      <vt:variant>
        <vt:i4>81</vt:i4>
      </vt:variant>
      <vt:variant>
        <vt:i4>0</vt:i4>
      </vt:variant>
      <vt:variant>
        <vt:i4>5</vt:i4>
      </vt:variant>
      <vt:variant>
        <vt:lpwstr>https://eur-lex.europa.eu/EN/legal-content/summary/standards-for-equality-bodies-in-the-field-of-equal-treatment-and-equal-opportunities.html</vt:lpwstr>
      </vt:variant>
      <vt:variant>
        <vt:lpwstr/>
      </vt:variant>
      <vt:variant>
        <vt:i4>4522069</vt:i4>
      </vt:variant>
      <vt:variant>
        <vt:i4>78</vt:i4>
      </vt:variant>
      <vt:variant>
        <vt:i4>0</vt:i4>
      </vt:variant>
      <vt:variant>
        <vt:i4>5</vt:i4>
      </vt:variant>
      <vt:variant>
        <vt:lpwstr>https://eur-lex.europa.eu/eli/dir/2000/43/oj/eng</vt:lpwstr>
      </vt:variant>
      <vt:variant>
        <vt:lpwstr/>
      </vt:variant>
      <vt:variant>
        <vt:i4>5636152</vt:i4>
      </vt:variant>
      <vt:variant>
        <vt:i4>75</vt:i4>
      </vt:variant>
      <vt:variant>
        <vt:i4>0</vt:i4>
      </vt:variant>
      <vt:variant>
        <vt:i4>5</vt:i4>
      </vt:variant>
      <vt:variant>
        <vt:lpwstr>https://eur-lex.europa.eu/eli/dec_framw/2008/913/oj/eng</vt:lpwstr>
      </vt:variant>
      <vt:variant>
        <vt:lpwstr/>
      </vt:variant>
      <vt:variant>
        <vt:i4>7012352</vt:i4>
      </vt:variant>
      <vt:variant>
        <vt:i4>72</vt:i4>
      </vt:variant>
      <vt:variant>
        <vt:i4>0</vt:i4>
      </vt:variant>
      <vt:variant>
        <vt:i4>5</vt:i4>
      </vt:variant>
      <vt:variant>
        <vt:lpwstr>https://eur-lex.europa.eu/eli/treaty/char_2012/oj/eng</vt:lpwstr>
      </vt:variant>
      <vt:variant>
        <vt:lpwstr/>
      </vt:variant>
      <vt:variant>
        <vt:i4>6291511</vt:i4>
      </vt:variant>
      <vt:variant>
        <vt:i4>33</vt:i4>
      </vt:variant>
      <vt:variant>
        <vt:i4>0</vt:i4>
      </vt:variant>
      <vt:variant>
        <vt:i4>5</vt:i4>
      </vt:variant>
      <vt:variant>
        <vt:lpwstr>https://rm.coe.int/ecri-opinion-on-the-concept-of-racialisation/1680a4dcc2</vt:lpwstr>
      </vt:variant>
      <vt:variant>
        <vt:lpwstr/>
      </vt:variant>
      <vt:variant>
        <vt:i4>1966145</vt:i4>
      </vt:variant>
      <vt:variant>
        <vt:i4>30</vt:i4>
      </vt:variant>
      <vt:variant>
        <vt:i4>0</vt:i4>
      </vt:variant>
      <vt:variant>
        <vt:i4>5</vt:i4>
      </vt:variant>
      <vt:variant>
        <vt:lpwstr>https://www.coe.int/en/web/european-commission-against-racism-and-intolerance</vt:lpwstr>
      </vt:variant>
      <vt:variant>
        <vt:lpwstr/>
      </vt:variant>
      <vt:variant>
        <vt:i4>2818077</vt:i4>
      </vt:variant>
      <vt:variant>
        <vt:i4>27</vt:i4>
      </vt:variant>
      <vt:variant>
        <vt:i4>0</vt:i4>
      </vt:variant>
      <vt:variant>
        <vt:i4>5</vt:i4>
      </vt:variant>
      <vt:variant>
        <vt:lpwstr>https://commission.europa.eu/strategy-and-policy/state-union/state-union-2022/building-union-equality_en</vt:lpwstr>
      </vt:variant>
      <vt:variant>
        <vt:lpwstr/>
      </vt:variant>
      <vt:variant>
        <vt:i4>7798889</vt:i4>
      </vt:variant>
      <vt:variant>
        <vt:i4>24</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7798889</vt:i4>
      </vt:variant>
      <vt:variant>
        <vt:i4>21</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5505134</vt:i4>
      </vt:variant>
      <vt:variant>
        <vt:i4>18</vt:i4>
      </vt:variant>
      <vt:variant>
        <vt:i4>0</vt:i4>
      </vt:variant>
      <vt:variant>
        <vt:i4>5</vt:i4>
      </vt:variant>
      <vt:variant>
        <vt:lpwstr>https://www.oecd.org/en/publications/combatting-discrimination-in-the-european-union_29c2c36a-en/full-report.html</vt:lpwstr>
      </vt:variant>
      <vt:variant>
        <vt:lpwstr/>
      </vt:variant>
      <vt:variant>
        <vt:i4>3932201</vt:i4>
      </vt:variant>
      <vt:variant>
        <vt:i4>15</vt:i4>
      </vt:variant>
      <vt:variant>
        <vt:i4>0</vt:i4>
      </vt:variant>
      <vt:variant>
        <vt:i4>5</vt:i4>
      </vt:variant>
      <vt:variant>
        <vt:lpwstr>https://commission.europa.eu/document/download/e6cd4328-673c-4e7a-8683-f63ffb2cf648_en?filename=Political%20Guidelines%202024-2029_EN.pdf</vt:lpwstr>
      </vt:variant>
      <vt:variant>
        <vt:lpwstr/>
      </vt:variant>
      <vt:variant>
        <vt:i4>5570623</vt:i4>
      </vt:variant>
      <vt:variant>
        <vt:i4>12</vt:i4>
      </vt:variant>
      <vt:variant>
        <vt:i4>0</vt:i4>
      </vt:variant>
      <vt:variant>
        <vt:i4>5</vt:i4>
      </vt:variant>
      <vt:variant>
        <vt:lpwstr>https://commission.europa.eu/document/download/4968fa88-5350-48d9-bf36-abd3c0142aa8_en?filename=Report%20Antiracism.pdf</vt:lpwstr>
      </vt:variant>
      <vt:variant>
        <vt:lpwstr/>
      </vt:variant>
      <vt:variant>
        <vt:i4>5963895</vt:i4>
      </vt:variant>
      <vt:variant>
        <vt:i4>9</vt:i4>
      </vt:variant>
      <vt:variant>
        <vt:i4>0</vt:i4>
      </vt:variant>
      <vt:variant>
        <vt:i4>5</vt:i4>
      </vt:variant>
      <vt:variant>
        <vt:lpwstr>https://commission.europa.eu/strategy-and-policy/policies/justice-and-fundamental-rights/combatting-discrimination/racism-and-xenophobia/commissions-coordinator-combating-racism_en</vt:lpwstr>
      </vt:variant>
      <vt:variant>
        <vt:lpwstr>:~:text=In%20addition%2C%20the%20coordinator%20joins,ever%20nominated%20Coo</vt:lpwstr>
      </vt:variant>
      <vt:variant>
        <vt:i4>1835089</vt:i4>
      </vt:variant>
      <vt:variant>
        <vt:i4>6</vt:i4>
      </vt:variant>
      <vt:variant>
        <vt:i4>0</vt:i4>
      </vt:variant>
      <vt:variant>
        <vt:i4>5</vt:i4>
      </vt:variant>
      <vt:variant>
        <vt:lpwstr>https://ec.europa.eu/info/funding-tenders/opportunities/portal/screen/programmes/cerv</vt:lpwstr>
      </vt:variant>
      <vt:variant>
        <vt:lpwstr/>
      </vt:variant>
      <vt:variant>
        <vt:i4>262156</vt:i4>
      </vt:variant>
      <vt:variant>
        <vt:i4>3</vt:i4>
      </vt:variant>
      <vt:variant>
        <vt:i4>0</vt:i4>
      </vt:variant>
      <vt:variant>
        <vt:i4>5</vt:i4>
      </vt:variant>
      <vt:variant>
        <vt:lpwstr>https://eur-lex.europa.eu/legal-content/EN/TXT/?uri=CELEX%3A52020DC0565&amp;qid=1758870120076</vt:lpwstr>
      </vt:variant>
      <vt:variant>
        <vt:lpwstr/>
      </vt:variant>
      <vt:variant>
        <vt:i4>2818077</vt:i4>
      </vt:variant>
      <vt:variant>
        <vt:i4>0</vt:i4>
      </vt:variant>
      <vt:variant>
        <vt:i4>0</vt:i4>
      </vt:variant>
      <vt:variant>
        <vt:i4>5</vt:i4>
      </vt:variant>
      <vt:variant>
        <vt:lpwstr>https://commission.europa.eu/strategy-and-policy/state-union/state-union-2022/building-union-equality_en</vt:lpwstr>
      </vt:variant>
      <vt:variant>
        <vt:lpwstr/>
      </vt:variant>
      <vt:variant>
        <vt:i4>4653056</vt:i4>
      </vt:variant>
      <vt:variant>
        <vt:i4>228</vt:i4>
      </vt:variant>
      <vt:variant>
        <vt:i4>0</vt:i4>
      </vt:variant>
      <vt:variant>
        <vt:i4>5</vt:i4>
      </vt:variant>
      <vt:variant>
        <vt:lpwstr>https://commission.europa.eu/document/download/91926dd1-3dd2-4000-98e7-726597189d12_en?filename=Factsheet-diversity-and-inclusion-survey_en.pdf</vt:lpwstr>
      </vt:variant>
      <vt:variant>
        <vt:lpwstr/>
      </vt:variant>
      <vt:variant>
        <vt:i4>7864385</vt:i4>
      </vt:variant>
      <vt:variant>
        <vt:i4>225</vt:i4>
      </vt:variant>
      <vt:variant>
        <vt:i4>0</vt:i4>
      </vt:variant>
      <vt:variant>
        <vt:i4>5</vt:i4>
      </vt:variant>
      <vt:variant>
        <vt:lpwstr>https://commission.europa.eu/document/download/196676b9-9b29-4034-84ca-d75d3cd5912c_en?filename=fact-sheet-diversity-inclusion-in-workplace-action-plan-2023-2024_en_0.pdf</vt:lpwstr>
      </vt:variant>
      <vt:variant>
        <vt:lpwstr/>
      </vt:variant>
      <vt:variant>
        <vt:i4>4522099</vt:i4>
      </vt:variant>
      <vt:variant>
        <vt:i4>222</vt:i4>
      </vt:variant>
      <vt:variant>
        <vt:i4>0</vt:i4>
      </vt:variant>
      <vt:variant>
        <vt:i4>5</vt:i4>
      </vt:variant>
      <vt:variant>
        <vt:lpwstr>https://commission.europa.eu/about/service-standards-and-principles/modernising-european-commission/diversity-and-inclusion_en</vt:lpwstr>
      </vt:variant>
      <vt:variant>
        <vt:lpwstr/>
      </vt:variant>
      <vt:variant>
        <vt:i4>2031713</vt:i4>
      </vt:variant>
      <vt:variant>
        <vt:i4>219</vt:i4>
      </vt:variant>
      <vt:variant>
        <vt:i4>0</vt:i4>
      </vt:variant>
      <vt:variant>
        <vt:i4>5</vt:i4>
      </vt:variant>
      <vt:variant>
        <vt:lpwstr>https://commission.europa.eu/strategy-and-policy/priorities-2019-2024/new-push-european-democracy/protecting-democracy_en</vt:lpwstr>
      </vt:variant>
      <vt:variant>
        <vt:lpwstr/>
      </vt:variant>
      <vt:variant>
        <vt:i4>917529</vt:i4>
      </vt:variant>
      <vt:variant>
        <vt:i4>216</vt:i4>
      </vt:variant>
      <vt:variant>
        <vt:i4>0</vt:i4>
      </vt:variant>
      <vt:variant>
        <vt:i4>5</vt:i4>
      </vt:variant>
      <vt:variant>
        <vt:lpwstr>https://ec.europa.eu/newsroom/just/items/881738/</vt:lpwstr>
      </vt:variant>
      <vt:variant>
        <vt:lpwstr/>
      </vt:variant>
      <vt:variant>
        <vt:i4>4587620</vt:i4>
      </vt:variant>
      <vt:variant>
        <vt:i4>213</vt:i4>
      </vt:variant>
      <vt:variant>
        <vt:i4>0</vt:i4>
      </vt:variant>
      <vt:variant>
        <vt:i4>5</vt:i4>
      </vt:variant>
      <vt:variant>
        <vt:lpwstr>https://ec.europa.eu/info/law/better-regulation/have-your-say/initiatives/14588-EU-Civil-Society-Strategy-_en</vt:lpwstr>
      </vt:variant>
      <vt:variant>
        <vt:lpwstr/>
      </vt:variant>
      <vt:variant>
        <vt:i4>7602274</vt:i4>
      </vt:variant>
      <vt:variant>
        <vt:i4>210</vt:i4>
      </vt:variant>
      <vt:variant>
        <vt:i4>0</vt:i4>
      </vt:variant>
      <vt:variant>
        <vt:i4>5</vt:i4>
      </vt:variant>
      <vt:variant>
        <vt:lpwstr>https://www.consilium.europa.eu/en/press/press-releases/2023/03/10/fundamental-rights-council-approves-conclusions-on-the-role-of-the-civic-space/</vt:lpwstr>
      </vt:variant>
      <vt:variant>
        <vt:lpwstr>:~:text=The%20Council%20today%20approved%20conclusions%20on%20the%20role,society%20and%20the%20proper%20functioning%20of%20public%20life.</vt:lpwstr>
      </vt:variant>
      <vt:variant>
        <vt:i4>7208968</vt:i4>
      </vt:variant>
      <vt:variant>
        <vt:i4>207</vt:i4>
      </vt:variant>
      <vt:variant>
        <vt:i4>0</vt:i4>
      </vt:variant>
      <vt:variant>
        <vt:i4>5</vt:i4>
      </vt:variant>
      <vt:variant>
        <vt:lpwstr>https://commission.europa.eu/document/download/da477dad-fbf8-45ce-b2a0-f432b7efc0cb_en?filename=members_of_the_permanent_anti-racism_csos_forum_2021_en.pdf</vt:lpwstr>
      </vt:variant>
      <vt:variant>
        <vt:lpwstr/>
      </vt:variant>
      <vt:variant>
        <vt:i4>3473426</vt:i4>
      </vt:variant>
      <vt:variant>
        <vt:i4>204</vt:i4>
      </vt:variant>
      <vt:variant>
        <vt:i4>0</vt:i4>
      </vt:variant>
      <vt:variant>
        <vt:i4>5</vt:i4>
      </vt:variant>
      <vt:variant>
        <vt:lpwstr>https://ec.europa.eu/info/law/better-regulation/have-your-say/initiatives/14552-Anti-racism-Strategy_en</vt:lpwstr>
      </vt:variant>
      <vt:variant>
        <vt:lpwstr/>
      </vt:variant>
      <vt:variant>
        <vt:i4>8060983</vt:i4>
      </vt:variant>
      <vt:variant>
        <vt:i4>201</vt:i4>
      </vt:variant>
      <vt:variant>
        <vt:i4>0</vt:i4>
      </vt:variant>
      <vt:variant>
        <vt:i4>5</vt:i4>
      </vt:variant>
      <vt:variant>
        <vt:lpwstr>https://ec.europa.eu/transparency/expert-groups-register/screen/expert-groups/consult?lang=en&amp;groupID=3425</vt:lpwstr>
      </vt:variant>
      <vt:variant>
        <vt:lpwstr/>
      </vt:variant>
      <vt:variant>
        <vt:i4>5963803</vt:i4>
      </vt:variant>
      <vt:variant>
        <vt:i4>198</vt:i4>
      </vt:variant>
      <vt:variant>
        <vt:i4>0</vt:i4>
      </vt:variant>
      <vt:variant>
        <vt:i4>5</vt:i4>
      </vt:variant>
      <vt:variant>
        <vt:lpwstr>https://ec.europa.eu/transparency/expert-groups-register/screen/expert-groups/consult?lang=en&amp;do=groupDetail.groupDetail&amp;groupID=3328</vt:lpwstr>
      </vt:variant>
      <vt:variant>
        <vt:lpwstr/>
      </vt:variant>
      <vt:variant>
        <vt:i4>1376289</vt:i4>
      </vt:variant>
      <vt:variant>
        <vt:i4>195</vt:i4>
      </vt:variant>
      <vt:variant>
        <vt:i4>0</vt:i4>
      </vt:variant>
      <vt:variant>
        <vt:i4>5</vt:i4>
      </vt:variant>
      <vt:variant>
        <vt:lpwstr>https://commission.europa.eu/document/2587f7c6-7353-4a65-9ca2-3d5e2a41489d_en</vt:lpwstr>
      </vt:variant>
      <vt:variant>
        <vt:lpwstr/>
      </vt:variant>
      <vt:variant>
        <vt:i4>1638406</vt:i4>
      </vt:variant>
      <vt:variant>
        <vt:i4>189</vt:i4>
      </vt:variant>
      <vt:variant>
        <vt:i4>0</vt:i4>
      </vt:variant>
      <vt:variant>
        <vt:i4>5</vt:i4>
      </vt:variant>
      <vt:variant>
        <vt:lpwstr>https://eur-lex.europa.eu/legal-content/EN/TXT/?uri=CELEX%3A52025PC0565&amp;qid=1753801752960</vt:lpwstr>
      </vt:variant>
      <vt:variant>
        <vt:lpwstr/>
      </vt:variant>
      <vt:variant>
        <vt:i4>6815860</vt:i4>
      </vt:variant>
      <vt:variant>
        <vt:i4>186</vt:i4>
      </vt:variant>
      <vt:variant>
        <vt:i4>0</vt:i4>
      </vt:variant>
      <vt:variant>
        <vt:i4>5</vt:i4>
      </vt:variant>
      <vt:variant>
        <vt:lpwstr>https://eur-lex.europa.eu/legal-content/EN/TXT/?uri=CELEX%3A32021R1060</vt:lpwstr>
      </vt:variant>
      <vt:variant>
        <vt:lpwstr/>
      </vt:variant>
      <vt:variant>
        <vt:i4>1572936</vt:i4>
      </vt:variant>
      <vt:variant>
        <vt:i4>183</vt:i4>
      </vt:variant>
      <vt:variant>
        <vt:i4>0</vt:i4>
      </vt:variant>
      <vt:variant>
        <vt:i4>5</vt:i4>
      </vt:variant>
      <vt:variant>
        <vt:lpwstr>https://civilsocietyeurope.eu/wp-content/uploads/2025/06/Joint-Civil-Society-Contribution-on-Civic-Space-to-the-2025-Rule-of-Law-Report.docx.pdf</vt:lpwstr>
      </vt:variant>
      <vt:variant>
        <vt:lpwstr/>
      </vt:variant>
      <vt:variant>
        <vt:i4>4718644</vt:i4>
      </vt:variant>
      <vt:variant>
        <vt:i4>180</vt:i4>
      </vt:variant>
      <vt:variant>
        <vt:i4>0</vt:i4>
      </vt:variant>
      <vt:variant>
        <vt:i4>5</vt:i4>
      </vt:variant>
      <vt:variant>
        <vt:lpwstr>https://fra.europa.eu/sites/default/files/fra_uploads/report-key-findings-fra-civic-space-consultation-2024_en_0.pdf</vt:lpwstr>
      </vt:variant>
      <vt:variant>
        <vt:lpwstr/>
      </vt:variant>
      <vt:variant>
        <vt:i4>2424853</vt:i4>
      </vt:variant>
      <vt:variant>
        <vt:i4>177</vt:i4>
      </vt:variant>
      <vt:variant>
        <vt:i4>0</vt:i4>
      </vt:variant>
      <vt:variant>
        <vt:i4>5</vt:i4>
      </vt:variant>
      <vt:variant>
        <vt:lpwstr>https://epc-web-s3.s3.amazonaws.com/uploads/ckeditor/2025/06/25/securing-europes-civil-space_final.pdf</vt:lpwstr>
      </vt:variant>
      <vt:variant>
        <vt:lpwstr/>
      </vt:variant>
      <vt:variant>
        <vt:i4>1245215</vt:i4>
      </vt:variant>
      <vt:variant>
        <vt:i4>165</vt:i4>
      </vt:variant>
      <vt:variant>
        <vt:i4>0</vt:i4>
      </vt:variant>
      <vt:variant>
        <vt:i4>5</vt:i4>
      </vt:variant>
      <vt:variant>
        <vt:lpwstr>https://pmc.ncbi.nlm.nih.gov/articles/PMC4580597/</vt:lpwstr>
      </vt:variant>
      <vt:variant>
        <vt:lpwstr/>
      </vt:variant>
      <vt:variant>
        <vt:i4>2687077</vt:i4>
      </vt:variant>
      <vt:variant>
        <vt:i4>162</vt:i4>
      </vt:variant>
      <vt:variant>
        <vt:i4>0</vt:i4>
      </vt:variant>
      <vt:variant>
        <vt:i4>5</vt:i4>
      </vt:variant>
      <vt:variant>
        <vt:lpwstr>https://www.who.int/activities/tackling-structural-racism-and-ethnicity-based-discrimination-in-health</vt:lpwstr>
      </vt:variant>
      <vt:variant>
        <vt:lpwstr/>
      </vt:variant>
      <vt:variant>
        <vt:i4>7733285</vt:i4>
      </vt:variant>
      <vt:variant>
        <vt:i4>159</vt:i4>
      </vt:variant>
      <vt:variant>
        <vt:i4>0</vt:i4>
      </vt:variant>
      <vt:variant>
        <vt:i4>5</vt:i4>
      </vt:variant>
      <vt:variant>
        <vt:lpwstr>https://www.saage-network.eu/sites/default/files/media/publication/DS0320880ENN-en.pdf</vt:lpwstr>
      </vt:variant>
      <vt:variant>
        <vt:lpwstr/>
      </vt:variant>
      <vt:variant>
        <vt:i4>16</vt:i4>
      </vt:variant>
      <vt:variant>
        <vt:i4>156</vt:i4>
      </vt:variant>
      <vt:variant>
        <vt:i4>0</vt:i4>
      </vt:variant>
      <vt:variant>
        <vt:i4>5</vt:i4>
      </vt:variant>
      <vt:variant>
        <vt:lpwstr>https://www.dezim-institut.de/en/publications/publication-detail/racism-and-its-symptoms/</vt:lpwstr>
      </vt:variant>
      <vt:variant>
        <vt:lpwstr/>
      </vt:variant>
      <vt:variant>
        <vt:i4>5177415</vt:i4>
      </vt:variant>
      <vt:variant>
        <vt:i4>153</vt:i4>
      </vt:variant>
      <vt:variant>
        <vt:i4>0</vt:i4>
      </vt:variant>
      <vt:variant>
        <vt:i4>5</vt:i4>
      </vt:variant>
      <vt:variant>
        <vt:lpwstr>https://ergonetwork.org/2023/11/research-report-on-roma-access-to-quality-and-affordable-housing/</vt:lpwstr>
      </vt:variant>
      <vt:variant>
        <vt:lpwstr/>
      </vt:variant>
      <vt:variant>
        <vt:i4>6357015</vt:i4>
      </vt:variant>
      <vt:variant>
        <vt:i4>150</vt:i4>
      </vt:variant>
      <vt:variant>
        <vt:i4>0</vt:i4>
      </vt:variant>
      <vt:variant>
        <vt:i4>5</vt:i4>
      </vt:variant>
      <vt:variant>
        <vt:lpwstr>https://www.habitat.org/sites/default/files/documents/Habitat for Humanity_Addressing Housing Deprivation of Roma in Central Eastern Europe (3).pdf</vt:lpwstr>
      </vt:variant>
      <vt:variant>
        <vt:lpwstr/>
      </vt:variant>
      <vt:variant>
        <vt:i4>131151</vt:i4>
      </vt:variant>
      <vt:variant>
        <vt:i4>147</vt:i4>
      </vt:variant>
      <vt:variant>
        <vt:i4>0</vt:i4>
      </vt:variant>
      <vt:variant>
        <vt:i4>5</vt:i4>
      </vt:variant>
      <vt:variant>
        <vt:lpwstr>https://www.errc.org/news/eu-calls-for-action-on-housing-segregation-while-many-roma-live-from-expulsion-to-expulsion</vt:lpwstr>
      </vt:variant>
      <vt:variant>
        <vt:lpwstr/>
      </vt:variant>
      <vt:variant>
        <vt:i4>3014680</vt:i4>
      </vt:variant>
      <vt:variant>
        <vt:i4>144</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393337</vt:i4>
      </vt:variant>
      <vt:variant>
        <vt:i4>141</vt:i4>
      </vt:variant>
      <vt:variant>
        <vt:i4>0</vt:i4>
      </vt:variant>
      <vt:variant>
        <vt:i4>5</vt:i4>
      </vt:variant>
      <vt:variant>
        <vt:lpwstr>https://ec.europa.eu/eurostat/statistics-explained/index.php?title=Migrant_integration_statistics_-_employment_conditions</vt:lpwstr>
      </vt:variant>
      <vt:variant>
        <vt:lpwstr/>
      </vt:variant>
      <vt:variant>
        <vt:i4>7602217</vt:i4>
      </vt:variant>
      <vt:variant>
        <vt:i4>138</vt:i4>
      </vt:variant>
      <vt:variant>
        <vt:i4>0</vt:i4>
      </vt:variant>
      <vt:variant>
        <vt:i4>5</vt:i4>
      </vt:variant>
      <vt:variant>
        <vt:lpwstr>https://bibliothek.wzb.eu/pdf/2018/vi18-104.pdf</vt:lpwstr>
      </vt:variant>
      <vt:variant>
        <vt:lpwstr/>
      </vt:variant>
      <vt:variant>
        <vt:i4>2818081</vt:i4>
      </vt:variant>
      <vt:variant>
        <vt:i4>135</vt:i4>
      </vt:variant>
      <vt:variant>
        <vt:i4>0</vt:i4>
      </vt:variant>
      <vt:variant>
        <vt:i4>5</vt:i4>
      </vt:variant>
      <vt:variant>
        <vt:lpwstr>https://education.ec.europa.eu/news/new-issue-paper-tackling-prejudice-and-discrimination-in-and-through-education-and-training</vt:lpwstr>
      </vt:variant>
      <vt:variant>
        <vt:lpwstr/>
      </vt:variant>
      <vt:variant>
        <vt:i4>7077935</vt:i4>
      </vt:variant>
      <vt:variant>
        <vt:i4>132</vt:i4>
      </vt:variant>
      <vt:variant>
        <vt:i4>0</vt:i4>
      </vt:variant>
      <vt:variant>
        <vt:i4>5</vt:i4>
      </vt:variant>
      <vt:variant>
        <vt:lpwstr>https://www.euractiv.com/wp-content/uploads/sites/2/special-report/Discrimination-in-Europes-schools-Special-Report-2021-1.pdf</vt:lpwstr>
      </vt:variant>
      <vt:variant>
        <vt:lpwstr/>
      </vt:variant>
      <vt:variant>
        <vt:i4>5242915</vt:i4>
      </vt:variant>
      <vt:variant>
        <vt:i4>129</vt:i4>
      </vt:variant>
      <vt:variant>
        <vt:i4>0</vt:i4>
      </vt:variant>
      <vt:variant>
        <vt:i4>5</vt:i4>
      </vt:variant>
      <vt:variant>
        <vt:lpwstr>https://www.oecd.org/content/dam/oecd/en/publications/reports/2025/03/monitoring-and-assessing-the-impact-of-national-action-plans-against-racism_0d72a33d/13e32676-en.pdf</vt:lpwstr>
      </vt:variant>
      <vt:variant>
        <vt:lpwstr/>
      </vt:variant>
      <vt:variant>
        <vt:i4>5242915</vt:i4>
      </vt:variant>
      <vt:variant>
        <vt:i4>126</vt:i4>
      </vt:variant>
      <vt:variant>
        <vt:i4>0</vt:i4>
      </vt:variant>
      <vt:variant>
        <vt:i4>5</vt:i4>
      </vt:variant>
      <vt:variant>
        <vt:lpwstr>https://www.oecd.org/content/dam/oecd/en/publications/reports/2025/03/monitoring-and-assessing-the-impact-of-national-action-plans-against-racism_0d72a33d/13e32676-en.pdf</vt:lpwstr>
      </vt:variant>
      <vt:variant>
        <vt:lpwstr/>
      </vt:variant>
      <vt:variant>
        <vt:i4>1179738</vt:i4>
      </vt:variant>
      <vt:variant>
        <vt:i4>123</vt:i4>
      </vt:variant>
      <vt:variant>
        <vt:i4>0</vt:i4>
      </vt:variant>
      <vt:variant>
        <vt:i4>5</vt:i4>
      </vt:variant>
      <vt:variant>
        <vt:lpwstr>https://fra.europa.eu/sites/default/files/fra_uploads/fra-2024-being-muslim-in-the-eu_en.pdf</vt:lpwstr>
      </vt:variant>
      <vt:variant>
        <vt:lpwstr/>
      </vt:variant>
      <vt:variant>
        <vt:i4>7798847</vt:i4>
      </vt:variant>
      <vt:variant>
        <vt:i4>120</vt:i4>
      </vt:variant>
      <vt:variant>
        <vt:i4>0</vt:i4>
      </vt:variant>
      <vt:variant>
        <vt:i4>5</vt:i4>
      </vt:variant>
      <vt:variant>
        <vt:lpwstr>https://fra.europa.eu/sites/default/files/fra_uploads/fra-2025-roma-survey-2024_en.pdf</vt:lpwstr>
      </vt:variant>
      <vt:variant>
        <vt:lpwstr/>
      </vt:variant>
      <vt:variant>
        <vt:i4>2293864</vt:i4>
      </vt:variant>
      <vt:variant>
        <vt:i4>117</vt:i4>
      </vt:variant>
      <vt:variant>
        <vt:i4>0</vt:i4>
      </vt:variant>
      <vt:variant>
        <vt:i4>5</vt:i4>
      </vt:variant>
      <vt:variant>
        <vt:lpwstr>https://europa.eu/eurobarometer/surveys/detail/2972</vt:lpwstr>
      </vt:variant>
      <vt:variant>
        <vt:lpwstr/>
      </vt:variant>
      <vt:variant>
        <vt:i4>6029419</vt:i4>
      </vt:variant>
      <vt:variant>
        <vt:i4>114</vt:i4>
      </vt:variant>
      <vt:variant>
        <vt:i4>0</vt:i4>
      </vt:variant>
      <vt:variant>
        <vt:i4>5</vt:i4>
      </vt:variant>
      <vt:variant>
        <vt:lpwstr>https://commission.europa.eu/document/download/f713e60d-403a-41eb-934b-a70f65ec66a8_en?filename=Study%20on%20sanctions%20for%20discrimination%20on%20racial%2Cethnic%2Creligious%20grounds.pdf</vt:lpwstr>
      </vt:variant>
      <vt:variant>
        <vt:lpwstr/>
      </vt:variant>
      <vt:variant>
        <vt:i4>7340151</vt:i4>
      </vt:variant>
      <vt:variant>
        <vt:i4>111</vt:i4>
      </vt:variant>
      <vt:variant>
        <vt:i4>0</vt:i4>
      </vt:variant>
      <vt:variant>
        <vt:i4>5</vt:i4>
      </vt:variant>
      <vt:variant>
        <vt:lpwstr>https://fra.europa.eu/sites/default/files/fra_uploads/fra-2024-experiences-perceptions-antisemitism-survey_en.pdf</vt:lpwstr>
      </vt:variant>
      <vt:variant>
        <vt:lpwstr/>
      </vt:variant>
      <vt:variant>
        <vt:i4>1179738</vt:i4>
      </vt:variant>
      <vt:variant>
        <vt:i4>108</vt:i4>
      </vt:variant>
      <vt:variant>
        <vt:i4>0</vt:i4>
      </vt:variant>
      <vt:variant>
        <vt:i4>5</vt:i4>
      </vt:variant>
      <vt:variant>
        <vt:lpwstr>https://fra.europa.eu/sites/default/files/fra_uploads/fra-2024-being-muslim-in-the-eu_en.pdf</vt:lpwstr>
      </vt:variant>
      <vt:variant>
        <vt:lpwstr/>
      </vt:variant>
      <vt:variant>
        <vt:i4>5177417</vt:i4>
      </vt:variant>
      <vt:variant>
        <vt:i4>105</vt:i4>
      </vt:variant>
      <vt:variant>
        <vt:i4>0</vt:i4>
      </vt:variant>
      <vt:variant>
        <vt:i4>5</vt:i4>
      </vt:variant>
      <vt:variant>
        <vt:lpwstr>https://fra.europa.eu/sites/default/files/fra_uploads/fra-2024-addressing-racism-in-policing_en.pdf</vt:lpwstr>
      </vt:variant>
      <vt:variant>
        <vt:lpwstr/>
      </vt:variant>
      <vt:variant>
        <vt:i4>4259966</vt:i4>
      </vt:variant>
      <vt:variant>
        <vt:i4>102</vt:i4>
      </vt:variant>
      <vt:variant>
        <vt:i4>0</vt:i4>
      </vt:variant>
      <vt:variant>
        <vt:i4>5</vt:i4>
      </vt:variant>
      <vt:variant>
        <vt:lpwstr>https://fra.europa.eu/sites/default/files/fra_uploads/fra-2023-being-black_in_the_eu_en.pdf</vt:lpwstr>
      </vt:variant>
      <vt:variant>
        <vt:lpwstr/>
      </vt:variant>
      <vt:variant>
        <vt:i4>7340151</vt:i4>
      </vt:variant>
      <vt:variant>
        <vt:i4>99</vt:i4>
      </vt:variant>
      <vt:variant>
        <vt:i4>0</vt:i4>
      </vt:variant>
      <vt:variant>
        <vt:i4>5</vt:i4>
      </vt:variant>
      <vt:variant>
        <vt:lpwstr>https://fra.europa.eu/sites/default/files/fra_uploads/fra-2024-experiences-perceptions-antisemitism-survey_en.pdf</vt:lpwstr>
      </vt:variant>
      <vt:variant>
        <vt:lpwstr/>
      </vt:variant>
      <vt:variant>
        <vt:i4>2293864</vt:i4>
      </vt:variant>
      <vt:variant>
        <vt:i4>96</vt:i4>
      </vt:variant>
      <vt:variant>
        <vt:i4>0</vt:i4>
      </vt:variant>
      <vt:variant>
        <vt:i4>5</vt:i4>
      </vt:variant>
      <vt:variant>
        <vt:lpwstr>https://europa.eu/eurobarometer/surveys/detail/2972</vt:lpwstr>
      </vt:variant>
      <vt:variant>
        <vt:lpwstr/>
      </vt:variant>
      <vt:variant>
        <vt:i4>3473426</vt:i4>
      </vt:variant>
      <vt:variant>
        <vt:i4>93</vt:i4>
      </vt:variant>
      <vt:variant>
        <vt:i4>0</vt:i4>
      </vt:variant>
      <vt:variant>
        <vt:i4>5</vt:i4>
      </vt:variant>
      <vt:variant>
        <vt:lpwstr>https://ec.europa.eu/info/law/better-regulation/have-your-say/initiatives/14552-Anti-racism-Strategy_en</vt:lpwstr>
      </vt:variant>
      <vt:variant>
        <vt:lpwstr/>
      </vt:variant>
      <vt:variant>
        <vt:i4>5177417</vt:i4>
      </vt:variant>
      <vt:variant>
        <vt:i4>90</vt:i4>
      </vt:variant>
      <vt:variant>
        <vt:i4>0</vt:i4>
      </vt:variant>
      <vt:variant>
        <vt:i4>5</vt:i4>
      </vt:variant>
      <vt:variant>
        <vt:lpwstr>https://fra.europa.eu/sites/default/files/fra_uploads/fra-2024-addressing-racism-in-policing_en.pdf</vt:lpwstr>
      </vt:variant>
      <vt:variant>
        <vt:lpwstr/>
      </vt:variant>
      <vt:variant>
        <vt:i4>5177417</vt:i4>
      </vt:variant>
      <vt:variant>
        <vt:i4>87</vt:i4>
      </vt:variant>
      <vt:variant>
        <vt:i4>0</vt:i4>
      </vt:variant>
      <vt:variant>
        <vt:i4>5</vt:i4>
      </vt:variant>
      <vt:variant>
        <vt:lpwstr>https://fra.europa.eu/sites/default/files/fra_uploads/fra-2024-addressing-racism-in-policing_en.pdf</vt:lpwstr>
      </vt:variant>
      <vt:variant>
        <vt:lpwstr/>
      </vt:variant>
      <vt:variant>
        <vt:i4>7864430</vt:i4>
      </vt:variant>
      <vt:variant>
        <vt:i4>84</vt:i4>
      </vt:variant>
      <vt:variant>
        <vt:i4>0</vt:i4>
      </vt:variant>
      <vt:variant>
        <vt:i4>5</vt:i4>
      </vt:variant>
      <vt:variant>
        <vt:lpwstr>https://ec.europa.eu/commission/presscorner/detail/en/ip_23_2087</vt:lpwstr>
      </vt:variant>
      <vt:variant>
        <vt:lpwstr/>
      </vt:variant>
      <vt:variant>
        <vt:i4>3538999</vt:i4>
      </vt:variant>
      <vt:variant>
        <vt:i4>81</vt:i4>
      </vt:variant>
      <vt:variant>
        <vt:i4>0</vt:i4>
      </vt:variant>
      <vt:variant>
        <vt:i4>5</vt:i4>
      </vt:variant>
      <vt:variant>
        <vt:lpwstr>https://culture.ec.europa.eu/news/eu-budget-2028-2034-new-agoraeu-programme</vt:lpwstr>
      </vt:variant>
      <vt:variant>
        <vt:lpwstr/>
      </vt:variant>
      <vt:variant>
        <vt:i4>4980783</vt:i4>
      </vt:variant>
      <vt:variant>
        <vt:i4>78</vt:i4>
      </vt:variant>
      <vt:variant>
        <vt:i4>0</vt:i4>
      </vt:variant>
      <vt:variant>
        <vt:i4>5</vt:i4>
      </vt:variant>
      <vt:variant>
        <vt:lpwstr>https://www.oecd.org/en/publications/monitoring-and-assessing-the-impact-of-national-action-plans-against-racism_13e32676-en/full-report.html</vt:lpwstr>
      </vt:variant>
      <vt:variant>
        <vt:lpwstr/>
      </vt:variant>
      <vt:variant>
        <vt:i4>4980783</vt:i4>
      </vt:variant>
      <vt:variant>
        <vt:i4>75</vt:i4>
      </vt:variant>
      <vt:variant>
        <vt:i4>0</vt:i4>
      </vt:variant>
      <vt:variant>
        <vt:i4>5</vt:i4>
      </vt:variant>
      <vt:variant>
        <vt:lpwstr>https://www.oecd.org/en/publications/monitoring-and-assessing-the-impact-of-national-action-plans-against-racism_13e32676-en/full-report.html</vt:lpwstr>
      </vt:variant>
      <vt:variant>
        <vt:lpwstr/>
      </vt:variant>
      <vt:variant>
        <vt:i4>4259966</vt:i4>
      </vt:variant>
      <vt:variant>
        <vt:i4>72</vt:i4>
      </vt:variant>
      <vt:variant>
        <vt:i4>0</vt:i4>
      </vt:variant>
      <vt:variant>
        <vt:i4>5</vt:i4>
      </vt:variant>
      <vt:variant>
        <vt:lpwstr>https://fra.europa.eu/sites/default/files/fra_uploads/fra-2023-being-black_in_the_eu_en.pdf</vt:lpwstr>
      </vt:variant>
      <vt:variant>
        <vt:lpwstr/>
      </vt:variant>
      <vt:variant>
        <vt:i4>6291511</vt:i4>
      </vt:variant>
      <vt:variant>
        <vt:i4>69</vt:i4>
      </vt:variant>
      <vt:variant>
        <vt:i4>0</vt:i4>
      </vt:variant>
      <vt:variant>
        <vt:i4>5</vt:i4>
      </vt:variant>
      <vt:variant>
        <vt:lpwstr>https://rm.coe.int/ecri-opinion-on-the-concept-of-racialisation/1680a4dcc2</vt:lpwstr>
      </vt:variant>
      <vt:variant>
        <vt:lpwstr/>
      </vt:variant>
      <vt:variant>
        <vt:i4>3473528</vt:i4>
      </vt:variant>
      <vt:variant>
        <vt:i4>66</vt:i4>
      </vt:variant>
      <vt:variant>
        <vt:i4>0</vt:i4>
      </vt:variant>
      <vt:variant>
        <vt:i4>5</vt:i4>
      </vt:variant>
      <vt:variant>
        <vt:lpwstr>https://rm.coe.int/ecri-general-policy-recommendation-no-7-revised-on-national-legislatio/16808b5aae</vt:lpwstr>
      </vt:variant>
      <vt:variant>
        <vt:lpwstr>:~:text=%E2%80%9Cracism%E2%80%9D%20shall%20mean%20the%20belief%20that%20a%20ground,of%20a%20person%20or%20a%20group%20of%20persons.</vt:lpwstr>
      </vt:variant>
      <vt:variant>
        <vt:i4>1179738</vt:i4>
      </vt:variant>
      <vt:variant>
        <vt:i4>63</vt:i4>
      </vt:variant>
      <vt:variant>
        <vt:i4>0</vt:i4>
      </vt:variant>
      <vt:variant>
        <vt:i4>5</vt:i4>
      </vt:variant>
      <vt:variant>
        <vt:lpwstr>https://fra.europa.eu/sites/default/files/fra_uploads/fra-2024-being-muslim-in-the-eu_en.pdf</vt:lpwstr>
      </vt:variant>
      <vt:variant>
        <vt:lpwstr/>
      </vt:variant>
      <vt:variant>
        <vt:i4>4259966</vt:i4>
      </vt:variant>
      <vt:variant>
        <vt:i4>60</vt:i4>
      </vt:variant>
      <vt:variant>
        <vt:i4>0</vt:i4>
      </vt:variant>
      <vt:variant>
        <vt:i4>5</vt:i4>
      </vt:variant>
      <vt:variant>
        <vt:lpwstr>https://fra.europa.eu/sites/default/files/fra_uploads/fra-2023-being-black_in_the_eu_en.pdf</vt:lpwstr>
      </vt:variant>
      <vt:variant>
        <vt:lpwstr/>
      </vt:variant>
      <vt:variant>
        <vt:i4>7798847</vt:i4>
      </vt:variant>
      <vt:variant>
        <vt:i4>57</vt:i4>
      </vt:variant>
      <vt:variant>
        <vt:i4>0</vt:i4>
      </vt:variant>
      <vt:variant>
        <vt:i4>5</vt:i4>
      </vt:variant>
      <vt:variant>
        <vt:lpwstr>https://fra.europa.eu/sites/default/files/fra_uploads/fra-2025-roma-survey-2024_en.pdf</vt:lpwstr>
      </vt:variant>
      <vt:variant>
        <vt:lpwstr/>
      </vt:variant>
      <vt:variant>
        <vt:i4>8323097</vt:i4>
      </vt:variant>
      <vt:variant>
        <vt:i4>54</vt:i4>
      </vt:variant>
      <vt:variant>
        <vt:i4>0</vt:i4>
      </vt:variant>
      <vt:variant>
        <vt:i4>5</vt:i4>
      </vt:variant>
      <vt:variant>
        <vt:lpwstr>https://commission.europa.eu/document/download/86b296ab-95ee-4139-aad3-d7016e096195_en?filename=EU%20Strategy%20on%20the%20Rights%20of%20the%20Child%20-%20Illustrated%20version</vt:lpwstr>
      </vt:variant>
      <vt:variant>
        <vt:lpwstr/>
      </vt:variant>
      <vt:variant>
        <vt:i4>2293775</vt:i4>
      </vt:variant>
      <vt:variant>
        <vt:i4>51</vt:i4>
      </vt:variant>
      <vt:variant>
        <vt:i4>0</vt:i4>
      </vt:variant>
      <vt:variant>
        <vt:i4>5</vt:i4>
      </vt:variant>
      <vt:variant>
        <vt:lpwstr>https://commission.europa.eu/strategy-and-policy/policies/justice-and-fundamental-rights/combatting-discrimination/racism-and-xenophobia/combating-hate-speech-and-hate-crime_en</vt:lpwstr>
      </vt:variant>
      <vt:variant>
        <vt:lpwstr/>
      </vt:variant>
      <vt:variant>
        <vt:i4>1376306</vt:i4>
      </vt:variant>
      <vt:variant>
        <vt:i4>48</vt:i4>
      </vt:variant>
      <vt:variant>
        <vt:i4>0</vt:i4>
      </vt:variant>
      <vt:variant>
        <vt:i4>5</vt:i4>
      </vt:variant>
      <vt:variant>
        <vt:lpwstr>https://ec.europa.eu/info/law/better-regulation/have-your-say/initiatives/14588-EU-Strategie-fur-die-Zivilgesellschaft_de</vt:lpwstr>
      </vt:variant>
      <vt:variant>
        <vt:lpwstr/>
      </vt:variant>
      <vt:variant>
        <vt:i4>7208975</vt:i4>
      </vt:variant>
      <vt:variant>
        <vt:i4>45</vt:i4>
      </vt:variant>
      <vt:variant>
        <vt:i4>0</vt:i4>
      </vt:variant>
      <vt:variant>
        <vt:i4>5</vt:i4>
      </vt:variant>
      <vt:variant>
        <vt:lpwstr>https://ec.europa.eu/info/law/better-regulation/have-your-say/initiatives/14683-EU-Anti-Poverty-Strategy_en</vt:lpwstr>
      </vt:variant>
      <vt:variant>
        <vt:lpwstr/>
      </vt:variant>
      <vt:variant>
        <vt:i4>3932252</vt:i4>
      </vt:variant>
      <vt:variant>
        <vt:i4>42</vt:i4>
      </vt:variant>
      <vt:variant>
        <vt:i4>0</vt:i4>
      </vt:variant>
      <vt:variant>
        <vt:i4>5</vt:i4>
      </vt:variant>
      <vt:variant>
        <vt:lpwstr>https://commission.europa.eu/topics/eu-competitiveness/union-skills_en</vt:lpwstr>
      </vt:variant>
      <vt:variant>
        <vt:lpwstr>:~:text=One%20in%20five%20adults%20struggle,thanks%20to%20its%20competitive%20economy.</vt:lpwstr>
      </vt:variant>
      <vt:variant>
        <vt:i4>6225983</vt:i4>
      </vt:variant>
      <vt:variant>
        <vt:i4>39</vt:i4>
      </vt:variant>
      <vt:variant>
        <vt:i4>0</vt:i4>
      </vt:variant>
      <vt:variant>
        <vt:i4>5</vt:i4>
      </vt:variant>
      <vt:variant>
        <vt:lpwstr>https://single-market-economy.ec.europa.eu/sectors/proximity-and-social-economy/social-economy-eu/affordable-housing-initiative_en</vt:lpwstr>
      </vt:variant>
      <vt:variant>
        <vt:lpwstr/>
      </vt:variant>
      <vt:variant>
        <vt:i4>7405649</vt:i4>
      </vt:variant>
      <vt:variant>
        <vt:i4>36</vt:i4>
      </vt:variant>
      <vt:variant>
        <vt:i4>0</vt:i4>
      </vt:variant>
      <vt:variant>
        <vt:i4>5</vt:i4>
      </vt:variant>
      <vt:variant>
        <vt:lpwstr>https://commission.europa.eu/strategy-and-policy/policies/justice-and-fundamental-rights/combatting-discrimination/racism-and-xenophobia/combating-anti-muslim-hatred_en</vt:lpwstr>
      </vt:variant>
      <vt:variant>
        <vt:lpwstr/>
      </vt:variant>
      <vt:variant>
        <vt:i4>4456517</vt:i4>
      </vt:variant>
      <vt:variant>
        <vt:i4>33</vt:i4>
      </vt:variant>
      <vt:variant>
        <vt:i4>0</vt:i4>
      </vt:variant>
      <vt:variant>
        <vt:i4>5</vt:i4>
      </vt:variant>
      <vt:variant>
        <vt:lpwstr>https://op.europa.eu/en/publication-detail/-/publication/3e1e2228-7c97-11eb-9ac9-01aa75ed71a1/language-en</vt:lpwstr>
      </vt:variant>
      <vt:variant>
        <vt:lpwstr/>
      </vt:variant>
      <vt:variant>
        <vt:i4>5308500</vt:i4>
      </vt:variant>
      <vt:variant>
        <vt:i4>30</vt:i4>
      </vt:variant>
      <vt:variant>
        <vt:i4>0</vt:i4>
      </vt:variant>
      <vt:variant>
        <vt:i4>5</vt:i4>
      </vt:variant>
      <vt:variant>
        <vt:lpwstr>https://commission.europa.eu/document/download/b4952371-4308-47ad-b995-02c539b75dda_en?filename=JUST_template_comingsoon_standard.pdf</vt:lpwstr>
      </vt:variant>
      <vt:variant>
        <vt:lpwstr/>
      </vt:variant>
      <vt:variant>
        <vt:i4>2621453</vt:i4>
      </vt:variant>
      <vt:variant>
        <vt:i4>27</vt:i4>
      </vt:variant>
      <vt:variant>
        <vt:i4>0</vt:i4>
      </vt:variant>
      <vt:variant>
        <vt:i4>5</vt:i4>
      </vt:variant>
      <vt:variant>
        <vt:lpwstr>https://commission.europa.eu/document/download/0c3fe55d-9e4f-4377-9d14-93d03398b434_en?filename=Gender%20Equality%20Report%20Chapeau%20Communication.pdf</vt:lpwstr>
      </vt:variant>
      <vt:variant>
        <vt:lpwstr/>
      </vt:variant>
      <vt:variant>
        <vt:i4>5963794</vt:i4>
      </vt:variant>
      <vt:variant>
        <vt:i4>24</vt:i4>
      </vt:variant>
      <vt:variant>
        <vt:i4>0</vt:i4>
      </vt:variant>
      <vt:variant>
        <vt:i4>5</vt:i4>
      </vt:variant>
      <vt:variant>
        <vt:lpwstr>https://eur-lex.europa.eu/legal-content/EN/ALL/?uri=COM:2021:615:FIN&amp;pk_campaign=doc&amp;pk_source=EUR-Lex&amp;pk_medium=tw&amp;pk_keyword=No2Antisemitism</vt:lpwstr>
      </vt:variant>
      <vt:variant>
        <vt:lpwstr/>
      </vt:variant>
      <vt:variant>
        <vt:i4>65658</vt:i4>
      </vt:variant>
      <vt:variant>
        <vt:i4>21</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3473426</vt:i4>
      </vt:variant>
      <vt:variant>
        <vt:i4>18</vt:i4>
      </vt:variant>
      <vt:variant>
        <vt:i4>0</vt:i4>
      </vt:variant>
      <vt:variant>
        <vt:i4>5</vt:i4>
      </vt:variant>
      <vt:variant>
        <vt:lpwstr>https://ec.europa.eu/info/law/better-regulation/have-your-say/initiatives/14552-Anti-racism-Strategy_en</vt:lpwstr>
      </vt:variant>
      <vt:variant>
        <vt:lpwstr/>
      </vt:variant>
      <vt:variant>
        <vt:i4>7798889</vt:i4>
      </vt:variant>
      <vt:variant>
        <vt:i4>15</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7929983</vt:i4>
      </vt:variant>
      <vt:variant>
        <vt:i4>12</vt:i4>
      </vt:variant>
      <vt:variant>
        <vt:i4>0</vt:i4>
      </vt:variant>
      <vt:variant>
        <vt:i4>5</vt:i4>
      </vt:variant>
      <vt:variant>
        <vt:lpwstr>https://www.consilium.europa.eu/en/meetings/jha/2024/10/11/</vt:lpwstr>
      </vt:variant>
      <vt:variant>
        <vt:lpwstr/>
      </vt:variant>
      <vt:variant>
        <vt:i4>6553711</vt:i4>
      </vt:variant>
      <vt:variant>
        <vt:i4>9</vt:i4>
      </vt:variant>
      <vt:variant>
        <vt:i4>0</vt:i4>
      </vt:variant>
      <vt:variant>
        <vt:i4>5</vt:i4>
      </vt:variant>
      <vt:variant>
        <vt:lpwstr>https://eur-lex.europa.eu/legal-content/EN/TXT/?uri=OJ%3AJOC_2023_161_R_0003</vt:lpwstr>
      </vt:variant>
      <vt:variant>
        <vt:lpwstr/>
      </vt:variant>
      <vt:variant>
        <vt:i4>7929983</vt:i4>
      </vt:variant>
      <vt:variant>
        <vt:i4>6</vt:i4>
      </vt:variant>
      <vt:variant>
        <vt:i4>0</vt:i4>
      </vt:variant>
      <vt:variant>
        <vt:i4>5</vt:i4>
      </vt:variant>
      <vt:variant>
        <vt:lpwstr>https://www.consilium.europa.eu/en/meetings/jha/2024/10/11/</vt:lpwstr>
      </vt:variant>
      <vt:variant>
        <vt:lpwstr/>
      </vt:variant>
      <vt:variant>
        <vt:i4>6553711</vt:i4>
      </vt:variant>
      <vt:variant>
        <vt:i4>3</vt:i4>
      </vt:variant>
      <vt:variant>
        <vt:i4>0</vt:i4>
      </vt:variant>
      <vt:variant>
        <vt:i4>5</vt:i4>
      </vt:variant>
      <vt:variant>
        <vt:lpwstr>https://eur-lex.europa.eu/legal-content/EN/TXT/?uri=OJ%3AJOC_2023_161_R_0003</vt:lpwstr>
      </vt:variant>
      <vt:variant>
        <vt:lpwstr/>
      </vt:variant>
      <vt:variant>
        <vt:i4>655378</vt:i4>
      </vt:variant>
      <vt:variant>
        <vt:i4>0</vt:i4>
      </vt:variant>
      <vt:variant>
        <vt:i4>0</vt:i4>
      </vt:variant>
      <vt:variant>
        <vt:i4>5</vt:i4>
      </vt:variant>
      <vt:variant>
        <vt:lpwstr>https://eur-lex.europa.eu/legal-content/EN/TXT/?uri=CELEX:12016M/TXT</vt:lpwstr>
      </vt:variant>
      <vt:variant>
        <vt:lpwstr/>
      </vt:variant>
      <vt:variant>
        <vt:i4>2687077</vt:i4>
      </vt:variant>
      <vt:variant>
        <vt:i4>9</vt:i4>
      </vt:variant>
      <vt:variant>
        <vt:i4>0</vt:i4>
      </vt:variant>
      <vt:variant>
        <vt:i4>5</vt:i4>
      </vt:variant>
      <vt:variant>
        <vt:lpwstr>https://www.who.int/activities/tackling-structural-racism-and-ethnicity-based-discrimination-in-health</vt:lpwstr>
      </vt:variant>
      <vt:variant>
        <vt:lpwstr/>
      </vt:variant>
      <vt:variant>
        <vt:i4>7667785</vt:i4>
      </vt:variant>
      <vt:variant>
        <vt:i4>6</vt:i4>
      </vt:variant>
      <vt:variant>
        <vt:i4>0</vt:i4>
      </vt:variant>
      <vt:variant>
        <vt:i4>5</vt:i4>
      </vt:variant>
      <vt:variant>
        <vt:lpwstr>mailto:Tommaso.ALBERINI@ec.europa.eu</vt:lpwstr>
      </vt:variant>
      <vt:variant>
        <vt:lpwstr/>
      </vt:variant>
      <vt:variant>
        <vt:i4>7667785</vt:i4>
      </vt:variant>
      <vt:variant>
        <vt:i4>3</vt:i4>
      </vt:variant>
      <vt:variant>
        <vt:i4>0</vt:i4>
      </vt:variant>
      <vt:variant>
        <vt:i4>5</vt:i4>
      </vt:variant>
      <vt:variant>
        <vt:lpwstr>mailto:Tommaso.ALBERINI@ec.europa.eu</vt:lpwstr>
      </vt:variant>
      <vt:variant>
        <vt:lpwstr/>
      </vt:variant>
      <vt:variant>
        <vt:i4>852044</vt:i4>
      </vt:variant>
      <vt:variant>
        <vt:i4>0</vt:i4>
      </vt:variant>
      <vt:variant>
        <vt:i4>0</vt:i4>
      </vt:variant>
      <vt:variant>
        <vt:i4>5</vt:i4>
      </vt:variant>
      <vt:variant>
        <vt:lpwstr>https://europa.eu/eurobarometer/api/deliverable/download/file?deliverableId=88556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2026-01-17T09:55:00Z</dcterms:created>
  <dcterms:modified xsi:type="dcterms:W3CDTF">2026-02-06T11:22:00Z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2025-12-16T02:48:54Z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a0490164-9051-4abb-aaa5-f39f72392588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EC_TX_Corporate_x0020_Body">
    <vt:lpwstr/>
  </property>
  <property fmtid="{D5CDD505-2E9C-101B-9397-08002B2CF9AE}" pid="13" name="EC_TX_All_World_Countries">
    <vt:lpwstr/>
  </property>
  <property fmtid="{D5CDD505-2E9C-101B-9397-08002B2CF9AE}" pid="14" name="MediaServiceImageTags">
    <vt:lpwstr/>
  </property>
  <property fmtid="{D5CDD505-2E9C-101B-9397-08002B2CF9AE}" pid="15" name="ContentTypeId">
    <vt:lpwstr>0x01010093DEBFA01D8CDE41AAE050D7D7CF61F9</vt:lpwstr>
  </property>
  <property fmtid="{D5CDD505-2E9C-101B-9397-08002B2CF9AE}" pid="16" name="EC_TX_Corporate Body">
    <vt:lpwstr/>
  </property>
  <property fmtid="{D5CDD505-2E9C-101B-9397-08002B2CF9AE}" pid="17" name="i8c8ab8b63424c5d9f8c4a8434abf670">
    <vt:lpwstr/>
  </property>
  <property fmtid="{D5CDD505-2E9C-101B-9397-08002B2CF9AE}" pid="18" name="p26229aee9004b9f888149fd0449ec68">
    <vt:lpwstr/>
  </property>
  <property fmtid="{D5CDD505-2E9C-101B-9397-08002B2CF9AE}" pid="19" name="eff2cf69f10b4279bbb27215ca009b37">
    <vt:lpwstr/>
  </property>
  <property fmtid="{D5CDD505-2E9C-101B-9397-08002B2CF9AE}" pid="20" name="EC_TX_Resource_Type">
    <vt:lpwstr/>
  </property>
  <property fmtid="{D5CDD505-2E9C-101B-9397-08002B2CF9AE}" pid="21" name="EC_TX_Policy_Area">
    <vt:lpwstr/>
  </property>
  <property fmtid="{D5CDD505-2E9C-101B-9397-08002B2CF9AE}" pid="22" name="EC_TX_EU_Member_State">
    <vt:lpwstr/>
  </property>
  <property fmtid="{D5CDD505-2E9C-101B-9397-08002B2CF9AE}" pid="23" name="j8309f8bc3e645d1a2f07391f8e5795a">
    <vt:lpwstr/>
  </property>
  <property fmtid="{D5CDD505-2E9C-101B-9397-08002B2CF9AE}" pid="24" name="g81cb4d17be94922847ce418ea81f55a">
    <vt:lpwstr/>
  </property>
  <property fmtid="{D5CDD505-2E9C-101B-9397-08002B2CF9AE}" pid="25" name="TaxCatchAll">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EC_TX_EU_Political_Leader">
    <vt:lpwstr/>
  </property>
  <property fmtid="{D5CDD505-2E9C-101B-9397-08002B2CF9AE}" pid="29" name="p6ffe5294acd41c38db3fcc8ababb05f">
    <vt:lpwstr/>
  </property>
  <property fmtid="{D5CDD505-2E9C-101B-9397-08002B2CF9AE}" pid="30" name="Level of sensitivity">
    <vt:lpwstr>Standard treatment</vt:lpwstr>
  </property>
  <property fmtid="{D5CDD505-2E9C-101B-9397-08002B2CF9AE}" pid="31" name="Part">
    <vt:lpwstr>1</vt:lpwstr>
  </property>
  <property fmtid="{D5CDD505-2E9C-101B-9397-08002B2CF9AE}" pid="32" name="Total parts">
    <vt:lpwstr>1</vt:lpwstr>
  </property>
  <property fmtid="{D5CDD505-2E9C-101B-9397-08002B2CF9AE}" pid="33" name="CPTemplateID">
    <vt:lpwstr>CP-014</vt:lpwstr>
  </property>
</Properties>
</file>