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B19" w:rsidRPr="001E499F" w:rsidRDefault="00B00957" w:rsidP="00B0095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68657E1-EDCD-48D2-A735-775A1C14486B" style="width:455.25pt;height:396.75pt">
            <v:imagedata r:id="rId8" o:title=""/>
          </v:shape>
        </w:pict>
      </w:r>
    </w:p>
    <w:p w:rsidR="007B3B19" w:rsidRPr="001E499F" w:rsidRDefault="007B3B19" w:rsidP="007B3B19">
      <w:pPr>
        <w:rPr>
          <w:noProof/>
        </w:rPr>
        <w:sectPr w:rsidR="007B3B19" w:rsidRPr="001E499F" w:rsidSect="00B0095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39"/>
          <w:pgMar w:top="1134" w:right="1417" w:bottom="1134" w:left="1417" w:header="709" w:footer="709" w:gutter="0"/>
          <w:pgNumType w:start="0"/>
          <w:cols w:space="720"/>
          <w:docGrid w:linePitch="360"/>
        </w:sectPr>
      </w:pPr>
    </w:p>
    <w:p w:rsidR="007B3B19" w:rsidRPr="001E499F" w:rsidRDefault="007B3B19" w:rsidP="00BB6B30">
      <w:pPr>
        <w:pStyle w:val="Exposdesmotifstitre"/>
        <w:rPr>
          <w:noProof/>
        </w:rPr>
      </w:pPr>
      <w:bookmarkStart w:id="0" w:name="_GoBack"/>
      <w:bookmarkEnd w:id="0"/>
      <w:r w:rsidRPr="001E499F">
        <w:rPr>
          <w:noProof/>
        </w:rPr>
        <w:lastRenderedPageBreak/>
        <w:t>INDOKOLÁS</w:t>
      </w:r>
    </w:p>
    <w:p w:rsidR="007B3B19" w:rsidRPr="001E499F" w:rsidRDefault="007B3B19" w:rsidP="007B3B19">
      <w:pPr>
        <w:widowControl w:val="0"/>
        <w:shd w:val="clear" w:color="auto" w:fill="FFFFFF"/>
        <w:autoSpaceDE w:val="0"/>
        <w:autoSpaceDN w:val="0"/>
        <w:adjustRightInd w:val="0"/>
        <w:spacing w:before="230" w:after="0" w:line="269" w:lineRule="exact"/>
        <w:ind w:right="86"/>
        <w:rPr>
          <w:noProof/>
        </w:rPr>
      </w:pPr>
      <w:r w:rsidRPr="001E499F">
        <w:rPr>
          <w:noProof/>
        </w:rPr>
        <w:t>A közös hozzáadottértékadó-rendszerről szóló, 2006. november 28-i 2006/112/EK tanácsi irányelv</w:t>
      </w:r>
      <w:r w:rsidRPr="001E499F">
        <w:rPr>
          <w:rStyle w:val="FootnoteReference"/>
          <w:noProof/>
        </w:rPr>
        <w:footnoteReference w:id="1"/>
      </w:r>
      <w:r w:rsidRPr="001E499F">
        <w:rPr>
          <w:noProof/>
        </w:rPr>
        <w:t xml:space="preserve"> (a továbbiakban: héairányelv) 395. cikkének (1) bekezdése értelmében a Tanács, a Bizottság javaslata alapján, bármelyik tagállamot egyhangúlag felhatalmazhatja arra, hogy az említett irányelvben foglaltaktól eltérő különös intézkedéseket alkalmazzon a hozzáadottérték-adó beszedésének egyszerűsítésére vagy egyes adócsalások és -kikerülések megelőzésére.</w:t>
      </w:r>
    </w:p>
    <w:p w:rsidR="007B3B19" w:rsidRPr="001E499F" w:rsidRDefault="007B3B19" w:rsidP="007B3B19">
      <w:pPr>
        <w:widowControl w:val="0"/>
        <w:shd w:val="clear" w:color="auto" w:fill="FFFFFF"/>
        <w:autoSpaceDE w:val="0"/>
        <w:autoSpaceDN w:val="0"/>
        <w:adjustRightInd w:val="0"/>
        <w:spacing w:before="230" w:after="0" w:line="269" w:lineRule="exact"/>
        <w:ind w:right="86"/>
        <w:rPr>
          <w:noProof/>
        </w:rPr>
      </w:pPr>
      <w:r w:rsidRPr="001E499F">
        <w:rPr>
          <w:noProof/>
        </w:rPr>
        <w:t>A Bizottságnál 2025. február 25-én iktatott levelében Lengyelország a héairányelv 26. cikke (1) bekezdésének a) pontjától és 168. cikkétől való eltérés időbeli hatályának meghosszabbítását kérte annak érdekében, hogy i. továbbra is 50 %-os korlátozást alkalmazhasson a nem kizárólag üzleti célra használt gépjárművek beszerzése, Közösségen belüli beszerzése, behozatala, bérlése és lízingje után előzetesen felszámított héa levonásának jogára, valamint hogy ii. ne tekintse ellenérték fejében nyújtott szolgáltatásnak az előzetesen felszámított héa levonásának jogára vonatkozó fenti korlátozás hatálya alá tartozó járműveknek az adóalany által végzett üzleti tevékenységtől eltérő célokra történő használatát.</w:t>
      </w:r>
    </w:p>
    <w:p w:rsidR="007B3B19" w:rsidRPr="001E499F" w:rsidRDefault="007B3B19" w:rsidP="007B3B19">
      <w:pPr>
        <w:widowControl w:val="0"/>
        <w:shd w:val="clear" w:color="auto" w:fill="FFFFFF"/>
        <w:autoSpaceDE w:val="0"/>
        <w:autoSpaceDN w:val="0"/>
        <w:adjustRightInd w:val="0"/>
        <w:spacing w:before="230" w:after="0" w:line="269" w:lineRule="exact"/>
        <w:ind w:right="86"/>
        <w:rPr>
          <w:noProof/>
        </w:rPr>
      </w:pPr>
      <w:r w:rsidRPr="001E499F">
        <w:rPr>
          <w:noProof/>
        </w:rPr>
        <w:t>A héairányelv 395. cikke (2) bekezdésének megfelelően a Bizottság 2025. április 10-én kelt levelében tájékoztatta a többi tagállamot Lengyelország kérelméről. A Bizottság 2025. április 11-én kelt levelében értesítette Lengyelországot arról, hogy birtokában van a kérelem elbírálásához általa szükségesnek ítélt valamennyi információnak.</w:t>
      </w:r>
    </w:p>
    <w:p w:rsidR="007B3B19" w:rsidRPr="001E499F" w:rsidRDefault="007B3B19" w:rsidP="00BB6B30">
      <w:pPr>
        <w:pStyle w:val="ManualHeading1"/>
        <w:rPr>
          <w:noProof/>
        </w:rPr>
      </w:pPr>
      <w:r w:rsidRPr="001E499F">
        <w:rPr>
          <w:noProof/>
        </w:rPr>
        <w:t>1.</w:t>
      </w:r>
      <w:r w:rsidRPr="001E499F">
        <w:rPr>
          <w:noProof/>
        </w:rPr>
        <w:tab/>
        <w:t>A JAVASLAT HÁTTERE</w:t>
      </w:r>
    </w:p>
    <w:p w:rsidR="007B3B19" w:rsidRPr="001E499F" w:rsidRDefault="007B3B19" w:rsidP="00044058">
      <w:pPr>
        <w:pStyle w:val="ManualHeading2"/>
        <w:rPr>
          <w:rFonts w:eastAsia="Arial Unicode MS"/>
          <w:noProof/>
        </w:rPr>
      </w:pPr>
      <w:r w:rsidRPr="001E499F">
        <w:rPr>
          <w:noProof/>
          <w:color w:val="000000"/>
          <w:u w:color="000000"/>
          <w:bdr w:val="nil"/>
        </w:rPr>
        <w:t>•</w:t>
      </w:r>
      <w:r w:rsidRPr="001E499F">
        <w:rPr>
          <w:noProof/>
          <w:color w:val="000000"/>
          <w:u w:color="000000"/>
          <w:bdr w:val="nil"/>
        </w:rPr>
        <w:tab/>
      </w:r>
      <w:r w:rsidRPr="001E499F">
        <w:rPr>
          <w:noProof/>
        </w:rPr>
        <w:t>A javaslat indokai és céljai</w:t>
      </w:r>
    </w:p>
    <w:p w:rsidR="007B3B19" w:rsidRPr="001E499F" w:rsidRDefault="007B3B19" w:rsidP="007B3B19">
      <w:pPr>
        <w:pBdr>
          <w:top w:val="nil"/>
          <w:left w:val="nil"/>
          <w:bottom w:val="nil"/>
          <w:right w:val="nil"/>
          <w:between w:val="nil"/>
          <w:bar w:val="nil"/>
        </w:pBdr>
        <w:spacing w:before="0" w:after="240"/>
        <w:rPr>
          <w:noProof/>
        </w:rPr>
      </w:pPr>
      <w:r w:rsidRPr="001E499F">
        <w:rPr>
          <w:noProof/>
        </w:rPr>
        <w:t>Az annak megállapítására irányuló ellenőrzések végzése, hogy a járműveket milyen mértékben használják üzleti és más célokra (különösen a vállalkozástól független magáncélokra), jelentős nehézségeket és terheket okozna mind az adóhatóságok, mind az adóalanyok számára, és mindkét fél számára időigényes és költséges vitákhoz vezethetne. A gyakorlatban néha lehetetlen ellenőrizni a járműhasználat tényleges megoszlását. Héacsaláshoz vagy csalási kísérlethez (például megbízhatatlan nyilvántartás-vezetéshez) és ebből következően az adóbevételek csökkenéséhez vezethet. A vegyes célokra használt járművek száma miatt az adókijátszás jelentős lehet.</w:t>
      </w:r>
    </w:p>
    <w:p w:rsidR="007B3B19" w:rsidRPr="001E499F" w:rsidRDefault="007B3B19" w:rsidP="007B3B19">
      <w:pPr>
        <w:pBdr>
          <w:top w:val="nil"/>
          <w:left w:val="nil"/>
          <w:bottom w:val="nil"/>
          <w:right w:val="nil"/>
          <w:between w:val="nil"/>
          <w:bar w:val="nil"/>
        </w:pBdr>
        <w:spacing w:before="0" w:after="240"/>
        <w:rPr>
          <w:rFonts w:eastAsia="Arial Unicode MS"/>
          <w:noProof/>
        </w:rPr>
      </w:pPr>
      <w:r w:rsidRPr="001E499F">
        <w:rPr>
          <w:noProof/>
        </w:rPr>
        <w:t>Lengyelországban ráadásul túlsúlyban vannak az alacsony árbevételű kisvállalkozások (az úgynevezett mikrovállalkozások), gyakran egyszemélyes társaságok vagy csak néhány munkavállalót foglalkoztató vállalkozások. Ezek gyakran családi vállalkozások. Az ilyen kisvállalkozások esetében gyakran nincs egyértelműen elkülönítve a vállalkozás vagyona az üzleti tevékenységet folytató személyek magánvagyonától. Ilyen esetekben a gépjárművek magán-, illetve üzleti célú használata közötti különbségtétel rendkívül nehéz, és aránytalanul nagy kiadásokat igényelne, beleértve a részletes dokumentáció vezetésének szükségességéből eredő költségeket is.</w:t>
      </w:r>
    </w:p>
    <w:p w:rsidR="007B3B19" w:rsidRPr="001E499F" w:rsidRDefault="007B3B19" w:rsidP="007B3B19">
      <w:pPr>
        <w:pBdr>
          <w:top w:val="nil"/>
          <w:left w:val="nil"/>
          <w:bottom w:val="nil"/>
          <w:right w:val="nil"/>
          <w:between w:val="nil"/>
          <w:bar w:val="nil"/>
        </w:pBdr>
        <w:spacing w:before="0" w:after="240"/>
        <w:rPr>
          <w:noProof/>
        </w:rPr>
      </w:pPr>
      <w:r w:rsidRPr="001E499F">
        <w:rPr>
          <w:noProof/>
        </w:rPr>
        <w:t>A kérelmezett különös intézkedések alkalmazása csökkenti a vállalkozók adminisztratív terheit és kiadásait. Az adóalanyoknak nem kell eleget tenniük számos nehézkes dokumentálási és jelentéstételi kötelezettségnek (pl. annak szükségessége, hogy vezessék és bejelentsék az adóhatóságnak az úgynevezett kilométeradatokat, azaz a végzett üzleti tevékenységgel kapcsolatban megtett kilométerek részletes jegyzékét), ami néha aránytalan adminisztratív terhet jelenthet.</w:t>
      </w:r>
    </w:p>
    <w:p w:rsidR="007B3B19" w:rsidRPr="001E499F" w:rsidRDefault="007B3B19" w:rsidP="007B3B19">
      <w:pPr>
        <w:pBdr>
          <w:top w:val="nil"/>
          <w:left w:val="nil"/>
          <w:bottom w:val="nil"/>
          <w:right w:val="nil"/>
          <w:between w:val="nil"/>
          <w:bar w:val="nil"/>
        </w:pBdr>
        <w:spacing w:before="0" w:after="240"/>
        <w:rPr>
          <w:noProof/>
        </w:rPr>
      </w:pPr>
      <w:r w:rsidRPr="001E499F">
        <w:rPr>
          <w:noProof/>
        </w:rPr>
        <w:t>A vállalkozások általában támogatják a kérelmezett eltérésből eredő adólevonási szabályokat. A 2013/805/EU végrehajtási határozat alapján elfogadott intézkedések sikeres kompromisszumnak tekinthetők az elfogadott szabályok és a járművek üzleti tevékenységek céljára történő tényleges használatát igazoló nyilvántartások költséges, időigényes és nem hatékony vezetése között. Az általános szabályoktól való eltérésből eredő egyszerűsítések elfogadását bizonyíthatja, hogy az adóalanyok a használt járművek közel 90 %-ára vonatkozóan ilyen szabályokat fogadtak el.</w:t>
      </w:r>
    </w:p>
    <w:p w:rsidR="007B3B19" w:rsidRPr="001E499F" w:rsidRDefault="007B3B19" w:rsidP="007B3B19">
      <w:pPr>
        <w:spacing w:before="0" w:after="0"/>
        <w:rPr>
          <w:rFonts w:eastAsia="Calibri"/>
          <w:noProof/>
          <w:szCs w:val="24"/>
        </w:rPr>
      </w:pPr>
      <w:r w:rsidRPr="001E499F">
        <w:rPr>
          <w:noProof/>
        </w:rPr>
        <w:t>Emiatt a Lengyel Köztársaság 2014. április 1-je óta eltérést alkalmaz a héairányelv 26. cikke (1) bekezdésének a) pontjától és 168. cikkétől. A fent említett egyedi intézkedéseket az (EU) 2016/1837 tanácsi végrehajtási határozat</w:t>
      </w:r>
      <w:r w:rsidRPr="001E499F">
        <w:rPr>
          <w:rStyle w:val="FootnoteReference"/>
          <w:noProof/>
        </w:rPr>
        <w:footnoteReference w:id="2"/>
      </w:r>
      <w:r w:rsidRPr="001E499F">
        <w:rPr>
          <w:noProof/>
        </w:rPr>
        <w:t xml:space="preserve"> 2019. december 31-ig, az (EU) 2019/1594 tanácsi végrehajtási határozat</w:t>
      </w:r>
      <w:r w:rsidRPr="001E499F">
        <w:rPr>
          <w:rStyle w:val="FootnoteReference"/>
          <w:rFonts w:eastAsia="Calibri"/>
          <w:noProof/>
          <w:szCs w:val="24"/>
        </w:rPr>
        <w:footnoteReference w:id="3"/>
      </w:r>
      <w:r w:rsidRPr="001E499F">
        <w:rPr>
          <w:noProof/>
        </w:rPr>
        <w:t xml:space="preserve"> 2022. december 31-ig, az (EU) 2022/2385 tanácsi végrehajtási határozat</w:t>
      </w:r>
      <w:r w:rsidRPr="001E499F">
        <w:rPr>
          <w:rStyle w:val="FootnoteReference"/>
          <w:rFonts w:eastAsia="Calibri"/>
          <w:noProof/>
          <w:szCs w:val="24"/>
        </w:rPr>
        <w:footnoteReference w:id="4"/>
      </w:r>
      <w:r w:rsidRPr="001E499F">
        <w:rPr>
          <w:noProof/>
        </w:rPr>
        <w:t xml:space="preserve"> pedig 2025. december 31-ig hosszabbította meg.</w:t>
      </w:r>
    </w:p>
    <w:p w:rsidR="007B3B19" w:rsidRPr="001E499F" w:rsidRDefault="007B3B19" w:rsidP="007B3B19">
      <w:pPr>
        <w:rPr>
          <w:noProof/>
        </w:rPr>
      </w:pPr>
      <w:r w:rsidRPr="001E499F">
        <w:rPr>
          <w:noProof/>
        </w:rPr>
        <w:t>Tekintettel arra, hogy a különös intézkedés kedvezően befolyásolja mind az adózók, mind az adóhatóságok adminisztratív terheit, javasolt engedélyezni a jelenleg hatályos eltérő intézkedés meghosszabbítását. A felhatalmazásnak korlátozott időtartamra, 2028. december 31-ig kell szólnia, hogy lehetőség legyen a különös intézkedés szükségességének és hatékonyságának, valamint az intézkedés alapját képező, az üzleti és nem üzleti célú használat közötti megoszlás értékelésére. Meghosszabbítás kérelmezése esetén a kérelmet és a hozzá csatolt, az alkalmazott százalékos arány értékeléséről szóló jelentést 2028. március 31-ig el kell juttatni a Bizottsághoz.</w:t>
      </w:r>
    </w:p>
    <w:p w:rsidR="007B3B19" w:rsidRPr="001E499F" w:rsidRDefault="007B3B19" w:rsidP="0029266A">
      <w:pPr>
        <w:pBdr>
          <w:top w:val="nil"/>
          <w:left w:val="nil"/>
          <w:bottom w:val="nil"/>
          <w:right w:val="nil"/>
          <w:between w:val="nil"/>
          <w:bar w:val="nil"/>
        </w:pBdr>
        <w:spacing w:before="0" w:after="240"/>
        <w:rPr>
          <w:rFonts w:eastAsia="Arial Unicode MS"/>
          <w:noProof/>
        </w:rPr>
      </w:pPr>
    </w:p>
    <w:p w:rsidR="007B3B19" w:rsidRPr="001E499F" w:rsidRDefault="007B3B19" w:rsidP="00044058">
      <w:pPr>
        <w:pStyle w:val="ManualHeading2"/>
        <w:rPr>
          <w:rFonts w:eastAsia="Arial Unicode MS"/>
          <w:noProof/>
          <w:color w:val="000000"/>
          <w:u w:color="000000"/>
          <w:bdr w:val="nil"/>
        </w:rPr>
      </w:pPr>
      <w:r w:rsidRPr="001E499F">
        <w:rPr>
          <w:noProof/>
          <w:color w:val="000000"/>
          <w:u w:color="000000"/>
          <w:bdr w:val="nil"/>
        </w:rPr>
        <w:t>•</w:t>
      </w:r>
      <w:r w:rsidRPr="001E499F">
        <w:rPr>
          <w:noProof/>
          <w:color w:val="000000"/>
          <w:u w:color="000000"/>
          <w:bdr w:val="nil"/>
        </w:rPr>
        <w:tab/>
      </w:r>
      <w:r w:rsidRPr="001E499F">
        <w:rPr>
          <w:noProof/>
        </w:rPr>
        <w:t>Összhang a szabályozási terület jelenlegi rendelkezéseivel</w:t>
      </w:r>
    </w:p>
    <w:p w:rsidR="007B3B19" w:rsidRPr="001E499F" w:rsidRDefault="007B3B19" w:rsidP="007B3B19">
      <w:pPr>
        <w:pBdr>
          <w:top w:val="nil"/>
          <w:left w:val="nil"/>
          <w:bottom w:val="nil"/>
          <w:right w:val="nil"/>
          <w:between w:val="nil"/>
          <w:bar w:val="nil"/>
        </w:pBdr>
        <w:spacing w:before="0" w:after="240"/>
        <w:rPr>
          <w:noProof/>
        </w:rPr>
      </w:pPr>
      <w:r w:rsidRPr="001E499F">
        <w:rPr>
          <w:noProof/>
        </w:rPr>
        <w:t>Az adólevonási joghoz kapcsolódó hasonló eltérésekre más tagállamok</w:t>
      </w:r>
      <w:r w:rsidRPr="001E499F">
        <w:rPr>
          <w:rStyle w:val="FootnoteReference"/>
          <w:rFonts w:eastAsia="Arial Unicode MS"/>
          <w:noProof/>
        </w:rPr>
        <w:footnoteReference w:id="5"/>
      </w:r>
      <w:r w:rsidRPr="001E499F">
        <w:rPr>
          <w:noProof/>
        </w:rPr>
        <w:t xml:space="preserve"> is engedélyt kaptak.</w:t>
      </w:r>
    </w:p>
    <w:p w:rsidR="007B3B19" w:rsidRPr="001E499F" w:rsidRDefault="007B3B19" w:rsidP="007B3B19">
      <w:pPr>
        <w:pBdr>
          <w:top w:val="nil"/>
          <w:left w:val="nil"/>
          <w:bottom w:val="nil"/>
          <w:right w:val="nil"/>
          <w:between w:val="nil"/>
          <w:bar w:val="nil"/>
        </w:pBdr>
        <w:spacing w:before="0" w:after="240"/>
        <w:rPr>
          <w:noProof/>
        </w:rPr>
      </w:pPr>
      <w:r w:rsidRPr="001E499F">
        <w:rPr>
          <w:noProof/>
        </w:rPr>
        <w:t>A héairányelv 176. cikke értelmében a Tanács megállapítja, hogy milyen kiadások nem jogosítanak a héa levonására. Azon időpontig az irányelv felhatalmazza a tagállamokat arra, hogy fenntartsák a nemzeti jogszabályok alapján 1979. január 1-jén, vagy – a Közösséghez az említett időpontot követően csatlakozó tagállamok esetében – a csatlakozás időpontjában hatályban lévő kizárásokat. Mindezek alapján több olyan „felfüggesztő” rendelkezés is hatályban van, amely korlátozza a vállalati gépjárművekre vonatkozó héalevonási jogot.</w:t>
      </w:r>
    </w:p>
    <w:p w:rsidR="007B3B19" w:rsidRPr="001E499F" w:rsidRDefault="007B3B19" w:rsidP="007B3B19">
      <w:pPr>
        <w:pBdr>
          <w:top w:val="nil"/>
          <w:left w:val="nil"/>
          <w:bottom w:val="nil"/>
          <w:right w:val="nil"/>
          <w:between w:val="nil"/>
          <w:bar w:val="nil"/>
        </w:pBdr>
        <w:spacing w:before="0" w:after="240"/>
        <w:rPr>
          <w:noProof/>
        </w:rPr>
      </w:pPr>
      <w:r w:rsidRPr="001E499F">
        <w:rPr>
          <w:noProof/>
        </w:rPr>
        <w:t>Az arra vonatkozó szabályok megállapítására irányuló korábbi kezdeményezések, hogy mely kiadási kategóriák esetében lehet az adólevonási jogot korlátozni, mind meghiúsultak</w:t>
      </w:r>
      <w:r w:rsidRPr="001E499F">
        <w:rPr>
          <w:rStyle w:val="FootnoteReference"/>
          <w:noProof/>
        </w:rPr>
        <w:footnoteReference w:id="6"/>
      </w:r>
      <w:r w:rsidRPr="001E499F">
        <w:rPr>
          <w:noProof/>
        </w:rPr>
        <w:t>. Mindaddig, amíg nem kerül sor ezen szabályok uniós szintű harmonizációjára, a jelenlegihez hasonló eltérések megfelelőnek tekinthetők.</w:t>
      </w:r>
    </w:p>
    <w:p w:rsidR="007B3B19" w:rsidRPr="001E499F" w:rsidRDefault="007B3B19" w:rsidP="007B3B19">
      <w:pPr>
        <w:pBdr>
          <w:top w:val="nil"/>
          <w:left w:val="nil"/>
          <w:bottom w:val="nil"/>
          <w:right w:val="nil"/>
          <w:between w:val="nil"/>
          <w:bar w:val="nil"/>
        </w:pBdr>
        <w:spacing w:before="0" w:after="240"/>
        <w:rPr>
          <w:rFonts w:eastAsia="Arial Unicode MS"/>
          <w:noProof/>
        </w:rPr>
      </w:pPr>
      <w:r w:rsidRPr="001E499F">
        <w:rPr>
          <w:noProof/>
        </w:rPr>
        <w:t>A javasolt intézkedések tehát összhangban vannak a héairányelv rendelkezéseivel.</w:t>
      </w:r>
    </w:p>
    <w:p w:rsidR="007B3B19" w:rsidRPr="001E499F" w:rsidRDefault="007B3B19" w:rsidP="00A4693B">
      <w:pPr>
        <w:pStyle w:val="ManualHeading2"/>
        <w:rPr>
          <w:rFonts w:eastAsia="Arial Unicode MS"/>
          <w:noProof/>
        </w:rPr>
      </w:pPr>
      <w:r w:rsidRPr="001E499F">
        <w:rPr>
          <w:noProof/>
          <w:color w:val="000000"/>
          <w:u w:color="000000"/>
          <w:bdr w:val="nil"/>
        </w:rPr>
        <w:t>•</w:t>
      </w:r>
      <w:r w:rsidRPr="001E499F">
        <w:rPr>
          <w:noProof/>
          <w:color w:val="000000"/>
          <w:u w:color="000000"/>
          <w:bdr w:val="nil"/>
        </w:rPr>
        <w:tab/>
      </w:r>
      <w:r w:rsidRPr="001E499F">
        <w:rPr>
          <w:noProof/>
        </w:rPr>
        <w:t>Összhang az Unió egyéb szakpolitikáival</w:t>
      </w:r>
    </w:p>
    <w:p w:rsidR="007B3B19" w:rsidRPr="001E499F" w:rsidRDefault="007B3B19" w:rsidP="0029266A">
      <w:pPr>
        <w:pBdr>
          <w:top w:val="nil"/>
          <w:left w:val="nil"/>
          <w:bottom w:val="nil"/>
          <w:right w:val="nil"/>
          <w:between w:val="nil"/>
          <w:bar w:val="nil"/>
        </w:pBdr>
        <w:spacing w:before="0" w:after="240"/>
        <w:rPr>
          <w:rFonts w:eastAsia="Arial Unicode MS"/>
          <w:noProof/>
        </w:rPr>
      </w:pPr>
      <w:r w:rsidRPr="001E499F">
        <w:rPr>
          <w:noProof/>
        </w:rPr>
        <w:t>Ez az intézkedés összhangban van „A helyreállítási tervet támogató igazságos és egyszerű adózásra irányuló új cselekvési terv” című, 2020. július 15-i bizottsági közleménnyel</w:t>
      </w:r>
      <w:r w:rsidRPr="001E499F">
        <w:rPr>
          <w:rStyle w:val="FootnoteReference"/>
          <w:noProof/>
        </w:rPr>
        <w:footnoteReference w:id="7"/>
      </w:r>
      <w:r w:rsidRPr="001E499F">
        <w:rPr>
          <w:noProof/>
        </w:rPr>
        <w:t>, amely kiemeli, hogy támogatni kell a fiatal és innovatív vállalkozásokat, amelyek nagyobb adminisztratív nehézségekkel néznek szembe, mint a nagy multinacionális vállalatok, és amelyek számára magasabbak a megfelelési költségek, mint a nagyvállalatok számára. Összeegyeztethető továbbá a Bizottság 2017. évi munkaprogramjával</w:t>
      </w:r>
      <w:r w:rsidRPr="001E499F">
        <w:rPr>
          <w:rStyle w:val="FootnoteReference"/>
          <w:noProof/>
        </w:rPr>
        <w:footnoteReference w:id="8"/>
      </w:r>
      <w:r w:rsidRPr="001E499F">
        <w:rPr>
          <w:noProof/>
        </w:rPr>
        <w:t>, amely hangsúlyozza, hogy a kisebb vállalkozások számára egyszerűsíteni kell a héát, valamint a Bizottság 2025. évi munkaprogramjával</w:t>
      </w:r>
      <w:r w:rsidRPr="001E499F">
        <w:rPr>
          <w:rStyle w:val="FootnoteReference"/>
          <w:rFonts w:eastAsia="Arial Unicode MS"/>
          <w:noProof/>
        </w:rPr>
        <w:footnoteReference w:id="9"/>
      </w:r>
      <w:r w:rsidRPr="001E499F">
        <w:rPr>
          <w:noProof/>
        </w:rPr>
        <w:t>, amely kiemeli a végrehajtási és egyszerűsítési menetrend fontosságát.</w:t>
      </w:r>
    </w:p>
    <w:p w:rsidR="007B3B19" w:rsidRPr="001E499F" w:rsidRDefault="007B3B19" w:rsidP="00550536">
      <w:pPr>
        <w:pStyle w:val="ManualHeading1"/>
        <w:rPr>
          <w:noProof/>
        </w:rPr>
      </w:pPr>
      <w:r w:rsidRPr="001E499F">
        <w:rPr>
          <w:noProof/>
        </w:rPr>
        <w:t>2.</w:t>
      </w:r>
      <w:r w:rsidRPr="001E499F">
        <w:rPr>
          <w:noProof/>
        </w:rPr>
        <w:tab/>
        <w:t>JOGALAP, SZUBSZIDIARITÁS ÉS ARÁNYOSSÁG</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Jogalap</w:t>
      </w:r>
    </w:p>
    <w:p w:rsidR="007B3B19" w:rsidRPr="001E499F" w:rsidRDefault="007B3B19" w:rsidP="00550536">
      <w:pPr>
        <w:pBdr>
          <w:top w:val="nil"/>
          <w:left w:val="nil"/>
          <w:bottom w:val="nil"/>
          <w:right w:val="nil"/>
          <w:between w:val="nil"/>
          <w:bar w:val="nil"/>
        </w:pBdr>
        <w:spacing w:before="0" w:after="240"/>
        <w:rPr>
          <w:rFonts w:eastAsia="Arial Unicode MS"/>
          <w:noProof/>
        </w:rPr>
      </w:pPr>
      <w:r w:rsidRPr="001E499F">
        <w:rPr>
          <w:noProof/>
        </w:rPr>
        <w:t>A héairányelv 395. cikke.</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Szubszidiaritás (nem kizárólagos hatáskör esetén)</w:t>
      </w:r>
    </w:p>
    <w:p w:rsidR="007B3B19" w:rsidRPr="001E499F" w:rsidRDefault="007B3B19" w:rsidP="00550536">
      <w:pPr>
        <w:pBdr>
          <w:top w:val="nil"/>
          <w:left w:val="nil"/>
          <w:bottom w:val="nil"/>
          <w:right w:val="nil"/>
          <w:between w:val="nil"/>
          <w:bar w:val="nil"/>
        </w:pBdr>
        <w:spacing w:before="0" w:after="240"/>
        <w:rPr>
          <w:rFonts w:eastAsia="Arial Unicode MS"/>
          <w:noProof/>
        </w:rPr>
      </w:pPr>
      <w:r w:rsidRPr="001E499F">
        <w:rPr>
          <w:noProof/>
        </w:rPr>
        <w:t>Tekintettel a héairányelv azon rendelkezésére, amelyre a javaslat épül, a szubszidiaritás elve nem alkalmazható.</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Arányosság</w:t>
      </w:r>
    </w:p>
    <w:p w:rsidR="007B3B19" w:rsidRPr="001E499F" w:rsidRDefault="007B3B19" w:rsidP="007B3B19">
      <w:pPr>
        <w:pBdr>
          <w:top w:val="nil"/>
          <w:left w:val="nil"/>
          <w:bottom w:val="nil"/>
          <w:right w:val="nil"/>
          <w:between w:val="nil"/>
          <w:bar w:val="nil"/>
        </w:pBdr>
        <w:spacing w:before="0" w:after="240"/>
        <w:rPr>
          <w:noProof/>
        </w:rPr>
      </w:pPr>
      <w:r w:rsidRPr="001E499F">
        <w:rPr>
          <w:noProof/>
        </w:rPr>
        <w:t>A határozat felhatalmazást ad egy tagállam számára, annak saját kérelme alapján, kötelezettséget tehát nem keletkeztet.</w:t>
      </w:r>
    </w:p>
    <w:p w:rsidR="007B3B19" w:rsidRPr="001E499F" w:rsidRDefault="007B3B19" w:rsidP="00550536">
      <w:pPr>
        <w:pBdr>
          <w:top w:val="nil"/>
          <w:left w:val="nil"/>
          <w:bottom w:val="nil"/>
          <w:right w:val="nil"/>
          <w:between w:val="nil"/>
          <w:bar w:val="nil"/>
        </w:pBdr>
        <w:spacing w:before="0" w:after="240"/>
        <w:rPr>
          <w:rFonts w:eastAsia="Arial Unicode MS"/>
          <w:noProof/>
        </w:rPr>
      </w:pPr>
      <w:r w:rsidRPr="001E499F">
        <w:rPr>
          <w:noProof/>
        </w:rPr>
        <w:t>Az eltérés korlátozott hatályára tekintettel a különös intézkedés arányban áll a kitűzött célokkal, vagyis az adóbeszedés egyszerűsítésével és egyes adócsalások és -kikerülések megelőzésével. Figyelembe véve annak lehetőségét, hogy a vállalkozások a valós adókötelezettségüknél kevesebbet vallanak be, valamint azt, hogy mekkora terhet róna az adóhatóságokra a kilométeradatok ellenőrzése, az 50 %-os korlátozás egyszerűsítené a héabeszedést és megelőzné a – többek között a pontatlan nyilvántartásból fakadó – adócsalást.</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A jogi aktus típusának megválasztása</w:t>
      </w:r>
    </w:p>
    <w:p w:rsidR="007B3B19" w:rsidRPr="001E499F" w:rsidRDefault="007B3B19" w:rsidP="007B3B19">
      <w:pPr>
        <w:pBdr>
          <w:top w:val="nil"/>
          <w:left w:val="nil"/>
          <w:bottom w:val="nil"/>
          <w:right w:val="nil"/>
          <w:between w:val="nil"/>
          <w:bar w:val="nil"/>
        </w:pBdr>
        <w:spacing w:before="0" w:after="240"/>
        <w:rPr>
          <w:noProof/>
        </w:rPr>
      </w:pPr>
      <w:r w:rsidRPr="001E499F">
        <w:rPr>
          <w:noProof/>
        </w:rPr>
        <w:t>A javasolt aktus tanácsi végrehajtási határozat.</w:t>
      </w:r>
    </w:p>
    <w:p w:rsidR="007B3B19" w:rsidRPr="001E499F" w:rsidRDefault="007B3B19" w:rsidP="00550536">
      <w:pPr>
        <w:pBdr>
          <w:top w:val="nil"/>
          <w:left w:val="nil"/>
          <w:bottom w:val="nil"/>
          <w:right w:val="nil"/>
          <w:between w:val="nil"/>
          <w:bar w:val="nil"/>
        </w:pBdr>
        <w:spacing w:before="0" w:after="240"/>
        <w:rPr>
          <w:rFonts w:eastAsia="Arial Unicode MS"/>
          <w:noProof/>
        </w:rPr>
      </w:pPr>
      <w:r w:rsidRPr="001E499F">
        <w:rPr>
          <w:noProof/>
        </w:rPr>
        <w:t>A héairányelv 395. cikke szerint a héára vonatkozó közös szabályoktól kizárólag abban az esetben lehet eltérni, ha arra a Tanács a Bizottság javaslata alapján egyhangúlag felhatalmazást ad. A tanácsi végrehajtási határozat a legmegfelelőbb jogi aktus, mivel az egy-egy tagállamnak is címezhető.</w:t>
      </w:r>
    </w:p>
    <w:p w:rsidR="007B3B19" w:rsidRPr="001E499F" w:rsidRDefault="007B3B19" w:rsidP="00550536">
      <w:pPr>
        <w:pStyle w:val="ManualHeading1"/>
        <w:rPr>
          <w:noProof/>
        </w:rPr>
      </w:pPr>
      <w:r w:rsidRPr="001E499F">
        <w:rPr>
          <w:noProof/>
        </w:rPr>
        <w:t>3.</w:t>
      </w:r>
      <w:r w:rsidRPr="001E499F">
        <w:rPr>
          <w:noProof/>
        </w:rPr>
        <w:tab/>
        <w:t>AZ UTÓLAGOS ÉRTÉKELÉSEK, AZ ÉRDEKELT FELEKKEL FOLYTATOTT KONZULTÁCIÓK ÉS A HATÁSVIZSGÁLATOK EREDMÉNYEI</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A jelenleg hatályban lévő jogszabályok utólagos értékelése / célravezetőségi vizsgálata</w:t>
      </w:r>
    </w:p>
    <w:p w:rsidR="007B3B19" w:rsidRPr="001E499F" w:rsidRDefault="007B3B19" w:rsidP="007B3B19">
      <w:pPr>
        <w:pBdr>
          <w:top w:val="nil"/>
          <w:left w:val="nil"/>
          <w:bottom w:val="nil"/>
          <w:right w:val="nil"/>
          <w:between w:val="nil"/>
          <w:bar w:val="nil"/>
        </w:pBdr>
        <w:spacing w:before="0" w:after="240"/>
        <w:rPr>
          <w:rFonts w:eastAsia="Calibri"/>
          <w:noProof/>
          <w:szCs w:val="24"/>
        </w:rPr>
      </w:pPr>
      <w:r w:rsidRPr="001E499F">
        <w:rPr>
          <w:noProof/>
        </w:rPr>
        <w:t>A Lengyel Köztársaság jelentést is csatolt a fent említett különös intézkedés meghosszabbítására irányuló kérelméhez. A jelentés tartalmazta a héalevonási jog jelenlegi korlátozására vonatkozó, az (EU) 2019/1594 tanácsi végrehajtási határozat</w:t>
      </w:r>
      <w:r w:rsidRPr="001E499F">
        <w:rPr>
          <w:rStyle w:val="FootnoteReference"/>
          <w:noProof/>
        </w:rPr>
        <w:footnoteReference w:id="10"/>
      </w:r>
      <w:r w:rsidRPr="001E499F">
        <w:rPr>
          <w:noProof/>
        </w:rPr>
        <w:t xml:space="preserve"> 1. cikkével és az (EU) 2022/2385 tanácsi végrehajtási határozat</w:t>
      </w:r>
      <w:r w:rsidRPr="001E499F">
        <w:rPr>
          <w:rStyle w:val="FootnoteReference"/>
          <w:rFonts w:eastAsia="Calibri"/>
          <w:noProof/>
          <w:szCs w:val="24"/>
        </w:rPr>
        <w:footnoteReference w:id="11"/>
      </w:r>
      <w:r w:rsidRPr="001E499F">
        <w:rPr>
          <w:noProof/>
        </w:rPr>
        <w:t xml:space="preserve"> 1. cikkével módosított 2013/805/EU tanácsi végrehajtási határozat</w:t>
      </w:r>
      <w:r w:rsidRPr="001E499F">
        <w:rPr>
          <w:rStyle w:val="FootnoteReference"/>
          <w:noProof/>
        </w:rPr>
        <w:footnoteReference w:id="12"/>
      </w:r>
      <w:r w:rsidRPr="001E499F">
        <w:rPr>
          <w:noProof/>
        </w:rPr>
        <w:t xml:space="preserve"> 3. cikkének második bekezdésében előírt felülvizsgálatát.</w:t>
      </w:r>
    </w:p>
    <w:p w:rsidR="007B3B19" w:rsidRPr="001E499F" w:rsidRDefault="007B3B19" w:rsidP="007B3B19">
      <w:pPr>
        <w:spacing w:before="0" w:after="0"/>
        <w:rPr>
          <w:rFonts w:eastAsia="Calibri"/>
          <w:noProof/>
          <w:szCs w:val="24"/>
        </w:rPr>
      </w:pPr>
      <w:r w:rsidRPr="001E499F">
        <w:rPr>
          <w:noProof/>
        </w:rPr>
        <w:t>A héalevonási jog korlátozásának a fent említett jelentés kapcsán elvégzett felülvizsgálata mindenekelőtt a következőket állapította meg:</w:t>
      </w:r>
    </w:p>
    <w:p w:rsidR="007B3B19" w:rsidRPr="001E499F" w:rsidRDefault="007B3B19" w:rsidP="00EC3569">
      <w:pPr>
        <w:pStyle w:val="Bullet0"/>
        <w:numPr>
          <w:ilvl w:val="0"/>
          <w:numId w:val="17"/>
        </w:numPr>
        <w:rPr>
          <w:noProof/>
        </w:rPr>
      </w:pPr>
      <w:r w:rsidRPr="001E499F">
        <w:rPr>
          <w:noProof/>
        </w:rPr>
        <w:t>a különös intézkedés hozzájárult a héa beszedésének egyszerűsítéséhez és a héacsalás megelőzéséhez azáltal, hogy kiküszöbölte az adóalany azon nehézségét, hogy meghatározza a gépjármű üzleti vagy más célokra való felhasználásának (főként üzleti járművek magáncélú használatának) arányait, ami hozzájárul az áthárított héa elkerüléséhez és kikerüléséhez;</w:t>
      </w:r>
    </w:p>
    <w:p w:rsidR="007B3B19" w:rsidRPr="001E499F" w:rsidRDefault="007B3B19" w:rsidP="007B3B19">
      <w:pPr>
        <w:pStyle w:val="Bullet0"/>
        <w:rPr>
          <w:noProof/>
        </w:rPr>
      </w:pPr>
      <w:r w:rsidRPr="001E499F">
        <w:rPr>
          <w:noProof/>
        </w:rPr>
        <w:t>a különös intézkedés hozzájárult az adókötelezettségek egyszerűsítéséhez, valamint az adóalanyokra (különösen a kkv-ágazatban) és az adóhatóságra háruló adminisztratív terhek csökkentéséhez azáltal, hogy jelentősen csökkentette az előzetesen felszámított adó levonásai helyességének ellenőrzésével kapcsolatos nehézségeket, mely ellenőrzés gyakran költséges és időigényes közigazgatási és bírósági vitákhoz vezet (mindkét fél számára);</w:t>
      </w:r>
    </w:p>
    <w:p w:rsidR="007B3B19" w:rsidRPr="001E499F" w:rsidRDefault="007B3B19" w:rsidP="007B3B19">
      <w:pPr>
        <w:pStyle w:val="Bullet0"/>
        <w:rPr>
          <w:noProof/>
        </w:rPr>
      </w:pPr>
      <w:r w:rsidRPr="001E499F">
        <w:rPr>
          <w:noProof/>
        </w:rPr>
        <w:t>az előzetesen felszámított héa levonásához való jog 50 %-ra való korlátozása helyénvaló, mivel általában megfelel a gépjármű adóalany általi átlagos magáncélú használatának (az alacsonyabb vagy magasabb arány alkalmazása túlzott eltéréseket eredményezne a gépjármű üzleti és magáncélra történő feltételezett és tényleges használata között);</w:t>
      </w:r>
    </w:p>
    <w:p w:rsidR="007B3B19" w:rsidRPr="001E499F" w:rsidRDefault="007B3B19" w:rsidP="007B3B19">
      <w:pPr>
        <w:pStyle w:val="Bullet0"/>
        <w:spacing w:before="0" w:after="0"/>
        <w:rPr>
          <w:rFonts w:eastAsia="Calibri"/>
          <w:noProof/>
          <w:szCs w:val="24"/>
        </w:rPr>
      </w:pPr>
      <w:r w:rsidRPr="001E499F">
        <w:rPr>
          <w:noProof/>
        </w:rPr>
        <w:t>az intézkedés összeegyeztethető a semlegesség elvével, és nem korlátozza a személygépkocsikkal kapcsolatos kiadások tekintetében az előzetesen felszámított adó teljes levonásához való jogot, feltéve, hogy az adóalany eleget tesz bizonyos nyilvántartási követelményeknek, amelyek igazolják, hogy a járművet 100 %-ban üzleti tevékenység céljára használják.</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Az érdekelt felekkel folytatott konzultációk</w:t>
      </w:r>
    </w:p>
    <w:p w:rsidR="007B3B19" w:rsidRPr="001E499F" w:rsidRDefault="007B3B19" w:rsidP="00550536">
      <w:pPr>
        <w:pBdr>
          <w:top w:val="nil"/>
          <w:left w:val="nil"/>
          <w:bottom w:val="nil"/>
          <w:right w:val="nil"/>
          <w:between w:val="nil"/>
          <w:bar w:val="nil"/>
        </w:pBdr>
        <w:spacing w:before="0" w:after="240"/>
        <w:rPr>
          <w:noProof/>
        </w:rPr>
      </w:pPr>
      <w:r w:rsidRPr="001E499F">
        <w:rPr>
          <w:noProof/>
        </w:rPr>
        <w:t>Nem került sor konzultációra érdekelt felekkel. A javaslat Lengyelország kérelmén alapul, és kizárólag ezt a tagállamot érinti.</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Szakértői vélemények beszerzése és felhasználása</w:t>
      </w:r>
    </w:p>
    <w:p w:rsidR="007B3B19" w:rsidRPr="001E499F" w:rsidRDefault="007B3B19" w:rsidP="00550536">
      <w:pPr>
        <w:pBdr>
          <w:top w:val="nil"/>
          <w:left w:val="nil"/>
          <w:bottom w:val="nil"/>
          <w:right w:val="nil"/>
          <w:between w:val="nil"/>
          <w:bar w:val="nil"/>
        </w:pBdr>
        <w:spacing w:before="0" w:after="240"/>
        <w:rPr>
          <w:rFonts w:eastAsia="Arial Unicode MS"/>
          <w:noProof/>
        </w:rPr>
      </w:pPr>
      <w:r w:rsidRPr="001E499F">
        <w:rPr>
          <w:noProof/>
        </w:rPr>
        <w:t>Külső szakértők bevonására nem volt szükség.</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Hatásvizsgálat</w:t>
      </w:r>
    </w:p>
    <w:p w:rsidR="007B3B19" w:rsidRPr="001E499F" w:rsidRDefault="00C23BDB" w:rsidP="00550536">
      <w:pPr>
        <w:pBdr>
          <w:top w:val="nil"/>
          <w:left w:val="nil"/>
          <w:bottom w:val="nil"/>
          <w:right w:val="nil"/>
          <w:between w:val="nil"/>
          <w:bar w:val="nil"/>
        </w:pBdr>
        <w:spacing w:before="0" w:after="240"/>
        <w:rPr>
          <w:rFonts w:eastAsia="Arial Unicode MS"/>
          <w:noProof/>
        </w:rPr>
      </w:pPr>
      <w:r w:rsidRPr="001E499F">
        <w:rPr>
          <w:noProof/>
        </w:rPr>
        <w:t>A javaslat célja a héabeszedés egyszerűsítése és a héacsalás elkerülése. Tehát pozitív hatással járhat mind a vállalkozások, mind a közigazgatási szervek számára. Lengyelország szerint a különös intézkedés jelenti a legmegfelelőbb megoldást, és hasonló a más tagállamok számára korábban és jelenleg engedélyezett eltérő intézkedésekhez.</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Alapjogok</w:t>
      </w:r>
    </w:p>
    <w:p w:rsidR="007B3B19" w:rsidRPr="001E499F" w:rsidRDefault="00C23BDB" w:rsidP="00550536">
      <w:pPr>
        <w:pBdr>
          <w:top w:val="nil"/>
          <w:left w:val="nil"/>
          <w:bottom w:val="nil"/>
          <w:right w:val="nil"/>
          <w:between w:val="nil"/>
          <w:bar w:val="nil"/>
        </w:pBdr>
        <w:spacing w:before="0" w:after="240"/>
        <w:rPr>
          <w:noProof/>
        </w:rPr>
      </w:pPr>
      <w:r w:rsidRPr="001E499F">
        <w:rPr>
          <w:noProof/>
        </w:rPr>
        <w:t>A javaslatnak nincs semmilyen hatása az alapjogok védelmére.</w:t>
      </w:r>
    </w:p>
    <w:p w:rsidR="007B3B19" w:rsidRPr="001E499F" w:rsidRDefault="007B3B19" w:rsidP="00550536">
      <w:pPr>
        <w:pStyle w:val="ManualHeading1"/>
        <w:rPr>
          <w:noProof/>
        </w:rPr>
      </w:pPr>
      <w:r w:rsidRPr="001E499F">
        <w:rPr>
          <w:noProof/>
        </w:rPr>
        <w:t>4.</w:t>
      </w:r>
      <w:r w:rsidRPr="001E499F">
        <w:rPr>
          <w:noProof/>
        </w:rPr>
        <w:tab/>
        <w:t>KÖLTSÉGVETÉSI VONZATOK</w:t>
      </w:r>
    </w:p>
    <w:p w:rsidR="007B3B19" w:rsidRPr="001E499F" w:rsidRDefault="00C23BDB" w:rsidP="00550536">
      <w:pPr>
        <w:pBdr>
          <w:top w:val="nil"/>
          <w:left w:val="nil"/>
          <w:bottom w:val="nil"/>
          <w:right w:val="nil"/>
          <w:between w:val="nil"/>
          <w:bar w:val="nil"/>
        </w:pBdr>
        <w:spacing w:before="0" w:after="240"/>
        <w:rPr>
          <w:rFonts w:eastAsia="Arial Unicode MS"/>
          <w:noProof/>
        </w:rPr>
      </w:pPr>
      <w:r w:rsidRPr="001E499F">
        <w:rPr>
          <w:noProof/>
        </w:rPr>
        <w:t>A javaslatnak nincs az uniós költségvetést érintő negatív hatása.</w:t>
      </w:r>
    </w:p>
    <w:p w:rsidR="007B3B19" w:rsidRPr="001E499F" w:rsidRDefault="007B3B19" w:rsidP="00550536">
      <w:pPr>
        <w:pStyle w:val="ManualHeading1"/>
        <w:rPr>
          <w:noProof/>
        </w:rPr>
      </w:pPr>
      <w:r w:rsidRPr="001E499F">
        <w:rPr>
          <w:noProof/>
        </w:rPr>
        <w:t>5.</w:t>
      </w:r>
      <w:r w:rsidRPr="001E499F">
        <w:rPr>
          <w:noProof/>
        </w:rPr>
        <w:tab/>
        <w:t>EGYÉB ELEMEK</w:t>
      </w:r>
    </w:p>
    <w:p w:rsidR="007B3B19" w:rsidRPr="001E499F" w:rsidRDefault="007B3B19" w:rsidP="00A4693B">
      <w:pPr>
        <w:pStyle w:val="ManualHeading2"/>
        <w:rPr>
          <w:rFonts w:eastAsia="Arial Unicode MS"/>
          <w:noProof/>
          <w:u w:color="000000"/>
          <w:bdr w:val="nil"/>
        </w:rPr>
      </w:pPr>
      <w:r w:rsidRPr="001E499F">
        <w:rPr>
          <w:noProof/>
          <w:u w:color="000000"/>
          <w:bdr w:val="nil"/>
        </w:rPr>
        <w:t>•</w:t>
      </w:r>
      <w:r w:rsidRPr="001E499F">
        <w:rPr>
          <w:noProof/>
          <w:u w:color="000000"/>
          <w:bdr w:val="nil"/>
        </w:rPr>
        <w:tab/>
        <w:t>Végrehajtási tervek, valamint a nyomon követés, az értékelés és a jelentéstétel szabályai</w:t>
      </w:r>
    </w:p>
    <w:p w:rsidR="00C23BDB" w:rsidRPr="001E499F" w:rsidRDefault="00C23BDB" w:rsidP="00C23BDB">
      <w:pPr>
        <w:pBdr>
          <w:top w:val="nil"/>
          <w:left w:val="nil"/>
          <w:bottom w:val="nil"/>
          <w:right w:val="nil"/>
          <w:between w:val="nil"/>
          <w:bar w:val="nil"/>
        </w:pBdr>
        <w:spacing w:before="0" w:after="240"/>
        <w:rPr>
          <w:noProof/>
        </w:rPr>
      </w:pPr>
      <w:r w:rsidRPr="001E499F">
        <w:rPr>
          <w:noProof/>
        </w:rPr>
        <w:t>A javaslat hatályvesztésre vonatkozó rendelkezést tartalmaz, amely 2028. december 31-én lép életbe.</w:t>
      </w:r>
    </w:p>
    <w:p w:rsidR="007B3B19" w:rsidRPr="001E499F" w:rsidRDefault="00C23BDB" w:rsidP="00550536">
      <w:pPr>
        <w:pBdr>
          <w:top w:val="nil"/>
          <w:left w:val="nil"/>
          <w:bottom w:val="nil"/>
          <w:right w:val="nil"/>
          <w:between w:val="nil"/>
          <w:bar w:val="nil"/>
        </w:pBdr>
        <w:spacing w:before="0" w:after="240"/>
        <w:rPr>
          <w:noProof/>
        </w:rPr>
      </w:pPr>
      <w:r w:rsidRPr="001E499F">
        <w:rPr>
          <w:noProof/>
        </w:rPr>
        <w:t>Amennyiben Lengyelország úgy ítéli meg, hogy a különös intézkedés időbeli hatályát 2028 utánra is ki kell terjeszteni, 2028. március 31-ig be kell nyújtania a meghosszabbítás iránti kérelmet a Bizottsághoz az alkalmazott százalékos korlátozás felülvizsgálatára is kiterjedő jelentéssel együtt.</w:t>
      </w:r>
    </w:p>
    <w:p w:rsidR="007B3B19" w:rsidRPr="001E499F" w:rsidRDefault="007B3B19" w:rsidP="00D8676A">
      <w:pPr>
        <w:rPr>
          <w:noProof/>
        </w:rPr>
        <w:sectPr w:rsidR="007B3B19" w:rsidRPr="001E499F" w:rsidSect="00B00957">
          <w:headerReference w:type="even" r:id="rId15"/>
          <w:footerReference w:type="even" r:id="rId16"/>
          <w:footerReference w:type="default" r:id="rId17"/>
          <w:headerReference w:type="first" r:id="rId18"/>
          <w:footerReference w:type="first" r:id="rId19"/>
          <w:footnotePr>
            <w:numRestart w:val="eachSect"/>
          </w:footnotePr>
          <w:pgSz w:w="11907" w:h="16839"/>
          <w:pgMar w:top="1134" w:right="1417" w:bottom="1134" w:left="1417" w:header="709" w:footer="709" w:gutter="0"/>
          <w:cols w:space="708"/>
          <w:docGrid w:linePitch="360"/>
        </w:sectPr>
      </w:pPr>
    </w:p>
    <w:p w:rsidR="00076283" w:rsidRDefault="00066CF0">
      <w:pPr>
        <w:pStyle w:val="Rfrenceinterinstitutionnelle"/>
        <w:rPr>
          <w:noProof/>
        </w:rPr>
      </w:pPr>
      <w:r>
        <w:rPr>
          <w:noProof/>
        </w:rPr>
        <w:t>2025/0205 (NLE)</w:t>
      </w:r>
    </w:p>
    <w:p w:rsidR="007B3B19" w:rsidRPr="001E499F" w:rsidRDefault="001E499F" w:rsidP="001E499F">
      <w:pPr>
        <w:pStyle w:val="Statut"/>
        <w:rPr>
          <w:noProof/>
        </w:rPr>
      </w:pPr>
      <w:r w:rsidRPr="001E499F">
        <w:rPr>
          <w:noProof/>
        </w:rPr>
        <w:t>Javaslat</w:t>
      </w:r>
    </w:p>
    <w:p w:rsidR="00793F7C" w:rsidRPr="001E499F" w:rsidRDefault="001E499F" w:rsidP="001E499F">
      <w:pPr>
        <w:pStyle w:val="Typedudocument"/>
        <w:rPr>
          <w:noProof/>
        </w:rPr>
      </w:pPr>
      <w:r w:rsidRPr="001E499F">
        <w:rPr>
          <w:noProof/>
        </w:rPr>
        <w:t>A TANÁCS VÉGREHAJTÁSI HATÁROZATA</w:t>
      </w:r>
    </w:p>
    <w:p w:rsidR="007B3B19" w:rsidRPr="001E499F" w:rsidRDefault="001E499F" w:rsidP="001E499F">
      <w:pPr>
        <w:pStyle w:val="Titreobjet"/>
        <w:rPr>
          <w:noProof/>
        </w:rPr>
      </w:pPr>
      <w:r w:rsidRPr="001E499F">
        <w:rPr>
          <w:noProof/>
        </w:rPr>
        <w:t>a Lengyel Köztársaságnak a közös hozzáadottértékadó-rendszerről szóló 2006/112/EK irányelv 26. cikke (1) bekezdésének a) pontjától és 168. cikkétől eltérő intézkedések bevezetésére való felhatalmazásáról szóló 2013/805/EU végrehajtási határozat módosításáról</w:t>
      </w:r>
      <w:r w:rsidRPr="001E499F">
        <w:rPr>
          <w:noProof/>
        </w:rPr>
        <w:br/>
      </w:r>
    </w:p>
    <w:p w:rsidR="007B3B19" w:rsidRPr="001E499F" w:rsidRDefault="007B3B19" w:rsidP="00CE1658">
      <w:pPr>
        <w:pStyle w:val="Institutionquiagit"/>
        <w:rPr>
          <w:noProof/>
        </w:rPr>
      </w:pPr>
      <w:r w:rsidRPr="001E499F">
        <w:rPr>
          <w:noProof/>
        </w:rPr>
        <w:t>AZ EURÓPAI UNIÓ TANÁCSA,</w:t>
      </w:r>
    </w:p>
    <w:p w:rsidR="007B3B19" w:rsidRPr="001E499F" w:rsidRDefault="007B3B19" w:rsidP="00CE1658">
      <w:pPr>
        <w:rPr>
          <w:noProof/>
        </w:rPr>
      </w:pPr>
      <w:r w:rsidRPr="001E499F">
        <w:rPr>
          <w:noProof/>
        </w:rPr>
        <w:t xml:space="preserve">tekintettel az Európai Unió működéséről szóló szerződésre, </w:t>
      </w:r>
    </w:p>
    <w:p w:rsidR="007B3B19" w:rsidRPr="001E499F" w:rsidRDefault="007B3B19" w:rsidP="00CE1658">
      <w:pPr>
        <w:rPr>
          <w:noProof/>
        </w:rPr>
      </w:pPr>
      <w:r w:rsidRPr="001E499F">
        <w:rPr>
          <w:noProof/>
        </w:rPr>
        <w:t>tekintettel a közös hozzáadottértékadó-rendszerről szóló, 2006. november 28-i 2006/112/EK tanácsi irányelvre</w:t>
      </w:r>
      <w:r w:rsidRPr="001E499F">
        <w:rPr>
          <w:rStyle w:val="FootnoteReference"/>
          <w:noProof/>
        </w:rPr>
        <w:footnoteReference w:id="13"/>
      </w:r>
      <w:r w:rsidRPr="001E499F">
        <w:rPr>
          <w:noProof/>
        </w:rPr>
        <w:t xml:space="preserve"> és különösen annak 395. cikke (1) bekezdésére,</w:t>
      </w:r>
    </w:p>
    <w:p w:rsidR="007B3B19" w:rsidRPr="001E499F" w:rsidRDefault="007B3B19" w:rsidP="00CE1658">
      <w:pPr>
        <w:rPr>
          <w:noProof/>
        </w:rPr>
      </w:pPr>
      <w:r w:rsidRPr="001E499F">
        <w:rPr>
          <w:noProof/>
        </w:rPr>
        <w:t>tekintettel az Európai Bizottság javaslatára,</w:t>
      </w:r>
    </w:p>
    <w:p w:rsidR="007B3B19" w:rsidRPr="001E499F" w:rsidRDefault="007B3B19" w:rsidP="00CE1658">
      <w:pPr>
        <w:rPr>
          <w:noProof/>
        </w:rPr>
      </w:pPr>
      <w:r w:rsidRPr="001E499F">
        <w:rPr>
          <w:noProof/>
        </w:rPr>
        <w:t>mivel:</w:t>
      </w:r>
    </w:p>
    <w:p w:rsidR="008C76C9" w:rsidRPr="001E499F" w:rsidRDefault="00767758" w:rsidP="00767758">
      <w:pPr>
        <w:pStyle w:val="ManualConsidrant"/>
        <w:rPr>
          <w:noProof/>
        </w:rPr>
      </w:pPr>
      <w:r w:rsidRPr="00767758">
        <w:rPr>
          <w:noProof/>
        </w:rPr>
        <w:t>(1)</w:t>
      </w:r>
      <w:r w:rsidRPr="00767758">
        <w:rPr>
          <w:noProof/>
        </w:rPr>
        <w:tab/>
      </w:r>
      <w:r w:rsidR="008C76C9" w:rsidRPr="001E499F">
        <w:rPr>
          <w:noProof/>
        </w:rPr>
        <w:t>A 2006/112/EK irányelv 168. cikke úgy rendelkezik, hogy az adóalanyok jogosultak az adóköteles tevékenységükhöz felhasznált termékek és szolgáltatások után fizetett hozzáadottérték-adó (héa) levonására. Az említett irányelv 26. cikke (1) bekezdésének a) pontja előírja, hogy amennyiben a vállalkozás vagyonát az adóalany saját vagy alkalmazottai szükségleteinek kielégítésére, vagy általában vállalkozásidegen célokra használja fel, azt ellenérték fejében nyújtott szolgáltatásnak kell tekinteni, amely később héaköteles.</w:t>
      </w:r>
    </w:p>
    <w:p w:rsidR="008C76C9" w:rsidRPr="001E499F" w:rsidRDefault="00767758" w:rsidP="00767758">
      <w:pPr>
        <w:pStyle w:val="ManualConsidrant"/>
        <w:rPr>
          <w:noProof/>
        </w:rPr>
      </w:pPr>
      <w:r w:rsidRPr="00767758">
        <w:rPr>
          <w:noProof/>
        </w:rPr>
        <w:t>(2)</w:t>
      </w:r>
      <w:r w:rsidRPr="00767758">
        <w:rPr>
          <w:noProof/>
        </w:rPr>
        <w:tab/>
      </w:r>
      <w:r w:rsidR="008C76C9" w:rsidRPr="001E499F">
        <w:rPr>
          <w:noProof/>
        </w:rPr>
        <w:t>A 2013/805/EU tanácsi végrehajtási határozat</w:t>
      </w:r>
      <w:r w:rsidR="008C76C9" w:rsidRPr="001E499F">
        <w:rPr>
          <w:rStyle w:val="FootnoteReference"/>
          <w:noProof/>
        </w:rPr>
        <w:footnoteReference w:id="14"/>
      </w:r>
      <w:r w:rsidR="008C76C9" w:rsidRPr="001E499F">
        <w:rPr>
          <w:noProof/>
        </w:rPr>
        <w:t xml:space="preserve"> felhatalmazta Lengyelországot arra, hogy 2025. december 31-ig 50 %-ra korlátozza a héalevonási jogot a nem kizárólag üzleti célra használt közúti gépjárművek vásárlása, Közösségen belüli beszerzése, importja, bérlése vagy lízingje, valamint az ilyen járművekkel kapcsolatos kiadások esetében, továbbá hogy az adóalanyokat mentesítse azon kötelezettség alól, hogy a 2006/112/EK irányelv 26. cikke (1) bekezdésének a) pontja szerint ellenérték fejében nyújtott szolgáltatásnak tekintsék az ilyen járművek vállalkozásidegen célokra történő felhasználását (a továbbiakban: különös intézkedések).</w:t>
      </w:r>
    </w:p>
    <w:p w:rsidR="001906A8" w:rsidRPr="001E499F" w:rsidRDefault="00767758" w:rsidP="00767758">
      <w:pPr>
        <w:pStyle w:val="ManualConsidrant"/>
        <w:rPr>
          <w:noProof/>
        </w:rPr>
      </w:pPr>
      <w:r w:rsidRPr="00767758">
        <w:rPr>
          <w:noProof/>
        </w:rPr>
        <w:t>(3)</w:t>
      </w:r>
      <w:r w:rsidRPr="00767758">
        <w:rPr>
          <w:noProof/>
        </w:rPr>
        <w:tab/>
      </w:r>
      <w:r w:rsidR="008C76C9" w:rsidRPr="001E499F">
        <w:rPr>
          <w:noProof/>
        </w:rPr>
        <w:t>A 2013/805/EU tanácsi végrehajtási határozat 2025. december 31-én hatályát veszti.</w:t>
      </w:r>
    </w:p>
    <w:p w:rsidR="008C76C9" w:rsidRPr="001E499F" w:rsidRDefault="00767758" w:rsidP="00767758">
      <w:pPr>
        <w:pStyle w:val="ManualConsidrant"/>
        <w:rPr>
          <w:noProof/>
        </w:rPr>
      </w:pPr>
      <w:r w:rsidRPr="00767758">
        <w:rPr>
          <w:noProof/>
        </w:rPr>
        <w:t>(4)</w:t>
      </w:r>
      <w:r w:rsidRPr="00767758">
        <w:rPr>
          <w:noProof/>
        </w:rPr>
        <w:tab/>
      </w:r>
      <w:r w:rsidR="008C76C9" w:rsidRPr="001E499F">
        <w:rPr>
          <w:noProof/>
        </w:rPr>
        <w:t>A Bizottság által 2025. február 25-én iktatott levelében Lengyelország felhatalmazást kért arra, hogy a különös intézkedéseket 2028. december 31-ig továbbra is alkalmazhassa (a továbbiakban: a kérelem).</w:t>
      </w:r>
    </w:p>
    <w:p w:rsidR="008C76C9" w:rsidRPr="001E499F" w:rsidRDefault="00767758" w:rsidP="00767758">
      <w:pPr>
        <w:pStyle w:val="ManualConsidrant"/>
        <w:rPr>
          <w:noProof/>
        </w:rPr>
      </w:pPr>
      <w:r w:rsidRPr="00767758">
        <w:rPr>
          <w:noProof/>
        </w:rPr>
        <w:t>(5)</w:t>
      </w:r>
      <w:r w:rsidRPr="00767758">
        <w:rPr>
          <w:noProof/>
        </w:rPr>
        <w:tab/>
      </w:r>
      <w:r w:rsidR="008C76C9" w:rsidRPr="001E499F">
        <w:rPr>
          <w:noProof/>
        </w:rPr>
        <w:t>A 2013/805/EU végrehajtási határozat 3. cikke második bekezdésének megfelelően Lengyelország a kérelemmel együtt jelentést nyújtott be a Bizottsághoz a különös intézkedések alkalmazásáról, beleértve a héa levonására vonatkozó jog tekintetében alkalmazott százalékos korlátozás felülvizsgálatát is. A szóban forgó információk alapján Lengyelország továbbra is úgy véli, hogy az 50 % mértékű korlátozás még mindig helyénvaló. Úgy véli továbbá, hogy a 2006/112/EK irányelv 26. cikke (1) bekezdésének a) pontjában meghatározott követelmény alóli eltérés még mindig szükséges a kettős adóztatás elkerülése érdekében. Az említett különös intézkedések a héabeszedés egyszerűsítésének, valamint a helytelen nyilvántartások miatti és hamis adóbevallások révén történő adóelkerülés megelőzésének szükségességével indokolhatók.</w:t>
      </w:r>
    </w:p>
    <w:p w:rsidR="00CA07B8" w:rsidRPr="001E499F" w:rsidRDefault="00767758" w:rsidP="00767758">
      <w:pPr>
        <w:pStyle w:val="ManualConsidrant"/>
        <w:rPr>
          <w:noProof/>
        </w:rPr>
      </w:pPr>
      <w:r w:rsidRPr="00767758">
        <w:rPr>
          <w:noProof/>
        </w:rPr>
        <w:t>(6)</w:t>
      </w:r>
      <w:r w:rsidRPr="00767758">
        <w:rPr>
          <w:noProof/>
        </w:rPr>
        <w:tab/>
      </w:r>
      <w:r w:rsidR="00CA07B8" w:rsidRPr="001E499F">
        <w:rPr>
          <w:noProof/>
        </w:rPr>
        <w:t>A 2006/112/EK irányelv 395. cikke (2) bekezdése második albekezdésének megfelelően a Bizottság 2025. április 10-én kelt levelében tájékoztatta a többi tagállamot Lengyelország kérelméről. A Bizottság 2025. április 11-én kelt levelében értesítette Lengyelországot arról, hogy birtokában van a kérelem értékeléséhez szükséges valamennyi információnak.</w:t>
      </w:r>
    </w:p>
    <w:p w:rsidR="008C76C9" w:rsidRPr="001E499F" w:rsidRDefault="00767758" w:rsidP="00767758">
      <w:pPr>
        <w:pStyle w:val="ManualConsidrant"/>
        <w:rPr>
          <w:noProof/>
        </w:rPr>
      </w:pPr>
      <w:r w:rsidRPr="00767758">
        <w:rPr>
          <w:noProof/>
        </w:rPr>
        <w:t>(7)</w:t>
      </w:r>
      <w:r w:rsidRPr="00767758">
        <w:rPr>
          <w:noProof/>
        </w:rPr>
        <w:tab/>
      </w:r>
      <w:r w:rsidR="008C76C9" w:rsidRPr="001E499F">
        <w:rPr>
          <w:noProof/>
        </w:rPr>
        <w:t>A különös intézkedések 2025. december 31. utáni alkalmazása csak elhanyagolható hatással lesz Lengyelország végső fogyasztói szinten beszedett adóbevételének teljes összegére, és nem lesz negatív hatással az Unió héából származó saját forrásaira.</w:t>
      </w:r>
    </w:p>
    <w:p w:rsidR="008C76C9" w:rsidRPr="001E499F" w:rsidRDefault="00767758" w:rsidP="00767758">
      <w:pPr>
        <w:pStyle w:val="ManualConsidrant"/>
        <w:rPr>
          <w:noProof/>
        </w:rPr>
      </w:pPr>
      <w:r w:rsidRPr="00767758">
        <w:rPr>
          <w:noProof/>
        </w:rPr>
        <w:t>(8)</w:t>
      </w:r>
      <w:r w:rsidRPr="00767758">
        <w:rPr>
          <w:noProof/>
        </w:rPr>
        <w:tab/>
      </w:r>
      <w:r w:rsidR="008C76C9" w:rsidRPr="001E499F">
        <w:rPr>
          <w:noProof/>
        </w:rPr>
        <w:t>Ezért helyénvaló meghosszabbítani a 2013/805/EU végrehajtási határozatban foglalt felhatalmazást. Annak érdekében, hogy a felhatalmazás meghosszabbításának hatékonyságát és a héalevonási jogra alkalmazott megfelelő százalékos korlátozást értékelni lehessen, célszerű korlátozni a különös intézkedések meghosszabbításának időbeli hatályát.</w:t>
      </w:r>
    </w:p>
    <w:p w:rsidR="008C76C9" w:rsidRPr="001E499F" w:rsidRDefault="00767758" w:rsidP="00767758">
      <w:pPr>
        <w:pStyle w:val="ManualConsidrant"/>
        <w:rPr>
          <w:noProof/>
        </w:rPr>
      </w:pPr>
      <w:r w:rsidRPr="00767758">
        <w:rPr>
          <w:noProof/>
        </w:rPr>
        <w:t>(9)</w:t>
      </w:r>
      <w:r w:rsidRPr="00767758">
        <w:rPr>
          <w:noProof/>
        </w:rPr>
        <w:tab/>
      </w:r>
      <w:r w:rsidR="00296130" w:rsidRPr="001E499F">
        <w:rPr>
          <w:noProof/>
        </w:rPr>
        <w:t>Amennyiben Lengyelország úgy ítéli meg, hogy a különös intézkedésekre a 2013/805/EU végrehajtási határozat hatályának lejárta után is szükség van, valamint hogy a különös intézkedések meghosszabbítására irányuló valamennyi kérelem kellő időben történő vizsgálatának biztosítására az adott kérelemhez csatolni kell egy olyan, a különös intézkedés alkalmazásáról szóló jelentést, amely tartalmazza az alkalmazott százalékos korlátozás felülvizsgálatát is, és azt 2028. március 31-ig be kell nyújtani a Bizottságnak.</w:t>
      </w:r>
    </w:p>
    <w:p w:rsidR="008C76C9" w:rsidRPr="001E499F" w:rsidRDefault="00767758" w:rsidP="00767758">
      <w:pPr>
        <w:pStyle w:val="ManualConsidrant"/>
        <w:rPr>
          <w:noProof/>
        </w:rPr>
      </w:pPr>
      <w:r w:rsidRPr="00767758">
        <w:rPr>
          <w:noProof/>
        </w:rPr>
        <w:t>(10)</w:t>
      </w:r>
      <w:r w:rsidRPr="00767758">
        <w:rPr>
          <w:noProof/>
        </w:rPr>
        <w:tab/>
      </w:r>
      <w:r w:rsidR="008C76C9" w:rsidRPr="001E499F">
        <w:rPr>
          <w:noProof/>
        </w:rPr>
        <w:t>A 2013/805/EU végrehajtási határozatot ezért ennek megfelelően módosítani kell,</w:t>
      </w:r>
    </w:p>
    <w:p w:rsidR="007B3B19" w:rsidRPr="001E499F" w:rsidRDefault="007B3B19" w:rsidP="00CE1658">
      <w:pPr>
        <w:pStyle w:val="Formuledadoption"/>
        <w:rPr>
          <w:noProof/>
        </w:rPr>
      </w:pPr>
      <w:r w:rsidRPr="001E499F">
        <w:rPr>
          <w:noProof/>
        </w:rPr>
        <w:t xml:space="preserve">ELFOGADTA EZT A HATÁROZATOT: </w:t>
      </w:r>
    </w:p>
    <w:p w:rsidR="007B3B19" w:rsidRPr="001E499F" w:rsidRDefault="007B3B19" w:rsidP="00CE1658">
      <w:pPr>
        <w:pStyle w:val="Titrearticle"/>
        <w:rPr>
          <w:noProof/>
        </w:rPr>
      </w:pPr>
      <w:r w:rsidRPr="001E499F">
        <w:rPr>
          <w:noProof/>
        </w:rPr>
        <w:t>1. cikk</w:t>
      </w:r>
    </w:p>
    <w:p w:rsidR="007B3B19" w:rsidRPr="001E499F" w:rsidRDefault="008C76C9" w:rsidP="00CE1658">
      <w:pPr>
        <w:rPr>
          <w:noProof/>
        </w:rPr>
      </w:pPr>
      <w:r w:rsidRPr="001E499F">
        <w:rPr>
          <w:noProof/>
        </w:rPr>
        <w:t>A 2013/805/EU végrehajtási határozat 3. cikke helyébe a következő szöveg lép:</w:t>
      </w:r>
    </w:p>
    <w:p w:rsidR="008C76C9" w:rsidRPr="001E499F" w:rsidRDefault="008C76C9" w:rsidP="008C76C9">
      <w:pPr>
        <w:jc w:val="center"/>
        <w:rPr>
          <w:noProof/>
        </w:rPr>
      </w:pPr>
      <w:r w:rsidRPr="001E499F">
        <w:rPr>
          <w:noProof/>
        </w:rPr>
        <w:t>„3. cikk</w:t>
      </w:r>
    </w:p>
    <w:p w:rsidR="008C76C9" w:rsidRPr="001E499F" w:rsidRDefault="008C76C9" w:rsidP="008C76C9">
      <w:pPr>
        <w:rPr>
          <w:noProof/>
        </w:rPr>
      </w:pPr>
      <w:r w:rsidRPr="001E499F">
        <w:rPr>
          <w:noProof/>
        </w:rPr>
        <w:t>Ez a határozat 2028. december 31-én hatályát veszti.</w:t>
      </w:r>
    </w:p>
    <w:p w:rsidR="008C76C9" w:rsidRPr="001E499F" w:rsidRDefault="008C76C9" w:rsidP="008C76C9">
      <w:pPr>
        <w:rPr>
          <w:noProof/>
        </w:rPr>
      </w:pPr>
      <w:r w:rsidRPr="001E499F">
        <w:rPr>
          <w:noProof/>
        </w:rPr>
        <w:t>Bármely, az e határozatban előírt felhatalmazás meghosszabbítása iránti kérelmet legkésőbb 2028. március 31-ig be kell nyújtani a Bizottsághoz. E kérelemhez mellékelni kell egy jelentést, amely tartalmazza a héalevonási jog tekintetében az e határozat alapján alkalmazott százalékos korlátozás felülvizsgálatát.”</w:t>
      </w:r>
    </w:p>
    <w:p w:rsidR="008C76C9" w:rsidRPr="001E499F" w:rsidRDefault="008C76C9" w:rsidP="00CE1658">
      <w:pPr>
        <w:rPr>
          <w:noProof/>
        </w:rPr>
      </w:pPr>
    </w:p>
    <w:p w:rsidR="007B3B19" w:rsidRPr="001E499F" w:rsidRDefault="007B3B19" w:rsidP="00903405">
      <w:pPr>
        <w:pStyle w:val="Titrearticle"/>
        <w:rPr>
          <w:noProof/>
        </w:rPr>
      </w:pPr>
      <w:r w:rsidRPr="001E499F">
        <w:rPr>
          <w:noProof/>
        </w:rPr>
        <w:t>2. cikk</w:t>
      </w:r>
    </w:p>
    <w:p w:rsidR="007B3B19" w:rsidRPr="001E499F" w:rsidRDefault="007B3B19" w:rsidP="00903405">
      <w:pPr>
        <w:keepNext/>
        <w:keepLines/>
        <w:rPr>
          <w:noProof/>
        </w:rPr>
      </w:pPr>
      <w:r w:rsidRPr="001E499F">
        <w:rPr>
          <w:noProof/>
        </w:rPr>
        <w:t>Ennek a határozatnak a Lengyel Köztársaság a címzettje.</w:t>
      </w:r>
    </w:p>
    <w:p w:rsidR="007B3B19" w:rsidRPr="001E499F" w:rsidRDefault="001E499F" w:rsidP="00903405">
      <w:pPr>
        <w:pStyle w:val="Fait"/>
        <w:rPr>
          <w:noProof/>
        </w:rPr>
      </w:pPr>
      <w:r>
        <w:rPr>
          <w:noProof/>
        </w:rPr>
        <w:t>Kelt Brüsszelben, -án/-én.</w:t>
      </w:r>
    </w:p>
    <w:p w:rsidR="007B3B19" w:rsidRPr="001E499F" w:rsidRDefault="007B3B19" w:rsidP="00903405">
      <w:pPr>
        <w:pStyle w:val="Institutionquisigne"/>
        <w:rPr>
          <w:noProof/>
        </w:rPr>
      </w:pPr>
      <w:r w:rsidRPr="001E499F">
        <w:rPr>
          <w:noProof/>
        </w:rPr>
        <w:tab/>
        <w:t>a Tanács részéről</w:t>
      </w:r>
    </w:p>
    <w:p w:rsidR="007B3B19" w:rsidRPr="001E499F" w:rsidRDefault="007B3B19" w:rsidP="007B3B19">
      <w:pPr>
        <w:pStyle w:val="Personnequisigne"/>
        <w:rPr>
          <w:noProof/>
        </w:rPr>
      </w:pPr>
      <w:r w:rsidRPr="001E499F">
        <w:rPr>
          <w:noProof/>
        </w:rPr>
        <w:tab/>
        <w:t>az elnök</w:t>
      </w:r>
    </w:p>
    <w:sectPr w:rsidR="007B3B19" w:rsidRPr="001E499F" w:rsidSect="00B00957">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2CE" w:rsidRDefault="004F42CE" w:rsidP="007B3B19">
      <w:pPr>
        <w:spacing w:before="0" w:after="0"/>
      </w:pPr>
      <w:r>
        <w:separator/>
      </w:r>
    </w:p>
  </w:endnote>
  <w:endnote w:type="continuationSeparator" w:id="0">
    <w:p w:rsidR="004F42CE" w:rsidRDefault="004F42CE" w:rsidP="007B3B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Pr="00B00957" w:rsidRDefault="00B00957" w:rsidP="00B00957">
    <w:pPr>
      <w:pStyle w:val="Footer"/>
      <w:rPr>
        <w:rFonts w:ascii="Arial" w:hAnsi="Arial" w:cs="Arial"/>
        <w:b/>
        <w:sz w:val="48"/>
      </w:rPr>
    </w:pPr>
    <w:r w:rsidRPr="00B00957">
      <w:rPr>
        <w:rFonts w:ascii="Arial" w:hAnsi="Arial" w:cs="Arial"/>
        <w:b/>
        <w:sz w:val="48"/>
      </w:rPr>
      <w:t>HU</w:t>
    </w:r>
    <w:r w:rsidRPr="00B00957">
      <w:rPr>
        <w:rFonts w:ascii="Arial" w:hAnsi="Arial" w:cs="Arial"/>
        <w:b/>
        <w:sz w:val="48"/>
      </w:rPr>
      <w:tab/>
    </w:r>
    <w:r w:rsidRPr="00B00957">
      <w:rPr>
        <w:rFonts w:ascii="Arial" w:hAnsi="Arial" w:cs="Arial"/>
        <w:b/>
        <w:sz w:val="48"/>
      </w:rPr>
      <w:tab/>
    </w:r>
    <w:r w:rsidRPr="00B00957">
      <w:tab/>
    </w:r>
    <w:r w:rsidRPr="00B00957">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Pr="00B00957" w:rsidRDefault="00B00957" w:rsidP="00B00957">
    <w:pPr>
      <w:pStyle w:val="Footer"/>
      <w:rPr>
        <w:rFonts w:ascii="Arial" w:hAnsi="Arial" w:cs="Arial"/>
        <w:b/>
        <w:sz w:val="48"/>
      </w:rPr>
    </w:pPr>
    <w:r w:rsidRPr="00B00957">
      <w:rPr>
        <w:rFonts w:ascii="Arial" w:hAnsi="Arial" w:cs="Arial"/>
        <w:b/>
        <w:sz w:val="48"/>
      </w:rPr>
      <w:t>HU</w:t>
    </w:r>
    <w:r w:rsidRPr="00B00957">
      <w:rPr>
        <w:rFonts w:ascii="Arial" w:hAnsi="Arial" w:cs="Arial"/>
        <w:b/>
        <w:sz w:val="48"/>
      </w:rPr>
      <w:tab/>
    </w:r>
    <w:r w:rsidRPr="00B00957">
      <w:rPr>
        <w:rFonts w:ascii="Arial" w:hAnsi="Arial" w:cs="Arial"/>
        <w:b/>
        <w:sz w:val="48"/>
      </w:rPr>
      <w:tab/>
    </w:r>
    <w:r w:rsidRPr="00B00957">
      <w:tab/>
    </w:r>
    <w:r w:rsidRPr="00B00957">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Pr="00B00957" w:rsidRDefault="00B00957" w:rsidP="00B009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Default="00B009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Pr="00B00957" w:rsidRDefault="00B00957" w:rsidP="00B00957">
    <w:pPr>
      <w:pStyle w:val="Footer"/>
      <w:rPr>
        <w:rFonts w:ascii="Arial" w:hAnsi="Arial" w:cs="Arial"/>
        <w:b/>
        <w:sz w:val="48"/>
      </w:rPr>
    </w:pPr>
    <w:r w:rsidRPr="00B00957">
      <w:rPr>
        <w:rFonts w:ascii="Arial" w:hAnsi="Arial" w:cs="Arial"/>
        <w:b/>
        <w:sz w:val="48"/>
      </w:rPr>
      <w:t>HU</w:t>
    </w:r>
    <w:r w:rsidRPr="00B00957">
      <w:rPr>
        <w:rFonts w:ascii="Arial" w:hAnsi="Arial" w:cs="Arial"/>
        <w:b/>
        <w:sz w:val="48"/>
      </w:rPr>
      <w:tab/>
    </w:r>
    <w:r>
      <w:fldChar w:fldCharType="begin"/>
    </w:r>
    <w:r>
      <w:instrText xml:space="preserve"> PAGE  \* MERGEFORMAT </w:instrText>
    </w:r>
    <w:r>
      <w:fldChar w:fldCharType="separate"/>
    </w:r>
    <w:r w:rsidR="00903405">
      <w:rPr>
        <w:noProof/>
      </w:rPr>
      <w:t>8</w:t>
    </w:r>
    <w:r>
      <w:fldChar w:fldCharType="end"/>
    </w:r>
    <w:r>
      <w:tab/>
    </w:r>
    <w:r w:rsidRPr="00B00957">
      <w:tab/>
    </w:r>
    <w:r w:rsidRPr="00B00957">
      <w:rPr>
        <w:rFonts w:ascii="Arial" w:hAnsi="Arial" w:cs="Arial"/>
        <w:b/>
        <w:sz w:val="48"/>
      </w:rPr>
      <w:t>HU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Default="00B00957" w:rsidP="00B0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2CE" w:rsidRDefault="004F42CE" w:rsidP="007B3B19">
      <w:pPr>
        <w:spacing w:before="0" w:after="0"/>
      </w:pPr>
      <w:r>
        <w:separator/>
      </w:r>
    </w:p>
  </w:footnote>
  <w:footnote w:type="continuationSeparator" w:id="0">
    <w:p w:rsidR="004F42CE" w:rsidRDefault="004F42CE" w:rsidP="007B3B19">
      <w:pPr>
        <w:spacing w:before="0" w:after="0"/>
      </w:pPr>
      <w:r>
        <w:continuationSeparator/>
      </w:r>
    </w:p>
  </w:footnote>
  <w:footnote w:id="1">
    <w:p w:rsidR="007B3B19" w:rsidRPr="008B1EE7" w:rsidRDefault="007B3B19" w:rsidP="007B3B19">
      <w:pPr>
        <w:pStyle w:val="FootnoteText"/>
      </w:pPr>
      <w:r>
        <w:rPr>
          <w:rStyle w:val="FootnoteReference"/>
        </w:rPr>
        <w:footnoteRef/>
      </w:r>
      <w:r>
        <w:tab/>
        <w:t>HL L 347., 2006.12.11., 1. o.</w:t>
      </w:r>
    </w:p>
  </w:footnote>
  <w:footnote w:id="2">
    <w:p w:rsidR="007B3B19" w:rsidRPr="003A0E33" w:rsidRDefault="007B3B19" w:rsidP="007B3B19">
      <w:pPr>
        <w:pStyle w:val="FootnoteText"/>
      </w:pPr>
      <w:r>
        <w:rPr>
          <w:rStyle w:val="FootnoteReference"/>
        </w:rPr>
        <w:footnoteRef/>
      </w:r>
      <w:r>
        <w:tab/>
        <w:t>A Tanács (EU) 2016/1837 végrehajtási határozata (2016. október 11.) a Lengyel Köztársaságnak a közös hozzáadottértékadó-rendszerről szóló 2006/112/EK irányelv 26. cikke (1) bekezdésének a) pontjától, valamint 168. cikkétől eltérő intézkedések alkalmazásának folytatására történő felhatalmazásáról (HL L 280., 2016.10.18., 28. o.).</w:t>
      </w:r>
    </w:p>
  </w:footnote>
  <w:footnote w:id="3">
    <w:p w:rsidR="007B3B19" w:rsidRPr="009C690A" w:rsidRDefault="007B3B19" w:rsidP="007B3B19">
      <w:pPr>
        <w:pStyle w:val="FootnoteText"/>
      </w:pPr>
      <w:r>
        <w:rPr>
          <w:rStyle w:val="FootnoteReference"/>
        </w:rPr>
        <w:footnoteRef/>
      </w:r>
      <w:r>
        <w:tab/>
        <w:t>A Tanács (EU) 2019/1594 végrehajtási határozata (2019. szeptember 24.) a Lengyel Köztársaságnak a közös hozzáadottértékadó-rendszerről szóló 2006/112/EK irányelv 26. cikke (1) bekezdésének a) pontjától és 168. cikkétől eltérő intézkedések bevezetésére való felhatalmazásáról szóló 2013/805/EU végrehajtási határozat módosításáról (HL L 248., 2019.9.27., 71. o.).</w:t>
      </w:r>
    </w:p>
  </w:footnote>
  <w:footnote w:id="4">
    <w:p w:rsidR="007B3B19" w:rsidRPr="002D620F" w:rsidRDefault="007B3B19" w:rsidP="007B3B19">
      <w:pPr>
        <w:pStyle w:val="FootnoteText"/>
      </w:pPr>
      <w:r>
        <w:rPr>
          <w:rStyle w:val="FootnoteReference"/>
        </w:rPr>
        <w:footnoteRef/>
      </w:r>
      <w:r>
        <w:tab/>
        <w:t>A Tanács (EU) 2022/2385 végrehajtási határozata (2022. december 6.) a Lengyel Köztársaságnak a közös hozzáadottértékadó-rendszerről szóló 2006/112/EK irányelv 26. cikke (1) bekezdésének a) pontjától és 168. cikkétől eltérő intézkedések bevezetésére való felhatalmazásáról szóló 2013/805/EU végrehajtási határozat módosításáról (HL L 315., 2022.12.7., 87. o.).</w:t>
      </w:r>
    </w:p>
  </w:footnote>
  <w:footnote w:id="5">
    <w:p w:rsidR="007B3B19" w:rsidRPr="00AB1135" w:rsidRDefault="007B3B19" w:rsidP="007B3B19">
      <w:pPr>
        <w:pStyle w:val="FootnoteText"/>
      </w:pPr>
      <w:r>
        <w:rPr>
          <w:rStyle w:val="FootnoteReference"/>
        </w:rPr>
        <w:footnoteRef/>
      </w:r>
      <w:r>
        <w:tab/>
        <w:t>Például: A Tanács (EU) 2021/1997 végrehajtási határozata (2021. november 15.) a Horvátországnak a közös hozzáadottértékadó-rendszerről szóló 2006/112/EK irányelv 26. cikke (1) bekezdésének a) pontjától és 168. cikkétől eltérő különös intézkedés bevezetésére történő felhatalmazásáról szóló (EU) 2018/1994 végrehajtási határozat módosításáról (HL L 408., 2021.11.17., 1. o.). A Tanács (EU) 2018/1493 végrehajtási határozata (2018. október 2.) Magyarországnak a közös hozzáadottértékadó-rendszerről szóló 2006/112/EK irányelv 26. cikke (1) bekezdésének a) pontjától, valamint 168. és 168a. cikkétől eltérő különös intézkedés bevezetésére történő felhatalmazásáról (HL L 252., 2018.10.8., 44. o.); A Tanács (EU) 2017/1854 végrehajtási határozata (2017. október 10.) az Észt Köztársaságnak a közös hozzáadottértékadó-rendszerről szóló 2006/112/EK irányelv 26. cikke (1) bekezdésének a) pontjától, valamint 168. és 168a. cikkétől eltérő intézkedés alkalmazására történő felhatalmazásáról szóló 2014/797/EU végrehajtási határozat módosításáról (HL L 265., 2017.10.14., 17. o.).</w:t>
      </w:r>
    </w:p>
  </w:footnote>
  <w:footnote w:id="6">
    <w:p w:rsidR="007B3B19" w:rsidRPr="008B1EE7" w:rsidRDefault="007B3B19" w:rsidP="007B3B19">
      <w:pPr>
        <w:pStyle w:val="FootnoteText"/>
      </w:pPr>
      <w:r>
        <w:rPr>
          <w:rStyle w:val="FootnoteReference"/>
        </w:rPr>
        <w:footnoteRef/>
      </w:r>
      <w:r>
        <w:tab/>
        <w:t>COM(2004) 728 végleges – Javaslat: A Tanács irányelve a hozzáadottértékadó-kötelezettségek egyszerűsítése végett a 77/388/EGK irányelv megváltoztatásáról (HL C 24., 2005.1.29., 10. o.); visszavonására 2014. május 21-én került sor (HL C 153., 2014.5.21., 3. o.).</w:t>
      </w:r>
    </w:p>
  </w:footnote>
  <w:footnote w:id="7">
    <w:p w:rsidR="007B3B19" w:rsidRPr="003A0E33" w:rsidRDefault="007B3B19" w:rsidP="007B3B19">
      <w:pPr>
        <w:pStyle w:val="FootnoteText"/>
      </w:pPr>
      <w:r>
        <w:rPr>
          <w:rStyle w:val="FootnoteReference"/>
        </w:rPr>
        <w:footnoteRef/>
      </w:r>
      <w:r>
        <w:tab/>
        <w:t>A Bizottság közleménye az Európai Parlamentnek és a Tanácsnak – A helyreállítási tervet támogató igazságos és egyszerű adózásra irányuló új cselekvési terv (COM(2020) 312 final).</w:t>
      </w:r>
    </w:p>
  </w:footnote>
  <w:footnote w:id="8">
    <w:p w:rsidR="007B3B19" w:rsidRPr="003A0E33" w:rsidRDefault="007B3B19" w:rsidP="007B3B19">
      <w:pPr>
        <w:pStyle w:val="FootnoteText"/>
      </w:pPr>
      <w:r>
        <w:rPr>
          <w:rStyle w:val="FootnoteReference"/>
        </w:rPr>
        <w:footnoteRef/>
      </w:r>
      <w:r>
        <w:tab/>
        <w:t>A Bizottság közleménye az Európai Parlamentnek, a Tanácsnak, az Európai gazdasági és Szociális Bizottságnak és a Régiók Bizottságának – A Bizottság 2017. évi munkaprogramja. (COM(2016) 710 final).</w:t>
      </w:r>
    </w:p>
  </w:footnote>
  <w:footnote w:id="9">
    <w:p w:rsidR="007B3B19" w:rsidRPr="002D620F" w:rsidRDefault="007B3B19" w:rsidP="007B3B19">
      <w:pPr>
        <w:spacing w:before="0" w:after="0"/>
        <w:ind w:left="720" w:hanging="720"/>
        <w:rPr>
          <w:sz w:val="20"/>
          <w:szCs w:val="20"/>
        </w:rPr>
      </w:pPr>
      <w:r>
        <w:rPr>
          <w:rStyle w:val="FootnoteReference"/>
        </w:rPr>
        <w:footnoteRef/>
      </w:r>
      <w:r>
        <w:tab/>
      </w:r>
      <w:r>
        <w:rPr>
          <w:sz w:val="20"/>
        </w:rPr>
        <w:t>A Bizottság közleménye az Európai Parlamentnek, a Tanácsnak, az Európai gazdasági és Szociális Bizottságnak és a Régiók Bizottságának – Az Európai Bizottság 2025. évi munkaprogramja – Közösen lépünk előre: merészebb, egyszerűbb és gyorsabb Unió (COM(2025) 45 final).</w:t>
      </w:r>
    </w:p>
    <w:p w:rsidR="007B3B19" w:rsidRPr="00AC6929" w:rsidRDefault="007B3B19" w:rsidP="007B3B19">
      <w:pPr>
        <w:pStyle w:val="FootnoteText"/>
        <w:ind w:firstLine="0"/>
      </w:pPr>
    </w:p>
  </w:footnote>
  <w:footnote w:id="10">
    <w:p w:rsidR="007B3B19" w:rsidRPr="009A2927" w:rsidRDefault="007B3B19" w:rsidP="007B3B19">
      <w:pPr>
        <w:pStyle w:val="FootnoteText"/>
      </w:pPr>
      <w:r>
        <w:rPr>
          <w:rStyle w:val="FootnoteReference"/>
        </w:rPr>
        <w:footnoteRef/>
      </w:r>
      <w:r>
        <w:tab/>
        <w:t>A Tanács (EU) 2019/1594 végrehajtási határozata (2019. szeptember 24.) a Lengyel Köztársaságnak a közös hozzáadottértékadó-rendszerről szóló 2006/112/EK irányelv 26. cikke (1) bekezdésének a) pontjától és 168. cikkétől eltérő intézkedések bevezetésére való felhatalmazásáról szóló 2013/805/EU végrehajtási határozat módosításáról (HL L 248., 2019.9.27., 71. o.).</w:t>
      </w:r>
    </w:p>
  </w:footnote>
  <w:footnote w:id="11">
    <w:p w:rsidR="007B3B19" w:rsidRPr="002D620F" w:rsidRDefault="007B3B19" w:rsidP="007B3B19">
      <w:pPr>
        <w:pStyle w:val="FootnoteText"/>
      </w:pPr>
      <w:r>
        <w:rPr>
          <w:rStyle w:val="FootnoteReference"/>
        </w:rPr>
        <w:footnoteRef/>
      </w:r>
      <w:r>
        <w:tab/>
        <w:t>A Tanács (EU) 2022/2385 végrehajtási határozata (2022. december 6.) a Lengyel Köztársaságnak a közös hozzáadottértékadó-rendszerről szóló 2006/112/EK irányelv 26. cikke (1) bekezdésének a) pontjától és 168. cikkétől eltérő intézkedések bevezetésére való felhatalmazásáról szóló 2013/805/EU végrehajtási határozat módosításáról (HL L 315., 2022.12.7., 87. o.).</w:t>
      </w:r>
    </w:p>
  </w:footnote>
  <w:footnote w:id="12">
    <w:p w:rsidR="007B3B19" w:rsidRPr="003A0E33" w:rsidRDefault="007B3B19" w:rsidP="007B3B19">
      <w:pPr>
        <w:pStyle w:val="FootnoteText"/>
      </w:pPr>
      <w:r>
        <w:rPr>
          <w:rStyle w:val="FootnoteReference"/>
        </w:rPr>
        <w:footnoteRef/>
      </w:r>
      <w:r>
        <w:tab/>
        <w:t>A Tanács 2013/805/EU végrehajtási határozata (2013. december 17.) a Lengyel Köztársaságnak a közös hozzáadottértékadó-rendszerről szóló 2006/112/EK irányelv 26. cikke (1) bekezdésének a) pontjától, valamint 168. cikkétől eltérő intézkedések alkalmazásának folytatására történő felhatalmazásáról (HL L 353., 2013.12.28., 5. o.).</w:t>
      </w:r>
    </w:p>
  </w:footnote>
  <w:footnote w:id="13">
    <w:p w:rsidR="007B3B19" w:rsidRPr="00362B0A" w:rsidRDefault="007B3B19" w:rsidP="00CE1658">
      <w:pPr>
        <w:pStyle w:val="FootnoteText"/>
      </w:pPr>
      <w:r>
        <w:rPr>
          <w:rStyle w:val="FootnoteReference"/>
        </w:rPr>
        <w:footnoteRef/>
      </w:r>
      <w:r>
        <w:tab/>
        <w:t>HL L 347., 2006.12.11., 1. o. ELI: </w:t>
      </w:r>
      <w:hyperlink r:id="rId1" w:tooltip="Az ELI (európai jogszabály-azonosító) URI-hivatkozása révén biztosít hozzáférést a dokumentumhoz." w:history="1">
        <w:r>
          <w:rPr>
            <w:rStyle w:val="Hyperlink"/>
          </w:rPr>
          <w:t>http://data.europa.eu/eli/dir/2006/112/oj</w:t>
        </w:r>
      </w:hyperlink>
      <w:r>
        <w:t>.</w:t>
      </w:r>
    </w:p>
  </w:footnote>
  <w:footnote w:id="14">
    <w:p w:rsidR="008C76C9" w:rsidRPr="002E14C5" w:rsidRDefault="008C76C9" w:rsidP="008C76C9">
      <w:pPr>
        <w:pStyle w:val="FootnoteText"/>
      </w:pPr>
      <w:r>
        <w:rPr>
          <w:rStyle w:val="FootnoteReference"/>
        </w:rPr>
        <w:footnoteRef/>
      </w:r>
      <w:r>
        <w:tab/>
        <w:t>A Tanács 2013/805/EU végrehajtási határozata (2013. december 17.) a Lengyel Köztársaságnak a közös hozzáadottértékadó-rendszerről szóló 2006/112/EK irányelv 26. cikke (1) bekezdésének a) pontjától és 168. cikkétől eltérő intézkedések bevezetésére való felhatalmazásáról (HL L 353., 2013.12.28., 51. 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Pr="00B00957" w:rsidRDefault="00B00957" w:rsidP="00B00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Pr="00B00957" w:rsidRDefault="00B00957" w:rsidP="00B00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Pr="00B00957" w:rsidRDefault="00B00957" w:rsidP="00B009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Default="00B009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7" w:rsidRDefault="00B00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
  </w:num>
  <w:num w:numId="3">
    <w:abstractNumId w:val="21"/>
  </w:num>
  <w:num w:numId="4">
    <w:abstractNumId w:val="9"/>
  </w:num>
  <w:num w:numId="5">
    <w:abstractNumId w:val="18"/>
  </w:num>
  <w:num w:numId="6">
    <w:abstractNumId w:val="17"/>
  </w:num>
  <w:num w:numId="7">
    <w:abstractNumId w:val="27"/>
  </w:num>
  <w:num w:numId="8">
    <w:abstractNumId w:val="28"/>
  </w:num>
  <w:num w:numId="9">
    <w:abstractNumId w:val="29"/>
  </w:num>
  <w:num w:numId="10">
    <w:abstractNumId w:val="2"/>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16"/>
    <w:lvlOverride w:ilvl="0">
      <w:startOverride w:val="1"/>
    </w:lvlOverride>
  </w:num>
  <w:num w:numId="18">
    <w:abstractNumId w:val="30"/>
    <w:lvlOverride w:ilvl="0">
      <w:startOverride w:val="1"/>
    </w:lvlOverride>
  </w:num>
  <w:num w:numId="19">
    <w:abstractNumId w:val="24"/>
  </w:num>
  <w:num w:numId="20">
    <w:abstractNumId w:val="13"/>
  </w:num>
  <w:num w:numId="21">
    <w:abstractNumId w:val="26"/>
  </w:num>
  <w:num w:numId="22">
    <w:abstractNumId w:val="7"/>
  </w:num>
  <w:num w:numId="23">
    <w:abstractNumId w:val="14"/>
  </w:num>
  <w:num w:numId="24">
    <w:abstractNumId w:val="15"/>
  </w:num>
  <w:num w:numId="25">
    <w:abstractNumId w:val="5"/>
  </w:num>
  <w:num w:numId="26">
    <w:abstractNumId w:val="25"/>
  </w:num>
  <w:num w:numId="27">
    <w:abstractNumId w:val="4"/>
  </w:num>
  <w:num w:numId="28">
    <w:abstractNumId w:val="16"/>
  </w:num>
  <w:num w:numId="29">
    <w:abstractNumId w:val="22"/>
  </w:num>
  <w:num w:numId="30">
    <w:abstractNumId w:val="23"/>
  </w:num>
  <w:num w:numId="31">
    <w:abstractNumId w:val="6"/>
  </w:num>
  <w:num w:numId="32">
    <w:abstractNumId w:val="20"/>
  </w:num>
  <w:num w:numId="33">
    <w:abstractNumId w:val="30"/>
  </w:num>
  <w:num w:numId="34">
    <w:abstractNumId w:val="24"/>
  </w:num>
  <w:num w:numId="35">
    <w:abstractNumId w:val="13"/>
  </w:num>
  <w:num w:numId="36">
    <w:abstractNumId w:val="26"/>
  </w:num>
  <w:num w:numId="37">
    <w:abstractNumId w:val="7"/>
  </w:num>
  <w:num w:numId="38">
    <w:abstractNumId w:val="14"/>
  </w:num>
  <w:num w:numId="39">
    <w:abstractNumId w:val="15"/>
  </w:num>
  <w:num w:numId="40">
    <w:abstractNumId w:val="5"/>
  </w:num>
  <w:num w:numId="41">
    <w:abstractNumId w:val="25"/>
  </w:num>
  <w:num w:numId="42">
    <w:abstractNumId w:val="4"/>
  </w:num>
  <w:num w:numId="43">
    <w:abstractNumId w:val="16"/>
  </w:num>
  <w:num w:numId="44">
    <w:abstractNumId w:val="22"/>
  </w:num>
  <w:num w:numId="45">
    <w:abstractNumId w:val="23"/>
  </w:num>
  <w:num w:numId="46">
    <w:abstractNumId w:val="6"/>
  </w:num>
  <w:num w:numId="47">
    <w:abstractNumId w:val="20"/>
  </w:num>
  <w:num w:numId="48">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7-10 10:59:4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68657E1-EDCD-48D2-A735-775A1C14486B"/>
    <w:docVar w:name="LW_COVERPAGE_TYPE" w:val="1"/>
    <w:docVar w:name="LW_CreatedUtc" w:val="2025-04-30T09:59:41.2342940Z"/>
    <w:docVar w:name="LW_CROSSREFERENCE" w:val="&lt;UNUSED&gt;"/>
    <w:docVar w:name="LW_DocType" w:val="COM"/>
    <w:docVar w:name="LW_EMISSION" w:val="2025.7.10."/>
    <w:docVar w:name="LW_EMISSION_ISODATE" w:val="2025-07-10"/>
    <w:docVar w:name="LW_EMISSION_LOCATION" w:val="BRX"/>
    <w:docVar w:name="LW_EMISSION_PREFIX" w:val="Brüsszel, "/>
    <w:docVar w:name="LW_EMISSION_SUFFIX" w:val=" "/>
    <w:docVar w:name="LW_ID_DOCMODEL" w:val="SJ-020"/>
    <w:docVar w:name="LW_ID_DOCSIGNATURE" w:val="SJ-020"/>
    <w:docVar w:name="LW_ID_DOCSTRUCTURE" w:val="COM/PL/ORG"/>
    <w:docVar w:name="LW_ID_DOCTYPE" w:val="SJ-020"/>
    <w:docVar w:name="LW_ID_STATUT" w:val="SJ-020"/>
    <w:docVar w:name="LW_INSERT_EXP.MOTIFS.NEW" w:val="1"/>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NLE"/>
    <w:docVar w:name="LW_REF.II.NEW.CP_NUMBER" w:val="0205"/>
    <w:docVar w:name="LW_REF.II.NEW.CP_YEAR" w:val="2025"/>
    <w:docVar w:name="LW_REF.INST.NEW" w:val="COM"/>
    <w:docVar w:name="LW_REF.INST.NEW_ADOPTED" w:val="final"/>
    <w:docVar w:name="LW_REF.INST.NEW_TEXT" w:val="(2025) 38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Lengyel Köztársaságnak a közös hozzáadottértékadó-rendszerr\u337?l szóló 2006/112/EK irányelv 26. cikke (1) bekezdésének a) pontjától és 168. cikkét\u337?l eltér\u337? intézkedések bevezetésére való felhatalmazásáról szóló 2013/805/EU végrehajtási határozat módosításáról_x000b_"/>
    <w:docVar w:name="LW_TYPE.DOC.CP" w:val="A TANÁCS VÉGREHAJTÁSI HATÁROZATA"/>
    <w:docVar w:name="LwApiVersions" w:val="LW4CoDe 1.24.5.0; LW 9.0, Build 20240221"/>
  </w:docVars>
  <w:rsids>
    <w:rsidRoot w:val="007B3B19"/>
    <w:rsid w:val="00040C9F"/>
    <w:rsid w:val="000503C7"/>
    <w:rsid w:val="0006006F"/>
    <w:rsid w:val="0007591B"/>
    <w:rsid w:val="00076283"/>
    <w:rsid w:val="000A7064"/>
    <w:rsid w:val="001065F5"/>
    <w:rsid w:val="001238EF"/>
    <w:rsid w:val="0015101D"/>
    <w:rsid w:val="00157DB7"/>
    <w:rsid w:val="00171C2B"/>
    <w:rsid w:val="001906A8"/>
    <w:rsid w:val="00197613"/>
    <w:rsid w:val="001E192F"/>
    <w:rsid w:val="001E499F"/>
    <w:rsid w:val="001F1FF1"/>
    <w:rsid w:val="00207C3A"/>
    <w:rsid w:val="00210E99"/>
    <w:rsid w:val="00233DC7"/>
    <w:rsid w:val="00247779"/>
    <w:rsid w:val="002604D3"/>
    <w:rsid w:val="00272B31"/>
    <w:rsid w:val="00285BEE"/>
    <w:rsid w:val="0029533F"/>
    <w:rsid w:val="00296130"/>
    <w:rsid w:val="002A16FC"/>
    <w:rsid w:val="002A533E"/>
    <w:rsid w:val="002B2C50"/>
    <w:rsid w:val="002B30AF"/>
    <w:rsid w:val="002B3D17"/>
    <w:rsid w:val="002B4F10"/>
    <w:rsid w:val="002E577B"/>
    <w:rsid w:val="002F22B4"/>
    <w:rsid w:val="003031C5"/>
    <w:rsid w:val="003036B8"/>
    <w:rsid w:val="00311A18"/>
    <w:rsid w:val="003251F0"/>
    <w:rsid w:val="0033344A"/>
    <w:rsid w:val="00362B0A"/>
    <w:rsid w:val="00363972"/>
    <w:rsid w:val="00370746"/>
    <w:rsid w:val="003C3812"/>
    <w:rsid w:val="003C6039"/>
    <w:rsid w:val="004144E3"/>
    <w:rsid w:val="00416DF9"/>
    <w:rsid w:val="004204DC"/>
    <w:rsid w:val="00421F29"/>
    <w:rsid w:val="0042648E"/>
    <w:rsid w:val="00436358"/>
    <w:rsid w:val="0046315A"/>
    <w:rsid w:val="00472423"/>
    <w:rsid w:val="00482AA0"/>
    <w:rsid w:val="004936D2"/>
    <w:rsid w:val="004B0F98"/>
    <w:rsid w:val="004C2144"/>
    <w:rsid w:val="004C5680"/>
    <w:rsid w:val="004E7B1A"/>
    <w:rsid w:val="004F42CE"/>
    <w:rsid w:val="00504B7E"/>
    <w:rsid w:val="00504D59"/>
    <w:rsid w:val="00532993"/>
    <w:rsid w:val="00556001"/>
    <w:rsid w:val="00587E15"/>
    <w:rsid w:val="005A4580"/>
    <w:rsid w:val="005A7F9D"/>
    <w:rsid w:val="005B1EB6"/>
    <w:rsid w:val="005E0819"/>
    <w:rsid w:val="00603E5C"/>
    <w:rsid w:val="006134EB"/>
    <w:rsid w:val="006903F2"/>
    <w:rsid w:val="006C3A69"/>
    <w:rsid w:val="006D289C"/>
    <w:rsid w:val="006D4DD4"/>
    <w:rsid w:val="006E730D"/>
    <w:rsid w:val="006F01A8"/>
    <w:rsid w:val="006F0240"/>
    <w:rsid w:val="006F0780"/>
    <w:rsid w:val="006F4F1D"/>
    <w:rsid w:val="00735665"/>
    <w:rsid w:val="0074334C"/>
    <w:rsid w:val="00750D95"/>
    <w:rsid w:val="0075308D"/>
    <w:rsid w:val="0076159C"/>
    <w:rsid w:val="00767758"/>
    <w:rsid w:val="00773331"/>
    <w:rsid w:val="00791FB3"/>
    <w:rsid w:val="007932EF"/>
    <w:rsid w:val="00793F7C"/>
    <w:rsid w:val="007B347A"/>
    <w:rsid w:val="007B3B19"/>
    <w:rsid w:val="007C1FE1"/>
    <w:rsid w:val="007C288B"/>
    <w:rsid w:val="007C3C36"/>
    <w:rsid w:val="007E05B0"/>
    <w:rsid w:val="007F2567"/>
    <w:rsid w:val="00807665"/>
    <w:rsid w:val="0082283F"/>
    <w:rsid w:val="00853C60"/>
    <w:rsid w:val="00861E42"/>
    <w:rsid w:val="00867AF7"/>
    <w:rsid w:val="00874D22"/>
    <w:rsid w:val="00874DC5"/>
    <w:rsid w:val="00885A0D"/>
    <w:rsid w:val="008948F4"/>
    <w:rsid w:val="008A2914"/>
    <w:rsid w:val="008A4174"/>
    <w:rsid w:val="008B309D"/>
    <w:rsid w:val="008C76C9"/>
    <w:rsid w:val="008D1736"/>
    <w:rsid w:val="008D228D"/>
    <w:rsid w:val="008E4D8E"/>
    <w:rsid w:val="00903405"/>
    <w:rsid w:val="00911087"/>
    <w:rsid w:val="009221E7"/>
    <w:rsid w:val="00934597"/>
    <w:rsid w:val="009426B4"/>
    <w:rsid w:val="00951FD6"/>
    <w:rsid w:val="00963636"/>
    <w:rsid w:val="00985620"/>
    <w:rsid w:val="00985C90"/>
    <w:rsid w:val="0099766F"/>
    <w:rsid w:val="009A1AFA"/>
    <w:rsid w:val="009A1CCD"/>
    <w:rsid w:val="009C579B"/>
    <w:rsid w:val="009F55D0"/>
    <w:rsid w:val="00A00FBE"/>
    <w:rsid w:val="00A010CA"/>
    <w:rsid w:val="00A07072"/>
    <w:rsid w:val="00A4107F"/>
    <w:rsid w:val="00A46B62"/>
    <w:rsid w:val="00A50540"/>
    <w:rsid w:val="00A57CCC"/>
    <w:rsid w:val="00A65472"/>
    <w:rsid w:val="00A86900"/>
    <w:rsid w:val="00AC3113"/>
    <w:rsid w:val="00AF4F14"/>
    <w:rsid w:val="00B00957"/>
    <w:rsid w:val="00B66EEB"/>
    <w:rsid w:val="00B720D0"/>
    <w:rsid w:val="00B832AE"/>
    <w:rsid w:val="00B944A1"/>
    <w:rsid w:val="00BB38A7"/>
    <w:rsid w:val="00BB3DF8"/>
    <w:rsid w:val="00BD3175"/>
    <w:rsid w:val="00C006AE"/>
    <w:rsid w:val="00C10158"/>
    <w:rsid w:val="00C12301"/>
    <w:rsid w:val="00C23BDB"/>
    <w:rsid w:val="00C26EF5"/>
    <w:rsid w:val="00C31BA0"/>
    <w:rsid w:val="00C43067"/>
    <w:rsid w:val="00C43416"/>
    <w:rsid w:val="00C44D56"/>
    <w:rsid w:val="00C93F24"/>
    <w:rsid w:val="00C965C8"/>
    <w:rsid w:val="00C96748"/>
    <w:rsid w:val="00CA07B8"/>
    <w:rsid w:val="00CA0CE5"/>
    <w:rsid w:val="00CB2A49"/>
    <w:rsid w:val="00CB53DC"/>
    <w:rsid w:val="00CB7847"/>
    <w:rsid w:val="00CE21DE"/>
    <w:rsid w:val="00CF29BC"/>
    <w:rsid w:val="00D04CD4"/>
    <w:rsid w:val="00D20381"/>
    <w:rsid w:val="00D50274"/>
    <w:rsid w:val="00D67D71"/>
    <w:rsid w:val="00D74B2A"/>
    <w:rsid w:val="00D80759"/>
    <w:rsid w:val="00D91399"/>
    <w:rsid w:val="00DA1EA1"/>
    <w:rsid w:val="00DB5A5D"/>
    <w:rsid w:val="00DD6241"/>
    <w:rsid w:val="00DE7115"/>
    <w:rsid w:val="00E03837"/>
    <w:rsid w:val="00E12E56"/>
    <w:rsid w:val="00E21046"/>
    <w:rsid w:val="00E52A03"/>
    <w:rsid w:val="00E84658"/>
    <w:rsid w:val="00EA46C7"/>
    <w:rsid w:val="00EB6EAB"/>
    <w:rsid w:val="00EC0EF9"/>
    <w:rsid w:val="00EC3569"/>
    <w:rsid w:val="00EC767D"/>
    <w:rsid w:val="00EE566C"/>
    <w:rsid w:val="00EE6F28"/>
    <w:rsid w:val="00F01730"/>
    <w:rsid w:val="00F62D4E"/>
    <w:rsid w:val="00F90997"/>
    <w:rsid w:val="00F92A2B"/>
    <w:rsid w:val="00FA4161"/>
    <w:rsid w:val="00FA4FF1"/>
    <w:rsid w:val="00FC38F8"/>
    <w:rsid w:val="00FD0E9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0FBACC9D-9CBB-486B-BDE0-674A0002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7B3B19"/>
    <w:pPr>
      <w:numPr>
        <w:numId w:val="1"/>
      </w:numPr>
    </w:pPr>
    <w:rPr>
      <w:rFonts w:eastAsia="Times New Roman"/>
      <w:lang w:eastAsia="en-GB"/>
    </w:rPr>
  </w:style>
  <w:style w:type="paragraph" w:styleId="ListBullet4">
    <w:name w:val="List Bullet 4"/>
    <w:basedOn w:val="Normal"/>
    <w:rsid w:val="007B3B19"/>
    <w:pPr>
      <w:numPr>
        <w:numId w:val="3"/>
      </w:numPr>
      <w:tabs>
        <w:tab w:val="num" w:pos="360"/>
      </w:tabs>
      <w:ind w:left="0" w:firstLine="0"/>
    </w:pPr>
    <w:rPr>
      <w:rFonts w:eastAsia="Times New Roman"/>
      <w:lang w:eastAsia="de-DE"/>
    </w:rPr>
  </w:style>
  <w:style w:type="paragraph" w:styleId="ListNumber">
    <w:name w:val="List Number"/>
    <w:basedOn w:val="Normal"/>
    <w:rsid w:val="007B3B19"/>
    <w:pPr>
      <w:numPr>
        <w:numId w:val="7"/>
      </w:numPr>
    </w:pPr>
    <w:rPr>
      <w:rFonts w:eastAsia="Times New Roman"/>
      <w:lang w:eastAsia="de-DE"/>
    </w:rPr>
  </w:style>
  <w:style w:type="paragraph" w:customStyle="1" w:styleId="ListBullet1">
    <w:name w:val="List Bullet 1"/>
    <w:basedOn w:val="Normal"/>
    <w:rsid w:val="007B3B19"/>
    <w:pPr>
      <w:numPr>
        <w:numId w:val="2"/>
      </w:numPr>
    </w:pPr>
    <w:rPr>
      <w:rFonts w:eastAsia="Times New Roman"/>
      <w:lang w:eastAsia="de-DE"/>
    </w:rPr>
  </w:style>
  <w:style w:type="paragraph" w:customStyle="1" w:styleId="ListDash">
    <w:name w:val="List Dash"/>
    <w:basedOn w:val="Normal"/>
    <w:rsid w:val="007B3B19"/>
    <w:pPr>
      <w:numPr>
        <w:numId w:val="4"/>
      </w:numPr>
    </w:pPr>
    <w:rPr>
      <w:rFonts w:eastAsia="Times New Roman"/>
      <w:lang w:eastAsia="de-DE"/>
    </w:rPr>
  </w:style>
  <w:style w:type="paragraph" w:customStyle="1" w:styleId="ListDash1">
    <w:name w:val="List Dash 1"/>
    <w:basedOn w:val="Normal"/>
    <w:rsid w:val="007B3B19"/>
    <w:pPr>
      <w:numPr>
        <w:numId w:val="5"/>
      </w:numPr>
    </w:pPr>
    <w:rPr>
      <w:rFonts w:eastAsia="Times New Roman"/>
      <w:lang w:eastAsia="de-DE"/>
    </w:rPr>
  </w:style>
  <w:style w:type="paragraph" w:customStyle="1" w:styleId="ListDash2">
    <w:name w:val="List Dash 2"/>
    <w:basedOn w:val="Normal"/>
    <w:rsid w:val="007B3B19"/>
    <w:pPr>
      <w:numPr>
        <w:numId w:val="6"/>
      </w:numPr>
    </w:pPr>
    <w:rPr>
      <w:rFonts w:eastAsia="Times New Roman"/>
      <w:lang w:eastAsia="de-DE"/>
    </w:rPr>
  </w:style>
  <w:style w:type="paragraph" w:customStyle="1" w:styleId="ListNumberLevel2">
    <w:name w:val="List Number (Level 2)"/>
    <w:basedOn w:val="Normal"/>
    <w:rsid w:val="007B3B19"/>
    <w:pPr>
      <w:numPr>
        <w:ilvl w:val="1"/>
        <w:numId w:val="7"/>
      </w:numPr>
    </w:pPr>
    <w:rPr>
      <w:rFonts w:eastAsia="Times New Roman"/>
      <w:lang w:eastAsia="de-DE"/>
    </w:rPr>
  </w:style>
  <w:style w:type="paragraph" w:customStyle="1" w:styleId="ListNumberLevel3">
    <w:name w:val="List Number (Level 3)"/>
    <w:basedOn w:val="Normal"/>
    <w:rsid w:val="007B3B19"/>
    <w:pPr>
      <w:numPr>
        <w:ilvl w:val="2"/>
        <w:numId w:val="7"/>
      </w:numPr>
    </w:pPr>
    <w:rPr>
      <w:rFonts w:eastAsia="Times New Roman"/>
      <w:lang w:eastAsia="de-DE"/>
    </w:rPr>
  </w:style>
  <w:style w:type="paragraph" w:customStyle="1" w:styleId="ListNumberLevel4">
    <w:name w:val="List Number (Level 4)"/>
    <w:basedOn w:val="Normal"/>
    <w:rsid w:val="007B3B19"/>
    <w:pPr>
      <w:numPr>
        <w:ilvl w:val="3"/>
        <w:numId w:val="7"/>
      </w:numPr>
    </w:pPr>
    <w:rPr>
      <w:rFonts w:eastAsia="Times New Roman"/>
      <w:lang w:eastAsia="de-DE"/>
    </w:rPr>
  </w:style>
  <w:style w:type="table" w:styleId="TableGrid">
    <w:name w:val="Table Grid"/>
    <w:basedOn w:val="TableNormal"/>
    <w:rsid w:val="007B3B19"/>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3B19"/>
    <w:rPr>
      <w:color w:val="0000FF"/>
      <w:u w:val="single"/>
    </w:rPr>
  </w:style>
  <w:style w:type="paragraph" w:styleId="ListBullet2">
    <w:name w:val="List Bullet 2"/>
    <w:basedOn w:val="Normal"/>
    <w:rsid w:val="007B3B19"/>
    <w:pPr>
      <w:numPr>
        <w:numId w:val="8"/>
      </w:numPr>
    </w:pPr>
    <w:rPr>
      <w:rFonts w:eastAsia="Times New Roman"/>
      <w:lang w:eastAsia="en-GB"/>
    </w:rPr>
  </w:style>
  <w:style w:type="paragraph" w:styleId="ListBullet3">
    <w:name w:val="List Bullet 3"/>
    <w:basedOn w:val="Normal"/>
    <w:rsid w:val="007B3B19"/>
    <w:pPr>
      <w:numPr>
        <w:numId w:val="9"/>
      </w:numPr>
    </w:pPr>
    <w:rPr>
      <w:rFonts w:eastAsia="Times New Roman"/>
      <w:lang w:eastAsia="en-GB"/>
    </w:rPr>
  </w:style>
  <w:style w:type="paragraph" w:styleId="ListNumber2">
    <w:name w:val="List Number 2"/>
    <w:basedOn w:val="Normal"/>
    <w:rsid w:val="007B3B19"/>
    <w:pPr>
      <w:numPr>
        <w:numId w:val="13"/>
      </w:numPr>
    </w:pPr>
    <w:rPr>
      <w:rFonts w:eastAsia="Times New Roman"/>
      <w:lang w:eastAsia="en-GB"/>
    </w:rPr>
  </w:style>
  <w:style w:type="paragraph" w:styleId="ListNumber3">
    <w:name w:val="List Number 3"/>
    <w:basedOn w:val="Normal"/>
    <w:rsid w:val="007B3B19"/>
    <w:pPr>
      <w:numPr>
        <w:numId w:val="14"/>
      </w:numPr>
    </w:pPr>
    <w:rPr>
      <w:rFonts w:eastAsia="Times New Roman"/>
      <w:lang w:eastAsia="en-GB"/>
    </w:rPr>
  </w:style>
  <w:style w:type="paragraph" w:styleId="ListNumber4">
    <w:name w:val="List Number 4"/>
    <w:basedOn w:val="Normal"/>
    <w:rsid w:val="007B3B19"/>
    <w:pPr>
      <w:numPr>
        <w:numId w:val="15"/>
      </w:numPr>
    </w:pPr>
    <w:rPr>
      <w:rFonts w:eastAsia="Times New Roman"/>
      <w:lang w:eastAsia="en-GB"/>
    </w:rPr>
  </w:style>
  <w:style w:type="paragraph" w:customStyle="1" w:styleId="ListDash3">
    <w:name w:val="List Dash 3"/>
    <w:basedOn w:val="Normal"/>
    <w:rsid w:val="007B3B19"/>
    <w:pPr>
      <w:numPr>
        <w:numId w:val="10"/>
      </w:numPr>
    </w:pPr>
    <w:rPr>
      <w:rFonts w:eastAsia="Times New Roman"/>
      <w:lang w:eastAsia="en-GB"/>
    </w:rPr>
  </w:style>
  <w:style w:type="paragraph" w:customStyle="1" w:styleId="ListDash4">
    <w:name w:val="List Dash 4"/>
    <w:basedOn w:val="Normal"/>
    <w:rsid w:val="007B3B19"/>
    <w:pPr>
      <w:numPr>
        <w:numId w:val="11"/>
      </w:numPr>
    </w:pPr>
    <w:rPr>
      <w:rFonts w:eastAsia="Times New Roman"/>
      <w:lang w:eastAsia="en-GB"/>
    </w:rPr>
  </w:style>
  <w:style w:type="paragraph" w:customStyle="1" w:styleId="ListNumber1">
    <w:name w:val="List Number 1"/>
    <w:basedOn w:val="Text1"/>
    <w:rsid w:val="007B3B19"/>
    <w:pPr>
      <w:numPr>
        <w:numId w:val="12"/>
      </w:numPr>
    </w:pPr>
    <w:rPr>
      <w:rFonts w:eastAsia="Times New Roman"/>
      <w:lang w:eastAsia="en-GB"/>
    </w:rPr>
  </w:style>
  <w:style w:type="paragraph" w:customStyle="1" w:styleId="ListNumber1Level2">
    <w:name w:val="List Number 1 (Level 2)"/>
    <w:basedOn w:val="Text1"/>
    <w:rsid w:val="007B3B19"/>
    <w:pPr>
      <w:numPr>
        <w:ilvl w:val="1"/>
        <w:numId w:val="12"/>
      </w:numPr>
    </w:pPr>
    <w:rPr>
      <w:rFonts w:eastAsia="Times New Roman"/>
      <w:lang w:eastAsia="en-GB"/>
    </w:rPr>
  </w:style>
  <w:style w:type="paragraph" w:customStyle="1" w:styleId="ListNumber2Level2">
    <w:name w:val="List Number 2 (Level 2)"/>
    <w:basedOn w:val="Text2"/>
    <w:rsid w:val="007B3B19"/>
    <w:pPr>
      <w:numPr>
        <w:ilvl w:val="1"/>
        <w:numId w:val="13"/>
      </w:numPr>
    </w:pPr>
    <w:rPr>
      <w:rFonts w:eastAsia="Times New Roman"/>
      <w:lang w:eastAsia="en-GB"/>
    </w:rPr>
  </w:style>
  <w:style w:type="paragraph" w:customStyle="1" w:styleId="ListNumber3Level2">
    <w:name w:val="List Number 3 (Level 2)"/>
    <w:basedOn w:val="Text3"/>
    <w:rsid w:val="007B3B19"/>
    <w:pPr>
      <w:numPr>
        <w:ilvl w:val="1"/>
        <w:numId w:val="14"/>
      </w:numPr>
    </w:pPr>
    <w:rPr>
      <w:rFonts w:eastAsia="Times New Roman"/>
      <w:lang w:eastAsia="en-GB"/>
    </w:rPr>
  </w:style>
  <w:style w:type="paragraph" w:customStyle="1" w:styleId="ListNumber4Level2">
    <w:name w:val="List Number 4 (Level 2)"/>
    <w:basedOn w:val="Text4"/>
    <w:rsid w:val="007B3B19"/>
    <w:pPr>
      <w:numPr>
        <w:ilvl w:val="1"/>
        <w:numId w:val="15"/>
      </w:numPr>
    </w:pPr>
    <w:rPr>
      <w:rFonts w:eastAsia="Times New Roman"/>
      <w:lang w:eastAsia="en-GB"/>
    </w:rPr>
  </w:style>
  <w:style w:type="paragraph" w:customStyle="1" w:styleId="ListNumber1Level3">
    <w:name w:val="List Number 1 (Level 3)"/>
    <w:basedOn w:val="Text1"/>
    <w:rsid w:val="007B3B19"/>
    <w:pPr>
      <w:numPr>
        <w:ilvl w:val="2"/>
        <w:numId w:val="12"/>
      </w:numPr>
    </w:pPr>
    <w:rPr>
      <w:rFonts w:eastAsia="Times New Roman"/>
      <w:lang w:eastAsia="en-GB"/>
    </w:rPr>
  </w:style>
  <w:style w:type="paragraph" w:customStyle="1" w:styleId="ListNumber2Level3">
    <w:name w:val="List Number 2 (Level 3)"/>
    <w:basedOn w:val="Text2"/>
    <w:rsid w:val="007B3B19"/>
    <w:pPr>
      <w:numPr>
        <w:ilvl w:val="2"/>
        <w:numId w:val="13"/>
      </w:numPr>
    </w:pPr>
    <w:rPr>
      <w:rFonts w:eastAsia="Times New Roman"/>
      <w:lang w:eastAsia="en-GB"/>
    </w:rPr>
  </w:style>
  <w:style w:type="paragraph" w:customStyle="1" w:styleId="ListNumber3Level3">
    <w:name w:val="List Number 3 (Level 3)"/>
    <w:basedOn w:val="Text3"/>
    <w:rsid w:val="007B3B19"/>
    <w:pPr>
      <w:numPr>
        <w:ilvl w:val="2"/>
        <w:numId w:val="14"/>
      </w:numPr>
    </w:pPr>
    <w:rPr>
      <w:rFonts w:eastAsia="Times New Roman"/>
      <w:lang w:eastAsia="en-GB"/>
    </w:rPr>
  </w:style>
  <w:style w:type="paragraph" w:customStyle="1" w:styleId="ListNumber4Level3">
    <w:name w:val="List Number 4 (Level 3)"/>
    <w:basedOn w:val="Text4"/>
    <w:rsid w:val="007B3B19"/>
    <w:pPr>
      <w:numPr>
        <w:ilvl w:val="2"/>
        <w:numId w:val="15"/>
      </w:numPr>
    </w:pPr>
    <w:rPr>
      <w:rFonts w:eastAsia="Times New Roman"/>
      <w:lang w:eastAsia="en-GB"/>
    </w:rPr>
  </w:style>
  <w:style w:type="paragraph" w:customStyle="1" w:styleId="ListNumber1Level4">
    <w:name w:val="List Number 1 (Level 4)"/>
    <w:basedOn w:val="Text1"/>
    <w:rsid w:val="007B3B19"/>
    <w:pPr>
      <w:numPr>
        <w:ilvl w:val="3"/>
        <w:numId w:val="12"/>
      </w:numPr>
    </w:pPr>
    <w:rPr>
      <w:rFonts w:eastAsia="Times New Roman"/>
      <w:lang w:eastAsia="en-GB"/>
    </w:rPr>
  </w:style>
  <w:style w:type="paragraph" w:customStyle="1" w:styleId="ListNumber2Level4">
    <w:name w:val="List Number 2 (Level 4)"/>
    <w:basedOn w:val="Text2"/>
    <w:rsid w:val="007B3B19"/>
    <w:pPr>
      <w:numPr>
        <w:ilvl w:val="3"/>
        <w:numId w:val="13"/>
      </w:numPr>
    </w:pPr>
    <w:rPr>
      <w:rFonts w:eastAsia="Times New Roman"/>
      <w:lang w:eastAsia="en-GB"/>
    </w:rPr>
  </w:style>
  <w:style w:type="paragraph" w:customStyle="1" w:styleId="ListNumber3Level4">
    <w:name w:val="List Number 3 (Level 4)"/>
    <w:basedOn w:val="Text3"/>
    <w:rsid w:val="007B3B19"/>
    <w:pPr>
      <w:numPr>
        <w:ilvl w:val="3"/>
        <w:numId w:val="14"/>
      </w:numPr>
    </w:pPr>
    <w:rPr>
      <w:rFonts w:eastAsia="Times New Roman"/>
      <w:lang w:eastAsia="en-GB"/>
    </w:rPr>
  </w:style>
  <w:style w:type="paragraph" w:customStyle="1" w:styleId="ListNumber4Level4">
    <w:name w:val="List Number 4 (Level 4)"/>
    <w:basedOn w:val="Text4"/>
    <w:rsid w:val="007B3B19"/>
    <w:pPr>
      <w:numPr>
        <w:ilvl w:val="3"/>
        <w:numId w:val="15"/>
      </w:numPr>
    </w:pPr>
    <w:rPr>
      <w:rFonts w:eastAsia="Times New Roman"/>
      <w:lang w:eastAsia="en-GB"/>
    </w:rPr>
  </w:style>
  <w:style w:type="paragraph" w:customStyle="1" w:styleId="Annexetitreacte">
    <w:name w:val="Annexe titre (acte)"/>
    <w:basedOn w:val="Normal"/>
    <w:next w:val="Normal"/>
    <w:rsid w:val="007B3B19"/>
    <w:pPr>
      <w:jc w:val="center"/>
    </w:pPr>
    <w:rPr>
      <w:rFonts w:eastAsia="Times New Roman"/>
      <w:b/>
      <w:u w:val="single"/>
      <w:lang w:eastAsia="en-GB"/>
    </w:rPr>
  </w:style>
  <w:style w:type="paragraph" w:customStyle="1" w:styleId="Annexetitreexposglobal">
    <w:name w:val="Annexe titre (exposé global)"/>
    <w:basedOn w:val="Normal"/>
    <w:next w:val="Normal"/>
    <w:rsid w:val="007B3B19"/>
    <w:pPr>
      <w:jc w:val="center"/>
    </w:pPr>
    <w:rPr>
      <w:rFonts w:eastAsia="Times New Roman"/>
      <w:b/>
      <w:u w:val="single"/>
      <w:lang w:eastAsia="en-GB"/>
    </w:rPr>
  </w:style>
  <w:style w:type="paragraph" w:customStyle="1" w:styleId="Annexetitrefichefinacte">
    <w:name w:val="Annexe titre (fiche fin. acte)"/>
    <w:basedOn w:val="Normal"/>
    <w:next w:val="Normal"/>
    <w:rsid w:val="007B3B19"/>
    <w:pPr>
      <w:jc w:val="center"/>
    </w:pPr>
    <w:rPr>
      <w:rFonts w:eastAsia="Times New Roman"/>
      <w:b/>
      <w:u w:val="single"/>
      <w:lang w:eastAsia="en-GB"/>
    </w:rPr>
  </w:style>
  <w:style w:type="paragraph" w:customStyle="1" w:styleId="Annexetitrefichefinglobale">
    <w:name w:val="Annexe titre (fiche fin. globale)"/>
    <w:basedOn w:val="Normal"/>
    <w:next w:val="Normal"/>
    <w:rsid w:val="007B3B19"/>
    <w:pPr>
      <w:jc w:val="center"/>
    </w:pPr>
    <w:rPr>
      <w:rFonts w:eastAsia="Times New Roman"/>
      <w:b/>
      <w:u w:val="single"/>
      <w:lang w:eastAsia="en-GB"/>
    </w:rPr>
  </w:style>
  <w:style w:type="paragraph" w:customStyle="1" w:styleId="Annexetitreglobale">
    <w:name w:val="Annexe titre (globale)"/>
    <w:basedOn w:val="Normal"/>
    <w:next w:val="Normal"/>
    <w:rsid w:val="007B3B19"/>
    <w:pPr>
      <w:jc w:val="center"/>
    </w:pPr>
    <w:rPr>
      <w:rFonts w:eastAsia="Times New Roman"/>
      <w:b/>
      <w:u w:val="single"/>
      <w:lang w:eastAsia="en-GB"/>
    </w:rPr>
  </w:style>
  <w:style w:type="paragraph" w:customStyle="1" w:styleId="Exposdesmotifstitreglobal">
    <w:name w:val="Exposé des motifs titre (global)"/>
    <w:basedOn w:val="Normal"/>
    <w:next w:val="Normal"/>
    <w:rsid w:val="007B3B19"/>
    <w:pPr>
      <w:jc w:val="center"/>
    </w:pPr>
    <w:rPr>
      <w:rFonts w:eastAsia="Times New Roman"/>
      <w:b/>
      <w:u w:val="single"/>
      <w:lang w:eastAsia="en-GB"/>
    </w:rPr>
  </w:style>
  <w:style w:type="paragraph" w:customStyle="1" w:styleId="Langueoriginale">
    <w:name w:val="Langue originale"/>
    <w:basedOn w:val="Normal"/>
    <w:rsid w:val="007B3B19"/>
    <w:pPr>
      <w:spacing w:before="360"/>
      <w:jc w:val="center"/>
    </w:pPr>
    <w:rPr>
      <w:rFonts w:eastAsia="Times New Roman"/>
      <w:caps/>
      <w:lang w:eastAsia="en-GB"/>
    </w:rPr>
  </w:style>
  <w:style w:type="paragraph" w:customStyle="1" w:styleId="Phrasefinale">
    <w:name w:val="Phrase finale"/>
    <w:basedOn w:val="Normal"/>
    <w:next w:val="Normal"/>
    <w:rsid w:val="007B3B19"/>
    <w:pPr>
      <w:spacing w:before="360" w:after="0"/>
      <w:jc w:val="center"/>
    </w:pPr>
    <w:rPr>
      <w:rFonts w:eastAsia="Times New Roman"/>
      <w:lang w:eastAsia="en-GB"/>
    </w:rPr>
  </w:style>
  <w:style w:type="paragraph" w:customStyle="1" w:styleId="Prliminairetitre">
    <w:name w:val="Préliminaire titre"/>
    <w:basedOn w:val="Normal"/>
    <w:next w:val="Normal"/>
    <w:rsid w:val="007B3B19"/>
    <w:pPr>
      <w:spacing w:before="360" w:after="360"/>
      <w:jc w:val="center"/>
    </w:pPr>
    <w:rPr>
      <w:rFonts w:eastAsia="Times New Roman"/>
      <w:b/>
      <w:lang w:eastAsia="en-GB"/>
    </w:rPr>
  </w:style>
  <w:style w:type="paragraph" w:customStyle="1" w:styleId="Prliminairetype">
    <w:name w:val="Préliminaire type"/>
    <w:basedOn w:val="Normal"/>
    <w:next w:val="Normal"/>
    <w:rsid w:val="007B3B19"/>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7B3B19"/>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7B3B19"/>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7B3B19"/>
    <w:pPr>
      <w:spacing w:before="0" w:after="0"/>
      <w:ind w:left="5103"/>
      <w:jc w:val="left"/>
    </w:pPr>
    <w:rPr>
      <w:rFonts w:eastAsia="Times New Roman"/>
      <w:lang w:eastAsia="en-GB"/>
    </w:rPr>
  </w:style>
  <w:style w:type="paragraph" w:customStyle="1" w:styleId="Sous-titreobjetprliminaire">
    <w:name w:val="Sous-titre objet (préliminaire)"/>
    <w:basedOn w:val="Normal"/>
    <w:rsid w:val="007B3B19"/>
    <w:pPr>
      <w:spacing w:before="0" w:after="0"/>
      <w:jc w:val="center"/>
    </w:pPr>
    <w:rPr>
      <w:rFonts w:eastAsia="Times New Roman"/>
      <w:b/>
      <w:lang w:eastAsia="en-GB"/>
    </w:rPr>
  </w:style>
  <w:style w:type="paragraph" w:customStyle="1" w:styleId="Statutprliminaire">
    <w:name w:val="Statut (préliminaire)"/>
    <w:basedOn w:val="Normal"/>
    <w:next w:val="Normal"/>
    <w:rsid w:val="007B3B19"/>
    <w:pPr>
      <w:spacing w:before="360" w:after="0"/>
      <w:jc w:val="center"/>
    </w:pPr>
    <w:rPr>
      <w:rFonts w:eastAsia="Times New Roman"/>
      <w:lang w:eastAsia="en-GB"/>
    </w:rPr>
  </w:style>
  <w:style w:type="paragraph" w:customStyle="1" w:styleId="Titreobjetprliminaire">
    <w:name w:val="Titre objet (préliminaire)"/>
    <w:basedOn w:val="Normal"/>
    <w:next w:val="Normal"/>
    <w:rsid w:val="007B3B19"/>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B3B19"/>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B3B19"/>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B3B19"/>
    <w:pPr>
      <w:jc w:val="center"/>
    </w:pPr>
    <w:rPr>
      <w:rFonts w:eastAsia="Times New Roman"/>
      <w:b/>
      <w:u w:val="single"/>
      <w:lang w:eastAsia="en-GB"/>
    </w:rPr>
  </w:style>
  <w:style w:type="paragraph" w:customStyle="1" w:styleId="Fichefinanciretravailtitre">
    <w:name w:val="Fiche financière (travail) titre"/>
    <w:basedOn w:val="Normal"/>
    <w:next w:val="Normal"/>
    <w:rsid w:val="007B3B19"/>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B3B19"/>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B3B19"/>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B3B19"/>
    <w:pPr>
      <w:jc w:val="center"/>
    </w:pPr>
    <w:rPr>
      <w:rFonts w:eastAsia="Times New Roman"/>
      <w:b/>
      <w:u w:val="single"/>
      <w:lang w:eastAsia="en-GB"/>
    </w:rPr>
  </w:style>
  <w:style w:type="character" w:styleId="CommentReference">
    <w:name w:val="annotation reference"/>
    <w:rsid w:val="007B3B19"/>
    <w:rPr>
      <w:rFonts w:cs="Times New Roman"/>
      <w:sz w:val="16"/>
      <w:szCs w:val="16"/>
    </w:rPr>
  </w:style>
  <w:style w:type="paragraph" w:styleId="CommentText">
    <w:name w:val="annotation text"/>
    <w:basedOn w:val="Normal"/>
    <w:link w:val="CommentTextChar"/>
    <w:rsid w:val="007B3B19"/>
    <w:rPr>
      <w:rFonts w:eastAsia="Times New Roman"/>
      <w:sz w:val="20"/>
      <w:szCs w:val="20"/>
      <w:lang w:eastAsia="en-GB"/>
    </w:rPr>
  </w:style>
  <w:style w:type="character" w:customStyle="1" w:styleId="CommentTextChar">
    <w:name w:val="Comment Text Char"/>
    <w:basedOn w:val="DefaultParagraphFont"/>
    <w:link w:val="CommentText"/>
    <w:rsid w:val="007B3B19"/>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sid w:val="007B3B19"/>
    <w:rPr>
      <w:b/>
      <w:bCs/>
    </w:rPr>
  </w:style>
  <w:style w:type="character" w:customStyle="1" w:styleId="CommentSubjectChar">
    <w:name w:val="Comment Subject Char"/>
    <w:basedOn w:val="CommentTextChar"/>
    <w:link w:val="CommentSubject"/>
    <w:rsid w:val="007B3B19"/>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sid w:val="007B3B19"/>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7B3B19"/>
    <w:rPr>
      <w:rFonts w:ascii="Tahoma" w:eastAsia="Times New Roman" w:hAnsi="Tahoma" w:cs="Tahoma"/>
      <w:sz w:val="16"/>
      <w:szCs w:val="16"/>
      <w:lang w:val="hu-HU" w:eastAsia="en-GB"/>
    </w:rPr>
  </w:style>
  <w:style w:type="paragraph" w:styleId="Caption">
    <w:name w:val="caption"/>
    <w:basedOn w:val="Normal"/>
    <w:next w:val="Normal"/>
    <w:qFormat/>
    <w:rsid w:val="007B3B19"/>
    <w:rPr>
      <w:rFonts w:eastAsia="Times New Roman"/>
      <w:b/>
      <w:bCs/>
      <w:sz w:val="20"/>
      <w:szCs w:val="20"/>
      <w:lang w:eastAsia="en-GB"/>
    </w:rPr>
  </w:style>
  <w:style w:type="paragraph" w:styleId="TableofFigures">
    <w:name w:val="table of figures"/>
    <w:basedOn w:val="Normal"/>
    <w:next w:val="Normal"/>
    <w:rsid w:val="007B3B19"/>
    <w:rPr>
      <w:rFonts w:eastAsia="Times New Roman"/>
      <w:lang w:eastAsia="en-GB"/>
    </w:rPr>
  </w:style>
  <w:style w:type="character" w:styleId="PageNumber">
    <w:name w:val="page number"/>
    <w:rsid w:val="007B3B19"/>
  </w:style>
  <w:style w:type="character" w:customStyle="1" w:styleId="tw4winMark">
    <w:name w:val="tw4winMark"/>
    <w:rsid w:val="007B3B19"/>
    <w:rPr>
      <w:vanish/>
      <w:color w:val="800080"/>
      <w:vertAlign w:val="subscript"/>
    </w:rPr>
  </w:style>
  <w:style w:type="character" w:styleId="FollowedHyperlink">
    <w:name w:val="FollowedHyperlink"/>
    <w:rsid w:val="007B3B19"/>
    <w:rPr>
      <w:color w:val="800080"/>
      <w:u w:val="single"/>
    </w:rPr>
  </w:style>
  <w:style w:type="paragraph" w:customStyle="1" w:styleId="Sous-titreobjet">
    <w:name w:val="Sous-titre objet"/>
    <w:basedOn w:val="Normal"/>
    <w:rsid w:val="007B3B19"/>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B3B19"/>
  </w:style>
  <w:style w:type="paragraph" w:styleId="Revision">
    <w:name w:val="Revision"/>
    <w:hidden/>
    <w:uiPriority w:val="99"/>
    <w:semiHidden/>
    <w:rsid w:val="007B3B19"/>
    <w:rPr>
      <w:rFonts w:ascii="Calibri" w:eastAsia="Calibri" w:hAnsi="Calibri" w:cs="Times New Roman"/>
      <w:sz w:val="24"/>
      <w:lang w:eastAsia="en-GB"/>
    </w:rPr>
  </w:style>
  <w:style w:type="paragraph" w:customStyle="1" w:styleId="FooterCoverPage">
    <w:name w:val="Footer Cover Page"/>
    <w:basedOn w:val="Normal"/>
    <w:link w:val="FooterCoverPageChar"/>
    <w:rsid w:val="007B3B19"/>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B3B19"/>
    <w:rPr>
      <w:rFonts w:ascii="Times New Roman" w:hAnsi="Times New Roman" w:cs="Times New Roman"/>
      <w:b/>
      <w:sz w:val="28"/>
      <w:lang w:val="hu-HU"/>
    </w:rPr>
  </w:style>
  <w:style w:type="character" w:customStyle="1" w:styleId="FooterCoverPageChar">
    <w:name w:val="Footer Cover Page Char"/>
    <w:link w:val="FooterCoverPage"/>
    <w:rsid w:val="007B3B19"/>
    <w:rPr>
      <w:rFonts w:ascii="Times New Roman" w:eastAsia="Calibri" w:hAnsi="Times New Roman" w:cs="Times New Roman"/>
      <w:sz w:val="24"/>
      <w:lang w:val="hu-HU" w:eastAsia="en-GB"/>
    </w:rPr>
  </w:style>
  <w:style w:type="paragraph" w:customStyle="1" w:styleId="HeaderCoverPage">
    <w:name w:val="Header Cover Page"/>
    <w:basedOn w:val="Normal"/>
    <w:link w:val="HeaderCoverPageChar"/>
    <w:rsid w:val="007B3B19"/>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B3B19"/>
    <w:rPr>
      <w:rFonts w:ascii="Times New Roman" w:eastAsia="Calibri" w:hAnsi="Times New Roman" w:cs="Times New Roman"/>
      <w:sz w:val="24"/>
      <w:lang w:val="hu-HU" w:eastAsia="en-GB"/>
    </w:rPr>
  </w:style>
  <w:style w:type="character" w:customStyle="1" w:styleId="FooterSensitivityChar">
    <w:name w:val="Footer Sensitivity Char"/>
    <w:rsid w:val="007B3B19"/>
    <w:rPr>
      <w:rFonts w:ascii="Times New Roman" w:hAnsi="Times New Roman" w:cs="Times New Roman"/>
      <w:b/>
      <w:sz w:val="32"/>
      <w:lang w:val="hu-HU"/>
    </w:rPr>
  </w:style>
  <w:style w:type="character" w:customStyle="1" w:styleId="HeaderSensitivityChar">
    <w:name w:val="Header Sensitivity Char"/>
    <w:rsid w:val="007B3B19"/>
    <w:rPr>
      <w:rFonts w:ascii="Times New Roman" w:hAnsi="Times New Roman" w:cs="Times New Roman"/>
      <w:b/>
      <w:sz w:val="32"/>
      <w:lang w:val="hu-HU"/>
    </w:rPr>
  </w:style>
  <w:style w:type="character" w:customStyle="1" w:styleId="HeaderSensitivityRightChar">
    <w:name w:val="Header Sensitivity Right Char"/>
    <w:rsid w:val="007B3B19"/>
    <w:rPr>
      <w:rFonts w:ascii="Times New Roman" w:hAnsi="Times New Roman" w:cs="Times New Roman"/>
      <w:sz w:val="28"/>
      <w:lang w:val="hu-HU"/>
    </w:rPr>
  </w:style>
  <w:style w:type="paragraph" w:customStyle="1" w:styleId="LegalNumPar">
    <w:name w:val="LegalNumPar"/>
    <w:basedOn w:val="Normal"/>
    <w:rsid w:val="007B3B19"/>
    <w:pPr>
      <w:numPr>
        <w:numId w:val="16"/>
      </w:numPr>
      <w:spacing w:line="360" w:lineRule="auto"/>
    </w:pPr>
    <w:rPr>
      <w:rFonts w:eastAsia="Times New Roman"/>
      <w:lang w:eastAsia="en-GB"/>
    </w:rPr>
  </w:style>
  <w:style w:type="paragraph" w:customStyle="1" w:styleId="LegalNumPar2">
    <w:name w:val="LegalNumPar2"/>
    <w:basedOn w:val="Normal"/>
    <w:rsid w:val="007B3B19"/>
    <w:pPr>
      <w:numPr>
        <w:ilvl w:val="1"/>
        <w:numId w:val="16"/>
      </w:numPr>
      <w:spacing w:line="360" w:lineRule="auto"/>
    </w:pPr>
    <w:rPr>
      <w:rFonts w:eastAsia="Times New Roman"/>
      <w:lang w:eastAsia="en-GB"/>
    </w:rPr>
  </w:style>
  <w:style w:type="paragraph" w:customStyle="1" w:styleId="LegalNumPar3">
    <w:name w:val="LegalNumPar3"/>
    <w:basedOn w:val="Normal"/>
    <w:rsid w:val="007B3B19"/>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7B3B19"/>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7B3B19"/>
    <w:rPr>
      <w:color w:val="605E5C"/>
      <w:shd w:val="clear" w:color="auto" w:fill="E1DFDD"/>
    </w:rPr>
  </w:style>
  <w:style w:type="character" w:styleId="Strong">
    <w:name w:val="Strong"/>
    <w:basedOn w:val="DefaultParagraphFont"/>
    <w:qFormat/>
    <w:rsid w:val="007B3B19"/>
    <w:rPr>
      <w:b/>
      <w:bCs/>
    </w:rPr>
  </w:style>
  <w:style w:type="character" w:styleId="Emphasis">
    <w:name w:val="Emphasis"/>
    <w:basedOn w:val="DefaultParagraphFont"/>
    <w:qFormat/>
    <w:rsid w:val="007B3B19"/>
    <w:rPr>
      <w:i/>
      <w:iCs/>
    </w:rPr>
  </w:style>
  <w:style w:type="character" w:customStyle="1" w:styleId="Mention">
    <w:name w:val="Mention"/>
    <w:basedOn w:val="DefaultParagraphFont"/>
    <w:uiPriority w:val="99"/>
    <w:unhideWhenUsed/>
    <w:rsid w:val="007B3B19"/>
    <w:rPr>
      <w:color w:val="2B579A"/>
      <w:shd w:val="clear" w:color="auto" w:fill="E1DFDD"/>
    </w:rPr>
  </w:style>
  <w:style w:type="character" w:customStyle="1" w:styleId="normaltextrun">
    <w:name w:val="normaltextrun"/>
    <w:basedOn w:val="DefaultParagraphFont"/>
    <w:rsid w:val="007B3B19"/>
  </w:style>
  <w:style w:type="character" w:customStyle="1" w:styleId="eop">
    <w:name w:val="eop"/>
    <w:basedOn w:val="DefaultParagraphFont"/>
    <w:rsid w:val="007B3B19"/>
  </w:style>
  <w:style w:type="character" w:customStyle="1" w:styleId="HeaderChar">
    <w:name w:val="Header Char"/>
    <w:basedOn w:val="DefaultParagraphFont"/>
    <w:link w:val="Header"/>
    <w:uiPriority w:val="99"/>
    <w:rsid w:val="00B00957"/>
    <w:rPr>
      <w:rFonts w:ascii="Times New Roman" w:hAnsi="Times New Roman" w:cs="Times New Roman"/>
      <w:sz w:val="24"/>
      <w:lang w:val="hu-HU"/>
    </w:rPr>
  </w:style>
  <w:style w:type="character" w:customStyle="1" w:styleId="FooterChar">
    <w:name w:val="Footer Char"/>
    <w:basedOn w:val="DefaultParagraphFont"/>
    <w:link w:val="Footer"/>
    <w:uiPriority w:val="99"/>
    <w:rsid w:val="00B00957"/>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0095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00957"/>
    <w:pPr>
      <w:spacing w:before="0"/>
      <w:jc w:val="right"/>
    </w:pPr>
    <w:rPr>
      <w:sz w:val="28"/>
    </w:rPr>
  </w:style>
  <w:style w:type="paragraph" w:customStyle="1" w:styleId="FooterSensitivity">
    <w:name w:val="Footer Sensitivity"/>
    <w:basedOn w:val="Normal"/>
    <w:rsid w:val="00B0095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00957"/>
    <w:pPr>
      <w:tabs>
        <w:tab w:val="center" w:pos="4535"/>
        <w:tab w:val="right" w:pos="9071"/>
      </w:tabs>
      <w:spacing w:before="0"/>
    </w:pPr>
  </w:style>
  <w:style w:type="paragraph" w:customStyle="1" w:styleId="HeaderLandscape">
    <w:name w:val="HeaderLandscape"/>
    <w:basedOn w:val="Normal"/>
    <w:rsid w:val="00B00957"/>
    <w:pPr>
      <w:tabs>
        <w:tab w:val="center" w:pos="7285"/>
        <w:tab w:val="right" w:pos="14003"/>
      </w:tabs>
      <w:spacing w:before="0"/>
    </w:pPr>
  </w:style>
  <w:style w:type="paragraph" w:styleId="Footer">
    <w:name w:val="footer"/>
    <w:basedOn w:val="Normal"/>
    <w:link w:val="FooterChar"/>
    <w:uiPriority w:val="99"/>
    <w:unhideWhenUsed/>
    <w:rsid w:val="00B0095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0095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3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dir/2006/11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D0A4-4C1F-4F41-BB72-816942E6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9</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cp:lastPrinted>2025-04-30T13:17:00Z</cp:lastPrinted>
  <dcterms:created xsi:type="dcterms:W3CDTF">2025-06-24T13:11:00Z</dcterms:created>
  <dcterms:modified xsi:type="dcterms:W3CDTF">2025-07-10T08:59:00Z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2025-04-30T10:30:09Z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e641b263-0c7a-41d5-b9d5-b8968c9020a4</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