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8C413" w14:textId="3EEA1299" w:rsidR="00F10E48" w:rsidRDefault="002143A0" w:rsidP="002143A0">
      <w:pPr>
        <w:pStyle w:val="Pagedecouverture"/>
        <w:rPr>
          <w:noProof/>
        </w:rPr>
      </w:pPr>
      <w:bookmarkStart w:id="0" w:name="LW_BM_COVERPAGE"/>
      <w:r>
        <w:rPr>
          <w:noProof/>
        </w:rPr>
        <w:pict w14:anchorId="1A9D2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7E09C0-3966-41DE-A15A-AFA4A5763933" style="width:455.25pt;height:336.75pt">
            <v:imagedata r:id="rId11" o:title=""/>
          </v:shape>
        </w:pict>
      </w:r>
    </w:p>
    <w:bookmarkEnd w:id="0"/>
    <w:p w14:paraId="44A1065F" w14:textId="1167333B" w:rsidR="00610D60" w:rsidRPr="00610D60" w:rsidRDefault="00610D60" w:rsidP="00610D60">
      <w:pPr>
        <w:pStyle w:val="Pagedecouverture"/>
        <w:rPr>
          <w:noProof/>
        </w:rPr>
        <w:sectPr w:rsidR="00610D60" w:rsidRPr="00610D60" w:rsidSect="002143A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EF8A220" w14:textId="07A112E8" w:rsidR="008164D1" w:rsidRDefault="7AD20ED8">
      <w:pPr>
        <w:rPr>
          <w:rFonts w:cs="Times New Roman"/>
          <w:b/>
          <w:bCs/>
          <w:noProof/>
          <w:sz w:val="32"/>
          <w:szCs w:val="32"/>
        </w:rPr>
      </w:pPr>
      <w:bookmarkStart w:id="1" w:name="_Hlk174526930"/>
      <w:bookmarkStart w:id="2" w:name="_GoBack"/>
      <w:bookmarkEnd w:id="2"/>
      <w:r>
        <w:rPr>
          <w:b/>
          <w:noProof/>
          <w:sz w:val="32"/>
        </w:rPr>
        <w:lastRenderedPageBreak/>
        <w:t xml:space="preserve">Fogalommeghatározások </w:t>
      </w:r>
    </w:p>
    <w:tbl>
      <w:tblPr>
        <w:tblStyle w:val="TabelrasterTNO1"/>
        <w:tblW w:w="9776" w:type="dxa"/>
        <w:tblLook w:val="04A0" w:firstRow="1" w:lastRow="0" w:firstColumn="1" w:lastColumn="0" w:noHBand="0" w:noVBand="1"/>
      </w:tblPr>
      <w:tblGrid>
        <w:gridCol w:w="1823"/>
        <w:gridCol w:w="7953"/>
      </w:tblGrid>
      <w:tr w:rsidR="008164D1" w:rsidRPr="00C92854" w14:paraId="20C55257" w14:textId="77777777" w:rsidTr="00280935">
        <w:trPr>
          <w:trHeight w:val="183"/>
        </w:trPr>
        <w:tc>
          <w:tcPr>
            <w:tcW w:w="1696" w:type="dxa"/>
            <w:tcBorders>
              <w:bottom w:val="single" w:sz="4" w:space="0" w:color="auto"/>
            </w:tcBorders>
            <w:shd w:val="clear" w:color="auto" w:fill="F2F2F2" w:themeFill="background1" w:themeFillShade="F2"/>
          </w:tcPr>
          <w:p w14:paraId="1EDFDE49" w14:textId="77777777" w:rsidR="008164D1" w:rsidRPr="00C92854" w:rsidRDefault="7AD20ED8" w:rsidP="682B9576">
            <w:pPr>
              <w:jc w:val="center"/>
              <w:rPr>
                <w:rFonts w:eastAsia="Calibri"/>
                <w:b/>
                <w:bCs/>
                <w:i/>
                <w:iCs/>
                <w:noProof/>
                <w:sz w:val="24"/>
                <w:szCs w:val="24"/>
              </w:rPr>
            </w:pPr>
            <w:r>
              <w:rPr>
                <w:b/>
                <w:i/>
                <w:noProof/>
                <w:sz w:val="24"/>
              </w:rPr>
              <w:t xml:space="preserve">Fogalom </w:t>
            </w:r>
          </w:p>
        </w:tc>
        <w:tc>
          <w:tcPr>
            <w:tcW w:w="8080" w:type="dxa"/>
            <w:tcBorders>
              <w:bottom w:val="single" w:sz="4" w:space="0" w:color="auto"/>
            </w:tcBorders>
            <w:shd w:val="clear" w:color="auto" w:fill="F2F2F2" w:themeFill="background1" w:themeFillShade="F2"/>
          </w:tcPr>
          <w:p w14:paraId="0D5F6C2A" w14:textId="77777777" w:rsidR="008164D1" w:rsidRPr="00C92854" w:rsidRDefault="7AD20ED8" w:rsidP="682B9576">
            <w:pPr>
              <w:jc w:val="both"/>
              <w:rPr>
                <w:rFonts w:eastAsia="Calibri"/>
                <w:b/>
                <w:bCs/>
                <w:i/>
                <w:iCs/>
                <w:noProof/>
                <w:sz w:val="24"/>
                <w:szCs w:val="24"/>
              </w:rPr>
            </w:pPr>
            <w:r>
              <w:rPr>
                <w:b/>
                <w:i/>
                <w:noProof/>
                <w:sz w:val="24"/>
              </w:rPr>
              <w:t>Jelentés vagy meghatározás</w:t>
            </w:r>
          </w:p>
        </w:tc>
      </w:tr>
      <w:tr w:rsidR="008164D1" w:rsidRPr="00C92854" w14:paraId="57C4F124"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4CF4873B" w14:textId="77777777" w:rsidR="008164D1" w:rsidRPr="00C92854" w:rsidRDefault="7AD20ED8" w:rsidP="682B9576">
            <w:pPr>
              <w:rPr>
                <w:rFonts w:eastAsia="Calibri"/>
                <w:noProof/>
                <w:sz w:val="24"/>
                <w:szCs w:val="24"/>
              </w:rPr>
            </w:pPr>
            <w:r>
              <w:rPr>
                <w:noProof/>
                <w:sz w:val="24"/>
              </w:rPr>
              <w:t>1971. évi Hágai Egyezmény</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BF4C20A" w14:textId="77777777" w:rsidR="008164D1" w:rsidRPr="00C92854" w:rsidRDefault="002143A0" w:rsidP="682B9576">
            <w:pPr>
              <w:jc w:val="both"/>
              <w:rPr>
                <w:rFonts w:eastAsia="Calibri"/>
                <w:noProof/>
                <w:sz w:val="24"/>
                <w:szCs w:val="24"/>
              </w:rPr>
            </w:pPr>
            <w:hyperlink r:id="rId18" w:history="1">
              <w:r w:rsidR="00BF1960">
                <w:rPr>
                  <w:rStyle w:val="Hyperlink"/>
                  <w:noProof/>
                  <w:sz w:val="24"/>
                </w:rPr>
                <w:t>A Hágai Nemzetközi Magánjogi Konferencia 1971. május 4-i egyezménye a közlekedési balesetekre alkalmazandó jogról</w:t>
              </w:r>
            </w:hyperlink>
            <w:r w:rsidR="00BF1960">
              <w:rPr>
                <w:noProof/>
              </w:rPr>
              <w:t>.</w:t>
            </w:r>
            <w:r w:rsidR="00BF1960">
              <w:rPr>
                <w:noProof/>
                <w:sz w:val="24"/>
              </w:rPr>
              <w:t xml:space="preserve"> </w:t>
            </w:r>
          </w:p>
        </w:tc>
      </w:tr>
      <w:tr w:rsidR="008164D1" w:rsidRPr="00C92854" w14:paraId="0F065377"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3D87C99B" w14:textId="77777777" w:rsidR="008164D1" w:rsidRPr="00C92854" w:rsidRDefault="7AD20ED8" w:rsidP="682B9576">
            <w:pPr>
              <w:rPr>
                <w:rFonts w:eastAsia="Calibri"/>
                <w:noProof/>
                <w:sz w:val="24"/>
                <w:szCs w:val="24"/>
              </w:rPr>
            </w:pPr>
            <w:r>
              <w:rPr>
                <w:noProof/>
                <w:sz w:val="24"/>
              </w:rPr>
              <w:t>2021. évi tanulmány</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67C042C9" w14:textId="3F96BE7A" w:rsidR="00D52556" w:rsidRDefault="002143A0" w:rsidP="6AD07731">
            <w:pPr>
              <w:jc w:val="both"/>
              <w:rPr>
                <w:rFonts w:eastAsia="Calibri"/>
                <w:noProof/>
                <w:sz w:val="24"/>
                <w:szCs w:val="24"/>
              </w:rPr>
            </w:pPr>
            <w:hyperlink r:id="rId19" w:history="1">
              <w:r w:rsidR="00BF1960">
                <w:rPr>
                  <w:rStyle w:val="Hyperlink"/>
                  <w:noProof/>
                  <w:sz w:val="24"/>
                </w:rPr>
                <w:t>A British Institute of International and Comparative Law és a Civic Consulting tanulmánya a szerződésen kívüli kötelmi viszonyokra alkalmazandó jogról szóló 864/2007/EK Róma II. rendeletről.</w:t>
              </w:r>
            </w:hyperlink>
            <w:r w:rsidR="00BF1960">
              <w:rPr>
                <w:noProof/>
                <w:sz w:val="24"/>
              </w:rPr>
              <w:t xml:space="preserve"> A tanulmány értékeli a Róma II. rendelet 2010–2020 közötti alkalmazása során szerzett gyakorlati tapasztalatokat és értelmezési problémákat. </w:t>
            </w:r>
          </w:p>
          <w:p w14:paraId="04175AE2" w14:textId="428E0AC2" w:rsidR="008164D1" w:rsidRPr="00C92854" w:rsidRDefault="7AD20ED8" w:rsidP="682B9576">
            <w:pPr>
              <w:jc w:val="both"/>
              <w:rPr>
                <w:rFonts w:eastAsia="Calibri"/>
                <w:noProof/>
                <w:sz w:val="24"/>
                <w:szCs w:val="24"/>
              </w:rPr>
            </w:pPr>
            <w:r>
              <w:rPr>
                <w:noProof/>
                <w:sz w:val="24"/>
              </w:rPr>
              <w:t>Az összefoglaló az e jelentést kísérő bizottsági szolgálati munkadokumentum 2. szakaszában található.</w:t>
            </w:r>
          </w:p>
        </w:tc>
      </w:tr>
      <w:tr w:rsidR="008164D1" w:rsidRPr="00C92854" w14:paraId="03546C39" w14:textId="77777777" w:rsidTr="00280935">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00BCBB06" w14:textId="77777777" w:rsidR="008164D1" w:rsidRPr="00C92854" w:rsidRDefault="7AD20ED8" w:rsidP="006C2B68">
            <w:pPr>
              <w:rPr>
                <w:rFonts w:eastAsia="Calibri"/>
                <w:noProof/>
                <w:sz w:val="24"/>
                <w:szCs w:val="24"/>
              </w:rPr>
            </w:pPr>
            <w:r>
              <w:rPr>
                <w:noProof/>
                <w:sz w:val="24"/>
              </w:rPr>
              <w:t xml:space="preserve">2023. évi kérdőív </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5F90E5" w14:textId="77777777" w:rsidR="008164D1" w:rsidRPr="00C92854" w:rsidRDefault="7AD20ED8" w:rsidP="006C2B68">
            <w:pPr>
              <w:jc w:val="both"/>
              <w:rPr>
                <w:noProof/>
                <w:sz w:val="24"/>
                <w:szCs w:val="24"/>
              </w:rPr>
            </w:pPr>
            <w:r>
              <w:rPr>
                <w:noProof/>
                <w:sz w:val="24"/>
              </w:rPr>
              <w:t xml:space="preserve">Kérdőív, amelyet 2023-ban küldtek meg az uniós tagállamoknak, hogy naprakész információkat gyűjtsenek a Róma II. rendelet alkalmazásáról. </w:t>
            </w:r>
          </w:p>
          <w:p w14:paraId="6446987A" w14:textId="5E3F9C53" w:rsidR="008164D1" w:rsidRPr="00C92854" w:rsidRDefault="7AD20ED8" w:rsidP="006C2B68">
            <w:pPr>
              <w:jc w:val="both"/>
              <w:rPr>
                <w:noProof/>
                <w:sz w:val="24"/>
                <w:szCs w:val="24"/>
              </w:rPr>
            </w:pPr>
            <w:r>
              <w:rPr>
                <w:noProof/>
                <w:sz w:val="24"/>
              </w:rPr>
              <w:t>Lásd a bizottsági szolgálati munkadokumentum 3. szakaszát.</w:t>
            </w:r>
          </w:p>
        </w:tc>
      </w:tr>
      <w:tr w:rsidR="22BBA727" w:rsidRPr="00C92854" w14:paraId="5DB786CB" w14:textId="77777777" w:rsidTr="00280935">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501AAC" w14:textId="66518BF3" w:rsidR="5236B655" w:rsidRPr="00C92854" w:rsidRDefault="435CDC68" w:rsidP="22BBA727">
            <w:pPr>
              <w:rPr>
                <w:rFonts w:eastAsia="Calibri"/>
                <w:noProof/>
                <w:sz w:val="24"/>
                <w:szCs w:val="24"/>
              </w:rPr>
            </w:pPr>
            <w:r>
              <w:rPr>
                <w:noProof/>
                <w:sz w:val="24"/>
              </w:rPr>
              <w:t>A közéleti részvételt akadályozó stratégiai perek elleni irányelv</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FAF7903" w14:textId="3B193F7E" w:rsidR="0568066A" w:rsidRPr="00C92854" w:rsidRDefault="73E7A9E2" w:rsidP="22BBA727">
            <w:pPr>
              <w:jc w:val="both"/>
              <w:rPr>
                <w:noProof/>
                <w:sz w:val="24"/>
                <w:szCs w:val="24"/>
              </w:rPr>
            </w:pPr>
            <w:r>
              <w:rPr>
                <w:noProof/>
                <w:sz w:val="24"/>
              </w:rPr>
              <w:t>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w:t>
            </w:r>
          </w:p>
        </w:tc>
      </w:tr>
      <w:tr w:rsidR="008164D1" w:rsidRPr="00C92854" w14:paraId="23E59E46"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C86966" w14:textId="5317CB39" w:rsidR="008164D1" w:rsidRPr="00C92854" w:rsidRDefault="7AD20ED8" w:rsidP="682B9576">
            <w:pPr>
              <w:rPr>
                <w:rFonts w:eastAsia="Calibri"/>
                <w:noProof/>
                <w:sz w:val="24"/>
                <w:szCs w:val="24"/>
              </w:rPr>
            </w:pPr>
            <w:r>
              <w:rPr>
                <w:noProof/>
                <w:sz w:val="24"/>
              </w:rPr>
              <w:t>Brüsszel Ia. rendelet</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B804BB8" w14:textId="77777777" w:rsidR="008164D1" w:rsidRPr="00C92854" w:rsidRDefault="7AD20ED8" w:rsidP="682B9576">
            <w:pPr>
              <w:jc w:val="both"/>
              <w:rPr>
                <w:rFonts w:eastAsia="Calibri"/>
                <w:noProof/>
                <w:sz w:val="24"/>
                <w:szCs w:val="24"/>
              </w:rPr>
            </w:pPr>
            <w:r>
              <w:rPr>
                <w:noProof/>
                <w:sz w:val="24"/>
              </w:rPr>
              <w:t xml:space="preserve">Az Európai Parlament és a Tanács 1215/2012/EU rendelete (2012. december 12.) a polgári és kereskedelmi ügyekben a joghatóságról, valamint a határozatok elismeréséről és végrehajtásáról (átdolgozás), HL L 351., 2012.12.20., 1. o. </w:t>
            </w:r>
          </w:p>
        </w:tc>
      </w:tr>
      <w:tr w:rsidR="008164D1" w:rsidRPr="00C92854" w14:paraId="5EAB39B9"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F5A165" w14:textId="77777777" w:rsidR="008164D1" w:rsidRPr="00C92854" w:rsidRDefault="7AD20ED8" w:rsidP="006C2B68">
            <w:pPr>
              <w:rPr>
                <w:rFonts w:eastAsia="Calibri"/>
                <w:noProof/>
                <w:sz w:val="24"/>
                <w:szCs w:val="24"/>
              </w:rPr>
            </w:pPr>
            <w:r>
              <w:rPr>
                <w:noProof/>
                <w:sz w:val="24"/>
              </w:rPr>
              <w:t>EUB</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C3D81D8" w14:textId="77777777" w:rsidR="008164D1" w:rsidRPr="00C92854" w:rsidRDefault="7AD20ED8" w:rsidP="006C2B68">
            <w:pPr>
              <w:jc w:val="both"/>
              <w:rPr>
                <w:rFonts w:eastAsia="Calibri"/>
                <w:noProof/>
                <w:sz w:val="24"/>
                <w:szCs w:val="24"/>
              </w:rPr>
            </w:pPr>
            <w:r>
              <w:rPr>
                <w:noProof/>
                <w:sz w:val="24"/>
              </w:rPr>
              <w:t>Az Európai Unió Bírósága.</w:t>
            </w:r>
          </w:p>
        </w:tc>
      </w:tr>
      <w:tr w:rsidR="00C97130" w:rsidRPr="00C92854" w14:paraId="62E3F943"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08BAB1" w14:textId="3679537B" w:rsidR="00C97130" w:rsidRPr="00C92854" w:rsidRDefault="47B8DDFD" w:rsidP="00C97130">
            <w:pPr>
              <w:jc w:val="both"/>
              <w:rPr>
                <w:rFonts w:eastAsia="Calibri"/>
                <w:noProof/>
                <w:sz w:val="24"/>
                <w:szCs w:val="24"/>
              </w:rPr>
            </w:pPr>
            <w:r>
              <w:rPr>
                <w:noProof/>
                <w:sz w:val="24"/>
              </w:rPr>
              <w:t>EU</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6EED166" w14:textId="08B570B8" w:rsidR="00C97130" w:rsidRPr="00C92854" w:rsidRDefault="47B8DDFD" w:rsidP="00C97130">
            <w:pPr>
              <w:jc w:val="both"/>
              <w:rPr>
                <w:rFonts w:eastAsia="Calibri"/>
                <w:noProof/>
                <w:sz w:val="24"/>
                <w:szCs w:val="24"/>
              </w:rPr>
            </w:pPr>
            <w:r>
              <w:rPr>
                <w:noProof/>
                <w:sz w:val="24"/>
              </w:rPr>
              <w:t>Az Európai Unió.</w:t>
            </w:r>
          </w:p>
        </w:tc>
      </w:tr>
      <w:tr w:rsidR="001E55F3" w:rsidRPr="00C92854" w14:paraId="6057FD1B" w14:textId="77777777" w:rsidTr="00280935">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E8BC9E" w14:textId="00DBFED7" w:rsidR="001E55F3" w:rsidRPr="00C92854" w:rsidRDefault="04D1926A" w:rsidP="00C97130">
            <w:pPr>
              <w:jc w:val="both"/>
              <w:rPr>
                <w:rFonts w:eastAsia="Calibri"/>
                <w:noProof/>
                <w:sz w:val="24"/>
                <w:szCs w:val="24"/>
              </w:rPr>
            </w:pPr>
            <w:r>
              <w:rPr>
                <w:noProof/>
                <w:sz w:val="24"/>
              </w:rPr>
              <w:t>Általános adatvédelmi rendelet</w:t>
            </w: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98AE00" w14:textId="7122DF9B" w:rsidR="001E55F3" w:rsidRPr="00C92854" w:rsidRDefault="470000BA" w:rsidP="00C97130">
            <w:pPr>
              <w:jc w:val="both"/>
              <w:rPr>
                <w:rFonts w:eastAsia="Calibri"/>
                <w:noProof/>
                <w:sz w:val="24"/>
                <w:szCs w:val="24"/>
              </w:rPr>
            </w:pPr>
            <w:r>
              <w:rPr>
                <w:noProof/>
                <w:sz w:val="24"/>
              </w:rPr>
              <w:t>Az Európai Parlament és a Tanács (EU) 2016/679 rendelete (2016. április 27.) a természetes személyeknek a személyes adatok kezelése tekintetében történő védelméről és az ilyen adatok szabad áramlásáról, HL L 119., 2016.5.4., 1. o.</w:t>
            </w:r>
          </w:p>
        </w:tc>
      </w:tr>
      <w:tr w:rsidR="008164D1" w:rsidRPr="00C92854" w14:paraId="51D95F2A" w14:textId="77777777" w:rsidTr="00280935">
        <w:tc>
          <w:tcPr>
            <w:tcW w:w="1696" w:type="dxa"/>
            <w:tcBorders>
              <w:top w:val="single" w:sz="4" w:space="0" w:color="auto"/>
              <w:bottom w:val="single" w:sz="4" w:space="0" w:color="auto"/>
            </w:tcBorders>
            <w:shd w:val="clear" w:color="auto" w:fill="FFFFFF" w:themeFill="background1"/>
          </w:tcPr>
          <w:p w14:paraId="052728A5" w14:textId="77777777" w:rsidR="008164D1" w:rsidRPr="00C92854" w:rsidRDefault="7AD20ED8" w:rsidP="682B9576">
            <w:pPr>
              <w:rPr>
                <w:rFonts w:eastAsia="Calibri"/>
                <w:noProof/>
                <w:sz w:val="24"/>
                <w:szCs w:val="24"/>
              </w:rPr>
            </w:pPr>
            <w:r>
              <w:rPr>
                <w:noProof/>
                <w:sz w:val="24"/>
              </w:rPr>
              <w:t>Tagállam(ok)</w:t>
            </w:r>
          </w:p>
        </w:tc>
        <w:tc>
          <w:tcPr>
            <w:tcW w:w="8080" w:type="dxa"/>
            <w:tcBorders>
              <w:top w:val="single" w:sz="4" w:space="0" w:color="auto"/>
              <w:bottom w:val="single" w:sz="4" w:space="0" w:color="auto"/>
            </w:tcBorders>
            <w:shd w:val="clear" w:color="auto" w:fill="FFFFFF" w:themeFill="background1"/>
          </w:tcPr>
          <w:p w14:paraId="4A4EF352" w14:textId="77777777" w:rsidR="008164D1" w:rsidRPr="00C92854" w:rsidRDefault="7AD20ED8" w:rsidP="682B9576">
            <w:pPr>
              <w:jc w:val="both"/>
              <w:rPr>
                <w:rFonts w:eastAsia="Calibri"/>
                <w:noProof/>
                <w:sz w:val="24"/>
                <w:szCs w:val="24"/>
              </w:rPr>
            </w:pPr>
            <w:r>
              <w:rPr>
                <w:noProof/>
                <w:sz w:val="24"/>
              </w:rPr>
              <w:t>Az Európai Unió tagállama(i).</w:t>
            </w:r>
          </w:p>
        </w:tc>
      </w:tr>
      <w:tr w:rsidR="00761DCD" w:rsidRPr="00C92854" w14:paraId="40D129B9" w14:textId="77777777" w:rsidTr="00280935">
        <w:tc>
          <w:tcPr>
            <w:tcW w:w="1696" w:type="dxa"/>
            <w:tcBorders>
              <w:top w:val="single" w:sz="4" w:space="0" w:color="auto"/>
              <w:bottom w:val="single" w:sz="4" w:space="0" w:color="auto"/>
            </w:tcBorders>
            <w:shd w:val="clear" w:color="auto" w:fill="FFFFFF" w:themeFill="background1"/>
          </w:tcPr>
          <w:p w14:paraId="1B24A7F3" w14:textId="77777777" w:rsidR="00761DCD" w:rsidRPr="00C92854" w:rsidRDefault="00761DCD" w:rsidP="00761DCD">
            <w:pPr>
              <w:rPr>
                <w:rFonts w:eastAsia="Calibri"/>
                <w:noProof/>
                <w:sz w:val="24"/>
                <w:szCs w:val="24"/>
              </w:rPr>
            </w:pPr>
            <w:r>
              <w:rPr>
                <w:noProof/>
                <w:sz w:val="24"/>
              </w:rPr>
              <w:t>Róma I. rendelet</w:t>
            </w:r>
          </w:p>
        </w:tc>
        <w:tc>
          <w:tcPr>
            <w:tcW w:w="8080" w:type="dxa"/>
            <w:tcBorders>
              <w:top w:val="single" w:sz="4" w:space="0" w:color="auto"/>
              <w:bottom w:val="single" w:sz="4" w:space="0" w:color="auto"/>
            </w:tcBorders>
            <w:shd w:val="clear" w:color="auto" w:fill="FFFFFF" w:themeFill="background1"/>
          </w:tcPr>
          <w:p w14:paraId="684BD903" w14:textId="77777777" w:rsidR="00761DCD" w:rsidRPr="00C92854" w:rsidRDefault="00761DCD" w:rsidP="00761DCD">
            <w:pPr>
              <w:jc w:val="both"/>
              <w:rPr>
                <w:rFonts w:eastAsia="Calibri"/>
                <w:noProof/>
                <w:sz w:val="24"/>
                <w:szCs w:val="24"/>
              </w:rPr>
            </w:pPr>
            <w:r>
              <w:rPr>
                <w:noProof/>
                <w:sz w:val="24"/>
              </w:rPr>
              <w:t>Az Európai Parlament és a Tanács 593/2008/EK rendelete (2008. június 17.) a szerződéses kötelezettségekre alkalmazandó jogról (Róma I.),</w:t>
            </w:r>
            <w:r>
              <w:rPr>
                <w:i/>
                <w:noProof/>
                <w:color w:val="333333"/>
                <w:sz w:val="24"/>
                <w:shd w:val="clear" w:color="auto" w:fill="FFFFFF"/>
              </w:rPr>
              <w:t xml:space="preserve"> </w:t>
            </w:r>
            <w:r>
              <w:rPr>
                <w:noProof/>
                <w:sz w:val="24"/>
              </w:rPr>
              <w:t>HL L 177., 2008.7.4., 6. o.</w:t>
            </w:r>
          </w:p>
        </w:tc>
      </w:tr>
      <w:tr w:rsidR="00761DCD" w:rsidRPr="00C92854" w14:paraId="65CF4260" w14:textId="77777777" w:rsidTr="00280935">
        <w:tc>
          <w:tcPr>
            <w:tcW w:w="1696" w:type="dxa"/>
            <w:tcBorders>
              <w:top w:val="single" w:sz="4" w:space="0" w:color="auto"/>
              <w:bottom w:val="single" w:sz="4" w:space="0" w:color="auto"/>
            </w:tcBorders>
            <w:tcMar>
              <w:top w:w="85" w:type="dxa"/>
              <w:left w:w="57" w:type="dxa"/>
              <w:bottom w:w="85" w:type="dxa"/>
              <w:right w:w="57" w:type="dxa"/>
            </w:tcMar>
          </w:tcPr>
          <w:p w14:paraId="6341EB5E" w14:textId="52778EF2" w:rsidR="00761DCD" w:rsidRPr="00C92854" w:rsidRDefault="00761DCD" w:rsidP="00761DCD">
            <w:pPr>
              <w:rPr>
                <w:rFonts w:eastAsia="Calibri"/>
                <w:noProof/>
                <w:sz w:val="24"/>
                <w:szCs w:val="24"/>
              </w:rPr>
            </w:pPr>
            <w:r>
              <w:rPr>
                <w:noProof/>
                <w:sz w:val="24"/>
              </w:rPr>
              <w:t>Róma II. rendelet</w:t>
            </w:r>
          </w:p>
        </w:tc>
        <w:tc>
          <w:tcPr>
            <w:tcW w:w="8080" w:type="dxa"/>
            <w:tcBorders>
              <w:top w:val="single" w:sz="4" w:space="0" w:color="auto"/>
              <w:bottom w:val="single" w:sz="4" w:space="0" w:color="auto"/>
            </w:tcBorders>
            <w:shd w:val="clear" w:color="auto" w:fill="auto"/>
            <w:tcMar>
              <w:top w:w="85" w:type="dxa"/>
              <w:left w:w="57" w:type="dxa"/>
              <w:bottom w:w="85" w:type="dxa"/>
              <w:right w:w="57" w:type="dxa"/>
            </w:tcMar>
          </w:tcPr>
          <w:p w14:paraId="72EF6A55" w14:textId="77777777" w:rsidR="00761DCD" w:rsidRPr="00C92854" w:rsidRDefault="00761DCD" w:rsidP="00761DCD">
            <w:pPr>
              <w:jc w:val="both"/>
              <w:rPr>
                <w:rFonts w:eastAsia="Calibri"/>
                <w:noProof/>
                <w:sz w:val="24"/>
                <w:szCs w:val="24"/>
              </w:rPr>
            </w:pPr>
            <w:r>
              <w:rPr>
                <w:noProof/>
                <w:sz w:val="24"/>
              </w:rPr>
              <w:t>Az Európai Parlament és a Tanács 864/2007/EK rendelete (2007. július 11.) a szerződésen kívüli kötelmi viszonyokra alkalmazandó jogról („Róma II.”), HL L 199., 2007.7.31., 40. o.</w:t>
            </w:r>
          </w:p>
        </w:tc>
      </w:tr>
      <w:tr w:rsidR="00761DCD" w:rsidRPr="00C92854" w14:paraId="632F6571" w14:textId="77777777" w:rsidTr="00280935">
        <w:tc>
          <w:tcPr>
            <w:tcW w:w="1696" w:type="dxa"/>
            <w:tcBorders>
              <w:top w:val="single" w:sz="4" w:space="0" w:color="auto"/>
              <w:bottom w:val="single" w:sz="4" w:space="0" w:color="auto"/>
            </w:tcBorders>
            <w:tcMar>
              <w:top w:w="85" w:type="dxa"/>
              <w:left w:w="57" w:type="dxa"/>
              <w:bottom w:w="85" w:type="dxa"/>
              <w:right w:w="57" w:type="dxa"/>
            </w:tcMar>
          </w:tcPr>
          <w:p w14:paraId="2523B7DE" w14:textId="301A0433" w:rsidR="00761DCD" w:rsidRPr="00C92854" w:rsidRDefault="00761DCD" w:rsidP="00761DCD">
            <w:pPr>
              <w:rPr>
                <w:rFonts w:eastAsia="Calibri"/>
                <w:noProof/>
                <w:sz w:val="24"/>
                <w:szCs w:val="24"/>
              </w:rPr>
            </w:pPr>
            <w:r>
              <w:rPr>
                <w:noProof/>
                <w:sz w:val="24"/>
              </w:rPr>
              <w:t>Stratégiai per</w:t>
            </w:r>
          </w:p>
        </w:tc>
        <w:tc>
          <w:tcPr>
            <w:tcW w:w="8080" w:type="dxa"/>
            <w:tcBorders>
              <w:top w:val="single" w:sz="4" w:space="0" w:color="auto"/>
              <w:bottom w:val="single" w:sz="4" w:space="0" w:color="auto"/>
            </w:tcBorders>
            <w:shd w:val="clear" w:color="auto" w:fill="auto"/>
            <w:tcMar>
              <w:top w:w="85" w:type="dxa"/>
              <w:left w:w="57" w:type="dxa"/>
              <w:bottom w:w="85" w:type="dxa"/>
              <w:right w:w="57" w:type="dxa"/>
            </w:tcMar>
          </w:tcPr>
          <w:p w14:paraId="6651978A" w14:textId="1C5A10B1" w:rsidR="00761DCD" w:rsidRPr="00C92854" w:rsidRDefault="00761DCD" w:rsidP="00761DCD">
            <w:pPr>
              <w:jc w:val="both"/>
              <w:rPr>
                <w:rFonts w:eastAsia="Calibri"/>
                <w:noProof/>
                <w:sz w:val="24"/>
                <w:szCs w:val="24"/>
              </w:rPr>
            </w:pPr>
            <w:r>
              <w:rPr>
                <w:noProof/>
                <w:sz w:val="24"/>
              </w:rPr>
              <w:t>A közéleti részvételt akadályozó stratégiai per.</w:t>
            </w:r>
          </w:p>
        </w:tc>
      </w:tr>
      <w:tr w:rsidR="00761DCD" w:rsidRPr="00C92854" w14:paraId="363511D3" w14:textId="77777777" w:rsidTr="00280935">
        <w:tc>
          <w:tcPr>
            <w:tcW w:w="1696" w:type="dxa"/>
            <w:tcBorders>
              <w:top w:val="single" w:sz="4" w:space="0" w:color="auto"/>
              <w:bottom w:val="single" w:sz="4" w:space="0" w:color="auto"/>
            </w:tcBorders>
            <w:tcMar>
              <w:top w:w="85" w:type="dxa"/>
              <w:left w:w="57" w:type="dxa"/>
              <w:bottom w:w="85" w:type="dxa"/>
              <w:right w:w="57" w:type="dxa"/>
            </w:tcMar>
          </w:tcPr>
          <w:p w14:paraId="5B3254AF" w14:textId="77777777" w:rsidR="00761DCD" w:rsidRPr="00C92854" w:rsidRDefault="00761DCD" w:rsidP="00761DCD">
            <w:pPr>
              <w:rPr>
                <w:rFonts w:eastAsia="Calibri"/>
                <w:noProof/>
                <w:sz w:val="24"/>
                <w:szCs w:val="24"/>
              </w:rPr>
            </w:pPr>
            <w:r>
              <w:rPr>
                <w:noProof/>
                <w:sz w:val="24"/>
              </w:rPr>
              <w:t>Tanulmány a külföldi jog alkalmazásáról</w:t>
            </w:r>
          </w:p>
        </w:tc>
        <w:tc>
          <w:tcPr>
            <w:tcW w:w="8080" w:type="dxa"/>
            <w:tcBorders>
              <w:top w:val="single" w:sz="4" w:space="0" w:color="auto"/>
              <w:bottom w:val="single" w:sz="4" w:space="0" w:color="auto"/>
            </w:tcBorders>
            <w:shd w:val="clear" w:color="auto" w:fill="auto"/>
            <w:tcMar>
              <w:top w:w="85" w:type="dxa"/>
              <w:left w:w="57" w:type="dxa"/>
              <w:bottom w:w="85" w:type="dxa"/>
              <w:right w:w="57" w:type="dxa"/>
            </w:tcMar>
          </w:tcPr>
          <w:p w14:paraId="1D8F4054" w14:textId="77777777" w:rsidR="00761DCD" w:rsidRDefault="002143A0" w:rsidP="00761DCD">
            <w:pPr>
              <w:jc w:val="both"/>
              <w:rPr>
                <w:rStyle w:val="Hyperlink"/>
                <w:rFonts w:eastAsia="Calibri"/>
                <w:noProof/>
                <w:sz w:val="24"/>
                <w:szCs w:val="24"/>
              </w:rPr>
            </w:pPr>
            <w:hyperlink r:id="rId20" w:history="1">
              <w:r w:rsidR="00BF1960">
                <w:rPr>
                  <w:rStyle w:val="Hyperlink"/>
                  <w:noProof/>
                  <w:sz w:val="24"/>
                </w:rPr>
                <w:t>A Svájci Összehasonlító Jogtudományi Intézet 2011. évi tanulmánya a polgári ügyekben a külföldi jog uniós tagállamokban történő alkalmazásáról és annak jövőbeli kilátásairól.</w:t>
              </w:r>
            </w:hyperlink>
            <w:r w:rsidR="00BF1960">
              <w:rPr>
                <w:rStyle w:val="Hyperlink"/>
                <w:noProof/>
                <w:sz w:val="24"/>
              </w:rPr>
              <w:t xml:space="preserve"> </w:t>
            </w:r>
          </w:p>
          <w:p w14:paraId="34E7A86C" w14:textId="495D12EA" w:rsidR="00761DCD" w:rsidRPr="00C92854" w:rsidRDefault="00761DCD" w:rsidP="00761DCD">
            <w:pPr>
              <w:jc w:val="both"/>
              <w:rPr>
                <w:rFonts w:eastAsia="Calibri"/>
                <w:noProof/>
                <w:sz w:val="24"/>
                <w:szCs w:val="24"/>
              </w:rPr>
            </w:pPr>
            <w:r>
              <w:rPr>
                <w:noProof/>
                <w:sz w:val="24"/>
              </w:rPr>
              <w:t>Az összefoglaló bizottsági szolgálati munkadokumentum 2. szakaszában található.</w:t>
            </w:r>
          </w:p>
        </w:tc>
      </w:tr>
      <w:tr w:rsidR="00761DCD" w:rsidRPr="00C92854" w14:paraId="72318AFF" w14:textId="77777777" w:rsidTr="00280935">
        <w:tc>
          <w:tcPr>
            <w:tcW w:w="1696" w:type="dxa"/>
            <w:tcBorders>
              <w:top w:val="single" w:sz="4" w:space="0" w:color="auto"/>
              <w:bottom w:val="single" w:sz="4" w:space="0" w:color="auto"/>
            </w:tcBorders>
            <w:tcMar>
              <w:top w:w="85" w:type="dxa"/>
              <w:left w:w="57" w:type="dxa"/>
              <w:bottom w:w="85" w:type="dxa"/>
              <w:right w:w="57" w:type="dxa"/>
            </w:tcMar>
          </w:tcPr>
          <w:p w14:paraId="2CF99648" w14:textId="77777777" w:rsidR="00761DCD" w:rsidRPr="00C92854" w:rsidRDefault="00761DCD" w:rsidP="00761DCD">
            <w:pPr>
              <w:rPr>
                <w:rFonts w:eastAsia="Calibri"/>
                <w:noProof/>
                <w:sz w:val="24"/>
                <w:szCs w:val="24"/>
              </w:rPr>
            </w:pPr>
            <w:r>
              <w:rPr>
                <w:noProof/>
                <w:sz w:val="24"/>
              </w:rPr>
              <w:t xml:space="preserve">Tanulmány a magánélet védelméről </w:t>
            </w:r>
          </w:p>
        </w:tc>
        <w:tc>
          <w:tcPr>
            <w:tcW w:w="8080" w:type="dxa"/>
            <w:tcBorders>
              <w:top w:val="single" w:sz="4" w:space="0" w:color="auto"/>
              <w:bottom w:val="single" w:sz="4" w:space="0" w:color="auto"/>
            </w:tcBorders>
            <w:shd w:val="clear" w:color="auto" w:fill="auto"/>
            <w:tcMar>
              <w:top w:w="85" w:type="dxa"/>
              <w:left w:w="57" w:type="dxa"/>
              <w:bottom w:w="85" w:type="dxa"/>
              <w:right w:w="57" w:type="dxa"/>
            </w:tcMar>
          </w:tcPr>
          <w:p w14:paraId="7668E0D3" w14:textId="77777777" w:rsidR="00761DCD" w:rsidRDefault="002143A0" w:rsidP="00761DCD">
            <w:pPr>
              <w:jc w:val="both"/>
              <w:rPr>
                <w:rFonts w:eastAsia="Calibri"/>
                <w:noProof/>
                <w:sz w:val="24"/>
                <w:szCs w:val="24"/>
              </w:rPr>
            </w:pPr>
            <w:hyperlink r:id="rId21">
              <w:r w:rsidR="00BF1960">
                <w:rPr>
                  <w:rStyle w:val="Hyperlink"/>
                  <w:noProof/>
                  <w:sz w:val="24"/>
                </w:rPr>
                <w:t>A MainStrat 2009. évi tanulmánya: Összehasonlító tanulmány a 27 uniós tagállam helyzetéről a magánélet és a magánélethez fűződő jogok megsértésének következményeiből eredő, nem szerződéses kötelmi viszonyokra alkalmazandó jog tekintetében</w:t>
              </w:r>
            </w:hyperlink>
            <w:r w:rsidR="00BF1960">
              <w:rPr>
                <w:noProof/>
              </w:rPr>
              <w:t>.</w:t>
            </w:r>
            <w:r w:rsidR="00BF1960">
              <w:rPr>
                <w:noProof/>
                <w:sz w:val="24"/>
              </w:rPr>
              <w:t xml:space="preserve"> </w:t>
            </w:r>
          </w:p>
          <w:p w14:paraId="7E071EB2" w14:textId="12AB7107" w:rsidR="00761DCD" w:rsidRPr="00C92854" w:rsidRDefault="00761DCD" w:rsidP="00761DCD">
            <w:pPr>
              <w:jc w:val="both"/>
              <w:rPr>
                <w:rFonts w:eastAsia="Calibri"/>
                <w:noProof/>
                <w:sz w:val="24"/>
                <w:szCs w:val="24"/>
              </w:rPr>
            </w:pPr>
            <w:r>
              <w:rPr>
                <w:noProof/>
                <w:sz w:val="24"/>
              </w:rPr>
              <w:t>Az összefoglaló bizottsági szolgálati munkadokumentum 2. szakaszában található.</w:t>
            </w:r>
          </w:p>
        </w:tc>
      </w:tr>
      <w:tr w:rsidR="00761DCD" w:rsidRPr="00C92854" w14:paraId="248E1C5D" w14:textId="77777777" w:rsidTr="00280935">
        <w:tc>
          <w:tcPr>
            <w:tcW w:w="1696" w:type="dxa"/>
            <w:tcBorders>
              <w:top w:val="single" w:sz="4" w:space="0" w:color="auto"/>
              <w:bottom w:val="single" w:sz="4" w:space="0" w:color="auto"/>
            </w:tcBorders>
            <w:tcMar>
              <w:top w:w="85" w:type="dxa"/>
              <w:left w:w="57" w:type="dxa"/>
              <w:bottom w:w="85" w:type="dxa"/>
              <w:right w:w="57" w:type="dxa"/>
            </w:tcMar>
          </w:tcPr>
          <w:p w14:paraId="71AE4E0C" w14:textId="77777777" w:rsidR="00761DCD" w:rsidRPr="00C92854" w:rsidRDefault="00761DCD" w:rsidP="00761DCD">
            <w:pPr>
              <w:rPr>
                <w:rFonts w:eastAsia="Calibri"/>
                <w:noProof/>
                <w:sz w:val="24"/>
                <w:szCs w:val="24"/>
              </w:rPr>
            </w:pPr>
            <w:r>
              <w:rPr>
                <w:noProof/>
                <w:sz w:val="24"/>
              </w:rPr>
              <w:t>Tanulmány a közúti balesetekről</w:t>
            </w:r>
          </w:p>
        </w:tc>
        <w:tc>
          <w:tcPr>
            <w:tcW w:w="8080" w:type="dxa"/>
            <w:tcBorders>
              <w:top w:val="single" w:sz="4" w:space="0" w:color="auto"/>
              <w:bottom w:val="single" w:sz="4" w:space="0" w:color="auto"/>
            </w:tcBorders>
            <w:shd w:val="clear" w:color="auto" w:fill="auto"/>
            <w:tcMar>
              <w:top w:w="85" w:type="dxa"/>
              <w:left w:w="57" w:type="dxa"/>
              <w:bottom w:w="85" w:type="dxa"/>
              <w:right w:w="57" w:type="dxa"/>
            </w:tcMar>
          </w:tcPr>
          <w:p w14:paraId="46F5147A" w14:textId="77777777" w:rsidR="00761DCD" w:rsidRPr="00C92854" w:rsidRDefault="002143A0" w:rsidP="00761DCD">
            <w:pPr>
              <w:jc w:val="both"/>
              <w:rPr>
                <w:rFonts w:eastAsia="Calibri"/>
                <w:noProof/>
                <w:sz w:val="24"/>
                <w:szCs w:val="24"/>
              </w:rPr>
            </w:pPr>
            <w:hyperlink r:id="rId22" w:history="1">
              <w:r w:rsidR="00BF1960">
                <w:rPr>
                  <w:rStyle w:val="Hyperlink"/>
                  <w:noProof/>
                  <w:sz w:val="24"/>
                </w:rPr>
                <w:t>Demolin, Brulard, Barthelemy – Hoche 2009. évi tanulmánya – Az EU-n belüli, határokon átnyúló közúti balesetek áldozatainak kártalanítása:</w:t>
              </w:r>
            </w:hyperlink>
            <w:hyperlink r:id="rId23" w:history="1">
              <w:r w:rsidR="00BF1960">
                <w:rPr>
                  <w:rStyle w:val="Hyperlink"/>
                  <w:noProof/>
                  <w:sz w:val="24"/>
                </w:rPr>
                <w:t>A nemzeti gyakorlatok összehasonlítása, a problémák elemzése és a más országban áldozatul esett személyek helyzetének javítására irányuló lehetőségek értékelése</w:t>
              </w:r>
            </w:hyperlink>
            <w:r w:rsidR="00BF1960">
              <w:rPr>
                <w:noProof/>
              </w:rPr>
              <w:t>.</w:t>
            </w:r>
            <w:r w:rsidR="00BF1960">
              <w:rPr>
                <w:noProof/>
                <w:sz w:val="24"/>
              </w:rPr>
              <w:t xml:space="preserve"> </w:t>
            </w:r>
          </w:p>
          <w:p w14:paraId="431F585F" w14:textId="561BE119" w:rsidR="00761DCD" w:rsidRPr="00C92854" w:rsidRDefault="00761DCD" w:rsidP="00761DCD">
            <w:pPr>
              <w:jc w:val="both"/>
              <w:rPr>
                <w:rFonts w:eastAsia="Calibri"/>
                <w:noProof/>
                <w:sz w:val="24"/>
                <w:szCs w:val="24"/>
              </w:rPr>
            </w:pPr>
            <w:r>
              <w:rPr>
                <w:noProof/>
                <w:sz w:val="24"/>
              </w:rPr>
              <w:t>Az összefoglaló bizottsági szolgálati munkadokumentum 2. szakaszában található.</w:t>
            </w:r>
          </w:p>
        </w:tc>
      </w:tr>
    </w:tbl>
    <w:p w14:paraId="16E8A76B" w14:textId="75F138DB" w:rsidR="00151E3C" w:rsidRPr="002D313C" w:rsidRDefault="64A1FA92" w:rsidP="7A87F497">
      <w:pPr>
        <w:pStyle w:val="Heading1"/>
        <w:rPr>
          <w:noProof/>
        </w:rPr>
      </w:pPr>
      <w:r>
        <w:rPr>
          <w:noProof/>
        </w:rPr>
        <w:t xml:space="preserve">1. Bevezetés </w:t>
      </w:r>
    </w:p>
    <w:p w14:paraId="09D6F027" w14:textId="19E1F85F" w:rsidR="00CF03BF" w:rsidRDefault="27A87C7F" w:rsidP="00193098">
      <w:pPr>
        <w:spacing w:after="240" w:line="240" w:lineRule="auto"/>
        <w:jc w:val="both"/>
        <w:rPr>
          <w:rFonts w:cs="Times New Roman"/>
          <w:noProof/>
          <w:sz w:val="24"/>
          <w:szCs w:val="24"/>
        </w:rPr>
      </w:pPr>
      <w:r>
        <w:rPr>
          <w:noProof/>
        </w:rPr>
        <w:t xml:space="preserve">2007. július 11-én az Európai Unió elfogadta </w:t>
      </w:r>
      <w:hyperlink r:id="rId24">
        <w:r>
          <w:rPr>
            <w:rStyle w:val="Hyperlink"/>
            <w:noProof/>
            <w:sz w:val="24"/>
          </w:rPr>
          <w:t>a szerződésen kívüli kötelmi viszonyokra alkalmazandó jogról szóló 864/2007/EK rendeletet</w:t>
        </w:r>
      </w:hyperlink>
      <w:r>
        <w:rPr>
          <w:noProof/>
        </w:rPr>
        <w:t xml:space="preserve"> (a továbbiakban: Róma II. rendelet), amely harmonizálja a tagállamok szerződésen kívüli kötelmi viszonyokra vonatkozó kollíziós szabályait.</w:t>
      </w:r>
      <w:r>
        <w:rPr>
          <w:noProof/>
          <w:sz w:val="24"/>
        </w:rPr>
        <w:t xml:space="preserve"> A rendeletet 2009. január 11-től kell alkalmazni.</w:t>
      </w:r>
    </w:p>
    <w:p w14:paraId="2491FBDC" w14:textId="555EBE58" w:rsidR="0017628B" w:rsidRPr="000220D4" w:rsidRDefault="1873D0BE" w:rsidP="00193098">
      <w:pPr>
        <w:spacing w:after="240" w:line="240" w:lineRule="auto"/>
        <w:jc w:val="both"/>
        <w:rPr>
          <w:rFonts w:cs="Times New Roman"/>
          <w:noProof/>
          <w:sz w:val="24"/>
          <w:szCs w:val="24"/>
        </w:rPr>
      </w:pPr>
      <w:r>
        <w:rPr>
          <w:noProof/>
          <w:sz w:val="24"/>
        </w:rPr>
        <w:t>A Róma II. rendelet jogi keretet hoz létre annak meghatározására, hogy az EU-n belül mely nemzeti anyagi jogot kell alkalmazni a szerződésen kívüli kötelmi viszonyokat érintő, határokon átnyúló jogvitákban, különösen a jogellenes károkozás eseteiben. A Róma II. rendelet azáltal, hogy az EU-ban egységes kollíziós szabályokat ír elő, fokozza a jogbiztonságot, a kiszámíthatóságot és a méltányosságot az egynél több országot érintő polgári és kereskedelmi ügyekben. Anélkül, hogy megváltoztatná a tagállamok szerződésen kívüli kötelmi viszonyokra vonatkozó anyagi jogi szabályait, biztosítja, hogy ugyanaz az anyagi jog legyen alkalmazandó függetlenül attól, hogy az EU-ban hol indítanak keresetet. Ezek az elemek a Róma II. rendeletet az uniós kollíziós jogszabályok alapvető elemévé teszik, amely az egyre inkább összekapcsolódó európai kontextusban felmerülő kulcsfontosságú kérdésekkel foglalkozik, és biztosítja, hogy a szerződésen kívüli jogvitákat az egész EU-ban nagy fokú koherencia és következetesség mellett kezeljék.</w:t>
      </w:r>
    </w:p>
    <w:p w14:paraId="0E8BB582" w14:textId="2388CB90" w:rsidR="00546B61" w:rsidRDefault="702A2773" w:rsidP="00193098">
      <w:pPr>
        <w:spacing w:after="240" w:line="240" w:lineRule="auto"/>
        <w:jc w:val="both"/>
        <w:rPr>
          <w:rFonts w:cs="Times New Roman"/>
          <w:noProof/>
          <w:sz w:val="24"/>
          <w:szCs w:val="24"/>
        </w:rPr>
      </w:pPr>
      <w:bookmarkStart w:id="3" w:name="_Hlk178332890"/>
      <w:r>
        <w:rPr>
          <w:noProof/>
          <w:sz w:val="24"/>
        </w:rPr>
        <w:t xml:space="preserve">Ez a jelentés bemutatja a rendelet 2009 óta történő alkalmazásának első általános értékelését, amely többek között számos tanulmányra, az EUB és a nemzeti bíróságok ítélkezési gyakorlatának felülvizsgálatára, egyéb konzultációkra, valamint tudományos és egyéb jelentésekre támaszkodik. A meghosszabbított értékelési időszak lehetővé tette a Bizottság számára, hogy elegendő tapasztalatot gyűjtsön a rendelet alkalmazásával kapcsolatban. A jelentés számos új és újonnan felmerülő kérdést is megvizsgál, például a mesterséges intelligenciát, az egyre inkább online környezetet és a közéleti részvételt akadályozó stratégiai pereket. </w:t>
      </w:r>
    </w:p>
    <w:bookmarkEnd w:id="3"/>
    <w:p w14:paraId="35AAB19D" w14:textId="1D9FBBEE" w:rsidR="00F2657C" w:rsidRDefault="00785FD9" w:rsidP="008855FC">
      <w:pPr>
        <w:spacing w:after="240" w:line="240" w:lineRule="auto"/>
        <w:jc w:val="both"/>
        <w:rPr>
          <w:rFonts w:cs="Times New Roman"/>
          <w:noProof/>
          <w:sz w:val="24"/>
          <w:szCs w:val="24"/>
        </w:rPr>
      </w:pPr>
      <w:r>
        <w:rPr>
          <w:noProof/>
        </w:rPr>
        <w:t>A rendelet felülvizsgálati rendelkezés szerint három külön tanulmány készült</w:t>
      </w:r>
      <w:r>
        <w:rPr>
          <w:rStyle w:val="FootnoteReference"/>
          <w:rFonts w:cs="Times New Roman"/>
          <w:noProof/>
          <w:sz w:val="24"/>
          <w:szCs w:val="24"/>
        </w:rPr>
        <w:footnoteReference w:id="2"/>
      </w:r>
      <w:r>
        <w:rPr>
          <w:noProof/>
        </w:rPr>
        <w:t xml:space="preserve"> </w:t>
      </w:r>
      <w:hyperlink r:id="rId25">
        <w:r>
          <w:rPr>
            <w:rStyle w:val="Hyperlink"/>
            <w:noProof/>
            <w:sz w:val="24"/>
          </w:rPr>
          <w:t>a közúti balesetekről</w:t>
        </w:r>
      </w:hyperlink>
      <w:r>
        <w:rPr>
          <w:rStyle w:val="Hyperlink"/>
          <w:noProof/>
        </w:rPr>
        <w:t xml:space="preserve"> (2009)</w:t>
      </w:r>
      <w:r>
        <w:rPr>
          <w:noProof/>
        </w:rPr>
        <w:t xml:space="preserve">, </w:t>
      </w:r>
      <w:hyperlink r:id="rId26">
        <w:r>
          <w:rPr>
            <w:rStyle w:val="Hyperlink"/>
            <w:noProof/>
            <w:sz w:val="24"/>
          </w:rPr>
          <w:t>a magánélet védelméről és a személyiségi jogokról (2009)</w:t>
        </w:r>
      </w:hyperlink>
      <w:r>
        <w:rPr>
          <w:noProof/>
        </w:rPr>
        <w:t xml:space="preserve">, valamint </w:t>
      </w:r>
      <w:hyperlink r:id="rId27">
        <w:r>
          <w:rPr>
            <w:rStyle w:val="Hyperlink"/>
            <w:noProof/>
            <w:sz w:val="24"/>
          </w:rPr>
          <w:t>a külföldi jog alkalmazásáról</w:t>
        </w:r>
      </w:hyperlink>
      <w:r>
        <w:rPr>
          <w:rStyle w:val="Hyperlink"/>
          <w:noProof/>
        </w:rPr>
        <w:t xml:space="preserve"> (2011)</w:t>
      </w:r>
      <w:r>
        <w:rPr>
          <w:noProof/>
        </w:rPr>
        <w:t>.</w:t>
      </w:r>
      <w:r>
        <w:rPr>
          <w:noProof/>
          <w:sz w:val="24"/>
        </w:rPr>
        <w:t xml:space="preserve"> </w:t>
      </w:r>
    </w:p>
    <w:p w14:paraId="1E066212" w14:textId="51F61579" w:rsidR="00B77D2F" w:rsidRDefault="4675D727" w:rsidP="00B77D2F">
      <w:pPr>
        <w:spacing w:after="240" w:line="240" w:lineRule="auto"/>
        <w:jc w:val="both"/>
        <w:rPr>
          <w:rFonts w:cs="Times New Roman"/>
          <w:noProof/>
          <w:sz w:val="24"/>
          <w:szCs w:val="24"/>
        </w:rPr>
      </w:pPr>
      <w:r>
        <w:rPr>
          <w:noProof/>
          <w:sz w:val="24"/>
        </w:rPr>
        <w:t>E tanulmányok mellett a Bizottság a tagállamokhoz, valamint azok bíróságaihoz és hatóságaihoz intézett kérdések révén értékelte a Róma II. rendelettel kapcsolatos gyakorlati tapasztalatokat. A 2012-es első ilyen információgyűjtés azt mutatta, hogy a Róma II. rendelet általában véve jól működött, de az alkalmazással kapcsolatos gyakorlati tapasztalatok és a vonatkozó ítélkezési gyakorlat akkor még korlátozottak voltak. A második információgyűjtésre 2023-ban került sor (a továbbiakban: 2023. évi kérdőív)</w:t>
      </w:r>
      <w:r>
        <w:rPr>
          <w:rStyle w:val="FootnoteReference"/>
          <w:rFonts w:cs="Times New Roman"/>
          <w:noProof/>
          <w:sz w:val="24"/>
          <w:szCs w:val="24"/>
        </w:rPr>
        <w:footnoteReference w:id="3"/>
      </w:r>
      <w:r>
        <w:rPr>
          <w:noProof/>
          <w:sz w:val="24"/>
        </w:rPr>
        <w:t xml:space="preserve">, amely kiterjedt a korábbi tanulmányok által már lefedett területekre vonatkozó konkrét kérdésekre is. Emellett a polgári és kereskedelmi ügyekben illetékes Európai Igazságügyi Hálózat két alkalommal ülésezett, hogy 2012-ben és 2023-ban megvitassák a Róma II. rendelet működését. </w:t>
      </w:r>
    </w:p>
    <w:p w14:paraId="3D49AA1D" w14:textId="1C3E1425" w:rsidR="00F2657C" w:rsidRDefault="00F2657C" w:rsidP="00B77D2F">
      <w:pPr>
        <w:spacing w:after="240" w:line="240" w:lineRule="auto"/>
        <w:jc w:val="both"/>
        <w:rPr>
          <w:rFonts w:cs="Times New Roman"/>
          <w:noProof/>
          <w:sz w:val="24"/>
          <w:szCs w:val="24"/>
        </w:rPr>
      </w:pPr>
      <w:r>
        <w:rPr>
          <w:noProof/>
        </w:rPr>
        <w:t xml:space="preserve">Végezetül a rendelet alkalmazásának hosszú távú nyomon követése részeként és e jelentés elkészítésére tekintettel a Bizottság 2021-ben külső tanulmányt rendelt meg </w:t>
      </w:r>
      <w:bookmarkStart w:id="4" w:name="_Hlk178333123"/>
      <w:r>
        <w:rPr>
          <w:noProof/>
        </w:rPr>
        <w:t>a Róma II. rendelet 2010 és 2020 közötti alkalmazásának feltérképezésére</w:t>
      </w:r>
      <w:bookmarkEnd w:id="4"/>
      <w:r>
        <w:rPr>
          <w:noProof/>
        </w:rPr>
        <w:t xml:space="preserve"> (a továbbiakban: </w:t>
      </w:r>
      <w:hyperlink r:id="rId28">
        <w:r>
          <w:rPr>
            <w:rStyle w:val="Hyperlink"/>
            <w:noProof/>
            <w:sz w:val="24"/>
          </w:rPr>
          <w:t>2021. évi tanulmány</w:t>
        </w:r>
      </w:hyperlink>
      <w:r>
        <w:rPr>
          <w:noProof/>
        </w:rPr>
        <w:t>).</w:t>
      </w:r>
    </w:p>
    <w:p w14:paraId="5B87C4AD" w14:textId="389FCC10" w:rsidR="00260468" w:rsidRPr="007126FB" w:rsidRDefault="186C1DF7" w:rsidP="682B9576">
      <w:pPr>
        <w:spacing w:after="240" w:line="240" w:lineRule="auto"/>
        <w:jc w:val="both"/>
        <w:rPr>
          <w:rFonts w:cs="Times New Roman"/>
          <w:i/>
          <w:iCs/>
          <w:noProof/>
          <w:sz w:val="24"/>
          <w:szCs w:val="24"/>
        </w:rPr>
      </w:pPr>
      <w:r>
        <w:rPr>
          <w:noProof/>
          <w:sz w:val="24"/>
        </w:rPr>
        <w:t>Ez a jelentés ezekre a forrásokra épül, hogy kiemelje a Róma II. rendelet alkalmazásával kapcsolatos főbb megállapításokat. Az e jelentést kísérő bizottsági szolgálati munkadokumentum további információkat tartalmaz, beleértve az e jelentésen túlmutató részletesebb magyarázatokat, az ítélkezési gyakorlatot és a felhasznált forrásokat.</w:t>
      </w:r>
    </w:p>
    <w:p w14:paraId="10C5CE61" w14:textId="315DABFA" w:rsidR="00365673" w:rsidRPr="007126FB" w:rsidRDefault="00365673" w:rsidP="00365673">
      <w:pPr>
        <w:pStyle w:val="Heading1"/>
        <w:rPr>
          <w:noProof/>
        </w:rPr>
      </w:pPr>
      <w:r>
        <w:rPr>
          <w:noProof/>
        </w:rPr>
        <w:t xml:space="preserve">2. A Róma II. rendelet alkalmazásának általános áttekintése </w:t>
      </w:r>
    </w:p>
    <w:p w14:paraId="0F8B2CA4" w14:textId="77777777" w:rsidR="00365673" w:rsidRPr="00E53A75" w:rsidRDefault="00365673" w:rsidP="00365673">
      <w:pPr>
        <w:pStyle w:val="Heading2"/>
        <w:rPr>
          <w:noProof/>
        </w:rPr>
      </w:pPr>
      <w:r>
        <w:rPr>
          <w:noProof/>
        </w:rPr>
        <w:t xml:space="preserve">2.1. Alkalmazási kör </w:t>
      </w:r>
    </w:p>
    <w:p w14:paraId="693C5B67" w14:textId="1BFC7BB0" w:rsidR="00365673" w:rsidRDefault="43018A3D" w:rsidP="00365673">
      <w:pPr>
        <w:spacing w:after="240" w:line="240" w:lineRule="auto"/>
        <w:jc w:val="both"/>
        <w:rPr>
          <w:rFonts w:cs="Times New Roman"/>
          <w:noProof/>
          <w:sz w:val="24"/>
          <w:szCs w:val="24"/>
        </w:rPr>
      </w:pPr>
      <w:r>
        <w:rPr>
          <w:noProof/>
          <w:sz w:val="24"/>
        </w:rPr>
        <w:t xml:space="preserve">A Róma II. rendelet </w:t>
      </w:r>
      <w:r>
        <w:rPr>
          <w:b/>
          <w:noProof/>
          <w:sz w:val="24"/>
        </w:rPr>
        <w:t>a határokon átnyúló polgári és kereskedelmi ügyekben keletkezett vagy valószínűleg keletkező, szerződésen kívüli kötelmi viszonyokra</w:t>
      </w:r>
      <w:r>
        <w:rPr>
          <w:noProof/>
          <w:sz w:val="24"/>
        </w:rPr>
        <w:t xml:space="preserve"> alkalmazandó jogra vonatkozó szabályokat állapít meg. Ezek közé tartoznak az olyan fontos területek, mint a közlekedési balesetek, a szellemi tulajdon megsértése, a tisztességtelen verseny, valamint a szabad versenyt korlátozó cselekmények, a környezeti károk vagy a termékfelelősség. </w:t>
      </w:r>
    </w:p>
    <w:p w14:paraId="407CF755" w14:textId="0074DC89" w:rsidR="00365673" w:rsidRDefault="534AEB55" w:rsidP="00365673">
      <w:pPr>
        <w:spacing w:after="240" w:line="240" w:lineRule="auto"/>
        <w:jc w:val="both"/>
        <w:rPr>
          <w:rFonts w:cs="Times New Roman"/>
          <w:noProof/>
          <w:sz w:val="24"/>
          <w:szCs w:val="24"/>
        </w:rPr>
      </w:pPr>
      <w:r>
        <w:rPr>
          <w:noProof/>
          <w:sz w:val="24"/>
        </w:rPr>
        <w:t>A Róma II. rendelet tárgyi hatályát meghatározó rendelkezések a gyakorlatban nem vetettek fel jelentős problémákat</w:t>
      </w:r>
      <w:r>
        <w:rPr>
          <w:rStyle w:val="FootnoteReference"/>
          <w:rFonts w:cs="Times New Roman"/>
          <w:noProof/>
          <w:sz w:val="24"/>
          <w:szCs w:val="24"/>
        </w:rPr>
        <w:footnoteReference w:id="4"/>
      </w:r>
      <w:r>
        <w:rPr>
          <w:noProof/>
          <w:sz w:val="24"/>
        </w:rPr>
        <w:t>. Annak ellenére azonban, hogy az EUB ítélkezési gyakorlata egyértelművé tette a „szerződésen kívüli kötelmi viszonyok”</w:t>
      </w:r>
      <w:r>
        <w:rPr>
          <w:rFonts w:cs="Times New Roman"/>
          <w:noProof/>
          <w:sz w:val="24"/>
          <w:szCs w:val="24"/>
          <w:vertAlign w:val="superscript"/>
        </w:rPr>
        <w:footnoteReference w:id="5"/>
      </w:r>
      <w:r>
        <w:rPr>
          <w:noProof/>
          <w:sz w:val="24"/>
        </w:rPr>
        <w:t xml:space="preserve"> fogalmát, még mindig vannak olyan területek, ahol – ítélkezési gyakorlat hiányában – továbbra is bizonytalanság áll fenn azzal kapcsolatban, hogy bizonyos követelések szerződéses vagy szerződésen kívüli követelések-e, mint például bizonyos szerződések harmadik felekre gyakorolt védőhatásai, valamint a kedvezményes díj felkínálásából vagy meghirdetéséből eredő kötelmek. Emellett a hatály alóli konkrét kizárások (különösen az 1. cikk (2) bekezdésének c) és d) pontjában foglalt kizárások</w:t>
      </w:r>
      <w:r>
        <w:rPr>
          <w:rStyle w:val="FootnoteReference"/>
          <w:rFonts w:cs="Times New Roman"/>
          <w:noProof/>
          <w:sz w:val="24"/>
          <w:szCs w:val="24"/>
        </w:rPr>
        <w:footnoteReference w:id="6"/>
      </w:r>
      <w:r>
        <w:rPr>
          <w:noProof/>
          <w:sz w:val="24"/>
        </w:rPr>
        <w:t xml:space="preserve">) értelmezése továbbra is vita tárgyát képezi. Általánosan elfogadott azonban, hogy a Róma II. rendelet hatályának meghatározásával kapcsolatos kihívások a jövőbeli ítélkezési gyakorlat révén oldhatók meg. </w:t>
      </w:r>
    </w:p>
    <w:p w14:paraId="15294CC7" w14:textId="4C771036" w:rsidR="00365673" w:rsidRPr="005E521B" w:rsidRDefault="534AEB55" w:rsidP="00365673">
      <w:pPr>
        <w:spacing w:after="240" w:line="240" w:lineRule="auto"/>
        <w:jc w:val="both"/>
        <w:rPr>
          <w:rFonts w:cs="Times New Roman"/>
          <w:noProof/>
          <w:sz w:val="24"/>
          <w:szCs w:val="24"/>
        </w:rPr>
      </w:pPr>
      <w:r>
        <w:rPr>
          <w:noProof/>
          <w:sz w:val="24"/>
        </w:rPr>
        <w:t>Ezzel szemben „a magánélet és a személyiségi jogok megsértéséből – beleértve a rágalmazást is – eredő szerződésen kívüli kötelmi viszonyok” alkalmazási körből való kizárása a szakértők körében továbbra is vitatott kérdés, amellyel kapcsolatban jogalkotási intézkedést szorgalmaztak</w:t>
      </w:r>
      <w:r>
        <w:rPr>
          <w:rStyle w:val="FootnoteReference"/>
          <w:rFonts w:cs="Times New Roman"/>
          <w:noProof/>
          <w:sz w:val="24"/>
          <w:szCs w:val="24"/>
        </w:rPr>
        <w:footnoteReference w:id="7"/>
      </w:r>
      <w:r>
        <w:rPr>
          <w:noProof/>
          <w:sz w:val="24"/>
        </w:rPr>
        <w:t xml:space="preserve">. </w:t>
      </w:r>
    </w:p>
    <w:p w14:paraId="6C731A0C" w14:textId="0A06E4E6" w:rsidR="00365673" w:rsidRPr="00E53A75" w:rsidRDefault="00365673" w:rsidP="00365673">
      <w:pPr>
        <w:pStyle w:val="Heading2"/>
        <w:rPr>
          <w:noProof/>
        </w:rPr>
      </w:pPr>
      <w:r>
        <w:rPr>
          <w:noProof/>
        </w:rPr>
        <w:t>2.2. A jogellenes károkozásra alkalmazandó jogra vonatkozó szabályok</w:t>
      </w:r>
    </w:p>
    <w:p w14:paraId="16BB4190" w14:textId="2EC800C1" w:rsidR="00365673" w:rsidRDefault="534AEB55" w:rsidP="00365673">
      <w:pPr>
        <w:spacing w:after="240" w:line="240" w:lineRule="auto"/>
        <w:jc w:val="both"/>
        <w:rPr>
          <w:rFonts w:cs="Times New Roman"/>
          <w:noProof/>
          <w:sz w:val="24"/>
          <w:szCs w:val="24"/>
        </w:rPr>
      </w:pPr>
      <w:r>
        <w:rPr>
          <w:noProof/>
          <w:sz w:val="24"/>
        </w:rPr>
        <w:t xml:space="preserve">A Róma II. rendelet értelmében a jogellenes károkozásból eredő szerződésen kívüli kötelmi viszonyra alkalmazandó jog annak </w:t>
      </w:r>
      <w:r>
        <w:rPr>
          <w:b/>
          <w:noProof/>
          <w:sz w:val="24"/>
        </w:rPr>
        <w:t>az országnak a joga, amelyben a kár bekövetkezett</w:t>
      </w:r>
      <w:r>
        <w:rPr>
          <w:noProof/>
          <w:sz w:val="24"/>
        </w:rPr>
        <w:t xml:space="preserve"> (a 4. cikk (1) bekezdése, más néven </w:t>
      </w:r>
      <w:r>
        <w:rPr>
          <w:i/>
          <w:noProof/>
          <w:sz w:val="24"/>
        </w:rPr>
        <w:t>lex loci damni</w:t>
      </w:r>
      <w:r>
        <w:rPr>
          <w:noProof/>
          <w:sz w:val="24"/>
        </w:rPr>
        <w:t>), különös szabályokkal a 4. cikk (2) bekezdésében (a károsult és a jogellenes károkozás elkövetőjének közös szokásos tartózkodási helye szerinti ország joga) és (3) bekezdésében (nyilvánvalóan szorosabb kapcsolat), amely utóbbi rugalmassági mechanizmust biztosít azon esetek kezelésére, amelyekben az általános szabály esetleg nem vezet a legmegfelelőbb jogi eredményhez. Ez a keret a legtöbb esetben jogbiztonságot és kiszámíthatóságot biztosít az alkalmazandó jog tekintetében. Az általános szabály alkalmazása nagyrészt problémamentes volt, bár továbbra is vannak kérdések a szabálynak a közvetett károsultakra és a többszereplős jogellenes károkozásra való alkalmazásával, valamint a tisztán pénzügyi/gazdasági veszteségek esetén a kár lokalizálásával kapcsolatban, különösen a pénzügyi piaci jogsértések esetében</w:t>
      </w:r>
      <w:r>
        <w:rPr>
          <w:rStyle w:val="FootnoteReference"/>
          <w:rFonts w:cs="Times New Roman"/>
          <w:noProof/>
          <w:sz w:val="24"/>
          <w:szCs w:val="24"/>
        </w:rPr>
        <w:footnoteReference w:id="8"/>
      </w:r>
      <w:r>
        <w:rPr>
          <w:noProof/>
          <w:sz w:val="24"/>
        </w:rPr>
        <w:t xml:space="preserve">. </w:t>
      </w:r>
    </w:p>
    <w:p w14:paraId="2C0D5881" w14:textId="24B8ADC6" w:rsidR="00453F31" w:rsidRPr="00752BFC" w:rsidRDefault="43018A3D" w:rsidP="00365673">
      <w:pPr>
        <w:spacing w:after="240" w:line="240" w:lineRule="auto"/>
        <w:jc w:val="both"/>
        <w:rPr>
          <w:rFonts w:cs="Times New Roman"/>
          <w:noProof/>
          <w:sz w:val="24"/>
          <w:szCs w:val="24"/>
        </w:rPr>
      </w:pPr>
      <w:r>
        <w:rPr>
          <w:noProof/>
          <w:sz w:val="24"/>
        </w:rPr>
        <w:t>A Róma II. rendelet több olyan egyedi szabályt is előír, amelyek azokra a helyzetekre vonatkoznak, amelyekben az általános szabály esetleg nem elégséges és megfelelő. Ezek közé tartoznak a termékfelelősségre (5. cikk), a tisztességtelen versenyre és a szabad versenyt korlátozó intézkedésekre (6. cikk), a környezeti károkra (7. cikk), a szellemi tulajdonhoz fűződő jogok megsértésére (8. cikk) és a szervezett fellépésre (9. cikk) vonatkozó rendelkezések. Bár ezek a testreszabott szabályok arra irányulnak, hogy megoldásokat nyújtsanak az általános szabály korlátaira, alkalmazási körük meghatározása szintén nehézségeket okozhat. Továbbra is fennállnak például értelmezési problémák a termékfelelősség tekintetében a „termék” fogalmának</w:t>
      </w:r>
      <w:r>
        <w:rPr>
          <w:rStyle w:val="FootnoteReference"/>
          <w:rFonts w:cs="Times New Roman"/>
          <w:noProof/>
          <w:sz w:val="24"/>
          <w:szCs w:val="24"/>
        </w:rPr>
        <w:footnoteReference w:id="9"/>
      </w:r>
      <w:r>
        <w:rPr>
          <w:noProof/>
          <w:sz w:val="24"/>
        </w:rPr>
        <w:t xml:space="preserve"> és a 8. cikk hatálya alá tartozó szellemitulajdon-jogok</w:t>
      </w:r>
      <w:r>
        <w:rPr>
          <w:rStyle w:val="FootnoteReference"/>
          <w:rFonts w:cs="Times New Roman"/>
          <w:noProof/>
          <w:sz w:val="24"/>
          <w:szCs w:val="24"/>
        </w:rPr>
        <w:footnoteReference w:id="10"/>
      </w:r>
      <w:r>
        <w:rPr>
          <w:noProof/>
          <w:sz w:val="24"/>
        </w:rPr>
        <w:t xml:space="preserve"> értelmezésével kapcsolatban. </w:t>
      </w:r>
    </w:p>
    <w:p w14:paraId="247C676F" w14:textId="1E4CCD19" w:rsidR="00365673" w:rsidRDefault="43018A3D" w:rsidP="00365673">
      <w:pPr>
        <w:spacing w:after="240" w:line="240" w:lineRule="auto"/>
        <w:jc w:val="both"/>
        <w:rPr>
          <w:rFonts w:cs="Times New Roman"/>
          <w:noProof/>
          <w:sz w:val="24"/>
          <w:szCs w:val="24"/>
        </w:rPr>
      </w:pPr>
      <w:r>
        <w:rPr>
          <w:noProof/>
          <w:sz w:val="24"/>
        </w:rPr>
        <w:t>Általánosságban ott számoltak be problémákról, ahol a kapcsoló elvek több különböző jog egyetlen jogvitára való alkalmazásához vezetnek, különösen a szerzői jog tekintetében, ami nagyon megnehezíti a bíróságok számára a külföldi jogszabályok megfelelő szintű ismeretekkel történő alkalmazását, növeli a tranzakciós költségeket, például a fordítással és a szakértőkkel kapcsolatban, és végső soron bizonytalanságokhoz vezet az eljárás kimenetelét illetően</w:t>
      </w:r>
      <w:r>
        <w:rPr>
          <w:rStyle w:val="FootnoteReference"/>
          <w:rFonts w:cs="Times New Roman"/>
          <w:noProof/>
          <w:sz w:val="24"/>
          <w:szCs w:val="24"/>
        </w:rPr>
        <w:footnoteReference w:id="11"/>
      </w:r>
      <w:r>
        <w:rPr>
          <w:noProof/>
          <w:sz w:val="24"/>
        </w:rPr>
        <w:t xml:space="preserve">. Ez a jelenség, amely szükségessé teheti az alkalmazandó jogszabályok összetett „mozaikjának” egyetlen jogvitára történő egyidejű alkalmazását, különösen az online elkövetett jogellenes károkozás tekintetében valósul meg, ahol i. a kár több országban egyidejűleg is bekövetkezhet, vagy ii. egyetlen cselekmény több országban is sértheti a szellemitulajdon-jogokat, különösen a szerzői jogokat. Hasonló problémák merülhetnek fel például kollektív jogorvoslat vagy tömeges balesetek esetén. </w:t>
      </w:r>
      <w:r>
        <w:rPr>
          <w:noProof/>
        </w:rPr>
        <w:t>Számos javaslat született arra vonatkozóan, hogy miként lehetne kezelni a több jogszabály egyidejű alkalmazásának problémáját, különösen a szerzői jogok megsértése területén.</w:t>
      </w:r>
      <w:r>
        <w:rPr>
          <w:noProof/>
          <w:sz w:val="24"/>
        </w:rPr>
        <w:t xml:space="preserve"> Amint azt a bizottsági szolgálati munkadokumentum 1. melléklete részletezi, e javaslatok némelyike jogalkotási módosításokat is tartalmaz a Róma II. rendeletre vonatkozóan</w:t>
      </w:r>
      <w:r>
        <w:rPr>
          <w:rStyle w:val="FootnoteReference"/>
          <w:rFonts w:cs="Times New Roman"/>
          <w:noProof/>
          <w:sz w:val="24"/>
          <w:szCs w:val="24"/>
        </w:rPr>
        <w:footnoteReference w:id="12"/>
      </w:r>
      <w:r>
        <w:rPr>
          <w:noProof/>
          <w:sz w:val="24"/>
        </w:rPr>
        <w:t>.</w:t>
      </w:r>
    </w:p>
    <w:p w14:paraId="5398E66A" w14:textId="77777777" w:rsidR="00365673" w:rsidRPr="00E53A75" w:rsidRDefault="00365673" w:rsidP="00365673">
      <w:pPr>
        <w:pStyle w:val="Heading2"/>
        <w:rPr>
          <w:noProof/>
        </w:rPr>
      </w:pPr>
      <w:r>
        <w:rPr>
          <w:noProof/>
        </w:rPr>
        <w:t>2.3. A Róma II. rendelet egyéb szabályai</w:t>
      </w:r>
    </w:p>
    <w:p w14:paraId="5721EBF1" w14:textId="59CD815D" w:rsidR="00365673" w:rsidRPr="00D112F5" w:rsidRDefault="43018A3D" w:rsidP="00365673">
      <w:pPr>
        <w:spacing w:after="240" w:line="240" w:lineRule="auto"/>
        <w:jc w:val="both"/>
        <w:rPr>
          <w:rFonts w:cs="Times New Roman"/>
          <w:noProof/>
          <w:sz w:val="24"/>
          <w:szCs w:val="24"/>
        </w:rPr>
      </w:pPr>
      <w:r>
        <w:rPr>
          <w:noProof/>
        </w:rPr>
        <w:t xml:space="preserve">A Róma II. rendelet a „jogalap nélküli gazdagodás, a megbízás nélküli ügyvitel és a </w:t>
      </w:r>
      <w:r>
        <w:rPr>
          <w:i/>
          <w:noProof/>
        </w:rPr>
        <w:t>culpa in contrahendo</w:t>
      </w:r>
      <w:r>
        <w:rPr>
          <w:noProof/>
        </w:rPr>
        <w:t>” (III. fejezet) esetében alkalmazandó jogra vonatkozó szabályokat is tartalmaz.</w:t>
      </w:r>
      <w:r>
        <w:rPr>
          <w:i/>
          <w:noProof/>
          <w:sz w:val="24"/>
        </w:rPr>
        <w:t xml:space="preserve"> </w:t>
      </w:r>
      <w:r>
        <w:rPr>
          <w:noProof/>
          <w:sz w:val="24"/>
        </w:rPr>
        <w:t>A IV. fejezet előírja, hogy a felek megválaszthatják a szerződésen kívüli kötelmi viszonyra alkalmazandó jogot. E rendelkezések alkalmazása általában nem problematikus, és kevés nehézségről számoltak be</w:t>
      </w:r>
      <w:r>
        <w:rPr>
          <w:rStyle w:val="FootnoteReference"/>
          <w:rFonts w:cs="Times New Roman"/>
          <w:noProof/>
          <w:sz w:val="24"/>
          <w:szCs w:val="24"/>
        </w:rPr>
        <w:footnoteReference w:id="13"/>
      </w:r>
      <w:r>
        <w:rPr>
          <w:noProof/>
          <w:sz w:val="24"/>
        </w:rPr>
        <w:t xml:space="preserve">. </w:t>
      </w:r>
    </w:p>
    <w:p w14:paraId="4B656D64" w14:textId="77777777" w:rsidR="00365673" w:rsidRPr="00D112F5" w:rsidRDefault="43018A3D" w:rsidP="00365673">
      <w:pPr>
        <w:pStyle w:val="Heading2"/>
        <w:rPr>
          <w:noProof/>
        </w:rPr>
      </w:pPr>
      <w:r>
        <w:rPr>
          <w:noProof/>
        </w:rPr>
        <w:t>2.4. Közös szabályok, egyéb rendelkezések és záró rendelkezések</w:t>
      </w:r>
    </w:p>
    <w:p w14:paraId="0D22844D" w14:textId="55E649CC" w:rsidR="00365673" w:rsidRPr="00EC1A88" w:rsidRDefault="1313D7E0" w:rsidP="3218453C">
      <w:pPr>
        <w:spacing w:after="240" w:line="240" w:lineRule="auto"/>
        <w:jc w:val="both"/>
        <w:rPr>
          <w:rFonts w:cs="Times New Roman"/>
          <w:noProof/>
          <w:sz w:val="24"/>
          <w:szCs w:val="24"/>
        </w:rPr>
      </w:pPr>
      <w:r>
        <w:rPr>
          <w:noProof/>
          <w:sz w:val="24"/>
        </w:rPr>
        <w:t xml:space="preserve">A Róma II. rendelet közös szabályokról, egyéb rendelkezésekről és záró rendelkezésekről szóló fejezetei általában nagyobb problémák nélkül működnek. </w:t>
      </w:r>
      <w:r>
        <w:rPr>
          <w:noProof/>
        </w:rPr>
        <w:t xml:space="preserve">Mindazonáltal a meglévő nemzetközi egyezményekkel és egyéb eszközökkel, különösen </w:t>
      </w:r>
      <w:hyperlink r:id="rId29">
        <w:r>
          <w:rPr>
            <w:rStyle w:val="Hyperlink"/>
            <w:noProof/>
            <w:sz w:val="24"/>
          </w:rPr>
          <w:t>a közlekedési balesetekre alkalmazandó jogról szóló 1971. évi Hágai Egyezménnyel</w:t>
        </w:r>
      </w:hyperlink>
      <w:r>
        <w:rPr>
          <w:noProof/>
        </w:rPr>
        <w:t xml:space="preserve"> való kapcsolat gyakorlati nehézségekhez vezetett a határokon átnyúló közúti balesetekből eredő követelésekre vonatkozó, a bizottsági szolgálati munkadokumentum 1. mellékletében részletezett két kollíziós rendszer fennállásával kapcsolatban.</w:t>
      </w:r>
      <w:r>
        <w:rPr>
          <w:noProof/>
          <w:sz w:val="24"/>
        </w:rPr>
        <w:t xml:space="preserve"> </w:t>
      </w:r>
    </w:p>
    <w:p w14:paraId="2B84863D" w14:textId="0195278F" w:rsidR="00733A76" w:rsidRPr="007126FB" w:rsidRDefault="3A977620" w:rsidP="004C2085">
      <w:pPr>
        <w:pStyle w:val="Heading1"/>
        <w:rPr>
          <w:noProof/>
        </w:rPr>
      </w:pPr>
      <w:r>
        <w:rPr>
          <w:noProof/>
        </w:rPr>
        <w:t xml:space="preserve">3. A Róma II. rendelet alkalmazása a kiválasztott területeken </w:t>
      </w:r>
    </w:p>
    <w:p w14:paraId="0FEB2B63" w14:textId="5E567A91" w:rsidR="00733A76" w:rsidRPr="007126FB" w:rsidRDefault="554F56B2" w:rsidP="00387063">
      <w:pPr>
        <w:pStyle w:val="Heading2"/>
        <w:rPr>
          <w:noProof/>
        </w:rPr>
      </w:pPr>
      <w:r>
        <w:rPr>
          <w:noProof/>
        </w:rPr>
        <w:t>3.1.</w:t>
      </w:r>
      <w:bookmarkStart w:id="5" w:name="privacy"/>
      <w:bookmarkEnd w:id="5"/>
      <w:r>
        <w:rPr>
          <w:noProof/>
        </w:rPr>
        <w:t xml:space="preserve">Adatvédelem, személyiségi jogok, beleértve a rágalmazást és a közéleti részvételt akadályozó stratégiai pereket </w:t>
      </w:r>
    </w:p>
    <w:p w14:paraId="42448412" w14:textId="49B78898" w:rsidR="00B207BD" w:rsidRPr="007126FB" w:rsidRDefault="7AD89080" w:rsidP="001D11C9">
      <w:pPr>
        <w:jc w:val="both"/>
        <w:rPr>
          <w:rFonts w:cs="Times New Roman"/>
          <w:noProof/>
          <w:sz w:val="24"/>
          <w:szCs w:val="24"/>
        </w:rPr>
      </w:pPr>
      <w:r>
        <w:rPr>
          <w:noProof/>
          <w:sz w:val="24"/>
        </w:rPr>
        <w:t>A magánélet és a személyiségi jogok megsértéséből – beleértve a rágalmazást is – eredő szerződésen kívüli kötelmi viszonyokat kizárták a Róma II. rendelet hatálya alól, mivel a jogalkotási tárgyalások során nem született megállapodás a jogellenes károkozás e területére vonatkozó megfelelő kapcsoló elvről. A magánélethez kapcsolódó jogellenes károkozás szükségessé teszi egyrészt a véleménynyilvánítás és a tájékozódás szabadságához, másrészt a magánélethez és a jó hírnévhez fűződő, egymással ütköző alapvető jogok egyensúlyba hozását. Abban, hogy az egyes tagállamok hogyan valósítják meg ezt az egyensúlyt jogi és alkotmányos rendszereikben, különbségek vannak. A jogalkotási megközelítések e különbségei</w:t>
      </w:r>
      <w:r>
        <w:rPr>
          <w:rStyle w:val="FootnoteReference"/>
          <w:rFonts w:cs="Times New Roman"/>
          <w:noProof/>
          <w:sz w:val="24"/>
          <w:szCs w:val="24"/>
          <w:lang w:val="en-US"/>
        </w:rPr>
        <w:footnoteReference w:id="14"/>
      </w:r>
      <w:r>
        <w:rPr>
          <w:noProof/>
          <w:sz w:val="24"/>
        </w:rPr>
        <w:t xml:space="preserve"> és a véleménynyilvánítás szabadságának a demokratikus társadalmakban betöltött kritikus szerepe voltak azok a tényezők, amelyek miatt a megfelelő kapcsoló elvvel kapcsolatos konszenzus hiányában kizárták a magánélet védelmére vonatkozó követeléseket a Róma II. rendelet hatálya alól.</w:t>
      </w:r>
    </w:p>
    <w:p w14:paraId="598B7E21" w14:textId="7EA9F212" w:rsidR="00B207BD" w:rsidRPr="007126FB" w:rsidRDefault="1313D7E0" w:rsidP="001D11C9">
      <w:pPr>
        <w:jc w:val="both"/>
        <w:rPr>
          <w:rFonts w:cs="Times New Roman"/>
          <w:noProof/>
          <w:sz w:val="24"/>
          <w:szCs w:val="24"/>
        </w:rPr>
      </w:pPr>
      <w:r>
        <w:rPr>
          <w:noProof/>
          <w:sz w:val="24"/>
        </w:rPr>
        <w:t xml:space="preserve">Következésképpen az ilyen esetekben alkalmazandó jogot továbbra is az egyes tagállamok nemzeti kollíziós szabályai határozzák meg, amelyek között jelentős eltérések vannak. </w:t>
      </w:r>
      <w:bookmarkStart w:id="6" w:name="_Hlk176272465"/>
      <w:r>
        <w:rPr>
          <w:noProof/>
          <w:sz w:val="24"/>
        </w:rPr>
        <w:t xml:space="preserve">E szétaprózott jogi helyzet miatt nehéz megjósolni, hogy mely jog lesz alkalmazandóe, a magánélet tiszteletben tartásához való jog sérelmével kapcsolatos, határokon átnyúló ügyek esetén, és hogy így milyen eredménnyel jár majd a jogvita. </w:t>
      </w:r>
    </w:p>
    <w:bookmarkEnd w:id="6"/>
    <w:p w14:paraId="58CC6BAB" w14:textId="6546C070" w:rsidR="00AD5574" w:rsidRDefault="56D2E7B0" w:rsidP="001D11C9">
      <w:pPr>
        <w:jc w:val="both"/>
        <w:rPr>
          <w:rFonts w:cs="Times New Roman"/>
          <w:noProof/>
          <w:sz w:val="24"/>
          <w:szCs w:val="24"/>
        </w:rPr>
      </w:pPr>
      <w:r>
        <w:rPr>
          <w:noProof/>
          <w:sz w:val="24"/>
        </w:rPr>
        <w:t xml:space="preserve">Úgy tűnik, hogy a követelések e fontos csoportjának a Róma II. rendelet hatálya alóli kizárásával kapcsolatos kritikák általánosak. </w:t>
      </w:r>
      <w:r>
        <w:rPr>
          <w:noProof/>
        </w:rPr>
        <w:t xml:space="preserve">Például a </w:t>
      </w:r>
      <w:hyperlink r:id="rId30">
        <w:r>
          <w:rPr>
            <w:rStyle w:val="Hyperlink"/>
            <w:noProof/>
            <w:sz w:val="24"/>
          </w:rPr>
          <w:t>magánélet védelméről szóló tanulmány</w:t>
        </w:r>
      </w:hyperlink>
      <w:r>
        <w:rPr>
          <w:noProof/>
        </w:rPr>
        <w:t xml:space="preserve"> és a </w:t>
      </w:r>
      <w:hyperlink r:id="rId31">
        <w:r>
          <w:rPr>
            <w:rStyle w:val="Hyperlink"/>
            <w:noProof/>
            <w:sz w:val="24"/>
          </w:rPr>
          <w:t>2021. évi tanulmány</w:t>
        </w:r>
      </w:hyperlink>
      <w:r>
        <w:rPr>
          <w:noProof/>
        </w:rPr>
        <w:t xml:space="preserve"> keretében megkérdezett szakemberek és érdekelt felek általában nem találták kielégítőnek a jelenlegi helyzetet.</w:t>
      </w:r>
      <w:r>
        <w:rPr>
          <w:noProof/>
          <w:sz w:val="24"/>
        </w:rPr>
        <w:t xml:space="preserve"> Emellett 2023. évi válaszaikban a legtöbb tagállam azon a véleményen volt, hogy az e területre vonatkozó kollíziós szabályokat jobban össze kell hangolni. </w:t>
      </w:r>
      <w:bookmarkStart w:id="7" w:name="_Hlk177650339"/>
      <w:r>
        <w:rPr>
          <w:noProof/>
          <w:sz w:val="24"/>
        </w:rPr>
        <w:t xml:space="preserve">Úgy tűnik, hogy nincs merev álláspont, amely kizárná, hogy a Róma II. rendelet a jövőben lefedje ezeket a jogellenes károkozásokat; </w:t>
      </w:r>
      <w:bookmarkEnd w:id="7"/>
      <w:r>
        <w:rPr>
          <w:noProof/>
          <w:sz w:val="24"/>
        </w:rPr>
        <w:t xml:space="preserve">néhány tagállam azonban kételyeit fejezte ki azzal kapcsolatban, hogy lehet-e elfogadható egységes kapcsoló elvet találni az ütköző jogok és érdekek megfelelő kiegyensúlyozására. </w:t>
      </w:r>
    </w:p>
    <w:p w14:paraId="63428D50" w14:textId="42EED98F" w:rsidR="00B207BD" w:rsidRPr="007126FB" w:rsidRDefault="1313D7E0" w:rsidP="001D11C9">
      <w:pPr>
        <w:jc w:val="both"/>
        <w:rPr>
          <w:rFonts w:cs="Times New Roman"/>
          <w:noProof/>
          <w:sz w:val="24"/>
          <w:szCs w:val="24"/>
        </w:rPr>
      </w:pPr>
      <w:r>
        <w:rPr>
          <w:noProof/>
          <w:sz w:val="24"/>
        </w:rPr>
        <w:t>A Róma II. rendelet elfogadása óta számos javaslat született a megfelelő kapcsoló elvről. Emellett további munkára is sor került a magánélet és a személyiségi jogok témájában. Ez az alábbiakra terjed ki:</w:t>
      </w:r>
    </w:p>
    <w:p w14:paraId="0B341F6A" w14:textId="5461AA89" w:rsidR="00B207BD" w:rsidRPr="007126FB" w:rsidRDefault="15F7EECC" w:rsidP="6AD07731">
      <w:pPr>
        <w:pStyle w:val="ListParagraph"/>
        <w:numPr>
          <w:ilvl w:val="0"/>
          <w:numId w:val="5"/>
        </w:numPr>
        <w:jc w:val="both"/>
        <w:rPr>
          <w:rFonts w:cs="Times New Roman"/>
          <w:noProof/>
          <w:sz w:val="24"/>
          <w:szCs w:val="24"/>
        </w:rPr>
      </w:pPr>
      <w:r>
        <w:rPr>
          <w:b/>
          <w:noProof/>
          <w:sz w:val="24"/>
        </w:rPr>
        <w:t>Az Európai Parlament 2008. évi tanulmánya a magánélet védelméről és a nyomon követésről</w:t>
      </w:r>
      <w:r>
        <w:rPr>
          <w:noProof/>
          <w:sz w:val="24"/>
        </w:rPr>
        <w:t xml:space="preserve">: </w:t>
      </w:r>
      <w:r>
        <w:rPr>
          <w:noProof/>
        </w:rPr>
        <w:t xml:space="preserve">A magánélet védelméről szóló, a bizottsági szolgálati munkadokumentum 2. mellékletében részletezett </w:t>
      </w:r>
      <w:hyperlink r:id="rId32">
        <w:r>
          <w:rPr>
            <w:rStyle w:val="Hyperlink"/>
            <w:noProof/>
            <w:sz w:val="24"/>
          </w:rPr>
          <w:t>tanulmány</w:t>
        </w:r>
      </w:hyperlink>
      <w:r>
        <w:rPr>
          <w:noProof/>
        </w:rPr>
        <w:t xml:space="preserve"> feltérképezte a tagállamok magánélet védelmére vonatkozó szabályait, és meghatározta a Róma II. rendelet hiányában felmerülő nehézségek lehetséges megoldásait.</w:t>
      </w:r>
      <w:r>
        <w:rPr>
          <w:noProof/>
          <w:sz w:val="24"/>
        </w:rPr>
        <w:t xml:space="preserve"> Emellett elsöprő támogatást mutatott a rágalmazásra alkalmazandó jog harmonizációja mellett. </w:t>
      </w:r>
    </w:p>
    <w:p w14:paraId="69A5E7D1" w14:textId="77777777" w:rsidR="00B207BD" w:rsidRPr="00392DE7" w:rsidRDefault="00B207BD" w:rsidP="001D11C9">
      <w:pPr>
        <w:pStyle w:val="ListParagraph"/>
        <w:jc w:val="both"/>
        <w:rPr>
          <w:rFonts w:cs="Times New Roman"/>
          <w:noProof/>
          <w:sz w:val="24"/>
          <w:szCs w:val="24"/>
        </w:rPr>
      </w:pPr>
    </w:p>
    <w:p w14:paraId="3478FAB9" w14:textId="18183BFB" w:rsidR="00A9399C" w:rsidRDefault="56D2E7B0" w:rsidP="00A9399C">
      <w:pPr>
        <w:pStyle w:val="ListParagraph"/>
        <w:jc w:val="both"/>
        <w:rPr>
          <w:rFonts w:cs="Times New Roman"/>
          <w:noProof/>
          <w:sz w:val="24"/>
          <w:szCs w:val="24"/>
        </w:rPr>
      </w:pPr>
      <w:r>
        <w:rPr>
          <w:noProof/>
        </w:rPr>
        <w:t xml:space="preserve">A 2008. évi tanulmány közzétételét követően az Európai Parlament 2012-ben </w:t>
      </w:r>
      <w:hyperlink r:id="rId33" w:history="1">
        <w:r>
          <w:rPr>
            <w:rStyle w:val="Hyperlink"/>
            <w:noProof/>
            <w:sz w:val="24"/>
          </w:rPr>
          <w:t>állásfoglalást</w:t>
        </w:r>
      </w:hyperlink>
      <w:r>
        <w:rPr>
          <w:noProof/>
        </w:rPr>
        <w:t xml:space="preserve"> fogadott el, amelyben javasolta, hogy a Róma II. rendeletet egészítsék ki a magánéletre és a személyiségi jogokra vonatkozó kollíziós szabállyal, amely egy minősített </w:t>
      </w:r>
      <w:r>
        <w:rPr>
          <w:i/>
          <w:noProof/>
        </w:rPr>
        <w:t>lex loci damni</w:t>
      </w:r>
      <w:r>
        <w:rPr>
          <w:noProof/>
        </w:rPr>
        <w:t xml:space="preserve"> elven alapulna</w:t>
      </w:r>
      <w:r>
        <w:rPr>
          <w:rStyle w:val="FootnoteReference"/>
          <w:rFonts w:cs="Times New Roman"/>
          <w:noProof/>
          <w:sz w:val="24"/>
          <w:szCs w:val="24"/>
          <w:lang w:val="en-GB"/>
        </w:rPr>
        <w:footnoteReference w:id="15"/>
      </w:r>
      <w:r>
        <w:rPr>
          <w:noProof/>
        </w:rPr>
        <w:t>.</w:t>
      </w:r>
      <w:r>
        <w:rPr>
          <w:noProof/>
          <w:sz w:val="24"/>
        </w:rPr>
        <w:t xml:space="preserve"> </w:t>
      </w:r>
    </w:p>
    <w:p w14:paraId="2CBC6ED7" w14:textId="77777777" w:rsidR="00A9399C" w:rsidRDefault="00A9399C" w:rsidP="00A9399C">
      <w:pPr>
        <w:pStyle w:val="ListParagraph"/>
        <w:jc w:val="both"/>
        <w:rPr>
          <w:rFonts w:cs="Times New Roman"/>
          <w:noProof/>
          <w:sz w:val="24"/>
          <w:szCs w:val="24"/>
        </w:rPr>
      </w:pPr>
    </w:p>
    <w:p w14:paraId="2A5C2B0F" w14:textId="435789C2" w:rsidR="008466F7" w:rsidRDefault="314A80DD" w:rsidP="008466F7">
      <w:pPr>
        <w:pStyle w:val="ListParagraph"/>
        <w:numPr>
          <w:ilvl w:val="0"/>
          <w:numId w:val="5"/>
        </w:numPr>
        <w:jc w:val="both"/>
        <w:rPr>
          <w:rFonts w:cs="Times New Roman"/>
          <w:noProof/>
          <w:sz w:val="24"/>
          <w:szCs w:val="24"/>
        </w:rPr>
      </w:pPr>
      <w:r>
        <w:rPr>
          <w:b/>
          <w:noProof/>
          <w:sz w:val="24"/>
        </w:rPr>
        <w:t>Általános adatvédelmi rendelet</w:t>
      </w:r>
      <w:r>
        <w:rPr>
          <w:noProof/>
          <w:sz w:val="24"/>
        </w:rPr>
        <w:t>: Az EU-ban 2018 óta a természetes személyek személyes adatainak védelmére alkalmazandó (EU) 2016/679 rendelet (a továbbiakban: általános adatvédelmi rendelet) 79. és 82. cikkében harmonizálja az adatvédelmi jog magánjogi érvényesítésének egyes vonatkozásait</w:t>
      </w:r>
      <w:r>
        <w:rPr>
          <w:rStyle w:val="FootnoteReference"/>
          <w:rFonts w:cs="Times New Roman"/>
          <w:noProof/>
          <w:sz w:val="24"/>
          <w:szCs w:val="24"/>
        </w:rPr>
        <w:footnoteReference w:id="16"/>
      </w:r>
      <w:r>
        <w:rPr>
          <w:noProof/>
          <w:sz w:val="24"/>
        </w:rPr>
        <w:t xml:space="preserve">. Ezek a rendelkezések anyagi jogi szabályokat tartalmaznak az adatkezelőkkel és adatfeldolgozókkal szembeni hatékony bírósági jogorvoslathoz való jogra, valamint az általános adatvédelmi rendelet megsértése miatt az egyének által elszenvedett károkért az adatkezelőkkel és -feldolgozókkal szembeni kártérítés igényléséhez való jogra vonatkozóan. </w:t>
      </w:r>
    </w:p>
    <w:p w14:paraId="3DCE304D" w14:textId="77777777" w:rsidR="008466F7" w:rsidRDefault="008466F7" w:rsidP="00E77B60">
      <w:pPr>
        <w:pStyle w:val="ListParagraph"/>
        <w:jc w:val="both"/>
        <w:rPr>
          <w:rFonts w:cs="Times New Roman"/>
          <w:noProof/>
          <w:sz w:val="24"/>
          <w:szCs w:val="24"/>
        </w:rPr>
      </w:pPr>
    </w:p>
    <w:p w14:paraId="09618AC4" w14:textId="01452F12" w:rsidR="005A7864" w:rsidRPr="003E0D3C" w:rsidRDefault="314A80DD" w:rsidP="00E77B60">
      <w:pPr>
        <w:pStyle w:val="ListParagraph"/>
        <w:ind w:left="709"/>
        <w:jc w:val="both"/>
        <w:rPr>
          <w:rFonts w:cs="Times New Roman"/>
          <w:noProof/>
          <w:sz w:val="24"/>
          <w:szCs w:val="24"/>
        </w:rPr>
      </w:pPr>
      <w:r>
        <w:rPr>
          <w:noProof/>
          <w:sz w:val="24"/>
        </w:rPr>
        <w:t>Amennyiben a Róma II. rendelet a magánéletre és a személyiségi jogokra alkalmazandó jogszabállyal egészül ki, alaposan meg kell vizsgálni az általános adatvédelmi rendelettel való kölcsönhatást. Míg a kártérítéshez való jog azon vonatkozásait illetően, amelyeket az általános adatvédelmi rendelet egységesen szabályoz, az, hogy valamely tagállam helyett egy másik tagállam joga kerül kijelölésre a Róma II. rendelet szerinti alkalmazandó jogként, nem járna gyakorlati következményekkel, ez nem így lenne e jog azon vonatkozásai esetében, amelyekkel az általános adatvédelmi rendelet nem foglalkozik</w:t>
      </w:r>
      <w:r>
        <w:rPr>
          <w:rStyle w:val="FootnoteReference"/>
          <w:rFonts w:cs="Times New Roman"/>
          <w:noProof/>
          <w:sz w:val="24"/>
          <w:szCs w:val="24"/>
        </w:rPr>
        <w:footnoteReference w:id="17"/>
      </w:r>
      <w:r>
        <w:rPr>
          <w:noProof/>
          <w:sz w:val="24"/>
        </w:rPr>
        <w:t>.</w:t>
      </w:r>
    </w:p>
    <w:p w14:paraId="7C61894D" w14:textId="77777777" w:rsidR="00E77B60" w:rsidRPr="003E0D3C" w:rsidRDefault="00E77B60" w:rsidP="00E77B60">
      <w:pPr>
        <w:pStyle w:val="ListParagraph"/>
        <w:ind w:left="709"/>
        <w:jc w:val="both"/>
        <w:rPr>
          <w:rFonts w:cs="Times New Roman"/>
          <w:noProof/>
          <w:sz w:val="24"/>
          <w:szCs w:val="24"/>
        </w:rPr>
      </w:pPr>
    </w:p>
    <w:p w14:paraId="121390FC" w14:textId="1EACB3D8" w:rsidR="00812079" w:rsidRDefault="2995C5F7" w:rsidP="00812079">
      <w:pPr>
        <w:pStyle w:val="ListParagraph"/>
        <w:numPr>
          <w:ilvl w:val="0"/>
          <w:numId w:val="5"/>
        </w:numPr>
        <w:jc w:val="both"/>
        <w:rPr>
          <w:rFonts w:cs="Times New Roman"/>
          <w:noProof/>
          <w:sz w:val="24"/>
          <w:szCs w:val="24"/>
        </w:rPr>
      </w:pPr>
      <w:r>
        <w:rPr>
          <w:b/>
          <w:noProof/>
          <w:sz w:val="24"/>
        </w:rPr>
        <w:t>A Brüsszel Ia. rendelet és a kapcsolódó ítélkezési gyakorlat</w:t>
      </w:r>
      <w:r>
        <w:rPr>
          <w:noProof/>
          <w:sz w:val="24"/>
        </w:rPr>
        <w:t xml:space="preserve">: </w:t>
      </w:r>
      <w:r>
        <w:rPr>
          <w:noProof/>
        </w:rPr>
        <w:t>A magánélet és a személyiségi jogok megsértésére, valamint a rágalmazási keresetekre vonatkozó nemzetközi joghatósági szabályokat a Brüsszel Ia. rendelet szabályozza.</w:t>
      </w:r>
      <w:r>
        <w:rPr>
          <w:noProof/>
          <w:sz w:val="24"/>
        </w:rPr>
        <w:t xml:space="preserve"> </w:t>
      </w:r>
      <w:r>
        <w:rPr>
          <w:noProof/>
        </w:rPr>
        <w:t xml:space="preserve">Az EUB-nak hosszú </w:t>
      </w:r>
      <w:bookmarkStart w:id="8" w:name="_Hlk177573855"/>
      <w:r>
        <w:rPr>
          <w:noProof/>
        </w:rPr>
        <w:t>időn keresztül</w:t>
      </w:r>
      <w:bookmarkEnd w:id="8"/>
      <w:r>
        <w:rPr>
          <w:noProof/>
        </w:rPr>
        <w:t xml:space="preserve"> egy sor előzetes döntéshozatali eljárásban volt alkalma tisztázni ezeket a szabályokat, különösen a kár bekövetkezése helyének fogalmát mind a papíralapú kiadványokban, mind az interneten előforduló rágalmazás esetén</w:t>
      </w:r>
      <w:r>
        <w:rPr>
          <w:noProof/>
          <w:vertAlign w:val="superscript"/>
        </w:rPr>
        <w:footnoteReference w:id="18"/>
      </w:r>
      <w:r>
        <w:rPr>
          <w:noProof/>
        </w:rPr>
        <w:t>.</w:t>
      </w:r>
      <w:r>
        <w:rPr>
          <w:noProof/>
          <w:sz w:val="24"/>
        </w:rPr>
        <w:t xml:space="preserve"> Ennek megfelelően a Brüsszel Ia. rendelet értelmében a felperes belátása szerint több joghatóságban is indíthat rágalmazás miatti kártérítési keresetet</w:t>
      </w:r>
      <w:r>
        <w:rPr>
          <w:rStyle w:val="FootnoteReference"/>
          <w:rFonts w:cs="Times New Roman"/>
          <w:noProof/>
          <w:sz w:val="24"/>
          <w:szCs w:val="24"/>
        </w:rPr>
        <w:footnoteReference w:id="19"/>
      </w:r>
      <w:r>
        <w:rPr>
          <w:noProof/>
          <w:sz w:val="24"/>
        </w:rPr>
        <w:t xml:space="preserve">. </w:t>
      </w:r>
    </w:p>
    <w:p w14:paraId="13ADC334" w14:textId="77777777" w:rsidR="00812079" w:rsidRDefault="00812079" w:rsidP="00812079">
      <w:pPr>
        <w:pStyle w:val="ListParagraph"/>
        <w:jc w:val="both"/>
        <w:rPr>
          <w:rFonts w:cs="Times New Roman"/>
          <w:b/>
          <w:bCs/>
          <w:noProof/>
          <w:sz w:val="24"/>
          <w:szCs w:val="24"/>
        </w:rPr>
      </w:pPr>
    </w:p>
    <w:p w14:paraId="6D9EA5C6" w14:textId="0AD5E49C" w:rsidR="002456ED" w:rsidRPr="00511111" w:rsidRDefault="29D05DA3" w:rsidP="00511111">
      <w:pPr>
        <w:pStyle w:val="ListParagraph"/>
        <w:jc w:val="both"/>
        <w:rPr>
          <w:rFonts w:cs="Times New Roman"/>
          <w:noProof/>
          <w:sz w:val="24"/>
          <w:szCs w:val="24"/>
        </w:rPr>
      </w:pPr>
      <w:r>
        <w:rPr>
          <w:noProof/>
          <w:sz w:val="24"/>
        </w:rPr>
        <w:t>A gyakorlatban – tekintettel a rendelkezésre álló joghatóságok megválasztására és az egységes alkalmazandó jogi szabály hiányára az EU-ban – a felperesek gyakran úgy döntenek, hogy a legkedvezőbb alkalmazandó joggal rendelkező fórumon indítanak eljárást. Egyes esetekben</w:t>
      </w:r>
      <w:r>
        <w:rPr>
          <w:rStyle w:val="FootnoteReference"/>
          <w:rFonts w:cs="Times New Roman"/>
          <w:noProof/>
          <w:sz w:val="24"/>
          <w:szCs w:val="24"/>
        </w:rPr>
        <w:footnoteReference w:id="20"/>
      </w:r>
      <w:r>
        <w:rPr>
          <w:noProof/>
          <w:sz w:val="24"/>
        </w:rPr>
        <w:t xml:space="preserve"> ez a fórum meglehetősen marginális kapcsolatban állhat a szóban forgó jogvitával. Ez táptalaja lehet a bírósági zaklatási stratégiáknak, például a közéleti részvételt akadályozó stratégiai perekkel összefüggésben. </w:t>
      </w:r>
    </w:p>
    <w:p w14:paraId="7A4A976F" w14:textId="33AFA011" w:rsidR="002456ED" w:rsidRPr="00392DE7" w:rsidRDefault="002456ED" w:rsidP="00511111">
      <w:pPr>
        <w:pStyle w:val="ListParagraph"/>
        <w:jc w:val="both"/>
        <w:rPr>
          <w:rFonts w:cs="Times New Roman"/>
          <w:noProof/>
          <w:sz w:val="24"/>
          <w:szCs w:val="24"/>
        </w:rPr>
      </w:pPr>
    </w:p>
    <w:p w14:paraId="1BE2B72B" w14:textId="77777777" w:rsidR="00511111" w:rsidRDefault="417A6F31" w:rsidP="0067534B">
      <w:pPr>
        <w:pStyle w:val="ListParagraph"/>
        <w:numPr>
          <w:ilvl w:val="0"/>
          <w:numId w:val="5"/>
        </w:numPr>
        <w:jc w:val="both"/>
        <w:rPr>
          <w:rFonts w:cs="Times New Roman"/>
          <w:noProof/>
          <w:sz w:val="24"/>
          <w:szCs w:val="24"/>
        </w:rPr>
      </w:pPr>
      <w:r>
        <w:rPr>
          <w:noProof/>
          <w:sz w:val="24"/>
        </w:rPr>
        <w:t xml:space="preserve">A </w:t>
      </w:r>
      <w:r>
        <w:rPr>
          <w:b/>
          <w:noProof/>
          <w:sz w:val="24"/>
        </w:rPr>
        <w:t>stratégiai perek</w:t>
      </w:r>
      <w:r>
        <w:rPr>
          <w:noProof/>
          <w:sz w:val="24"/>
        </w:rPr>
        <w:t xml:space="preserve"> (a közéleti részvételt akadályozó stratégiai perek) olyan bírósági eljárások – jellemzően rágalmazási vagy magánélet-védelmi keresetek –, amelyeket nem valamely jog tényleges érvényesítése vagy gyakorlása céljából indítanak, hanem fő céljuk a közéleti részvétel megelőzése, korlátozása vagy szankcionálása. Az ilyen célra utaló jelek közé tartozik például a követelés túlzott jellege, több eljárás megindítása vagy az eljárási taktikák rosszhiszemű alkalmazása. Amennyiben a közéleti részvételt akadályozó stratégiai perek határokon átnyúló dimenzióval rendelkeznek, a felperesek abban a joghatóságban indíthatnak eljárást, amelyet kedvezőnek ítélnek, vagy ahol az alperesre háruló költségek különösen magasak, vagy akár több joghatóságban is. </w:t>
      </w:r>
    </w:p>
    <w:p w14:paraId="438543C8" w14:textId="77777777" w:rsidR="00511111" w:rsidRDefault="00511111" w:rsidP="00511111">
      <w:pPr>
        <w:pStyle w:val="ListParagraph"/>
        <w:jc w:val="both"/>
        <w:rPr>
          <w:rFonts w:cs="Times New Roman"/>
          <w:noProof/>
          <w:sz w:val="24"/>
          <w:szCs w:val="24"/>
        </w:rPr>
      </w:pPr>
    </w:p>
    <w:p w14:paraId="0D343D4D" w14:textId="0E8F0B85" w:rsidR="006356A9" w:rsidRDefault="02D405D5" w:rsidP="00AA0B16">
      <w:pPr>
        <w:pStyle w:val="ListParagraph"/>
        <w:jc w:val="both"/>
        <w:rPr>
          <w:rFonts w:cs="Times New Roman"/>
          <w:noProof/>
          <w:sz w:val="24"/>
          <w:szCs w:val="24"/>
        </w:rPr>
      </w:pPr>
      <w:r>
        <w:rPr>
          <w:noProof/>
        </w:rPr>
        <w:t xml:space="preserve">E jelenség EU-n belüli terjedése, valamint a nyilvános vita elfojtása révén a véleménynyilvánítás és a média szabadságára gyakorolt kockázat miatt az EU 2024-ben elfogadta </w:t>
      </w:r>
      <w:hyperlink r:id="rId34">
        <w:r>
          <w:rPr>
            <w:rStyle w:val="Hyperlink"/>
            <w:noProof/>
            <w:sz w:val="24"/>
          </w:rPr>
          <w:t>a közéleti részvételt akadályozó stratégiai perek elleni irányelvet</w:t>
        </w:r>
      </w:hyperlink>
      <w:r>
        <w:rPr>
          <w:noProof/>
        </w:rPr>
        <w:t>, hogy megfelelő eljárási biztosítékokat biztosítson az ilyen visszaélésszerű pereskedéssel szemben.</w:t>
      </w:r>
      <w:r>
        <w:rPr>
          <w:noProof/>
          <w:sz w:val="24"/>
        </w:rPr>
        <w:t xml:space="preserve"> </w:t>
      </w:r>
      <w:r>
        <w:rPr>
          <w:noProof/>
        </w:rPr>
        <w:t xml:space="preserve">A tárgyalások során az </w:t>
      </w:r>
      <w:hyperlink r:id="rId35">
        <w:r>
          <w:rPr>
            <w:rStyle w:val="Hyperlink"/>
            <w:noProof/>
            <w:sz w:val="24"/>
          </w:rPr>
          <w:t>Európai Parlament egy külön kollíziós szabály beillesztését javasolta</w:t>
        </w:r>
      </w:hyperlink>
      <w:r>
        <w:rPr>
          <w:noProof/>
        </w:rPr>
        <w:t>, de végül a társjogalkotók abban állapodtak meg, hogy a Róma II. rendelet bármely jövőbeli felülvizsgálata során értékelni kell az alkalmazandó jogra vonatkozó szabályok stratégiai perekkel kapcsolatos vonatkozásait.</w:t>
      </w:r>
      <w:r>
        <w:rPr>
          <w:noProof/>
          <w:sz w:val="24"/>
        </w:rPr>
        <w:t xml:space="preserve"> </w:t>
      </w:r>
    </w:p>
    <w:p w14:paraId="6F0EA346" w14:textId="77777777" w:rsidR="006356A9" w:rsidRDefault="006356A9" w:rsidP="00AA0B16">
      <w:pPr>
        <w:pStyle w:val="ListParagraph"/>
        <w:jc w:val="both"/>
        <w:rPr>
          <w:rFonts w:cs="Times New Roman"/>
          <w:noProof/>
          <w:sz w:val="24"/>
          <w:szCs w:val="24"/>
        </w:rPr>
      </w:pPr>
    </w:p>
    <w:p w14:paraId="66E61FF7" w14:textId="3E544086" w:rsidR="00271BC5" w:rsidRPr="00FE591F" w:rsidRDefault="09EB5DB1" w:rsidP="00FE591F">
      <w:pPr>
        <w:pStyle w:val="ListParagraph"/>
        <w:jc w:val="both"/>
        <w:rPr>
          <w:rFonts w:cs="Times New Roman"/>
          <w:noProof/>
          <w:sz w:val="24"/>
          <w:szCs w:val="24"/>
        </w:rPr>
      </w:pPr>
      <w:r>
        <w:rPr>
          <w:noProof/>
          <w:sz w:val="24"/>
        </w:rPr>
        <w:t>A közéleti részvételt akadályozó stratégiai perek közelmúltbeli jelensége kifejezetten arra mutat rá, hogy a rendelkezésre álló joghatóságok megsokszorozódásából, valamint a rágalmazással és a magánélet védelmével kapcsolatos ügyekben a kollíziós szabályok hiányából eredő problémákat visszaélésszerűen ki lehet használni a nyilvánosság részvételének akadályozására. Ezek a problémák azonban minden rágalmazási és magánélet-védelmi ügyben közösek. Ezért, ha a Róma II. rendelet kiegészülne egy kollíziós szabállyal, azt adott esetben általánosan kell alkalmazni a magánélet és a személyiségi jogok megsértésének eseteire, függetlenül attól, hogy azok visszaélésszerűek-e. Az e tekintetben megkérdezett tagállamok szintén egyetértettek abban, hogy a Róma II. rendelet minden lehetséges szabályának általánosnak kell lennie</w:t>
      </w:r>
      <w:r>
        <w:rPr>
          <w:rStyle w:val="FootnoteReference"/>
          <w:rFonts w:cs="Times New Roman"/>
          <w:noProof/>
          <w:sz w:val="24"/>
          <w:szCs w:val="24"/>
        </w:rPr>
        <w:footnoteReference w:id="21"/>
      </w:r>
      <w:r>
        <w:rPr>
          <w:noProof/>
          <w:sz w:val="24"/>
        </w:rPr>
        <w:t>.</w:t>
      </w:r>
    </w:p>
    <w:p w14:paraId="08F4CC59" w14:textId="7F3DA10E" w:rsidR="00271BC5" w:rsidRPr="00535779" w:rsidRDefault="1FA27F8E" w:rsidP="008655D8">
      <w:pPr>
        <w:jc w:val="both"/>
        <w:rPr>
          <w:rFonts w:cs="Times New Roman"/>
          <w:noProof/>
          <w:sz w:val="24"/>
          <w:szCs w:val="24"/>
        </w:rPr>
      </w:pPr>
      <w:r>
        <w:rPr>
          <w:noProof/>
          <w:sz w:val="24"/>
        </w:rPr>
        <w:t xml:space="preserve">Következésképpen úgy tűnik, hogy kritikus számú érv szól a Róma II. rendelet olyan módosításának megfontolása mellett, amely </w:t>
      </w:r>
      <w:r>
        <w:rPr>
          <w:i/>
          <w:noProof/>
          <w:sz w:val="24"/>
        </w:rPr>
        <w:t>a magánélet és a személyiségi jogok – többek között a rágalmazás – megsértéséből eredő, szerződésen kívüli kötelmi viszonyokat</w:t>
      </w:r>
      <w:r>
        <w:rPr>
          <w:noProof/>
          <w:sz w:val="24"/>
        </w:rPr>
        <w:t xml:space="preserve"> is magában foglalja. </w:t>
      </w:r>
      <w:r>
        <w:rPr>
          <w:noProof/>
        </w:rPr>
        <w:t>E megfontolás keretében átfogóan kell értékelni a Brüsszel Ia. rendelettel való kölcsönhatást és a megfelelő kollíziós szabály megfelelő lehetőségeit.</w:t>
      </w:r>
    </w:p>
    <w:p w14:paraId="69E2CD0A" w14:textId="622957DA" w:rsidR="3301140E" w:rsidRPr="007126FB" w:rsidRDefault="3301140E" w:rsidP="3301140E">
      <w:pPr>
        <w:jc w:val="both"/>
        <w:rPr>
          <w:rFonts w:cs="Times New Roman"/>
          <w:noProof/>
          <w:sz w:val="24"/>
          <w:szCs w:val="24"/>
        </w:rPr>
      </w:pPr>
    </w:p>
    <w:p w14:paraId="58A32FE6" w14:textId="48ABAF1A" w:rsidR="00733A76" w:rsidRPr="007126FB" w:rsidRDefault="0837021A" w:rsidP="00387063">
      <w:pPr>
        <w:pStyle w:val="Heading2"/>
        <w:rPr>
          <w:noProof/>
        </w:rPr>
      </w:pPr>
      <w:r>
        <w:rPr>
          <w:noProof/>
        </w:rPr>
        <w:t>3.2. Mesterséges intelligencia (MI)</w:t>
      </w:r>
    </w:p>
    <w:p w14:paraId="0CB1F72E" w14:textId="60C68AE3" w:rsidR="00F76D72" w:rsidRDefault="3C17CE4F" w:rsidP="7F70837C">
      <w:pPr>
        <w:tabs>
          <w:tab w:val="num" w:pos="1200"/>
        </w:tabs>
        <w:jc w:val="both"/>
        <w:rPr>
          <w:rFonts w:cs="Times New Roman"/>
          <w:noProof/>
          <w:sz w:val="24"/>
          <w:szCs w:val="24"/>
        </w:rPr>
      </w:pPr>
      <w:r>
        <w:rPr>
          <w:noProof/>
          <w:color w:val="000000" w:themeColor="text1"/>
          <w:sz w:val="24"/>
        </w:rPr>
        <w:t xml:space="preserve">A Róma II. rendeletnek a mesterséges intelligencia használatával kapcsolatos, szerződésen kívüli kötelmi viszonyokra vonatkozó ügyekre való jövőbeli alkalmazását befolyásolja majd az anyagi jogi rendszereknek a mesterséges intelligenciával kapcsolatos vitákra reagáló alakulása. Ahogyan több, mesterséges intelligenciát érintő ügy kerül majd a bíróságok elé, valamint a technológia fejlődésével a jogrendszereknek ki kell igazítaniuk és ki kell dolgozniuk a kereteket a mesterséges intelligencia jelentette kihívások kezelése érdekében. Ez magában foglalhatja a felelősség meghatározását, a gondossági normák megállapítását, valamint a mesterséges intelligenciával kapcsolatos jogi felelősségek meghatározását. </w:t>
      </w:r>
      <w:bookmarkStart w:id="9" w:name="_Hlk178254633"/>
      <w:r>
        <w:rPr>
          <w:noProof/>
          <w:color w:val="000000" w:themeColor="text1"/>
          <w:sz w:val="24"/>
        </w:rPr>
        <w:t>A technológia és a jogi környezet folyamatban lévő fejlődése a mesterséges intelligencia használatára vonatkozó anyagi jogi szabályok tekintetében meg fogja határozni a Róma II. rendelet MI-ügyekre való jövőbeli alkalmazásával kapcsolatos kérdéseket</w:t>
      </w:r>
      <w:r>
        <w:rPr>
          <w:rFonts w:eastAsia="Times New Roman" w:cs="Times New Roman"/>
          <w:noProof/>
          <w:color w:val="000000" w:themeColor="text1"/>
          <w:sz w:val="24"/>
          <w:szCs w:val="24"/>
          <w:vertAlign w:val="superscript"/>
        </w:rPr>
        <w:footnoteReference w:id="22"/>
      </w:r>
      <w:r>
        <w:rPr>
          <w:noProof/>
          <w:color w:val="000000" w:themeColor="text1"/>
          <w:sz w:val="24"/>
        </w:rPr>
        <w:t xml:space="preserve">. </w:t>
      </w:r>
      <w:bookmarkEnd w:id="9"/>
    </w:p>
    <w:p w14:paraId="70A7AD75" w14:textId="432F6A2F" w:rsidR="00F76D72" w:rsidRDefault="6E23F8C7" w:rsidP="005D600B">
      <w:pPr>
        <w:tabs>
          <w:tab w:val="num" w:pos="1200"/>
        </w:tabs>
        <w:jc w:val="both"/>
        <w:rPr>
          <w:rFonts w:cs="Times New Roman"/>
          <w:noProof/>
          <w:sz w:val="24"/>
          <w:szCs w:val="24"/>
        </w:rPr>
      </w:pPr>
      <w:r>
        <w:rPr>
          <w:noProof/>
          <w:sz w:val="24"/>
        </w:rPr>
        <w:t xml:space="preserve">Tekintettel azonban arra, hogy a mesterséges intelligencia egyre szélesebb körű használatával kapcsolatos nehézségek kezelésére szolgáló megközelítések azonosítása még mindig kialakulóban van, nehéz felmérni, hogy szükség lehet-e konkrét szabályokra a Róma II. rendeletben, és ha igen, milyen mértékben. A legtöbb tagállam egyetértett abban, hogy kevés gyakorlati tapasztalat áll rendelkezésre az alkalmazandó jog megválasztásával kapcsolatos problémák tekintetében a mesterséges intelligencia használatával kapcsolatos ügyekben, és ahol utaltak is esetleges problémákra, azokat nem pontosították. Rámutattak arra, hogy korai lenne megoldást keresni a problémákra anélkül, hogy megvárnák, hogy azok mik lehetnek, és felmerült a kérdés, hogy figyelembe kell-e venni egyáltalán a mesterséges intelligenciával kapcsolatos felelősségre vonatkozó különleges szabályokat, tekintve, hogy a Róma II. rendelet szándékosan technológiasemleges. </w:t>
      </w:r>
    </w:p>
    <w:p w14:paraId="745177F4" w14:textId="1D4587B3" w:rsidR="00C91B80" w:rsidRDefault="55B6BCD3" w:rsidP="00F56E82">
      <w:pPr>
        <w:tabs>
          <w:tab w:val="num" w:pos="1200"/>
        </w:tabs>
        <w:jc w:val="both"/>
        <w:rPr>
          <w:rFonts w:cs="Times New Roman"/>
          <w:noProof/>
          <w:sz w:val="24"/>
          <w:szCs w:val="24"/>
        </w:rPr>
      </w:pPr>
      <w:r>
        <w:rPr>
          <w:noProof/>
        </w:rPr>
        <w:t xml:space="preserve">Ezt az általában óvatos megközelítést követte a </w:t>
      </w:r>
      <w:hyperlink r:id="rId36">
        <w:r>
          <w:rPr>
            <w:rStyle w:val="Hyperlink"/>
            <w:noProof/>
            <w:sz w:val="24"/>
          </w:rPr>
          <w:t>2021. évi tanulmány is</w:t>
        </w:r>
      </w:hyperlink>
      <w:r>
        <w:rPr>
          <w:noProof/>
        </w:rPr>
        <w:t>, amely rámutatott arra, hogy e területen nincsenek gyakorlati példák, valamint arra, hogy a jogrendszerek még nem határozták meg az anyagi jogi felelősség megállapításával kapcsolatos megközelítésüket, különösen azt a kérdést, hogy az MI-rendszer gyártóját vagy felhasználóját kell-e elsődlegesen felelősnek tekinteni.</w:t>
      </w:r>
    </w:p>
    <w:p w14:paraId="5A8B1A09" w14:textId="32960EDA" w:rsidR="0063197F" w:rsidRDefault="6E23F8C7" w:rsidP="00F56E82">
      <w:pPr>
        <w:tabs>
          <w:tab w:val="num" w:pos="1200"/>
        </w:tabs>
        <w:jc w:val="both"/>
        <w:rPr>
          <w:rFonts w:cs="Times New Roman"/>
          <w:noProof/>
          <w:sz w:val="24"/>
          <w:szCs w:val="24"/>
        </w:rPr>
      </w:pPr>
      <w:r>
        <w:rPr>
          <w:noProof/>
          <w:sz w:val="24"/>
        </w:rPr>
        <w:t>Mindezek alapján az a következtetés vonható le, hogy – a további elemzés függvényében – előfordulhat, hogy még nem érkezett el az idő a Róma II. rendelet esetleges módosítására a mesterséges intelligenciára vonatkozó szabályok bevezetése céljából.</w:t>
      </w:r>
    </w:p>
    <w:p w14:paraId="58494E17" w14:textId="4E102033" w:rsidR="008C1A6A" w:rsidRDefault="5708E273" w:rsidP="00D61DE8">
      <w:pPr>
        <w:pStyle w:val="Heading2"/>
        <w:ind w:left="480" w:firstLine="0"/>
        <w:rPr>
          <w:noProof/>
        </w:rPr>
      </w:pPr>
      <w:r>
        <w:rPr>
          <w:noProof/>
        </w:rPr>
        <w:t>3.3. Pénzügyi piaci jogellenes károkozás és a tájékoztatóért való jogi felelősség</w:t>
      </w:r>
    </w:p>
    <w:p w14:paraId="703E1803" w14:textId="1D517F81" w:rsidR="00275632" w:rsidRPr="00197EC8" w:rsidRDefault="27766DCC" w:rsidP="00197EC8">
      <w:pPr>
        <w:tabs>
          <w:tab w:val="num" w:pos="1200"/>
        </w:tabs>
        <w:jc w:val="both"/>
        <w:rPr>
          <w:rFonts w:cs="Times New Roman"/>
          <w:noProof/>
          <w:sz w:val="24"/>
          <w:szCs w:val="24"/>
        </w:rPr>
      </w:pPr>
      <w:r>
        <w:rPr>
          <w:noProof/>
          <w:sz w:val="24"/>
        </w:rPr>
        <w:t xml:space="preserve">A Róma II. rendeletnek a pénzügyi piaci jogellenes károkozásokra és a tájékoztatóért való jogi felelősségre való alkalmazását gyakran vitatták meg, különösen a tudományos körökben. </w:t>
      </w:r>
      <w:r>
        <w:rPr>
          <w:noProof/>
        </w:rPr>
        <w:t>Különösen azzal kapcsolatban merültek fel ellentétes érvek, hogy miként kell alkalmazni a 4. cikket a pénzügyi piacon elkövetett jogellenes károkozásból eredő szerződésen kívüli kötelmi viszonyok eseteire.</w:t>
      </w:r>
      <w:r>
        <w:rPr>
          <w:noProof/>
          <w:sz w:val="24"/>
        </w:rPr>
        <w:t xml:space="preserve"> Egyes szerzők azzal érvelnek, hogy a Róma II. rendelet 4. cikkében foglalt általános szabály nem alkalmas a </w:t>
      </w:r>
      <w:r>
        <w:rPr>
          <w:b/>
          <w:noProof/>
          <w:sz w:val="24"/>
        </w:rPr>
        <w:t>pénzügyi piaci jogellenes károkozás eseteinek</w:t>
      </w:r>
      <w:r>
        <w:rPr>
          <w:noProof/>
          <w:sz w:val="24"/>
        </w:rPr>
        <w:t xml:space="preserve"> szabályozására, </w:t>
      </w:r>
      <w:r>
        <w:rPr>
          <w:b/>
          <w:noProof/>
          <w:sz w:val="24"/>
        </w:rPr>
        <w:t>beleértve a tájékoztatóért való jogi felelősség eseteit is</w:t>
      </w:r>
      <w:r>
        <w:rPr>
          <w:noProof/>
          <w:sz w:val="24"/>
        </w:rPr>
        <w:t xml:space="preserve">, mivel az elszenvedett kár csak tisztán gazdasági jellegű, ezért a </w:t>
      </w:r>
      <w:r>
        <w:rPr>
          <w:i/>
          <w:noProof/>
          <w:sz w:val="24"/>
        </w:rPr>
        <w:t>lex loci damni</w:t>
      </w:r>
      <w:r>
        <w:rPr>
          <w:noProof/>
          <w:sz w:val="24"/>
        </w:rPr>
        <w:t xml:space="preserve"> szerinti lokalizálása bonyolult. </w:t>
      </w:r>
      <w:r>
        <w:rPr>
          <w:noProof/>
        </w:rPr>
        <w:t>Ezen túlmenően, a 4. cikk (1) bekezdésének értelmezésétől függően, olyan helyzetekben, amikor az érintett befektetők vagy számláik különböző országokban találhatók, az értékpapír-kibocsátókkal (vagy más felelős személyekkel) szemben különböző jogi szabályrendszerek alapján merülhetnek fel jogi követelések egyetlen jogi aktusra, mint például a tájékoztatóban való helytelen állításokra vonatkozóan.</w:t>
      </w:r>
    </w:p>
    <w:p w14:paraId="6213D4F1" w14:textId="2D6FCD5C" w:rsidR="00F140BD" w:rsidRPr="00197EC8" w:rsidRDefault="7089B20D" w:rsidP="00197EC8">
      <w:pPr>
        <w:tabs>
          <w:tab w:val="num" w:pos="1200"/>
        </w:tabs>
        <w:jc w:val="both"/>
        <w:rPr>
          <w:rFonts w:cs="Times New Roman"/>
          <w:noProof/>
          <w:sz w:val="24"/>
          <w:szCs w:val="24"/>
        </w:rPr>
      </w:pPr>
      <w:r>
        <w:rPr>
          <w:noProof/>
          <w:sz w:val="24"/>
        </w:rPr>
        <w:t>A Róma II. rendelet szerinti tisztán pénzügyi veszteség lokalizálásának kérdése nem korlátozódik a pénzügyi piaci jogellenes károkozás eseteire</w:t>
      </w:r>
      <w:r>
        <w:rPr>
          <w:rFonts w:cs="Times New Roman"/>
          <w:noProof/>
          <w:sz w:val="24"/>
          <w:szCs w:val="24"/>
          <w:vertAlign w:val="superscript"/>
        </w:rPr>
        <w:footnoteReference w:id="23"/>
      </w:r>
      <w:r>
        <w:rPr>
          <w:noProof/>
          <w:sz w:val="24"/>
        </w:rPr>
        <w:t>, azonban leginkább ebben az összefüggésben merült fel. A Brüsszel Ia. rendelet szerinti joghatóság meghatározásával összefüggésben több előzetes döntéshozatal iránti kérelmet nyújtottak be az EUB-hoz a pénzügyi veszteségek lokalizálásával kapcsolatban, de e kérdés tekintetében még nem alakult ki egyértelmű ítélkezési gyakorlat</w:t>
      </w:r>
      <w:r>
        <w:rPr>
          <w:rFonts w:cs="Times New Roman"/>
          <w:noProof/>
          <w:sz w:val="24"/>
          <w:szCs w:val="24"/>
          <w:vertAlign w:val="superscript"/>
        </w:rPr>
        <w:footnoteReference w:id="24"/>
      </w:r>
      <w:r>
        <w:rPr>
          <w:noProof/>
          <w:sz w:val="24"/>
        </w:rPr>
        <w:t>. Ezen ítéleteknek a Róma II. rendelet kontextusába való áthelyezése nemkívánatos következményekkel járhat, beleértve az egységes pénzügyi piaci jogellenes károkozásra alkalmazandó jog széttöredezettségét</w:t>
      </w:r>
      <w:r>
        <w:rPr>
          <w:rStyle w:val="FootnoteReference"/>
          <w:rFonts w:eastAsia="Times New Roman" w:cs="Times New Roman"/>
          <w:noProof/>
          <w:sz w:val="24"/>
          <w:szCs w:val="24"/>
        </w:rPr>
        <w:footnoteReference w:id="25"/>
      </w:r>
      <w:r>
        <w:rPr>
          <w:noProof/>
          <w:sz w:val="24"/>
        </w:rPr>
        <w:t xml:space="preserve">. Az alkalmazandó jog széttöredezettsége a befektetők kollektív fellépését is megnehezítené, és a befektetők közötti védelmi normák tekintetében esetlegesen indokolatlan különbségekhez vezetne. Emellett nehéz előre megjósolni a jogot, mivel a pénzügyi eszközökkel folytatott ügyletekre általában másodlagos piacokon kerül sor, vagy a befektető szokásos tartózkodási helye vagy a számlavezető bank székhelye többnyire ismeretlen a kibocsátó (vagy közvetítő) számára. </w:t>
      </w:r>
    </w:p>
    <w:p w14:paraId="2DDD1637" w14:textId="12170804" w:rsidR="00F140BD" w:rsidRPr="00F140BD" w:rsidRDefault="4217F93E" w:rsidP="00197EC8">
      <w:pPr>
        <w:spacing w:after="0" w:line="240" w:lineRule="auto"/>
        <w:jc w:val="both"/>
        <w:rPr>
          <w:rFonts w:cs="Times New Roman"/>
          <w:noProof/>
          <w:sz w:val="24"/>
          <w:szCs w:val="24"/>
        </w:rPr>
      </w:pPr>
      <w:r>
        <w:rPr>
          <w:noProof/>
          <w:sz w:val="24"/>
        </w:rPr>
        <w:t xml:space="preserve">A megfelelő megoldás érdekében különböző alternatívákat javasoltak. </w:t>
      </w:r>
      <w:r>
        <w:rPr>
          <w:noProof/>
        </w:rPr>
        <w:t>Egyes tudósok például azt javasolták, hogy a 4. cikket értelmezzék (újra) az ítélkezési gyakorlatban egy változatlan szöveg alapján, a kár helyével kapcsolatos bizonytalanság kezelése érdekében.</w:t>
      </w:r>
      <w:r>
        <w:rPr>
          <w:noProof/>
          <w:sz w:val="24"/>
        </w:rPr>
        <w:t xml:space="preserve"> </w:t>
      </w:r>
      <w:r>
        <w:rPr>
          <w:noProof/>
        </w:rPr>
        <w:t>Nevezetesen, gyakran azzal érvelnek, hogy ennek a helynek meg kell felelnie az érintett pénzügyi piacnak.</w:t>
      </w:r>
      <w:r>
        <w:rPr>
          <w:noProof/>
          <w:sz w:val="24"/>
        </w:rPr>
        <w:t xml:space="preserve"> A további javaslatok között szerepelt például a 4. cikk (3) bekezdésében foglalt mentesítési rendelkezés alkalmazása, ami egyetlen jog alkalmazását eredményezi az egész jogvitára, például azon ország jogáét, ahol az értékpapírokat jegyzik vagy bevezették.</w:t>
      </w:r>
    </w:p>
    <w:p w14:paraId="15AA0EB4" w14:textId="77777777" w:rsidR="00F140BD" w:rsidRPr="00F140BD" w:rsidRDefault="00F140BD" w:rsidP="00F140BD">
      <w:pPr>
        <w:spacing w:after="0" w:line="240" w:lineRule="auto"/>
        <w:ind w:left="720"/>
        <w:contextualSpacing/>
        <w:jc w:val="both"/>
        <w:rPr>
          <w:rFonts w:eastAsia="Times New Roman" w:cs="Times New Roman"/>
          <w:noProof/>
          <w:kern w:val="0"/>
          <w:sz w:val="24"/>
          <w:szCs w:val="24"/>
          <w:lang w:eastAsia="en-GB"/>
          <w14:ligatures w14:val="none"/>
        </w:rPr>
      </w:pPr>
    </w:p>
    <w:p w14:paraId="773483E0" w14:textId="153920E9" w:rsidR="005B5406" w:rsidRDefault="567D3516" w:rsidP="00A60F92">
      <w:pPr>
        <w:spacing w:after="0" w:line="240" w:lineRule="auto"/>
        <w:jc w:val="both"/>
        <w:rPr>
          <w:rFonts w:eastAsia="Times New Roman" w:cs="Times New Roman"/>
          <w:noProof/>
          <w:sz w:val="24"/>
          <w:szCs w:val="24"/>
        </w:rPr>
      </w:pPr>
      <w:r>
        <w:rPr>
          <w:noProof/>
        </w:rPr>
        <w:t>Alternatív megoldásként – ezen aggályok holisztikus kezelése érdekében – javasolták a Róma II. rendelet módosítását a pénzügyi piacon elkövetett jogellenes károkozásból eredő szerződésen kívüli kötelmi viszonyokra – többek közt a tájékoztatóért való jogi felelősségre – vonatkozó speciális kollíziós szabály megállapítása érdekében</w:t>
      </w:r>
      <w:r>
        <w:rPr>
          <w:rFonts w:eastAsia="Times New Roman" w:cs="Times New Roman"/>
          <w:noProof/>
          <w:kern w:val="0"/>
          <w:sz w:val="24"/>
          <w:szCs w:val="24"/>
          <w:vertAlign w:val="superscript"/>
          <w:lang w:eastAsia="en-GB"/>
        </w:rPr>
        <w:footnoteReference w:id="26"/>
      </w:r>
      <w:r>
        <w:rPr>
          <w:noProof/>
        </w:rPr>
        <w:t>.</w:t>
      </w:r>
      <w:r>
        <w:rPr>
          <w:noProof/>
          <w:sz w:val="24"/>
        </w:rPr>
        <w:t xml:space="preserve"> Ez a szabály e kötelezettségeket </w:t>
      </w:r>
      <w:r>
        <w:rPr>
          <w:b/>
          <w:noProof/>
          <w:sz w:val="24"/>
        </w:rPr>
        <w:t>annak az országnak a jogához kötné, ahol az érintett piac található (ahol az érintett pénzügyi eszközt bevezették).</w:t>
      </w:r>
      <w:r>
        <w:rPr>
          <w:noProof/>
          <w:sz w:val="24"/>
        </w:rPr>
        <w:t xml:space="preserve"> Kérdéses azonban, hogy egy ilyen szabály minden esetben alkalmazható lenne-e, ideértve a tőzsdén nem jegyzett pénzügyi eszközöket is (tőzsdén kívüli értékesítés). Bár úgy tűnik, hogy a legtöbb tudós előnyben részesíti az érintett szabályozott piac köré szerveződő kollíziós szabály bevezetését, más javaslatok is léteznek</w:t>
      </w:r>
      <w:r>
        <w:rPr>
          <w:rStyle w:val="FootnoteReference"/>
          <w:rFonts w:eastAsia="Times New Roman" w:cs="Times New Roman"/>
          <w:noProof/>
          <w:sz w:val="24"/>
          <w:szCs w:val="24"/>
        </w:rPr>
        <w:footnoteReference w:id="27"/>
      </w:r>
      <w:r>
        <w:rPr>
          <w:noProof/>
          <w:sz w:val="24"/>
        </w:rPr>
        <w:t xml:space="preserve">. </w:t>
      </w:r>
    </w:p>
    <w:p w14:paraId="5B990143" w14:textId="77777777" w:rsidR="008A0E32" w:rsidRDefault="008A0E32" w:rsidP="00A60F92">
      <w:pPr>
        <w:spacing w:after="0" w:line="240" w:lineRule="auto"/>
        <w:jc w:val="both"/>
        <w:rPr>
          <w:rFonts w:eastAsia="Times New Roman" w:cs="Times New Roman"/>
          <w:noProof/>
          <w:sz w:val="24"/>
          <w:szCs w:val="24"/>
        </w:rPr>
      </w:pPr>
    </w:p>
    <w:p w14:paraId="6D7F61A2" w14:textId="4BB05666" w:rsidR="00B94624" w:rsidRPr="00C5481B" w:rsidRDefault="16DCD457" w:rsidP="00A60F92">
      <w:pPr>
        <w:spacing w:after="0" w:line="240" w:lineRule="auto"/>
        <w:jc w:val="both"/>
        <w:rPr>
          <w:rFonts w:cs="Times New Roman"/>
          <w:noProof/>
          <w:sz w:val="24"/>
          <w:szCs w:val="24"/>
        </w:rPr>
      </w:pPr>
      <w:bookmarkStart w:id="11" w:name="_Hlk178256098"/>
      <w:r>
        <w:rPr>
          <w:noProof/>
        </w:rPr>
        <w:t xml:space="preserve">A tagállamok a </w:t>
      </w:r>
      <w:hyperlink r:id="rId37" w:history="1">
        <w:r>
          <w:rPr>
            <w:rStyle w:val="Hyperlink"/>
            <w:noProof/>
            <w:sz w:val="24"/>
          </w:rPr>
          <w:t>2021. évi tanulmányhoz</w:t>
        </w:r>
        <w:r>
          <w:rPr>
            <w:rFonts w:cs="Times New Roman"/>
            <w:noProof/>
            <w:sz w:val="24"/>
            <w:szCs w:val="24"/>
            <w:vertAlign w:val="superscript"/>
            <w:lang w:val="en-US"/>
          </w:rPr>
          <w:footnoteReference w:id="28"/>
        </w:r>
      </w:hyperlink>
      <w:r>
        <w:rPr>
          <w:noProof/>
        </w:rPr>
        <w:t xml:space="preserve"> hasonlóan arról számoltak be, hogy a határokon átnyúló pénzügyi piaci jogellenes károkozással és a tájékoztatóért való jogi felelősséggel kapcsolatos esetek nem fordulnak elő gyakran, így a Róma II. rendelet alkalmazásával kapcsolatos problémák korlátozottak voltak.</w:t>
      </w:r>
      <w:r>
        <w:rPr>
          <w:noProof/>
          <w:sz w:val="24"/>
        </w:rPr>
        <w:t xml:space="preserve"> </w:t>
      </w:r>
      <w:bookmarkEnd w:id="11"/>
      <w:r>
        <w:rPr>
          <w:noProof/>
          <w:sz w:val="24"/>
        </w:rPr>
        <w:t xml:space="preserve">Másrészről három tagállam arról számolt be, hogy a Róma II. rendelet alkalmazása gyakorlati nehézségekbe ütközik a jogellenes károkozás e területén, és azt javasolta, hogy e területen külön kollíziós szabályt vegyenek fontolóra. Vagy annak az országnak a jogát javasolták, amelynek piacán az értékpapírokat jegyzik, vagy annak az országnak a jogát, ahol a kibocsátó létesítő okirat szerinti székhelye található. </w:t>
      </w:r>
    </w:p>
    <w:p w14:paraId="7D6C01B7" w14:textId="77777777" w:rsidR="00D850F5" w:rsidRPr="00392DE7" w:rsidRDefault="00D850F5" w:rsidP="0055064D">
      <w:pPr>
        <w:spacing w:after="0" w:line="240" w:lineRule="auto"/>
        <w:jc w:val="both"/>
        <w:rPr>
          <w:rFonts w:cs="Times New Roman"/>
          <w:noProof/>
          <w:sz w:val="24"/>
          <w:szCs w:val="24"/>
        </w:rPr>
      </w:pPr>
    </w:p>
    <w:p w14:paraId="4ED1B881" w14:textId="4C6594F3" w:rsidR="0055064D" w:rsidRDefault="00B957ED" w:rsidP="0055064D">
      <w:pPr>
        <w:spacing w:after="0" w:line="240" w:lineRule="auto"/>
        <w:jc w:val="both"/>
        <w:rPr>
          <w:rFonts w:cs="Times New Roman"/>
          <w:noProof/>
          <w:sz w:val="24"/>
          <w:szCs w:val="24"/>
        </w:rPr>
      </w:pPr>
      <w:r>
        <w:rPr>
          <w:noProof/>
          <w:sz w:val="24"/>
        </w:rPr>
        <w:t xml:space="preserve">Bár a problémát különösen a tudományos körök vetik fel, az Európai Unió Bíróságának a pénzügyi piaci jogsértésekre és a tájékoztatóért való jogi felelősségre vonatkozó joghatóság megállapításával összefüggésben hozott előzetes döntései azt mutatják, hogy a pénzügyi veszteség lokalizálása a gyakorló szakemberek körében is egyre inkább fontos kérdéssé válik. Ebből következik, hogy részletesebben meg kell vizsgálni, hogy miként kell kezelni azokat az eseteket, amikor a kár tisztán gazdasági jellegű, adott esetben a pénzügyi piaci jogsértésekre és a tájékoztatóért való jogi felelősségre vonatkozó különös kollíziós szabálynak a Róma II. rendeletbe való beillesztésével vagy a bíróságok általi értelmezésre bízva. </w:t>
      </w:r>
    </w:p>
    <w:p w14:paraId="35C63541" w14:textId="77777777" w:rsidR="00F56E82" w:rsidRPr="00392DE7" w:rsidRDefault="00F56E82" w:rsidP="0055064D">
      <w:pPr>
        <w:spacing w:after="0" w:line="240" w:lineRule="auto"/>
        <w:jc w:val="both"/>
        <w:rPr>
          <w:rFonts w:cs="Times New Roman"/>
          <w:noProof/>
          <w:sz w:val="24"/>
          <w:szCs w:val="24"/>
        </w:rPr>
      </w:pPr>
    </w:p>
    <w:p w14:paraId="1808FBB2" w14:textId="5803544E" w:rsidR="00D61DE8" w:rsidRDefault="7CEB18DE" w:rsidP="00D61DE8">
      <w:pPr>
        <w:pStyle w:val="Heading2"/>
        <w:ind w:left="480" w:firstLine="0"/>
        <w:rPr>
          <w:noProof/>
        </w:rPr>
      </w:pPr>
      <w:r>
        <w:rPr>
          <w:noProof/>
        </w:rPr>
        <w:t>3.4. Kollektív jogorvoslat és több felet érintő ügyek</w:t>
      </w:r>
    </w:p>
    <w:p w14:paraId="00EFDE73" w14:textId="1265BFEB" w:rsidR="002C0CB6" w:rsidRDefault="47539999" w:rsidP="002C0CB6">
      <w:pPr>
        <w:jc w:val="both"/>
        <w:rPr>
          <w:noProof/>
          <w:sz w:val="24"/>
          <w:szCs w:val="24"/>
        </w:rPr>
      </w:pPr>
      <w:r>
        <w:rPr>
          <w:noProof/>
          <w:sz w:val="24"/>
        </w:rPr>
        <w:t xml:space="preserve">A termékfelelősséget, a tisztességtelen versenyt és a szabad versenyt korlátozó cselekményeket, a tájékoztatóért való jogi felelősséget, a több járművel kapcsolatos baleseteket vagy a tömeges fogyasztói károkat magukban foglaló, több államot érintő forgatókönyvek olyan példák, amikor a károsultak egy csoportja szenvedhet kárt ugyanazon cselekmény miatt. Ezekben a helyzetekben, amikor a kollektív kereset a károsult csoport valamennyi tagjának kártérítésére irányul, a kárt önállóan és minden egyes követelés és károsult tekintetében külön-külön kell megállapítani. Ezért kollektív jogorvoslat esetén előfordulhat, hogy az eljáró bíróságnak több anyagi jogot kell alkalmaznia a csoport különböző felpereseinek követeléseire. </w:t>
      </w:r>
      <w:r>
        <w:rPr>
          <w:noProof/>
        </w:rPr>
        <w:t>Ez különösen a fogyasztók kollektív érdekeinek védelmére irányuló, a viszonylag nemrégiben elfogadott (EU) 2020/1828 irányelv</w:t>
      </w:r>
      <w:r>
        <w:rPr>
          <w:rStyle w:val="FootnoteReference"/>
          <w:rFonts w:cs="Times New Roman"/>
          <w:noProof/>
          <w:sz w:val="24"/>
          <w:szCs w:val="24"/>
        </w:rPr>
        <w:footnoteReference w:id="29"/>
      </w:r>
      <w:r>
        <w:rPr>
          <w:noProof/>
        </w:rPr>
        <w:t xml:space="preserve"> alapján indított képviseleti keresetekkel összefüggésben fordulhat elő, amennyiben a képviselt fogyasztók egynél több országban rendelkeznek lakóhellyel. A több anyagi jogi jogszabály alkalmazása általában bonyolítja az ügy értékelését, növeli a peres eljárások költségeit és hosszát, és elrettentő hatással lehet a fogyasztói mozgalmak peres stratégiáira.</w:t>
      </w:r>
      <w:r>
        <w:rPr>
          <w:noProof/>
          <w:sz w:val="24"/>
        </w:rPr>
        <w:t xml:space="preserve"> Másrészt az alternatív megoldás, vagyis az, hogy a követeléseket különböző alkalmazandó jogszabályok hatálya alá vonják attól függően, hogy a követeléseket egyénileg vagy együttesen, kollektív jogorvoslat keretében érvényesítik-e, hatással lehet az alkalmazandó jogi szabályok kiszámíthatóságára és következésképpen a jogbiztonságra.</w:t>
      </w:r>
    </w:p>
    <w:p w14:paraId="06F269B8" w14:textId="2794AFF7" w:rsidR="00D61DE8" w:rsidRDefault="47539999" w:rsidP="009B1878">
      <w:pPr>
        <w:jc w:val="both"/>
        <w:rPr>
          <w:noProof/>
          <w:sz w:val="24"/>
          <w:szCs w:val="24"/>
        </w:rPr>
      </w:pPr>
      <w:r>
        <w:rPr>
          <w:noProof/>
        </w:rPr>
        <w:t>Ami azt a kérdést illeti, hogy a Róma II. rendelet alkalmas-e a kollektív jogorvoslat kezelésére, amely számos potenciálisan alkalmazandó jogot érinthet, a 2023. évi kérdőívben szereplő tagállami vélemények eltérőek voltak.</w:t>
      </w:r>
      <w:r>
        <w:rPr>
          <w:noProof/>
          <w:sz w:val="24"/>
        </w:rPr>
        <w:t xml:space="preserve"> Bár a többség nem tett észrevételt, illetve nem találta kielégítőnek a jelenlegi helyzetet</w:t>
      </w:r>
      <w:r>
        <w:rPr>
          <w:rStyle w:val="FootnoteReference"/>
          <w:noProof/>
          <w:sz w:val="24"/>
          <w:szCs w:val="24"/>
        </w:rPr>
        <w:footnoteReference w:id="30"/>
      </w:r>
      <w:r>
        <w:rPr>
          <w:noProof/>
          <w:sz w:val="24"/>
        </w:rPr>
        <w:t>, néhányan utaltak potenciális problémákra, vagy úgy vélték, hogy a megoldás abban áll, hogy a fellépést a vonatkozó alkalmazandó jog szerint részekre bontják.</w:t>
      </w:r>
    </w:p>
    <w:p w14:paraId="24DA289C" w14:textId="615EF598" w:rsidR="00AA0822" w:rsidRDefault="3A14AAF5" w:rsidP="00A9162A">
      <w:pPr>
        <w:jc w:val="both"/>
        <w:rPr>
          <w:noProof/>
          <w:sz w:val="24"/>
          <w:szCs w:val="24"/>
        </w:rPr>
      </w:pPr>
      <w:r>
        <w:rPr>
          <w:noProof/>
          <w:sz w:val="24"/>
        </w:rPr>
        <w:t>Bár ebben a szakaszban nem vonható le az a következtetés, hogy a jelenlegi jogálláson kívül létezik-e más megoldás, amely megkönnyítené a kollektív jogorvoslatot és biztosítaná a jogbiztonságot az alkalmazandó joggal kapcsolatban, függetlenül a kártérítés igénylésére választott eljárástól, a Róma II. rendelet esetleges felülvizsgálatával összefüggésben további figyelmet kell fordítani erre az értékelésre.</w:t>
      </w:r>
    </w:p>
    <w:p w14:paraId="6B2B758C" w14:textId="2B921179" w:rsidR="006317EB" w:rsidRPr="007126FB" w:rsidRDefault="3A14AAF5" w:rsidP="004C2085">
      <w:pPr>
        <w:pStyle w:val="Heading1"/>
        <w:rPr>
          <w:noProof/>
        </w:rPr>
      </w:pPr>
      <w:r>
        <w:rPr>
          <w:noProof/>
        </w:rPr>
        <w:t xml:space="preserve"> 4. Következtetés </w:t>
      </w:r>
    </w:p>
    <w:p w14:paraId="3BEACCC4" w14:textId="07E995F9" w:rsidR="002F2BCF" w:rsidRDefault="062F3279" w:rsidP="00272FD0">
      <w:pPr>
        <w:jc w:val="both"/>
        <w:rPr>
          <w:rFonts w:cs="Times New Roman"/>
          <w:noProof/>
          <w:sz w:val="24"/>
          <w:szCs w:val="24"/>
        </w:rPr>
      </w:pPr>
      <w:r>
        <w:rPr>
          <w:noProof/>
        </w:rPr>
        <w:t>A Róma II. rendelet alkalmazásának kezdete óta eltelt tizenöt év gyakorlati tapasztalatait figyelembe véve, a tagállamoktól és az érdekelt felektől begyűjtött vélemények, valamint e tapasztalatok különböző tanulmányokban való értékelése alapján megállapítható, hogy a rendelet általában jól működik és megfelel a céljának.</w:t>
      </w:r>
      <w:r>
        <w:rPr>
          <w:noProof/>
          <w:sz w:val="24"/>
        </w:rPr>
        <w:t xml:space="preserve"> A rendelet értelmezésével kapcsolatos jogbiztonságot tovább erősítette az EUB ítéleteinek</w:t>
      </w:r>
      <w:r>
        <w:rPr>
          <w:rFonts w:cs="Times New Roman"/>
          <w:noProof/>
          <w:sz w:val="24"/>
          <w:szCs w:val="24"/>
          <w:vertAlign w:val="superscript"/>
          <w:lang w:val="en-US"/>
        </w:rPr>
        <w:footnoteReference w:id="31"/>
      </w:r>
      <w:r>
        <w:rPr>
          <w:noProof/>
          <w:sz w:val="24"/>
        </w:rPr>
        <w:t xml:space="preserve"> és a nemzeti ítélkezési gyakorlatnak a megjelenése. </w:t>
      </w:r>
    </w:p>
    <w:p w14:paraId="2C47CFCE" w14:textId="23F583EC" w:rsidR="002F2BCF" w:rsidRPr="00D24FD5" w:rsidRDefault="304AF57F" w:rsidP="00DD5E9E">
      <w:pPr>
        <w:jc w:val="both"/>
        <w:rPr>
          <w:rFonts w:cs="Times New Roman"/>
          <w:noProof/>
          <w:sz w:val="24"/>
          <w:szCs w:val="24"/>
        </w:rPr>
      </w:pPr>
      <w:r>
        <w:rPr>
          <w:noProof/>
          <w:sz w:val="24"/>
        </w:rPr>
        <w:t>E jelentés megállapításai azonban számos olyan kérdést tárnak fel, amelyek további mélyreható elemzést érdemelnek annak értékelése céljából, hogy kívánatos-e a Róma II. rendelet célzott jogszabályi kiigazítása, és hogy milyen lehetőségek állnak rendelkezésre ezek hatékony kezelésére. Ezek a kérdések különösen a következők:</w:t>
      </w:r>
    </w:p>
    <w:p w14:paraId="79379A6A" w14:textId="2549CC84" w:rsidR="00E873D9" w:rsidRDefault="0C89F261" w:rsidP="6AD07731">
      <w:pPr>
        <w:pStyle w:val="ListParagraph"/>
        <w:numPr>
          <w:ilvl w:val="0"/>
          <w:numId w:val="14"/>
        </w:numPr>
        <w:ind w:left="851"/>
        <w:jc w:val="both"/>
        <w:rPr>
          <w:rFonts w:cs="Times New Roman"/>
          <w:noProof/>
          <w:sz w:val="24"/>
          <w:szCs w:val="24"/>
        </w:rPr>
      </w:pPr>
      <w:r>
        <w:rPr>
          <w:noProof/>
          <w:sz w:val="24"/>
        </w:rPr>
        <w:t>a magánélethez való jog és a személyiségi jogok– többek között a rágalmazás – Róma II. rendelet hatálya alóli kizárásának újraértékelése,</w:t>
      </w:r>
    </w:p>
    <w:p w14:paraId="264CBACC" w14:textId="41D82DF3" w:rsidR="00D138C8" w:rsidRDefault="3F0F88F6" w:rsidP="6AD07731">
      <w:pPr>
        <w:pStyle w:val="ListParagraph"/>
        <w:numPr>
          <w:ilvl w:val="0"/>
          <w:numId w:val="14"/>
        </w:numPr>
        <w:ind w:left="851"/>
        <w:jc w:val="both"/>
        <w:rPr>
          <w:rFonts w:cs="Times New Roman"/>
          <w:noProof/>
          <w:sz w:val="24"/>
          <w:szCs w:val="24"/>
        </w:rPr>
      </w:pPr>
      <w:r>
        <w:rPr>
          <w:noProof/>
          <w:sz w:val="24"/>
        </w:rPr>
        <w:t>a Róma II. rendelet alkalmazása azokban az esetekben, amikor a kár több joghatóságban egyidejűleg következik be, ami több nemzeti jognak a szerződésen kívüli kötelmi viszonyra való esetleges alkalmazásához vezethet (pl. kollektív jogorvoslat és online elkövetett jogellenes károkozás, ideértve a szellemitulajdon-jogok online sérelmét, különösen a szerzői jogok megsértését),</w:t>
      </w:r>
    </w:p>
    <w:p w14:paraId="73E510F9" w14:textId="284F3F86" w:rsidR="004F0277" w:rsidRDefault="004F0277" w:rsidP="6AD07731">
      <w:pPr>
        <w:pStyle w:val="ListParagraph"/>
        <w:numPr>
          <w:ilvl w:val="0"/>
          <w:numId w:val="14"/>
        </w:numPr>
        <w:ind w:left="851"/>
        <w:jc w:val="both"/>
        <w:rPr>
          <w:rFonts w:cs="Times New Roman"/>
          <w:noProof/>
          <w:sz w:val="24"/>
          <w:szCs w:val="24"/>
        </w:rPr>
      </w:pPr>
      <w:r>
        <w:rPr>
          <w:noProof/>
          <w:sz w:val="24"/>
        </w:rPr>
        <w:t>tisztán vagyoni hátrányt okozó jogellenes károkozás, beleértve a pénzügyi piaci jogellenes károkozást és a tájékoztatóért való jogi felelősséget.</w:t>
      </w:r>
    </w:p>
    <w:p w14:paraId="7FAA4919" w14:textId="4BB255DA" w:rsidR="3218453C" w:rsidRDefault="3218453C" w:rsidP="3218453C">
      <w:pPr>
        <w:pStyle w:val="ListParagraph"/>
        <w:ind w:left="851"/>
        <w:jc w:val="both"/>
        <w:rPr>
          <w:rFonts w:cs="Times New Roman"/>
          <w:noProof/>
          <w:sz w:val="24"/>
          <w:szCs w:val="24"/>
        </w:rPr>
      </w:pPr>
    </w:p>
    <w:p w14:paraId="4E9A1F4F" w14:textId="564B0978" w:rsidR="00B0387C" w:rsidRPr="00915188" w:rsidRDefault="0D103B45" w:rsidP="00280935">
      <w:pPr>
        <w:jc w:val="both"/>
        <w:rPr>
          <w:rFonts w:eastAsia="Calibri" w:cs="Times New Roman"/>
          <w:i/>
          <w:iCs/>
          <w:noProof/>
          <w:kern w:val="0"/>
          <w:sz w:val="20"/>
          <w:szCs w:val="20"/>
          <w14:ligatures w14:val="none"/>
        </w:rPr>
      </w:pPr>
      <w:r>
        <w:rPr>
          <w:noProof/>
        </w:rPr>
        <w:t>Ennek alapján, annak értékelése céljából, hogy szükség van-e jogszabályi változtatásra, a Bizottság további elemzést fog végezni annak érdekében, hogy mérlegelje és adott esetben előkészítse a rendeletnek a minőségi jogalkotásra vonatkozó szabályokkal összhangban történő módosítására vagy átdolgozására irányuló javaslatot.</w:t>
      </w:r>
      <w:r>
        <w:rPr>
          <w:noProof/>
          <w:sz w:val="24"/>
        </w:rPr>
        <w:t xml:space="preserve"> </w:t>
      </w:r>
      <w:r>
        <w:rPr>
          <w:noProof/>
        </w:rPr>
        <w:t>Ebben az összefüggésben további elemzés végezhető annak érdekében, hogy értékelni lehessen az egyéb elképzelhető módosítások előnyeit, vagy azokon a területeken, ahol a meglévő szabályok teljes mértékben megfelelőek, az alkalmazásuk megkönnyítése érdekében a lehetséges szövegbeli pontosítások előnyeit</w:t>
      </w:r>
      <w:bookmarkEnd w:id="1"/>
      <w:r>
        <w:rPr>
          <w:noProof/>
        </w:rPr>
        <w:t>.</w:t>
      </w:r>
    </w:p>
    <w:sectPr w:rsidR="00B0387C" w:rsidRPr="00915188" w:rsidSect="00280935">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C45B8" w14:textId="77777777" w:rsidR="00962D20" w:rsidRDefault="00962D20" w:rsidP="00796A4E">
      <w:pPr>
        <w:spacing w:after="0" w:line="240" w:lineRule="auto"/>
      </w:pPr>
      <w:r>
        <w:separator/>
      </w:r>
    </w:p>
  </w:endnote>
  <w:endnote w:type="continuationSeparator" w:id="0">
    <w:p w14:paraId="5E97236F" w14:textId="77777777" w:rsidR="00962D20" w:rsidRDefault="00962D20" w:rsidP="00796A4E">
      <w:pPr>
        <w:spacing w:after="0" w:line="240" w:lineRule="auto"/>
      </w:pPr>
      <w:r>
        <w:continuationSeparator/>
      </w:r>
    </w:p>
  </w:endnote>
  <w:endnote w:type="continuationNotice" w:id="1">
    <w:p w14:paraId="4BD52261" w14:textId="77777777" w:rsidR="00962D20" w:rsidRDefault="00962D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AF4C0" w14:textId="5622E840" w:rsidR="002143A0" w:rsidRPr="002143A0" w:rsidRDefault="002143A0" w:rsidP="002143A0">
    <w:pPr>
      <w:pStyle w:val="FooterCoverPage"/>
      <w:rPr>
        <w:rFonts w:ascii="Arial" w:hAnsi="Arial" w:cs="Arial"/>
        <w:b/>
        <w:sz w:val="48"/>
      </w:rPr>
    </w:pPr>
    <w:r w:rsidRPr="002143A0">
      <w:rPr>
        <w:rFonts w:ascii="Arial" w:hAnsi="Arial" w:cs="Arial"/>
        <w:b/>
        <w:sz w:val="48"/>
      </w:rPr>
      <w:t>HU</w:t>
    </w:r>
    <w:r w:rsidRPr="002143A0">
      <w:rPr>
        <w:rFonts w:ascii="Arial" w:hAnsi="Arial" w:cs="Arial"/>
        <w:b/>
        <w:sz w:val="48"/>
      </w:rPr>
      <w:tab/>
    </w:r>
    <w:r w:rsidRPr="002143A0">
      <w:rPr>
        <w:rFonts w:ascii="Arial" w:hAnsi="Arial" w:cs="Arial"/>
        <w:b/>
        <w:sz w:val="48"/>
      </w:rPr>
      <w:tab/>
    </w:r>
    <w:r w:rsidRPr="002143A0">
      <w:tab/>
    </w:r>
    <w:r w:rsidRPr="002143A0">
      <w:rPr>
        <w:rFonts w:ascii="Arial" w:hAnsi="Arial" w:cs="Arial"/>
        <w:b/>
        <w:sz w:val="48"/>
      </w:rPr>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A1ECD" w14:textId="504B0810" w:rsidR="002143A0" w:rsidRPr="002143A0" w:rsidRDefault="002143A0" w:rsidP="002143A0">
    <w:pPr>
      <w:pStyle w:val="FooterCoverPage"/>
      <w:rPr>
        <w:rFonts w:ascii="Arial" w:hAnsi="Arial" w:cs="Arial"/>
        <w:b/>
        <w:sz w:val="48"/>
      </w:rPr>
    </w:pPr>
    <w:r w:rsidRPr="002143A0">
      <w:rPr>
        <w:rFonts w:ascii="Arial" w:hAnsi="Arial" w:cs="Arial"/>
        <w:b/>
        <w:sz w:val="48"/>
      </w:rPr>
      <w:t>HU</w:t>
    </w:r>
    <w:r w:rsidRPr="002143A0">
      <w:rPr>
        <w:rFonts w:ascii="Arial" w:hAnsi="Arial" w:cs="Arial"/>
        <w:b/>
        <w:sz w:val="48"/>
      </w:rPr>
      <w:tab/>
    </w:r>
    <w:r w:rsidRPr="002143A0">
      <w:rPr>
        <w:rFonts w:ascii="Arial" w:hAnsi="Arial" w:cs="Arial"/>
        <w:b/>
        <w:sz w:val="48"/>
      </w:rPr>
      <w:tab/>
    </w:r>
    <w:r w:rsidRPr="002143A0">
      <w:tab/>
    </w:r>
    <w:r w:rsidRPr="002143A0">
      <w:rPr>
        <w:rFonts w:ascii="Arial" w:hAnsi="Arial" w:cs="Arial"/>
        <w:b/>
        <w:sz w:val="48"/>
      </w:rPr>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66D5D" w14:textId="77777777" w:rsidR="002143A0" w:rsidRPr="002143A0" w:rsidRDefault="002143A0" w:rsidP="002143A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11805" w14:textId="77777777" w:rsidR="005B30BF" w:rsidRDefault="005B30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760722"/>
      <w:docPartObj>
        <w:docPartGallery w:val="Page Numbers (Bottom of Page)"/>
        <w:docPartUnique/>
      </w:docPartObj>
    </w:sdtPr>
    <w:sdtEndPr>
      <w:rPr>
        <w:noProof/>
      </w:rPr>
    </w:sdtEndPr>
    <w:sdtContent>
      <w:p w14:paraId="0F09A13B" w14:textId="6E1AEC93" w:rsidR="005B30BF" w:rsidRDefault="005B30BF">
        <w:pPr>
          <w:pStyle w:val="Footer"/>
          <w:jc w:val="center"/>
        </w:pPr>
        <w:r>
          <w:fldChar w:fldCharType="begin"/>
        </w:r>
        <w:r>
          <w:instrText xml:space="preserve"> PAGE   \* MERGEFORMAT </w:instrText>
        </w:r>
        <w:r>
          <w:fldChar w:fldCharType="separate"/>
        </w:r>
        <w:r w:rsidR="002143A0">
          <w:rPr>
            <w:noProof/>
          </w:rPr>
          <w:t>1</w:t>
        </w:r>
        <w:r>
          <w:fldChar w:fldCharType="end"/>
        </w:r>
      </w:p>
    </w:sdtContent>
  </w:sdt>
  <w:p w14:paraId="7F7B129F" w14:textId="77777777" w:rsidR="005B30BF" w:rsidRDefault="005B30BF" w:rsidP="007E6160">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A9E6" w14:textId="77777777" w:rsidR="005B30BF" w:rsidRDefault="005B3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4095C" w14:textId="77777777" w:rsidR="00962D20" w:rsidRDefault="00962D20" w:rsidP="00796A4E">
      <w:pPr>
        <w:spacing w:after="0" w:line="240" w:lineRule="auto"/>
      </w:pPr>
      <w:r>
        <w:separator/>
      </w:r>
    </w:p>
  </w:footnote>
  <w:footnote w:type="continuationSeparator" w:id="0">
    <w:p w14:paraId="6CE903E1" w14:textId="77777777" w:rsidR="00962D20" w:rsidRDefault="00962D20" w:rsidP="00796A4E">
      <w:pPr>
        <w:spacing w:after="0" w:line="240" w:lineRule="auto"/>
      </w:pPr>
      <w:r>
        <w:continuationSeparator/>
      </w:r>
    </w:p>
  </w:footnote>
  <w:footnote w:type="continuationNotice" w:id="1">
    <w:p w14:paraId="30CE6D43" w14:textId="77777777" w:rsidR="00962D20" w:rsidRDefault="00962D20">
      <w:pPr>
        <w:spacing w:after="0" w:line="240" w:lineRule="auto"/>
      </w:pPr>
    </w:p>
  </w:footnote>
  <w:footnote w:id="2">
    <w:p w14:paraId="722CDBED" w14:textId="1D679780" w:rsidR="001B3658" w:rsidRDefault="001B3658" w:rsidP="00915188">
      <w:pPr>
        <w:pStyle w:val="FootnoteText"/>
        <w:jc w:val="both"/>
      </w:pPr>
      <w:r>
        <w:rPr>
          <w:rStyle w:val="FootnoteReference"/>
        </w:rPr>
        <w:footnoteRef/>
      </w:r>
      <w:r>
        <w:t xml:space="preserve"> A tanulmányok részletes adatai a bizottsági szolgálati munkadokumentum 2. szakaszában találhatók.</w:t>
      </w:r>
    </w:p>
  </w:footnote>
  <w:footnote w:id="3">
    <w:p w14:paraId="15A3C34D" w14:textId="2A2BC345" w:rsidR="003476E8" w:rsidRPr="00184E0B" w:rsidRDefault="003476E8" w:rsidP="00915188">
      <w:pPr>
        <w:pStyle w:val="FootnoteText"/>
        <w:spacing w:line="240" w:lineRule="auto"/>
        <w:jc w:val="both"/>
        <w:rPr>
          <w:rFonts w:cs="Times New Roman"/>
        </w:rPr>
      </w:pPr>
      <w:r>
        <w:rPr>
          <w:rStyle w:val="FootnoteReference"/>
          <w:rFonts w:cs="Times New Roman"/>
        </w:rPr>
        <w:footnoteRef/>
      </w:r>
      <w:r>
        <w:t xml:space="preserve"> A kérdőívvel kapcsolatos részletes adatok a bizottsági szolgálati munkadokumentum 3. szakaszában találhatók.</w:t>
      </w:r>
    </w:p>
  </w:footnote>
  <w:footnote w:id="4">
    <w:p w14:paraId="4534589F" w14:textId="6BEF09A0" w:rsidR="00365673" w:rsidRDefault="00365673" w:rsidP="00915188">
      <w:pPr>
        <w:pStyle w:val="FootnoteText"/>
        <w:jc w:val="both"/>
      </w:pPr>
      <w:r>
        <w:rPr>
          <w:rStyle w:val="FootnoteReference"/>
        </w:rPr>
        <w:footnoteRef/>
      </w:r>
      <w:r>
        <w:t xml:space="preserve"> Lásd a bizottsági szolgálati munkadokumentumnak az egyes konkrét követelések jellemzésével kapcsolatos fennmaradó bizonytalanságokról szóló 1. szakaszát.</w:t>
      </w:r>
    </w:p>
  </w:footnote>
  <w:footnote w:id="5">
    <w:p w14:paraId="7FBF1A15" w14:textId="4C513DFA" w:rsidR="00EB3CFA" w:rsidRDefault="00EB3CFA" w:rsidP="00EB3CFA">
      <w:pPr>
        <w:pStyle w:val="FootnoteText"/>
        <w:jc w:val="both"/>
      </w:pPr>
      <w:r>
        <w:rPr>
          <w:rStyle w:val="FootnoteReference"/>
        </w:rPr>
        <w:footnoteRef/>
      </w:r>
      <w:r>
        <w:t xml:space="preserve"> Az ítélkezési gyakorlat a bizottsági szolgálati munkadokumentum 4. szakaszában található.</w:t>
      </w:r>
    </w:p>
  </w:footnote>
  <w:footnote w:id="6">
    <w:p w14:paraId="3C0250C5" w14:textId="63C38D97" w:rsidR="7F70837C" w:rsidRDefault="7F70837C" w:rsidP="00915188">
      <w:pPr>
        <w:pStyle w:val="FootnoteText"/>
        <w:jc w:val="both"/>
      </w:pPr>
      <w:r>
        <w:rPr>
          <w:rStyle w:val="FootnoteReference"/>
        </w:rPr>
        <w:footnoteRef/>
      </w:r>
      <w:r>
        <w:t xml:space="preserve"> Lásd a bizottsági szolgálati munkadokumentum 4. szakaszát, Wunner-ügy, még folyamatban van.</w:t>
      </w:r>
    </w:p>
  </w:footnote>
  <w:footnote w:id="7">
    <w:p w14:paraId="0438AA40" w14:textId="77777777" w:rsidR="00365673" w:rsidRDefault="00365673" w:rsidP="00915188">
      <w:pPr>
        <w:pStyle w:val="FootnoteText"/>
        <w:jc w:val="both"/>
      </w:pPr>
      <w:r>
        <w:rPr>
          <w:rStyle w:val="FootnoteReference"/>
        </w:rPr>
        <w:footnoteRef/>
      </w:r>
      <w:r>
        <w:t xml:space="preserve"> A részleteket lásd a 3.1. fejezetben.</w:t>
      </w:r>
    </w:p>
  </w:footnote>
  <w:footnote w:id="8">
    <w:p w14:paraId="0CE80E9A" w14:textId="601BB7AA" w:rsidR="00365673" w:rsidRDefault="00365673" w:rsidP="00915188">
      <w:pPr>
        <w:pStyle w:val="FootnoteText"/>
        <w:jc w:val="both"/>
      </w:pPr>
      <w:r>
        <w:rPr>
          <w:rStyle w:val="FootnoteReference"/>
        </w:rPr>
        <w:footnoteRef/>
      </w:r>
      <w:r>
        <w:t xml:space="preserve"> A pénzügyi piaci károk tekintetében lásd a 3.3. fejezetet. További részletek találhatók a bizottsági szolgálati munkadokumentum 1. szakaszában.</w:t>
      </w:r>
    </w:p>
  </w:footnote>
  <w:footnote w:id="9">
    <w:p w14:paraId="5FD2C33E" w14:textId="2261DE7C" w:rsidR="0097208B" w:rsidRDefault="0097208B" w:rsidP="004F41A6">
      <w:pPr>
        <w:pStyle w:val="FootnoteText"/>
        <w:jc w:val="both"/>
      </w:pPr>
      <w:r>
        <w:rPr>
          <w:rStyle w:val="FootnoteReference"/>
        </w:rPr>
        <w:footnoteRef/>
      </w:r>
      <w:r>
        <w:t xml:space="preserve"> Lásd a bizottsági szolgálati munkadokumentum 1. szakaszának 1.2.2. bekezdését. A kérdés az, hogy az első albekezdésben szereplő „termék” kifejezés vonatkozik-e i. az olyan termékre, amely nem egyezik meg a szóban forgó hibás termékkel, hanem a gyártó ugyanazon kiadásához vagy sorozatához tartozik, és ezért csak kisebb eltéréseket mutat (pl. jelölés vagy csomagolás esetén); vagy ii. bármely azonos típusú termékre.</w:t>
      </w:r>
    </w:p>
  </w:footnote>
  <w:footnote w:id="10">
    <w:p w14:paraId="0D76939D" w14:textId="6AA288A7" w:rsidR="007C1AD7" w:rsidRPr="007C1AD7" w:rsidRDefault="007C1AD7" w:rsidP="00915188">
      <w:pPr>
        <w:pStyle w:val="FootnoteText"/>
        <w:jc w:val="both"/>
      </w:pPr>
      <w:r>
        <w:rPr>
          <w:rStyle w:val="FootnoteReference"/>
        </w:rPr>
        <w:footnoteRef/>
      </w:r>
      <w:r>
        <w:t xml:space="preserve"> A szellemitulajdon-jogoknak a (26) preambulumbekezdésben szereplő nem kimerítő felsorolása ellenére.</w:t>
      </w:r>
    </w:p>
  </w:footnote>
  <w:footnote w:id="11">
    <w:p w14:paraId="38167602" w14:textId="77777777" w:rsidR="0014228B" w:rsidRDefault="0014228B" w:rsidP="0014228B">
      <w:pPr>
        <w:pStyle w:val="FootnoteText"/>
      </w:pPr>
      <w:r>
        <w:rPr>
          <w:rStyle w:val="FootnoteReference"/>
        </w:rPr>
        <w:footnoteRef/>
      </w:r>
      <w:r>
        <w:t xml:space="preserve"> </w:t>
      </w:r>
      <w:hyperlink r:id="rId1" w:history="1">
        <w:r>
          <w:rPr>
            <w:rStyle w:val="Hyperlink"/>
          </w:rPr>
          <w:t>Tanulmány a szellemitulajdon-jogok határokon átnyúló érvényesítéséről az EU-ban.</w:t>
        </w:r>
      </w:hyperlink>
      <w:r>
        <w:t xml:space="preserve"> 2021, 57., 58. o.</w:t>
      </w:r>
    </w:p>
  </w:footnote>
  <w:footnote w:id="12">
    <w:p w14:paraId="3FBA16DB" w14:textId="0B7FD0CE" w:rsidR="00466143" w:rsidRDefault="00466143" w:rsidP="00466143">
      <w:pPr>
        <w:pStyle w:val="FootnoteText"/>
        <w:jc w:val="both"/>
      </w:pPr>
      <w:r>
        <w:rPr>
          <w:rStyle w:val="FootnoteReference"/>
        </w:rPr>
        <w:footnoteRef/>
      </w:r>
      <w:r>
        <w:t xml:space="preserve"> Pl. a jogsértéssel való legszorosabb kapcsolat releváns kapcsoló elvként való alkalmazása vagy a Róma II. rendelet jelenlegi 8. cikkének (3) bekezdésével ellentétben az alkalmazandó jog megválasztásának lehetővé tétele.</w:t>
      </w:r>
    </w:p>
  </w:footnote>
  <w:footnote w:id="13">
    <w:p w14:paraId="6E09355A" w14:textId="1FA0F9D7" w:rsidR="001B0245" w:rsidRPr="001B0245" w:rsidRDefault="001B0245" w:rsidP="00915188">
      <w:pPr>
        <w:pStyle w:val="FootnoteText"/>
        <w:jc w:val="both"/>
      </w:pPr>
      <w:r>
        <w:rPr>
          <w:rStyle w:val="FootnoteReference"/>
        </w:rPr>
        <w:footnoteRef/>
      </w:r>
      <w:r>
        <w:t xml:space="preserve"> A részletek a bizottsági szolgálati munkadokumentum 1. szakaszában találhatók.</w:t>
      </w:r>
    </w:p>
  </w:footnote>
  <w:footnote w:id="14">
    <w:p w14:paraId="5CFB952C" w14:textId="51C002B5" w:rsidR="001B409D" w:rsidRPr="00184E0B" w:rsidRDefault="001B409D" w:rsidP="00915188">
      <w:pPr>
        <w:pStyle w:val="FootnoteText"/>
        <w:tabs>
          <w:tab w:val="left" w:pos="1134"/>
        </w:tabs>
        <w:spacing w:line="240" w:lineRule="auto"/>
        <w:jc w:val="both"/>
        <w:rPr>
          <w:rFonts w:cs="Times New Roman"/>
        </w:rPr>
      </w:pPr>
      <w:r>
        <w:rPr>
          <w:rStyle w:val="FootnoteReference"/>
          <w:rFonts w:cs="Times New Roman"/>
        </w:rPr>
        <w:footnoteRef/>
      </w:r>
      <w:r>
        <w:t xml:space="preserve"> Az Egyesült Királyságnak a rágalmazási ügyekben a felperest jelentősen előnyben részesítő jogalkotási megközelítése akkoriban látványosan eltért a legtöbb más tagállamétól. Lásd a </w:t>
      </w:r>
      <w:hyperlink r:id="rId2" w:history="1">
        <w:r>
          <w:rPr>
            <w:rStyle w:val="Hyperlink"/>
          </w:rPr>
          <w:t>magánélet védelméről szóló tanulmányt</w:t>
        </w:r>
      </w:hyperlink>
      <w:r>
        <w:t xml:space="preserve">. </w:t>
      </w:r>
    </w:p>
  </w:footnote>
  <w:footnote w:id="15">
    <w:p w14:paraId="7A0CD40E" w14:textId="178B44A8" w:rsidR="28BE8A80" w:rsidRPr="00184E0B" w:rsidRDefault="28BE8A80" w:rsidP="00915188">
      <w:pPr>
        <w:pStyle w:val="FootnoteText"/>
        <w:spacing w:line="240" w:lineRule="auto"/>
        <w:jc w:val="both"/>
        <w:rPr>
          <w:rFonts w:cs="Times New Roman"/>
        </w:rPr>
      </w:pPr>
      <w:r>
        <w:rPr>
          <w:rStyle w:val="FootnoteReference"/>
          <w:rFonts w:cs="Times New Roman"/>
        </w:rPr>
        <w:footnoteRef/>
      </w:r>
      <w:r>
        <w:t xml:space="preserve"> Konkrétabban, a határozat értelmében annak az országnak a jogát kell alkalmazni, amelyben a veszteség vagy kár legjelentősebb eleme(i) bekövetkezett (bekövetkeztek). Ha azonban az alperes észszerűen nem láthatta előre, hogy cselekménye ebben az országban milyen jelentős következményekkel jár, akkor annak az országnak a jogát kell alkalmazni, amelyben az alperes szokásos tartózkodási hellyel rendelkezik.</w:t>
      </w:r>
    </w:p>
  </w:footnote>
  <w:footnote w:id="16">
    <w:p w14:paraId="5F9779DB" w14:textId="7D9D68D2" w:rsidR="00887502" w:rsidRDefault="00887502">
      <w:pPr>
        <w:pStyle w:val="FootnoteText"/>
      </w:pPr>
      <w:r>
        <w:rPr>
          <w:rStyle w:val="FootnoteReference"/>
        </w:rPr>
        <w:footnoteRef/>
      </w:r>
      <w:r>
        <w:t xml:space="preserve"> Az általános adatvédelmi rendelet a személyes adatok kezelésére korlátozódik, és nem terjed ki a magánélethez való jog egyéb sérelmére. </w:t>
      </w:r>
    </w:p>
  </w:footnote>
  <w:footnote w:id="17">
    <w:p w14:paraId="35564FB5" w14:textId="1A8C6C72" w:rsidR="008F7513" w:rsidRPr="008F7513" w:rsidRDefault="008F7513" w:rsidP="00915188">
      <w:pPr>
        <w:pStyle w:val="FootnoteText"/>
        <w:jc w:val="both"/>
      </w:pPr>
      <w:r>
        <w:rPr>
          <w:rStyle w:val="FootnoteReference"/>
        </w:rPr>
        <w:footnoteRef/>
      </w:r>
      <w:r>
        <w:t xml:space="preserve"> Például az általános adatvédelmi rendeletben a károk számszerűsítésére vonatkozó szabályok hiányában az egyes tagállamok jogrendszerének feladata, hogy ilyen szabályokat írjon elő, az egyenértékűség és a tényleges érvényesülés elvének tiszteletben tartása mellett. Természetesen a Róma II. rendelet értelmében alkalmazandó tagállami jog gyakorlati következményekkel járhat a nem személyes adatokra vonatkozó és így az általános adatvédelmi rendelet által nem szabályozott követelések tekintetében is, például az elhunyt személyek vagy jogi személyek adatainak kezelésén alapuló követelések tekintetében.</w:t>
      </w:r>
    </w:p>
  </w:footnote>
  <w:footnote w:id="18">
    <w:p w14:paraId="3317B997" w14:textId="3DD48F15" w:rsidR="4BE75149" w:rsidRPr="00184E0B" w:rsidRDefault="4BE75149" w:rsidP="00915188">
      <w:pPr>
        <w:pStyle w:val="FootnoteText"/>
        <w:jc w:val="both"/>
        <w:rPr>
          <w:rFonts w:cs="Times New Roman"/>
        </w:rPr>
      </w:pPr>
      <w:r>
        <w:rPr>
          <w:rStyle w:val="FootnoteReference"/>
          <w:rFonts w:cs="Times New Roman"/>
        </w:rPr>
        <w:footnoteRef/>
      </w:r>
      <w:r>
        <w:t xml:space="preserve"> Az ítélkezési gyakorlat részleteiért lásd </w:t>
      </w:r>
      <w:hyperlink r:id="rId3">
        <w:r>
          <w:rPr>
            <w:rStyle w:val="Hyperlink"/>
          </w:rPr>
          <w:t>a Brüsszel Ia. rendelet alkalmazásáról szóló 2023. évi tanulmány</w:t>
        </w:r>
      </w:hyperlink>
      <w:r>
        <w:t xml:space="preserve"> 113. és 114. oldalát.</w:t>
      </w:r>
    </w:p>
  </w:footnote>
  <w:footnote w:id="19">
    <w:p w14:paraId="25CCD461" w14:textId="39EFBB31" w:rsidR="00812079" w:rsidRPr="00D4697D" w:rsidRDefault="00812079" w:rsidP="00915188">
      <w:pPr>
        <w:pStyle w:val="FootnoteText"/>
        <w:jc w:val="both"/>
      </w:pPr>
      <w:r>
        <w:rPr>
          <w:rStyle w:val="FootnoteReference"/>
        </w:rPr>
        <w:footnoteRef/>
      </w:r>
      <w:r>
        <w:t xml:space="preserve"> Az alperes lakóhelye szerinti általános fórumon kívül a „kár bekövetkezésének helye” magában foglalja azt a helyet is, ahol a károsult „érdekeltségeinek központja” található, mint olyan fórumot, ahol a teljes kár követelhető, igaz, csak az online rágalmazás keretében, valamint minden olyan tagállamot, ahol a rágalmazó tartalom hozzáférhető, de csak az adott tagállamban okozott kár tekintetében.</w:t>
      </w:r>
    </w:p>
  </w:footnote>
  <w:footnote w:id="20">
    <w:p w14:paraId="1B48D4A9" w14:textId="1ACB3794" w:rsidR="00E77B60" w:rsidRDefault="00E77B60" w:rsidP="00915188">
      <w:pPr>
        <w:pStyle w:val="FootnoteText"/>
        <w:jc w:val="both"/>
      </w:pPr>
      <w:r>
        <w:rPr>
          <w:rStyle w:val="FootnoteReference"/>
        </w:rPr>
        <w:footnoteRef/>
      </w:r>
      <w:r>
        <w:t xml:space="preserve"> Pl. A Gtflix TV-ügy. Lásd a bizottsági szolgálati munkadokumentum 4. mellékletét.</w:t>
      </w:r>
    </w:p>
  </w:footnote>
  <w:footnote w:id="21">
    <w:p w14:paraId="2FC5A5AC" w14:textId="011FE2D7" w:rsidR="005943A8" w:rsidRPr="005943A8" w:rsidRDefault="005943A8" w:rsidP="00915188">
      <w:pPr>
        <w:pStyle w:val="FootnoteText"/>
        <w:jc w:val="both"/>
      </w:pPr>
      <w:r>
        <w:rPr>
          <w:rStyle w:val="FootnoteReference"/>
        </w:rPr>
        <w:footnoteRef/>
      </w:r>
      <w:r>
        <w:t xml:space="preserve"> Lásd bizottsági szolgálati munkadokumentumnak a 2023. évi kérdőívről szóló 3. szakaszát. Több tagállam jelezte, hogy nincs tudomása arról, hogy a közéleti részvételt akadályozó stratégiai perek áldozatai jelentős nehézségekbe ütköznek határokon átnyúló összefüggésben, vagy kijelentette, hogy a kollíziós szabályok egységes uniós megközelítése nem enyhítheti azokat. Ezzel szemben egy tagállam kifejezetten azzal érvelt, hogy egy egységesen alkalmazandó jog révén egyszerűsödne a védelemhez való jog gyakorlása.</w:t>
      </w:r>
    </w:p>
  </w:footnote>
  <w:footnote w:id="22">
    <w:p w14:paraId="20AC4138" w14:textId="4A6B5E49" w:rsidR="00B05741" w:rsidRDefault="00B05741" w:rsidP="00FE591F">
      <w:pPr>
        <w:pStyle w:val="FootnoteText"/>
        <w:jc w:val="both"/>
      </w:pPr>
      <w:r>
        <w:rPr>
          <w:rStyle w:val="FootnoteReference"/>
        </w:rPr>
        <w:footnoteRef/>
      </w:r>
      <w:r>
        <w:t xml:space="preserve"> </w:t>
      </w:r>
      <w:bookmarkStart w:id="10" w:name="_Hlk178254682"/>
      <w:r>
        <w:t xml:space="preserve">Lásd </w:t>
      </w:r>
      <w:hyperlink r:id="rId4" w:history="1">
        <w:r>
          <w:rPr>
            <w:rStyle w:val="Hyperlink"/>
          </w:rPr>
          <w:t>a szerződésen kívüli polgári jogi felelősségre vonatkozó szabályoknak a mesterséges intelligenciához való hozzáigazításáról szóló irányelvre irányuló bizottsági javaslatot (a mesterséges intelligenciával kapcsolatos felelősségről szóló irányelv)</w:t>
        </w:r>
      </w:hyperlink>
      <w:r>
        <w:t>, COM(2022) 496 final. A javaslat nem tartalmaz kollíziós szabályokat, és bár a harmonizáció csökkenti az egyik vagy másik tagállam nemzeti jogának alkalmazásából eredő lehetséges eredménybeli különbségeket, csak a bizonyítékok ismertetésével és a bizonyítási teherrel kapcsolatos nagyon konkrét elemekkel foglalkozik, és még korlátozott alkalmazási körén belül is minimális harmonizációt jelent, így továbbra is fennmaradnak eltérések.</w:t>
      </w:r>
    </w:p>
    <w:bookmarkEnd w:id="10"/>
  </w:footnote>
  <w:footnote w:id="23">
    <w:p w14:paraId="5002C71C" w14:textId="318B35F5" w:rsidR="00AB7E5B" w:rsidRPr="00184E0B" w:rsidRDefault="00AB7E5B" w:rsidP="00915188">
      <w:pPr>
        <w:pStyle w:val="FootnoteText"/>
        <w:jc w:val="both"/>
        <w:rPr>
          <w:rFonts w:cs="Times New Roman"/>
        </w:rPr>
      </w:pPr>
      <w:r>
        <w:rPr>
          <w:rStyle w:val="FootnoteReference"/>
          <w:rFonts w:cs="Times New Roman"/>
        </w:rPr>
        <w:footnoteRef/>
      </w:r>
      <w:r>
        <w:t xml:space="preserve"> Lásd például a folyamatban lévő Wunner-ügyet, amelyben arra kérik az EUB-t, hogy határozza meg a „kár bekövetkezésének helyét” a szerencsejáték-veszteségekkel kapcsolatos jogellenes károkozásért való felelősségre vonatkozó ügyben.</w:t>
      </w:r>
    </w:p>
  </w:footnote>
  <w:footnote w:id="24">
    <w:p w14:paraId="02187894" w14:textId="44A1C182" w:rsidR="00F140BD" w:rsidRPr="00184E0B" w:rsidRDefault="00F140BD" w:rsidP="00915188">
      <w:pPr>
        <w:pStyle w:val="FootnoteText"/>
        <w:jc w:val="both"/>
        <w:rPr>
          <w:rFonts w:cs="Times New Roman"/>
        </w:rPr>
      </w:pPr>
      <w:r>
        <w:rPr>
          <w:rStyle w:val="FootnoteReference"/>
          <w:rFonts w:cs="Times New Roman"/>
        </w:rPr>
        <w:footnoteRef/>
      </w:r>
      <w:r>
        <w:t xml:space="preserve"> Az EUB például a Kolassa-ügyben megállapította, hogy a tájékoztatóban szereplő félretájékoztatásból eredő kár a befektető lakóhelyén következett be, amennyiben ez a hely egybeesik a befektető számláját kezelő bank székhelyével. Ezzel szemben a VEB kontra BP ügyben hozott legutóbbi határozatában az EUB arra a szigorúbb álláspontra helyezkedett, hogy a kár bekövetkezésének helye nem az a tagállam, ahol a számlavezető bank vagy befektetési vállalkozás székhelye található, amennyiben a szóban forgó vállalkozásra nem vonatkoztak jogszabályban előírt jelentéstételi kötelezettségek az adott tagállamban.</w:t>
      </w:r>
    </w:p>
  </w:footnote>
  <w:footnote w:id="25">
    <w:p w14:paraId="21EEBD63" w14:textId="63328896" w:rsidR="00405F46" w:rsidRPr="00405F46" w:rsidRDefault="00405F46" w:rsidP="00915188">
      <w:pPr>
        <w:pStyle w:val="FootnoteText"/>
        <w:jc w:val="both"/>
      </w:pPr>
      <w:r>
        <w:rPr>
          <w:rStyle w:val="FootnoteReference"/>
        </w:rPr>
        <w:footnoteRef/>
      </w:r>
      <w:r>
        <w:t xml:space="preserve"> Ez különösen akkor lenne így, ha azt az ítélkezési gyakorlatot követnénk, amely szerint a pénzügyi kár abban az országban található, ahol a befektetői számlát vezetik.</w:t>
      </w:r>
    </w:p>
  </w:footnote>
  <w:footnote w:id="26">
    <w:p w14:paraId="2CF342D6" w14:textId="77777777" w:rsidR="007E3C0E" w:rsidRPr="00184E0B" w:rsidRDefault="007E3C0E" w:rsidP="007E3C0E">
      <w:pPr>
        <w:spacing w:after="0" w:line="240" w:lineRule="auto"/>
        <w:jc w:val="both"/>
        <w:rPr>
          <w:rFonts w:cs="Times New Roman"/>
          <w:sz w:val="20"/>
          <w:szCs w:val="20"/>
        </w:rPr>
      </w:pPr>
      <w:r>
        <w:rPr>
          <w:rStyle w:val="FootnoteReference"/>
          <w:rFonts w:cs="Times New Roman"/>
          <w:sz w:val="20"/>
          <w:szCs w:val="20"/>
        </w:rPr>
        <w:footnoteRef/>
      </w:r>
      <w:r>
        <w:t xml:space="preserve"> Lásd például a Német Nemzetközi Magánjogi Tanács 2012. március 31-i állásfoglalásának (</w:t>
      </w:r>
      <w:r>
        <w:rPr>
          <w:i/>
          <w:iCs/>
        </w:rPr>
        <w:t>IPRax</w:t>
      </w:r>
      <w:r>
        <w:t xml:space="preserve"> 2012/5) 471. oldalát, amely egy külön kollíziós szabály bevezetését javasolja a pénzügyi jogellenes károkozásokra vonatkozóan azon ország joga alapján, ahol az érintett pénzügyi eszközzel kereskednek.</w:t>
      </w:r>
      <w:r>
        <w:rPr>
          <w:sz w:val="20"/>
        </w:rPr>
        <w:t xml:space="preserve"> A preambulumbekezdések javasolt módosítása mellett létezik továbbá egy általános mentesítési rendelkezés és az egynél több kereskedési helyszínen kereskedett eszközökre vonatkozó rendelkezés. </w:t>
      </w:r>
      <w:r>
        <w:t xml:space="preserve">Lásd még a </w:t>
      </w:r>
      <w:hyperlink r:id="rId5" w:history="1">
        <w:r>
          <w:rPr>
            <w:rStyle w:val="Hyperlink"/>
            <w:sz w:val="20"/>
          </w:rPr>
          <w:t>2021. évi tanulmány</w:t>
        </w:r>
      </w:hyperlink>
      <w:r>
        <w:t xml:space="preserve"> 34. oldalát.</w:t>
      </w:r>
    </w:p>
  </w:footnote>
  <w:footnote w:id="27">
    <w:p w14:paraId="6174EBF9" w14:textId="0C0A99D6" w:rsidR="004027D4" w:rsidRDefault="004027D4">
      <w:pPr>
        <w:pStyle w:val="FootnoteText"/>
      </w:pPr>
      <w:r>
        <w:rPr>
          <w:rStyle w:val="FootnoteReference"/>
        </w:rPr>
        <w:footnoteRef/>
      </w:r>
      <w:r>
        <w:t xml:space="preserve"> Példákért lásd a </w:t>
      </w:r>
      <w:hyperlink r:id="rId6" w:history="1">
        <w:r>
          <w:rPr>
            <w:rStyle w:val="Hyperlink"/>
          </w:rPr>
          <w:t>2021. évi tanulmány</w:t>
        </w:r>
      </w:hyperlink>
      <w:r>
        <w:t xml:space="preserve"> 33. és 239. oldalát.</w:t>
      </w:r>
    </w:p>
  </w:footnote>
  <w:footnote w:id="28">
    <w:p w14:paraId="1E373E55" w14:textId="50B4CD52" w:rsidR="00C5481B" w:rsidRPr="00184E0B" w:rsidRDefault="00C5481B" w:rsidP="00C5481B">
      <w:pPr>
        <w:pStyle w:val="FootnoteText"/>
        <w:spacing w:line="240" w:lineRule="auto"/>
        <w:jc w:val="both"/>
        <w:rPr>
          <w:rFonts w:cs="Times New Roman"/>
        </w:rPr>
      </w:pPr>
      <w:r>
        <w:rPr>
          <w:rStyle w:val="FootnoteReference"/>
          <w:rFonts w:cs="Times New Roman"/>
        </w:rPr>
        <w:footnoteRef/>
      </w:r>
      <w:r>
        <w:t xml:space="preserve"> 396. o. </w:t>
      </w:r>
    </w:p>
  </w:footnote>
  <w:footnote w:id="29">
    <w:p w14:paraId="2724D8CC" w14:textId="0C897956" w:rsidR="00761DCD" w:rsidRPr="00B81FA8" w:rsidRDefault="00761DCD" w:rsidP="00B81FA8">
      <w:pPr>
        <w:shd w:val="clear" w:color="auto" w:fill="FFFFFF" w:themeFill="background1"/>
        <w:spacing w:after="75"/>
        <w:jc w:val="both"/>
        <w:rPr>
          <w:rFonts w:ascii="Roboto" w:eastAsia="Roboto" w:hAnsi="Roboto" w:cs="Roboto"/>
          <w:i/>
          <w:iCs/>
          <w:color w:val="333333"/>
          <w:sz w:val="21"/>
          <w:szCs w:val="21"/>
        </w:rPr>
      </w:pPr>
      <w:r>
        <w:rPr>
          <w:rStyle w:val="FootnoteReference"/>
        </w:rPr>
        <w:footnoteRef/>
      </w:r>
      <w:r>
        <w:t xml:space="preserve"> </w:t>
      </w:r>
      <w:hyperlink w:history="1">
        <w:r>
          <w:rPr>
            <w:sz w:val="20"/>
          </w:rPr>
          <w:t>Az Európai Parlament és a Tanács (EU) 2020/1828 irányelve</w:t>
        </w:r>
      </w:hyperlink>
      <w:r>
        <w:t xml:space="preserve"> (2020. november 25.) a fogyasztók kollektív érdekeinek védelmére irányuló képviseleti keresetekről, HL L 409., 2020.12.4., 1. o.</w:t>
      </w:r>
    </w:p>
  </w:footnote>
  <w:footnote w:id="30">
    <w:p w14:paraId="0AA1DCA0" w14:textId="2CCD55E2" w:rsidR="009739A2" w:rsidRPr="009739A2" w:rsidRDefault="009739A2" w:rsidP="00915188">
      <w:pPr>
        <w:pStyle w:val="FootnoteText"/>
        <w:jc w:val="both"/>
      </w:pPr>
      <w:r>
        <w:rPr>
          <w:rStyle w:val="FootnoteReference"/>
        </w:rPr>
        <w:footnoteRef/>
      </w:r>
      <w:r>
        <w:t xml:space="preserve"> Egy tagállam szerint a 4. cikk (3) bekezdésének alkalmazása általában megoldást jelentene.</w:t>
      </w:r>
    </w:p>
  </w:footnote>
  <w:footnote w:id="31">
    <w:p w14:paraId="10FB9FC2" w14:textId="3F4DFCD1" w:rsidR="00A71B94" w:rsidRPr="00184E0B" w:rsidRDefault="00A71B94" w:rsidP="00915188">
      <w:pPr>
        <w:pStyle w:val="FootnoteText"/>
        <w:spacing w:line="240" w:lineRule="auto"/>
        <w:jc w:val="both"/>
        <w:rPr>
          <w:rFonts w:cs="Times New Roman"/>
        </w:rPr>
      </w:pPr>
      <w:r>
        <w:rPr>
          <w:rStyle w:val="FootnoteReference"/>
          <w:rFonts w:cs="Times New Roman"/>
        </w:rPr>
        <w:footnoteRef/>
      </w:r>
      <w:r>
        <w:t xml:space="preserve"> Lásd a bizottsági szolgálati munkadokumentumnak az ítélkezési gyakorlatról szóló 4. szakaszár.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9D8A3" w14:textId="77777777" w:rsidR="002143A0" w:rsidRPr="002143A0" w:rsidRDefault="002143A0" w:rsidP="002143A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31E0" w14:textId="77777777" w:rsidR="002143A0" w:rsidRPr="002143A0" w:rsidRDefault="002143A0" w:rsidP="002143A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3BEBC" w14:textId="77777777" w:rsidR="002143A0" w:rsidRPr="002143A0" w:rsidRDefault="002143A0" w:rsidP="002143A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5155" w14:textId="77777777" w:rsidR="005B30BF" w:rsidRDefault="005B30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ABE63" w14:textId="77777777" w:rsidR="005B30BF" w:rsidRDefault="005B30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C6727" w14:textId="77777777" w:rsidR="005B30BF" w:rsidRDefault="005B30BF">
    <w:pPr>
      <w:pStyle w:val="Header"/>
    </w:pPr>
  </w:p>
</w:hdr>
</file>

<file path=word/intelligence2.xml><?xml version="1.0" encoding="utf-8"?>
<int2:intelligence xmlns:int2="http://schemas.microsoft.com/office/intelligence/2020/intelligence" xmlns:oel="http://schemas.microsoft.com/office/2019/extlst">
  <int2:observations>
    <int2:textHash int2:hashCode="hdjhuMqlD5F1Ak" int2:id="2ymwAqm6">
      <int2:state int2:value="Rejected" int2:type="AugLoop_Text_Critique"/>
    </int2:textHash>
    <int2:textHash int2:hashCode="PU5lKDnuErTQCK" int2:id="599HuHLq">
      <int2:state int2:value="Rejected" int2:type="AugLoop_Text_Critique"/>
    </int2:textHash>
    <int2:textHash int2:hashCode="nJ6ZtNIWhSZTN5" int2:id="5XTzd2xh">
      <int2:state int2:value="Rejected" int2:type="AugLoop_Text_Critique"/>
    </int2:textHash>
    <int2:textHash int2:hashCode="wIL/VGMycrN9WZ" int2:id="6xNgzpDP">
      <int2:state int2:value="Rejected" int2:type="AugLoop_Text_Critique"/>
    </int2:textHash>
    <int2:textHash int2:hashCode="ext3m6xr4NwI6o" int2:id="Eiircx3x">
      <int2:state int2:value="Rejected" int2:type="AugLoop_Text_Critique"/>
    </int2:textHash>
    <int2:textHash int2:hashCode="hskN3/eZiJFF9L" int2:id="GaiOr2s8">
      <int2:state int2:value="Rejected" int2:type="AugLoop_Text_Critique"/>
    </int2:textHash>
    <int2:textHash int2:hashCode="yuPPycYLJiXqyq" int2:id="GrKhmGZc">
      <int2:state int2:value="Rejected" int2:type="AugLoop_Text_Critique"/>
    </int2:textHash>
    <int2:textHash int2:hashCode="BC3EUS+j05HFFw" int2:id="QDOjxzhw">
      <int2:state int2:value="Rejected" int2:type="AugLoop_Text_Critique"/>
    </int2:textHash>
    <int2:textHash int2:hashCode="U1EMrhKQ6roLZm" int2:id="tLqvn15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4DBD"/>
    <w:multiLevelType w:val="hybridMultilevel"/>
    <w:tmpl w:val="BB86A538"/>
    <w:lvl w:ilvl="0" w:tplc="CD584A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04461"/>
    <w:multiLevelType w:val="hybridMultilevel"/>
    <w:tmpl w:val="EA763FFA"/>
    <w:lvl w:ilvl="0" w:tplc="BCE4137C">
      <w:start w:val="1"/>
      <w:numFmt w:val="decimal"/>
      <w:lvlText w:val="%1)"/>
      <w:lvlJc w:val="left"/>
      <w:pPr>
        <w:ind w:left="1020" w:hanging="360"/>
      </w:pPr>
    </w:lvl>
    <w:lvl w:ilvl="1" w:tplc="FD12644E">
      <w:start w:val="1"/>
      <w:numFmt w:val="decimal"/>
      <w:lvlText w:val="%2)"/>
      <w:lvlJc w:val="left"/>
      <w:pPr>
        <w:ind w:left="1020" w:hanging="360"/>
      </w:pPr>
    </w:lvl>
    <w:lvl w:ilvl="2" w:tplc="9BBE5952">
      <w:start w:val="1"/>
      <w:numFmt w:val="decimal"/>
      <w:lvlText w:val="%3)"/>
      <w:lvlJc w:val="left"/>
      <w:pPr>
        <w:ind w:left="1020" w:hanging="360"/>
      </w:pPr>
    </w:lvl>
    <w:lvl w:ilvl="3" w:tplc="37D41A16">
      <w:start w:val="1"/>
      <w:numFmt w:val="decimal"/>
      <w:lvlText w:val="%4)"/>
      <w:lvlJc w:val="left"/>
      <w:pPr>
        <w:ind w:left="1020" w:hanging="360"/>
      </w:pPr>
    </w:lvl>
    <w:lvl w:ilvl="4" w:tplc="1E365E84">
      <w:start w:val="1"/>
      <w:numFmt w:val="decimal"/>
      <w:lvlText w:val="%5)"/>
      <w:lvlJc w:val="left"/>
      <w:pPr>
        <w:ind w:left="1020" w:hanging="360"/>
      </w:pPr>
    </w:lvl>
    <w:lvl w:ilvl="5" w:tplc="887EF11A">
      <w:start w:val="1"/>
      <w:numFmt w:val="decimal"/>
      <w:lvlText w:val="%6)"/>
      <w:lvlJc w:val="left"/>
      <w:pPr>
        <w:ind w:left="1020" w:hanging="360"/>
      </w:pPr>
    </w:lvl>
    <w:lvl w:ilvl="6" w:tplc="3BD6CFBA">
      <w:start w:val="1"/>
      <w:numFmt w:val="decimal"/>
      <w:lvlText w:val="%7)"/>
      <w:lvlJc w:val="left"/>
      <w:pPr>
        <w:ind w:left="1020" w:hanging="360"/>
      </w:pPr>
    </w:lvl>
    <w:lvl w:ilvl="7" w:tplc="8AEC1BAA">
      <w:start w:val="1"/>
      <w:numFmt w:val="decimal"/>
      <w:lvlText w:val="%8)"/>
      <w:lvlJc w:val="left"/>
      <w:pPr>
        <w:ind w:left="1020" w:hanging="360"/>
      </w:pPr>
    </w:lvl>
    <w:lvl w:ilvl="8" w:tplc="CC185E14">
      <w:start w:val="1"/>
      <w:numFmt w:val="decimal"/>
      <w:lvlText w:val="%9)"/>
      <w:lvlJc w:val="left"/>
      <w:pPr>
        <w:ind w:left="1020" w:hanging="360"/>
      </w:pPr>
    </w:lvl>
  </w:abstractNum>
  <w:abstractNum w:abstractNumId="2" w15:restartNumberingAfterBreak="0">
    <w:nsid w:val="08BC49E1"/>
    <w:multiLevelType w:val="multilevel"/>
    <w:tmpl w:val="FF646A80"/>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3D5115C"/>
    <w:multiLevelType w:val="hybridMultilevel"/>
    <w:tmpl w:val="2F6C8B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5103008"/>
    <w:multiLevelType w:val="multilevel"/>
    <w:tmpl w:val="08864854"/>
    <w:lvl w:ilvl="0">
      <w:start w:val="1"/>
      <w:numFmt w:val="decimal"/>
      <w:lvlText w:val="%1."/>
      <w:lvlJc w:val="left"/>
      <w:pPr>
        <w:ind w:left="360" w:hanging="360"/>
      </w:pPr>
      <w:rPr>
        <w:rFonts w:eastAsia="Calibri" w:hint="default"/>
        <w:b/>
        <w:i w:val="0"/>
      </w:rPr>
    </w:lvl>
    <w:lvl w:ilvl="1">
      <w:start w:val="1"/>
      <w:numFmt w:val="decimal"/>
      <w:lvlText w:val="%1.%2."/>
      <w:lvlJc w:val="left"/>
      <w:pPr>
        <w:ind w:left="360" w:hanging="360"/>
      </w:pPr>
      <w:rPr>
        <w:rFonts w:eastAsia="Calibri" w:hint="default"/>
        <w:b/>
        <w:bCs/>
        <w:i w:val="0"/>
        <w:iCs/>
      </w:rPr>
    </w:lvl>
    <w:lvl w:ilvl="2">
      <w:start w:val="1"/>
      <w:numFmt w:val="decimal"/>
      <w:lvlText w:val="%1.%2.%3."/>
      <w:lvlJc w:val="left"/>
      <w:pPr>
        <w:ind w:left="720" w:hanging="720"/>
      </w:pPr>
      <w:rPr>
        <w:rFonts w:eastAsia="Calibri" w:hint="default"/>
        <w:b/>
        <w:i w:val="0"/>
      </w:rPr>
    </w:lvl>
    <w:lvl w:ilvl="3">
      <w:start w:val="1"/>
      <w:numFmt w:val="decimal"/>
      <w:lvlText w:val="%1.%2.%3.%4."/>
      <w:lvlJc w:val="left"/>
      <w:pPr>
        <w:ind w:left="720" w:hanging="720"/>
      </w:pPr>
      <w:rPr>
        <w:rFonts w:eastAsia="Calibri" w:hint="default"/>
        <w:b/>
        <w:i w:val="0"/>
      </w:rPr>
    </w:lvl>
    <w:lvl w:ilvl="4">
      <w:start w:val="1"/>
      <w:numFmt w:val="decimal"/>
      <w:lvlText w:val="%1.%2.%3.%4.%5."/>
      <w:lvlJc w:val="left"/>
      <w:pPr>
        <w:ind w:left="1080" w:hanging="1080"/>
      </w:pPr>
      <w:rPr>
        <w:rFonts w:eastAsia="Calibri" w:hint="default"/>
        <w:b/>
        <w:i w:val="0"/>
      </w:rPr>
    </w:lvl>
    <w:lvl w:ilvl="5">
      <w:start w:val="1"/>
      <w:numFmt w:val="decimal"/>
      <w:lvlText w:val="%1.%2.%3.%4.%5.%6."/>
      <w:lvlJc w:val="left"/>
      <w:pPr>
        <w:ind w:left="1080" w:hanging="1080"/>
      </w:pPr>
      <w:rPr>
        <w:rFonts w:eastAsia="Calibri" w:hint="default"/>
        <w:b/>
        <w:i w:val="0"/>
      </w:rPr>
    </w:lvl>
    <w:lvl w:ilvl="6">
      <w:start w:val="1"/>
      <w:numFmt w:val="decimal"/>
      <w:lvlText w:val="%1.%2.%3.%4.%5.%6.%7."/>
      <w:lvlJc w:val="left"/>
      <w:pPr>
        <w:ind w:left="1440" w:hanging="1440"/>
      </w:pPr>
      <w:rPr>
        <w:rFonts w:eastAsia="Calibri" w:hint="default"/>
        <w:b/>
        <w:i w:val="0"/>
      </w:rPr>
    </w:lvl>
    <w:lvl w:ilvl="7">
      <w:start w:val="1"/>
      <w:numFmt w:val="decimal"/>
      <w:lvlText w:val="%1.%2.%3.%4.%5.%6.%7.%8."/>
      <w:lvlJc w:val="left"/>
      <w:pPr>
        <w:ind w:left="1440" w:hanging="1440"/>
      </w:pPr>
      <w:rPr>
        <w:rFonts w:eastAsia="Calibri" w:hint="default"/>
        <w:b/>
        <w:i w:val="0"/>
      </w:rPr>
    </w:lvl>
    <w:lvl w:ilvl="8">
      <w:start w:val="1"/>
      <w:numFmt w:val="decimal"/>
      <w:lvlText w:val="%1.%2.%3.%4.%5.%6.%7.%8.%9."/>
      <w:lvlJc w:val="left"/>
      <w:pPr>
        <w:ind w:left="1800" w:hanging="1800"/>
      </w:pPr>
      <w:rPr>
        <w:rFonts w:eastAsia="Calibri" w:hint="default"/>
        <w:b/>
        <w:i w:val="0"/>
      </w:rPr>
    </w:lvl>
  </w:abstractNum>
  <w:abstractNum w:abstractNumId="5" w15:restartNumberingAfterBreak="0">
    <w:nsid w:val="1999475D"/>
    <w:multiLevelType w:val="hybridMultilevel"/>
    <w:tmpl w:val="0E4AA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E454E"/>
    <w:multiLevelType w:val="multilevel"/>
    <w:tmpl w:val="9F24AD90"/>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485E44"/>
    <w:multiLevelType w:val="hybridMultilevel"/>
    <w:tmpl w:val="077EE362"/>
    <w:lvl w:ilvl="0" w:tplc="A7782518">
      <w:start w:val="1"/>
      <w:numFmt w:val="bullet"/>
      <w:lvlText w:val=""/>
      <w:lvlJc w:val="left"/>
      <w:pPr>
        <w:ind w:left="720" w:hanging="360"/>
      </w:pPr>
      <w:rPr>
        <w:rFonts w:ascii="Symbol" w:hAnsi="Symbol" w:hint="default"/>
        <w:lang w:val="en-I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3D0E76"/>
    <w:multiLevelType w:val="multilevel"/>
    <w:tmpl w:val="FF646A80"/>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B6815BD"/>
    <w:multiLevelType w:val="hybridMultilevel"/>
    <w:tmpl w:val="769C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2475F9"/>
    <w:multiLevelType w:val="hybridMultilevel"/>
    <w:tmpl w:val="24005B22"/>
    <w:lvl w:ilvl="0" w:tplc="7A5EEE3A">
      <w:start w:val="1"/>
      <w:numFmt w:val="decimal"/>
      <w:lvlText w:val="%1)"/>
      <w:lvlJc w:val="left"/>
      <w:pPr>
        <w:ind w:left="1020" w:hanging="360"/>
      </w:pPr>
    </w:lvl>
    <w:lvl w:ilvl="1" w:tplc="BF5EF382">
      <w:start w:val="1"/>
      <w:numFmt w:val="decimal"/>
      <w:lvlText w:val="%2)"/>
      <w:lvlJc w:val="left"/>
      <w:pPr>
        <w:ind w:left="1020" w:hanging="360"/>
      </w:pPr>
    </w:lvl>
    <w:lvl w:ilvl="2" w:tplc="51EAE054">
      <w:start w:val="1"/>
      <w:numFmt w:val="decimal"/>
      <w:lvlText w:val="%3)"/>
      <w:lvlJc w:val="left"/>
      <w:pPr>
        <w:ind w:left="1020" w:hanging="360"/>
      </w:pPr>
    </w:lvl>
    <w:lvl w:ilvl="3" w:tplc="8CECAE32">
      <w:start w:val="1"/>
      <w:numFmt w:val="decimal"/>
      <w:lvlText w:val="%4)"/>
      <w:lvlJc w:val="left"/>
      <w:pPr>
        <w:ind w:left="1020" w:hanging="360"/>
      </w:pPr>
    </w:lvl>
    <w:lvl w:ilvl="4" w:tplc="36501E74">
      <w:start w:val="1"/>
      <w:numFmt w:val="decimal"/>
      <w:lvlText w:val="%5)"/>
      <w:lvlJc w:val="left"/>
      <w:pPr>
        <w:ind w:left="1020" w:hanging="360"/>
      </w:pPr>
    </w:lvl>
    <w:lvl w:ilvl="5" w:tplc="B0EE1982">
      <w:start w:val="1"/>
      <w:numFmt w:val="decimal"/>
      <w:lvlText w:val="%6)"/>
      <w:lvlJc w:val="left"/>
      <w:pPr>
        <w:ind w:left="1020" w:hanging="360"/>
      </w:pPr>
    </w:lvl>
    <w:lvl w:ilvl="6" w:tplc="19E4A516">
      <w:start w:val="1"/>
      <w:numFmt w:val="decimal"/>
      <w:lvlText w:val="%7)"/>
      <w:lvlJc w:val="left"/>
      <w:pPr>
        <w:ind w:left="1020" w:hanging="360"/>
      </w:pPr>
    </w:lvl>
    <w:lvl w:ilvl="7" w:tplc="E0E08A18">
      <w:start w:val="1"/>
      <w:numFmt w:val="decimal"/>
      <w:lvlText w:val="%8)"/>
      <w:lvlJc w:val="left"/>
      <w:pPr>
        <w:ind w:left="1020" w:hanging="360"/>
      </w:pPr>
    </w:lvl>
    <w:lvl w:ilvl="8" w:tplc="1D906FA0">
      <w:start w:val="1"/>
      <w:numFmt w:val="decimal"/>
      <w:lvlText w:val="%9)"/>
      <w:lvlJc w:val="left"/>
      <w:pPr>
        <w:ind w:left="1020" w:hanging="360"/>
      </w:pPr>
    </w:lvl>
  </w:abstractNum>
  <w:abstractNum w:abstractNumId="11" w15:restartNumberingAfterBreak="0">
    <w:nsid w:val="5A553403"/>
    <w:multiLevelType w:val="multilevel"/>
    <w:tmpl w:val="554CA0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942808"/>
    <w:multiLevelType w:val="hybridMultilevel"/>
    <w:tmpl w:val="0C265F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309B6"/>
    <w:multiLevelType w:val="hybridMultilevel"/>
    <w:tmpl w:val="D13E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AB48DC"/>
    <w:multiLevelType w:val="multilevel"/>
    <w:tmpl w:val="9DDC7F8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65E6B4B"/>
    <w:multiLevelType w:val="hybridMultilevel"/>
    <w:tmpl w:val="59F207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E97D13"/>
    <w:multiLevelType w:val="multilevel"/>
    <w:tmpl w:val="19CA9DA2"/>
    <w:lvl w:ilvl="0">
      <w:start w:val="3"/>
      <w:numFmt w:val="none"/>
      <w:lvlText w:val="1."/>
      <w:lvlJc w:val="left"/>
      <w:pPr>
        <w:ind w:left="360" w:hanging="360"/>
      </w:pPr>
      <w:rPr>
        <w:rFonts w:eastAsia="Calibri" w:hint="default"/>
        <w:b/>
        <w:i w:val="0"/>
      </w:rPr>
    </w:lvl>
    <w:lvl w:ilvl="1">
      <w:start w:val="1"/>
      <w:numFmt w:val="decimal"/>
      <w:lvlText w:val="2%1.%2."/>
      <w:lvlJc w:val="left"/>
      <w:pPr>
        <w:ind w:left="360" w:hanging="360"/>
      </w:pPr>
      <w:rPr>
        <w:rFonts w:eastAsia="Calibri" w:hint="default"/>
        <w:b/>
        <w:bCs/>
        <w:i w:val="0"/>
        <w:iCs/>
      </w:rPr>
    </w:lvl>
    <w:lvl w:ilvl="2">
      <w:start w:val="1"/>
      <w:numFmt w:val="decimal"/>
      <w:lvlText w:val="%1.%2.%3."/>
      <w:lvlJc w:val="left"/>
      <w:pPr>
        <w:ind w:left="720" w:hanging="720"/>
      </w:pPr>
      <w:rPr>
        <w:rFonts w:eastAsia="Calibri" w:hint="default"/>
        <w:b/>
        <w:i w:val="0"/>
      </w:rPr>
    </w:lvl>
    <w:lvl w:ilvl="3">
      <w:start w:val="1"/>
      <w:numFmt w:val="decimal"/>
      <w:lvlText w:val="%1.%2.%3.%4."/>
      <w:lvlJc w:val="left"/>
      <w:pPr>
        <w:ind w:left="720" w:hanging="720"/>
      </w:pPr>
      <w:rPr>
        <w:rFonts w:eastAsia="Calibri" w:hint="default"/>
        <w:b/>
        <w:i w:val="0"/>
      </w:rPr>
    </w:lvl>
    <w:lvl w:ilvl="4">
      <w:start w:val="1"/>
      <w:numFmt w:val="decimal"/>
      <w:lvlText w:val="%1.%2.%3.%4.%5."/>
      <w:lvlJc w:val="left"/>
      <w:pPr>
        <w:ind w:left="1080" w:hanging="1080"/>
      </w:pPr>
      <w:rPr>
        <w:rFonts w:eastAsia="Calibri" w:hint="default"/>
        <w:b/>
        <w:i w:val="0"/>
      </w:rPr>
    </w:lvl>
    <w:lvl w:ilvl="5">
      <w:start w:val="1"/>
      <w:numFmt w:val="decimal"/>
      <w:lvlText w:val="%1.%2.%3.%4.%5.%6."/>
      <w:lvlJc w:val="left"/>
      <w:pPr>
        <w:ind w:left="1080" w:hanging="1080"/>
      </w:pPr>
      <w:rPr>
        <w:rFonts w:eastAsia="Calibri" w:hint="default"/>
        <w:b/>
        <w:i w:val="0"/>
      </w:rPr>
    </w:lvl>
    <w:lvl w:ilvl="6">
      <w:start w:val="1"/>
      <w:numFmt w:val="decimal"/>
      <w:lvlText w:val="%1.%2.%3.%4.%5.%6.%7."/>
      <w:lvlJc w:val="left"/>
      <w:pPr>
        <w:ind w:left="1440" w:hanging="1440"/>
      </w:pPr>
      <w:rPr>
        <w:rFonts w:eastAsia="Calibri" w:hint="default"/>
        <w:b/>
        <w:i w:val="0"/>
      </w:rPr>
    </w:lvl>
    <w:lvl w:ilvl="7">
      <w:start w:val="1"/>
      <w:numFmt w:val="decimal"/>
      <w:lvlText w:val="%1.%2.%3.%4.%5.%6.%7.%8."/>
      <w:lvlJc w:val="left"/>
      <w:pPr>
        <w:ind w:left="1440" w:hanging="1440"/>
      </w:pPr>
      <w:rPr>
        <w:rFonts w:eastAsia="Calibri" w:hint="default"/>
        <w:b/>
        <w:i w:val="0"/>
      </w:rPr>
    </w:lvl>
    <w:lvl w:ilvl="8">
      <w:start w:val="1"/>
      <w:numFmt w:val="decimal"/>
      <w:lvlText w:val="%1.%2.%3.%4.%5.%6.%7.%8.%9."/>
      <w:lvlJc w:val="left"/>
      <w:pPr>
        <w:ind w:left="1800" w:hanging="1800"/>
      </w:pPr>
      <w:rPr>
        <w:rFonts w:eastAsia="Calibri" w:hint="default"/>
        <w:b/>
        <w:i w:val="0"/>
      </w:rPr>
    </w:lvl>
  </w:abstractNum>
  <w:abstractNum w:abstractNumId="17" w15:restartNumberingAfterBreak="0">
    <w:nsid w:val="6D9F466E"/>
    <w:multiLevelType w:val="hybridMultilevel"/>
    <w:tmpl w:val="58203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77173"/>
    <w:multiLevelType w:val="multilevel"/>
    <w:tmpl w:val="7D78E6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3D32C7C"/>
    <w:multiLevelType w:val="hybridMultilevel"/>
    <w:tmpl w:val="BCCA45A8"/>
    <w:lvl w:ilvl="0" w:tplc="04090001">
      <w:start w:val="1"/>
      <w:numFmt w:val="bullet"/>
      <w:lvlText w:val=""/>
      <w:lvlJc w:val="left"/>
      <w:pPr>
        <w:ind w:left="1206" w:hanging="360"/>
      </w:pPr>
      <w:rPr>
        <w:rFonts w:ascii="Symbol" w:hAnsi="Symbol"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20" w15:restartNumberingAfterBreak="0">
    <w:nsid w:val="73DE5E05"/>
    <w:multiLevelType w:val="hybridMultilevel"/>
    <w:tmpl w:val="82D486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6F26663"/>
    <w:multiLevelType w:val="multilevel"/>
    <w:tmpl w:val="6324DC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5"/>
  </w:num>
  <w:num w:numId="3">
    <w:abstractNumId w:val="12"/>
  </w:num>
  <w:num w:numId="4">
    <w:abstractNumId w:val="0"/>
  </w:num>
  <w:num w:numId="5">
    <w:abstractNumId w:val="17"/>
  </w:num>
  <w:num w:numId="6">
    <w:abstractNumId w:val="15"/>
  </w:num>
  <w:num w:numId="7">
    <w:abstractNumId w:val="9"/>
  </w:num>
  <w:num w:numId="8">
    <w:abstractNumId w:val="14"/>
  </w:num>
  <w:num w:numId="9">
    <w:abstractNumId w:val="16"/>
  </w:num>
  <w:num w:numId="10">
    <w:abstractNumId w:val="3"/>
  </w:num>
  <w:num w:numId="11">
    <w:abstractNumId w:val="6"/>
  </w:num>
  <w:num w:numId="12">
    <w:abstractNumId w:val="21"/>
  </w:num>
  <w:num w:numId="13">
    <w:abstractNumId w:val="20"/>
  </w:num>
  <w:num w:numId="14">
    <w:abstractNumId w:val="19"/>
  </w:num>
  <w:num w:numId="15">
    <w:abstractNumId w:val="18"/>
  </w:num>
  <w:num w:numId="16">
    <w:abstractNumId w:val="8"/>
  </w:num>
  <w:num w:numId="17">
    <w:abstractNumId w:val="13"/>
  </w:num>
  <w:num w:numId="18">
    <w:abstractNumId w:val="7"/>
  </w:num>
  <w:num w:numId="19">
    <w:abstractNumId w:val="11"/>
  </w:num>
  <w:num w:numId="20">
    <w:abstractNumId w:val="2"/>
  </w:num>
  <w:num w:numId="21">
    <w:abstractNumId w:val="10"/>
  </w:num>
  <w:num w:numId="22">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F7E09C0-3966-41DE-A15A-AFA4A5763933"/>
    <w:docVar w:name="LW_COVERPAGE_TYPE" w:val="1"/>
    <w:docVar w:name="LW_CROSSREFERENCE" w:val="{SWD(2025) 9 final}"/>
    <w:docVar w:name="LW_DocType" w:val="NORMAL"/>
    <w:docVar w:name="LW_EMISSION" w:val="2025.1.31."/>
    <w:docVar w:name="LW_EMISSION_ISODATE" w:val="2025-01-31"/>
    <w:docVar w:name="LW_EMISSION_LOCATION" w:val="BRX"/>
    <w:docVar w:name="LW_EMISSION_PREFIX" w:val="Brüsszel, "/>
    <w:docVar w:name="LW_EMISSION_SUFFIX" w:val=" "/>
    <w:docVar w:name="LW_ID_DOCTYPE_NONLW" w:val="CP-007"/>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5) 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a szerz\u337?désen kívüli kötelmi viszonyokra alkalmazandó jogról szóló 864/2007/EK rendelet (Róma II. rendelet) alkalmazásáról"/>
    <w:docVar w:name="LW_TYPE.DOC.CP" w:val="A BIZOTTSÁG JELENTÉSE A TANÁCSNAK, AZ EURÓPAI PARLAMENTNEK ÉS AZ EURÓPAI GAZDASÁGI ÉS SZOCIÁLIS BIZOTTSÁGNAK"/>
    <w:docVar w:name="LwApiVersions" w:val="LW4CoDe 1.24.5.0; LW 9.0, Build 20240221"/>
  </w:docVars>
  <w:rsids>
    <w:rsidRoot w:val="00151E3C"/>
    <w:rsid w:val="00001384"/>
    <w:rsid w:val="000022CB"/>
    <w:rsid w:val="00003634"/>
    <w:rsid w:val="000038D4"/>
    <w:rsid w:val="00004698"/>
    <w:rsid w:val="00004B2D"/>
    <w:rsid w:val="00004C92"/>
    <w:rsid w:val="000059D4"/>
    <w:rsid w:val="00005A5E"/>
    <w:rsid w:val="00005EB0"/>
    <w:rsid w:val="00005EC2"/>
    <w:rsid w:val="00006B0B"/>
    <w:rsid w:val="00006B64"/>
    <w:rsid w:val="00006F77"/>
    <w:rsid w:val="00007B6A"/>
    <w:rsid w:val="0001016B"/>
    <w:rsid w:val="00011028"/>
    <w:rsid w:val="000116D7"/>
    <w:rsid w:val="00012239"/>
    <w:rsid w:val="00012673"/>
    <w:rsid w:val="00012863"/>
    <w:rsid w:val="0001336D"/>
    <w:rsid w:val="00013FB2"/>
    <w:rsid w:val="00014237"/>
    <w:rsid w:val="00014974"/>
    <w:rsid w:val="00014BA0"/>
    <w:rsid w:val="0001559F"/>
    <w:rsid w:val="00015AED"/>
    <w:rsid w:val="00016719"/>
    <w:rsid w:val="00016E7A"/>
    <w:rsid w:val="000173F6"/>
    <w:rsid w:val="0001A695"/>
    <w:rsid w:val="000202FA"/>
    <w:rsid w:val="00020D39"/>
    <w:rsid w:val="00020D82"/>
    <w:rsid w:val="000211AC"/>
    <w:rsid w:val="0002153A"/>
    <w:rsid w:val="000220D4"/>
    <w:rsid w:val="000225A9"/>
    <w:rsid w:val="00022741"/>
    <w:rsid w:val="00023BD1"/>
    <w:rsid w:val="00023CB2"/>
    <w:rsid w:val="00024186"/>
    <w:rsid w:val="00024F38"/>
    <w:rsid w:val="0002596D"/>
    <w:rsid w:val="000261F3"/>
    <w:rsid w:val="00026849"/>
    <w:rsid w:val="000269B0"/>
    <w:rsid w:val="000270E4"/>
    <w:rsid w:val="000274B7"/>
    <w:rsid w:val="000304B5"/>
    <w:rsid w:val="00030F42"/>
    <w:rsid w:val="00031235"/>
    <w:rsid w:val="00031407"/>
    <w:rsid w:val="00031C11"/>
    <w:rsid w:val="00031DAF"/>
    <w:rsid w:val="00032445"/>
    <w:rsid w:val="000324B2"/>
    <w:rsid w:val="0003279C"/>
    <w:rsid w:val="0003372D"/>
    <w:rsid w:val="00033912"/>
    <w:rsid w:val="0003464C"/>
    <w:rsid w:val="000347E8"/>
    <w:rsid w:val="00034C63"/>
    <w:rsid w:val="00035119"/>
    <w:rsid w:val="00035AFC"/>
    <w:rsid w:val="0003791D"/>
    <w:rsid w:val="00037BB5"/>
    <w:rsid w:val="00037FBE"/>
    <w:rsid w:val="000411E0"/>
    <w:rsid w:val="0004145B"/>
    <w:rsid w:val="00042E8A"/>
    <w:rsid w:val="000449B5"/>
    <w:rsid w:val="00044DFA"/>
    <w:rsid w:val="0004582F"/>
    <w:rsid w:val="00046333"/>
    <w:rsid w:val="000463F3"/>
    <w:rsid w:val="00047317"/>
    <w:rsid w:val="000473FE"/>
    <w:rsid w:val="0005058E"/>
    <w:rsid w:val="000509E7"/>
    <w:rsid w:val="00050BD7"/>
    <w:rsid w:val="00051227"/>
    <w:rsid w:val="000513C3"/>
    <w:rsid w:val="00051C24"/>
    <w:rsid w:val="00052C3A"/>
    <w:rsid w:val="00053999"/>
    <w:rsid w:val="00053CF9"/>
    <w:rsid w:val="000540F9"/>
    <w:rsid w:val="000548FF"/>
    <w:rsid w:val="000550D7"/>
    <w:rsid w:val="00055C1F"/>
    <w:rsid w:val="00055E4A"/>
    <w:rsid w:val="0005610B"/>
    <w:rsid w:val="000569A1"/>
    <w:rsid w:val="00056BDE"/>
    <w:rsid w:val="000603D9"/>
    <w:rsid w:val="00060423"/>
    <w:rsid w:val="00061068"/>
    <w:rsid w:val="00061CCE"/>
    <w:rsid w:val="00061F28"/>
    <w:rsid w:val="0006225C"/>
    <w:rsid w:val="00062570"/>
    <w:rsid w:val="000628B2"/>
    <w:rsid w:val="00062CCA"/>
    <w:rsid w:val="00063168"/>
    <w:rsid w:val="000634DC"/>
    <w:rsid w:val="00063856"/>
    <w:rsid w:val="00063DDC"/>
    <w:rsid w:val="00064321"/>
    <w:rsid w:val="00064784"/>
    <w:rsid w:val="000647C6"/>
    <w:rsid w:val="000647E7"/>
    <w:rsid w:val="00064A1B"/>
    <w:rsid w:val="00064C41"/>
    <w:rsid w:val="0006517C"/>
    <w:rsid w:val="00065247"/>
    <w:rsid w:val="00065B79"/>
    <w:rsid w:val="00066975"/>
    <w:rsid w:val="00066BAE"/>
    <w:rsid w:val="00066C61"/>
    <w:rsid w:val="0006794E"/>
    <w:rsid w:val="00071B68"/>
    <w:rsid w:val="00071CDC"/>
    <w:rsid w:val="00072197"/>
    <w:rsid w:val="00072263"/>
    <w:rsid w:val="00072DFD"/>
    <w:rsid w:val="00072E74"/>
    <w:rsid w:val="00073E1E"/>
    <w:rsid w:val="0007467D"/>
    <w:rsid w:val="00074777"/>
    <w:rsid w:val="00074965"/>
    <w:rsid w:val="00074F9D"/>
    <w:rsid w:val="00075809"/>
    <w:rsid w:val="00077382"/>
    <w:rsid w:val="00077635"/>
    <w:rsid w:val="00077AED"/>
    <w:rsid w:val="00077DCC"/>
    <w:rsid w:val="00080AD9"/>
    <w:rsid w:val="00081011"/>
    <w:rsid w:val="00081225"/>
    <w:rsid w:val="0008137F"/>
    <w:rsid w:val="00081982"/>
    <w:rsid w:val="00081B74"/>
    <w:rsid w:val="00081C8F"/>
    <w:rsid w:val="0008226D"/>
    <w:rsid w:val="00082D5D"/>
    <w:rsid w:val="000833B8"/>
    <w:rsid w:val="00083CAB"/>
    <w:rsid w:val="00083CCB"/>
    <w:rsid w:val="0008417C"/>
    <w:rsid w:val="00084194"/>
    <w:rsid w:val="0008529F"/>
    <w:rsid w:val="000859FF"/>
    <w:rsid w:val="00086251"/>
    <w:rsid w:val="00086428"/>
    <w:rsid w:val="00086535"/>
    <w:rsid w:val="0008E63B"/>
    <w:rsid w:val="00090088"/>
    <w:rsid w:val="000903AD"/>
    <w:rsid w:val="000903CF"/>
    <w:rsid w:val="000903DC"/>
    <w:rsid w:val="000909D9"/>
    <w:rsid w:val="00090A5F"/>
    <w:rsid w:val="00091AAC"/>
    <w:rsid w:val="00092CE7"/>
    <w:rsid w:val="000931C4"/>
    <w:rsid w:val="00093212"/>
    <w:rsid w:val="000932A9"/>
    <w:rsid w:val="00093AD7"/>
    <w:rsid w:val="00093F9A"/>
    <w:rsid w:val="00094A13"/>
    <w:rsid w:val="00094C1E"/>
    <w:rsid w:val="00095C88"/>
    <w:rsid w:val="00096DCD"/>
    <w:rsid w:val="00097985"/>
    <w:rsid w:val="000A05DF"/>
    <w:rsid w:val="000A0ACB"/>
    <w:rsid w:val="000A1D57"/>
    <w:rsid w:val="000A1F86"/>
    <w:rsid w:val="000A23DF"/>
    <w:rsid w:val="000A459D"/>
    <w:rsid w:val="000A4756"/>
    <w:rsid w:val="000A5F2A"/>
    <w:rsid w:val="000A6558"/>
    <w:rsid w:val="000A6EC7"/>
    <w:rsid w:val="000A7AD7"/>
    <w:rsid w:val="000A7F13"/>
    <w:rsid w:val="000B0596"/>
    <w:rsid w:val="000B0EDD"/>
    <w:rsid w:val="000B185C"/>
    <w:rsid w:val="000B2633"/>
    <w:rsid w:val="000B2CD0"/>
    <w:rsid w:val="000B320C"/>
    <w:rsid w:val="000B332F"/>
    <w:rsid w:val="000B3682"/>
    <w:rsid w:val="000B3B5A"/>
    <w:rsid w:val="000B3FBF"/>
    <w:rsid w:val="000B4132"/>
    <w:rsid w:val="000B4555"/>
    <w:rsid w:val="000B4BA0"/>
    <w:rsid w:val="000B510A"/>
    <w:rsid w:val="000B5998"/>
    <w:rsid w:val="000B5D82"/>
    <w:rsid w:val="000B62AE"/>
    <w:rsid w:val="000B6F27"/>
    <w:rsid w:val="000C0308"/>
    <w:rsid w:val="000C0882"/>
    <w:rsid w:val="000C0A0A"/>
    <w:rsid w:val="000C1A0F"/>
    <w:rsid w:val="000C1FF0"/>
    <w:rsid w:val="000C2A99"/>
    <w:rsid w:val="000C2DB4"/>
    <w:rsid w:val="000C3A25"/>
    <w:rsid w:val="000C3B7C"/>
    <w:rsid w:val="000C45B0"/>
    <w:rsid w:val="000C4D25"/>
    <w:rsid w:val="000C54A7"/>
    <w:rsid w:val="000C5779"/>
    <w:rsid w:val="000C5A53"/>
    <w:rsid w:val="000C6AF8"/>
    <w:rsid w:val="000C6B4D"/>
    <w:rsid w:val="000D0006"/>
    <w:rsid w:val="000D0848"/>
    <w:rsid w:val="000D085F"/>
    <w:rsid w:val="000D092D"/>
    <w:rsid w:val="000D0AA0"/>
    <w:rsid w:val="000D13F6"/>
    <w:rsid w:val="000D1F2C"/>
    <w:rsid w:val="000D236F"/>
    <w:rsid w:val="000D25DB"/>
    <w:rsid w:val="000D303A"/>
    <w:rsid w:val="000D323A"/>
    <w:rsid w:val="000D4B48"/>
    <w:rsid w:val="000D4C4A"/>
    <w:rsid w:val="000D570A"/>
    <w:rsid w:val="000D591C"/>
    <w:rsid w:val="000D63AB"/>
    <w:rsid w:val="000D683C"/>
    <w:rsid w:val="000D753A"/>
    <w:rsid w:val="000D7D17"/>
    <w:rsid w:val="000E0189"/>
    <w:rsid w:val="000E2BF0"/>
    <w:rsid w:val="000E40F4"/>
    <w:rsid w:val="000E472F"/>
    <w:rsid w:val="000E5694"/>
    <w:rsid w:val="000E6327"/>
    <w:rsid w:val="000E6D09"/>
    <w:rsid w:val="000F0386"/>
    <w:rsid w:val="000F0DEF"/>
    <w:rsid w:val="000F1488"/>
    <w:rsid w:val="000F1C55"/>
    <w:rsid w:val="000F1D34"/>
    <w:rsid w:val="000F1F4B"/>
    <w:rsid w:val="000F2A1B"/>
    <w:rsid w:val="000F2B91"/>
    <w:rsid w:val="000F33C4"/>
    <w:rsid w:val="000F3A5A"/>
    <w:rsid w:val="000F3EDF"/>
    <w:rsid w:val="000F4911"/>
    <w:rsid w:val="000F49D8"/>
    <w:rsid w:val="000F4AB6"/>
    <w:rsid w:val="000F5782"/>
    <w:rsid w:val="000F675C"/>
    <w:rsid w:val="000F68B7"/>
    <w:rsid w:val="000F6BC9"/>
    <w:rsid w:val="000F6C94"/>
    <w:rsid w:val="000F6E38"/>
    <w:rsid w:val="00101A8D"/>
    <w:rsid w:val="0010222D"/>
    <w:rsid w:val="001039D2"/>
    <w:rsid w:val="0010492B"/>
    <w:rsid w:val="00104D51"/>
    <w:rsid w:val="0010518F"/>
    <w:rsid w:val="001057A1"/>
    <w:rsid w:val="00105FC1"/>
    <w:rsid w:val="001064A2"/>
    <w:rsid w:val="00106C2F"/>
    <w:rsid w:val="00107D5F"/>
    <w:rsid w:val="00110622"/>
    <w:rsid w:val="00110CDB"/>
    <w:rsid w:val="00111404"/>
    <w:rsid w:val="00111F1D"/>
    <w:rsid w:val="0011275B"/>
    <w:rsid w:val="00112B03"/>
    <w:rsid w:val="00113E62"/>
    <w:rsid w:val="00113FCD"/>
    <w:rsid w:val="00114910"/>
    <w:rsid w:val="00114BD8"/>
    <w:rsid w:val="001158D0"/>
    <w:rsid w:val="00115D54"/>
    <w:rsid w:val="0011609B"/>
    <w:rsid w:val="00117ACB"/>
    <w:rsid w:val="001204FE"/>
    <w:rsid w:val="001206AF"/>
    <w:rsid w:val="00120871"/>
    <w:rsid w:val="001209C3"/>
    <w:rsid w:val="00121662"/>
    <w:rsid w:val="001216E3"/>
    <w:rsid w:val="00121BE7"/>
    <w:rsid w:val="00121CD9"/>
    <w:rsid w:val="00121F5F"/>
    <w:rsid w:val="0012289F"/>
    <w:rsid w:val="001229E7"/>
    <w:rsid w:val="00124637"/>
    <w:rsid w:val="0012497C"/>
    <w:rsid w:val="00124ABD"/>
    <w:rsid w:val="00124E65"/>
    <w:rsid w:val="00124EA9"/>
    <w:rsid w:val="001250D4"/>
    <w:rsid w:val="00125CD4"/>
    <w:rsid w:val="00126B3B"/>
    <w:rsid w:val="00126FA1"/>
    <w:rsid w:val="001273F9"/>
    <w:rsid w:val="001276DF"/>
    <w:rsid w:val="00130E34"/>
    <w:rsid w:val="00130E84"/>
    <w:rsid w:val="00130FD4"/>
    <w:rsid w:val="00131857"/>
    <w:rsid w:val="001319C4"/>
    <w:rsid w:val="001327D7"/>
    <w:rsid w:val="001328DC"/>
    <w:rsid w:val="00132DE7"/>
    <w:rsid w:val="00132FA0"/>
    <w:rsid w:val="00133958"/>
    <w:rsid w:val="00133D30"/>
    <w:rsid w:val="001359DA"/>
    <w:rsid w:val="00135C0D"/>
    <w:rsid w:val="00135FC8"/>
    <w:rsid w:val="00136669"/>
    <w:rsid w:val="00136699"/>
    <w:rsid w:val="00137C2C"/>
    <w:rsid w:val="0014055D"/>
    <w:rsid w:val="001413C1"/>
    <w:rsid w:val="0014228B"/>
    <w:rsid w:val="00142A40"/>
    <w:rsid w:val="001437FB"/>
    <w:rsid w:val="001447C5"/>
    <w:rsid w:val="00144DF3"/>
    <w:rsid w:val="00145DD1"/>
    <w:rsid w:val="0014671D"/>
    <w:rsid w:val="00147390"/>
    <w:rsid w:val="001478BB"/>
    <w:rsid w:val="00147B85"/>
    <w:rsid w:val="0015081B"/>
    <w:rsid w:val="00150F94"/>
    <w:rsid w:val="00151102"/>
    <w:rsid w:val="0015144D"/>
    <w:rsid w:val="00151E3C"/>
    <w:rsid w:val="00152D95"/>
    <w:rsid w:val="0015332C"/>
    <w:rsid w:val="001537A1"/>
    <w:rsid w:val="00153EE7"/>
    <w:rsid w:val="00153F2F"/>
    <w:rsid w:val="001547A4"/>
    <w:rsid w:val="00154B24"/>
    <w:rsid w:val="00154EE2"/>
    <w:rsid w:val="001551D8"/>
    <w:rsid w:val="00155869"/>
    <w:rsid w:val="001563FC"/>
    <w:rsid w:val="00156874"/>
    <w:rsid w:val="0016037B"/>
    <w:rsid w:val="00161629"/>
    <w:rsid w:val="00161913"/>
    <w:rsid w:val="00161C3D"/>
    <w:rsid w:val="00162E76"/>
    <w:rsid w:val="0016380F"/>
    <w:rsid w:val="00164957"/>
    <w:rsid w:val="00164AEF"/>
    <w:rsid w:val="00165DBC"/>
    <w:rsid w:val="00165E17"/>
    <w:rsid w:val="00166219"/>
    <w:rsid w:val="00166CB9"/>
    <w:rsid w:val="0016772A"/>
    <w:rsid w:val="00167FF4"/>
    <w:rsid w:val="00170116"/>
    <w:rsid w:val="00170D0B"/>
    <w:rsid w:val="00171707"/>
    <w:rsid w:val="00171871"/>
    <w:rsid w:val="00171CC2"/>
    <w:rsid w:val="00172148"/>
    <w:rsid w:val="00172749"/>
    <w:rsid w:val="00172CF6"/>
    <w:rsid w:val="00173168"/>
    <w:rsid w:val="001740CC"/>
    <w:rsid w:val="0017435E"/>
    <w:rsid w:val="00174CFC"/>
    <w:rsid w:val="00175073"/>
    <w:rsid w:val="0017536B"/>
    <w:rsid w:val="001754CF"/>
    <w:rsid w:val="00175DD5"/>
    <w:rsid w:val="0017628B"/>
    <w:rsid w:val="00176A6F"/>
    <w:rsid w:val="00177E3E"/>
    <w:rsid w:val="00180310"/>
    <w:rsid w:val="001804FB"/>
    <w:rsid w:val="00180528"/>
    <w:rsid w:val="0018078F"/>
    <w:rsid w:val="001809D7"/>
    <w:rsid w:val="00180B2D"/>
    <w:rsid w:val="00181594"/>
    <w:rsid w:val="00181D30"/>
    <w:rsid w:val="00182045"/>
    <w:rsid w:val="001829D4"/>
    <w:rsid w:val="00182A46"/>
    <w:rsid w:val="00182BD3"/>
    <w:rsid w:val="001830E6"/>
    <w:rsid w:val="001837D8"/>
    <w:rsid w:val="00183964"/>
    <w:rsid w:val="00183AB0"/>
    <w:rsid w:val="00183B7F"/>
    <w:rsid w:val="001844FB"/>
    <w:rsid w:val="00184E0B"/>
    <w:rsid w:val="001860A2"/>
    <w:rsid w:val="001871C7"/>
    <w:rsid w:val="001874E0"/>
    <w:rsid w:val="00190422"/>
    <w:rsid w:val="00190B85"/>
    <w:rsid w:val="00192713"/>
    <w:rsid w:val="001927EE"/>
    <w:rsid w:val="00193098"/>
    <w:rsid w:val="001937EB"/>
    <w:rsid w:val="001952F8"/>
    <w:rsid w:val="001954E3"/>
    <w:rsid w:val="00195B75"/>
    <w:rsid w:val="00195D69"/>
    <w:rsid w:val="0019690C"/>
    <w:rsid w:val="00196D8D"/>
    <w:rsid w:val="00197487"/>
    <w:rsid w:val="00197EC8"/>
    <w:rsid w:val="001A0C42"/>
    <w:rsid w:val="001A0E22"/>
    <w:rsid w:val="001A1057"/>
    <w:rsid w:val="001A1E04"/>
    <w:rsid w:val="001A2704"/>
    <w:rsid w:val="001A28CA"/>
    <w:rsid w:val="001A3D85"/>
    <w:rsid w:val="001A4F53"/>
    <w:rsid w:val="001A54AF"/>
    <w:rsid w:val="001A5731"/>
    <w:rsid w:val="001A5A3E"/>
    <w:rsid w:val="001A5DB3"/>
    <w:rsid w:val="001A5EDD"/>
    <w:rsid w:val="001A65EA"/>
    <w:rsid w:val="001A6889"/>
    <w:rsid w:val="001A7FC7"/>
    <w:rsid w:val="001B010B"/>
    <w:rsid w:val="001B0245"/>
    <w:rsid w:val="001B075A"/>
    <w:rsid w:val="001B0875"/>
    <w:rsid w:val="001B0DCE"/>
    <w:rsid w:val="001B2078"/>
    <w:rsid w:val="001B3658"/>
    <w:rsid w:val="001B3E27"/>
    <w:rsid w:val="001B409D"/>
    <w:rsid w:val="001B4913"/>
    <w:rsid w:val="001B55D4"/>
    <w:rsid w:val="001B584E"/>
    <w:rsid w:val="001B5949"/>
    <w:rsid w:val="001B5E74"/>
    <w:rsid w:val="001B5F34"/>
    <w:rsid w:val="001B6732"/>
    <w:rsid w:val="001B7171"/>
    <w:rsid w:val="001B7B33"/>
    <w:rsid w:val="001B7DC6"/>
    <w:rsid w:val="001B7FBC"/>
    <w:rsid w:val="001B7FC4"/>
    <w:rsid w:val="001C00A6"/>
    <w:rsid w:val="001C085F"/>
    <w:rsid w:val="001C09BB"/>
    <w:rsid w:val="001C13BA"/>
    <w:rsid w:val="001C1643"/>
    <w:rsid w:val="001C22FA"/>
    <w:rsid w:val="001C2AB0"/>
    <w:rsid w:val="001C351A"/>
    <w:rsid w:val="001C48B4"/>
    <w:rsid w:val="001C595B"/>
    <w:rsid w:val="001C63FA"/>
    <w:rsid w:val="001C649D"/>
    <w:rsid w:val="001C685B"/>
    <w:rsid w:val="001C6F38"/>
    <w:rsid w:val="001C78AF"/>
    <w:rsid w:val="001C7E02"/>
    <w:rsid w:val="001D0606"/>
    <w:rsid w:val="001D0FB6"/>
    <w:rsid w:val="001D11C9"/>
    <w:rsid w:val="001D120B"/>
    <w:rsid w:val="001D1821"/>
    <w:rsid w:val="001D1DA4"/>
    <w:rsid w:val="001D2D69"/>
    <w:rsid w:val="001D30AF"/>
    <w:rsid w:val="001D367C"/>
    <w:rsid w:val="001D37C3"/>
    <w:rsid w:val="001D3CB6"/>
    <w:rsid w:val="001D487A"/>
    <w:rsid w:val="001D562D"/>
    <w:rsid w:val="001D63D2"/>
    <w:rsid w:val="001D7432"/>
    <w:rsid w:val="001D761B"/>
    <w:rsid w:val="001D7C93"/>
    <w:rsid w:val="001D7ED1"/>
    <w:rsid w:val="001D7F89"/>
    <w:rsid w:val="001E0175"/>
    <w:rsid w:val="001E049E"/>
    <w:rsid w:val="001E12BC"/>
    <w:rsid w:val="001E26D5"/>
    <w:rsid w:val="001E2A0B"/>
    <w:rsid w:val="001E316D"/>
    <w:rsid w:val="001E3185"/>
    <w:rsid w:val="001E32E5"/>
    <w:rsid w:val="001E3388"/>
    <w:rsid w:val="001E3545"/>
    <w:rsid w:val="001E3735"/>
    <w:rsid w:val="001E3869"/>
    <w:rsid w:val="001E422B"/>
    <w:rsid w:val="001E4617"/>
    <w:rsid w:val="001E46B2"/>
    <w:rsid w:val="001E55F2"/>
    <w:rsid w:val="001E55F3"/>
    <w:rsid w:val="001E6B18"/>
    <w:rsid w:val="001E6BF4"/>
    <w:rsid w:val="001E6CA9"/>
    <w:rsid w:val="001E745D"/>
    <w:rsid w:val="001E7D9D"/>
    <w:rsid w:val="001E7F14"/>
    <w:rsid w:val="001E7FCC"/>
    <w:rsid w:val="001F2289"/>
    <w:rsid w:val="001F2567"/>
    <w:rsid w:val="001F32C4"/>
    <w:rsid w:val="001F519A"/>
    <w:rsid w:val="001F54E7"/>
    <w:rsid w:val="001F5A66"/>
    <w:rsid w:val="001F6492"/>
    <w:rsid w:val="001F66AC"/>
    <w:rsid w:val="001F727F"/>
    <w:rsid w:val="001F72DD"/>
    <w:rsid w:val="001F7321"/>
    <w:rsid w:val="002001BB"/>
    <w:rsid w:val="002002B2"/>
    <w:rsid w:val="00200AB3"/>
    <w:rsid w:val="002018A1"/>
    <w:rsid w:val="00201E54"/>
    <w:rsid w:val="00201FEA"/>
    <w:rsid w:val="0020229D"/>
    <w:rsid w:val="002030E8"/>
    <w:rsid w:val="00204964"/>
    <w:rsid w:val="0020529C"/>
    <w:rsid w:val="00205F24"/>
    <w:rsid w:val="002066B5"/>
    <w:rsid w:val="002071FB"/>
    <w:rsid w:val="00207FA4"/>
    <w:rsid w:val="0021039C"/>
    <w:rsid w:val="00210847"/>
    <w:rsid w:val="00210902"/>
    <w:rsid w:val="00210DED"/>
    <w:rsid w:val="00210FE9"/>
    <w:rsid w:val="002112EA"/>
    <w:rsid w:val="002114EE"/>
    <w:rsid w:val="00212380"/>
    <w:rsid w:val="00212D33"/>
    <w:rsid w:val="002139CD"/>
    <w:rsid w:val="002140CA"/>
    <w:rsid w:val="002143A0"/>
    <w:rsid w:val="002143DA"/>
    <w:rsid w:val="00214EE0"/>
    <w:rsid w:val="002150DC"/>
    <w:rsid w:val="002153F7"/>
    <w:rsid w:val="00215F87"/>
    <w:rsid w:val="0021605E"/>
    <w:rsid w:val="00216221"/>
    <w:rsid w:val="00216821"/>
    <w:rsid w:val="00220A83"/>
    <w:rsid w:val="00220CCF"/>
    <w:rsid w:val="00222625"/>
    <w:rsid w:val="00222649"/>
    <w:rsid w:val="002230AD"/>
    <w:rsid w:val="002231FA"/>
    <w:rsid w:val="00224435"/>
    <w:rsid w:val="00224663"/>
    <w:rsid w:val="00224D45"/>
    <w:rsid w:val="00225588"/>
    <w:rsid w:val="00225A57"/>
    <w:rsid w:val="00225D5C"/>
    <w:rsid w:val="00226DEC"/>
    <w:rsid w:val="00227050"/>
    <w:rsid w:val="00227431"/>
    <w:rsid w:val="00231267"/>
    <w:rsid w:val="0023141A"/>
    <w:rsid w:val="0023176C"/>
    <w:rsid w:val="002317E0"/>
    <w:rsid w:val="00231A01"/>
    <w:rsid w:val="00231E98"/>
    <w:rsid w:val="00231EF4"/>
    <w:rsid w:val="0023362C"/>
    <w:rsid w:val="0023431D"/>
    <w:rsid w:val="002349B3"/>
    <w:rsid w:val="002352F4"/>
    <w:rsid w:val="00236574"/>
    <w:rsid w:val="00237498"/>
    <w:rsid w:val="00237A3A"/>
    <w:rsid w:val="00237B01"/>
    <w:rsid w:val="00237BE5"/>
    <w:rsid w:val="0024097C"/>
    <w:rsid w:val="00241671"/>
    <w:rsid w:val="00242D92"/>
    <w:rsid w:val="0024464F"/>
    <w:rsid w:val="002456ED"/>
    <w:rsid w:val="00245F96"/>
    <w:rsid w:val="00247632"/>
    <w:rsid w:val="00247F51"/>
    <w:rsid w:val="002507C3"/>
    <w:rsid w:val="00250E07"/>
    <w:rsid w:val="0025149D"/>
    <w:rsid w:val="0025283B"/>
    <w:rsid w:val="0025297B"/>
    <w:rsid w:val="00252B5A"/>
    <w:rsid w:val="0025362A"/>
    <w:rsid w:val="00254464"/>
    <w:rsid w:val="00257DB3"/>
    <w:rsid w:val="00260468"/>
    <w:rsid w:val="002604E8"/>
    <w:rsid w:val="002620D9"/>
    <w:rsid w:val="00263C2C"/>
    <w:rsid w:val="00263EF4"/>
    <w:rsid w:val="00264098"/>
    <w:rsid w:val="00265382"/>
    <w:rsid w:val="0026548B"/>
    <w:rsid w:val="002654A9"/>
    <w:rsid w:val="00265655"/>
    <w:rsid w:val="00265680"/>
    <w:rsid w:val="002659DA"/>
    <w:rsid w:val="00266DE4"/>
    <w:rsid w:val="00267825"/>
    <w:rsid w:val="00267C3D"/>
    <w:rsid w:val="00267D93"/>
    <w:rsid w:val="002701D7"/>
    <w:rsid w:val="002707F0"/>
    <w:rsid w:val="00270D7F"/>
    <w:rsid w:val="00271385"/>
    <w:rsid w:val="0027172B"/>
    <w:rsid w:val="00271A1B"/>
    <w:rsid w:val="00271BC5"/>
    <w:rsid w:val="00271FB8"/>
    <w:rsid w:val="002724B3"/>
    <w:rsid w:val="00272C32"/>
    <w:rsid w:val="00272C41"/>
    <w:rsid w:val="00272D9F"/>
    <w:rsid w:val="00272FD0"/>
    <w:rsid w:val="00273B0D"/>
    <w:rsid w:val="002740E3"/>
    <w:rsid w:val="00274234"/>
    <w:rsid w:val="002743E1"/>
    <w:rsid w:val="00275632"/>
    <w:rsid w:val="00275F3C"/>
    <w:rsid w:val="00276297"/>
    <w:rsid w:val="002763B6"/>
    <w:rsid w:val="00276BF8"/>
    <w:rsid w:val="00276D4A"/>
    <w:rsid w:val="002773F2"/>
    <w:rsid w:val="002776B6"/>
    <w:rsid w:val="002778A8"/>
    <w:rsid w:val="00280043"/>
    <w:rsid w:val="0028082F"/>
    <w:rsid w:val="00280935"/>
    <w:rsid w:val="00280A35"/>
    <w:rsid w:val="00280C9F"/>
    <w:rsid w:val="002813D3"/>
    <w:rsid w:val="00281972"/>
    <w:rsid w:val="002839F7"/>
    <w:rsid w:val="00284CA7"/>
    <w:rsid w:val="00284CF4"/>
    <w:rsid w:val="00284FC4"/>
    <w:rsid w:val="002851A9"/>
    <w:rsid w:val="00285714"/>
    <w:rsid w:val="00286F54"/>
    <w:rsid w:val="002871F1"/>
    <w:rsid w:val="0029125A"/>
    <w:rsid w:val="002916EE"/>
    <w:rsid w:val="0029314F"/>
    <w:rsid w:val="00293276"/>
    <w:rsid w:val="002936BF"/>
    <w:rsid w:val="002949EC"/>
    <w:rsid w:val="00294CDA"/>
    <w:rsid w:val="002965D7"/>
    <w:rsid w:val="00297D63"/>
    <w:rsid w:val="002A0CEF"/>
    <w:rsid w:val="002A0D49"/>
    <w:rsid w:val="002A10A4"/>
    <w:rsid w:val="002A188A"/>
    <w:rsid w:val="002A1CD4"/>
    <w:rsid w:val="002A1D76"/>
    <w:rsid w:val="002A36E2"/>
    <w:rsid w:val="002A4671"/>
    <w:rsid w:val="002A4D78"/>
    <w:rsid w:val="002A506D"/>
    <w:rsid w:val="002A508C"/>
    <w:rsid w:val="002A57A2"/>
    <w:rsid w:val="002A6598"/>
    <w:rsid w:val="002A703D"/>
    <w:rsid w:val="002A70AE"/>
    <w:rsid w:val="002A74F0"/>
    <w:rsid w:val="002A755F"/>
    <w:rsid w:val="002A75D1"/>
    <w:rsid w:val="002A7628"/>
    <w:rsid w:val="002A764B"/>
    <w:rsid w:val="002A7E02"/>
    <w:rsid w:val="002B0711"/>
    <w:rsid w:val="002B0877"/>
    <w:rsid w:val="002B09E0"/>
    <w:rsid w:val="002B1075"/>
    <w:rsid w:val="002B13B4"/>
    <w:rsid w:val="002B1512"/>
    <w:rsid w:val="002B247D"/>
    <w:rsid w:val="002B2869"/>
    <w:rsid w:val="002B29CF"/>
    <w:rsid w:val="002B2A66"/>
    <w:rsid w:val="002B33B0"/>
    <w:rsid w:val="002B39FF"/>
    <w:rsid w:val="002B3D35"/>
    <w:rsid w:val="002B3E04"/>
    <w:rsid w:val="002B3E3F"/>
    <w:rsid w:val="002B431D"/>
    <w:rsid w:val="002B4D1E"/>
    <w:rsid w:val="002B556E"/>
    <w:rsid w:val="002B75D7"/>
    <w:rsid w:val="002B7A0B"/>
    <w:rsid w:val="002B7C32"/>
    <w:rsid w:val="002C0CB6"/>
    <w:rsid w:val="002C0D2E"/>
    <w:rsid w:val="002C0F90"/>
    <w:rsid w:val="002C1835"/>
    <w:rsid w:val="002C186E"/>
    <w:rsid w:val="002C1C19"/>
    <w:rsid w:val="002C26DA"/>
    <w:rsid w:val="002C3B75"/>
    <w:rsid w:val="002C3F0B"/>
    <w:rsid w:val="002C4335"/>
    <w:rsid w:val="002C5082"/>
    <w:rsid w:val="002C52C0"/>
    <w:rsid w:val="002C573E"/>
    <w:rsid w:val="002C57FF"/>
    <w:rsid w:val="002C5B7F"/>
    <w:rsid w:val="002C5D45"/>
    <w:rsid w:val="002C6320"/>
    <w:rsid w:val="002C6338"/>
    <w:rsid w:val="002C6565"/>
    <w:rsid w:val="002C6729"/>
    <w:rsid w:val="002C6984"/>
    <w:rsid w:val="002C7441"/>
    <w:rsid w:val="002D018B"/>
    <w:rsid w:val="002D0366"/>
    <w:rsid w:val="002D11F3"/>
    <w:rsid w:val="002D1FBB"/>
    <w:rsid w:val="002D2C3D"/>
    <w:rsid w:val="002D3001"/>
    <w:rsid w:val="002D313C"/>
    <w:rsid w:val="002D322D"/>
    <w:rsid w:val="002D3380"/>
    <w:rsid w:val="002D40B4"/>
    <w:rsid w:val="002D518D"/>
    <w:rsid w:val="002D5D41"/>
    <w:rsid w:val="002D62B3"/>
    <w:rsid w:val="002D71F9"/>
    <w:rsid w:val="002D7ABF"/>
    <w:rsid w:val="002D7BDE"/>
    <w:rsid w:val="002D7E08"/>
    <w:rsid w:val="002E0B69"/>
    <w:rsid w:val="002E15BB"/>
    <w:rsid w:val="002E1855"/>
    <w:rsid w:val="002E1887"/>
    <w:rsid w:val="002E24C7"/>
    <w:rsid w:val="002E28B5"/>
    <w:rsid w:val="002E2AB4"/>
    <w:rsid w:val="002E3B1B"/>
    <w:rsid w:val="002E4075"/>
    <w:rsid w:val="002E49FB"/>
    <w:rsid w:val="002E4B24"/>
    <w:rsid w:val="002E5476"/>
    <w:rsid w:val="002E5A95"/>
    <w:rsid w:val="002E5D29"/>
    <w:rsid w:val="002E5E72"/>
    <w:rsid w:val="002F2BCF"/>
    <w:rsid w:val="002F3228"/>
    <w:rsid w:val="002F44D6"/>
    <w:rsid w:val="002F535A"/>
    <w:rsid w:val="002F5486"/>
    <w:rsid w:val="002F5D77"/>
    <w:rsid w:val="002F5EA8"/>
    <w:rsid w:val="002F5F83"/>
    <w:rsid w:val="002F62F3"/>
    <w:rsid w:val="002F6C30"/>
    <w:rsid w:val="002F7D82"/>
    <w:rsid w:val="003003E3"/>
    <w:rsid w:val="00300E6B"/>
    <w:rsid w:val="00301210"/>
    <w:rsid w:val="0030122B"/>
    <w:rsid w:val="0030139F"/>
    <w:rsid w:val="00301D7C"/>
    <w:rsid w:val="00302D75"/>
    <w:rsid w:val="00302ECA"/>
    <w:rsid w:val="003045B5"/>
    <w:rsid w:val="00304F01"/>
    <w:rsid w:val="003051D6"/>
    <w:rsid w:val="00305B6C"/>
    <w:rsid w:val="00306758"/>
    <w:rsid w:val="00306B0C"/>
    <w:rsid w:val="00306C4B"/>
    <w:rsid w:val="00306C8C"/>
    <w:rsid w:val="00306DBB"/>
    <w:rsid w:val="00307ABA"/>
    <w:rsid w:val="00310538"/>
    <w:rsid w:val="00310B62"/>
    <w:rsid w:val="00310D89"/>
    <w:rsid w:val="0031142D"/>
    <w:rsid w:val="00311672"/>
    <w:rsid w:val="00311890"/>
    <w:rsid w:val="00311E41"/>
    <w:rsid w:val="00312053"/>
    <w:rsid w:val="00312DAC"/>
    <w:rsid w:val="00314ADB"/>
    <w:rsid w:val="003150A1"/>
    <w:rsid w:val="003150B7"/>
    <w:rsid w:val="0031576B"/>
    <w:rsid w:val="003158D4"/>
    <w:rsid w:val="00315D11"/>
    <w:rsid w:val="00315DDA"/>
    <w:rsid w:val="00315E52"/>
    <w:rsid w:val="003160D8"/>
    <w:rsid w:val="003161B6"/>
    <w:rsid w:val="00316779"/>
    <w:rsid w:val="00317640"/>
    <w:rsid w:val="00317E0C"/>
    <w:rsid w:val="00322811"/>
    <w:rsid w:val="0032289D"/>
    <w:rsid w:val="003229F9"/>
    <w:rsid w:val="00322C90"/>
    <w:rsid w:val="0032344F"/>
    <w:rsid w:val="00323A15"/>
    <w:rsid w:val="00324A9E"/>
    <w:rsid w:val="00324F24"/>
    <w:rsid w:val="00324FB2"/>
    <w:rsid w:val="0032532D"/>
    <w:rsid w:val="003257B0"/>
    <w:rsid w:val="003264BB"/>
    <w:rsid w:val="00326DCB"/>
    <w:rsid w:val="003272ED"/>
    <w:rsid w:val="00327664"/>
    <w:rsid w:val="00327DE9"/>
    <w:rsid w:val="00330391"/>
    <w:rsid w:val="00330B04"/>
    <w:rsid w:val="00331453"/>
    <w:rsid w:val="00331979"/>
    <w:rsid w:val="00332E84"/>
    <w:rsid w:val="00333235"/>
    <w:rsid w:val="003337E2"/>
    <w:rsid w:val="003338C5"/>
    <w:rsid w:val="00333F39"/>
    <w:rsid w:val="00333F6B"/>
    <w:rsid w:val="00334454"/>
    <w:rsid w:val="003349EC"/>
    <w:rsid w:val="00334FF4"/>
    <w:rsid w:val="003356AC"/>
    <w:rsid w:val="00335CBA"/>
    <w:rsid w:val="00335DCF"/>
    <w:rsid w:val="0033618E"/>
    <w:rsid w:val="0033627D"/>
    <w:rsid w:val="003364F0"/>
    <w:rsid w:val="003366D7"/>
    <w:rsid w:val="00336901"/>
    <w:rsid w:val="00336AA5"/>
    <w:rsid w:val="00337170"/>
    <w:rsid w:val="0033E0B3"/>
    <w:rsid w:val="00342552"/>
    <w:rsid w:val="0034364A"/>
    <w:rsid w:val="003436B0"/>
    <w:rsid w:val="00343702"/>
    <w:rsid w:val="003449B5"/>
    <w:rsid w:val="00344C68"/>
    <w:rsid w:val="00344F4A"/>
    <w:rsid w:val="003451C8"/>
    <w:rsid w:val="003458FC"/>
    <w:rsid w:val="003476E8"/>
    <w:rsid w:val="003479B7"/>
    <w:rsid w:val="00347CD8"/>
    <w:rsid w:val="0035006E"/>
    <w:rsid w:val="003512F9"/>
    <w:rsid w:val="00351C4A"/>
    <w:rsid w:val="00351ECB"/>
    <w:rsid w:val="003530C9"/>
    <w:rsid w:val="00353321"/>
    <w:rsid w:val="003536B3"/>
    <w:rsid w:val="00353910"/>
    <w:rsid w:val="00353AE9"/>
    <w:rsid w:val="0035492D"/>
    <w:rsid w:val="00355525"/>
    <w:rsid w:val="0035568B"/>
    <w:rsid w:val="00357074"/>
    <w:rsid w:val="0035749D"/>
    <w:rsid w:val="003579EE"/>
    <w:rsid w:val="00360AB5"/>
    <w:rsid w:val="00360BD8"/>
    <w:rsid w:val="00360DFA"/>
    <w:rsid w:val="00360F2E"/>
    <w:rsid w:val="00360F49"/>
    <w:rsid w:val="003612D4"/>
    <w:rsid w:val="0036163E"/>
    <w:rsid w:val="003618E6"/>
    <w:rsid w:val="00363712"/>
    <w:rsid w:val="00363879"/>
    <w:rsid w:val="00363C7C"/>
    <w:rsid w:val="003641D3"/>
    <w:rsid w:val="00365673"/>
    <w:rsid w:val="003656A9"/>
    <w:rsid w:val="00367DFC"/>
    <w:rsid w:val="00370A0A"/>
    <w:rsid w:val="003722E7"/>
    <w:rsid w:val="00372775"/>
    <w:rsid w:val="0037279A"/>
    <w:rsid w:val="003727A9"/>
    <w:rsid w:val="00372C5D"/>
    <w:rsid w:val="00375474"/>
    <w:rsid w:val="00375F3B"/>
    <w:rsid w:val="00376AA5"/>
    <w:rsid w:val="00377543"/>
    <w:rsid w:val="00380580"/>
    <w:rsid w:val="0038183A"/>
    <w:rsid w:val="00381FDE"/>
    <w:rsid w:val="0038247C"/>
    <w:rsid w:val="00382B8A"/>
    <w:rsid w:val="0038361C"/>
    <w:rsid w:val="00385965"/>
    <w:rsid w:val="0038696D"/>
    <w:rsid w:val="00386C81"/>
    <w:rsid w:val="00387063"/>
    <w:rsid w:val="0039005E"/>
    <w:rsid w:val="0039088E"/>
    <w:rsid w:val="0039297F"/>
    <w:rsid w:val="00392DE7"/>
    <w:rsid w:val="0039545B"/>
    <w:rsid w:val="00395C73"/>
    <w:rsid w:val="003972E7"/>
    <w:rsid w:val="003976F1"/>
    <w:rsid w:val="0039778F"/>
    <w:rsid w:val="00397B3D"/>
    <w:rsid w:val="00397B75"/>
    <w:rsid w:val="003A0245"/>
    <w:rsid w:val="003A1AC2"/>
    <w:rsid w:val="003A1B12"/>
    <w:rsid w:val="003A1D0F"/>
    <w:rsid w:val="003A268C"/>
    <w:rsid w:val="003A31E7"/>
    <w:rsid w:val="003A3BFF"/>
    <w:rsid w:val="003A3EC1"/>
    <w:rsid w:val="003A4986"/>
    <w:rsid w:val="003A5B45"/>
    <w:rsid w:val="003A6CAE"/>
    <w:rsid w:val="003A7361"/>
    <w:rsid w:val="003A74E5"/>
    <w:rsid w:val="003B0C7A"/>
    <w:rsid w:val="003B0DA6"/>
    <w:rsid w:val="003B1139"/>
    <w:rsid w:val="003B15D9"/>
    <w:rsid w:val="003B1666"/>
    <w:rsid w:val="003B20CC"/>
    <w:rsid w:val="003B2104"/>
    <w:rsid w:val="003B27EF"/>
    <w:rsid w:val="003B2C8C"/>
    <w:rsid w:val="003B2CC7"/>
    <w:rsid w:val="003B311A"/>
    <w:rsid w:val="003B7014"/>
    <w:rsid w:val="003C06B5"/>
    <w:rsid w:val="003C12B9"/>
    <w:rsid w:val="003C1AC4"/>
    <w:rsid w:val="003C1BAF"/>
    <w:rsid w:val="003C1C71"/>
    <w:rsid w:val="003C20AF"/>
    <w:rsid w:val="003C237E"/>
    <w:rsid w:val="003C2540"/>
    <w:rsid w:val="003C25FF"/>
    <w:rsid w:val="003C2880"/>
    <w:rsid w:val="003C2CB4"/>
    <w:rsid w:val="003C2CE6"/>
    <w:rsid w:val="003C3058"/>
    <w:rsid w:val="003C371E"/>
    <w:rsid w:val="003C4496"/>
    <w:rsid w:val="003C4709"/>
    <w:rsid w:val="003C49DB"/>
    <w:rsid w:val="003C4A13"/>
    <w:rsid w:val="003C4ADF"/>
    <w:rsid w:val="003C503E"/>
    <w:rsid w:val="003C528E"/>
    <w:rsid w:val="003C5C2F"/>
    <w:rsid w:val="003C5D7E"/>
    <w:rsid w:val="003C6681"/>
    <w:rsid w:val="003C6D76"/>
    <w:rsid w:val="003C7D17"/>
    <w:rsid w:val="003D06D2"/>
    <w:rsid w:val="003D08A4"/>
    <w:rsid w:val="003D1695"/>
    <w:rsid w:val="003D16CA"/>
    <w:rsid w:val="003D16D7"/>
    <w:rsid w:val="003D3A52"/>
    <w:rsid w:val="003D3FCD"/>
    <w:rsid w:val="003D45D6"/>
    <w:rsid w:val="003D46D2"/>
    <w:rsid w:val="003D477F"/>
    <w:rsid w:val="003D4A96"/>
    <w:rsid w:val="003D523B"/>
    <w:rsid w:val="003D5367"/>
    <w:rsid w:val="003D5B11"/>
    <w:rsid w:val="003D5CC3"/>
    <w:rsid w:val="003D5D6C"/>
    <w:rsid w:val="003D660B"/>
    <w:rsid w:val="003D672B"/>
    <w:rsid w:val="003D6AC9"/>
    <w:rsid w:val="003D735D"/>
    <w:rsid w:val="003D73D7"/>
    <w:rsid w:val="003D74F4"/>
    <w:rsid w:val="003D7576"/>
    <w:rsid w:val="003D76D2"/>
    <w:rsid w:val="003E01D1"/>
    <w:rsid w:val="003E0A71"/>
    <w:rsid w:val="003E0D3C"/>
    <w:rsid w:val="003E10BD"/>
    <w:rsid w:val="003E126B"/>
    <w:rsid w:val="003E1AB7"/>
    <w:rsid w:val="003E1BCA"/>
    <w:rsid w:val="003E3668"/>
    <w:rsid w:val="003E602F"/>
    <w:rsid w:val="003E644D"/>
    <w:rsid w:val="003E65EC"/>
    <w:rsid w:val="003E77C3"/>
    <w:rsid w:val="003E7F96"/>
    <w:rsid w:val="003F0971"/>
    <w:rsid w:val="003F12E9"/>
    <w:rsid w:val="003F15DE"/>
    <w:rsid w:val="003F2349"/>
    <w:rsid w:val="003F282B"/>
    <w:rsid w:val="003F3143"/>
    <w:rsid w:val="003F3630"/>
    <w:rsid w:val="003F377C"/>
    <w:rsid w:val="003F3809"/>
    <w:rsid w:val="003F38B3"/>
    <w:rsid w:val="003F3A78"/>
    <w:rsid w:val="003F3B22"/>
    <w:rsid w:val="003F3B4F"/>
    <w:rsid w:val="003F4068"/>
    <w:rsid w:val="003F451A"/>
    <w:rsid w:val="003F4E92"/>
    <w:rsid w:val="003F5C00"/>
    <w:rsid w:val="003F7959"/>
    <w:rsid w:val="00400353"/>
    <w:rsid w:val="0040081C"/>
    <w:rsid w:val="00400DF7"/>
    <w:rsid w:val="004017A6"/>
    <w:rsid w:val="00401BAD"/>
    <w:rsid w:val="004027D4"/>
    <w:rsid w:val="00402DAB"/>
    <w:rsid w:val="00404DCB"/>
    <w:rsid w:val="00404E6B"/>
    <w:rsid w:val="004051C4"/>
    <w:rsid w:val="00405CA3"/>
    <w:rsid w:val="00405F15"/>
    <w:rsid w:val="00405F46"/>
    <w:rsid w:val="00406E33"/>
    <w:rsid w:val="00407447"/>
    <w:rsid w:val="00407D02"/>
    <w:rsid w:val="00410254"/>
    <w:rsid w:val="00410F11"/>
    <w:rsid w:val="00412264"/>
    <w:rsid w:val="0041283D"/>
    <w:rsid w:val="00413A04"/>
    <w:rsid w:val="00413A72"/>
    <w:rsid w:val="00414C5C"/>
    <w:rsid w:val="00415570"/>
    <w:rsid w:val="00416C80"/>
    <w:rsid w:val="00417302"/>
    <w:rsid w:val="00417F15"/>
    <w:rsid w:val="0042001B"/>
    <w:rsid w:val="00420112"/>
    <w:rsid w:val="00420ABB"/>
    <w:rsid w:val="00420B9F"/>
    <w:rsid w:val="00420DDF"/>
    <w:rsid w:val="0042141A"/>
    <w:rsid w:val="004217F5"/>
    <w:rsid w:val="00421EF6"/>
    <w:rsid w:val="00422A75"/>
    <w:rsid w:val="00423269"/>
    <w:rsid w:val="004232AB"/>
    <w:rsid w:val="0042356F"/>
    <w:rsid w:val="00423A04"/>
    <w:rsid w:val="00424964"/>
    <w:rsid w:val="00425A8B"/>
    <w:rsid w:val="004262F8"/>
    <w:rsid w:val="0042647E"/>
    <w:rsid w:val="00426517"/>
    <w:rsid w:val="004303ED"/>
    <w:rsid w:val="00430557"/>
    <w:rsid w:val="00430912"/>
    <w:rsid w:val="00431CA1"/>
    <w:rsid w:val="00432569"/>
    <w:rsid w:val="00433348"/>
    <w:rsid w:val="004339AF"/>
    <w:rsid w:val="00433BC4"/>
    <w:rsid w:val="00434DD3"/>
    <w:rsid w:val="004355D0"/>
    <w:rsid w:val="004356B3"/>
    <w:rsid w:val="004363ED"/>
    <w:rsid w:val="0043676B"/>
    <w:rsid w:val="00437F16"/>
    <w:rsid w:val="004404AE"/>
    <w:rsid w:val="00440541"/>
    <w:rsid w:val="00440DB3"/>
    <w:rsid w:val="004414D7"/>
    <w:rsid w:val="00442E4F"/>
    <w:rsid w:val="004432A0"/>
    <w:rsid w:val="004435CE"/>
    <w:rsid w:val="004439B0"/>
    <w:rsid w:val="00443D1D"/>
    <w:rsid w:val="00444168"/>
    <w:rsid w:val="00444711"/>
    <w:rsid w:val="00445408"/>
    <w:rsid w:val="00445A7C"/>
    <w:rsid w:val="00446347"/>
    <w:rsid w:val="004464D4"/>
    <w:rsid w:val="00450564"/>
    <w:rsid w:val="00450BC5"/>
    <w:rsid w:val="004511B7"/>
    <w:rsid w:val="00451475"/>
    <w:rsid w:val="0045193F"/>
    <w:rsid w:val="00451F33"/>
    <w:rsid w:val="004529FD"/>
    <w:rsid w:val="00453F31"/>
    <w:rsid w:val="00454304"/>
    <w:rsid w:val="004550B5"/>
    <w:rsid w:val="004557F8"/>
    <w:rsid w:val="00457FD1"/>
    <w:rsid w:val="00459761"/>
    <w:rsid w:val="0046038A"/>
    <w:rsid w:val="00461B7C"/>
    <w:rsid w:val="00461D0B"/>
    <w:rsid w:val="004622B5"/>
    <w:rsid w:val="00462471"/>
    <w:rsid w:val="00462D02"/>
    <w:rsid w:val="004639C5"/>
    <w:rsid w:val="00463CFE"/>
    <w:rsid w:val="004640A8"/>
    <w:rsid w:val="00464D45"/>
    <w:rsid w:val="00464F03"/>
    <w:rsid w:val="00465175"/>
    <w:rsid w:val="00465F17"/>
    <w:rsid w:val="00466017"/>
    <w:rsid w:val="00466143"/>
    <w:rsid w:val="00466272"/>
    <w:rsid w:val="00466D67"/>
    <w:rsid w:val="0047076B"/>
    <w:rsid w:val="004721BD"/>
    <w:rsid w:val="00472217"/>
    <w:rsid w:val="00472920"/>
    <w:rsid w:val="00472A3D"/>
    <w:rsid w:val="00472BF6"/>
    <w:rsid w:val="00472C2F"/>
    <w:rsid w:val="00472D4F"/>
    <w:rsid w:val="00473612"/>
    <w:rsid w:val="00474154"/>
    <w:rsid w:val="00474C22"/>
    <w:rsid w:val="00474D23"/>
    <w:rsid w:val="00474F01"/>
    <w:rsid w:val="00474F98"/>
    <w:rsid w:val="00475E61"/>
    <w:rsid w:val="00477896"/>
    <w:rsid w:val="00477CF2"/>
    <w:rsid w:val="00480508"/>
    <w:rsid w:val="004809AF"/>
    <w:rsid w:val="00480B96"/>
    <w:rsid w:val="00481392"/>
    <w:rsid w:val="00481627"/>
    <w:rsid w:val="00481669"/>
    <w:rsid w:val="0048248D"/>
    <w:rsid w:val="00482C18"/>
    <w:rsid w:val="00484BA7"/>
    <w:rsid w:val="00484D46"/>
    <w:rsid w:val="00485C3B"/>
    <w:rsid w:val="00485C4E"/>
    <w:rsid w:val="0048656E"/>
    <w:rsid w:val="0048674F"/>
    <w:rsid w:val="0048677A"/>
    <w:rsid w:val="004868B7"/>
    <w:rsid w:val="00487BB0"/>
    <w:rsid w:val="00490560"/>
    <w:rsid w:val="00490654"/>
    <w:rsid w:val="00491B92"/>
    <w:rsid w:val="00491C24"/>
    <w:rsid w:val="004921D2"/>
    <w:rsid w:val="00492295"/>
    <w:rsid w:val="004926FF"/>
    <w:rsid w:val="00492C2E"/>
    <w:rsid w:val="00492ED5"/>
    <w:rsid w:val="00493281"/>
    <w:rsid w:val="00493327"/>
    <w:rsid w:val="00493640"/>
    <w:rsid w:val="00493A34"/>
    <w:rsid w:val="004952A8"/>
    <w:rsid w:val="004954B9"/>
    <w:rsid w:val="0049568B"/>
    <w:rsid w:val="004959AC"/>
    <w:rsid w:val="004959E7"/>
    <w:rsid w:val="00495E65"/>
    <w:rsid w:val="00495F91"/>
    <w:rsid w:val="0049639B"/>
    <w:rsid w:val="00496CDE"/>
    <w:rsid w:val="00497791"/>
    <w:rsid w:val="00497C5E"/>
    <w:rsid w:val="00497F03"/>
    <w:rsid w:val="004A0199"/>
    <w:rsid w:val="004A0558"/>
    <w:rsid w:val="004A05FB"/>
    <w:rsid w:val="004A0A6E"/>
    <w:rsid w:val="004A0F11"/>
    <w:rsid w:val="004A1981"/>
    <w:rsid w:val="004A1EE6"/>
    <w:rsid w:val="004A3C00"/>
    <w:rsid w:val="004A44C2"/>
    <w:rsid w:val="004A45F5"/>
    <w:rsid w:val="004A471C"/>
    <w:rsid w:val="004A4A7F"/>
    <w:rsid w:val="004A4B91"/>
    <w:rsid w:val="004A5622"/>
    <w:rsid w:val="004A5A35"/>
    <w:rsid w:val="004A5C74"/>
    <w:rsid w:val="004A6615"/>
    <w:rsid w:val="004A66FD"/>
    <w:rsid w:val="004A6B7D"/>
    <w:rsid w:val="004A7BC8"/>
    <w:rsid w:val="004B2715"/>
    <w:rsid w:val="004B29D0"/>
    <w:rsid w:val="004B32F9"/>
    <w:rsid w:val="004B3A8D"/>
    <w:rsid w:val="004B3B3A"/>
    <w:rsid w:val="004B3BA2"/>
    <w:rsid w:val="004B401A"/>
    <w:rsid w:val="004B55AB"/>
    <w:rsid w:val="004B58E8"/>
    <w:rsid w:val="004B5B12"/>
    <w:rsid w:val="004B5CD5"/>
    <w:rsid w:val="004B7240"/>
    <w:rsid w:val="004B773C"/>
    <w:rsid w:val="004B7AA6"/>
    <w:rsid w:val="004C0090"/>
    <w:rsid w:val="004C0113"/>
    <w:rsid w:val="004C049C"/>
    <w:rsid w:val="004C04F1"/>
    <w:rsid w:val="004C0AA9"/>
    <w:rsid w:val="004C161C"/>
    <w:rsid w:val="004C18DF"/>
    <w:rsid w:val="004C18EC"/>
    <w:rsid w:val="004C1B5F"/>
    <w:rsid w:val="004C2085"/>
    <w:rsid w:val="004C25F7"/>
    <w:rsid w:val="004C2E2A"/>
    <w:rsid w:val="004C2FD8"/>
    <w:rsid w:val="004C370D"/>
    <w:rsid w:val="004C3DE6"/>
    <w:rsid w:val="004C4047"/>
    <w:rsid w:val="004C4392"/>
    <w:rsid w:val="004C598E"/>
    <w:rsid w:val="004C6D36"/>
    <w:rsid w:val="004C7E63"/>
    <w:rsid w:val="004D0AA4"/>
    <w:rsid w:val="004D0B67"/>
    <w:rsid w:val="004D12B9"/>
    <w:rsid w:val="004D16E9"/>
    <w:rsid w:val="004D2048"/>
    <w:rsid w:val="004D228A"/>
    <w:rsid w:val="004D4A97"/>
    <w:rsid w:val="004D4D09"/>
    <w:rsid w:val="004D65C8"/>
    <w:rsid w:val="004D665A"/>
    <w:rsid w:val="004D75DB"/>
    <w:rsid w:val="004D7925"/>
    <w:rsid w:val="004D7AD5"/>
    <w:rsid w:val="004E07EC"/>
    <w:rsid w:val="004E0828"/>
    <w:rsid w:val="004E09A0"/>
    <w:rsid w:val="004E177E"/>
    <w:rsid w:val="004E1E3D"/>
    <w:rsid w:val="004E2352"/>
    <w:rsid w:val="004E2ACA"/>
    <w:rsid w:val="004E2BC1"/>
    <w:rsid w:val="004E3227"/>
    <w:rsid w:val="004E3645"/>
    <w:rsid w:val="004E3DAB"/>
    <w:rsid w:val="004E3F40"/>
    <w:rsid w:val="004E52F7"/>
    <w:rsid w:val="004E698F"/>
    <w:rsid w:val="004E6EEA"/>
    <w:rsid w:val="004F0277"/>
    <w:rsid w:val="004F0A5A"/>
    <w:rsid w:val="004F1116"/>
    <w:rsid w:val="004F11C9"/>
    <w:rsid w:val="004F29C0"/>
    <w:rsid w:val="004F2B38"/>
    <w:rsid w:val="004F2C90"/>
    <w:rsid w:val="004F2E40"/>
    <w:rsid w:val="004F3111"/>
    <w:rsid w:val="004F3E93"/>
    <w:rsid w:val="004F41A6"/>
    <w:rsid w:val="004F55DA"/>
    <w:rsid w:val="004F6349"/>
    <w:rsid w:val="004F658D"/>
    <w:rsid w:val="004F77B9"/>
    <w:rsid w:val="00500453"/>
    <w:rsid w:val="00500802"/>
    <w:rsid w:val="00500938"/>
    <w:rsid w:val="00501F9B"/>
    <w:rsid w:val="00502B31"/>
    <w:rsid w:val="00502F5E"/>
    <w:rsid w:val="0050376C"/>
    <w:rsid w:val="00503E20"/>
    <w:rsid w:val="00503FB5"/>
    <w:rsid w:val="00504095"/>
    <w:rsid w:val="005046FD"/>
    <w:rsid w:val="00504CD8"/>
    <w:rsid w:val="00504EC4"/>
    <w:rsid w:val="00506CC4"/>
    <w:rsid w:val="00507396"/>
    <w:rsid w:val="005074E5"/>
    <w:rsid w:val="00510885"/>
    <w:rsid w:val="00510C2D"/>
    <w:rsid w:val="00511111"/>
    <w:rsid w:val="00511ACC"/>
    <w:rsid w:val="00512049"/>
    <w:rsid w:val="00513C70"/>
    <w:rsid w:val="005142D1"/>
    <w:rsid w:val="00514D72"/>
    <w:rsid w:val="005159C7"/>
    <w:rsid w:val="00515F69"/>
    <w:rsid w:val="00516FB6"/>
    <w:rsid w:val="00517131"/>
    <w:rsid w:val="00517672"/>
    <w:rsid w:val="00517809"/>
    <w:rsid w:val="00517AE8"/>
    <w:rsid w:val="00517D18"/>
    <w:rsid w:val="00517E8C"/>
    <w:rsid w:val="00520261"/>
    <w:rsid w:val="005202C7"/>
    <w:rsid w:val="00521A37"/>
    <w:rsid w:val="00521A88"/>
    <w:rsid w:val="0052287E"/>
    <w:rsid w:val="00523B15"/>
    <w:rsid w:val="00524283"/>
    <w:rsid w:val="00524A1A"/>
    <w:rsid w:val="00524C92"/>
    <w:rsid w:val="005256DA"/>
    <w:rsid w:val="0052631A"/>
    <w:rsid w:val="00526725"/>
    <w:rsid w:val="00526778"/>
    <w:rsid w:val="0052798B"/>
    <w:rsid w:val="00530202"/>
    <w:rsid w:val="00530204"/>
    <w:rsid w:val="00530380"/>
    <w:rsid w:val="0053090F"/>
    <w:rsid w:val="00530EF3"/>
    <w:rsid w:val="00531A7A"/>
    <w:rsid w:val="00531C1D"/>
    <w:rsid w:val="00532756"/>
    <w:rsid w:val="00532B73"/>
    <w:rsid w:val="005331D7"/>
    <w:rsid w:val="00534A34"/>
    <w:rsid w:val="00534B51"/>
    <w:rsid w:val="005350DF"/>
    <w:rsid w:val="00535779"/>
    <w:rsid w:val="00535D41"/>
    <w:rsid w:val="00535EC4"/>
    <w:rsid w:val="005365B5"/>
    <w:rsid w:val="0053661B"/>
    <w:rsid w:val="00536C39"/>
    <w:rsid w:val="00536EE5"/>
    <w:rsid w:val="005374E9"/>
    <w:rsid w:val="00540593"/>
    <w:rsid w:val="0054065E"/>
    <w:rsid w:val="00541100"/>
    <w:rsid w:val="0054135D"/>
    <w:rsid w:val="005415E6"/>
    <w:rsid w:val="00541C69"/>
    <w:rsid w:val="005428DD"/>
    <w:rsid w:val="00543091"/>
    <w:rsid w:val="005437E1"/>
    <w:rsid w:val="00543C9F"/>
    <w:rsid w:val="00543DAD"/>
    <w:rsid w:val="00543FD0"/>
    <w:rsid w:val="00544007"/>
    <w:rsid w:val="0054449B"/>
    <w:rsid w:val="0054536D"/>
    <w:rsid w:val="00545B4D"/>
    <w:rsid w:val="00546B61"/>
    <w:rsid w:val="00546D20"/>
    <w:rsid w:val="0054717F"/>
    <w:rsid w:val="0054727F"/>
    <w:rsid w:val="0054775E"/>
    <w:rsid w:val="00547891"/>
    <w:rsid w:val="0055064D"/>
    <w:rsid w:val="00550B54"/>
    <w:rsid w:val="00552110"/>
    <w:rsid w:val="005522B8"/>
    <w:rsid w:val="00552AC0"/>
    <w:rsid w:val="00553755"/>
    <w:rsid w:val="00553884"/>
    <w:rsid w:val="00553CB4"/>
    <w:rsid w:val="00553F6C"/>
    <w:rsid w:val="00554A60"/>
    <w:rsid w:val="00555B64"/>
    <w:rsid w:val="0055601A"/>
    <w:rsid w:val="00556F37"/>
    <w:rsid w:val="005577BC"/>
    <w:rsid w:val="005602C6"/>
    <w:rsid w:val="005617F0"/>
    <w:rsid w:val="00561C8D"/>
    <w:rsid w:val="00562B05"/>
    <w:rsid w:val="00563EC8"/>
    <w:rsid w:val="005649ED"/>
    <w:rsid w:val="00565394"/>
    <w:rsid w:val="00565B86"/>
    <w:rsid w:val="00566AB9"/>
    <w:rsid w:val="00566B1D"/>
    <w:rsid w:val="00566DC2"/>
    <w:rsid w:val="005703D8"/>
    <w:rsid w:val="00570434"/>
    <w:rsid w:val="005705EB"/>
    <w:rsid w:val="005718EE"/>
    <w:rsid w:val="00571A95"/>
    <w:rsid w:val="00572E80"/>
    <w:rsid w:val="005751F5"/>
    <w:rsid w:val="0057573A"/>
    <w:rsid w:val="005758BB"/>
    <w:rsid w:val="00575E19"/>
    <w:rsid w:val="005763CF"/>
    <w:rsid w:val="00576A89"/>
    <w:rsid w:val="00576E1E"/>
    <w:rsid w:val="00576EFC"/>
    <w:rsid w:val="0057722B"/>
    <w:rsid w:val="00577918"/>
    <w:rsid w:val="00577AC1"/>
    <w:rsid w:val="00577C63"/>
    <w:rsid w:val="00580577"/>
    <w:rsid w:val="00580E2E"/>
    <w:rsid w:val="00581585"/>
    <w:rsid w:val="00581D14"/>
    <w:rsid w:val="00582C68"/>
    <w:rsid w:val="0058302A"/>
    <w:rsid w:val="005837FC"/>
    <w:rsid w:val="00583918"/>
    <w:rsid w:val="005867A2"/>
    <w:rsid w:val="00586AEF"/>
    <w:rsid w:val="00586F6D"/>
    <w:rsid w:val="00587207"/>
    <w:rsid w:val="005873DD"/>
    <w:rsid w:val="0058741D"/>
    <w:rsid w:val="005877DB"/>
    <w:rsid w:val="005878D3"/>
    <w:rsid w:val="00587D8E"/>
    <w:rsid w:val="0059019C"/>
    <w:rsid w:val="00590922"/>
    <w:rsid w:val="005919F8"/>
    <w:rsid w:val="0059275E"/>
    <w:rsid w:val="00592E1D"/>
    <w:rsid w:val="00593396"/>
    <w:rsid w:val="005943A8"/>
    <w:rsid w:val="00594DCC"/>
    <w:rsid w:val="00594DCD"/>
    <w:rsid w:val="00595BBB"/>
    <w:rsid w:val="00596008"/>
    <w:rsid w:val="005961EC"/>
    <w:rsid w:val="00596295"/>
    <w:rsid w:val="00596662"/>
    <w:rsid w:val="00597EA6"/>
    <w:rsid w:val="005A25C4"/>
    <w:rsid w:val="005A30F2"/>
    <w:rsid w:val="005A32EA"/>
    <w:rsid w:val="005A3420"/>
    <w:rsid w:val="005A62D6"/>
    <w:rsid w:val="005A644A"/>
    <w:rsid w:val="005A66FD"/>
    <w:rsid w:val="005A6B60"/>
    <w:rsid w:val="005A7159"/>
    <w:rsid w:val="005A7864"/>
    <w:rsid w:val="005A7CC6"/>
    <w:rsid w:val="005A7F41"/>
    <w:rsid w:val="005B020E"/>
    <w:rsid w:val="005B0371"/>
    <w:rsid w:val="005B0466"/>
    <w:rsid w:val="005B0C55"/>
    <w:rsid w:val="005B1E1B"/>
    <w:rsid w:val="005B2164"/>
    <w:rsid w:val="005B2A01"/>
    <w:rsid w:val="005B2A32"/>
    <w:rsid w:val="005B3091"/>
    <w:rsid w:val="005B30BF"/>
    <w:rsid w:val="005B380B"/>
    <w:rsid w:val="005B3C50"/>
    <w:rsid w:val="005B4124"/>
    <w:rsid w:val="005B5279"/>
    <w:rsid w:val="005B5406"/>
    <w:rsid w:val="005B5A5C"/>
    <w:rsid w:val="005B5B88"/>
    <w:rsid w:val="005B5BCF"/>
    <w:rsid w:val="005B5F6B"/>
    <w:rsid w:val="005B62E4"/>
    <w:rsid w:val="005B7CA8"/>
    <w:rsid w:val="005C02A8"/>
    <w:rsid w:val="005C09C7"/>
    <w:rsid w:val="005C130C"/>
    <w:rsid w:val="005C2053"/>
    <w:rsid w:val="005C2E25"/>
    <w:rsid w:val="005C3358"/>
    <w:rsid w:val="005C44A9"/>
    <w:rsid w:val="005C53CB"/>
    <w:rsid w:val="005C6226"/>
    <w:rsid w:val="005C6C66"/>
    <w:rsid w:val="005C7635"/>
    <w:rsid w:val="005C77A3"/>
    <w:rsid w:val="005C7920"/>
    <w:rsid w:val="005D034A"/>
    <w:rsid w:val="005D0780"/>
    <w:rsid w:val="005D129B"/>
    <w:rsid w:val="005D173B"/>
    <w:rsid w:val="005D2F0E"/>
    <w:rsid w:val="005D3C0E"/>
    <w:rsid w:val="005D3C90"/>
    <w:rsid w:val="005D46DA"/>
    <w:rsid w:val="005D600B"/>
    <w:rsid w:val="005D6122"/>
    <w:rsid w:val="005D6627"/>
    <w:rsid w:val="005D683F"/>
    <w:rsid w:val="005D6A4D"/>
    <w:rsid w:val="005D70C0"/>
    <w:rsid w:val="005E0834"/>
    <w:rsid w:val="005E1EDA"/>
    <w:rsid w:val="005E261B"/>
    <w:rsid w:val="005E27C9"/>
    <w:rsid w:val="005E2838"/>
    <w:rsid w:val="005E37B9"/>
    <w:rsid w:val="005E397C"/>
    <w:rsid w:val="005E4377"/>
    <w:rsid w:val="005E4D8D"/>
    <w:rsid w:val="005E4E8C"/>
    <w:rsid w:val="005E521B"/>
    <w:rsid w:val="005E53CB"/>
    <w:rsid w:val="005E5700"/>
    <w:rsid w:val="005E5C82"/>
    <w:rsid w:val="005E5DEA"/>
    <w:rsid w:val="005E66C2"/>
    <w:rsid w:val="005E6B9A"/>
    <w:rsid w:val="005E7406"/>
    <w:rsid w:val="005F058F"/>
    <w:rsid w:val="005F0D71"/>
    <w:rsid w:val="005F23D9"/>
    <w:rsid w:val="005F286F"/>
    <w:rsid w:val="005F3010"/>
    <w:rsid w:val="005F4297"/>
    <w:rsid w:val="005F48C1"/>
    <w:rsid w:val="005F53D0"/>
    <w:rsid w:val="005F5812"/>
    <w:rsid w:val="005F5C5F"/>
    <w:rsid w:val="005F5EB4"/>
    <w:rsid w:val="005F715D"/>
    <w:rsid w:val="005F71AD"/>
    <w:rsid w:val="005F78A3"/>
    <w:rsid w:val="005F7B03"/>
    <w:rsid w:val="005F7B86"/>
    <w:rsid w:val="005F8454"/>
    <w:rsid w:val="006008D7"/>
    <w:rsid w:val="00600ADB"/>
    <w:rsid w:val="00601317"/>
    <w:rsid w:val="00603440"/>
    <w:rsid w:val="00603E35"/>
    <w:rsid w:val="00604441"/>
    <w:rsid w:val="00605003"/>
    <w:rsid w:val="006055FE"/>
    <w:rsid w:val="00605655"/>
    <w:rsid w:val="00605B76"/>
    <w:rsid w:val="00606C67"/>
    <w:rsid w:val="0060712C"/>
    <w:rsid w:val="0060727B"/>
    <w:rsid w:val="00607906"/>
    <w:rsid w:val="006079E6"/>
    <w:rsid w:val="00610119"/>
    <w:rsid w:val="006104DD"/>
    <w:rsid w:val="00610D60"/>
    <w:rsid w:val="00611B05"/>
    <w:rsid w:val="0061287B"/>
    <w:rsid w:val="00612B91"/>
    <w:rsid w:val="006133F6"/>
    <w:rsid w:val="0061420E"/>
    <w:rsid w:val="006149C7"/>
    <w:rsid w:val="00615237"/>
    <w:rsid w:val="00615249"/>
    <w:rsid w:val="0061568C"/>
    <w:rsid w:val="006159D2"/>
    <w:rsid w:val="00615F9B"/>
    <w:rsid w:val="00617842"/>
    <w:rsid w:val="006179BC"/>
    <w:rsid w:val="0062007D"/>
    <w:rsid w:val="006208C3"/>
    <w:rsid w:val="006215E2"/>
    <w:rsid w:val="00622942"/>
    <w:rsid w:val="00624DBD"/>
    <w:rsid w:val="00624DE4"/>
    <w:rsid w:val="00624E4A"/>
    <w:rsid w:val="00624E50"/>
    <w:rsid w:val="006251C6"/>
    <w:rsid w:val="006256C6"/>
    <w:rsid w:val="00625E0A"/>
    <w:rsid w:val="00626055"/>
    <w:rsid w:val="00627412"/>
    <w:rsid w:val="006301B7"/>
    <w:rsid w:val="00630C2C"/>
    <w:rsid w:val="006317EB"/>
    <w:rsid w:val="00631975"/>
    <w:rsid w:val="0063197F"/>
    <w:rsid w:val="006322D5"/>
    <w:rsid w:val="00632487"/>
    <w:rsid w:val="0063254C"/>
    <w:rsid w:val="006333DA"/>
    <w:rsid w:val="006339D1"/>
    <w:rsid w:val="00633C55"/>
    <w:rsid w:val="006356A9"/>
    <w:rsid w:val="00635748"/>
    <w:rsid w:val="00636055"/>
    <w:rsid w:val="006366A6"/>
    <w:rsid w:val="006368E1"/>
    <w:rsid w:val="006376EF"/>
    <w:rsid w:val="006379D6"/>
    <w:rsid w:val="0064015D"/>
    <w:rsid w:val="00640435"/>
    <w:rsid w:val="0064076F"/>
    <w:rsid w:val="00640CE1"/>
    <w:rsid w:val="00641C1A"/>
    <w:rsid w:val="00641CCA"/>
    <w:rsid w:val="00642628"/>
    <w:rsid w:val="006427D2"/>
    <w:rsid w:val="00643BEE"/>
    <w:rsid w:val="00643CB4"/>
    <w:rsid w:val="006441AA"/>
    <w:rsid w:val="00645DC2"/>
    <w:rsid w:val="00645F67"/>
    <w:rsid w:val="006461F0"/>
    <w:rsid w:val="00646214"/>
    <w:rsid w:val="00647FCA"/>
    <w:rsid w:val="00650580"/>
    <w:rsid w:val="0065075E"/>
    <w:rsid w:val="006511FE"/>
    <w:rsid w:val="00651570"/>
    <w:rsid w:val="00651F17"/>
    <w:rsid w:val="006531A4"/>
    <w:rsid w:val="0065554C"/>
    <w:rsid w:val="00655834"/>
    <w:rsid w:val="0065594F"/>
    <w:rsid w:val="00655C40"/>
    <w:rsid w:val="00655E2C"/>
    <w:rsid w:val="0065633F"/>
    <w:rsid w:val="00657A7D"/>
    <w:rsid w:val="0065F521"/>
    <w:rsid w:val="006604E5"/>
    <w:rsid w:val="00660568"/>
    <w:rsid w:val="00660749"/>
    <w:rsid w:val="0066117F"/>
    <w:rsid w:val="00661475"/>
    <w:rsid w:val="0066343A"/>
    <w:rsid w:val="006645AC"/>
    <w:rsid w:val="00664681"/>
    <w:rsid w:val="0066556E"/>
    <w:rsid w:val="00665E0F"/>
    <w:rsid w:val="0066727A"/>
    <w:rsid w:val="00670264"/>
    <w:rsid w:val="00670385"/>
    <w:rsid w:val="00670593"/>
    <w:rsid w:val="0067077B"/>
    <w:rsid w:val="00671C9A"/>
    <w:rsid w:val="00671E49"/>
    <w:rsid w:val="006722AA"/>
    <w:rsid w:val="00673395"/>
    <w:rsid w:val="006740E6"/>
    <w:rsid w:val="006748F2"/>
    <w:rsid w:val="0067550A"/>
    <w:rsid w:val="0067559A"/>
    <w:rsid w:val="006771EA"/>
    <w:rsid w:val="0067785B"/>
    <w:rsid w:val="00677EA3"/>
    <w:rsid w:val="00677FD6"/>
    <w:rsid w:val="0068070D"/>
    <w:rsid w:val="006809B0"/>
    <w:rsid w:val="00680BEE"/>
    <w:rsid w:val="00680CE5"/>
    <w:rsid w:val="00681456"/>
    <w:rsid w:val="006817BF"/>
    <w:rsid w:val="0068193F"/>
    <w:rsid w:val="00682DD9"/>
    <w:rsid w:val="00683073"/>
    <w:rsid w:val="006830A5"/>
    <w:rsid w:val="0068320A"/>
    <w:rsid w:val="006832E0"/>
    <w:rsid w:val="00683CD8"/>
    <w:rsid w:val="00684A30"/>
    <w:rsid w:val="00686915"/>
    <w:rsid w:val="00687AD7"/>
    <w:rsid w:val="00687B23"/>
    <w:rsid w:val="00687ED0"/>
    <w:rsid w:val="0068DF2C"/>
    <w:rsid w:val="00690CE1"/>
    <w:rsid w:val="006911A0"/>
    <w:rsid w:val="006912CA"/>
    <w:rsid w:val="0069141A"/>
    <w:rsid w:val="0069250E"/>
    <w:rsid w:val="006928CC"/>
    <w:rsid w:val="00692BC0"/>
    <w:rsid w:val="00693150"/>
    <w:rsid w:val="00693FB2"/>
    <w:rsid w:val="006950C6"/>
    <w:rsid w:val="0069555D"/>
    <w:rsid w:val="00695A26"/>
    <w:rsid w:val="006966B4"/>
    <w:rsid w:val="00696B55"/>
    <w:rsid w:val="00696E7A"/>
    <w:rsid w:val="00697030"/>
    <w:rsid w:val="0069745E"/>
    <w:rsid w:val="00697A9E"/>
    <w:rsid w:val="00697A9F"/>
    <w:rsid w:val="006A16E1"/>
    <w:rsid w:val="006A19E6"/>
    <w:rsid w:val="006A2992"/>
    <w:rsid w:val="006A39BB"/>
    <w:rsid w:val="006A3DD5"/>
    <w:rsid w:val="006A40BA"/>
    <w:rsid w:val="006A484D"/>
    <w:rsid w:val="006A4BC0"/>
    <w:rsid w:val="006A52B7"/>
    <w:rsid w:val="006A5AE5"/>
    <w:rsid w:val="006A5E08"/>
    <w:rsid w:val="006A63A9"/>
    <w:rsid w:val="006A652C"/>
    <w:rsid w:val="006A6BF1"/>
    <w:rsid w:val="006A74BC"/>
    <w:rsid w:val="006A7EE6"/>
    <w:rsid w:val="006B0ACE"/>
    <w:rsid w:val="006B0D56"/>
    <w:rsid w:val="006B3E38"/>
    <w:rsid w:val="006B4000"/>
    <w:rsid w:val="006B4443"/>
    <w:rsid w:val="006B4756"/>
    <w:rsid w:val="006B4A8C"/>
    <w:rsid w:val="006B66E2"/>
    <w:rsid w:val="006B6AB8"/>
    <w:rsid w:val="006B6B18"/>
    <w:rsid w:val="006B6BC8"/>
    <w:rsid w:val="006B7469"/>
    <w:rsid w:val="006B7EF5"/>
    <w:rsid w:val="006C0556"/>
    <w:rsid w:val="006C0D14"/>
    <w:rsid w:val="006C0E6B"/>
    <w:rsid w:val="006C10B0"/>
    <w:rsid w:val="006C13FB"/>
    <w:rsid w:val="006C1897"/>
    <w:rsid w:val="006C1CD3"/>
    <w:rsid w:val="006C1F5A"/>
    <w:rsid w:val="006C2B68"/>
    <w:rsid w:val="006C2EB9"/>
    <w:rsid w:val="006C347B"/>
    <w:rsid w:val="006C4265"/>
    <w:rsid w:val="006C5A50"/>
    <w:rsid w:val="006C5C56"/>
    <w:rsid w:val="006C7AB7"/>
    <w:rsid w:val="006C7BF2"/>
    <w:rsid w:val="006D0075"/>
    <w:rsid w:val="006D03F6"/>
    <w:rsid w:val="006D0882"/>
    <w:rsid w:val="006D0DE7"/>
    <w:rsid w:val="006D1E4B"/>
    <w:rsid w:val="006D2D46"/>
    <w:rsid w:val="006D2EE8"/>
    <w:rsid w:val="006D337D"/>
    <w:rsid w:val="006D365F"/>
    <w:rsid w:val="006D3761"/>
    <w:rsid w:val="006D4069"/>
    <w:rsid w:val="006D412C"/>
    <w:rsid w:val="006D42A2"/>
    <w:rsid w:val="006D48D4"/>
    <w:rsid w:val="006D4E36"/>
    <w:rsid w:val="006D4F92"/>
    <w:rsid w:val="006D51B8"/>
    <w:rsid w:val="006D5379"/>
    <w:rsid w:val="006D587F"/>
    <w:rsid w:val="006D5FC7"/>
    <w:rsid w:val="006D72F1"/>
    <w:rsid w:val="006D733A"/>
    <w:rsid w:val="006D736A"/>
    <w:rsid w:val="006D7EEE"/>
    <w:rsid w:val="006E03FE"/>
    <w:rsid w:val="006E08D2"/>
    <w:rsid w:val="006E1A54"/>
    <w:rsid w:val="006E2153"/>
    <w:rsid w:val="006E2562"/>
    <w:rsid w:val="006E2A03"/>
    <w:rsid w:val="006E40C2"/>
    <w:rsid w:val="006E4484"/>
    <w:rsid w:val="006E4B02"/>
    <w:rsid w:val="006E5357"/>
    <w:rsid w:val="006E53F2"/>
    <w:rsid w:val="006E5863"/>
    <w:rsid w:val="006E5ECB"/>
    <w:rsid w:val="006E6D1C"/>
    <w:rsid w:val="006EA411"/>
    <w:rsid w:val="006EB198"/>
    <w:rsid w:val="006F0588"/>
    <w:rsid w:val="006F067F"/>
    <w:rsid w:val="006F0938"/>
    <w:rsid w:val="006F0D8B"/>
    <w:rsid w:val="006F0FF0"/>
    <w:rsid w:val="006F1F82"/>
    <w:rsid w:val="006F1FB2"/>
    <w:rsid w:val="006F20FA"/>
    <w:rsid w:val="006F2667"/>
    <w:rsid w:val="006F340B"/>
    <w:rsid w:val="006F3517"/>
    <w:rsid w:val="006F4F35"/>
    <w:rsid w:val="006F50F1"/>
    <w:rsid w:val="006F5772"/>
    <w:rsid w:val="006F6114"/>
    <w:rsid w:val="006F6D00"/>
    <w:rsid w:val="006F7030"/>
    <w:rsid w:val="006FBF84"/>
    <w:rsid w:val="007003D2"/>
    <w:rsid w:val="00701116"/>
    <w:rsid w:val="00702034"/>
    <w:rsid w:val="00702166"/>
    <w:rsid w:val="0070265E"/>
    <w:rsid w:val="00703121"/>
    <w:rsid w:val="0070314C"/>
    <w:rsid w:val="007033EF"/>
    <w:rsid w:val="0070350A"/>
    <w:rsid w:val="007046F1"/>
    <w:rsid w:val="00704828"/>
    <w:rsid w:val="00704A8E"/>
    <w:rsid w:val="00704ABC"/>
    <w:rsid w:val="00704E5F"/>
    <w:rsid w:val="00706316"/>
    <w:rsid w:val="0070658D"/>
    <w:rsid w:val="0070683C"/>
    <w:rsid w:val="00706D33"/>
    <w:rsid w:val="0070789A"/>
    <w:rsid w:val="00707B43"/>
    <w:rsid w:val="00707C8A"/>
    <w:rsid w:val="00710A26"/>
    <w:rsid w:val="00711362"/>
    <w:rsid w:val="00712232"/>
    <w:rsid w:val="007126FB"/>
    <w:rsid w:val="00713286"/>
    <w:rsid w:val="00713AB0"/>
    <w:rsid w:val="00714332"/>
    <w:rsid w:val="0071434A"/>
    <w:rsid w:val="00715BFB"/>
    <w:rsid w:val="00715E8F"/>
    <w:rsid w:val="00717E0A"/>
    <w:rsid w:val="007203E5"/>
    <w:rsid w:val="00720814"/>
    <w:rsid w:val="00721033"/>
    <w:rsid w:val="0072172D"/>
    <w:rsid w:val="00721967"/>
    <w:rsid w:val="007219B3"/>
    <w:rsid w:val="00721BA4"/>
    <w:rsid w:val="007220B8"/>
    <w:rsid w:val="007224B7"/>
    <w:rsid w:val="0072288A"/>
    <w:rsid w:val="0072296F"/>
    <w:rsid w:val="007229A2"/>
    <w:rsid w:val="00722CA8"/>
    <w:rsid w:val="00723614"/>
    <w:rsid w:val="00723A80"/>
    <w:rsid w:val="00724CB0"/>
    <w:rsid w:val="00725946"/>
    <w:rsid w:val="007259D3"/>
    <w:rsid w:val="00726356"/>
    <w:rsid w:val="00726D49"/>
    <w:rsid w:val="00726EDB"/>
    <w:rsid w:val="00727358"/>
    <w:rsid w:val="00727427"/>
    <w:rsid w:val="00727E39"/>
    <w:rsid w:val="007302A4"/>
    <w:rsid w:val="0073079F"/>
    <w:rsid w:val="00730A4C"/>
    <w:rsid w:val="00732645"/>
    <w:rsid w:val="007328AF"/>
    <w:rsid w:val="00732ECF"/>
    <w:rsid w:val="007335BA"/>
    <w:rsid w:val="00733A76"/>
    <w:rsid w:val="00733C0E"/>
    <w:rsid w:val="00733C7C"/>
    <w:rsid w:val="00733DE4"/>
    <w:rsid w:val="0073426E"/>
    <w:rsid w:val="00734538"/>
    <w:rsid w:val="0073503F"/>
    <w:rsid w:val="0073514A"/>
    <w:rsid w:val="007363B6"/>
    <w:rsid w:val="00736696"/>
    <w:rsid w:val="0073D8B1"/>
    <w:rsid w:val="007400CA"/>
    <w:rsid w:val="0074019F"/>
    <w:rsid w:val="00740274"/>
    <w:rsid w:val="00741786"/>
    <w:rsid w:val="00741EA2"/>
    <w:rsid w:val="00741F74"/>
    <w:rsid w:val="00742FCE"/>
    <w:rsid w:val="00743536"/>
    <w:rsid w:val="00743697"/>
    <w:rsid w:val="00743C30"/>
    <w:rsid w:val="00743CE3"/>
    <w:rsid w:val="00743F9A"/>
    <w:rsid w:val="0074452E"/>
    <w:rsid w:val="00744D2B"/>
    <w:rsid w:val="00744DA2"/>
    <w:rsid w:val="007458C6"/>
    <w:rsid w:val="0074637B"/>
    <w:rsid w:val="00747876"/>
    <w:rsid w:val="00751222"/>
    <w:rsid w:val="0075172A"/>
    <w:rsid w:val="0075196D"/>
    <w:rsid w:val="00751E16"/>
    <w:rsid w:val="007525A4"/>
    <w:rsid w:val="007526C2"/>
    <w:rsid w:val="00752BFC"/>
    <w:rsid w:val="00752F2C"/>
    <w:rsid w:val="00753A44"/>
    <w:rsid w:val="00753FC1"/>
    <w:rsid w:val="0075404A"/>
    <w:rsid w:val="00754AE6"/>
    <w:rsid w:val="00754B1B"/>
    <w:rsid w:val="00754BFC"/>
    <w:rsid w:val="00755741"/>
    <w:rsid w:val="00757025"/>
    <w:rsid w:val="00757A61"/>
    <w:rsid w:val="00757B17"/>
    <w:rsid w:val="00757C8C"/>
    <w:rsid w:val="00757DDB"/>
    <w:rsid w:val="0076032C"/>
    <w:rsid w:val="0076089E"/>
    <w:rsid w:val="00760A25"/>
    <w:rsid w:val="007610B0"/>
    <w:rsid w:val="0076135C"/>
    <w:rsid w:val="0076146B"/>
    <w:rsid w:val="00761AE3"/>
    <w:rsid w:val="00761D32"/>
    <w:rsid w:val="00761DCD"/>
    <w:rsid w:val="00762889"/>
    <w:rsid w:val="007632D2"/>
    <w:rsid w:val="007633D1"/>
    <w:rsid w:val="00763545"/>
    <w:rsid w:val="00763893"/>
    <w:rsid w:val="00763E86"/>
    <w:rsid w:val="0076551C"/>
    <w:rsid w:val="00766C50"/>
    <w:rsid w:val="00766C56"/>
    <w:rsid w:val="00767718"/>
    <w:rsid w:val="00767B3F"/>
    <w:rsid w:val="007726E8"/>
    <w:rsid w:val="00772E35"/>
    <w:rsid w:val="00773FFD"/>
    <w:rsid w:val="0077451D"/>
    <w:rsid w:val="0077653A"/>
    <w:rsid w:val="00776D08"/>
    <w:rsid w:val="00776F76"/>
    <w:rsid w:val="00777BBC"/>
    <w:rsid w:val="00780746"/>
    <w:rsid w:val="00780BA7"/>
    <w:rsid w:val="00781102"/>
    <w:rsid w:val="00782E86"/>
    <w:rsid w:val="00783139"/>
    <w:rsid w:val="00783191"/>
    <w:rsid w:val="00783AD9"/>
    <w:rsid w:val="007844E7"/>
    <w:rsid w:val="00784814"/>
    <w:rsid w:val="00785F58"/>
    <w:rsid w:val="00785FD9"/>
    <w:rsid w:val="00786B0C"/>
    <w:rsid w:val="00787B54"/>
    <w:rsid w:val="00790111"/>
    <w:rsid w:val="00790202"/>
    <w:rsid w:val="00790722"/>
    <w:rsid w:val="00790882"/>
    <w:rsid w:val="00790B38"/>
    <w:rsid w:val="00790BBB"/>
    <w:rsid w:val="00790CB4"/>
    <w:rsid w:val="00791268"/>
    <w:rsid w:val="007927CF"/>
    <w:rsid w:val="00793B23"/>
    <w:rsid w:val="00793B66"/>
    <w:rsid w:val="0079443A"/>
    <w:rsid w:val="00794FE1"/>
    <w:rsid w:val="0079500B"/>
    <w:rsid w:val="007952F6"/>
    <w:rsid w:val="0079571A"/>
    <w:rsid w:val="007961DB"/>
    <w:rsid w:val="00796A4E"/>
    <w:rsid w:val="00796D03"/>
    <w:rsid w:val="00797E3C"/>
    <w:rsid w:val="0079C5DC"/>
    <w:rsid w:val="007A019B"/>
    <w:rsid w:val="007A0547"/>
    <w:rsid w:val="007A1134"/>
    <w:rsid w:val="007A11D7"/>
    <w:rsid w:val="007A3634"/>
    <w:rsid w:val="007A3903"/>
    <w:rsid w:val="007A4787"/>
    <w:rsid w:val="007A4806"/>
    <w:rsid w:val="007A4A72"/>
    <w:rsid w:val="007A4D75"/>
    <w:rsid w:val="007A5C7F"/>
    <w:rsid w:val="007A6739"/>
    <w:rsid w:val="007A70C5"/>
    <w:rsid w:val="007B0096"/>
    <w:rsid w:val="007B0147"/>
    <w:rsid w:val="007B0E71"/>
    <w:rsid w:val="007B0F69"/>
    <w:rsid w:val="007B17E0"/>
    <w:rsid w:val="007B1FF0"/>
    <w:rsid w:val="007B24C3"/>
    <w:rsid w:val="007B26FA"/>
    <w:rsid w:val="007B3F8C"/>
    <w:rsid w:val="007B46B9"/>
    <w:rsid w:val="007B4F4D"/>
    <w:rsid w:val="007B5AE3"/>
    <w:rsid w:val="007B5C6C"/>
    <w:rsid w:val="007B5CF7"/>
    <w:rsid w:val="007B6789"/>
    <w:rsid w:val="007B6954"/>
    <w:rsid w:val="007B6FA1"/>
    <w:rsid w:val="007C0305"/>
    <w:rsid w:val="007C15E8"/>
    <w:rsid w:val="007C1AD7"/>
    <w:rsid w:val="007C2D04"/>
    <w:rsid w:val="007C355B"/>
    <w:rsid w:val="007C36D1"/>
    <w:rsid w:val="007C4DD0"/>
    <w:rsid w:val="007C516F"/>
    <w:rsid w:val="007C5BA9"/>
    <w:rsid w:val="007C5C0B"/>
    <w:rsid w:val="007C66FC"/>
    <w:rsid w:val="007C69BD"/>
    <w:rsid w:val="007C6A13"/>
    <w:rsid w:val="007C6A4D"/>
    <w:rsid w:val="007C70FC"/>
    <w:rsid w:val="007D03ED"/>
    <w:rsid w:val="007D0839"/>
    <w:rsid w:val="007D0BF7"/>
    <w:rsid w:val="007D2505"/>
    <w:rsid w:val="007D259E"/>
    <w:rsid w:val="007D28A8"/>
    <w:rsid w:val="007D3571"/>
    <w:rsid w:val="007D36D7"/>
    <w:rsid w:val="007D37B1"/>
    <w:rsid w:val="007D4EDB"/>
    <w:rsid w:val="007D645C"/>
    <w:rsid w:val="007D6A9F"/>
    <w:rsid w:val="007DF0BA"/>
    <w:rsid w:val="007E0A51"/>
    <w:rsid w:val="007E0A7E"/>
    <w:rsid w:val="007E1195"/>
    <w:rsid w:val="007E1719"/>
    <w:rsid w:val="007E2BC2"/>
    <w:rsid w:val="007E3C0E"/>
    <w:rsid w:val="007E6160"/>
    <w:rsid w:val="007E6313"/>
    <w:rsid w:val="007E6D19"/>
    <w:rsid w:val="007E6EAB"/>
    <w:rsid w:val="007E745F"/>
    <w:rsid w:val="007E77AE"/>
    <w:rsid w:val="007E7BFF"/>
    <w:rsid w:val="007E7E81"/>
    <w:rsid w:val="007E7FCD"/>
    <w:rsid w:val="007F1B35"/>
    <w:rsid w:val="007F2057"/>
    <w:rsid w:val="007F230B"/>
    <w:rsid w:val="007F286A"/>
    <w:rsid w:val="007F2C94"/>
    <w:rsid w:val="007F3980"/>
    <w:rsid w:val="007F3F7B"/>
    <w:rsid w:val="007F43E7"/>
    <w:rsid w:val="007F4783"/>
    <w:rsid w:val="007F47A4"/>
    <w:rsid w:val="007F4B6C"/>
    <w:rsid w:val="007F4F67"/>
    <w:rsid w:val="007F5138"/>
    <w:rsid w:val="007F54E0"/>
    <w:rsid w:val="007F5EA9"/>
    <w:rsid w:val="007F6007"/>
    <w:rsid w:val="007F75C3"/>
    <w:rsid w:val="007F7C04"/>
    <w:rsid w:val="007F7CF1"/>
    <w:rsid w:val="00802E9C"/>
    <w:rsid w:val="00803BD1"/>
    <w:rsid w:val="00803C45"/>
    <w:rsid w:val="00804410"/>
    <w:rsid w:val="00804B99"/>
    <w:rsid w:val="00805A58"/>
    <w:rsid w:val="00805C4F"/>
    <w:rsid w:val="00806043"/>
    <w:rsid w:val="00806C87"/>
    <w:rsid w:val="008107E9"/>
    <w:rsid w:val="00811144"/>
    <w:rsid w:val="00811819"/>
    <w:rsid w:val="00811D70"/>
    <w:rsid w:val="00811F6F"/>
    <w:rsid w:val="00812079"/>
    <w:rsid w:val="008124CC"/>
    <w:rsid w:val="00812564"/>
    <w:rsid w:val="00812B3C"/>
    <w:rsid w:val="008132C1"/>
    <w:rsid w:val="00814670"/>
    <w:rsid w:val="00814F76"/>
    <w:rsid w:val="00815128"/>
    <w:rsid w:val="0081553E"/>
    <w:rsid w:val="008156FB"/>
    <w:rsid w:val="008164D1"/>
    <w:rsid w:val="0081656E"/>
    <w:rsid w:val="00817695"/>
    <w:rsid w:val="0082201D"/>
    <w:rsid w:val="008234C7"/>
    <w:rsid w:val="00823C40"/>
    <w:rsid w:val="0082491C"/>
    <w:rsid w:val="00824AA1"/>
    <w:rsid w:val="008252C0"/>
    <w:rsid w:val="00825B6A"/>
    <w:rsid w:val="00827C30"/>
    <w:rsid w:val="0083013C"/>
    <w:rsid w:val="00831EE0"/>
    <w:rsid w:val="00832429"/>
    <w:rsid w:val="008331F0"/>
    <w:rsid w:val="00833316"/>
    <w:rsid w:val="008333D1"/>
    <w:rsid w:val="00833A31"/>
    <w:rsid w:val="00833E61"/>
    <w:rsid w:val="00833E77"/>
    <w:rsid w:val="00834274"/>
    <w:rsid w:val="008356AD"/>
    <w:rsid w:val="008372F1"/>
    <w:rsid w:val="00840887"/>
    <w:rsid w:val="008409C9"/>
    <w:rsid w:val="008409E0"/>
    <w:rsid w:val="00841306"/>
    <w:rsid w:val="00841AF8"/>
    <w:rsid w:val="00841B91"/>
    <w:rsid w:val="00842056"/>
    <w:rsid w:val="00842A8A"/>
    <w:rsid w:val="00842AC2"/>
    <w:rsid w:val="0084314D"/>
    <w:rsid w:val="00844546"/>
    <w:rsid w:val="00844697"/>
    <w:rsid w:val="00844741"/>
    <w:rsid w:val="00844853"/>
    <w:rsid w:val="00845478"/>
    <w:rsid w:val="00845B17"/>
    <w:rsid w:val="00845C5A"/>
    <w:rsid w:val="0084603A"/>
    <w:rsid w:val="008466F7"/>
    <w:rsid w:val="00846BD7"/>
    <w:rsid w:val="00847DE0"/>
    <w:rsid w:val="0085076B"/>
    <w:rsid w:val="00851270"/>
    <w:rsid w:val="00851A68"/>
    <w:rsid w:val="00851BBB"/>
    <w:rsid w:val="00851D0E"/>
    <w:rsid w:val="00851F69"/>
    <w:rsid w:val="008534F6"/>
    <w:rsid w:val="0085393F"/>
    <w:rsid w:val="00853EC5"/>
    <w:rsid w:val="00854B5E"/>
    <w:rsid w:val="00855591"/>
    <w:rsid w:val="00855677"/>
    <w:rsid w:val="008562E9"/>
    <w:rsid w:val="00856665"/>
    <w:rsid w:val="0085684A"/>
    <w:rsid w:val="008605BE"/>
    <w:rsid w:val="00860608"/>
    <w:rsid w:val="00860BDC"/>
    <w:rsid w:val="0086160F"/>
    <w:rsid w:val="00862FA5"/>
    <w:rsid w:val="00863630"/>
    <w:rsid w:val="008636CA"/>
    <w:rsid w:val="00863876"/>
    <w:rsid w:val="00863A86"/>
    <w:rsid w:val="00863B70"/>
    <w:rsid w:val="00863ECB"/>
    <w:rsid w:val="008640BB"/>
    <w:rsid w:val="00864AC9"/>
    <w:rsid w:val="00864B71"/>
    <w:rsid w:val="008655D8"/>
    <w:rsid w:val="00865B9E"/>
    <w:rsid w:val="008661B8"/>
    <w:rsid w:val="008665C3"/>
    <w:rsid w:val="00866885"/>
    <w:rsid w:val="00866D59"/>
    <w:rsid w:val="00867220"/>
    <w:rsid w:val="00867878"/>
    <w:rsid w:val="00867B5A"/>
    <w:rsid w:val="00867B66"/>
    <w:rsid w:val="0086C580"/>
    <w:rsid w:val="00871E18"/>
    <w:rsid w:val="00872546"/>
    <w:rsid w:val="00873482"/>
    <w:rsid w:val="0087366E"/>
    <w:rsid w:val="0087467B"/>
    <w:rsid w:val="008746A9"/>
    <w:rsid w:val="0087498B"/>
    <w:rsid w:val="00875025"/>
    <w:rsid w:val="008751DA"/>
    <w:rsid w:val="0087531D"/>
    <w:rsid w:val="0087607E"/>
    <w:rsid w:val="008772D7"/>
    <w:rsid w:val="0087795B"/>
    <w:rsid w:val="008779CA"/>
    <w:rsid w:val="00880209"/>
    <w:rsid w:val="008804F0"/>
    <w:rsid w:val="008811BA"/>
    <w:rsid w:val="00881C87"/>
    <w:rsid w:val="00881F7D"/>
    <w:rsid w:val="008840A5"/>
    <w:rsid w:val="00884A14"/>
    <w:rsid w:val="008855FC"/>
    <w:rsid w:val="0088568D"/>
    <w:rsid w:val="00885F96"/>
    <w:rsid w:val="00885FC4"/>
    <w:rsid w:val="00886264"/>
    <w:rsid w:val="00886EEE"/>
    <w:rsid w:val="00887502"/>
    <w:rsid w:val="008876F6"/>
    <w:rsid w:val="00887C59"/>
    <w:rsid w:val="00890791"/>
    <w:rsid w:val="008910E5"/>
    <w:rsid w:val="00891824"/>
    <w:rsid w:val="00891CA6"/>
    <w:rsid w:val="008937CA"/>
    <w:rsid w:val="00893C49"/>
    <w:rsid w:val="00893E7D"/>
    <w:rsid w:val="00895487"/>
    <w:rsid w:val="008957F1"/>
    <w:rsid w:val="0089594A"/>
    <w:rsid w:val="008962CF"/>
    <w:rsid w:val="00896F41"/>
    <w:rsid w:val="008973F9"/>
    <w:rsid w:val="0089753E"/>
    <w:rsid w:val="008979A2"/>
    <w:rsid w:val="00897D03"/>
    <w:rsid w:val="008A06C7"/>
    <w:rsid w:val="008A0E32"/>
    <w:rsid w:val="008A34CE"/>
    <w:rsid w:val="008A3C7F"/>
    <w:rsid w:val="008A4111"/>
    <w:rsid w:val="008A4968"/>
    <w:rsid w:val="008A50B8"/>
    <w:rsid w:val="008A51E8"/>
    <w:rsid w:val="008A5347"/>
    <w:rsid w:val="008A576E"/>
    <w:rsid w:val="008A63C4"/>
    <w:rsid w:val="008A655A"/>
    <w:rsid w:val="008A6722"/>
    <w:rsid w:val="008A6E0F"/>
    <w:rsid w:val="008A717D"/>
    <w:rsid w:val="008A7D6B"/>
    <w:rsid w:val="008B03A7"/>
    <w:rsid w:val="008B1547"/>
    <w:rsid w:val="008B1567"/>
    <w:rsid w:val="008B4165"/>
    <w:rsid w:val="008B4432"/>
    <w:rsid w:val="008B448C"/>
    <w:rsid w:val="008B5ACC"/>
    <w:rsid w:val="008B60A5"/>
    <w:rsid w:val="008B6131"/>
    <w:rsid w:val="008B64B2"/>
    <w:rsid w:val="008B685F"/>
    <w:rsid w:val="008B70B3"/>
    <w:rsid w:val="008B7849"/>
    <w:rsid w:val="008B7B73"/>
    <w:rsid w:val="008C033D"/>
    <w:rsid w:val="008C153D"/>
    <w:rsid w:val="008C1779"/>
    <w:rsid w:val="008C1A6A"/>
    <w:rsid w:val="008C20C2"/>
    <w:rsid w:val="008C2408"/>
    <w:rsid w:val="008C24F3"/>
    <w:rsid w:val="008C2F91"/>
    <w:rsid w:val="008C2FA3"/>
    <w:rsid w:val="008C2FD8"/>
    <w:rsid w:val="008C3095"/>
    <w:rsid w:val="008C331D"/>
    <w:rsid w:val="008C4046"/>
    <w:rsid w:val="008C4345"/>
    <w:rsid w:val="008C4A32"/>
    <w:rsid w:val="008C4BC3"/>
    <w:rsid w:val="008C508E"/>
    <w:rsid w:val="008C50B7"/>
    <w:rsid w:val="008C5F55"/>
    <w:rsid w:val="008C6D8F"/>
    <w:rsid w:val="008C7769"/>
    <w:rsid w:val="008C78A4"/>
    <w:rsid w:val="008C792A"/>
    <w:rsid w:val="008C7C74"/>
    <w:rsid w:val="008D0B7F"/>
    <w:rsid w:val="008D14E1"/>
    <w:rsid w:val="008D24A4"/>
    <w:rsid w:val="008D2905"/>
    <w:rsid w:val="008D2FB7"/>
    <w:rsid w:val="008D38C3"/>
    <w:rsid w:val="008D471D"/>
    <w:rsid w:val="008D4FCC"/>
    <w:rsid w:val="008D58BD"/>
    <w:rsid w:val="008D622C"/>
    <w:rsid w:val="008D6526"/>
    <w:rsid w:val="008D6656"/>
    <w:rsid w:val="008D6977"/>
    <w:rsid w:val="008D6B59"/>
    <w:rsid w:val="008D7057"/>
    <w:rsid w:val="008D74E4"/>
    <w:rsid w:val="008D77CE"/>
    <w:rsid w:val="008E0D17"/>
    <w:rsid w:val="008E0E7C"/>
    <w:rsid w:val="008E10B2"/>
    <w:rsid w:val="008E1291"/>
    <w:rsid w:val="008E174A"/>
    <w:rsid w:val="008E1AAD"/>
    <w:rsid w:val="008E40F8"/>
    <w:rsid w:val="008E4916"/>
    <w:rsid w:val="008E4F49"/>
    <w:rsid w:val="008E62B6"/>
    <w:rsid w:val="008E62C0"/>
    <w:rsid w:val="008E6BB0"/>
    <w:rsid w:val="008E71FF"/>
    <w:rsid w:val="008F023A"/>
    <w:rsid w:val="008F02CD"/>
    <w:rsid w:val="008F06C3"/>
    <w:rsid w:val="008F1AA0"/>
    <w:rsid w:val="008F1BEF"/>
    <w:rsid w:val="008F1DFC"/>
    <w:rsid w:val="008F2893"/>
    <w:rsid w:val="008F2EF4"/>
    <w:rsid w:val="008F3958"/>
    <w:rsid w:val="008F3EE2"/>
    <w:rsid w:val="008F3FEB"/>
    <w:rsid w:val="008F4611"/>
    <w:rsid w:val="008F479D"/>
    <w:rsid w:val="008F5711"/>
    <w:rsid w:val="008F63C1"/>
    <w:rsid w:val="008F6544"/>
    <w:rsid w:val="008F69DF"/>
    <w:rsid w:val="008F7513"/>
    <w:rsid w:val="008F7A6E"/>
    <w:rsid w:val="00900745"/>
    <w:rsid w:val="0090127D"/>
    <w:rsid w:val="009014D0"/>
    <w:rsid w:val="00901B0D"/>
    <w:rsid w:val="009023D4"/>
    <w:rsid w:val="00903029"/>
    <w:rsid w:val="0090316A"/>
    <w:rsid w:val="00903C54"/>
    <w:rsid w:val="009048F1"/>
    <w:rsid w:val="00904E18"/>
    <w:rsid w:val="00905283"/>
    <w:rsid w:val="00905430"/>
    <w:rsid w:val="00905C4A"/>
    <w:rsid w:val="00905D25"/>
    <w:rsid w:val="00906032"/>
    <w:rsid w:val="0090796C"/>
    <w:rsid w:val="00907B6C"/>
    <w:rsid w:val="00910495"/>
    <w:rsid w:val="009116B1"/>
    <w:rsid w:val="0091216A"/>
    <w:rsid w:val="009125A9"/>
    <w:rsid w:val="00912BED"/>
    <w:rsid w:val="00913F96"/>
    <w:rsid w:val="009140A7"/>
    <w:rsid w:val="009149FB"/>
    <w:rsid w:val="00914A90"/>
    <w:rsid w:val="00915188"/>
    <w:rsid w:val="009163F7"/>
    <w:rsid w:val="00917348"/>
    <w:rsid w:val="00917982"/>
    <w:rsid w:val="009201E0"/>
    <w:rsid w:val="009206B0"/>
    <w:rsid w:val="0092072B"/>
    <w:rsid w:val="00920D67"/>
    <w:rsid w:val="00920E6B"/>
    <w:rsid w:val="00922AE7"/>
    <w:rsid w:val="00922D56"/>
    <w:rsid w:val="00923632"/>
    <w:rsid w:val="00923961"/>
    <w:rsid w:val="00925356"/>
    <w:rsid w:val="0092641E"/>
    <w:rsid w:val="00930A7B"/>
    <w:rsid w:val="0093117B"/>
    <w:rsid w:val="009311AF"/>
    <w:rsid w:val="00931842"/>
    <w:rsid w:val="009318CD"/>
    <w:rsid w:val="009332CB"/>
    <w:rsid w:val="00933781"/>
    <w:rsid w:val="00933C7C"/>
    <w:rsid w:val="00934186"/>
    <w:rsid w:val="00934CD4"/>
    <w:rsid w:val="009356AC"/>
    <w:rsid w:val="0093583F"/>
    <w:rsid w:val="00935C62"/>
    <w:rsid w:val="00936937"/>
    <w:rsid w:val="00936C21"/>
    <w:rsid w:val="009403D8"/>
    <w:rsid w:val="00940B76"/>
    <w:rsid w:val="00942002"/>
    <w:rsid w:val="009428B4"/>
    <w:rsid w:val="009432C0"/>
    <w:rsid w:val="00943DE8"/>
    <w:rsid w:val="0094419F"/>
    <w:rsid w:val="00944460"/>
    <w:rsid w:val="009449C6"/>
    <w:rsid w:val="00944F63"/>
    <w:rsid w:val="00945218"/>
    <w:rsid w:val="00945C89"/>
    <w:rsid w:val="0094601A"/>
    <w:rsid w:val="0094615E"/>
    <w:rsid w:val="009476A6"/>
    <w:rsid w:val="00947875"/>
    <w:rsid w:val="00947F53"/>
    <w:rsid w:val="00950730"/>
    <w:rsid w:val="009510DF"/>
    <w:rsid w:val="009519A7"/>
    <w:rsid w:val="009519D1"/>
    <w:rsid w:val="0095241A"/>
    <w:rsid w:val="0095256B"/>
    <w:rsid w:val="00952ED4"/>
    <w:rsid w:val="00953440"/>
    <w:rsid w:val="009535CD"/>
    <w:rsid w:val="00953A26"/>
    <w:rsid w:val="00953F66"/>
    <w:rsid w:val="00954CBA"/>
    <w:rsid w:val="00954E9B"/>
    <w:rsid w:val="009560F0"/>
    <w:rsid w:val="00956F74"/>
    <w:rsid w:val="00957B55"/>
    <w:rsid w:val="0096070B"/>
    <w:rsid w:val="009610D2"/>
    <w:rsid w:val="00961656"/>
    <w:rsid w:val="00961D2F"/>
    <w:rsid w:val="00962D20"/>
    <w:rsid w:val="00963AE5"/>
    <w:rsid w:val="00963CB4"/>
    <w:rsid w:val="00963E4C"/>
    <w:rsid w:val="00964224"/>
    <w:rsid w:val="00970539"/>
    <w:rsid w:val="009705DD"/>
    <w:rsid w:val="0097208B"/>
    <w:rsid w:val="00972A5F"/>
    <w:rsid w:val="00972D42"/>
    <w:rsid w:val="00972F31"/>
    <w:rsid w:val="00973677"/>
    <w:rsid w:val="009739A2"/>
    <w:rsid w:val="00973C4A"/>
    <w:rsid w:val="00973FCC"/>
    <w:rsid w:val="009742B4"/>
    <w:rsid w:val="00975534"/>
    <w:rsid w:val="00975E30"/>
    <w:rsid w:val="00976B8F"/>
    <w:rsid w:val="00976C1F"/>
    <w:rsid w:val="00977DB5"/>
    <w:rsid w:val="009800FA"/>
    <w:rsid w:val="00981394"/>
    <w:rsid w:val="0098168C"/>
    <w:rsid w:val="0098251E"/>
    <w:rsid w:val="009829AF"/>
    <w:rsid w:val="00983AD8"/>
    <w:rsid w:val="00984E41"/>
    <w:rsid w:val="00985BBB"/>
    <w:rsid w:val="009861FB"/>
    <w:rsid w:val="00986473"/>
    <w:rsid w:val="0098693B"/>
    <w:rsid w:val="00986DA3"/>
    <w:rsid w:val="0099023B"/>
    <w:rsid w:val="0099093E"/>
    <w:rsid w:val="0099297D"/>
    <w:rsid w:val="00992DD1"/>
    <w:rsid w:val="00993B76"/>
    <w:rsid w:val="00993ED1"/>
    <w:rsid w:val="00995E97"/>
    <w:rsid w:val="00995F55"/>
    <w:rsid w:val="009963AD"/>
    <w:rsid w:val="00996932"/>
    <w:rsid w:val="00996E8E"/>
    <w:rsid w:val="009972C3"/>
    <w:rsid w:val="00997874"/>
    <w:rsid w:val="0099DACE"/>
    <w:rsid w:val="009A0294"/>
    <w:rsid w:val="009A0C7E"/>
    <w:rsid w:val="009A122D"/>
    <w:rsid w:val="009A12F0"/>
    <w:rsid w:val="009A1560"/>
    <w:rsid w:val="009A1699"/>
    <w:rsid w:val="009A18C6"/>
    <w:rsid w:val="009A1D2E"/>
    <w:rsid w:val="009A1E93"/>
    <w:rsid w:val="009A1E99"/>
    <w:rsid w:val="009A27B1"/>
    <w:rsid w:val="009A39B0"/>
    <w:rsid w:val="009A3B6D"/>
    <w:rsid w:val="009A4893"/>
    <w:rsid w:val="009A5102"/>
    <w:rsid w:val="009A69A5"/>
    <w:rsid w:val="009A6DD7"/>
    <w:rsid w:val="009A7A89"/>
    <w:rsid w:val="009A7E0F"/>
    <w:rsid w:val="009B03E7"/>
    <w:rsid w:val="009B04F6"/>
    <w:rsid w:val="009B0C7C"/>
    <w:rsid w:val="009B1878"/>
    <w:rsid w:val="009B206D"/>
    <w:rsid w:val="009B24A3"/>
    <w:rsid w:val="009B3070"/>
    <w:rsid w:val="009B38BD"/>
    <w:rsid w:val="009B4B2E"/>
    <w:rsid w:val="009B4CC1"/>
    <w:rsid w:val="009B524B"/>
    <w:rsid w:val="009B57C9"/>
    <w:rsid w:val="009B58D1"/>
    <w:rsid w:val="009B61AB"/>
    <w:rsid w:val="009B6E88"/>
    <w:rsid w:val="009B7240"/>
    <w:rsid w:val="009B748C"/>
    <w:rsid w:val="009B77F1"/>
    <w:rsid w:val="009B7A86"/>
    <w:rsid w:val="009B7B8F"/>
    <w:rsid w:val="009C031C"/>
    <w:rsid w:val="009C074F"/>
    <w:rsid w:val="009C131D"/>
    <w:rsid w:val="009C1E8C"/>
    <w:rsid w:val="009C1F44"/>
    <w:rsid w:val="009C237C"/>
    <w:rsid w:val="009C371F"/>
    <w:rsid w:val="009C7046"/>
    <w:rsid w:val="009D0411"/>
    <w:rsid w:val="009D0DC0"/>
    <w:rsid w:val="009D1D47"/>
    <w:rsid w:val="009D2271"/>
    <w:rsid w:val="009D2584"/>
    <w:rsid w:val="009D2F4D"/>
    <w:rsid w:val="009D320E"/>
    <w:rsid w:val="009D3C1C"/>
    <w:rsid w:val="009D404D"/>
    <w:rsid w:val="009D43ED"/>
    <w:rsid w:val="009D4579"/>
    <w:rsid w:val="009D45FF"/>
    <w:rsid w:val="009D4603"/>
    <w:rsid w:val="009D4AFE"/>
    <w:rsid w:val="009D5542"/>
    <w:rsid w:val="009D6912"/>
    <w:rsid w:val="009D696A"/>
    <w:rsid w:val="009D6EAE"/>
    <w:rsid w:val="009D76BB"/>
    <w:rsid w:val="009D780C"/>
    <w:rsid w:val="009D7853"/>
    <w:rsid w:val="009D7F39"/>
    <w:rsid w:val="009E013A"/>
    <w:rsid w:val="009E0445"/>
    <w:rsid w:val="009E0B25"/>
    <w:rsid w:val="009E19FA"/>
    <w:rsid w:val="009E1F00"/>
    <w:rsid w:val="009E253F"/>
    <w:rsid w:val="009E268E"/>
    <w:rsid w:val="009E39D6"/>
    <w:rsid w:val="009E3A20"/>
    <w:rsid w:val="009E3C0B"/>
    <w:rsid w:val="009E5B83"/>
    <w:rsid w:val="009E5F8C"/>
    <w:rsid w:val="009E68AE"/>
    <w:rsid w:val="009E6F51"/>
    <w:rsid w:val="009E73FD"/>
    <w:rsid w:val="009F06ED"/>
    <w:rsid w:val="009F1672"/>
    <w:rsid w:val="009F2973"/>
    <w:rsid w:val="009F2F51"/>
    <w:rsid w:val="009F4F7D"/>
    <w:rsid w:val="009F57CF"/>
    <w:rsid w:val="009F5C75"/>
    <w:rsid w:val="009F5DFE"/>
    <w:rsid w:val="009F60BF"/>
    <w:rsid w:val="009F66DF"/>
    <w:rsid w:val="009F6788"/>
    <w:rsid w:val="009F6C7E"/>
    <w:rsid w:val="009F7D18"/>
    <w:rsid w:val="009F7EF7"/>
    <w:rsid w:val="009F7FE0"/>
    <w:rsid w:val="00A005FB"/>
    <w:rsid w:val="00A014E4"/>
    <w:rsid w:val="00A017CE"/>
    <w:rsid w:val="00A01EF4"/>
    <w:rsid w:val="00A02592"/>
    <w:rsid w:val="00A025A3"/>
    <w:rsid w:val="00A02F3E"/>
    <w:rsid w:val="00A0354B"/>
    <w:rsid w:val="00A03CA4"/>
    <w:rsid w:val="00A03D1D"/>
    <w:rsid w:val="00A044C0"/>
    <w:rsid w:val="00A04A95"/>
    <w:rsid w:val="00A05F92"/>
    <w:rsid w:val="00A062B1"/>
    <w:rsid w:val="00A06ECE"/>
    <w:rsid w:val="00A071D7"/>
    <w:rsid w:val="00A076D0"/>
    <w:rsid w:val="00A07FA6"/>
    <w:rsid w:val="00A10726"/>
    <w:rsid w:val="00A10DA9"/>
    <w:rsid w:val="00A10F15"/>
    <w:rsid w:val="00A111A7"/>
    <w:rsid w:val="00A121DF"/>
    <w:rsid w:val="00A129FF"/>
    <w:rsid w:val="00A1360E"/>
    <w:rsid w:val="00A14242"/>
    <w:rsid w:val="00A145AD"/>
    <w:rsid w:val="00A162D8"/>
    <w:rsid w:val="00A16593"/>
    <w:rsid w:val="00A16DAE"/>
    <w:rsid w:val="00A206BB"/>
    <w:rsid w:val="00A21B12"/>
    <w:rsid w:val="00A21BC8"/>
    <w:rsid w:val="00A21D28"/>
    <w:rsid w:val="00A21D29"/>
    <w:rsid w:val="00A22121"/>
    <w:rsid w:val="00A22192"/>
    <w:rsid w:val="00A22932"/>
    <w:rsid w:val="00A23921"/>
    <w:rsid w:val="00A23C23"/>
    <w:rsid w:val="00A245F8"/>
    <w:rsid w:val="00A246D8"/>
    <w:rsid w:val="00A24A4C"/>
    <w:rsid w:val="00A24D8C"/>
    <w:rsid w:val="00A24FD2"/>
    <w:rsid w:val="00A25464"/>
    <w:rsid w:val="00A27547"/>
    <w:rsid w:val="00A277BF"/>
    <w:rsid w:val="00A2796B"/>
    <w:rsid w:val="00A300E3"/>
    <w:rsid w:val="00A30BC4"/>
    <w:rsid w:val="00A30D3B"/>
    <w:rsid w:val="00A30F2F"/>
    <w:rsid w:val="00A313C7"/>
    <w:rsid w:val="00A31F4E"/>
    <w:rsid w:val="00A32105"/>
    <w:rsid w:val="00A32728"/>
    <w:rsid w:val="00A32AB6"/>
    <w:rsid w:val="00A33816"/>
    <w:rsid w:val="00A33CF6"/>
    <w:rsid w:val="00A344D9"/>
    <w:rsid w:val="00A35709"/>
    <w:rsid w:val="00A367C5"/>
    <w:rsid w:val="00A36C90"/>
    <w:rsid w:val="00A370F5"/>
    <w:rsid w:val="00A372F2"/>
    <w:rsid w:val="00A40A96"/>
    <w:rsid w:val="00A41E1F"/>
    <w:rsid w:val="00A42585"/>
    <w:rsid w:val="00A42726"/>
    <w:rsid w:val="00A43730"/>
    <w:rsid w:val="00A4380C"/>
    <w:rsid w:val="00A43C9C"/>
    <w:rsid w:val="00A44108"/>
    <w:rsid w:val="00A44258"/>
    <w:rsid w:val="00A44E5A"/>
    <w:rsid w:val="00A44F72"/>
    <w:rsid w:val="00A452ED"/>
    <w:rsid w:val="00A458B1"/>
    <w:rsid w:val="00A4605D"/>
    <w:rsid w:val="00A46AB2"/>
    <w:rsid w:val="00A46AD8"/>
    <w:rsid w:val="00A46C4E"/>
    <w:rsid w:val="00A46F41"/>
    <w:rsid w:val="00A470C4"/>
    <w:rsid w:val="00A50727"/>
    <w:rsid w:val="00A50779"/>
    <w:rsid w:val="00A50DFC"/>
    <w:rsid w:val="00A51184"/>
    <w:rsid w:val="00A520A7"/>
    <w:rsid w:val="00A5277B"/>
    <w:rsid w:val="00A52B42"/>
    <w:rsid w:val="00A53A87"/>
    <w:rsid w:val="00A53B20"/>
    <w:rsid w:val="00A53EF0"/>
    <w:rsid w:val="00A53F17"/>
    <w:rsid w:val="00A54479"/>
    <w:rsid w:val="00A54E8B"/>
    <w:rsid w:val="00A54F12"/>
    <w:rsid w:val="00A5548E"/>
    <w:rsid w:val="00A5609D"/>
    <w:rsid w:val="00A56DEB"/>
    <w:rsid w:val="00A56DFF"/>
    <w:rsid w:val="00A57010"/>
    <w:rsid w:val="00A57A95"/>
    <w:rsid w:val="00A57FFA"/>
    <w:rsid w:val="00A6048C"/>
    <w:rsid w:val="00A60E06"/>
    <w:rsid w:val="00A60F92"/>
    <w:rsid w:val="00A61E3B"/>
    <w:rsid w:val="00A62985"/>
    <w:rsid w:val="00A632B2"/>
    <w:rsid w:val="00A63318"/>
    <w:rsid w:val="00A6394C"/>
    <w:rsid w:val="00A6398B"/>
    <w:rsid w:val="00A64ED0"/>
    <w:rsid w:val="00A653B4"/>
    <w:rsid w:val="00A6573B"/>
    <w:rsid w:val="00A658A3"/>
    <w:rsid w:val="00A65A54"/>
    <w:rsid w:val="00A66555"/>
    <w:rsid w:val="00A66A48"/>
    <w:rsid w:val="00A672D0"/>
    <w:rsid w:val="00A7017D"/>
    <w:rsid w:val="00A7052D"/>
    <w:rsid w:val="00A70D27"/>
    <w:rsid w:val="00A70E5E"/>
    <w:rsid w:val="00A71170"/>
    <w:rsid w:val="00A71B94"/>
    <w:rsid w:val="00A71C71"/>
    <w:rsid w:val="00A71EAB"/>
    <w:rsid w:val="00A72077"/>
    <w:rsid w:val="00A7372F"/>
    <w:rsid w:val="00A7447F"/>
    <w:rsid w:val="00A74A8B"/>
    <w:rsid w:val="00A74C0A"/>
    <w:rsid w:val="00A75391"/>
    <w:rsid w:val="00A757A3"/>
    <w:rsid w:val="00A75B56"/>
    <w:rsid w:val="00A75CC2"/>
    <w:rsid w:val="00A75F9A"/>
    <w:rsid w:val="00A76CC4"/>
    <w:rsid w:val="00A7723B"/>
    <w:rsid w:val="00A772E1"/>
    <w:rsid w:val="00A77384"/>
    <w:rsid w:val="00A77397"/>
    <w:rsid w:val="00A776A4"/>
    <w:rsid w:val="00A80ACF"/>
    <w:rsid w:val="00A81030"/>
    <w:rsid w:val="00A81FC9"/>
    <w:rsid w:val="00A822F0"/>
    <w:rsid w:val="00A82404"/>
    <w:rsid w:val="00A82733"/>
    <w:rsid w:val="00A828DD"/>
    <w:rsid w:val="00A82BF9"/>
    <w:rsid w:val="00A838B0"/>
    <w:rsid w:val="00A83D78"/>
    <w:rsid w:val="00A84BCB"/>
    <w:rsid w:val="00A85647"/>
    <w:rsid w:val="00A859E4"/>
    <w:rsid w:val="00A85BC2"/>
    <w:rsid w:val="00A86238"/>
    <w:rsid w:val="00A864E4"/>
    <w:rsid w:val="00A868E9"/>
    <w:rsid w:val="00A869B9"/>
    <w:rsid w:val="00A86CD5"/>
    <w:rsid w:val="00A86F08"/>
    <w:rsid w:val="00A87665"/>
    <w:rsid w:val="00A90B20"/>
    <w:rsid w:val="00A9124E"/>
    <w:rsid w:val="00A9162A"/>
    <w:rsid w:val="00A91942"/>
    <w:rsid w:val="00A920D3"/>
    <w:rsid w:val="00A9399C"/>
    <w:rsid w:val="00A94ABB"/>
    <w:rsid w:val="00A94D20"/>
    <w:rsid w:val="00A94DFE"/>
    <w:rsid w:val="00A94EF6"/>
    <w:rsid w:val="00A94F71"/>
    <w:rsid w:val="00A950D2"/>
    <w:rsid w:val="00A955CA"/>
    <w:rsid w:val="00A96424"/>
    <w:rsid w:val="00A969CC"/>
    <w:rsid w:val="00A9762C"/>
    <w:rsid w:val="00A97C75"/>
    <w:rsid w:val="00A97DD4"/>
    <w:rsid w:val="00AA023D"/>
    <w:rsid w:val="00AA0822"/>
    <w:rsid w:val="00AA0933"/>
    <w:rsid w:val="00AA0B16"/>
    <w:rsid w:val="00AA11F7"/>
    <w:rsid w:val="00AA18A1"/>
    <w:rsid w:val="00AA1C54"/>
    <w:rsid w:val="00AA1DEC"/>
    <w:rsid w:val="00AA21B2"/>
    <w:rsid w:val="00AA3952"/>
    <w:rsid w:val="00AA45EE"/>
    <w:rsid w:val="00AA4BEA"/>
    <w:rsid w:val="00AA5511"/>
    <w:rsid w:val="00AA61BF"/>
    <w:rsid w:val="00AA6B39"/>
    <w:rsid w:val="00AA6DE9"/>
    <w:rsid w:val="00AA74E4"/>
    <w:rsid w:val="00AB0365"/>
    <w:rsid w:val="00AB0478"/>
    <w:rsid w:val="00AB0908"/>
    <w:rsid w:val="00AB1324"/>
    <w:rsid w:val="00AB1EE5"/>
    <w:rsid w:val="00AB222C"/>
    <w:rsid w:val="00AB25DF"/>
    <w:rsid w:val="00AB2D49"/>
    <w:rsid w:val="00AB3736"/>
    <w:rsid w:val="00AB3E91"/>
    <w:rsid w:val="00AB4B20"/>
    <w:rsid w:val="00AB6282"/>
    <w:rsid w:val="00AB6841"/>
    <w:rsid w:val="00AB7261"/>
    <w:rsid w:val="00AB7E5B"/>
    <w:rsid w:val="00AC101D"/>
    <w:rsid w:val="00AC1711"/>
    <w:rsid w:val="00AC1840"/>
    <w:rsid w:val="00AC1B46"/>
    <w:rsid w:val="00AC2238"/>
    <w:rsid w:val="00AC2CED"/>
    <w:rsid w:val="00AC3194"/>
    <w:rsid w:val="00AC4338"/>
    <w:rsid w:val="00AC5102"/>
    <w:rsid w:val="00AC5655"/>
    <w:rsid w:val="00AC59DC"/>
    <w:rsid w:val="00AC674F"/>
    <w:rsid w:val="00AC6F47"/>
    <w:rsid w:val="00AC7729"/>
    <w:rsid w:val="00AD0120"/>
    <w:rsid w:val="00AD040A"/>
    <w:rsid w:val="00AD041E"/>
    <w:rsid w:val="00AD043E"/>
    <w:rsid w:val="00AD06FD"/>
    <w:rsid w:val="00AD0A61"/>
    <w:rsid w:val="00AD0BB6"/>
    <w:rsid w:val="00AD20ED"/>
    <w:rsid w:val="00AD2A0D"/>
    <w:rsid w:val="00AD3165"/>
    <w:rsid w:val="00AD3612"/>
    <w:rsid w:val="00AD4370"/>
    <w:rsid w:val="00AD46C2"/>
    <w:rsid w:val="00AD49EF"/>
    <w:rsid w:val="00AD52C9"/>
    <w:rsid w:val="00AD54FE"/>
    <w:rsid w:val="00AD5574"/>
    <w:rsid w:val="00AD65FC"/>
    <w:rsid w:val="00AD6E3D"/>
    <w:rsid w:val="00AE0795"/>
    <w:rsid w:val="00AE0B76"/>
    <w:rsid w:val="00AE0B83"/>
    <w:rsid w:val="00AE0C22"/>
    <w:rsid w:val="00AE1668"/>
    <w:rsid w:val="00AE2141"/>
    <w:rsid w:val="00AE27ED"/>
    <w:rsid w:val="00AE424A"/>
    <w:rsid w:val="00AE4290"/>
    <w:rsid w:val="00AE4F89"/>
    <w:rsid w:val="00AE4FB9"/>
    <w:rsid w:val="00AE50E1"/>
    <w:rsid w:val="00AE5276"/>
    <w:rsid w:val="00AE52E2"/>
    <w:rsid w:val="00AE60CA"/>
    <w:rsid w:val="00AE69C4"/>
    <w:rsid w:val="00AE768A"/>
    <w:rsid w:val="00AE78F8"/>
    <w:rsid w:val="00AE7E95"/>
    <w:rsid w:val="00AF0E8E"/>
    <w:rsid w:val="00AF12F6"/>
    <w:rsid w:val="00AF19F3"/>
    <w:rsid w:val="00AF1ADF"/>
    <w:rsid w:val="00AF336F"/>
    <w:rsid w:val="00AF3384"/>
    <w:rsid w:val="00AF3F7C"/>
    <w:rsid w:val="00AF4A9F"/>
    <w:rsid w:val="00AF506D"/>
    <w:rsid w:val="00AF5942"/>
    <w:rsid w:val="00AF5944"/>
    <w:rsid w:val="00AF594C"/>
    <w:rsid w:val="00AF59E2"/>
    <w:rsid w:val="00AF6174"/>
    <w:rsid w:val="00AF6850"/>
    <w:rsid w:val="00AF73A1"/>
    <w:rsid w:val="00AF7590"/>
    <w:rsid w:val="00B00465"/>
    <w:rsid w:val="00B01117"/>
    <w:rsid w:val="00B013F5"/>
    <w:rsid w:val="00B0154B"/>
    <w:rsid w:val="00B02C2D"/>
    <w:rsid w:val="00B037D5"/>
    <w:rsid w:val="00B0387C"/>
    <w:rsid w:val="00B0468B"/>
    <w:rsid w:val="00B05720"/>
    <w:rsid w:val="00B05741"/>
    <w:rsid w:val="00B05E2A"/>
    <w:rsid w:val="00B05EA7"/>
    <w:rsid w:val="00B06ADA"/>
    <w:rsid w:val="00B06DC5"/>
    <w:rsid w:val="00B073EF"/>
    <w:rsid w:val="00B07C24"/>
    <w:rsid w:val="00B07DE3"/>
    <w:rsid w:val="00B116B3"/>
    <w:rsid w:val="00B11713"/>
    <w:rsid w:val="00B12834"/>
    <w:rsid w:val="00B12A2F"/>
    <w:rsid w:val="00B12BDB"/>
    <w:rsid w:val="00B12C9D"/>
    <w:rsid w:val="00B13B6D"/>
    <w:rsid w:val="00B15030"/>
    <w:rsid w:val="00B1514B"/>
    <w:rsid w:val="00B15C62"/>
    <w:rsid w:val="00B15DF4"/>
    <w:rsid w:val="00B16710"/>
    <w:rsid w:val="00B1760E"/>
    <w:rsid w:val="00B17EE5"/>
    <w:rsid w:val="00B2063B"/>
    <w:rsid w:val="00B207BD"/>
    <w:rsid w:val="00B20AFC"/>
    <w:rsid w:val="00B20EBF"/>
    <w:rsid w:val="00B22401"/>
    <w:rsid w:val="00B23533"/>
    <w:rsid w:val="00B23DFB"/>
    <w:rsid w:val="00B23E25"/>
    <w:rsid w:val="00B250E5"/>
    <w:rsid w:val="00B26150"/>
    <w:rsid w:val="00B26B9F"/>
    <w:rsid w:val="00B26CCF"/>
    <w:rsid w:val="00B27700"/>
    <w:rsid w:val="00B3296E"/>
    <w:rsid w:val="00B33AD8"/>
    <w:rsid w:val="00B345E5"/>
    <w:rsid w:val="00B34C67"/>
    <w:rsid w:val="00B34E05"/>
    <w:rsid w:val="00B35196"/>
    <w:rsid w:val="00B3535A"/>
    <w:rsid w:val="00B35663"/>
    <w:rsid w:val="00B36527"/>
    <w:rsid w:val="00B367E6"/>
    <w:rsid w:val="00B3680B"/>
    <w:rsid w:val="00B37AF0"/>
    <w:rsid w:val="00B37CC4"/>
    <w:rsid w:val="00B37F09"/>
    <w:rsid w:val="00B400EC"/>
    <w:rsid w:val="00B40312"/>
    <w:rsid w:val="00B40542"/>
    <w:rsid w:val="00B40963"/>
    <w:rsid w:val="00B426C8"/>
    <w:rsid w:val="00B43553"/>
    <w:rsid w:val="00B43A2C"/>
    <w:rsid w:val="00B44ACA"/>
    <w:rsid w:val="00B44D6D"/>
    <w:rsid w:val="00B456ED"/>
    <w:rsid w:val="00B457AB"/>
    <w:rsid w:val="00B45C7A"/>
    <w:rsid w:val="00B45E54"/>
    <w:rsid w:val="00B4662E"/>
    <w:rsid w:val="00B46C81"/>
    <w:rsid w:val="00B47311"/>
    <w:rsid w:val="00B47994"/>
    <w:rsid w:val="00B479EA"/>
    <w:rsid w:val="00B47AD8"/>
    <w:rsid w:val="00B47D1C"/>
    <w:rsid w:val="00B47FAD"/>
    <w:rsid w:val="00B50423"/>
    <w:rsid w:val="00B50883"/>
    <w:rsid w:val="00B51F62"/>
    <w:rsid w:val="00B52248"/>
    <w:rsid w:val="00B52E51"/>
    <w:rsid w:val="00B550A7"/>
    <w:rsid w:val="00B55244"/>
    <w:rsid w:val="00B55735"/>
    <w:rsid w:val="00B56105"/>
    <w:rsid w:val="00B56990"/>
    <w:rsid w:val="00B5770E"/>
    <w:rsid w:val="00B57767"/>
    <w:rsid w:val="00B57C04"/>
    <w:rsid w:val="00B57C1B"/>
    <w:rsid w:val="00B602D1"/>
    <w:rsid w:val="00B60831"/>
    <w:rsid w:val="00B612E4"/>
    <w:rsid w:val="00B61654"/>
    <w:rsid w:val="00B61B6C"/>
    <w:rsid w:val="00B61E4A"/>
    <w:rsid w:val="00B624E6"/>
    <w:rsid w:val="00B62ED9"/>
    <w:rsid w:val="00B6329B"/>
    <w:rsid w:val="00B63970"/>
    <w:rsid w:val="00B640AE"/>
    <w:rsid w:val="00B643B2"/>
    <w:rsid w:val="00B661B0"/>
    <w:rsid w:val="00B66CF0"/>
    <w:rsid w:val="00B677F3"/>
    <w:rsid w:val="00B70377"/>
    <w:rsid w:val="00B708F6"/>
    <w:rsid w:val="00B70F6A"/>
    <w:rsid w:val="00B717F7"/>
    <w:rsid w:val="00B71C74"/>
    <w:rsid w:val="00B72425"/>
    <w:rsid w:val="00B73BBA"/>
    <w:rsid w:val="00B73CD3"/>
    <w:rsid w:val="00B741F9"/>
    <w:rsid w:val="00B75409"/>
    <w:rsid w:val="00B75947"/>
    <w:rsid w:val="00B77A09"/>
    <w:rsid w:val="00B77D2F"/>
    <w:rsid w:val="00B7BDF7"/>
    <w:rsid w:val="00B8022A"/>
    <w:rsid w:val="00B80C69"/>
    <w:rsid w:val="00B81725"/>
    <w:rsid w:val="00B81FA8"/>
    <w:rsid w:val="00B832EF"/>
    <w:rsid w:val="00B83406"/>
    <w:rsid w:val="00B83843"/>
    <w:rsid w:val="00B838C2"/>
    <w:rsid w:val="00B83D4A"/>
    <w:rsid w:val="00B83FB6"/>
    <w:rsid w:val="00B867AE"/>
    <w:rsid w:val="00B86D82"/>
    <w:rsid w:val="00B873C6"/>
    <w:rsid w:val="00B87914"/>
    <w:rsid w:val="00B87A73"/>
    <w:rsid w:val="00B90902"/>
    <w:rsid w:val="00B90913"/>
    <w:rsid w:val="00B90F1E"/>
    <w:rsid w:val="00B90F29"/>
    <w:rsid w:val="00B90FCC"/>
    <w:rsid w:val="00B9151B"/>
    <w:rsid w:val="00B918FA"/>
    <w:rsid w:val="00B9327E"/>
    <w:rsid w:val="00B93480"/>
    <w:rsid w:val="00B94624"/>
    <w:rsid w:val="00B94A8B"/>
    <w:rsid w:val="00B954D3"/>
    <w:rsid w:val="00B957ED"/>
    <w:rsid w:val="00B95963"/>
    <w:rsid w:val="00B96931"/>
    <w:rsid w:val="00B969F1"/>
    <w:rsid w:val="00B97101"/>
    <w:rsid w:val="00B97282"/>
    <w:rsid w:val="00BA027F"/>
    <w:rsid w:val="00BA041D"/>
    <w:rsid w:val="00BA04BB"/>
    <w:rsid w:val="00BA1EE8"/>
    <w:rsid w:val="00BA22BB"/>
    <w:rsid w:val="00BA2322"/>
    <w:rsid w:val="00BA2375"/>
    <w:rsid w:val="00BA24F0"/>
    <w:rsid w:val="00BA261C"/>
    <w:rsid w:val="00BA2E0E"/>
    <w:rsid w:val="00BA2FB8"/>
    <w:rsid w:val="00BA453F"/>
    <w:rsid w:val="00BA4A7C"/>
    <w:rsid w:val="00BA6728"/>
    <w:rsid w:val="00BA6954"/>
    <w:rsid w:val="00BA7047"/>
    <w:rsid w:val="00BA7608"/>
    <w:rsid w:val="00BA768F"/>
    <w:rsid w:val="00BB04B8"/>
    <w:rsid w:val="00BB06A2"/>
    <w:rsid w:val="00BB0CAB"/>
    <w:rsid w:val="00BB0E1A"/>
    <w:rsid w:val="00BB15E6"/>
    <w:rsid w:val="00BB186D"/>
    <w:rsid w:val="00BB1E6E"/>
    <w:rsid w:val="00BB2CAB"/>
    <w:rsid w:val="00BB2FBC"/>
    <w:rsid w:val="00BB35E0"/>
    <w:rsid w:val="00BB3D16"/>
    <w:rsid w:val="00BB42EC"/>
    <w:rsid w:val="00BB4346"/>
    <w:rsid w:val="00BB4665"/>
    <w:rsid w:val="00BB46E2"/>
    <w:rsid w:val="00BB4FE3"/>
    <w:rsid w:val="00BB4FE9"/>
    <w:rsid w:val="00BC0443"/>
    <w:rsid w:val="00BC051A"/>
    <w:rsid w:val="00BC0826"/>
    <w:rsid w:val="00BC1734"/>
    <w:rsid w:val="00BC20D1"/>
    <w:rsid w:val="00BC311A"/>
    <w:rsid w:val="00BC4E19"/>
    <w:rsid w:val="00BC6284"/>
    <w:rsid w:val="00BC6BAF"/>
    <w:rsid w:val="00BC6FA6"/>
    <w:rsid w:val="00BC73A6"/>
    <w:rsid w:val="00BC7646"/>
    <w:rsid w:val="00BC7E40"/>
    <w:rsid w:val="00BC8FB7"/>
    <w:rsid w:val="00BD00C6"/>
    <w:rsid w:val="00BD0C8C"/>
    <w:rsid w:val="00BD119D"/>
    <w:rsid w:val="00BD12BB"/>
    <w:rsid w:val="00BD1E56"/>
    <w:rsid w:val="00BD2017"/>
    <w:rsid w:val="00BD21C8"/>
    <w:rsid w:val="00BD2610"/>
    <w:rsid w:val="00BD28D6"/>
    <w:rsid w:val="00BD33DE"/>
    <w:rsid w:val="00BD3466"/>
    <w:rsid w:val="00BD3795"/>
    <w:rsid w:val="00BD3F0B"/>
    <w:rsid w:val="00BD5050"/>
    <w:rsid w:val="00BD6073"/>
    <w:rsid w:val="00BD639D"/>
    <w:rsid w:val="00BD75CF"/>
    <w:rsid w:val="00BD7FAB"/>
    <w:rsid w:val="00BDD401"/>
    <w:rsid w:val="00BE018E"/>
    <w:rsid w:val="00BE03B1"/>
    <w:rsid w:val="00BE1AE3"/>
    <w:rsid w:val="00BE1B16"/>
    <w:rsid w:val="00BE1EC8"/>
    <w:rsid w:val="00BE1FAE"/>
    <w:rsid w:val="00BE34B8"/>
    <w:rsid w:val="00BE4635"/>
    <w:rsid w:val="00BE46BF"/>
    <w:rsid w:val="00BE4CDF"/>
    <w:rsid w:val="00BE55E9"/>
    <w:rsid w:val="00BE5F28"/>
    <w:rsid w:val="00BE6882"/>
    <w:rsid w:val="00BE6BA8"/>
    <w:rsid w:val="00BE6ED4"/>
    <w:rsid w:val="00BE7481"/>
    <w:rsid w:val="00BE779E"/>
    <w:rsid w:val="00BE7E3F"/>
    <w:rsid w:val="00BF0774"/>
    <w:rsid w:val="00BF0DC3"/>
    <w:rsid w:val="00BF152B"/>
    <w:rsid w:val="00BF1960"/>
    <w:rsid w:val="00BF1F14"/>
    <w:rsid w:val="00BF21A1"/>
    <w:rsid w:val="00BF24DD"/>
    <w:rsid w:val="00BF283F"/>
    <w:rsid w:val="00BF2A90"/>
    <w:rsid w:val="00BF3327"/>
    <w:rsid w:val="00BF52EF"/>
    <w:rsid w:val="00BF6236"/>
    <w:rsid w:val="00BF62DF"/>
    <w:rsid w:val="00BF6FF2"/>
    <w:rsid w:val="00BF7166"/>
    <w:rsid w:val="00BF7C7A"/>
    <w:rsid w:val="00C00004"/>
    <w:rsid w:val="00C0024C"/>
    <w:rsid w:val="00C0045E"/>
    <w:rsid w:val="00C00595"/>
    <w:rsid w:val="00C015BE"/>
    <w:rsid w:val="00C02092"/>
    <w:rsid w:val="00C0372E"/>
    <w:rsid w:val="00C041FF"/>
    <w:rsid w:val="00C04268"/>
    <w:rsid w:val="00C05170"/>
    <w:rsid w:val="00C05242"/>
    <w:rsid w:val="00C05EBE"/>
    <w:rsid w:val="00C06B3C"/>
    <w:rsid w:val="00C101CB"/>
    <w:rsid w:val="00C10462"/>
    <w:rsid w:val="00C10502"/>
    <w:rsid w:val="00C10516"/>
    <w:rsid w:val="00C10A78"/>
    <w:rsid w:val="00C10B56"/>
    <w:rsid w:val="00C1169A"/>
    <w:rsid w:val="00C117E7"/>
    <w:rsid w:val="00C123E4"/>
    <w:rsid w:val="00C12992"/>
    <w:rsid w:val="00C1322D"/>
    <w:rsid w:val="00C13CBD"/>
    <w:rsid w:val="00C14A93"/>
    <w:rsid w:val="00C15912"/>
    <w:rsid w:val="00C15F72"/>
    <w:rsid w:val="00C164D8"/>
    <w:rsid w:val="00C1694A"/>
    <w:rsid w:val="00C16C10"/>
    <w:rsid w:val="00C17BE9"/>
    <w:rsid w:val="00C17DE1"/>
    <w:rsid w:val="00C23878"/>
    <w:rsid w:val="00C23D93"/>
    <w:rsid w:val="00C24460"/>
    <w:rsid w:val="00C24734"/>
    <w:rsid w:val="00C247C0"/>
    <w:rsid w:val="00C2606B"/>
    <w:rsid w:val="00C26426"/>
    <w:rsid w:val="00C2671C"/>
    <w:rsid w:val="00C26928"/>
    <w:rsid w:val="00C26988"/>
    <w:rsid w:val="00C26ACA"/>
    <w:rsid w:val="00C2746B"/>
    <w:rsid w:val="00C27E00"/>
    <w:rsid w:val="00C30B00"/>
    <w:rsid w:val="00C30C76"/>
    <w:rsid w:val="00C314F7"/>
    <w:rsid w:val="00C3215F"/>
    <w:rsid w:val="00C3234B"/>
    <w:rsid w:val="00C32E75"/>
    <w:rsid w:val="00C33F84"/>
    <w:rsid w:val="00C33FB4"/>
    <w:rsid w:val="00C34F36"/>
    <w:rsid w:val="00C356AB"/>
    <w:rsid w:val="00C35852"/>
    <w:rsid w:val="00C35D5C"/>
    <w:rsid w:val="00C3649A"/>
    <w:rsid w:val="00C37C67"/>
    <w:rsid w:val="00C37E42"/>
    <w:rsid w:val="00C37E52"/>
    <w:rsid w:val="00C401DD"/>
    <w:rsid w:val="00C402DA"/>
    <w:rsid w:val="00C40354"/>
    <w:rsid w:val="00C407F8"/>
    <w:rsid w:val="00C421AE"/>
    <w:rsid w:val="00C42D14"/>
    <w:rsid w:val="00C42D6D"/>
    <w:rsid w:val="00C42EBA"/>
    <w:rsid w:val="00C44229"/>
    <w:rsid w:val="00C448FC"/>
    <w:rsid w:val="00C449B5"/>
    <w:rsid w:val="00C44F14"/>
    <w:rsid w:val="00C45D23"/>
    <w:rsid w:val="00C4635B"/>
    <w:rsid w:val="00C463AD"/>
    <w:rsid w:val="00C46BEE"/>
    <w:rsid w:val="00C46C8E"/>
    <w:rsid w:val="00C46DB4"/>
    <w:rsid w:val="00C4742A"/>
    <w:rsid w:val="00C50D65"/>
    <w:rsid w:val="00C5206A"/>
    <w:rsid w:val="00C52D34"/>
    <w:rsid w:val="00C53228"/>
    <w:rsid w:val="00C53AA0"/>
    <w:rsid w:val="00C53D2A"/>
    <w:rsid w:val="00C54193"/>
    <w:rsid w:val="00C5481B"/>
    <w:rsid w:val="00C54ECF"/>
    <w:rsid w:val="00C550F9"/>
    <w:rsid w:val="00C55817"/>
    <w:rsid w:val="00C57C62"/>
    <w:rsid w:val="00C6008E"/>
    <w:rsid w:val="00C60336"/>
    <w:rsid w:val="00C604A6"/>
    <w:rsid w:val="00C60DF3"/>
    <w:rsid w:val="00C61A93"/>
    <w:rsid w:val="00C62BBB"/>
    <w:rsid w:val="00C642AA"/>
    <w:rsid w:val="00C64C2D"/>
    <w:rsid w:val="00C6514B"/>
    <w:rsid w:val="00C65818"/>
    <w:rsid w:val="00C65BAB"/>
    <w:rsid w:val="00C65CC5"/>
    <w:rsid w:val="00C66390"/>
    <w:rsid w:val="00C666F8"/>
    <w:rsid w:val="00C66975"/>
    <w:rsid w:val="00C66B4E"/>
    <w:rsid w:val="00C67144"/>
    <w:rsid w:val="00C671AE"/>
    <w:rsid w:val="00C67D3A"/>
    <w:rsid w:val="00C67D9D"/>
    <w:rsid w:val="00C701A5"/>
    <w:rsid w:val="00C7062D"/>
    <w:rsid w:val="00C70644"/>
    <w:rsid w:val="00C706A7"/>
    <w:rsid w:val="00C70DA9"/>
    <w:rsid w:val="00C71941"/>
    <w:rsid w:val="00C73628"/>
    <w:rsid w:val="00C736DA"/>
    <w:rsid w:val="00C749EA"/>
    <w:rsid w:val="00C74C6C"/>
    <w:rsid w:val="00C74D1D"/>
    <w:rsid w:val="00C750A9"/>
    <w:rsid w:val="00C75691"/>
    <w:rsid w:val="00C75CBB"/>
    <w:rsid w:val="00C76727"/>
    <w:rsid w:val="00C76998"/>
    <w:rsid w:val="00C779CD"/>
    <w:rsid w:val="00C80DBD"/>
    <w:rsid w:val="00C81A52"/>
    <w:rsid w:val="00C81D8A"/>
    <w:rsid w:val="00C8399B"/>
    <w:rsid w:val="00C84062"/>
    <w:rsid w:val="00C8410C"/>
    <w:rsid w:val="00C843B3"/>
    <w:rsid w:val="00C844EE"/>
    <w:rsid w:val="00C84810"/>
    <w:rsid w:val="00C8517D"/>
    <w:rsid w:val="00C85DA7"/>
    <w:rsid w:val="00C8610A"/>
    <w:rsid w:val="00C87D2F"/>
    <w:rsid w:val="00C904C4"/>
    <w:rsid w:val="00C90761"/>
    <w:rsid w:val="00C90FDA"/>
    <w:rsid w:val="00C91158"/>
    <w:rsid w:val="00C91B80"/>
    <w:rsid w:val="00C91C97"/>
    <w:rsid w:val="00C91E89"/>
    <w:rsid w:val="00C92420"/>
    <w:rsid w:val="00C92854"/>
    <w:rsid w:val="00C92937"/>
    <w:rsid w:val="00C92EF8"/>
    <w:rsid w:val="00C93726"/>
    <w:rsid w:val="00C93DF9"/>
    <w:rsid w:val="00C93E1C"/>
    <w:rsid w:val="00C94012"/>
    <w:rsid w:val="00C94B15"/>
    <w:rsid w:val="00C9574A"/>
    <w:rsid w:val="00C97130"/>
    <w:rsid w:val="00C9732E"/>
    <w:rsid w:val="00C9759F"/>
    <w:rsid w:val="00C97F94"/>
    <w:rsid w:val="00CA0870"/>
    <w:rsid w:val="00CA09B5"/>
    <w:rsid w:val="00CA1198"/>
    <w:rsid w:val="00CA1C70"/>
    <w:rsid w:val="00CA2710"/>
    <w:rsid w:val="00CA2FB9"/>
    <w:rsid w:val="00CA3311"/>
    <w:rsid w:val="00CA3B1A"/>
    <w:rsid w:val="00CA461C"/>
    <w:rsid w:val="00CA46D1"/>
    <w:rsid w:val="00CA4D1B"/>
    <w:rsid w:val="00CA5249"/>
    <w:rsid w:val="00CA52B4"/>
    <w:rsid w:val="00CA566F"/>
    <w:rsid w:val="00CA5A75"/>
    <w:rsid w:val="00CA60D0"/>
    <w:rsid w:val="00CA68BB"/>
    <w:rsid w:val="00CA6B48"/>
    <w:rsid w:val="00CA6CB1"/>
    <w:rsid w:val="00CA6EF9"/>
    <w:rsid w:val="00CA702E"/>
    <w:rsid w:val="00CA7A95"/>
    <w:rsid w:val="00CA7E6C"/>
    <w:rsid w:val="00CB0A2D"/>
    <w:rsid w:val="00CB0B53"/>
    <w:rsid w:val="00CB0CE6"/>
    <w:rsid w:val="00CB2034"/>
    <w:rsid w:val="00CB2213"/>
    <w:rsid w:val="00CB2295"/>
    <w:rsid w:val="00CB2451"/>
    <w:rsid w:val="00CB26AD"/>
    <w:rsid w:val="00CB2F76"/>
    <w:rsid w:val="00CB3306"/>
    <w:rsid w:val="00CB459E"/>
    <w:rsid w:val="00CB5771"/>
    <w:rsid w:val="00CB67D4"/>
    <w:rsid w:val="00CB6990"/>
    <w:rsid w:val="00CB6E2F"/>
    <w:rsid w:val="00CB75CE"/>
    <w:rsid w:val="00CB7847"/>
    <w:rsid w:val="00CC0675"/>
    <w:rsid w:val="00CC123F"/>
    <w:rsid w:val="00CC1262"/>
    <w:rsid w:val="00CC2F4E"/>
    <w:rsid w:val="00CC3F7A"/>
    <w:rsid w:val="00CC482F"/>
    <w:rsid w:val="00CC53B3"/>
    <w:rsid w:val="00CC543D"/>
    <w:rsid w:val="00CC54BC"/>
    <w:rsid w:val="00CC5C56"/>
    <w:rsid w:val="00CC5D7C"/>
    <w:rsid w:val="00CC6ACE"/>
    <w:rsid w:val="00CC75A0"/>
    <w:rsid w:val="00CD0357"/>
    <w:rsid w:val="00CD145D"/>
    <w:rsid w:val="00CD16F9"/>
    <w:rsid w:val="00CD18B9"/>
    <w:rsid w:val="00CD19A7"/>
    <w:rsid w:val="00CD28D1"/>
    <w:rsid w:val="00CD2B9E"/>
    <w:rsid w:val="00CD3493"/>
    <w:rsid w:val="00CD46F6"/>
    <w:rsid w:val="00CD4847"/>
    <w:rsid w:val="00CD49B0"/>
    <w:rsid w:val="00CD51C1"/>
    <w:rsid w:val="00CD69D9"/>
    <w:rsid w:val="00CD6A7F"/>
    <w:rsid w:val="00CD6D3D"/>
    <w:rsid w:val="00CD6D45"/>
    <w:rsid w:val="00CD73A7"/>
    <w:rsid w:val="00CD7A13"/>
    <w:rsid w:val="00CD7BE1"/>
    <w:rsid w:val="00CD7DB7"/>
    <w:rsid w:val="00CE17BB"/>
    <w:rsid w:val="00CE1F80"/>
    <w:rsid w:val="00CE2153"/>
    <w:rsid w:val="00CE362E"/>
    <w:rsid w:val="00CE381A"/>
    <w:rsid w:val="00CE427B"/>
    <w:rsid w:val="00CE4A56"/>
    <w:rsid w:val="00CE5A1C"/>
    <w:rsid w:val="00CE5A90"/>
    <w:rsid w:val="00CE6A55"/>
    <w:rsid w:val="00CE6E07"/>
    <w:rsid w:val="00CE6F59"/>
    <w:rsid w:val="00CF0291"/>
    <w:rsid w:val="00CF03BF"/>
    <w:rsid w:val="00CF0F00"/>
    <w:rsid w:val="00CF1A3C"/>
    <w:rsid w:val="00CF1B98"/>
    <w:rsid w:val="00CF2533"/>
    <w:rsid w:val="00CF27E4"/>
    <w:rsid w:val="00CF2CC9"/>
    <w:rsid w:val="00CF307E"/>
    <w:rsid w:val="00CF3093"/>
    <w:rsid w:val="00CF3287"/>
    <w:rsid w:val="00CF3B63"/>
    <w:rsid w:val="00CF4487"/>
    <w:rsid w:val="00CF4583"/>
    <w:rsid w:val="00CF4C9B"/>
    <w:rsid w:val="00CF55BF"/>
    <w:rsid w:val="00CF5D0D"/>
    <w:rsid w:val="00CF5E4A"/>
    <w:rsid w:val="00CF5ED4"/>
    <w:rsid w:val="00CF6019"/>
    <w:rsid w:val="00CF6160"/>
    <w:rsid w:val="00CF6CD6"/>
    <w:rsid w:val="00D00E03"/>
    <w:rsid w:val="00D00E65"/>
    <w:rsid w:val="00D0122B"/>
    <w:rsid w:val="00D022FC"/>
    <w:rsid w:val="00D0336E"/>
    <w:rsid w:val="00D03D82"/>
    <w:rsid w:val="00D0404D"/>
    <w:rsid w:val="00D044B2"/>
    <w:rsid w:val="00D047BC"/>
    <w:rsid w:val="00D055C0"/>
    <w:rsid w:val="00D05CBB"/>
    <w:rsid w:val="00D0644E"/>
    <w:rsid w:val="00D06AB4"/>
    <w:rsid w:val="00D0776C"/>
    <w:rsid w:val="00D07A62"/>
    <w:rsid w:val="00D0E5B0"/>
    <w:rsid w:val="00D10484"/>
    <w:rsid w:val="00D10735"/>
    <w:rsid w:val="00D10FEA"/>
    <w:rsid w:val="00D112F5"/>
    <w:rsid w:val="00D1190E"/>
    <w:rsid w:val="00D138C8"/>
    <w:rsid w:val="00D144CB"/>
    <w:rsid w:val="00D14823"/>
    <w:rsid w:val="00D15A80"/>
    <w:rsid w:val="00D163BC"/>
    <w:rsid w:val="00D16B94"/>
    <w:rsid w:val="00D16F8F"/>
    <w:rsid w:val="00D1727A"/>
    <w:rsid w:val="00D17297"/>
    <w:rsid w:val="00D17FF2"/>
    <w:rsid w:val="00D1F6E5"/>
    <w:rsid w:val="00D20B86"/>
    <w:rsid w:val="00D21582"/>
    <w:rsid w:val="00D22880"/>
    <w:rsid w:val="00D22A51"/>
    <w:rsid w:val="00D2405B"/>
    <w:rsid w:val="00D24300"/>
    <w:rsid w:val="00D24A55"/>
    <w:rsid w:val="00D24FD5"/>
    <w:rsid w:val="00D25EC5"/>
    <w:rsid w:val="00D25FBD"/>
    <w:rsid w:val="00D31C34"/>
    <w:rsid w:val="00D3262B"/>
    <w:rsid w:val="00D32735"/>
    <w:rsid w:val="00D32E95"/>
    <w:rsid w:val="00D339F4"/>
    <w:rsid w:val="00D340FC"/>
    <w:rsid w:val="00D344FA"/>
    <w:rsid w:val="00D3491A"/>
    <w:rsid w:val="00D34CFA"/>
    <w:rsid w:val="00D34F97"/>
    <w:rsid w:val="00D35026"/>
    <w:rsid w:val="00D35135"/>
    <w:rsid w:val="00D353F7"/>
    <w:rsid w:val="00D3609F"/>
    <w:rsid w:val="00D36243"/>
    <w:rsid w:val="00D36D57"/>
    <w:rsid w:val="00D36E18"/>
    <w:rsid w:val="00D36E2F"/>
    <w:rsid w:val="00D4081C"/>
    <w:rsid w:val="00D42A02"/>
    <w:rsid w:val="00D42D3B"/>
    <w:rsid w:val="00D43668"/>
    <w:rsid w:val="00D439CA"/>
    <w:rsid w:val="00D43A15"/>
    <w:rsid w:val="00D43FB7"/>
    <w:rsid w:val="00D43FFA"/>
    <w:rsid w:val="00D440E6"/>
    <w:rsid w:val="00D44B77"/>
    <w:rsid w:val="00D44C75"/>
    <w:rsid w:val="00D4569C"/>
    <w:rsid w:val="00D45958"/>
    <w:rsid w:val="00D45B3F"/>
    <w:rsid w:val="00D46829"/>
    <w:rsid w:val="00D4697D"/>
    <w:rsid w:val="00D46ABB"/>
    <w:rsid w:val="00D46D97"/>
    <w:rsid w:val="00D47118"/>
    <w:rsid w:val="00D472EE"/>
    <w:rsid w:val="00D474A5"/>
    <w:rsid w:val="00D47829"/>
    <w:rsid w:val="00D49FB0"/>
    <w:rsid w:val="00D505D7"/>
    <w:rsid w:val="00D510FA"/>
    <w:rsid w:val="00D52556"/>
    <w:rsid w:val="00D52B85"/>
    <w:rsid w:val="00D52F44"/>
    <w:rsid w:val="00D533FF"/>
    <w:rsid w:val="00D53D8B"/>
    <w:rsid w:val="00D53DCF"/>
    <w:rsid w:val="00D551B9"/>
    <w:rsid w:val="00D558E7"/>
    <w:rsid w:val="00D55E53"/>
    <w:rsid w:val="00D5771D"/>
    <w:rsid w:val="00D579C8"/>
    <w:rsid w:val="00D57A9D"/>
    <w:rsid w:val="00D60A75"/>
    <w:rsid w:val="00D60EB7"/>
    <w:rsid w:val="00D610EF"/>
    <w:rsid w:val="00D6130A"/>
    <w:rsid w:val="00D61596"/>
    <w:rsid w:val="00D6195E"/>
    <w:rsid w:val="00D61DE8"/>
    <w:rsid w:val="00D61E50"/>
    <w:rsid w:val="00D61FA8"/>
    <w:rsid w:val="00D624B3"/>
    <w:rsid w:val="00D631D2"/>
    <w:rsid w:val="00D63786"/>
    <w:rsid w:val="00D63864"/>
    <w:rsid w:val="00D64130"/>
    <w:rsid w:val="00D6447E"/>
    <w:rsid w:val="00D64DCC"/>
    <w:rsid w:val="00D65280"/>
    <w:rsid w:val="00D654A9"/>
    <w:rsid w:val="00D65D98"/>
    <w:rsid w:val="00D6607D"/>
    <w:rsid w:val="00D66696"/>
    <w:rsid w:val="00D6717F"/>
    <w:rsid w:val="00D70346"/>
    <w:rsid w:val="00D7056F"/>
    <w:rsid w:val="00D70BAE"/>
    <w:rsid w:val="00D70C0B"/>
    <w:rsid w:val="00D712A2"/>
    <w:rsid w:val="00D7143E"/>
    <w:rsid w:val="00D719CA"/>
    <w:rsid w:val="00D72225"/>
    <w:rsid w:val="00D72662"/>
    <w:rsid w:val="00D7329A"/>
    <w:rsid w:val="00D7355A"/>
    <w:rsid w:val="00D745D9"/>
    <w:rsid w:val="00D74C7C"/>
    <w:rsid w:val="00D74E95"/>
    <w:rsid w:val="00D75830"/>
    <w:rsid w:val="00D75CA6"/>
    <w:rsid w:val="00D75D4B"/>
    <w:rsid w:val="00D811FD"/>
    <w:rsid w:val="00D81DE7"/>
    <w:rsid w:val="00D82574"/>
    <w:rsid w:val="00D850F5"/>
    <w:rsid w:val="00D860A5"/>
    <w:rsid w:val="00D870E0"/>
    <w:rsid w:val="00D90EB1"/>
    <w:rsid w:val="00D91031"/>
    <w:rsid w:val="00D91A9C"/>
    <w:rsid w:val="00D92405"/>
    <w:rsid w:val="00D929CC"/>
    <w:rsid w:val="00D92BCE"/>
    <w:rsid w:val="00D94716"/>
    <w:rsid w:val="00D954E1"/>
    <w:rsid w:val="00D95764"/>
    <w:rsid w:val="00D97A59"/>
    <w:rsid w:val="00D97C33"/>
    <w:rsid w:val="00DA00A4"/>
    <w:rsid w:val="00DA1211"/>
    <w:rsid w:val="00DA13D6"/>
    <w:rsid w:val="00DA1974"/>
    <w:rsid w:val="00DA2342"/>
    <w:rsid w:val="00DA2633"/>
    <w:rsid w:val="00DA3883"/>
    <w:rsid w:val="00DA46D1"/>
    <w:rsid w:val="00DA4C2B"/>
    <w:rsid w:val="00DA5279"/>
    <w:rsid w:val="00DA5503"/>
    <w:rsid w:val="00DA6603"/>
    <w:rsid w:val="00DA6BCD"/>
    <w:rsid w:val="00DB0A72"/>
    <w:rsid w:val="00DB2536"/>
    <w:rsid w:val="00DB2AE0"/>
    <w:rsid w:val="00DB3798"/>
    <w:rsid w:val="00DB3986"/>
    <w:rsid w:val="00DB3C6E"/>
    <w:rsid w:val="00DB59A5"/>
    <w:rsid w:val="00DB5C1C"/>
    <w:rsid w:val="00DB6141"/>
    <w:rsid w:val="00DB61B0"/>
    <w:rsid w:val="00DB6834"/>
    <w:rsid w:val="00DB6C71"/>
    <w:rsid w:val="00DB7061"/>
    <w:rsid w:val="00DC001F"/>
    <w:rsid w:val="00DC0046"/>
    <w:rsid w:val="00DC0069"/>
    <w:rsid w:val="00DC03B8"/>
    <w:rsid w:val="00DC0457"/>
    <w:rsid w:val="00DC098B"/>
    <w:rsid w:val="00DC1241"/>
    <w:rsid w:val="00DC1F25"/>
    <w:rsid w:val="00DC273E"/>
    <w:rsid w:val="00DC2E9F"/>
    <w:rsid w:val="00DC3AB9"/>
    <w:rsid w:val="00DC3D4D"/>
    <w:rsid w:val="00DC4801"/>
    <w:rsid w:val="00DC6374"/>
    <w:rsid w:val="00DC63B1"/>
    <w:rsid w:val="00DC6872"/>
    <w:rsid w:val="00DC7B48"/>
    <w:rsid w:val="00DC7ECB"/>
    <w:rsid w:val="00DD00D3"/>
    <w:rsid w:val="00DD0B7C"/>
    <w:rsid w:val="00DD2D9F"/>
    <w:rsid w:val="00DD30D8"/>
    <w:rsid w:val="00DD37BD"/>
    <w:rsid w:val="00DD3E6F"/>
    <w:rsid w:val="00DD3E9B"/>
    <w:rsid w:val="00DD5A1F"/>
    <w:rsid w:val="00DD5E9E"/>
    <w:rsid w:val="00DD7747"/>
    <w:rsid w:val="00DE013F"/>
    <w:rsid w:val="00DE037D"/>
    <w:rsid w:val="00DE241E"/>
    <w:rsid w:val="00DE2694"/>
    <w:rsid w:val="00DE2C3D"/>
    <w:rsid w:val="00DE2F19"/>
    <w:rsid w:val="00DE32ED"/>
    <w:rsid w:val="00DE3840"/>
    <w:rsid w:val="00DE4CCA"/>
    <w:rsid w:val="00DE4F23"/>
    <w:rsid w:val="00DE5566"/>
    <w:rsid w:val="00DE5F5B"/>
    <w:rsid w:val="00DE5F99"/>
    <w:rsid w:val="00DE696F"/>
    <w:rsid w:val="00DE69EA"/>
    <w:rsid w:val="00DE6BAB"/>
    <w:rsid w:val="00DE756E"/>
    <w:rsid w:val="00DF01DD"/>
    <w:rsid w:val="00DF06CD"/>
    <w:rsid w:val="00DF0BD1"/>
    <w:rsid w:val="00DF1D8F"/>
    <w:rsid w:val="00DF2073"/>
    <w:rsid w:val="00DF2DC6"/>
    <w:rsid w:val="00DF356C"/>
    <w:rsid w:val="00DF47E1"/>
    <w:rsid w:val="00DF6767"/>
    <w:rsid w:val="00DF6FB7"/>
    <w:rsid w:val="00DF7FE8"/>
    <w:rsid w:val="00DFF58E"/>
    <w:rsid w:val="00E00369"/>
    <w:rsid w:val="00E00611"/>
    <w:rsid w:val="00E00919"/>
    <w:rsid w:val="00E01056"/>
    <w:rsid w:val="00E014D8"/>
    <w:rsid w:val="00E02A8C"/>
    <w:rsid w:val="00E02E10"/>
    <w:rsid w:val="00E031BB"/>
    <w:rsid w:val="00E03E6B"/>
    <w:rsid w:val="00E04092"/>
    <w:rsid w:val="00E0425F"/>
    <w:rsid w:val="00E04504"/>
    <w:rsid w:val="00E0459F"/>
    <w:rsid w:val="00E04D30"/>
    <w:rsid w:val="00E054B6"/>
    <w:rsid w:val="00E0578E"/>
    <w:rsid w:val="00E05E74"/>
    <w:rsid w:val="00E073D7"/>
    <w:rsid w:val="00E07F8C"/>
    <w:rsid w:val="00E0F99B"/>
    <w:rsid w:val="00E112F9"/>
    <w:rsid w:val="00E127CB"/>
    <w:rsid w:val="00E127E4"/>
    <w:rsid w:val="00E1316A"/>
    <w:rsid w:val="00E13FF9"/>
    <w:rsid w:val="00E1553E"/>
    <w:rsid w:val="00E1599E"/>
    <w:rsid w:val="00E159B7"/>
    <w:rsid w:val="00E15B52"/>
    <w:rsid w:val="00E15ED5"/>
    <w:rsid w:val="00E16331"/>
    <w:rsid w:val="00E16D15"/>
    <w:rsid w:val="00E174E7"/>
    <w:rsid w:val="00E17637"/>
    <w:rsid w:val="00E178E8"/>
    <w:rsid w:val="00E17EA9"/>
    <w:rsid w:val="00E20469"/>
    <w:rsid w:val="00E2058D"/>
    <w:rsid w:val="00E21207"/>
    <w:rsid w:val="00E2124A"/>
    <w:rsid w:val="00E218AC"/>
    <w:rsid w:val="00E21D94"/>
    <w:rsid w:val="00E220C6"/>
    <w:rsid w:val="00E222AC"/>
    <w:rsid w:val="00E2235A"/>
    <w:rsid w:val="00E226A6"/>
    <w:rsid w:val="00E227E0"/>
    <w:rsid w:val="00E23396"/>
    <w:rsid w:val="00E23B8B"/>
    <w:rsid w:val="00E240D2"/>
    <w:rsid w:val="00E243CA"/>
    <w:rsid w:val="00E246E3"/>
    <w:rsid w:val="00E24D66"/>
    <w:rsid w:val="00E2551D"/>
    <w:rsid w:val="00E25AE6"/>
    <w:rsid w:val="00E26566"/>
    <w:rsid w:val="00E2674A"/>
    <w:rsid w:val="00E26878"/>
    <w:rsid w:val="00E26E69"/>
    <w:rsid w:val="00E27333"/>
    <w:rsid w:val="00E278D2"/>
    <w:rsid w:val="00E30495"/>
    <w:rsid w:val="00E30AEA"/>
    <w:rsid w:val="00E31B4B"/>
    <w:rsid w:val="00E31B83"/>
    <w:rsid w:val="00E32E9E"/>
    <w:rsid w:val="00E32ED9"/>
    <w:rsid w:val="00E333B3"/>
    <w:rsid w:val="00E335F1"/>
    <w:rsid w:val="00E33B27"/>
    <w:rsid w:val="00E34092"/>
    <w:rsid w:val="00E34CA2"/>
    <w:rsid w:val="00E35FE7"/>
    <w:rsid w:val="00E362BF"/>
    <w:rsid w:val="00E40479"/>
    <w:rsid w:val="00E40C87"/>
    <w:rsid w:val="00E42729"/>
    <w:rsid w:val="00E42F3F"/>
    <w:rsid w:val="00E43B3E"/>
    <w:rsid w:val="00E43C0C"/>
    <w:rsid w:val="00E440AC"/>
    <w:rsid w:val="00E44A40"/>
    <w:rsid w:val="00E47733"/>
    <w:rsid w:val="00E502A5"/>
    <w:rsid w:val="00E503C3"/>
    <w:rsid w:val="00E5156A"/>
    <w:rsid w:val="00E5167D"/>
    <w:rsid w:val="00E51738"/>
    <w:rsid w:val="00E51ADA"/>
    <w:rsid w:val="00E5223B"/>
    <w:rsid w:val="00E53310"/>
    <w:rsid w:val="00E53741"/>
    <w:rsid w:val="00E53A75"/>
    <w:rsid w:val="00E53E02"/>
    <w:rsid w:val="00E54530"/>
    <w:rsid w:val="00E559F7"/>
    <w:rsid w:val="00E56613"/>
    <w:rsid w:val="00E56C1E"/>
    <w:rsid w:val="00E57729"/>
    <w:rsid w:val="00E57D9D"/>
    <w:rsid w:val="00E60233"/>
    <w:rsid w:val="00E60DD1"/>
    <w:rsid w:val="00E61443"/>
    <w:rsid w:val="00E6306E"/>
    <w:rsid w:val="00E63081"/>
    <w:rsid w:val="00E63630"/>
    <w:rsid w:val="00E64462"/>
    <w:rsid w:val="00E64878"/>
    <w:rsid w:val="00E64A4D"/>
    <w:rsid w:val="00E650C9"/>
    <w:rsid w:val="00E67449"/>
    <w:rsid w:val="00E679A4"/>
    <w:rsid w:val="00E6813B"/>
    <w:rsid w:val="00E7081F"/>
    <w:rsid w:val="00E70C4D"/>
    <w:rsid w:val="00E71585"/>
    <w:rsid w:val="00E71694"/>
    <w:rsid w:val="00E71734"/>
    <w:rsid w:val="00E717D9"/>
    <w:rsid w:val="00E71AA9"/>
    <w:rsid w:val="00E722AD"/>
    <w:rsid w:val="00E7254C"/>
    <w:rsid w:val="00E725E2"/>
    <w:rsid w:val="00E725F5"/>
    <w:rsid w:val="00E726A6"/>
    <w:rsid w:val="00E753DB"/>
    <w:rsid w:val="00E75B0B"/>
    <w:rsid w:val="00E76202"/>
    <w:rsid w:val="00E76A50"/>
    <w:rsid w:val="00E76DE7"/>
    <w:rsid w:val="00E76E06"/>
    <w:rsid w:val="00E76F44"/>
    <w:rsid w:val="00E77B60"/>
    <w:rsid w:val="00E77D4F"/>
    <w:rsid w:val="00E80D1A"/>
    <w:rsid w:val="00E816EB"/>
    <w:rsid w:val="00E82857"/>
    <w:rsid w:val="00E82DCD"/>
    <w:rsid w:val="00E8326E"/>
    <w:rsid w:val="00E83A67"/>
    <w:rsid w:val="00E83D43"/>
    <w:rsid w:val="00E857D9"/>
    <w:rsid w:val="00E85D8C"/>
    <w:rsid w:val="00E86C06"/>
    <w:rsid w:val="00E8717E"/>
    <w:rsid w:val="00E872D8"/>
    <w:rsid w:val="00E873D9"/>
    <w:rsid w:val="00E903EB"/>
    <w:rsid w:val="00E90515"/>
    <w:rsid w:val="00E909CD"/>
    <w:rsid w:val="00E90BC8"/>
    <w:rsid w:val="00E90E16"/>
    <w:rsid w:val="00E90EAD"/>
    <w:rsid w:val="00E90EB7"/>
    <w:rsid w:val="00E911AC"/>
    <w:rsid w:val="00E91523"/>
    <w:rsid w:val="00E91762"/>
    <w:rsid w:val="00E9223B"/>
    <w:rsid w:val="00E9303A"/>
    <w:rsid w:val="00E93C02"/>
    <w:rsid w:val="00E93E73"/>
    <w:rsid w:val="00E951CE"/>
    <w:rsid w:val="00E96C03"/>
    <w:rsid w:val="00E9779E"/>
    <w:rsid w:val="00E97B9A"/>
    <w:rsid w:val="00EA0D4D"/>
    <w:rsid w:val="00EA1532"/>
    <w:rsid w:val="00EA1743"/>
    <w:rsid w:val="00EA2636"/>
    <w:rsid w:val="00EA2BAD"/>
    <w:rsid w:val="00EA2D82"/>
    <w:rsid w:val="00EA395A"/>
    <w:rsid w:val="00EA3F66"/>
    <w:rsid w:val="00EA4520"/>
    <w:rsid w:val="00EA4EF5"/>
    <w:rsid w:val="00EA4F00"/>
    <w:rsid w:val="00EA531F"/>
    <w:rsid w:val="00EA5E1B"/>
    <w:rsid w:val="00EA6E76"/>
    <w:rsid w:val="00EA79F2"/>
    <w:rsid w:val="00EA7F49"/>
    <w:rsid w:val="00EA9681"/>
    <w:rsid w:val="00EB00EB"/>
    <w:rsid w:val="00EB0F7F"/>
    <w:rsid w:val="00EB19D6"/>
    <w:rsid w:val="00EB1CE8"/>
    <w:rsid w:val="00EB1F50"/>
    <w:rsid w:val="00EB3319"/>
    <w:rsid w:val="00EB34B8"/>
    <w:rsid w:val="00EB35FA"/>
    <w:rsid w:val="00EB3974"/>
    <w:rsid w:val="00EB3A6A"/>
    <w:rsid w:val="00EB3CFA"/>
    <w:rsid w:val="00EB3D8C"/>
    <w:rsid w:val="00EB42E0"/>
    <w:rsid w:val="00EB4A8E"/>
    <w:rsid w:val="00EB5C38"/>
    <w:rsid w:val="00EB7CF3"/>
    <w:rsid w:val="00EB7E65"/>
    <w:rsid w:val="00EC0086"/>
    <w:rsid w:val="00EC04F1"/>
    <w:rsid w:val="00EC0860"/>
    <w:rsid w:val="00EC0F76"/>
    <w:rsid w:val="00EC1A88"/>
    <w:rsid w:val="00EC1E5E"/>
    <w:rsid w:val="00EC1E72"/>
    <w:rsid w:val="00EC24F2"/>
    <w:rsid w:val="00EC32C4"/>
    <w:rsid w:val="00EC3EE8"/>
    <w:rsid w:val="00EC41C5"/>
    <w:rsid w:val="00EC434C"/>
    <w:rsid w:val="00EC4657"/>
    <w:rsid w:val="00EC47CE"/>
    <w:rsid w:val="00EC4A83"/>
    <w:rsid w:val="00EC4E2F"/>
    <w:rsid w:val="00EC5F37"/>
    <w:rsid w:val="00EC6F45"/>
    <w:rsid w:val="00EC7013"/>
    <w:rsid w:val="00ED026A"/>
    <w:rsid w:val="00ED0288"/>
    <w:rsid w:val="00ED13ED"/>
    <w:rsid w:val="00ED1850"/>
    <w:rsid w:val="00ED1D64"/>
    <w:rsid w:val="00ED1E45"/>
    <w:rsid w:val="00ED2D4C"/>
    <w:rsid w:val="00ED2E10"/>
    <w:rsid w:val="00ED3616"/>
    <w:rsid w:val="00ED37A7"/>
    <w:rsid w:val="00ED387A"/>
    <w:rsid w:val="00ED3B63"/>
    <w:rsid w:val="00ED407A"/>
    <w:rsid w:val="00ED5021"/>
    <w:rsid w:val="00ED512D"/>
    <w:rsid w:val="00ED575E"/>
    <w:rsid w:val="00ED57E7"/>
    <w:rsid w:val="00ED6365"/>
    <w:rsid w:val="00ED7766"/>
    <w:rsid w:val="00ED7A92"/>
    <w:rsid w:val="00ED7FFA"/>
    <w:rsid w:val="00EDAA31"/>
    <w:rsid w:val="00EE066B"/>
    <w:rsid w:val="00EE07CD"/>
    <w:rsid w:val="00EE0CED"/>
    <w:rsid w:val="00EE18FD"/>
    <w:rsid w:val="00EE1C12"/>
    <w:rsid w:val="00EE2268"/>
    <w:rsid w:val="00EE2708"/>
    <w:rsid w:val="00EE2FFE"/>
    <w:rsid w:val="00EE3025"/>
    <w:rsid w:val="00EE59C0"/>
    <w:rsid w:val="00EE5F88"/>
    <w:rsid w:val="00EE6D8C"/>
    <w:rsid w:val="00EE7037"/>
    <w:rsid w:val="00EF1749"/>
    <w:rsid w:val="00EF18D4"/>
    <w:rsid w:val="00EF2D9C"/>
    <w:rsid w:val="00EF3072"/>
    <w:rsid w:val="00EF33AA"/>
    <w:rsid w:val="00EF377E"/>
    <w:rsid w:val="00EF3986"/>
    <w:rsid w:val="00EF3FD4"/>
    <w:rsid w:val="00EF4775"/>
    <w:rsid w:val="00EF497A"/>
    <w:rsid w:val="00EF4DF2"/>
    <w:rsid w:val="00EF4FDC"/>
    <w:rsid w:val="00EF58EF"/>
    <w:rsid w:val="00EF59D3"/>
    <w:rsid w:val="00EF604E"/>
    <w:rsid w:val="00EF6D4D"/>
    <w:rsid w:val="00EF6EA0"/>
    <w:rsid w:val="00EF6FE3"/>
    <w:rsid w:val="00EF71BE"/>
    <w:rsid w:val="00EF7979"/>
    <w:rsid w:val="00EF7CC2"/>
    <w:rsid w:val="00F00A5F"/>
    <w:rsid w:val="00F00EB5"/>
    <w:rsid w:val="00F01549"/>
    <w:rsid w:val="00F022B0"/>
    <w:rsid w:val="00F02DD3"/>
    <w:rsid w:val="00F04235"/>
    <w:rsid w:val="00F04387"/>
    <w:rsid w:val="00F0490A"/>
    <w:rsid w:val="00F068FD"/>
    <w:rsid w:val="00F10E48"/>
    <w:rsid w:val="00F10EAF"/>
    <w:rsid w:val="00F11BFB"/>
    <w:rsid w:val="00F11FAE"/>
    <w:rsid w:val="00F12152"/>
    <w:rsid w:val="00F1228F"/>
    <w:rsid w:val="00F124B0"/>
    <w:rsid w:val="00F13372"/>
    <w:rsid w:val="00F138B2"/>
    <w:rsid w:val="00F140BD"/>
    <w:rsid w:val="00F14C8E"/>
    <w:rsid w:val="00F156A8"/>
    <w:rsid w:val="00F1599B"/>
    <w:rsid w:val="00F15D40"/>
    <w:rsid w:val="00F167F0"/>
    <w:rsid w:val="00F16D0F"/>
    <w:rsid w:val="00F17249"/>
    <w:rsid w:val="00F17C61"/>
    <w:rsid w:val="00F17EA5"/>
    <w:rsid w:val="00F20423"/>
    <w:rsid w:val="00F20BF8"/>
    <w:rsid w:val="00F20D31"/>
    <w:rsid w:val="00F20DCC"/>
    <w:rsid w:val="00F2187C"/>
    <w:rsid w:val="00F21F2A"/>
    <w:rsid w:val="00F22189"/>
    <w:rsid w:val="00F23D63"/>
    <w:rsid w:val="00F245F8"/>
    <w:rsid w:val="00F25633"/>
    <w:rsid w:val="00F25D79"/>
    <w:rsid w:val="00F261E3"/>
    <w:rsid w:val="00F26545"/>
    <w:rsid w:val="00F2657C"/>
    <w:rsid w:val="00F27662"/>
    <w:rsid w:val="00F30645"/>
    <w:rsid w:val="00F3097D"/>
    <w:rsid w:val="00F30ECB"/>
    <w:rsid w:val="00F31BBB"/>
    <w:rsid w:val="00F3300D"/>
    <w:rsid w:val="00F33816"/>
    <w:rsid w:val="00F33933"/>
    <w:rsid w:val="00F347A7"/>
    <w:rsid w:val="00F34804"/>
    <w:rsid w:val="00F34B45"/>
    <w:rsid w:val="00F3505D"/>
    <w:rsid w:val="00F35C54"/>
    <w:rsid w:val="00F35CCD"/>
    <w:rsid w:val="00F35FC4"/>
    <w:rsid w:val="00F36953"/>
    <w:rsid w:val="00F3771B"/>
    <w:rsid w:val="00F37759"/>
    <w:rsid w:val="00F37884"/>
    <w:rsid w:val="00F37E50"/>
    <w:rsid w:val="00F408D0"/>
    <w:rsid w:val="00F411F0"/>
    <w:rsid w:val="00F41DD2"/>
    <w:rsid w:val="00F41E62"/>
    <w:rsid w:val="00F41F5F"/>
    <w:rsid w:val="00F424EB"/>
    <w:rsid w:val="00F43139"/>
    <w:rsid w:val="00F432BC"/>
    <w:rsid w:val="00F43539"/>
    <w:rsid w:val="00F43DA4"/>
    <w:rsid w:val="00F43F34"/>
    <w:rsid w:val="00F448DB"/>
    <w:rsid w:val="00F453B7"/>
    <w:rsid w:val="00F46151"/>
    <w:rsid w:val="00F4661B"/>
    <w:rsid w:val="00F4682B"/>
    <w:rsid w:val="00F46A8D"/>
    <w:rsid w:val="00F46E8E"/>
    <w:rsid w:val="00F50667"/>
    <w:rsid w:val="00F50D22"/>
    <w:rsid w:val="00F50F59"/>
    <w:rsid w:val="00F52D9C"/>
    <w:rsid w:val="00F546C9"/>
    <w:rsid w:val="00F5471D"/>
    <w:rsid w:val="00F54B6A"/>
    <w:rsid w:val="00F54B7B"/>
    <w:rsid w:val="00F55730"/>
    <w:rsid w:val="00F557F3"/>
    <w:rsid w:val="00F55887"/>
    <w:rsid w:val="00F559E9"/>
    <w:rsid w:val="00F562BF"/>
    <w:rsid w:val="00F569D7"/>
    <w:rsid w:val="00F56E82"/>
    <w:rsid w:val="00F56FE2"/>
    <w:rsid w:val="00F57092"/>
    <w:rsid w:val="00F60D05"/>
    <w:rsid w:val="00F60F81"/>
    <w:rsid w:val="00F6240A"/>
    <w:rsid w:val="00F6266D"/>
    <w:rsid w:val="00F62DBA"/>
    <w:rsid w:val="00F63481"/>
    <w:rsid w:val="00F6367D"/>
    <w:rsid w:val="00F636D2"/>
    <w:rsid w:val="00F63F37"/>
    <w:rsid w:val="00F640E4"/>
    <w:rsid w:val="00F653F7"/>
    <w:rsid w:val="00F65A84"/>
    <w:rsid w:val="00F65AF6"/>
    <w:rsid w:val="00F668A4"/>
    <w:rsid w:val="00F672C8"/>
    <w:rsid w:val="00F6EBA4"/>
    <w:rsid w:val="00F701B4"/>
    <w:rsid w:val="00F712EA"/>
    <w:rsid w:val="00F715F5"/>
    <w:rsid w:val="00F71661"/>
    <w:rsid w:val="00F71EED"/>
    <w:rsid w:val="00F7219F"/>
    <w:rsid w:val="00F72436"/>
    <w:rsid w:val="00F73915"/>
    <w:rsid w:val="00F740DE"/>
    <w:rsid w:val="00F74261"/>
    <w:rsid w:val="00F74B4C"/>
    <w:rsid w:val="00F74FFE"/>
    <w:rsid w:val="00F75A91"/>
    <w:rsid w:val="00F75AA6"/>
    <w:rsid w:val="00F75D66"/>
    <w:rsid w:val="00F76692"/>
    <w:rsid w:val="00F76D72"/>
    <w:rsid w:val="00F76EA2"/>
    <w:rsid w:val="00F770DF"/>
    <w:rsid w:val="00F775A7"/>
    <w:rsid w:val="00F77F06"/>
    <w:rsid w:val="00F8138A"/>
    <w:rsid w:val="00F81DCC"/>
    <w:rsid w:val="00F81FCD"/>
    <w:rsid w:val="00F82FB8"/>
    <w:rsid w:val="00F83944"/>
    <w:rsid w:val="00F83D30"/>
    <w:rsid w:val="00F84119"/>
    <w:rsid w:val="00F853C6"/>
    <w:rsid w:val="00F857D5"/>
    <w:rsid w:val="00F86840"/>
    <w:rsid w:val="00F86ADB"/>
    <w:rsid w:val="00F875A3"/>
    <w:rsid w:val="00F90085"/>
    <w:rsid w:val="00F90380"/>
    <w:rsid w:val="00F914F0"/>
    <w:rsid w:val="00F92380"/>
    <w:rsid w:val="00F9260D"/>
    <w:rsid w:val="00F92862"/>
    <w:rsid w:val="00F92F1B"/>
    <w:rsid w:val="00F9322A"/>
    <w:rsid w:val="00F9360C"/>
    <w:rsid w:val="00F939BC"/>
    <w:rsid w:val="00F951A1"/>
    <w:rsid w:val="00F95AC6"/>
    <w:rsid w:val="00F96129"/>
    <w:rsid w:val="00F961E4"/>
    <w:rsid w:val="00F96559"/>
    <w:rsid w:val="00F96B91"/>
    <w:rsid w:val="00F973D4"/>
    <w:rsid w:val="00F97B03"/>
    <w:rsid w:val="00FA0491"/>
    <w:rsid w:val="00FA0A33"/>
    <w:rsid w:val="00FA1116"/>
    <w:rsid w:val="00FA1440"/>
    <w:rsid w:val="00FA1808"/>
    <w:rsid w:val="00FA2221"/>
    <w:rsid w:val="00FA23DC"/>
    <w:rsid w:val="00FA2F60"/>
    <w:rsid w:val="00FA3AE7"/>
    <w:rsid w:val="00FA45E2"/>
    <w:rsid w:val="00FA471C"/>
    <w:rsid w:val="00FA7A2B"/>
    <w:rsid w:val="00FB1BCA"/>
    <w:rsid w:val="00FB26B3"/>
    <w:rsid w:val="00FB2B14"/>
    <w:rsid w:val="00FB2FA2"/>
    <w:rsid w:val="00FB3191"/>
    <w:rsid w:val="00FB3986"/>
    <w:rsid w:val="00FB400E"/>
    <w:rsid w:val="00FB48BB"/>
    <w:rsid w:val="00FB54EA"/>
    <w:rsid w:val="00FB5F3B"/>
    <w:rsid w:val="00FB7802"/>
    <w:rsid w:val="00FB7854"/>
    <w:rsid w:val="00FB7AB7"/>
    <w:rsid w:val="00FC05BB"/>
    <w:rsid w:val="00FC08AA"/>
    <w:rsid w:val="00FC0989"/>
    <w:rsid w:val="00FC1195"/>
    <w:rsid w:val="00FC28CF"/>
    <w:rsid w:val="00FC4566"/>
    <w:rsid w:val="00FC4987"/>
    <w:rsid w:val="00FC5130"/>
    <w:rsid w:val="00FC5779"/>
    <w:rsid w:val="00FC7E83"/>
    <w:rsid w:val="00FD052B"/>
    <w:rsid w:val="00FD06BC"/>
    <w:rsid w:val="00FD1A89"/>
    <w:rsid w:val="00FD1F52"/>
    <w:rsid w:val="00FD20DB"/>
    <w:rsid w:val="00FD2570"/>
    <w:rsid w:val="00FD2A5E"/>
    <w:rsid w:val="00FD2D47"/>
    <w:rsid w:val="00FD3274"/>
    <w:rsid w:val="00FD355A"/>
    <w:rsid w:val="00FD3563"/>
    <w:rsid w:val="00FD3924"/>
    <w:rsid w:val="00FD439C"/>
    <w:rsid w:val="00FD505A"/>
    <w:rsid w:val="00FD51AF"/>
    <w:rsid w:val="00FD5204"/>
    <w:rsid w:val="00FD5777"/>
    <w:rsid w:val="00FD6444"/>
    <w:rsid w:val="00FD64EC"/>
    <w:rsid w:val="00FD6AF1"/>
    <w:rsid w:val="00FD7108"/>
    <w:rsid w:val="00FD738C"/>
    <w:rsid w:val="00FD77F5"/>
    <w:rsid w:val="00FE00B4"/>
    <w:rsid w:val="00FE04C8"/>
    <w:rsid w:val="00FE09D1"/>
    <w:rsid w:val="00FE16E6"/>
    <w:rsid w:val="00FE19B3"/>
    <w:rsid w:val="00FE1E31"/>
    <w:rsid w:val="00FE27C5"/>
    <w:rsid w:val="00FE2DC6"/>
    <w:rsid w:val="00FE42DF"/>
    <w:rsid w:val="00FE4786"/>
    <w:rsid w:val="00FE4D00"/>
    <w:rsid w:val="00FE5563"/>
    <w:rsid w:val="00FE586E"/>
    <w:rsid w:val="00FE591F"/>
    <w:rsid w:val="00FE5A23"/>
    <w:rsid w:val="00FE67F2"/>
    <w:rsid w:val="00FE69AD"/>
    <w:rsid w:val="00FE6C23"/>
    <w:rsid w:val="00FE744C"/>
    <w:rsid w:val="00FE79E1"/>
    <w:rsid w:val="00FE7A14"/>
    <w:rsid w:val="00FE7C13"/>
    <w:rsid w:val="00FF0184"/>
    <w:rsid w:val="00FF10AD"/>
    <w:rsid w:val="00FF130C"/>
    <w:rsid w:val="00FF1580"/>
    <w:rsid w:val="00FF1940"/>
    <w:rsid w:val="00FF1ABB"/>
    <w:rsid w:val="00FF276D"/>
    <w:rsid w:val="00FF2BB6"/>
    <w:rsid w:val="00FF3563"/>
    <w:rsid w:val="00FF4E93"/>
    <w:rsid w:val="00FF5279"/>
    <w:rsid w:val="00FF7A07"/>
    <w:rsid w:val="00FF7B19"/>
    <w:rsid w:val="00FF7EAF"/>
    <w:rsid w:val="01007FA8"/>
    <w:rsid w:val="01009027"/>
    <w:rsid w:val="010AF84D"/>
    <w:rsid w:val="010C1F2A"/>
    <w:rsid w:val="010ED03B"/>
    <w:rsid w:val="0111C901"/>
    <w:rsid w:val="0119DE8B"/>
    <w:rsid w:val="011CC526"/>
    <w:rsid w:val="011DB0C3"/>
    <w:rsid w:val="011E8A93"/>
    <w:rsid w:val="0120BE36"/>
    <w:rsid w:val="012154C8"/>
    <w:rsid w:val="012737BF"/>
    <w:rsid w:val="012AB9E8"/>
    <w:rsid w:val="0137A575"/>
    <w:rsid w:val="013A0590"/>
    <w:rsid w:val="013A0955"/>
    <w:rsid w:val="013A4A3D"/>
    <w:rsid w:val="014600D7"/>
    <w:rsid w:val="0148C041"/>
    <w:rsid w:val="014DD2FB"/>
    <w:rsid w:val="014E932D"/>
    <w:rsid w:val="01551F82"/>
    <w:rsid w:val="015AD2D3"/>
    <w:rsid w:val="01630782"/>
    <w:rsid w:val="0165541C"/>
    <w:rsid w:val="01661632"/>
    <w:rsid w:val="0175920C"/>
    <w:rsid w:val="017C2E4F"/>
    <w:rsid w:val="018C1E65"/>
    <w:rsid w:val="0196CE86"/>
    <w:rsid w:val="019A9A43"/>
    <w:rsid w:val="01A9B371"/>
    <w:rsid w:val="01B205BF"/>
    <w:rsid w:val="01B3A77C"/>
    <w:rsid w:val="01D6572A"/>
    <w:rsid w:val="01D6CADA"/>
    <w:rsid w:val="01DB8A9F"/>
    <w:rsid w:val="01DDDEC2"/>
    <w:rsid w:val="01E30A36"/>
    <w:rsid w:val="01EC32DE"/>
    <w:rsid w:val="01EF980C"/>
    <w:rsid w:val="01F34956"/>
    <w:rsid w:val="01F4DC5C"/>
    <w:rsid w:val="01F899DF"/>
    <w:rsid w:val="01FC3996"/>
    <w:rsid w:val="02063A46"/>
    <w:rsid w:val="020FF89C"/>
    <w:rsid w:val="02217D25"/>
    <w:rsid w:val="022428CB"/>
    <w:rsid w:val="0232E978"/>
    <w:rsid w:val="02356632"/>
    <w:rsid w:val="0235BED7"/>
    <w:rsid w:val="0239D123"/>
    <w:rsid w:val="0246EFAF"/>
    <w:rsid w:val="024CCF39"/>
    <w:rsid w:val="0252011B"/>
    <w:rsid w:val="02521C3B"/>
    <w:rsid w:val="0252CE67"/>
    <w:rsid w:val="0257FA51"/>
    <w:rsid w:val="025AF770"/>
    <w:rsid w:val="025B7B2B"/>
    <w:rsid w:val="026D3F82"/>
    <w:rsid w:val="026DD271"/>
    <w:rsid w:val="02719E7F"/>
    <w:rsid w:val="02733DB2"/>
    <w:rsid w:val="02747F31"/>
    <w:rsid w:val="0279F660"/>
    <w:rsid w:val="02837A97"/>
    <w:rsid w:val="028DF032"/>
    <w:rsid w:val="02A4B396"/>
    <w:rsid w:val="02A62B8C"/>
    <w:rsid w:val="02B67E7E"/>
    <w:rsid w:val="02C080A9"/>
    <w:rsid w:val="02C151A0"/>
    <w:rsid w:val="02C90141"/>
    <w:rsid w:val="02CA4BC7"/>
    <w:rsid w:val="02D1B31A"/>
    <w:rsid w:val="02D405D5"/>
    <w:rsid w:val="02DCEF24"/>
    <w:rsid w:val="02E73805"/>
    <w:rsid w:val="02E7F35C"/>
    <w:rsid w:val="02EA41AA"/>
    <w:rsid w:val="02EB7580"/>
    <w:rsid w:val="02F0EC8C"/>
    <w:rsid w:val="02F2D3ED"/>
    <w:rsid w:val="02F31A59"/>
    <w:rsid w:val="02FE1B56"/>
    <w:rsid w:val="0301EF2E"/>
    <w:rsid w:val="0302A4E8"/>
    <w:rsid w:val="0305418C"/>
    <w:rsid w:val="0305CC44"/>
    <w:rsid w:val="0306743F"/>
    <w:rsid w:val="0307587F"/>
    <w:rsid w:val="030BE80E"/>
    <w:rsid w:val="030BEBA9"/>
    <w:rsid w:val="030DE954"/>
    <w:rsid w:val="0310BBA8"/>
    <w:rsid w:val="0310D8C2"/>
    <w:rsid w:val="031E0CE2"/>
    <w:rsid w:val="031E86A9"/>
    <w:rsid w:val="03206897"/>
    <w:rsid w:val="0327351D"/>
    <w:rsid w:val="0327B04E"/>
    <w:rsid w:val="032C8E08"/>
    <w:rsid w:val="033132FA"/>
    <w:rsid w:val="03481457"/>
    <w:rsid w:val="0351F992"/>
    <w:rsid w:val="03532E0D"/>
    <w:rsid w:val="035AB5DD"/>
    <w:rsid w:val="035FC435"/>
    <w:rsid w:val="03636939"/>
    <w:rsid w:val="036DEB2C"/>
    <w:rsid w:val="036F05BE"/>
    <w:rsid w:val="0384A775"/>
    <w:rsid w:val="0384E2D5"/>
    <w:rsid w:val="03854D07"/>
    <w:rsid w:val="03877CAF"/>
    <w:rsid w:val="038E658A"/>
    <w:rsid w:val="03A36882"/>
    <w:rsid w:val="03ABBE6F"/>
    <w:rsid w:val="03ACEC98"/>
    <w:rsid w:val="03AF54D2"/>
    <w:rsid w:val="03B095FC"/>
    <w:rsid w:val="03B4C73C"/>
    <w:rsid w:val="03B88A5D"/>
    <w:rsid w:val="03C952A0"/>
    <w:rsid w:val="03CADC06"/>
    <w:rsid w:val="03CC3E3A"/>
    <w:rsid w:val="03CD0CEF"/>
    <w:rsid w:val="03CEB9D9"/>
    <w:rsid w:val="03D83310"/>
    <w:rsid w:val="03DF4938"/>
    <w:rsid w:val="03E2E66C"/>
    <w:rsid w:val="03E42189"/>
    <w:rsid w:val="04171E29"/>
    <w:rsid w:val="0418942E"/>
    <w:rsid w:val="042B07A1"/>
    <w:rsid w:val="042ECE4B"/>
    <w:rsid w:val="04370DB1"/>
    <w:rsid w:val="044B56B7"/>
    <w:rsid w:val="044C3FA3"/>
    <w:rsid w:val="04529BDA"/>
    <w:rsid w:val="0452C108"/>
    <w:rsid w:val="045E38E4"/>
    <w:rsid w:val="046C9C17"/>
    <w:rsid w:val="046F093D"/>
    <w:rsid w:val="04746FF2"/>
    <w:rsid w:val="047DD8B7"/>
    <w:rsid w:val="047FDD13"/>
    <w:rsid w:val="0480BDFA"/>
    <w:rsid w:val="04835F48"/>
    <w:rsid w:val="0487266C"/>
    <w:rsid w:val="0490CA92"/>
    <w:rsid w:val="049391FE"/>
    <w:rsid w:val="04943B3E"/>
    <w:rsid w:val="0495DB72"/>
    <w:rsid w:val="0496F98A"/>
    <w:rsid w:val="049B1CB0"/>
    <w:rsid w:val="049FE6DB"/>
    <w:rsid w:val="04A61A9D"/>
    <w:rsid w:val="04A82E05"/>
    <w:rsid w:val="04A9D23C"/>
    <w:rsid w:val="04AB398B"/>
    <w:rsid w:val="04AE2C05"/>
    <w:rsid w:val="04AF985C"/>
    <w:rsid w:val="04BDD2BF"/>
    <w:rsid w:val="04C89789"/>
    <w:rsid w:val="04C923A1"/>
    <w:rsid w:val="04D1926A"/>
    <w:rsid w:val="04D6559A"/>
    <w:rsid w:val="04D6A5A0"/>
    <w:rsid w:val="04D776F3"/>
    <w:rsid w:val="04D78999"/>
    <w:rsid w:val="04D9BB87"/>
    <w:rsid w:val="04D9D338"/>
    <w:rsid w:val="04E2951F"/>
    <w:rsid w:val="04E376B7"/>
    <w:rsid w:val="04E3A5BF"/>
    <w:rsid w:val="04E529A5"/>
    <w:rsid w:val="04EB564C"/>
    <w:rsid w:val="04EE4264"/>
    <w:rsid w:val="04F87BD2"/>
    <w:rsid w:val="04FF45EB"/>
    <w:rsid w:val="050695AF"/>
    <w:rsid w:val="0507C12B"/>
    <w:rsid w:val="0514C86A"/>
    <w:rsid w:val="0516A025"/>
    <w:rsid w:val="05279652"/>
    <w:rsid w:val="0529E28B"/>
    <w:rsid w:val="0534264A"/>
    <w:rsid w:val="05374F48"/>
    <w:rsid w:val="054440E1"/>
    <w:rsid w:val="0545A2B1"/>
    <w:rsid w:val="055EE738"/>
    <w:rsid w:val="05629BFB"/>
    <w:rsid w:val="0568066A"/>
    <w:rsid w:val="056A8A3A"/>
    <w:rsid w:val="056D5EF8"/>
    <w:rsid w:val="056DDD0E"/>
    <w:rsid w:val="0584DE18"/>
    <w:rsid w:val="058507D9"/>
    <w:rsid w:val="058B7289"/>
    <w:rsid w:val="0592CA80"/>
    <w:rsid w:val="05A5570C"/>
    <w:rsid w:val="05B09800"/>
    <w:rsid w:val="05B366B1"/>
    <w:rsid w:val="05B49EFC"/>
    <w:rsid w:val="05B82605"/>
    <w:rsid w:val="05B83F44"/>
    <w:rsid w:val="05BBF3C1"/>
    <w:rsid w:val="05BEE063"/>
    <w:rsid w:val="05CA9D65"/>
    <w:rsid w:val="05CF6969"/>
    <w:rsid w:val="05D07C64"/>
    <w:rsid w:val="05D514A9"/>
    <w:rsid w:val="05DD61D2"/>
    <w:rsid w:val="05E082B6"/>
    <w:rsid w:val="05ECB601"/>
    <w:rsid w:val="05EDDE16"/>
    <w:rsid w:val="05EE5875"/>
    <w:rsid w:val="06044208"/>
    <w:rsid w:val="0605578B"/>
    <w:rsid w:val="0605A378"/>
    <w:rsid w:val="0605DE0B"/>
    <w:rsid w:val="06075A04"/>
    <w:rsid w:val="061008C1"/>
    <w:rsid w:val="0615C6FC"/>
    <w:rsid w:val="0617E6B9"/>
    <w:rsid w:val="062037FA"/>
    <w:rsid w:val="0621C84F"/>
    <w:rsid w:val="0621E7C4"/>
    <w:rsid w:val="06256AB2"/>
    <w:rsid w:val="06290112"/>
    <w:rsid w:val="0629487C"/>
    <w:rsid w:val="062F3279"/>
    <w:rsid w:val="0636627E"/>
    <w:rsid w:val="06367AA0"/>
    <w:rsid w:val="063B517D"/>
    <w:rsid w:val="063BCDBD"/>
    <w:rsid w:val="063D3845"/>
    <w:rsid w:val="06485E7A"/>
    <w:rsid w:val="0648C1B5"/>
    <w:rsid w:val="064ADDC6"/>
    <w:rsid w:val="064AFDE4"/>
    <w:rsid w:val="064C0562"/>
    <w:rsid w:val="0658D718"/>
    <w:rsid w:val="0665B184"/>
    <w:rsid w:val="0667406F"/>
    <w:rsid w:val="06688CA0"/>
    <w:rsid w:val="067F2FBD"/>
    <w:rsid w:val="0686AB95"/>
    <w:rsid w:val="0689DE2B"/>
    <w:rsid w:val="0691BBA0"/>
    <w:rsid w:val="0695B534"/>
    <w:rsid w:val="069A4425"/>
    <w:rsid w:val="069D491C"/>
    <w:rsid w:val="06A1DDBD"/>
    <w:rsid w:val="06AC35F5"/>
    <w:rsid w:val="06AC5426"/>
    <w:rsid w:val="06AF3E28"/>
    <w:rsid w:val="06BB111F"/>
    <w:rsid w:val="06BFD699"/>
    <w:rsid w:val="06C53E80"/>
    <w:rsid w:val="06CC37BB"/>
    <w:rsid w:val="06D4C600"/>
    <w:rsid w:val="06E5FD85"/>
    <w:rsid w:val="06E9FBF7"/>
    <w:rsid w:val="06F8BEC2"/>
    <w:rsid w:val="06FF15A5"/>
    <w:rsid w:val="07053696"/>
    <w:rsid w:val="070A504D"/>
    <w:rsid w:val="07148512"/>
    <w:rsid w:val="071D7756"/>
    <w:rsid w:val="0722055B"/>
    <w:rsid w:val="0726DDE6"/>
    <w:rsid w:val="07299FB3"/>
    <w:rsid w:val="0731D0EB"/>
    <w:rsid w:val="073384A6"/>
    <w:rsid w:val="073B3EB2"/>
    <w:rsid w:val="07403433"/>
    <w:rsid w:val="0759F487"/>
    <w:rsid w:val="075B9B1C"/>
    <w:rsid w:val="0764292F"/>
    <w:rsid w:val="0765B037"/>
    <w:rsid w:val="077335C6"/>
    <w:rsid w:val="07768BC2"/>
    <w:rsid w:val="0778A830"/>
    <w:rsid w:val="0780CA82"/>
    <w:rsid w:val="0780E72A"/>
    <w:rsid w:val="0785266C"/>
    <w:rsid w:val="078845F7"/>
    <w:rsid w:val="078E1696"/>
    <w:rsid w:val="0792B779"/>
    <w:rsid w:val="0793C7EE"/>
    <w:rsid w:val="07A4E19C"/>
    <w:rsid w:val="07A52431"/>
    <w:rsid w:val="07A5CCB9"/>
    <w:rsid w:val="07A75AB4"/>
    <w:rsid w:val="07A9C1A4"/>
    <w:rsid w:val="07ABF177"/>
    <w:rsid w:val="07AE0FAC"/>
    <w:rsid w:val="07AF89EB"/>
    <w:rsid w:val="07B5AF66"/>
    <w:rsid w:val="07C25E41"/>
    <w:rsid w:val="07D03D6F"/>
    <w:rsid w:val="07D48482"/>
    <w:rsid w:val="07D6B879"/>
    <w:rsid w:val="07E5B660"/>
    <w:rsid w:val="07EA19F7"/>
    <w:rsid w:val="07ED03F4"/>
    <w:rsid w:val="0800CBAD"/>
    <w:rsid w:val="08045631"/>
    <w:rsid w:val="08115C49"/>
    <w:rsid w:val="08129102"/>
    <w:rsid w:val="08138F3A"/>
    <w:rsid w:val="0814145C"/>
    <w:rsid w:val="0814C966"/>
    <w:rsid w:val="08167294"/>
    <w:rsid w:val="081D1F38"/>
    <w:rsid w:val="0822D886"/>
    <w:rsid w:val="0824F48A"/>
    <w:rsid w:val="08260D9F"/>
    <w:rsid w:val="08348C49"/>
    <w:rsid w:val="0835C2D8"/>
    <w:rsid w:val="0837021A"/>
    <w:rsid w:val="085698F2"/>
    <w:rsid w:val="08590309"/>
    <w:rsid w:val="086EF00A"/>
    <w:rsid w:val="087105D5"/>
    <w:rsid w:val="0872F724"/>
    <w:rsid w:val="0875746C"/>
    <w:rsid w:val="0876824D"/>
    <w:rsid w:val="0884AFB2"/>
    <w:rsid w:val="08861EF9"/>
    <w:rsid w:val="088CDA56"/>
    <w:rsid w:val="089313AC"/>
    <w:rsid w:val="0896B8CC"/>
    <w:rsid w:val="089B800A"/>
    <w:rsid w:val="089FE46F"/>
    <w:rsid w:val="08A29A81"/>
    <w:rsid w:val="08AA9DA6"/>
    <w:rsid w:val="08AE979E"/>
    <w:rsid w:val="08B5586C"/>
    <w:rsid w:val="08B60EC3"/>
    <w:rsid w:val="08B71DA8"/>
    <w:rsid w:val="08BE208A"/>
    <w:rsid w:val="08C8FEAE"/>
    <w:rsid w:val="08CA4110"/>
    <w:rsid w:val="08E0133D"/>
    <w:rsid w:val="08E68D3D"/>
    <w:rsid w:val="08EB079A"/>
    <w:rsid w:val="08F2996D"/>
    <w:rsid w:val="08FED3FB"/>
    <w:rsid w:val="0926F4E9"/>
    <w:rsid w:val="09335BFB"/>
    <w:rsid w:val="09446DBC"/>
    <w:rsid w:val="09457713"/>
    <w:rsid w:val="094738C0"/>
    <w:rsid w:val="094F8925"/>
    <w:rsid w:val="0953DF47"/>
    <w:rsid w:val="095E31F0"/>
    <w:rsid w:val="096016F4"/>
    <w:rsid w:val="0964F27E"/>
    <w:rsid w:val="0965EAC1"/>
    <w:rsid w:val="09715F38"/>
    <w:rsid w:val="0975A237"/>
    <w:rsid w:val="0982BC68"/>
    <w:rsid w:val="09950CE0"/>
    <w:rsid w:val="0995CFFC"/>
    <w:rsid w:val="099DF7D3"/>
    <w:rsid w:val="09ADBA15"/>
    <w:rsid w:val="09BC11F7"/>
    <w:rsid w:val="09C4E126"/>
    <w:rsid w:val="09CE88F8"/>
    <w:rsid w:val="09CFA253"/>
    <w:rsid w:val="09D6443F"/>
    <w:rsid w:val="09DC7BD9"/>
    <w:rsid w:val="09EB5DB1"/>
    <w:rsid w:val="09ECA400"/>
    <w:rsid w:val="09ECE907"/>
    <w:rsid w:val="09ED215D"/>
    <w:rsid w:val="09FAB591"/>
    <w:rsid w:val="0A08355F"/>
    <w:rsid w:val="0A0DB339"/>
    <w:rsid w:val="0A12FE0B"/>
    <w:rsid w:val="0A1925C5"/>
    <w:rsid w:val="0A1A0773"/>
    <w:rsid w:val="0A1BAAE9"/>
    <w:rsid w:val="0A1E344F"/>
    <w:rsid w:val="0A1E7DBA"/>
    <w:rsid w:val="0A2084A2"/>
    <w:rsid w:val="0A2F8212"/>
    <w:rsid w:val="0A449D57"/>
    <w:rsid w:val="0A48DDC7"/>
    <w:rsid w:val="0A5F1362"/>
    <w:rsid w:val="0A676FBB"/>
    <w:rsid w:val="0A686D7D"/>
    <w:rsid w:val="0A6E55CF"/>
    <w:rsid w:val="0A6F0762"/>
    <w:rsid w:val="0A7881D9"/>
    <w:rsid w:val="0A909047"/>
    <w:rsid w:val="0A96D2A6"/>
    <w:rsid w:val="0AAFDED2"/>
    <w:rsid w:val="0ABB993B"/>
    <w:rsid w:val="0AC3792C"/>
    <w:rsid w:val="0ACF2C5C"/>
    <w:rsid w:val="0ACFF82B"/>
    <w:rsid w:val="0AD150E5"/>
    <w:rsid w:val="0AD7ED05"/>
    <w:rsid w:val="0ADCF4B1"/>
    <w:rsid w:val="0AE5C88A"/>
    <w:rsid w:val="0AE8A344"/>
    <w:rsid w:val="0AEBDFB3"/>
    <w:rsid w:val="0AEFAC00"/>
    <w:rsid w:val="0AF3DC22"/>
    <w:rsid w:val="0AF5EC69"/>
    <w:rsid w:val="0AF629BA"/>
    <w:rsid w:val="0AF8AFDD"/>
    <w:rsid w:val="0B02DC13"/>
    <w:rsid w:val="0B0315F0"/>
    <w:rsid w:val="0B22CC0C"/>
    <w:rsid w:val="0B2700CA"/>
    <w:rsid w:val="0B33CFD5"/>
    <w:rsid w:val="0B492B83"/>
    <w:rsid w:val="0B498FBE"/>
    <w:rsid w:val="0B5487C9"/>
    <w:rsid w:val="0B596675"/>
    <w:rsid w:val="0B6D2832"/>
    <w:rsid w:val="0B6E25AD"/>
    <w:rsid w:val="0B6FD84A"/>
    <w:rsid w:val="0B71EBA0"/>
    <w:rsid w:val="0B74B70F"/>
    <w:rsid w:val="0B7DF7BC"/>
    <w:rsid w:val="0B8A48E1"/>
    <w:rsid w:val="0B8CBCB3"/>
    <w:rsid w:val="0B94FBEB"/>
    <w:rsid w:val="0B9685DD"/>
    <w:rsid w:val="0B973832"/>
    <w:rsid w:val="0BA5CCFB"/>
    <w:rsid w:val="0BA8D063"/>
    <w:rsid w:val="0BA96DEE"/>
    <w:rsid w:val="0BABA825"/>
    <w:rsid w:val="0BB691E7"/>
    <w:rsid w:val="0BBD9CD9"/>
    <w:rsid w:val="0BC0D636"/>
    <w:rsid w:val="0BC9103E"/>
    <w:rsid w:val="0BD0985D"/>
    <w:rsid w:val="0BD2FB3E"/>
    <w:rsid w:val="0BD3BA6F"/>
    <w:rsid w:val="0BD46C12"/>
    <w:rsid w:val="0BD8B492"/>
    <w:rsid w:val="0BDCFB3C"/>
    <w:rsid w:val="0BF56A0B"/>
    <w:rsid w:val="0BF58228"/>
    <w:rsid w:val="0BF618DF"/>
    <w:rsid w:val="0BF646DE"/>
    <w:rsid w:val="0BFC05C1"/>
    <w:rsid w:val="0C126831"/>
    <w:rsid w:val="0C18533F"/>
    <w:rsid w:val="0C1CE1BA"/>
    <w:rsid w:val="0C235376"/>
    <w:rsid w:val="0C237873"/>
    <w:rsid w:val="0C2D26EF"/>
    <w:rsid w:val="0C34575D"/>
    <w:rsid w:val="0C35344A"/>
    <w:rsid w:val="0C353D84"/>
    <w:rsid w:val="0C366D4A"/>
    <w:rsid w:val="0C3A8671"/>
    <w:rsid w:val="0C3C2246"/>
    <w:rsid w:val="0C3D1718"/>
    <w:rsid w:val="0C487587"/>
    <w:rsid w:val="0C4CB607"/>
    <w:rsid w:val="0C4E5883"/>
    <w:rsid w:val="0C4E75E6"/>
    <w:rsid w:val="0C52E58E"/>
    <w:rsid w:val="0C6F78FF"/>
    <w:rsid w:val="0C79AB2E"/>
    <w:rsid w:val="0C7F3BE1"/>
    <w:rsid w:val="0C83455A"/>
    <w:rsid w:val="0C865F47"/>
    <w:rsid w:val="0C86AE08"/>
    <w:rsid w:val="0C89F261"/>
    <w:rsid w:val="0C94803E"/>
    <w:rsid w:val="0C9D9E20"/>
    <w:rsid w:val="0C9E6B92"/>
    <w:rsid w:val="0C9FAFDE"/>
    <w:rsid w:val="0CA3DFF2"/>
    <w:rsid w:val="0CAEAFE8"/>
    <w:rsid w:val="0CB3ACA9"/>
    <w:rsid w:val="0CB4749E"/>
    <w:rsid w:val="0CB4907E"/>
    <w:rsid w:val="0CBF22ED"/>
    <w:rsid w:val="0CC00B63"/>
    <w:rsid w:val="0CC0EE94"/>
    <w:rsid w:val="0CD6CD95"/>
    <w:rsid w:val="0CDB7B3A"/>
    <w:rsid w:val="0CDE751D"/>
    <w:rsid w:val="0CE6CC91"/>
    <w:rsid w:val="0CEA6FEC"/>
    <w:rsid w:val="0CF18326"/>
    <w:rsid w:val="0CF4934E"/>
    <w:rsid w:val="0D05C0D2"/>
    <w:rsid w:val="0D05FA00"/>
    <w:rsid w:val="0D07EF2C"/>
    <w:rsid w:val="0D089E0E"/>
    <w:rsid w:val="0D0985A9"/>
    <w:rsid w:val="0D103B45"/>
    <w:rsid w:val="0D11EFB8"/>
    <w:rsid w:val="0D1587E4"/>
    <w:rsid w:val="0D2158B0"/>
    <w:rsid w:val="0D24C949"/>
    <w:rsid w:val="0D2833EA"/>
    <w:rsid w:val="0D2F5D04"/>
    <w:rsid w:val="0D34CB94"/>
    <w:rsid w:val="0D3B6FB5"/>
    <w:rsid w:val="0D3CA244"/>
    <w:rsid w:val="0D3EAE54"/>
    <w:rsid w:val="0D3F97F6"/>
    <w:rsid w:val="0D4630BB"/>
    <w:rsid w:val="0D50F715"/>
    <w:rsid w:val="0D5C0565"/>
    <w:rsid w:val="0D61DC9E"/>
    <w:rsid w:val="0D65169D"/>
    <w:rsid w:val="0D67704E"/>
    <w:rsid w:val="0D6BD61A"/>
    <w:rsid w:val="0D6BDD52"/>
    <w:rsid w:val="0D6F9F75"/>
    <w:rsid w:val="0D71CBCB"/>
    <w:rsid w:val="0D8430CB"/>
    <w:rsid w:val="0D85BB6F"/>
    <w:rsid w:val="0D8C06DB"/>
    <w:rsid w:val="0D8E07F1"/>
    <w:rsid w:val="0D97C9AE"/>
    <w:rsid w:val="0DA1729B"/>
    <w:rsid w:val="0DA8CEE3"/>
    <w:rsid w:val="0DB9BA50"/>
    <w:rsid w:val="0DBAA8DD"/>
    <w:rsid w:val="0DBB6D46"/>
    <w:rsid w:val="0DC83FA3"/>
    <w:rsid w:val="0DCF1B1F"/>
    <w:rsid w:val="0DD016D1"/>
    <w:rsid w:val="0DD1F13F"/>
    <w:rsid w:val="0DD61D85"/>
    <w:rsid w:val="0DD8BC17"/>
    <w:rsid w:val="0DD9576C"/>
    <w:rsid w:val="0DDC6BA6"/>
    <w:rsid w:val="0DDDB5C6"/>
    <w:rsid w:val="0DE6B932"/>
    <w:rsid w:val="0DE6D17E"/>
    <w:rsid w:val="0DEFC074"/>
    <w:rsid w:val="0DF2C110"/>
    <w:rsid w:val="0DF7C245"/>
    <w:rsid w:val="0DF84A40"/>
    <w:rsid w:val="0DF8FBE6"/>
    <w:rsid w:val="0DF97593"/>
    <w:rsid w:val="0DF9A4C2"/>
    <w:rsid w:val="0DFA5057"/>
    <w:rsid w:val="0E00680E"/>
    <w:rsid w:val="0E03A11E"/>
    <w:rsid w:val="0E061BC2"/>
    <w:rsid w:val="0E08A43B"/>
    <w:rsid w:val="0E0DABB1"/>
    <w:rsid w:val="0E131E02"/>
    <w:rsid w:val="0E1CE9FA"/>
    <w:rsid w:val="0E1DBDFF"/>
    <w:rsid w:val="0E272F6C"/>
    <w:rsid w:val="0E312B69"/>
    <w:rsid w:val="0E3793D4"/>
    <w:rsid w:val="0E39EF12"/>
    <w:rsid w:val="0E3BF38A"/>
    <w:rsid w:val="0E3C6F64"/>
    <w:rsid w:val="0E3FF729"/>
    <w:rsid w:val="0E48E6F5"/>
    <w:rsid w:val="0E4BB313"/>
    <w:rsid w:val="0E4C64F1"/>
    <w:rsid w:val="0E4EF9B2"/>
    <w:rsid w:val="0E5A8AAF"/>
    <w:rsid w:val="0E5F90B1"/>
    <w:rsid w:val="0E6BB594"/>
    <w:rsid w:val="0E786A79"/>
    <w:rsid w:val="0E7B76AD"/>
    <w:rsid w:val="0E7E3FA7"/>
    <w:rsid w:val="0E7FB80B"/>
    <w:rsid w:val="0E800E28"/>
    <w:rsid w:val="0E8101E1"/>
    <w:rsid w:val="0E8569A0"/>
    <w:rsid w:val="0E8725B6"/>
    <w:rsid w:val="0E987934"/>
    <w:rsid w:val="0EA52345"/>
    <w:rsid w:val="0EA722EB"/>
    <w:rsid w:val="0EA93058"/>
    <w:rsid w:val="0EB9D404"/>
    <w:rsid w:val="0EBB192F"/>
    <w:rsid w:val="0EBDF3DD"/>
    <w:rsid w:val="0EC0ECEC"/>
    <w:rsid w:val="0EC127F4"/>
    <w:rsid w:val="0EC8D5E1"/>
    <w:rsid w:val="0ECC8262"/>
    <w:rsid w:val="0ED4E7A2"/>
    <w:rsid w:val="0EDCA7EE"/>
    <w:rsid w:val="0EE876DE"/>
    <w:rsid w:val="0EFB20B7"/>
    <w:rsid w:val="0F01345D"/>
    <w:rsid w:val="0F13D8DC"/>
    <w:rsid w:val="0F1CDA05"/>
    <w:rsid w:val="0F20A90C"/>
    <w:rsid w:val="0F20CEB1"/>
    <w:rsid w:val="0F22D6F2"/>
    <w:rsid w:val="0F2DC89E"/>
    <w:rsid w:val="0F34F1AF"/>
    <w:rsid w:val="0F37DAF7"/>
    <w:rsid w:val="0F387E42"/>
    <w:rsid w:val="0F445EEE"/>
    <w:rsid w:val="0F45A33A"/>
    <w:rsid w:val="0F501259"/>
    <w:rsid w:val="0F57258E"/>
    <w:rsid w:val="0F582BFF"/>
    <w:rsid w:val="0F595369"/>
    <w:rsid w:val="0F644EB6"/>
    <w:rsid w:val="0F65D8DF"/>
    <w:rsid w:val="0F6B0432"/>
    <w:rsid w:val="0F70BAF3"/>
    <w:rsid w:val="0F7E7357"/>
    <w:rsid w:val="0F848BEB"/>
    <w:rsid w:val="0F8C3807"/>
    <w:rsid w:val="0F9BD80D"/>
    <w:rsid w:val="0FA39849"/>
    <w:rsid w:val="0FA85B48"/>
    <w:rsid w:val="0FB0DE3F"/>
    <w:rsid w:val="0FB12103"/>
    <w:rsid w:val="0FB3967E"/>
    <w:rsid w:val="0FBA765B"/>
    <w:rsid w:val="0FBAF3A0"/>
    <w:rsid w:val="0FBEB085"/>
    <w:rsid w:val="0FC23325"/>
    <w:rsid w:val="0FC31F95"/>
    <w:rsid w:val="0FC73215"/>
    <w:rsid w:val="0FC93374"/>
    <w:rsid w:val="0FD0B13B"/>
    <w:rsid w:val="0FD343FF"/>
    <w:rsid w:val="0FE2657F"/>
    <w:rsid w:val="0FE5CA6C"/>
    <w:rsid w:val="0FE5FED3"/>
    <w:rsid w:val="0FEB0B42"/>
    <w:rsid w:val="0FEC3E66"/>
    <w:rsid w:val="0FED68DD"/>
    <w:rsid w:val="0FEF11B4"/>
    <w:rsid w:val="0FEFE0E9"/>
    <w:rsid w:val="0FF82C98"/>
    <w:rsid w:val="1008930C"/>
    <w:rsid w:val="10268D4A"/>
    <w:rsid w:val="1026AF3A"/>
    <w:rsid w:val="102F38CC"/>
    <w:rsid w:val="1044C478"/>
    <w:rsid w:val="1052204F"/>
    <w:rsid w:val="10574CAD"/>
    <w:rsid w:val="105C3EDC"/>
    <w:rsid w:val="1061AECC"/>
    <w:rsid w:val="106BFDF7"/>
    <w:rsid w:val="107468E3"/>
    <w:rsid w:val="1075C7BB"/>
    <w:rsid w:val="1079A25A"/>
    <w:rsid w:val="107A60F2"/>
    <w:rsid w:val="107F1022"/>
    <w:rsid w:val="107F9019"/>
    <w:rsid w:val="10812F96"/>
    <w:rsid w:val="10844ECD"/>
    <w:rsid w:val="108764A0"/>
    <w:rsid w:val="108B0FA0"/>
    <w:rsid w:val="108B7EFC"/>
    <w:rsid w:val="1093F78A"/>
    <w:rsid w:val="109BB449"/>
    <w:rsid w:val="109FCEA2"/>
    <w:rsid w:val="10B1CE2E"/>
    <w:rsid w:val="10B5F5B9"/>
    <w:rsid w:val="10B634C8"/>
    <w:rsid w:val="10B9689A"/>
    <w:rsid w:val="10C699B8"/>
    <w:rsid w:val="10C6A3C0"/>
    <w:rsid w:val="10CCBA89"/>
    <w:rsid w:val="10CE854C"/>
    <w:rsid w:val="10D097B6"/>
    <w:rsid w:val="10D09CD8"/>
    <w:rsid w:val="10DC563B"/>
    <w:rsid w:val="10E42D8B"/>
    <w:rsid w:val="10E64DBB"/>
    <w:rsid w:val="10E66DCF"/>
    <w:rsid w:val="10E691EF"/>
    <w:rsid w:val="10EA57E9"/>
    <w:rsid w:val="10EC18E1"/>
    <w:rsid w:val="10ECEE8E"/>
    <w:rsid w:val="10FD0DB8"/>
    <w:rsid w:val="11026C02"/>
    <w:rsid w:val="11089875"/>
    <w:rsid w:val="110C6E72"/>
    <w:rsid w:val="11114579"/>
    <w:rsid w:val="111344A5"/>
    <w:rsid w:val="111857A5"/>
    <w:rsid w:val="1125FA59"/>
    <w:rsid w:val="11296E26"/>
    <w:rsid w:val="112D2718"/>
    <w:rsid w:val="11365AE3"/>
    <w:rsid w:val="11375263"/>
    <w:rsid w:val="1138FBA1"/>
    <w:rsid w:val="113DCBCE"/>
    <w:rsid w:val="1158D348"/>
    <w:rsid w:val="115DAD65"/>
    <w:rsid w:val="11616EEA"/>
    <w:rsid w:val="1163DEA4"/>
    <w:rsid w:val="11726F23"/>
    <w:rsid w:val="11748E9D"/>
    <w:rsid w:val="1176A7D7"/>
    <w:rsid w:val="1185FF76"/>
    <w:rsid w:val="118E512F"/>
    <w:rsid w:val="119296BE"/>
    <w:rsid w:val="1195DEE9"/>
    <w:rsid w:val="119E8523"/>
    <w:rsid w:val="11A01B3B"/>
    <w:rsid w:val="11A8039A"/>
    <w:rsid w:val="11B2DC5F"/>
    <w:rsid w:val="11B7DA91"/>
    <w:rsid w:val="11B88A01"/>
    <w:rsid w:val="11BA83D4"/>
    <w:rsid w:val="11BC06D8"/>
    <w:rsid w:val="11C196FA"/>
    <w:rsid w:val="11C628C4"/>
    <w:rsid w:val="11D420DB"/>
    <w:rsid w:val="11DCF6CC"/>
    <w:rsid w:val="11DFAF4F"/>
    <w:rsid w:val="11E2C50B"/>
    <w:rsid w:val="11ED2D6F"/>
    <w:rsid w:val="11EEAEA9"/>
    <w:rsid w:val="11EF20B5"/>
    <w:rsid w:val="11F1F1C6"/>
    <w:rsid w:val="11F2BA9B"/>
    <w:rsid w:val="1200316E"/>
    <w:rsid w:val="12025B8B"/>
    <w:rsid w:val="1202B68D"/>
    <w:rsid w:val="120BBBB1"/>
    <w:rsid w:val="121BE787"/>
    <w:rsid w:val="121CF4A1"/>
    <w:rsid w:val="12212438"/>
    <w:rsid w:val="122214F9"/>
    <w:rsid w:val="12229611"/>
    <w:rsid w:val="1222AF86"/>
    <w:rsid w:val="122339F5"/>
    <w:rsid w:val="122C3DEF"/>
    <w:rsid w:val="1230F3F1"/>
    <w:rsid w:val="12310738"/>
    <w:rsid w:val="12315512"/>
    <w:rsid w:val="1231CE05"/>
    <w:rsid w:val="12380E88"/>
    <w:rsid w:val="123BD206"/>
    <w:rsid w:val="1240A906"/>
    <w:rsid w:val="124570C2"/>
    <w:rsid w:val="1259CECD"/>
    <w:rsid w:val="125A1E78"/>
    <w:rsid w:val="125E7473"/>
    <w:rsid w:val="12631F92"/>
    <w:rsid w:val="126900FD"/>
    <w:rsid w:val="126A0AD1"/>
    <w:rsid w:val="126C13AD"/>
    <w:rsid w:val="12748A7D"/>
    <w:rsid w:val="127A3F5F"/>
    <w:rsid w:val="127A9555"/>
    <w:rsid w:val="127B42D7"/>
    <w:rsid w:val="1280599E"/>
    <w:rsid w:val="1281B230"/>
    <w:rsid w:val="12882ED8"/>
    <w:rsid w:val="1290D410"/>
    <w:rsid w:val="129199A6"/>
    <w:rsid w:val="12937D49"/>
    <w:rsid w:val="1297075C"/>
    <w:rsid w:val="12985F68"/>
    <w:rsid w:val="12A2A4F4"/>
    <w:rsid w:val="12A37381"/>
    <w:rsid w:val="12A74A52"/>
    <w:rsid w:val="12B891B1"/>
    <w:rsid w:val="12C4D8C0"/>
    <w:rsid w:val="12CC41D0"/>
    <w:rsid w:val="12CDFD50"/>
    <w:rsid w:val="12D138DD"/>
    <w:rsid w:val="12D6130D"/>
    <w:rsid w:val="12DF03C6"/>
    <w:rsid w:val="12DF512F"/>
    <w:rsid w:val="12E1AFFF"/>
    <w:rsid w:val="12E6DA74"/>
    <w:rsid w:val="12E8F386"/>
    <w:rsid w:val="12E9FB2C"/>
    <w:rsid w:val="12EA4831"/>
    <w:rsid w:val="12ECEF0C"/>
    <w:rsid w:val="12F47767"/>
    <w:rsid w:val="12F73619"/>
    <w:rsid w:val="13051190"/>
    <w:rsid w:val="130C6693"/>
    <w:rsid w:val="130D5B53"/>
    <w:rsid w:val="130F65EA"/>
    <w:rsid w:val="13108C48"/>
    <w:rsid w:val="1313D7E0"/>
    <w:rsid w:val="131AF4E6"/>
    <w:rsid w:val="1320218C"/>
    <w:rsid w:val="13219E61"/>
    <w:rsid w:val="132E564E"/>
    <w:rsid w:val="13317D08"/>
    <w:rsid w:val="13373440"/>
    <w:rsid w:val="133A07C2"/>
    <w:rsid w:val="133A5646"/>
    <w:rsid w:val="1344D8A8"/>
    <w:rsid w:val="134AD15C"/>
    <w:rsid w:val="134CCBBB"/>
    <w:rsid w:val="134DCF1D"/>
    <w:rsid w:val="1353B9AD"/>
    <w:rsid w:val="1369197B"/>
    <w:rsid w:val="136B1903"/>
    <w:rsid w:val="136EC8B6"/>
    <w:rsid w:val="137D9F89"/>
    <w:rsid w:val="138A265F"/>
    <w:rsid w:val="138E7392"/>
    <w:rsid w:val="138FFB4D"/>
    <w:rsid w:val="1391EC25"/>
    <w:rsid w:val="1391EC6A"/>
    <w:rsid w:val="13992359"/>
    <w:rsid w:val="13A60B1E"/>
    <w:rsid w:val="13B273BE"/>
    <w:rsid w:val="13B4515C"/>
    <w:rsid w:val="13B98FBE"/>
    <w:rsid w:val="13BE24CA"/>
    <w:rsid w:val="13C61D60"/>
    <w:rsid w:val="13C851D4"/>
    <w:rsid w:val="13D3172E"/>
    <w:rsid w:val="13D4B533"/>
    <w:rsid w:val="13E0F909"/>
    <w:rsid w:val="13E3C519"/>
    <w:rsid w:val="13E9BC1F"/>
    <w:rsid w:val="13EBCA7A"/>
    <w:rsid w:val="13EE34AC"/>
    <w:rsid w:val="13F109B8"/>
    <w:rsid w:val="13F1599D"/>
    <w:rsid w:val="13F57662"/>
    <w:rsid w:val="13F9E068"/>
    <w:rsid w:val="140888D8"/>
    <w:rsid w:val="140A64FA"/>
    <w:rsid w:val="140A7F18"/>
    <w:rsid w:val="141426CD"/>
    <w:rsid w:val="142192B1"/>
    <w:rsid w:val="142DF7BF"/>
    <w:rsid w:val="1432FAC1"/>
    <w:rsid w:val="143979AB"/>
    <w:rsid w:val="1440C754"/>
    <w:rsid w:val="144935CE"/>
    <w:rsid w:val="14611222"/>
    <w:rsid w:val="146A90BA"/>
    <w:rsid w:val="146CB55F"/>
    <w:rsid w:val="147931A7"/>
    <w:rsid w:val="147C131F"/>
    <w:rsid w:val="147C2CBF"/>
    <w:rsid w:val="14817261"/>
    <w:rsid w:val="148E25CE"/>
    <w:rsid w:val="14921613"/>
    <w:rsid w:val="1496F442"/>
    <w:rsid w:val="14AD7836"/>
    <w:rsid w:val="14AD8272"/>
    <w:rsid w:val="14B728FD"/>
    <w:rsid w:val="14BE0CA7"/>
    <w:rsid w:val="14C21566"/>
    <w:rsid w:val="14C7E035"/>
    <w:rsid w:val="14CDBDB9"/>
    <w:rsid w:val="14D09A0E"/>
    <w:rsid w:val="14DFA218"/>
    <w:rsid w:val="14E14DD7"/>
    <w:rsid w:val="14EAA2D3"/>
    <w:rsid w:val="14EB3DB6"/>
    <w:rsid w:val="14F451E0"/>
    <w:rsid w:val="14F56B4D"/>
    <w:rsid w:val="15033756"/>
    <w:rsid w:val="15074280"/>
    <w:rsid w:val="150CEB5D"/>
    <w:rsid w:val="151324D1"/>
    <w:rsid w:val="1527451E"/>
    <w:rsid w:val="152A5542"/>
    <w:rsid w:val="152C24B2"/>
    <w:rsid w:val="1532CB3E"/>
    <w:rsid w:val="1535F003"/>
    <w:rsid w:val="153AC064"/>
    <w:rsid w:val="153C9342"/>
    <w:rsid w:val="15546011"/>
    <w:rsid w:val="15556D36"/>
    <w:rsid w:val="155985FA"/>
    <w:rsid w:val="155A5DD2"/>
    <w:rsid w:val="1569904A"/>
    <w:rsid w:val="156B3231"/>
    <w:rsid w:val="157E6A50"/>
    <w:rsid w:val="1582DFF0"/>
    <w:rsid w:val="158550E6"/>
    <w:rsid w:val="1586555C"/>
    <w:rsid w:val="158AAF55"/>
    <w:rsid w:val="158D088B"/>
    <w:rsid w:val="158D8287"/>
    <w:rsid w:val="15937888"/>
    <w:rsid w:val="159D78BB"/>
    <w:rsid w:val="15AE9E6D"/>
    <w:rsid w:val="15B74926"/>
    <w:rsid w:val="15C917D3"/>
    <w:rsid w:val="15C91BA8"/>
    <w:rsid w:val="15D319C4"/>
    <w:rsid w:val="15DEE681"/>
    <w:rsid w:val="15E0946B"/>
    <w:rsid w:val="15E33B32"/>
    <w:rsid w:val="15EEA8BA"/>
    <w:rsid w:val="15F7EECC"/>
    <w:rsid w:val="15FFA65F"/>
    <w:rsid w:val="1601B3E7"/>
    <w:rsid w:val="16029D78"/>
    <w:rsid w:val="16064FF6"/>
    <w:rsid w:val="16091B50"/>
    <w:rsid w:val="1614F5F3"/>
    <w:rsid w:val="161B64A8"/>
    <w:rsid w:val="161B8A3F"/>
    <w:rsid w:val="16206287"/>
    <w:rsid w:val="16245801"/>
    <w:rsid w:val="1628D273"/>
    <w:rsid w:val="16298C04"/>
    <w:rsid w:val="16304E93"/>
    <w:rsid w:val="16385C13"/>
    <w:rsid w:val="163F0934"/>
    <w:rsid w:val="164101A1"/>
    <w:rsid w:val="16462729"/>
    <w:rsid w:val="16555C39"/>
    <w:rsid w:val="16645886"/>
    <w:rsid w:val="1665BD46"/>
    <w:rsid w:val="16664E0A"/>
    <w:rsid w:val="166B43EE"/>
    <w:rsid w:val="166C3E70"/>
    <w:rsid w:val="167069F4"/>
    <w:rsid w:val="1677BC7F"/>
    <w:rsid w:val="1678A292"/>
    <w:rsid w:val="167C27AB"/>
    <w:rsid w:val="168340F1"/>
    <w:rsid w:val="16842353"/>
    <w:rsid w:val="16972541"/>
    <w:rsid w:val="169B61D7"/>
    <w:rsid w:val="169CD8CE"/>
    <w:rsid w:val="16A36D80"/>
    <w:rsid w:val="16A3F5EA"/>
    <w:rsid w:val="16A6B608"/>
    <w:rsid w:val="16AE43AF"/>
    <w:rsid w:val="16B03D04"/>
    <w:rsid w:val="16B067EF"/>
    <w:rsid w:val="16B32D58"/>
    <w:rsid w:val="16B878EC"/>
    <w:rsid w:val="16B8C3CA"/>
    <w:rsid w:val="16C21950"/>
    <w:rsid w:val="16CA9B04"/>
    <w:rsid w:val="16D084DE"/>
    <w:rsid w:val="16D5B79F"/>
    <w:rsid w:val="16DCD457"/>
    <w:rsid w:val="16DEAB78"/>
    <w:rsid w:val="16E23F11"/>
    <w:rsid w:val="16E72046"/>
    <w:rsid w:val="16EB2BB4"/>
    <w:rsid w:val="16EE0C89"/>
    <w:rsid w:val="16F753C5"/>
    <w:rsid w:val="1708E029"/>
    <w:rsid w:val="170CFB82"/>
    <w:rsid w:val="1711A454"/>
    <w:rsid w:val="171DB4DA"/>
    <w:rsid w:val="171E4C13"/>
    <w:rsid w:val="17361D3C"/>
    <w:rsid w:val="173977C3"/>
    <w:rsid w:val="17437D91"/>
    <w:rsid w:val="1744ACFE"/>
    <w:rsid w:val="17491900"/>
    <w:rsid w:val="174CB1D4"/>
    <w:rsid w:val="175082D9"/>
    <w:rsid w:val="17563193"/>
    <w:rsid w:val="175C45AC"/>
    <w:rsid w:val="1769E3F4"/>
    <w:rsid w:val="176E198D"/>
    <w:rsid w:val="176E8702"/>
    <w:rsid w:val="1773E628"/>
    <w:rsid w:val="1775AC70"/>
    <w:rsid w:val="177B2A00"/>
    <w:rsid w:val="1781391D"/>
    <w:rsid w:val="1782987A"/>
    <w:rsid w:val="1783CDEF"/>
    <w:rsid w:val="178A26AE"/>
    <w:rsid w:val="178E1594"/>
    <w:rsid w:val="179386E6"/>
    <w:rsid w:val="179AD87A"/>
    <w:rsid w:val="179E7437"/>
    <w:rsid w:val="179EEC3D"/>
    <w:rsid w:val="179F633F"/>
    <w:rsid w:val="17A4D279"/>
    <w:rsid w:val="17A6AC0E"/>
    <w:rsid w:val="17AA6A5D"/>
    <w:rsid w:val="17ADF821"/>
    <w:rsid w:val="17B7875D"/>
    <w:rsid w:val="17BBC308"/>
    <w:rsid w:val="17C26FF4"/>
    <w:rsid w:val="17C48342"/>
    <w:rsid w:val="17C7E0E6"/>
    <w:rsid w:val="17D26527"/>
    <w:rsid w:val="17D5A5E3"/>
    <w:rsid w:val="17E143C1"/>
    <w:rsid w:val="17E567FF"/>
    <w:rsid w:val="17FE9E9A"/>
    <w:rsid w:val="18067B88"/>
    <w:rsid w:val="1809B42D"/>
    <w:rsid w:val="180D8C9F"/>
    <w:rsid w:val="1812D331"/>
    <w:rsid w:val="1815CA03"/>
    <w:rsid w:val="1822B157"/>
    <w:rsid w:val="182648D0"/>
    <w:rsid w:val="1828AAD7"/>
    <w:rsid w:val="182C134F"/>
    <w:rsid w:val="18307703"/>
    <w:rsid w:val="183348E2"/>
    <w:rsid w:val="183E8208"/>
    <w:rsid w:val="18401EC8"/>
    <w:rsid w:val="18459DDE"/>
    <w:rsid w:val="184A4E84"/>
    <w:rsid w:val="184CAECE"/>
    <w:rsid w:val="185FCA7A"/>
    <w:rsid w:val="1863FB74"/>
    <w:rsid w:val="186B62FE"/>
    <w:rsid w:val="186BB0AD"/>
    <w:rsid w:val="186C1DF7"/>
    <w:rsid w:val="1873D0BE"/>
    <w:rsid w:val="18766870"/>
    <w:rsid w:val="1876D15C"/>
    <w:rsid w:val="187833FE"/>
    <w:rsid w:val="187972DE"/>
    <w:rsid w:val="1883F0D0"/>
    <w:rsid w:val="1884159E"/>
    <w:rsid w:val="1886E2A7"/>
    <w:rsid w:val="188B7F96"/>
    <w:rsid w:val="18959C8A"/>
    <w:rsid w:val="18A41DA2"/>
    <w:rsid w:val="18A4FBD2"/>
    <w:rsid w:val="18A713EF"/>
    <w:rsid w:val="18A8CBE3"/>
    <w:rsid w:val="18B06D85"/>
    <w:rsid w:val="18B14171"/>
    <w:rsid w:val="18B392ED"/>
    <w:rsid w:val="18B39CFD"/>
    <w:rsid w:val="18BAE472"/>
    <w:rsid w:val="18BB0679"/>
    <w:rsid w:val="18C137A2"/>
    <w:rsid w:val="18C3590C"/>
    <w:rsid w:val="18CA055A"/>
    <w:rsid w:val="18D13EC8"/>
    <w:rsid w:val="18D3AF89"/>
    <w:rsid w:val="18D56455"/>
    <w:rsid w:val="18D89BA9"/>
    <w:rsid w:val="18D8E69C"/>
    <w:rsid w:val="18DA2D0F"/>
    <w:rsid w:val="18EABC07"/>
    <w:rsid w:val="18EF2506"/>
    <w:rsid w:val="18F25FB8"/>
    <w:rsid w:val="18F8331E"/>
    <w:rsid w:val="18F8D669"/>
    <w:rsid w:val="18FE607B"/>
    <w:rsid w:val="190D45B9"/>
    <w:rsid w:val="190E4D36"/>
    <w:rsid w:val="191233E5"/>
    <w:rsid w:val="191AFA66"/>
    <w:rsid w:val="1936C118"/>
    <w:rsid w:val="1944B1B4"/>
    <w:rsid w:val="194A27CD"/>
    <w:rsid w:val="194BE66B"/>
    <w:rsid w:val="194BF861"/>
    <w:rsid w:val="194E90EE"/>
    <w:rsid w:val="1957EA1C"/>
    <w:rsid w:val="195BAC07"/>
    <w:rsid w:val="195F5909"/>
    <w:rsid w:val="195FAE6A"/>
    <w:rsid w:val="1960CBAB"/>
    <w:rsid w:val="19673182"/>
    <w:rsid w:val="196A15CC"/>
    <w:rsid w:val="196A2563"/>
    <w:rsid w:val="196FF880"/>
    <w:rsid w:val="19711C1B"/>
    <w:rsid w:val="1976131F"/>
    <w:rsid w:val="197BC685"/>
    <w:rsid w:val="19843AAA"/>
    <w:rsid w:val="19853A8C"/>
    <w:rsid w:val="1998D7C6"/>
    <w:rsid w:val="19A0BA10"/>
    <w:rsid w:val="19A370B4"/>
    <w:rsid w:val="19AF21EE"/>
    <w:rsid w:val="19B09FC9"/>
    <w:rsid w:val="19BC1AB4"/>
    <w:rsid w:val="19BF2571"/>
    <w:rsid w:val="19C10583"/>
    <w:rsid w:val="19C9CCA2"/>
    <w:rsid w:val="19D0287C"/>
    <w:rsid w:val="19D26CB3"/>
    <w:rsid w:val="19DA8196"/>
    <w:rsid w:val="19DECC19"/>
    <w:rsid w:val="19E038F6"/>
    <w:rsid w:val="19E1FC7E"/>
    <w:rsid w:val="19E2C5F2"/>
    <w:rsid w:val="19E2F1A6"/>
    <w:rsid w:val="19ED93D4"/>
    <w:rsid w:val="1A0094FB"/>
    <w:rsid w:val="1A04C818"/>
    <w:rsid w:val="1A090DD9"/>
    <w:rsid w:val="1A0D368C"/>
    <w:rsid w:val="1A1140F6"/>
    <w:rsid w:val="1A128F7D"/>
    <w:rsid w:val="1A1521F0"/>
    <w:rsid w:val="1A19950D"/>
    <w:rsid w:val="1A23C4CA"/>
    <w:rsid w:val="1A26F16B"/>
    <w:rsid w:val="1A275974"/>
    <w:rsid w:val="1A2D62D3"/>
    <w:rsid w:val="1A36B684"/>
    <w:rsid w:val="1A4480E3"/>
    <w:rsid w:val="1A4A16CC"/>
    <w:rsid w:val="1A4A60C4"/>
    <w:rsid w:val="1A638D69"/>
    <w:rsid w:val="1A645548"/>
    <w:rsid w:val="1A675033"/>
    <w:rsid w:val="1A6CD3B8"/>
    <w:rsid w:val="1A6D0FDC"/>
    <w:rsid w:val="1A6DC904"/>
    <w:rsid w:val="1A74455E"/>
    <w:rsid w:val="1A75B5BE"/>
    <w:rsid w:val="1A774865"/>
    <w:rsid w:val="1A7BCCE1"/>
    <w:rsid w:val="1A826038"/>
    <w:rsid w:val="1A8CDAB6"/>
    <w:rsid w:val="1AA0C237"/>
    <w:rsid w:val="1AAB2B41"/>
    <w:rsid w:val="1AAD21EC"/>
    <w:rsid w:val="1AAE53CA"/>
    <w:rsid w:val="1ABFE76D"/>
    <w:rsid w:val="1AC3BF1F"/>
    <w:rsid w:val="1AC69DA4"/>
    <w:rsid w:val="1ACA7802"/>
    <w:rsid w:val="1AD313FE"/>
    <w:rsid w:val="1ADDAC89"/>
    <w:rsid w:val="1AE15F4B"/>
    <w:rsid w:val="1AE33733"/>
    <w:rsid w:val="1AE7D11B"/>
    <w:rsid w:val="1AEAFE5F"/>
    <w:rsid w:val="1AEC072D"/>
    <w:rsid w:val="1AFB7ECB"/>
    <w:rsid w:val="1AFD35D5"/>
    <w:rsid w:val="1AFF3A5A"/>
    <w:rsid w:val="1B062820"/>
    <w:rsid w:val="1B0B179A"/>
    <w:rsid w:val="1B0D1FD8"/>
    <w:rsid w:val="1B18DCEB"/>
    <w:rsid w:val="1B192601"/>
    <w:rsid w:val="1B197198"/>
    <w:rsid w:val="1B20009D"/>
    <w:rsid w:val="1B20B4D9"/>
    <w:rsid w:val="1B27DA67"/>
    <w:rsid w:val="1B2FBEB1"/>
    <w:rsid w:val="1B33CED4"/>
    <w:rsid w:val="1B368404"/>
    <w:rsid w:val="1B39EDF3"/>
    <w:rsid w:val="1B3A8367"/>
    <w:rsid w:val="1B3AC60C"/>
    <w:rsid w:val="1B420512"/>
    <w:rsid w:val="1B4957A3"/>
    <w:rsid w:val="1B49A38E"/>
    <w:rsid w:val="1B58CD38"/>
    <w:rsid w:val="1B5F6201"/>
    <w:rsid w:val="1B618756"/>
    <w:rsid w:val="1B66AEB2"/>
    <w:rsid w:val="1B6F5FE6"/>
    <w:rsid w:val="1B70E645"/>
    <w:rsid w:val="1B72C992"/>
    <w:rsid w:val="1B74A659"/>
    <w:rsid w:val="1B752020"/>
    <w:rsid w:val="1B7539BC"/>
    <w:rsid w:val="1B84F9DE"/>
    <w:rsid w:val="1B962D3B"/>
    <w:rsid w:val="1B9DF2A4"/>
    <w:rsid w:val="1BA5E932"/>
    <w:rsid w:val="1BA6CAEB"/>
    <w:rsid w:val="1BA76213"/>
    <w:rsid w:val="1BA976E4"/>
    <w:rsid w:val="1BBEA748"/>
    <w:rsid w:val="1BC7C222"/>
    <w:rsid w:val="1BC82B21"/>
    <w:rsid w:val="1BCDE9F0"/>
    <w:rsid w:val="1BD5BF73"/>
    <w:rsid w:val="1BD7732D"/>
    <w:rsid w:val="1BE0D410"/>
    <w:rsid w:val="1BEA9B9F"/>
    <w:rsid w:val="1C0003B8"/>
    <w:rsid w:val="1C13536A"/>
    <w:rsid w:val="1C15B441"/>
    <w:rsid w:val="1C184FBB"/>
    <w:rsid w:val="1C1E0840"/>
    <w:rsid w:val="1C274572"/>
    <w:rsid w:val="1C29538F"/>
    <w:rsid w:val="1C2A02FC"/>
    <w:rsid w:val="1C2F4F40"/>
    <w:rsid w:val="1C341C8E"/>
    <w:rsid w:val="1C3AC773"/>
    <w:rsid w:val="1C45385D"/>
    <w:rsid w:val="1C507177"/>
    <w:rsid w:val="1C556028"/>
    <w:rsid w:val="1C5913FB"/>
    <w:rsid w:val="1C688D82"/>
    <w:rsid w:val="1C70992B"/>
    <w:rsid w:val="1C754DBD"/>
    <w:rsid w:val="1C7829F0"/>
    <w:rsid w:val="1C7E56AE"/>
    <w:rsid w:val="1C8682C6"/>
    <w:rsid w:val="1C882488"/>
    <w:rsid w:val="1C8F1815"/>
    <w:rsid w:val="1C8F6F07"/>
    <w:rsid w:val="1C9796D4"/>
    <w:rsid w:val="1C97DEE5"/>
    <w:rsid w:val="1CA20615"/>
    <w:rsid w:val="1CA41DA7"/>
    <w:rsid w:val="1CA948DA"/>
    <w:rsid w:val="1CA9EE74"/>
    <w:rsid w:val="1CAD20C5"/>
    <w:rsid w:val="1CAD5894"/>
    <w:rsid w:val="1CB1FA39"/>
    <w:rsid w:val="1CB25067"/>
    <w:rsid w:val="1CC04E2C"/>
    <w:rsid w:val="1CC1A74B"/>
    <w:rsid w:val="1CCEFB57"/>
    <w:rsid w:val="1CD809BE"/>
    <w:rsid w:val="1CDA71AB"/>
    <w:rsid w:val="1CE108A9"/>
    <w:rsid w:val="1CF00B5D"/>
    <w:rsid w:val="1CF03F85"/>
    <w:rsid w:val="1D042C7E"/>
    <w:rsid w:val="1D0AA051"/>
    <w:rsid w:val="1D167218"/>
    <w:rsid w:val="1D178397"/>
    <w:rsid w:val="1D1B54A8"/>
    <w:rsid w:val="1D1FB3B7"/>
    <w:rsid w:val="1D20BEF8"/>
    <w:rsid w:val="1D2232B8"/>
    <w:rsid w:val="1D24ECCA"/>
    <w:rsid w:val="1D27D6DF"/>
    <w:rsid w:val="1D286E27"/>
    <w:rsid w:val="1D29BD63"/>
    <w:rsid w:val="1D2E1553"/>
    <w:rsid w:val="1D2E7BFC"/>
    <w:rsid w:val="1D3659C4"/>
    <w:rsid w:val="1D38F36C"/>
    <w:rsid w:val="1D3CDC51"/>
    <w:rsid w:val="1D52DF11"/>
    <w:rsid w:val="1D5A395A"/>
    <w:rsid w:val="1D6B9699"/>
    <w:rsid w:val="1D772D53"/>
    <w:rsid w:val="1D8E4B26"/>
    <w:rsid w:val="1D910931"/>
    <w:rsid w:val="1D9AFDCC"/>
    <w:rsid w:val="1D9CC22C"/>
    <w:rsid w:val="1DA49B7D"/>
    <w:rsid w:val="1DAC430C"/>
    <w:rsid w:val="1DAE9A7C"/>
    <w:rsid w:val="1DAFE602"/>
    <w:rsid w:val="1DC53FC4"/>
    <w:rsid w:val="1DCA2184"/>
    <w:rsid w:val="1DCB03D3"/>
    <w:rsid w:val="1DD2CB4D"/>
    <w:rsid w:val="1DD7B09C"/>
    <w:rsid w:val="1DD85078"/>
    <w:rsid w:val="1DDCD225"/>
    <w:rsid w:val="1DDDE704"/>
    <w:rsid w:val="1DEE6448"/>
    <w:rsid w:val="1DF73CF5"/>
    <w:rsid w:val="1E0975D6"/>
    <w:rsid w:val="1E0D8C03"/>
    <w:rsid w:val="1E0E86A3"/>
    <w:rsid w:val="1E130CC8"/>
    <w:rsid w:val="1E1C65C9"/>
    <w:rsid w:val="1E2CE097"/>
    <w:rsid w:val="1E2D8778"/>
    <w:rsid w:val="1E3232FF"/>
    <w:rsid w:val="1E3AB56C"/>
    <w:rsid w:val="1E3AD64F"/>
    <w:rsid w:val="1E3D1B40"/>
    <w:rsid w:val="1E3F763F"/>
    <w:rsid w:val="1E41AE2D"/>
    <w:rsid w:val="1E4E575D"/>
    <w:rsid w:val="1E525D21"/>
    <w:rsid w:val="1E5799D2"/>
    <w:rsid w:val="1E598866"/>
    <w:rsid w:val="1E5D798C"/>
    <w:rsid w:val="1E6448FF"/>
    <w:rsid w:val="1E683895"/>
    <w:rsid w:val="1E7B4BCE"/>
    <w:rsid w:val="1E80F865"/>
    <w:rsid w:val="1E83BE70"/>
    <w:rsid w:val="1E851EBF"/>
    <w:rsid w:val="1E887E0E"/>
    <w:rsid w:val="1E891B85"/>
    <w:rsid w:val="1E8B48FC"/>
    <w:rsid w:val="1E8FD70B"/>
    <w:rsid w:val="1E9339DC"/>
    <w:rsid w:val="1E972185"/>
    <w:rsid w:val="1E9E7392"/>
    <w:rsid w:val="1EB2C6C1"/>
    <w:rsid w:val="1EB457F7"/>
    <w:rsid w:val="1EBC74D5"/>
    <w:rsid w:val="1EBD7F33"/>
    <w:rsid w:val="1EC1CF78"/>
    <w:rsid w:val="1ED608D1"/>
    <w:rsid w:val="1ED756EF"/>
    <w:rsid w:val="1ED78FDE"/>
    <w:rsid w:val="1EDC627B"/>
    <w:rsid w:val="1EDD21FA"/>
    <w:rsid w:val="1EF16F1E"/>
    <w:rsid w:val="1EF2C3C9"/>
    <w:rsid w:val="1EF9FDA8"/>
    <w:rsid w:val="1EFB7039"/>
    <w:rsid w:val="1F01BE7E"/>
    <w:rsid w:val="1F035720"/>
    <w:rsid w:val="1F07EA54"/>
    <w:rsid w:val="1F14DE9C"/>
    <w:rsid w:val="1F21B0C0"/>
    <w:rsid w:val="1F2320FC"/>
    <w:rsid w:val="1F25772B"/>
    <w:rsid w:val="1F2A1B87"/>
    <w:rsid w:val="1F2EDBFF"/>
    <w:rsid w:val="1F2F5FDA"/>
    <w:rsid w:val="1F318166"/>
    <w:rsid w:val="1F31D9AF"/>
    <w:rsid w:val="1F329D45"/>
    <w:rsid w:val="1F367F52"/>
    <w:rsid w:val="1F368466"/>
    <w:rsid w:val="1F3D0E27"/>
    <w:rsid w:val="1F3E30CB"/>
    <w:rsid w:val="1F477464"/>
    <w:rsid w:val="1F4C6CB4"/>
    <w:rsid w:val="1F51E47B"/>
    <w:rsid w:val="1F537AA8"/>
    <w:rsid w:val="1F68A3E7"/>
    <w:rsid w:val="1F759991"/>
    <w:rsid w:val="1F8047A4"/>
    <w:rsid w:val="1F8B9AAA"/>
    <w:rsid w:val="1F983874"/>
    <w:rsid w:val="1FA27F8E"/>
    <w:rsid w:val="1FA9EFAF"/>
    <w:rsid w:val="1FBA9009"/>
    <w:rsid w:val="1FBC078E"/>
    <w:rsid w:val="1FBC2246"/>
    <w:rsid w:val="1FBC3471"/>
    <w:rsid w:val="1FBE5283"/>
    <w:rsid w:val="1FCC846E"/>
    <w:rsid w:val="1FCE4C89"/>
    <w:rsid w:val="1FE01AE1"/>
    <w:rsid w:val="1FE01B5D"/>
    <w:rsid w:val="1FE80D1D"/>
    <w:rsid w:val="1FF3369C"/>
    <w:rsid w:val="20017C1A"/>
    <w:rsid w:val="2001AD72"/>
    <w:rsid w:val="2002F7C4"/>
    <w:rsid w:val="20038AD1"/>
    <w:rsid w:val="200A53EC"/>
    <w:rsid w:val="200D1300"/>
    <w:rsid w:val="20124F90"/>
    <w:rsid w:val="201FB2F9"/>
    <w:rsid w:val="2023306D"/>
    <w:rsid w:val="202A539B"/>
    <w:rsid w:val="202C288F"/>
    <w:rsid w:val="2036259A"/>
    <w:rsid w:val="204176A7"/>
    <w:rsid w:val="2046E185"/>
    <w:rsid w:val="204AAF54"/>
    <w:rsid w:val="205F9440"/>
    <w:rsid w:val="2061280C"/>
    <w:rsid w:val="206D29DF"/>
    <w:rsid w:val="20767CE6"/>
    <w:rsid w:val="207B9C2F"/>
    <w:rsid w:val="207F8D4B"/>
    <w:rsid w:val="2082488D"/>
    <w:rsid w:val="20889026"/>
    <w:rsid w:val="20925AE1"/>
    <w:rsid w:val="209EC434"/>
    <w:rsid w:val="20A6490A"/>
    <w:rsid w:val="20A737BF"/>
    <w:rsid w:val="20AA255E"/>
    <w:rsid w:val="20B44125"/>
    <w:rsid w:val="20B89F6D"/>
    <w:rsid w:val="20BAD688"/>
    <w:rsid w:val="20BB581D"/>
    <w:rsid w:val="20C62C0B"/>
    <w:rsid w:val="20D5EDF6"/>
    <w:rsid w:val="20E8E2FB"/>
    <w:rsid w:val="20FC8C4B"/>
    <w:rsid w:val="21007373"/>
    <w:rsid w:val="21044052"/>
    <w:rsid w:val="2105599F"/>
    <w:rsid w:val="2105DB69"/>
    <w:rsid w:val="210B852A"/>
    <w:rsid w:val="210EE76E"/>
    <w:rsid w:val="21120583"/>
    <w:rsid w:val="21159A0C"/>
    <w:rsid w:val="211DA8A3"/>
    <w:rsid w:val="21241CB6"/>
    <w:rsid w:val="2125369E"/>
    <w:rsid w:val="2127CA2E"/>
    <w:rsid w:val="212D9FC8"/>
    <w:rsid w:val="212DA9A8"/>
    <w:rsid w:val="2132F180"/>
    <w:rsid w:val="213B3232"/>
    <w:rsid w:val="21415EA0"/>
    <w:rsid w:val="21459861"/>
    <w:rsid w:val="21460CA8"/>
    <w:rsid w:val="21468B03"/>
    <w:rsid w:val="2147D254"/>
    <w:rsid w:val="214B5C9C"/>
    <w:rsid w:val="214EEB8F"/>
    <w:rsid w:val="2155388E"/>
    <w:rsid w:val="215567BB"/>
    <w:rsid w:val="215847F6"/>
    <w:rsid w:val="2158CDCE"/>
    <w:rsid w:val="215D13BB"/>
    <w:rsid w:val="2166543E"/>
    <w:rsid w:val="2168D2A0"/>
    <w:rsid w:val="216B02B4"/>
    <w:rsid w:val="21760869"/>
    <w:rsid w:val="2176C8A2"/>
    <w:rsid w:val="217AA3A0"/>
    <w:rsid w:val="2180C024"/>
    <w:rsid w:val="2188CDBA"/>
    <w:rsid w:val="218CEF18"/>
    <w:rsid w:val="21998607"/>
    <w:rsid w:val="21A1E8CC"/>
    <w:rsid w:val="21A7A31F"/>
    <w:rsid w:val="21D20690"/>
    <w:rsid w:val="21D75196"/>
    <w:rsid w:val="21D929F7"/>
    <w:rsid w:val="21E32A65"/>
    <w:rsid w:val="21EF5700"/>
    <w:rsid w:val="21F47BAB"/>
    <w:rsid w:val="21F798DE"/>
    <w:rsid w:val="21FAE31E"/>
    <w:rsid w:val="21FBABB5"/>
    <w:rsid w:val="21FBDCC9"/>
    <w:rsid w:val="21FE1846"/>
    <w:rsid w:val="220BE839"/>
    <w:rsid w:val="222679E5"/>
    <w:rsid w:val="222B6FC5"/>
    <w:rsid w:val="223048FA"/>
    <w:rsid w:val="224C2034"/>
    <w:rsid w:val="224DE6D7"/>
    <w:rsid w:val="22578577"/>
    <w:rsid w:val="2259F940"/>
    <w:rsid w:val="225C26D3"/>
    <w:rsid w:val="225CFAC8"/>
    <w:rsid w:val="22687653"/>
    <w:rsid w:val="22711C81"/>
    <w:rsid w:val="2277A359"/>
    <w:rsid w:val="2278BBB2"/>
    <w:rsid w:val="2285CB4D"/>
    <w:rsid w:val="2286230E"/>
    <w:rsid w:val="228B351B"/>
    <w:rsid w:val="228DE368"/>
    <w:rsid w:val="22951457"/>
    <w:rsid w:val="229C3A75"/>
    <w:rsid w:val="22A00D77"/>
    <w:rsid w:val="22B57FD4"/>
    <w:rsid w:val="22BBA727"/>
    <w:rsid w:val="22C8F90A"/>
    <w:rsid w:val="22CD21FC"/>
    <w:rsid w:val="22CDB52C"/>
    <w:rsid w:val="22CDE702"/>
    <w:rsid w:val="22CF03FA"/>
    <w:rsid w:val="22D24778"/>
    <w:rsid w:val="22D5C85B"/>
    <w:rsid w:val="22E18F87"/>
    <w:rsid w:val="22EF377E"/>
    <w:rsid w:val="22F2B28F"/>
    <w:rsid w:val="22FF85F1"/>
    <w:rsid w:val="2300C0D7"/>
    <w:rsid w:val="2305BDFD"/>
    <w:rsid w:val="230752F7"/>
    <w:rsid w:val="230BA809"/>
    <w:rsid w:val="23189E03"/>
    <w:rsid w:val="23313AF9"/>
    <w:rsid w:val="233291C9"/>
    <w:rsid w:val="233F5DAE"/>
    <w:rsid w:val="234B6BF8"/>
    <w:rsid w:val="234DB13B"/>
    <w:rsid w:val="234EDF39"/>
    <w:rsid w:val="2350759E"/>
    <w:rsid w:val="23532DD4"/>
    <w:rsid w:val="235490CA"/>
    <w:rsid w:val="23569659"/>
    <w:rsid w:val="2356FD39"/>
    <w:rsid w:val="235A81EC"/>
    <w:rsid w:val="235AAEF5"/>
    <w:rsid w:val="235DFEBA"/>
    <w:rsid w:val="236211AD"/>
    <w:rsid w:val="236A56C5"/>
    <w:rsid w:val="236A92A8"/>
    <w:rsid w:val="236B0194"/>
    <w:rsid w:val="23821AC0"/>
    <w:rsid w:val="2382E4E2"/>
    <w:rsid w:val="2386FD87"/>
    <w:rsid w:val="2387311B"/>
    <w:rsid w:val="239206B6"/>
    <w:rsid w:val="2397A5F1"/>
    <w:rsid w:val="239CF582"/>
    <w:rsid w:val="23A1A577"/>
    <w:rsid w:val="23A5543F"/>
    <w:rsid w:val="23AFBB4C"/>
    <w:rsid w:val="23B1D242"/>
    <w:rsid w:val="23B58A86"/>
    <w:rsid w:val="23B97575"/>
    <w:rsid w:val="23C0D875"/>
    <w:rsid w:val="23C79213"/>
    <w:rsid w:val="23C9A5F0"/>
    <w:rsid w:val="23CA914E"/>
    <w:rsid w:val="23CB552D"/>
    <w:rsid w:val="23CC5121"/>
    <w:rsid w:val="23D41D11"/>
    <w:rsid w:val="23D7CEB5"/>
    <w:rsid w:val="23E05003"/>
    <w:rsid w:val="23E2C1C9"/>
    <w:rsid w:val="23F14646"/>
    <w:rsid w:val="23FC58EE"/>
    <w:rsid w:val="23FD8CAA"/>
    <w:rsid w:val="2402839A"/>
    <w:rsid w:val="2406914D"/>
    <w:rsid w:val="240B116E"/>
    <w:rsid w:val="2420AC43"/>
    <w:rsid w:val="24298B7D"/>
    <w:rsid w:val="243315EB"/>
    <w:rsid w:val="2434924E"/>
    <w:rsid w:val="24386838"/>
    <w:rsid w:val="24426242"/>
    <w:rsid w:val="244E3B04"/>
    <w:rsid w:val="244F5786"/>
    <w:rsid w:val="245113EB"/>
    <w:rsid w:val="24533C7D"/>
    <w:rsid w:val="2459470C"/>
    <w:rsid w:val="2469858D"/>
    <w:rsid w:val="246A4715"/>
    <w:rsid w:val="246D52A2"/>
    <w:rsid w:val="247D897D"/>
    <w:rsid w:val="24819F69"/>
    <w:rsid w:val="24935786"/>
    <w:rsid w:val="24A26111"/>
    <w:rsid w:val="24A3541B"/>
    <w:rsid w:val="24AA5922"/>
    <w:rsid w:val="24BD8C1A"/>
    <w:rsid w:val="24BE273D"/>
    <w:rsid w:val="24C1B94A"/>
    <w:rsid w:val="24C291C7"/>
    <w:rsid w:val="24C29365"/>
    <w:rsid w:val="24C2CAB8"/>
    <w:rsid w:val="24C359AC"/>
    <w:rsid w:val="24C4D76E"/>
    <w:rsid w:val="24C79450"/>
    <w:rsid w:val="24CB3729"/>
    <w:rsid w:val="24CFA290"/>
    <w:rsid w:val="24D16247"/>
    <w:rsid w:val="24D350E4"/>
    <w:rsid w:val="24D612ED"/>
    <w:rsid w:val="24E04040"/>
    <w:rsid w:val="24E1847F"/>
    <w:rsid w:val="25002709"/>
    <w:rsid w:val="25003F62"/>
    <w:rsid w:val="25046644"/>
    <w:rsid w:val="2506AE46"/>
    <w:rsid w:val="250942E1"/>
    <w:rsid w:val="250BCF33"/>
    <w:rsid w:val="250F0E53"/>
    <w:rsid w:val="2514F927"/>
    <w:rsid w:val="2518AA47"/>
    <w:rsid w:val="2520A965"/>
    <w:rsid w:val="2521FB48"/>
    <w:rsid w:val="2523656E"/>
    <w:rsid w:val="253B7A66"/>
    <w:rsid w:val="253CC03B"/>
    <w:rsid w:val="253EF25B"/>
    <w:rsid w:val="25421780"/>
    <w:rsid w:val="25426FFF"/>
    <w:rsid w:val="2544644C"/>
    <w:rsid w:val="2545ECA7"/>
    <w:rsid w:val="25499C52"/>
    <w:rsid w:val="255E1AA7"/>
    <w:rsid w:val="2563BCC1"/>
    <w:rsid w:val="257785B6"/>
    <w:rsid w:val="25783B15"/>
    <w:rsid w:val="25804F34"/>
    <w:rsid w:val="258783AA"/>
    <w:rsid w:val="259B6E2E"/>
    <w:rsid w:val="25A261AE"/>
    <w:rsid w:val="25A31811"/>
    <w:rsid w:val="25A791B5"/>
    <w:rsid w:val="25AF0848"/>
    <w:rsid w:val="25B06367"/>
    <w:rsid w:val="25B8399F"/>
    <w:rsid w:val="25BE223E"/>
    <w:rsid w:val="25C369E6"/>
    <w:rsid w:val="25CA26CF"/>
    <w:rsid w:val="25CD8246"/>
    <w:rsid w:val="25D685D5"/>
    <w:rsid w:val="25DC351F"/>
    <w:rsid w:val="25DD0A5F"/>
    <w:rsid w:val="25E157E5"/>
    <w:rsid w:val="25E56984"/>
    <w:rsid w:val="25F486C0"/>
    <w:rsid w:val="25F547CF"/>
    <w:rsid w:val="260B8796"/>
    <w:rsid w:val="260EA355"/>
    <w:rsid w:val="2612A7F5"/>
    <w:rsid w:val="2612B2FD"/>
    <w:rsid w:val="2613D892"/>
    <w:rsid w:val="261A9726"/>
    <w:rsid w:val="262E028F"/>
    <w:rsid w:val="262EA4E3"/>
    <w:rsid w:val="2632F0B4"/>
    <w:rsid w:val="263CD0BA"/>
    <w:rsid w:val="263F4FFC"/>
    <w:rsid w:val="2646BA9E"/>
    <w:rsid w:val="264BF4E9"/>
    <w:rsid w:val="26620CDA"/>
    <w:rsid w:val="26647F6B"/>
    <w:rsid w:val="26663B88"/>
    <w:rsid w:val="26681EB7"/>
    <w:rsid w:val="2676B446"/>
    <w:rsid w:val="2679B7F8"/>
    <w:rsid w:val="26880E4D"/>
    <w:rsid w:val="2691B045"/>
    <w:rsid w:val="269D0396"/>
    <w:rsid w:val="269F1A4A"/>
    <w:rsid w:val="26A13D1E"/>
    <w:rsid w:val="26A37110"/>
    <w:rsid w:val="26B106E0"/>
    <w:rsid w:val="26B91ECB"/>
    <w:rsid w:val="26B98521"/>
    <w:rsid w:val="26C07955"/>
    <w:rsid w:val="26C198DA"/>
    <w:rsid w:val="26C1B58B"/>
    <w:rsid w:val="26CDFB75"/>
    <w:rsid w:val="26CE0A99"/>
    <w:rsid w:val="26DAF187"/>
    <w:rsid w:val="26DDA9D3"/>
    <w:rsid w:val="26DE4060"/>
    <w:rsid w:val="26DFAA01"/>
    <w:rsid w:val="26E8BC02"/>
    <w:rsid w:val="26F59D46"/>
    <w:rsid w:val="26F8A5FA"/>
    <w:rsid w:val="26FE635B"/>
    <w:rsid w:val="2703CD36"/>
    <w:rsid w:val="2707ED73"/>
    <w:rsid w:val="27081642"/>
    <w:rsid w:val="270A2FA6"/>
    <w:rsid w:val="270F8388"/>
    <w:rsid w:val="2717F0C5"/>
    <w:rsid w:val="271AE500"/>
    <w:rsid w:val="271C5BC4"/>
    <w:rsid w:val="271D6E5E"/>
    <w:rsid w:val="27209E5D"/>
    <w:rsid w:val="2729E291"/>
    <w:rsid w:val="272AC9A0"/>
    <w:rsid w:val="272AF212"/>
    <w:rsid w:val="273B0883"/>
    <w:rsid w:val="273B16CF"/>
    <w:rsid w:val="274ED835"/>
    <w:rsid w:val="27509364"/>
    <w:rsid w:val="27551162"/>
    <w:rsid w:val="27584BA0"/>
    <w:rsid w:val="275916E2"/>
    <w:rsid w:val="275CF9EA"/>
    <w:rsid w:val="275E2B28"/>
    <w:rsid w:val="276025B2"/>
    <w:rsid w:val="276E3DA4"/>
    <w:rsid w:val="27766DCC"/>
    <w:rsid w:val="277C4559"/>
    <w:rsid w:val="2786D5DD"/>
    <w:rsid w:val="2787312F"/>
    <w:rsid w:val="278C553F"/>
    <w:rsid w:val="278C7B72"/>
    <w:rsid w:val="278CBB87"/>
    <w:rsid w:val="27937B20"/>
    <w:rsid w:val="27953AA5"/>
    <w:rsid w:val="279A0FE7"/>
    <w:rsid w:val="27A1264F"/>
    <w:rsid w:val="27A60EE6"/>
    <w:rsid w:val="27A64959"/>
    <w:rsid w:val="27A87C7F"/>
    <w:rsid w:val="27A980F3"/>
    <w:rsid w:val="27A9E5FC"/>
    <w:rsid w:val="27B25345"/>
    <w:rsid w:val="27BCB3C5"/>
    <w:rsid w:val="27BD2DC7"/>
    <w:rsid w:val="27CD9498"/>
    <w:rsid w:val="27CEA076"/>
    <w:rsid w:val="27D4AF28"/>
    <w:rsid w:val="27E0C713"/>
    <w:rsid w:val="27E44AFB"/>
    <w:rsid w:val="27E7514E"/>
    <w:rsid w:val="27ECD79B"/>
    <w:rsid w:val="27F627CC"/>
    <w:rsid w:val="27FA5191"/>
    <w:rsid w:val="27FAEA8A"/>
    <w:rsid w:val="28012610"/>
    <w:rsid w:val="28018850"/>
    <w:rsid w:val="280AEC67"/>
    <w:rsid w:val="280BAEAF"/>
    <w:rsid w:val="280E1D93"/>
    <w:rsid w:val="2819C1DD"/>
    <w:rsid w:val="2821DB04"/>
    <w:rsid w:val="28234CAF"/>
    <w:rsid w:val="283B8FEE"/>
    <w:rsid w:val="283ED9E3"/>
    <w:rsid w:val="283F81D6"/>
    <w:rsid w:val="28406C96"/>
    <w:rsid w:val="285517E7"/>
    <w:rsid w:val="2866C583"/>
    <w:rsid w:val="2874FCD8"/>
    <w:rsid w:val="287E1C80"/>
    <w:rsid w:val="287E95E4"/>
    <w:rsid w:val="2885A455"/>
    <w:rsid w:val="2891FD97"/>
    <w:rsid w:val="28967545"/>
    <w:rsid w:val="28978D82"/>
    <w:rsid w:val="2898B8AD"/>
    <w:rsid w:val="28994B1E"/>
    <w:rsid w:val="289DFB39"/>
    <w:rsid w:val="289FCF2A"/>
    <w:rsid w:val="289FFB25"/>
    <w:rsid w:val="28A4C1E9"/>
    <w:rsid w:val="28A988AD"/>
    <w:rsid w:val="28BE8A80"/>
    <w:rsid w:val="28C5C825"/>
    <w:rsid w:val="28C78C18"/>
    <w:rsid w:val="28C89662"/>
    <w:rsid w:val="28C9A954"/>
    <w:rsid w:val="28D30EF0"/>
    <w:rsid w:val="28D61E56"/>
    <w:rsid w:val="28D9F416"/>
    <w:rsid w:val="28DA0270"/>
    <w:rsid w:val="28DC920C"/>
    <w:rsid w:val="28E4C981"/>
    <w:rsid w:val="28E7D0E3"/>
    <w:rsid w:val="28F11C78"/>
    <w:rsid w:val="2902EA90"/>
    <w:rsid w:val="290AF82A"/>
    <w:rsid w:val="290B70BC"/>
    <w:rsid w:val="290F54A1"/>
    <w:rsid w:val="29118710"/>
    <w:rsid w:val="2913F56D"/>
    <w:rsid w:val="29153B18"/>
    <w:rsid w:val="2917BD03"/>
    <w:rsid w:val="29186A86"/>
    <w:rsid w:val="291A29BB"/>
    <w:rsid w:val="291AA767"/>
    <w:rsid w:val="292E6D18"/>
    <w:rsid w:val="29434C62"/>
    <w:rsid w:val="29493E68"/>
    <w:rsid w:val="295021E1"/>
    <w:rsid w:val="2950409C"/>
    <w:rsid w:val="2950832A"/>
    <w:rsid w:val="2950F829"/>
    <w:rsid w:val="295AF1AF"/>
    <w:rsid w:val="2961F512"/>
    <w:rsid w:val="2965B7AB"/>
    <w:rsid w:val="29693BAB"/>
    <w:rsid w:val="2975CE15"/>
    <w:rsid w:val="29795036"/>
    <w:rsid w:val="297AA252"/>
    <w:rsid w:val="297DC6FB"/>
    <w:rsid w:val="297F5777"/>
    <w:rsid w:val="2984C678"/>
    <w:rsid w:val="29853295"/>
    <w:rsid w:val="29872F82"/>
    <w:rsid w:val="298CBF65"/>
    <w:rsid w:val="298DC597"/>
    <w:rsid w:val="2993406D"/>
    <w:rsid w:val="2995C5F7"/>
    <w:rsid w:val="2995E8D6"/>
    <w:rsid w:val="2996302B"/>
    <w:rsid w:val="299D444E"/>
    <w:rsid w:val="29A1F620"/>
    <w:rsid w:val="29AA6B10"/>
    <w:rsid w:val="29AD4C08"/>
    <w:rsid w:val="29B25B6D"/>
    <w:rsid w:val="29B5AA81"/>
    <w:rsid w:val="29B8785C"/>
    <w:rsid w:val="29BF1A6B"/>
    <w:rsid w:val="29C0B870"/>
    <w:rsid w:val="29C84DEA"/>
    <w:rsid w:val="29D05DA3"/>
    <w:rsid w:val="29D40359"/>
    <w:rsid w:val="29DE44C2"/>
    <w:rsid w:val="29DE8EB7"/>
    <w:rsid w:val="29E4573E"/>
    <w:rsid w:val="29F5458A"/>
    <w:rsid w:val="29F792DD"/>
    <w:rsid w:val="29F9DF9B"/>
    <w:rsid w:val="29FC80E6"/>
    <w:rsid w:val="2A075ABD"/>
    <w:rsid w:val="2A098DA0"/>
    <w:rsid w:val="2A0B4751"/>
    <w:rsid w:val="2A0C5BD1"/>
    <w:rsid w:val="2A0E3457"/>
    <w:rsid w:val="2A1117B1"/>
    <w:rsid w:val="2A11EDE2"/>
    <w:rsid w:val="2A19E10E"/>
    <w:rsid w:val="2A1A5DEA"/>
    <w:rsid w:val="2A1A916A"/>
    <w:rsid w:val="2A1B7916"/>
    <w:rsid w:val="2A22FED1"/>
    <w:rsid w:val="2A239274"/>
    <w:rsid w:val="2A2CB84B"/>
    <w:rsid w:val="2A2E6CC1"/>
    <w:rsid w:val="2A37C75E"/>
    <w:rsid w:val="2A3AC722"/>
    <w:rsid w:val="2A3BE9E6"/>
    <w:rsid w:val="2A3C7E72"/>
    <w:rsid w:val="2A3F893A"/>
    <w:rsid w:val="2A4305C7"/>
    <w:rsid w:val="2A4A2CA3"/>
    <w:rsid w:val="2A53C079"/>
    <w:rsid w:val="2A56C7AF"/>
    <w:rsid w:val="2A57259B"/>
    <w:rsid w:val="2A58C8E6"/>
    <w:rsid w:val="2A5FBFD2"/>
    <w:rsid w:val="2A61C05E"/>
    <w:rsid w:val="2A636DC0"/>
    <w:rsid w:val="2A66A933"/>
    <w:rsid w:val="2A6B28C2"/>
    <w:rsid w:val="2A74C191"/>
    <w:rsid w:val="2A7AAB50"/>
    <w:rsid w:val="2A7CF538"/>
    <w:rsid w:val="2A7DC000"/>
    <w:rsid w:val="2A7DD3EF"/>
    <w:rsid w:val="2A89BD6B"/>
    <w:rsid w:val="2A8FD45D"/>
    <w:rsid w:val="2A91135D"/>
    <w:rsid w:val="2A92C2BB"/>
    <w:rsid w:val="2A96B9E4"/>
    <w:rsid w:val="2A98EFAC"/>
    <w:rsid w:val="2A997AD9"/>
    <w:rsid w:val="2A9DE27A"/>
    <w:rsid w:val="2A9F01B6"/>
    <w:rsid w:val="2A9F0C74"/>
    <w:rsid w:val="2A9F6405"/>
    <w:rsid w:val="2AA1931D"/>
    <w:rsid w:val="2AA3D038"/>
    <w:rsid w:val="2AA5E26F"/>
    <w:rsid w:val="2AACF7D7"/>
    <w:rsid w:val="2AAF0772"/>
    <w:rsid w:val="2ABFF707"/>
    <w:rsid w:val="2AC4ED2C"/>
    <w:rsid w:val="2AD1822F"/>
    <w:rsid w:val="2AD2C745"/>
    <w:rsid w:val="2AD93822"/>
    <w:rsid w:val="2AEFEEA1"/>
    <w:rsid w:val="2AFB9C7B"/>
    <w:rsid w:val="2B048CCB"/>
    <w:rsid w:val="2B058C9E"/>
    <w:rsid w:val="2B0C028A"/>
    <w:rsid w:val="2B115F9F"/>
    <w:rsid w:val="2B1364CB"/>
    <w:rsid w:val="2B13EACF"/>
    <w:rsid w:val="2B1496C3"/>
    <w:rsid w:val="2B29E07E"/>
    <w:rsid w:val="2B2A5221"/>
    <w:rsid w:val="2B2E1658"/>
    <w:rsid w:val="2B386550"/>
    <w:rsid w:val="2B3FDAD2"/>
    <w:rsid w:val="2B493627"/>
    <w:rsid w:val="2B4FCEC8"/>
    <w:rsid w:val="2B511158"/>
    <w:rsid w:val="2B7337E4"/>
    <w:rsid w:val="2B7D9213"/>
    <w:rsid w:val="2B83463C"/>
    <w:rsid w:val="2B8650B2"/>
    <w:rsid w:val="2B8AF875"/>
    <w:rsid w:val="2B95CE5A"/>
    <w:rsid w:val="2B9C9ABB"/>
    <w:rsid w:val="2B9D9BFC"/>
    <w:rsid w:val="2BA10AEC"/>
    <w:rsid w:val="2BA205F1"/>
    <w:rsid w:val="2BA78CC1"/>
    <w:rsid w:val="2BAE3A14"/>
    <w:rsid w:val="2BB4291B"/>
    <w:rsid w:val="2BB86367"/>
    <w:rsid w:val="2BCB0F85"/>
    <w:rsid w:val="2BCCE404"/>
    <w:rsid w:val="2BCE918C"/>
    <w:rsid w:val="2BD264C1"/>
    <w:rsid w:val="2BD5146A"/>
    <w:rsid w:val="2BDB9B26"/>
    <w:rsid w:val="2BDE493A"/>
    <w:rsid w:val="2BE1C9E7"/>
    <w:rsid w:val="2BE89B2B"/>
    <w:rsid w:val="2BFE6335"/>
    <w:rsid w:val="2BFF7666"/>
    <w:rsid w:val="2C01824C"/>
    <w:rsid w:val="2C052DB8"/>
    <w:rsid w:val="2C0E487D"/>
    <w:rsid w:val="2C103F65"/>
    <w:rsid w:val="2C16237C"/>
    <w:rsid w:val="2C171CDE"/>
    <w:rsid w:val="2C22AE5F"/>
    <w:rsid w:val="2C2C66F0"/>
    <w:rsid w:val="2C305360"/>
    <w:rsid w:val="2C32BF15"/>
    <w:rsid w:val="2C35589A"/>
    <w:rsid w:val="2C3A4CA4"/>
    <w:rsid w:val="2C40958A"/>
    <w:rsid w:val="2C40DED3"/>
    <w:rsid w:val="2C488399"/>
    <w:rsid w:val="2C51CF33"/>
    <w:rsid w:val="2C7166BD"/>
    <w:rsid w:val="2C7B3FA9"/>
    <w:rsid w:val="2C8441BF"/>
    <w:rsid w:val="2C84559D"/>
    <w:rsid w:val="2C86E4BA"/>
    <w:rsid w:val="2C96E34B"/>
    <w:rsid w:val="2C98027E"/>
    <w:rsid w:val="2CA810F5"/>
    <w:rsid w:val="2CB1A036"/>
    <w:rsid w:val="2CB9261A"/>
    <w:rsid w:val="2CBE10A0"/>
    <w:rsid w:val="2CC10124"/>
    <w:rsid w:val="2CC7201F"/>
    <w:rsid w:val="2CC773D4"/>
    <w:rsid w:val="2CCDEB63"/>
    <w:rsid w:val="2CD48838"/>
    <w:rsid w:val="2CD98462"/>
    <w:rsid w:val="2CD9A6EB"/>
    <w:rsid w:val="2CDEFE3E"/>
    <w:rsid w:val="2CEB6E6A"/>
    <w:rsid w:val="2CF0138D"/>
    <w:rsid w:val="2CF97B88"/>
    <w:rsid w:val="2D0A3CB8"/>
    <w:rsid w:val="2D100634"/>
    <w:rsid w:val="2D16C39F"/>
    <w:rsid w:val="2D17F428"/>
    <w:rsid w:val="2D18D766"/>
    <w:rsid w:val="2D1FE3EB"/>
    <w:rsid w:val="2D21895D"/>
    <w:rsid w:val="2D26EA2D"/>
    <w:rsid w:val="2D2F3218"/>
    <w:rsid w:val="2D3F5E07"/>
    <w:rsid w:val="2D402FFE"/>
    <w:rsid w:val="2D4B3A2F"/>
    <w:rsid w:val="2D5249E1"/>
    <w:rsid w:val="2D542593"/>
    <w:rsid w:val="2D5A824E"/>
    <w:rsid w:val="2D5BA108"/>
    <w:rsid w:val="2D62F4BB"/>
    <w:rsid w:val="2D648C14"/>
    <w:rsid w:val="2D70FD16"/>
    <w:rsid w:val="2D727B76"/>
    <w:rsid w:val="2D742FA9"/>
    <w:rsid w:val="2D7F8E5D"/>
    <w:rsid w:val="2D851A17"/>
    <w:rsid w:val="2D85D232"/>
    <w:rsid w:val="2D86E2C5"/>
    <w:rsid w:val="2D8D375E"/>
    <w:rsid w:val="2D9527FD"/>
    <w:rsid w:val="2DA135E9"/>
    <w:rsid w:val="2DA88F4D"/>
    <w:rsid w:val="2DAAEE48"/>
    <w:rsid w:val="2DB4654D"/>
    <w:rsid w:val="2DB4B20A"/>
    <w:rsid w:val="2DB7F826"/>
    <w:rsid w:val="2DB9F9E3"/>
    <w:rsid w:val="2DCE5AA6"/>
    <w:rsid w:val="2DD99672"/>
    <w:rsid w:val="2DE04924"/>
    <w:rsid w:val="2DE7F87E"/>
    <w:rsid w:val="2DE808C9"/>
    <w:rsid w:val="2DECB233"/>
    <w:rsid w:val="2DEF87CB"/>
    <w:rsid w:val="2DF0D671"/>
    <w:rsid w:val="2DF3576C"/>
    <w:rsid w:val="2DFA713E"/>
    <w:rsid w:val="2E03F8BC"/>
    <w:rsid w:val="2E05B53E"/>
    <w:rsid w:val="2E05D0A5"/>
    <w:rsid w:val="2E0B55A4"/>
    <w:rsid w:val="2E1003EF"/>
    <w:rsid w:val="2E1008CA"/>
    <w:rsid w:val="2E1067D3"/>
    <w:rsid w:val="2E203E6F"/>
    <w:rsid w:val="2E245DF0"/>
    <w:rsid w:val="2E2DFE04"/>
    <w:rsid w:val="2E3C12EE"/>
    <w:rsid w:val="2E48FFE0"/>
    <w:rsid w:val="2E4FC5BA"/>
    <w:rsid w:val="2E51B38F"/>
    <w:rsid w:val="2E624487"/>
    <w:rsid w:val="2E6E6511"/>
    <w:rsid w:val="2E70AD6E"/>
    <w:rsid w:val="2E70F4E1"/>
    <w:rsid w:val="2E737C0C"/>
    <w:rsid w:val="2E7438C9"/>
    <w:rsid w:val="2E768C31"/>
    <w:rsid w:val="2E7C30C9"/>
    <w:rsid w:val="2E7E5C8C"/>
    <w:rsid w:val="2E80F97A"/>
    <w:rsid w:val="2E82F039"/>
    <w:rsid w:val="2E843D92"/>
    <w:rsid w:val="2E8AF499"/>
    <w:rsid w:val="2E959ED5"/>
    <w:rsid w:val="2E99D37F"/>
    <w:rsid w:val="2EA495AE"/>
    <w:rsid w:val="2EA7BE5A"/>
    <w:rsid w:val="2EA7E816"/>
    <w:rsid w:val="2EB63AF8"/>
    <w:rsid w:val="2EBC9435"/>
    <w:rsid w:val="2ECA8675"/>
    <w:rsid w:val="2ECD89CD"/>
    <w:rsid w:val="2ECF82DE"/>
    <w:rsid w:val="2ED029E8"/>
    <w:rsid w:val="2ED18F2F"/>
    <w:rsid w:val="2EE50123"/>
    <w:rsid w:val="2EED541F"/>
    <w:rsid w:val="2EF5262B"/>
    <w:rsid w:val="2EFA6966"/>
    <w:rsid w:val="2EFBF75A"/>
    <w:rsid w:val="2F0B1C56"/>
    <w:rsid w:val="2F0BD11F"/>
    <w:rsid w:val="2F0E8C4A"/>
    <w:rsid w:val="2F26F1CD"/>
    <w:rsid w:val="2F2B601E"/>
    <w:rsid w:val="2F34EDE0"/>
    <w:rsid w:val="2F3582E9"/>
    <w:rsid w:val="2F429897"/>
    <w:rsid w:val="2F42C24F"/>
    <w:rsid w:val="2F46F6AE"/>
    <w:rsid w:val="2F482CD7"/>
    <w:rsid w:val="2F485832"/>
    <w:rsid w:val="2F4D8CC8"/>
    <w:rsid w:val="2F500AB2"/>
    <w:rsid w:val="2F532F0C"/>
    <w:rsid w:val="2F554121"/>
    <w:rsid w:val="2F5F9124"/>
    <w:rsid w:val="2F61C7F1"/>
    <w:rsid w:val="2F63420D"/>
    <w:rsid w:val="2F64BDD9"/>
    <w:rsid w:val="2F67A037"/>
    <w:rsid w:val="2F693CAC"/>
    <w:rsid w:val="2F6CDD9D"/>
    <w:rsid w:val="2F71FBBB"/>
    <w:rsid w:val="2F7F7B16"/>
    <w:rsid w:val="2F853370"/>
    <w:rsid w:val="2F8DF478"/>
    <w:rsid w:val="2F8FD256"/>
    <w:rsid w:val="2F902569"/>
    <w:rsid w:val="2F921FA4"/>
    <w:rsid w:val="2F9E37E6"/>
    <w:rsid w:val="2FA10842"/>
    <w:rsid w:val="2FA585AA"/>
    <w:rsid w:val="2FA807BF"/>
    <w:rsid w:val="2FAC9ACE"/>
    <w:rsid w:val="2FAF7E8D"/>
    <w:rsid w:val="2FB12AD8"/>
    <w:rsid w:val="2FB4F7E1"/>
    <w:rsid w:val="2FB9F63A"/>
    <w:rsid w:val="2FD6F888"/>
    <w:rsid w:val="2FD7C639"/>
    <w:rsid w:val="2FF37E43"/>
    <w:rsid w:val="2FFCE299"/>
    <w:rsid w:val="30067708"/>
    <w:rsid w:val="30101708"/>
    <w:rsid w:val="3010585E"/>
    <w:rsid w:val="3021F98F"/>
    <w:rsid w:val="30227DB4"/>
    <w:rsid w:val="3023DAC2"/>
    <w:rsid w:val="3025758B"/>
    <w:rsid w:val="3027A970"/>
    <w:rsid w:val="3037B629"/>
    <w:rsid w:val="303A82F7"/>
    <w:rsid w:val="304271E3"/>
    <w:rsid w:val="30496A20"/>
    <w:rsid w:val="304AF57F"/>
    <w:rsid w:val="304BDC1A"/>
    <w:rsid w:val="30566948"/>
    <w:rsid w:val="3058FABD"/>
    <w:rsid w:val="3058FAE9"/>
    <w:rsid w:val="305F29CB"/>
    <w:rsid w:val="3063BB54"/>
    <w:rsid w:val="30676F79"/>
    <w:rsid w:val="30694123"/>
    <w:rsid w:val="306FB4B6"/>
    <w:rsid w:val="3071E65C"/>
    <w:rsid w:val="3074E0C3"/>
    <w:rsid w:val="30805935"/>
    <w:rsid w:val="308351A3"/>
    <w:rsid w:val="308CD0C5"/>
    <w:rsid w:val="3095F12C"/>
    <w:rsid w:val="309BE8FE"/>
    <w:rsid w:val="30A390A0"/>
    <w:rsid w:val="30A416E4"/>
    <w:rsid w:val="30A5CF7C"/>
    <w:rsid w:val="30A79F0E"/>
    <w:rsid w:val="30A9DFA8"/>
    <w:rsid w:val="30C9658F"/>
    <w:rsid w:val="30CB4883"/>
    <w:rsid w:val="30CFC621"/>
    <w:rsid w:val="30D4E82C"/>
    <w:rsid w:val="30DA1CBE"/>
    <w:rsid w:val="30DA9663"/>
    <w:rsid w:val="30E1D8F2"/>
    <w:rsid w:val="30E51455"/>
    <w:rsid w:val="30E69115"/>
    <w:rsid w:val="30E8C811"/>
    <w:rsid w:val="30F97134"/>
    <w:rsid w:val="30FC8D22"/>
    <w:rsid w:val="310A72A8"/>
    <w:rsid w:val="310FED34"/>
    <w:rsid w:val="311B6A97"/>
    <w:rsid w:val="311D0DC8"/>
    <w:rsid w:val="3131DA36"/>
    <w:rsid w:val="3133B8FD"/>
    <w:rsid w:val="3134F90E"/>
    <w:rsid w:val="3135E824"/>
    <w:rsid w:val="31367684"/>
    <w:rsid w:val="313BFEA6"/>
    <w:rsid w:val="3140B6F0"/>
    <w:rsid w:val="314A80DD"/>
    <w:rsid w:val="3155EEF6"/>
    <w:rsid w:val="31609AFB"/>
    <w:rsid w:val="316187F3"/>
    <w:rsid w:val="31720D2E"/>
    <w:rsid w:val="317614DA"/>
    <w:rsid w:val="3178B417"/>
    <w:rsid w:val="317A6E83"/>
    <w:rsid w:val="317B3BA7"/>
    <w:rsid w:val="317D0E10"/>
    <w:rsid w:val="3180C921"/>
    <w:rsid w:val="3186D95C"/>
    <w:rsid w:val="3190763A"/>
    <w:rsid w:val="31A7D035"/>
    <w:rsid w:val="31B43E5C"/>
    <w:rsid w:val="31B8D0E3"/>
    <w:rsid w:val="31BA4908"/>
    <w:rsid w:val="31BA71A4"/>
    <w:rsid w:val="31BE2F64"/>
    <w:rsid w:val="31C1C0AA"/>
    <w:rsid w:val="31CC46F3"/>
    <w:rsid w:val="31D31EA0"/>
    <w:rsid w:val="31D8FD5E"/>
    <w:rsid w:val="31DB17A4"/>
    <w:rsid w:val="31E10209"/>
    <w:rsid w:val="31E2ED6F"/>
    <w:rsid w:val="31E59914"/>
    <w:rsid w:val="31E855D7"/>
    <w:rsid w:val="31F38467"/>
    <w:rsid w:val="31F52A72"/>
    <w:rsid w:val="31FF0B31"/>
    <w:rsid w:val="32045E28"/>
    <w:rsid w:val="320B7A45"/>
    <w:rsid w:val="3213B76C"/>
    <w:rsid w:val="321547FA"/>
    <w:rsid w:val="32181819"/>
    <w:rsid w:val="3218453C"/>
    <w:rsid w:val="321AFADB"/>
    <w:rsid w:val="321CF168"/>
    <w:rsid w:val="321EC745"/>
    <w:rsid w:val="3221EE70"/>
    <w:rsid w:val="3225E5F1"/>
    <w:rsid w:val="3226B56E"/>
    <w:rsid w:val="3228B289"/>
    <w:rsid w:val="322AB65A"/>
    <w:rsid w:val="322D527C"/>
    <w:rsid w:val="32314F01"/>
    <w:rsid w:val="3234895E"/>
    <w:rsid w:val="323ED831"/>
    <w:rsid w:val="32465385"/>
    <w:rsid w:val="324BB775"/>
    <w:rsid w:val="324C3627"/>
    <w:rsid w:val="324C785A"/>
    <w:rsid w:val="324F411A"/>
    <w:rsid w:val="325A469F"/>
    <w:rsid w:val="325E40C9"/>
    <w:rsid w:val="3262B3B6"/>
    <w:rsid w:val="32679AEA"/>
    <w:rsid w:val="326A0D04"/>
    <w:rsid w:val="32770ABC"/>
    <w:rsid w:val="327A5863"/>
    <w:rsid w:val="327D4D4E"/>
    <w:rsid w:val="328D3197"/>
    <w:rsid w:val="328F83CC"/>
    <w:rsid w:val="32914692"/>
    <w:rsid w:val="3291D650"/>
    <w:rsid w:val="32968048"/>
    <w:rsid w:val="32981D19"/>
    <w:rsid w:val="3299B14E"/>
    <w:rsid w:val="329AD9D7"/>
    <w:rsid w:val="32A309B5"/>
    <w:rsid w:val="32A49258"/>
    <w:rsid w:val="32A7AF9D"/>
    <w:rsid w:val="32ADB4AD"/>
    <w:rsid w:val="32B337E5"/>
    <w:rsid w:val="32B5E4F7"/>
    <w:rsid w:val="32C6E3E9"/>
    <w:rsid w:val="32D1C6F4"/>
    <w:rsid w:val="32E0275A"/>
    <w:rsid w:val="32E03F0F"/>
    <w:rsid w:val="32F7524B"/>
    <w:rsid w:val="32FB898F"/>
    <w:rsid w:val="3301140E"/>
    <w:rsid w:val="33038690"/>
    <w:rsid w:val="3308A706"/>
    <w:rsid w:val="330FB7A7"/>
    <w:rsid w:val="331134C8"/>
    <w:rsid w:val="331D29CF"/>
    <w:rsid w:val="3323B371"/>
    <w:rsid w:val="33288BDA"/>
    <w:rsid w:val="333001EA"/>
    <w:rsid w:val="333202F8"/>
    <w:rsid w:val="3337659B"/>
    <w:rsid w:val="3359D270"/>
    <w:rsid w:val="33649A2F"/>
    <w:rsid w:val="336CEEE4"/>
    <w:rsid w:val="33712C07"/>
    <w:rsid w:val="3384200A"/>
    <w:rsid w:val="3384D414"/>
    <w:rsid w:val="33A33B84"/>
    <w:rsid w:val="33ACC287"/>
    <w:rsid w:val="33B382A9"/>
    <w:rsid w:val="33B443FE"/>
    <w:rsid w:val="33BE4D0B"/>
    <w:rsid w:val="33C285CF"/>
    <w:rsid w:val="33CEDF1E"/>
    <w:rsid w:val="33EBB923"/>
    <w:rsid w:val="33EC3AD3"/>
    <w:rsid w:val="33ED278D"/>
    <w:rsid w:val="33EF78A5"/>
    <w:rsid w:val="33F2F6A9"/>
    <w:rsid w:val="33F922EF"/>
    <w:rsid w:val="33FD1D97"/>
    <w:rsid w:val="33FFB716"/>
    <w:rsid w:val="34114E76"/>
    <w:rsid w:val="3413B809"/>
    <w:rsid w:val="3414BA5B"/>
    <w:rsid w:val="3418225A"/>
    <w:rsid w:val="34187A7C"/>
    <w:rsid w:val="341AD6F9"/>
    <w:rsid w:val="341EA87F"/>
    <w:rsid w:val="34290265"/>
    <w:rsid w:val="343D41E6"/>
    <w:rsid w:val="344F03BE"/>
    <w:rsid w:val="34545BD6"/>
    <w:rsid w:val="3463B41E"/>
    <w:rsid w:val="347743B5"/>
    <w:rsid w:val="347FA957"/>
    <w:rsid w:val="34882024"/>
    <w:rsid w:val="34885B2C"/>
    <w:rsid w:val="348C4571"/>
    <w:rsid w:val="34924A15"/>
    <w:rsid w:val="349F5B5D"/>
    <w:rsid w:val="34A625BE"/>
    <w:rsid w:val="34AB44BA"/>
    <w:rsid w:val="34ACECD5"/>
    <w:rsid w:val="34B3E089"/>
    <w:rsid w:val="34BC4B89"/>
    <w:rsid w:val="34C22DFA"/>
    <w:rsid w:val="34CC725F"/>
    <w:rsid w:val="34D16C8F"/>
    <w:rsid w:val="34D1A5A1"/>
    <w:rsid w:val="34DD44D9"/>
    <w:rsid w:val="34DE05E8"/>
    <w:rsid w:val="34E53408"/>
    <w:rsid w:val="34F2857E"/>
    <w:rsid w:val="34F4B7B3"/>
    <w:rsid w:val="34F964B6"/>
    <w:rsid w:val="35091503"/>
    <w:rsid w:val="350FA1F7"/>
    <w:rsid w:val="3516DDB4"/>
    <w:rsid w:val="35173EDB"/>
    <w:rsid w:val="35174605"/>
    <w:rsid w:val="351F3732"/>
    <w:rsid w:val="3526A8CD"/>
    <w:rsid w:val="3533E53C"/>
    <w:rsid w:val="353D3705"/>
    <w:rsid w:val="353EF259"/>
    <w:rsid w:val="3543BFE7"/>
    <w:rsid w:val="3549A05B"/>
    <w:rsid w:val="355514D9"/>
    <w:rsid w:val="355D4922"/>
    <w:rsid w:val="3562571C"/>
    <w:rsid w:val="35651E06"/>
    <w:rsid w:val="35732AE5"/>
    <w:rsid w:val="357734BD"/>
    <w:rsid w:val="35778F54"/>
    <w:rsid w:val="357D5EE5"/>
    <w:rsid w:val="3582A364"/>
    <w:rsid w:val="3582BD1C"/>
    <w:rsid w:val="358A0C8A"/>
    <w:rsid w:val="3593EAE2"/>
    <w:rsid w:val="3599D13B"/>
    <w:rsid w:val="3599FBD3"/>
    <w:rsid w:val="359B342E"/>
    <w:rsid w:val="35A8E1A2"/>
    <w:rsid w:val="35ABC9E4"/>
    <w:rsid w:val="35AC336A"/>
    <w:rsid w:val="35B47358"/>
    <w:rsid w:val="35BD2017"/>
    <w:rsid w:val="35BF5610"/>
    <w:rsid w:val="35C42A21"/>
    <w:rsid w:val="35C7408E"/>
    <w:rsid w:val="35C7EDFA"/>
    <w:rsid w:val="35C918E0"/>
    <w:rsid w:val="35CA4442"/>
    <w:rsid w:val="35CAB4E2"/>
    <w:rsid w:val="35D96C8B"/>
    <w:rsid w:val="35DDECDD"/>
    <w:rsid w:val="35DDFE53"/>
    <w:rsid w:val="35E330FB"/>
    <w:rsid w:val="35F6B204"/>
    <w:rsid w:val="35F6EF45"/>
    <w:rsid w:val="35FBDB9D"/>
    <w:rsid w:val="361A66A3"/>
    <w:rsid w:val="36211FB8"/>
    <w:rsid w:val="362298BC"/>
    <w:rsid w:val="362ADA6E"/>
    <w:rsid w:val="3636E548"/>
    <w:rsid w:val="363B7376"/>
    <w:rsid w:val="363B9E32"/>
    <w:rsid w:val="3649A41D"/>
    <w:rsid w:val="3653BAA7"/>
    <w:rsid w:val="36561A18"/>
    <w:rsid w:val="36586355"/>
    <w:rsid w:val="365A3E83"/>
    <w:rsid w:val="365E23B8"/>
    <w:rsid w:val="3681250E"/>
    <w:rsid w:val="36869759"/>
    <w:rsid w:val="368B3D4B"/>
    <w:rsid w:val="368EC7DF"/>
    <w:rsid w:val="3695346A"/>
    <w:rsid w:val="36A9FFDB"/>
    <w:rsid w:val="36C03D53"/>
    <w:rsid w:val="36C3A41B"/>
    <w:rsid w:val="36D004C6"/>
    <w:rsid w:val="36D03843"/>
    <w:rsid w:val="36D28BBA"/>
    <w:rsid w:val="36E1470B"/>
    <w:rsid w:val="36F4EE3E"/>
    <w:rsid w:val="36F981D4"/>
    <w:rsid w:val="36FABF63"/>
    <w:rsid w:val="3704A5CC"/>
    <w:rsid w:val="3705DCAB"/>
    <w:rsid w:val="37140AEB"/>
    <w:rsid w:val="37162E30"/>
    <w:rsid w:val="3717F568"/>
    <w:rsid w:val="3718D068"/>
    <w:rsid w:val="371D4D47"/>
    <w:rsid w:val="3725007A"/>
    <w:rsid w:val="3735E474"/>
    <w:rsid w:val="37430BE2"/>
    <w:rsid w:val="3743A810"/>
    <w:rsid w:val="37444D57"/>
    <w:rsid w:val="3747D4B8"/>
    <w:rsid w:val="3748CE05"/>
    <w:rsid w:val="3748EE0A"/>
    <w:rsid w:val="374A3234"/>
    <w:rsid w:val="3750BE71"/>
    <w:rsid w:val="375315A7"/>
    <w:rsid w:val="37531739"/>
    <w:rsid w:val="375455D9"/>
    <w:rsid w:val="3754E058"/>
    <w:rsid w:val="3754E196"/>
    <w:rsid w:val="3764577A"/>
    <w:rsid w:val="37665986"/>
    <w:rsid w:val="37688C98"/>
    <w:rsid w:val="376BB452"/>
    <w:rsid w:val="37712DDF"/>
    <w:rsid w:val="37750A98"/>
    <w:rsid w:val="37782BD1"/>
    <w:rsid w:val="3778B3F0"/>
    <w:rsid w:val="378EAF84"/>
    <w:rsid w:val="3794871D"/>
    <w:rsid w:val="37979101"/>
    <w:rsid w:val="3798A90E"/>
    <w:rsid w:val="379B1861"/>
    <w:rsid w:val="379F45E3"/>
    <w:rsid w:val="37A43932"/>
    <w:rsid w:val="37A62A67"/>
    <w:rsid w:val="37A76804"/>
    <w:rsid w:val="37B08F61"/>
    <w:rsid w:val="37C6FC0B"/>
    <w:rsid w:val="37CC851C"/>
    <w:rsid w:val="37CDC192"/>
    <w:rsid w:val="37D66495"/>
    <w:rsid w:val="37D924EE"/>
    <w:rsid w:val="37DF8B52"/>
    <w:rsid w:val="37EB6AD3"/>
    <w:rsid w:val="37F4BC5F"/>
    <w:rsid w:val="37FC00A7"/>
    <w:rsid w:val="38135C19"/>
    <w:rsid w:val="381B4260"/>
    <w:rsid w:val="3827849C"/>
    <w:rsid w:val="3828E408"/>
    <w:rsid w:val="383D4D48"/>
    <w:rsid w:val="385FF471"/>
    <w:rsid w:val="38608103"/>
    <w:rsid w:val="3863DB52"/>
    <w:rsid w:val="38817822"/>
    <w:rsid w:val="38842F1F"/>
    <w:rsid w:val="388604EE"/>
    <w:rsid w:val="388B0C42"/>
    <w:rsid w:val="388F46FE"/>
    <w:rsid w:val="3897DA8A"/>
    <w:rsid w:val="3899F7DE"/>
    <w:rsid w:val="389D775D"/>
    <w:rsid w:val="38A5C6E4"/>
    <w:rsid w:val="38BBD04D"/>
    <w:rsid w:val="38C1ED35"/>
    <w:rsid w:val="38C1FE9C"/>
    <w:rsid w:val="38CD4957"/>
    <w:rsid w:val="38CD52FB"/>
    <w:rsid w:val="38D37D59"/>
    <w:rsid w:val="38E08264"/>
    <w:rsid w:val="38E0E1F5"/>
    <w:rsid w:val="38E278B3"/>
    <w:rsid w:val="38F001CB"/>
    <w:rsid w:val="38F6E2B5"/>
    <w:rsid w:val="38F8EF3E"/>
    <w:rsid w:val="38FB4C5D"/>
    <w:rsid w:val="38FE1837"/>
    <w:rsid w:val="3905485A"/>
    <w:rsid w:val="39057A80"/>
    <w:rsid w:val="390D6C7C"/>
    <w:rsid w:val="39157ED7"/>
    <w:rsid w:val="39220836"/>
    <w:rsid w:val="39221AD6"/>
    <w:rsid w:val="3923C16B"/>
    <w:rsid w:val="392AEA2B"/>
    <w:rsid w:val="392E69C6"/>
    <w:rsid w:val="392F303C"/>
    <w:rsid w:val="393D139A"/>
    <w:rsid w:val="393F6C23"/>
    <w:rsid w:val="3940EE2D"/>
    <w:rsid w:val="3942CFB9"/>
    <w:rsid w:val="3945660C"/>
    <w:rsid w:val="3951263D"/>
    <w:rsid w:val="3956CA6E"/>
    <w:rsid w:val="39598630"/>
    <w:rsid w:val="395A06AD"/>
    <w:rsid w:val="395E0051"/>
    <w:rsid w:val="395E067C"/>
    <w:rsid w:val="3966940D"/>
    <w:rsid w:val="3966B206"/>
    <w:rsid w:val="396E8124"/>
    <w:rsid w:val="39737A2E"/>
    <w:rsid w:val="3973C2BE"/>
    <w:rsid w:val="39742AF5"/>
    <w:rsid w:val="397E2C74"/>
    <w:rsid w:val="39826612"/>
    <w:rsid w:val="39849E19"/>
    <w:rsid w:val="39867812"/>
    <w:rsid w:val="398AF296"/>
    <w:rsid w:val="39AA3263"/>
    <w:rsid w:val="39ACC5E7"/>
    <w:rsid w:val="39AFBC96"/>
    <w:rsid w:val="39BD8A42"/>
    <w:rsid w:val="39C04E29"/>
    <w:rsid w:val="39C55A09"/>
    <w:rsid w:val="39D0155D"/>
    <w:rsid w:val="39D434D5"/>
    <w:rsid w:val="39D5F2CA"/>
    <w:rsid w:val="39DF0C6C"/>
    <w:rsid w:val="39E00206"/>
    <w:rsid w:val="39EBA5D9"/>
    <w:rsid w:val="39EFBC9E"/>
    <w:rsid w:val="39F499D6"/>
    <w:rsid w:val="3A004DDC"/>
    <w:rsid w:val="3A063B8A"/>
    <w:rsid w:val="3A0B21AD"/>
    <w:rsid w:val="3A0C3D46"/>
    <w:rsid w:val="3A14AAF5"/>
    <w:rsid w:val="3A2A02AD"/>
    <w:rsid w:val="3A2AAEC9"/>
    <w:rsid w:val="3A2BBC86"/>
    <w:rsid w:val="3A3025EF"/>
    <w:rsid w:val="3A3575FE"/>
    <w:rsid w:val="3A367E14"/>
    <w:rsid w:val="3A3A4F1E"/>
    <w:rsid w:val="3A43B833"/>
    <w:rsid w:val="3A4E3BBB"/>
    <w:rsid w:val="3A4F5721"/>
    <w:rsid w:val="3A565B68"/>
    <w:rsid w:val="3A5718CE"/>
    <w:rsid w:val="3A5A3BE1"/>
    <w:rsid w:val="3A5CA13C"/>
    <w:rsid w:val="3A5D0148"/>
    <w:rsid w:val="3A5FA901"/>
    <w:rsid w:val="3A68B6CB"/>
    <w:rsid w:val="3A7EFCC4"/>
    <w:rsid w:val="3A83EA76"/>
    <w:rsid w:val="3A840D68"/>
    <w:rsid w:val="3A9509AC"/>
    <w:rsid w:val="3A977620"/>
    <w:rsid w:val="3A99C9F8"/>
    <w:rsid w:val="3A9B8848"/>
    <w:rsid w:val="3AA21FC8"/>
    <w:rsid w:val="3AACEA97"/>
    <w:rsid w:val="3AAFBA8F"/>
    <w:rsid w:val="3AAFC4B7"/>
    <w:rsid w:val="3AB6D2D0"/>
    <w:rsid w:val="3AB749C3"/>
    <w:rsid w:val="3ACCB67E"/>
    <w:rsid w:val="3AD300F8"/>
    <w:rsid w:val="3AE7D406"/>
    <w:rsid w:val="3B106915"/>
    <w:rsid w:val="3B1247A2"/>
    <w:rsid w:val="3B13EF9E"/>
    <w:rsid w:val="3B14587A"/>
    <w:rsid w:val="3B1AB239"/>
    <w:rsid w:val="3B1DABF5"/>
    <w:rsid w:val="3B283DBF"/>
    <w:rsid w:val="3B30452F"/>
    <w:rsid w:val="3B37CA41"/>
    <w:rsid w:val="3B39F935"/>
    <w:rsid w:val="3B39FD69"/>
    <w:rsid w:val="3B41D5B8"/>
    <w:rsid w:val="3B4CB046"/>
    <w:rsid w:val="3B4E1B93"/>
    <w:rsid w:val="3B594BAC"/>
    <w:rsid w:val="3B5AB1EB"/>
    <w:rsid w:val="3B607653"/>
    <w:rsid w:val="3B612C97"/>
    <w:rsid w:val="3B65BBF6"/>
    <w:rsid w:val="3B6EB724"/>
    <w:rsid w:val="3B7FB98E"/>
    <w:rsid w:val="3B810C11"/>
    <w:rsid w:val="3B8AE994"/>
    <w:rsid w:val="3B8D9079"/>
    <w:rsid w:val="3B9A229D"/>
    <w:rsid w:val="3B9E2792"/>
    <w:rsid w:val="3BA57EF3"/>
    <w:rsid w:val="3BA6A146"/>
    <w:rsid w:val="3BA7047A"/>
    <w:rsid w:val="3BC0BC9B"/>
    <w:rsid w:val="3BC72C08"/>
    <w:rsid w:val="3BC90354"/>
    <w:rsid w:val="3BC92CB8"/>
    <w:rsid w:val="3BCD97B4"/>
    <w:rsid w:val="3BD1BBAD"/>
    <w:rsid w:val="3BDEBFCB"/>
    <w:rsid w:val="3BE57870"/>
    <w:rsid w:val="3BEA0403"/>
    <w:rsid w:val="3BF667E5"/>
    <w:rsid w:val="3BFD0815"/>
    <w:rsid w:val="3C010F41"/>
    <w:rsid w:val="3C01F15A"/>
    <w:rsid w:val="3C047AFA"/>
    <w:rsid w:val="3C09D7A1"/>
    <w:rsid w:val="3C0E9B99"/>
    <w:rsid w:val="3C17CE4F"/>
    <w:rsid w:val="3C1B90CF"/>
    <w:rsid w:val="3C1E6801"/>
    <w:rsid w:val="3C231C0A"/>
    <w:rsid w:val="3C27C6FC"/>
    <w:rsid w:val="3C3DE77B"/>
    <w:rsid w:val="3C3F888A"/>
    <w:rsid w:val="3C42AF54"/>
    <w:rsid w:val="3C4D4316"/>
    <w:rsid w:val="3C50A3D4"/>
    <w:rsid w:val="3C606B3D"/>
    <w:rsid w:val="3C6B91AE"/>
    <w:rsid w:val="3C7F4C36"/>
    <w:rsid w:val="3C80C038"/>
    <w:rsid w:val="3C96B916"/>
    <w:rsid w:val="3C9F8828"/>
    <w:rsid w:val="3CA60148"/>
    <w:rsid w:val="3CA88DCC"/>
    <w:rsid w:val="3CB4591C"/>
    <w:rsid w:val="3CB88384"/>
    <w:rsid w:val="3CB95867"/>
    <w:rsid w:val="3CB95EE2"/>
    <w:rsid w:val="3CBC2784"/>
    <w:rsid w:val="3CC18FF7"/>
    <w:rsid w:val="3CC273BC"/>
    <w:rsid w:val="3CC5B109"/>
    <w:rsid w:val="3CC644C7"/>
    <w:rsid w:val="3CCC58E3"/>
    <w:rsid w:val="3CD175D0"/>
    <w:rsid w:val="3CD3495F"/>
    <w:rsid w:val="3CD6D62E"/>
    <w:rsid w:val="3CD7604B"/>
    <w:rsid w:val="3CDCE8DD"/>
    <w:rsid w:val="3CDF1E0A"/>
    <w:rsid w:val="3CE348A6"/>
    <w:rsid w:val="3CF9AEB9"/>
    <w:rsid w:val="3CFC2043"/>
    <w:rsid w:val="3CFC8708"/>
    <w:rsid w:val="3CFF3806"/>
    <w:rsid w:val="3CFF5CED"/>
    <w:rsid w:val="3D069ED5"/>
    <w:rsid w:val="3D0AE694"/>
    <w:rsid w:val="3D0BCF3C"/>
    <w:rsid w:val="3D0D6F41"/>
    <w:rsid w:val="3D22DB2A"/>
    <w:rsid w:val="3D293179"/>
    <w:rsid w:val="3D33D813"/>
    <w:rsid w:val="3D374107"/>
    <w:rsid w:val="3D376465"/>
    <w:rsid w:val="3D3DCF6F"/>
    <w:rsid w:val="3D3DFE9C"/>
    <w:rsid w:val="3D3EC63F"/>
    <w:rsid w:val="3D601838"/>
    <w:rsid w:val="3D68D337"/>
    <w:rsid w:val="3D6E157F"/>
    <w:rsid w:val="3D78BA04"/>
    <w:rsid w:val="3D792DEE"/>
    <w:rsid w:val="3D7A18D4"/>
    <w:rsid w:val="3D7C49B3"/>
    <w:rsid w:val="3D7D6AB2"/>
    <w:rsid w:val="3D8C3628"/>
    <w:rsid w:val="3D8FA34E"/>
    <w:rsid w:val="3D99189F"/>
    <w:rsid w:val="3DA765C0"/>
    <w:rsid w:val="3DA7A57C"/>
    <w:rsid w:val="3DAB69A1"/>
    <w:rsid w:val="3DABF6AA"/>
    <w:rsid w:val="3DB7E038"/>
    <w:rsid w:val="3DB844E6"/>
    <w:rsid w:val="3DBA9F99"/>
    <w:rsid w:val="3DC1D9C1"/>
    <w:rsid w:val="3DC23BF0"/>
    <w:rsid w:val="3DC7D17A"/>
    <w:rsid w:val="3DCB84C9"/>
    <w:rsid w:val="3DD11FE6"/>
    <w:rsid w:val="3DD83C12"/>
    <w:rsid w:val="3DDBEB84"/>
    <w:rsid w:val="3DE19422"/>
    <w:rsid w:val="3DE21D3B"/>
    <w:rsid w:val="3DF28C81"/>
    <w:rsid w:val="3DF31D46"/>
    <w:rsid w:val="3DFCC848"/>
    <w:rsid w:val="3DFDF479"/>
    <w:rsid w:val="3E01C894"/>
    <w:rsid w:val="3E0AC223"/>
    <w:rsid w:val="3E0D2C5F"/>
    <w:rsid w:val="3E0E8CB9"/>
    <w:rsid w:val="3E301C1C"/>
    <w:rsid w:val="3E374618"/>
    <w:rsid w:val="3E3760F9"/>
    <w:rsid w:val="3E3D5BCD"/>
    <w:rsid w:val="3E59542A"/>
    <w:rsid w:val="3E602BA0"/>
    <w:rsid w:val="3E68FECC"/>
    <w:rsid w:val="3E6E0264"/>
    <w:rsid w:val="3E731109"/>
    <w:rsid w:val="3E7897D8"/>
    <w:rsid w:val="3E7A68F9"/>
    <w:rsid w:val="3E845458"/>
    <w:rsid w:val="3E8A815A"/>
    <w:rsid w:val="3E8ACFEC"/>
    <w:rsid w:val="3E978411"/>
    <w:rsid w:val="3E9ACFCB"/>
    <w:rsid w:val="3EB8BE74"/>
    <w:rsid w:val="3EBB9CF4"/>
    <w:rsid w:val="3EBEB60A"/>
    <w:rsid w:val="3ECE9A5E"/>
    <w:rsid w:val="3ED31168"/>
    <w:rsid w:val="3ED367C6"/>
    <w:rsid w:val="3EDD72C4"/>
    <w:rsid w:val="3EDEA0EE"/>
    <w:rsid w:val="3EE3FD13"/>
    <w:rsid w:val="3EE6A61B"/>
    <w:rsid w:val="3EE6E98B"/>
    <w:rsid w:val="3EF752A7"/>
    <w:rsid w:val="3F00A792"/>
    <w:rsid w:val="3F0A7D91"/>
    <w:rsid w:val="3F0D1DFD"/>
    <w:rsid w:val="3F0F88F6"/>
    <w:rsid w:val="3F174DBE"/>
    <w:rsid w:val="3F1A050D"/>
    <w:rsid w:val="3F1F66E4"/>
    <w:rsid w:val="3F1F6804"/>
    <w:rsid w:val="3F2D491E"/>
    <w:rsid w:val="3F360B75"/>
    <w:rsid w:val="3F3BD37D"/>
    <w:rsid w:val="3F3D0A4A"/>
    <w:rsid w:val="3F4108C8"/>
    <w:rsid w:val="3F44ADD4"/>
    <w:rsid w:val="3F4697D7"/>
    <w:rsid w:val="3F47E1A2"/>
    <w:rsid w:val="3F48A2B4"/>
    <w:rsid w:val="3F492458"/>
    <w:rsid w:val="3F59BAB9"/>
    <w:rsid w:val="3F605428"/>
    <w:rsid w:val="3F690CAB"/>
    <w:rsid w:val="3F760AB3"/>
    <w:rsid w:val="3F804B24"/>
    <w:rsid w:val="3F8B042A"/>
    <w:rsid w:val="3F8D25E0"/>
    <w:rsid w:val="3FAA5D1A"/>
    <w:rsid w:val="3FB255E0"/>
    <w:rsid w:val="3FB78B32"/>
    <w:rsid w:val="3FC2953D"/>
    <w:rsid w:val="3FC74ED1"/>
    <w:rsid w:val="3FD2B920"/>
    <w:rsid w:val="3FDA2F20"/>
    <w:rsid w:val="3FDC96CC"/>
    <w:rsid w:val="3FF0F14D"/>
    <w:rsid w:val="3FF2ABC2"/>
    <w:rsid w:val="40025544"/>
    <w:rsid w:val="40034433"/>
    <w:rsid w:val="4006A9E8"/>
    <w:rsid w:val="4007BFE4"/>
    <w:rsid w:val="40141326"/>
    <w:rsid w:val="401821A7"/>
    <w:rsid w:val="40198A24"/>
    <w:rsid w:val="4027A5F3"/>
    <w:rsid w:val="402BBB47"/>
    <w:rsid w:val="402ED4BD"/>
    <w:rsid w:val="402FE77B"/>
    <w:rsid w:val="403289BE"/>
    <w:rsid w:val="4035B5BE"/>
    <w:rsid w:val="4035C008"/>
    <w:rsid w:val="403A2282"/>
    <w:rsid w:val="4044609C"/>
    <w:rsid w:val="4046FF62"/>
    <w:rsid w:val="404C0CF8"/>
    <w:rsid w:val="404D06F1"/>
    <w:rsid w:val="404E0E56"/>
    <w:rsid w:val="40515EDA"/>
    <w:rsid w:val="40523EEF"/>
    <w:rsid w:val="405434CB"/>
    <w:rsid w:val="405A7F52"/>
    <w:rsid w:val="405C27B3"/>
    <w:rsid w:val="405F0B8A"/>
    <w:rsid w:val="4061977C"/>
    <w:rsid w:val="4065B840"/>
    <w:rsid w:val="406ACDB7"/>
    <w:rsid w:val="40730B09"/>
    <w:rsid w:val="407F5C87"/>
    <w:rsid w:val="4082981D"/>
    <w:rsid w:val="4082C207"/>
    <w:rsid w:val="4084F7B0"/>
    <w:rsid w:val="408C8A07"/>
    <w:rsid w:val="4097B162"/>
    <w:rsid w:val="4099E9A1"/>
    <w:rsid w:val="409AFD94"/>
    <w:rsid w:val="409F5A80"/>
    <w:rsid w:val="40A33404"/>
    <w:rsid w:val="40A48488"/>
    <w:rsid w:val="40A7048A"/>
    <w:rsid w:val="40ACFF90"/>
    <w:rsid w:val="40BCBD04"/>
    <w:rsid w:val="40C67B14"/>
    <w:rsid w:val="40D628E3"/>
    <w:rsid w:val="40D63BE0"/>
    <w:rsid w:val="40D80248"/>
    <w:rsid w:val="40D91070"/>
    <w:rsid w:val="40D9B52E"/>
    <w:rsid w:val="40DAF463"/>
    <w:rsid w:val="40DE6830"/>
    <w:rsid w:val="40E1F39F"/>
    <w:rsid w:val="40EE09B4"/>
    <w:rsid w:val="40F02A66"/>
    <w:rsid w:val="4106A03B"/>
    <w:rsid w:val="410C4FC4"/>
    <w:rsid w:val="411C59E4"/>
    <w:rsid w:val="411D47E4"/>
    <w:rsid w:val="4124D0FC"/>
    <w:rsid w:val="41299747"/>
    <w:rsid w:val="412B1F0E"/>
    <w:rsid w:val="41336698"/>
    <w:rsid w:val="4134F2A4"/>
    <w:rsid w:val="4138A6AA"/>
    <w:rsid w:val="4140ACC4"/>
    <w:rsid w:val="4148C0D6"/>
    <w:rsid w:val="41686806"/>
    <w:rsid w:val="416C2E19"/>
    <w:rsid w:val="417A6F31"/>
    <w:rsid w:val="4186BC1A"/>
    <w:rsid w:val="418CEB4A"/>
    <w:rsid w:val="418D728B"/>
    <w:rsid w:val="41948A09"/>
    <w:rsid w:val="419786BB"/>
    <w:rsid w:val="41983237"/>
    <w:rsid w:val="41AB23B3"/>
    <w:rsid w:val="41B0CD70"/>
    <w:rsid w:val="41B14DE8"/>
    <w:rsid w:val="41B6B77F"/>
    <w:rsid w:val="41C0CD5D"/>
    <w:rsid w:val="41C0D34F"/>
    <w:rsid w:val="41D7637A"/>
    <w:rsid w:val="41DB0180"/>
    <w:rsid w:val="41E92B24"/>
    <w:rsid w:val="41EBF9E4"/>
    <w:rsid w:val="41ED2F3B"/>
    <w:rsid w:val="41EEFB12"/>
    <w:rsid w:val="41F68825"/>
    <w:rsid w:val="41FBEC21"/>
    <w:rsid w:val="41FEF1EF"/>
    <w:rsid w:val="4203FE26"/>
    <w:rsid w:val="420405DF"/>
    <w:rsid w:val="4217F93E"/>
    <w:rsid w:val="421AA775"/>
    <w:rsid w:val="42227196"/>
    <w:rsid w:val="42240A3A"/>
    <w:rsid w:val="4234DB12"/>
    <w:rsid w:val="42374246"/>
    <w:rsid w:val="4238C6F5"/>
    <w:rsid w:val="424C0135"/>
    <w:rsid w:val="4252A49E"/>
    <w:rsid w:val="425A89A7"/>
    <w:rsid w:val="425C37D1"/>
    <w:rsid w:val="425CD014"/>
    <w:rsid w:val="42696228"/>
    <w:rsid w:val="42764F00"/>
    <w:rsid w:val="427F05F2"/>
    <w:rsid w:val="429426B8"/>
    <w:rsid w:val="4299A0C6"/>
    <w:rsid w:val="42AAF333"/>
    <w:rsid w:val="42B1D0B4"/>
    <w:rsid w:val="42B5ACDD"/>
    <w:rsid w:val="42B624C8"/>
    <w:rsid w:val="42C020FD"/>
    <w:rsid w:val="42DE3073"/>
    <w:rsid w:val="42E9EC1E"/>
    <w:rsid w:val="42FE751D"/>
    <w:rsid w:val="43018A3D"/>
    <w:rsid w:val="4309DC06"/>
    <w:rsid w:val="430AC3FB"/>
    <w:rsid w:val="430C8DC0"/>
    <w:rsid w:val="431AEF80"/>
    <w:rsid w:val="431D14F7"/>
    <w:rsid w:val="4320AA27"/>
    <w:rsid w:val="4327C842"/>
    <w:rsid w:val="432A25FD"/>
    <w:rsid w:val="4334CE1C"/>
    <w:rsid w:val="4339B151"/>
    <w:rsid w:val="433BE310"/>
    <w:rsid w:val="4340529B"/>
    <w:rsid w:val="4343078E"/>
    <w:rsid w:val="43452AFC"/>
    <w:rsid w:val="434B61CC"/>
    <w:rsid w:val="434F423A"/>
    <w:rsid w:val="43567FA4"/>
    <w:rsid w:val="435CDC68"/>
    <w:rsid w:val="4360173A"/>
    <w:rsid w:val="4366757F"/>
    <w:rsid w:val="4367E558"/>
    <w:rsid w:val="437404A0"/>
    <w:rsid w:val="437D6264"/>
    <w:rsid w:val="4380D93C"/>
    <w:rsid w:val="43811E47"/>
    <w:rsid w:val="438D4D60"/>
    <w:rsid w:val="43907C61"/>
    <w:rsid w:val="4390814B"/>
    <w:rsid w:val="4399E51D"/>
    <w:rsid w:val="439DAF8B"/>
    <w:rsid w:val="43A5D600"/>
    <w:rsid w:val="43B248A2"/>
    <w:rsid w:val="43D012FA"/>
    <w:rsid w:val="43D2250F"/>
    <w:rsid w:val="43D705F2"/>
    <w:rsid w:val="43DAD4C6"/>
    <w:rsid w:val="43F27844"/>
    <w:rsid w:val="43F3A3CB"/>
    <w:rsid w:val="44009F02"/>
    <w:rsid w:val="44023B7E"/>
    <w:rsid w:val="440B54DA"/>
    <w:rsid w:val="4414E25A"/>
    <w:rsid w:val="44248532"/>
    <w:rsid w:val="4426DD93"/>
    <w:rsid w:val="4434BE82"/>
    <w:rsid w:val="4442DAFD"/>
    <w:rsid w:val="44442276"/>
    <w:rsid w:val="4447E4C0"/>
    <w:rsid w:val="444C616E"/>
    <w:rsid w:val="444FDE73"/>
    <w:rsid w:val="4451CD52"/>
    <w:rsid w:val="44605E6E"/>
    <w:rsid w:val="4466D8C4"/>
    <w:rsid w:val="446894BC"/>
    <w:rsid w:val="4474FEE4"/>
    <w:rsid w:val="4479B9D6"/>
    <w:rsid w:val="4484224C"/>
    <w:rsid w:val="44874310"/>
    <w:rsid w:val="44885E50"/>
    <w:rsid w:val="448B6B45"/>
    <w:rsid w:val="448FE361"/>
    <w:rsid w:val="44904706"/>
    <w:rsid w:val="4494596B"/>
    <w:rsid w:val="449A15C2"/>
    <w:rsid w:val="449B75A0"/>
    <w:rsid w:val="449E100B"/>
    <w:rsid w:val="44AA5EE7"/>
    <w:rsid w:val="44B4BB37"/>
    <w:rsid w:val="44B8F0A4"/>
    <w:rsid w:val="44C5A34A"/>
    <w:rsid w:val="44C64772"/>
    <w:rsid w:val="44D06CD9"/>
    <w:rsid w:val="44D72016"/>
    <w:rsid w:val="44DC4386"/>
    <w:rsid w:val="44E141E8"/>
    <w:rsid w:val="44E26C6E"/>
    <w:rsid w:val="44EE0D13"/>
    <w:rsid w:val="44FD0726"/>
    <w:rsid w:val="44FF822A"/>
    <w:rsid w:val="450245E0"/>
    <w:rsid w:val="450BA7A0"/>
    <w:rsid w:val="450C8BD0"/>
    <w:rsid w:val="450D7377"/>
    <w:rsid w:val="450DE516"/>
    <w:rsid w:val="450F97F5"/>
    <w:rsid w:val="451AFC81"/>
    <w:rsid w:val="451EC11A"/>
    <w:rsid w:val="453524BF"/>
    <w:rsid w:val="4535B57E"/>
    <w:rsid w:val="453DA826"/>
    <w:rsid w:val="453E5DDA"/>
    <w:rsid w:val="453F256C"/>
    <w:rsid w:val="45485C23"/>
    <w:rsid w:val="455D6AAE"/>
    <w:rsid w:val="45636C20"/>
    <w:rsid w:val="456E90E2"/>
    <w:rsid w:val="456F2567"/>
    <w:rsid w:val="457630E8"/>
    <w:rsid w:val="4577FB0F"/>
    <w:rsid w:val="457902E9"/>
    <w:rsid w:val="4582FF60"/>
    <w:rsid w:val="45849E03"/>
    <w:rsid w:val="4584B483"/>
    <w:rsid w:val="45887E7D"/>
    <w:rsid w:val="458AC179"/>
    <w:rsid w:val="45936AFB"/>
    <w:rsid w:val="459D908A"/>
    <w:rsid w:val="459FCDB3"/>
    <w:rsid w:val="45A31A88"/>
    <w:rsid w:val="45A432F8"/>
    <w:rsid w:val="45B31170"/>
    <w:rsid w:val="45B64D5A"/>
    <w:rsid w:val="45C1CBD2"/>
    <w:rsid w:val="45D9AE2D"/>
    <w:rsid w:val="45E9E1D0"/>
    <w:rsid w:val="46032B71"/>
    <w:rsid w:val="460CF873"/>
    <w:rsid w:val="4614D322"/>
    <w:rsid w:val="4618EC44"/>
    <w:rsid w:val="461A8BA5"/>
    <w:rsid w:val="461DD69C"/>
    <w:rsid w:val="462382D9"/>
    <w:rsid w:val="4624F0F0"/>
    <w:rsid w:val="462B1165"/>
    <w:rsid w:val="46375442"/>
    <w:rsid w:val="46394C86"/>
    <w:rsid w:val="4646C1AA"/>
    <w:rsid w:val="464ADF4B"/>
    <w:rsid w:val="464DB22B"/>
    <w:rsid w:val="466893D1"/>
    <w:rsid w:val="4669D3A8"/>
    <w:rsid w:val="46717C76"/>
    <w:rsid w:val="4674E48D"/>
    <w:rsid w:val="4675D727"/>
    <w:rsid w:val="46774B73"/>
    <w:rsid w:val="467820F0"/>
    <w:rsid w:val="467A7FE6"/>
    <w:rsid w:val="467B26B5"/>
    <w:rsid w:val="467E8EA5"/>
    <w:rsid w:val="468F9AB8"/>
    <w:rsid w:val="468FD520"/>
    <w:rsid w:val="469874EF"/>
    <w:rsid w:val="46A1CC84"/>
    <w:rsid w:val="46A44ADA"/>
    <w:rsid w:val="46A77801"/>
    <w:rsid w:val="46B8977D"/>
    <w:rsid w:val="46BCDE5A"/>
    <w:rsid w:val="46BEC936"/>
    <w:rsid w:val="46C16C07"/>
    <w:rsid w:val="46C5CBA7"/>
    <w:rsid w:val="46C75359"/>
    <w:rsid w:val="46CF0DF8"/>
    <w:rsid w:val="46D90603"/>
    <w:rsid w:val="46DE6FFB"/>
    <w:rsid w:val="46E22E3B"/>
    <w:rsid w:val="46EBAB77"/>
    <w:rsid w:val="46F7BB0D"/>
    <w:rsid w:val="46F8A7EA"/>
    <w:rsid w:val="46FCD5FC"/>
    <w:rsid w:val="46FD7309"/>
    <w:rsid w:val="46FD81F3"/>
    <w:rsid w:val="470000BA"/>
    <w:rsid w:val="47000166"/>
    <w:rsid w:val="4708BE28"/>
    <w:rsid w:val="470974E1"/>
    <w:rsid w:val="470AD44B"/>
    <w:rsid w:val="4717ADAF"/>
    <w:rsid w:val="47184B7C"/>
    <w:rsid w:val="47263458"/>
    <w:rsid w:val="4726A2C7"/>
    <w:rsid w:val="4727F090"/>
    <w:rsid w:val="4731844E"/>
    <w:rsid w:val="47429BDA"/>
    <w:rsid w:val="47449EB5"/>
    <w:rsid w:val="4745E14B"/>
    <w:rsid w:val="474743FB"/>
    <w:rsid w:val="47489664"/>
    <w:rsid w:val="474C1CA8"/>
    <w:rsid w:val="4750F1C8"/>
    <w:rsid w:val="47539999"/>
    <w:rsid w:val="4754CD01"/>
    <w:rsid w:val="4755427F"/>
    <w:rsid w:val="4761721F"/>
    <w:rsid w:val="47635C38"/>
    <w:rsid w:val="476E213D"/>
    <w:rsid w:val="47703EE5"/>
    <w:rsid w:val="47708E37"/>
    <w:rsid w:val="4775ED04"/>
    <w:rsid w:val="47992A4A"/>
    <w:rsid w:val="479E66DB"/>
    <w:rsid w:val="479E7986"/>
    <w:rsid w:val="47A11265"/>
    <w:rsid w:val="47A2EB53"/>
    <w:rsid w:val="47A6A9A3"/>
    <w:rsid w:val="47B25F80"/>
    <w:rsid w:val="47B290EC"/>
    <w:rsid w:val="47B8DDFD"/>
    <w:rsid w:val="47DE8E67"/>
    <w:rsid w:val="47E410BE"/>
    <w:rsid w:val="47E92909"/>
    <w:rsid w:val="47EDC750"/>
    <w:rsid w:val="47EFBDB6"/>
    <w:rsid w:val="47F17430"/>
    <w:rsid w:val="47F50A4E"/>
    <w:rsid w:val="4800CAF2"/>
    <w:rsid w:val="48016359"/>
    <w:rsid w:val="480AC52B"/>
    <w:rsid w:val="481122C3"/>
    <w:rsid w:val="481163F4"/>
    <w:rsid w:val="4814DA48"/>
    <w:rsid w:val="48290232"/>
    <w:rsid w:val="482E00C1"/>
    <w:rsid w:val="48309516"/>
    <w:rsid w:val="4839392F"/>
    <w:rsid w:val="4842086F"/>
    <w:rsid w:val="4846382B"/>
    <w:rsid w:val="484D1058"/>
    <w:rsid w:val="4853F6E7"/>
    <w:rsid w:val="48555090"/>
    <w:rsid w:val="4855DF62"/>
    <w:rsid w:val="485E6304"/>
    <w:rsid w:val="485E7C8B"/>
    <w:rsid w:val="48718ED6"/>
    <w:rsid w:val="48720F6F"/>
    <w:rsid w:val="487423FC"/>
    <w:rsid w:val="4874F537"/>
    <w:rsid w:val="487CDE17"/>
    <w:rsid w:val="4883005B"/>
    <w:rsid w:val="48846F89"/>
    <w:rsid w:val="489AF086"/>
    <w:rsid w:val="489C6C47"/>
    <w:rsid w:val="48A7935E"/>
    <w:rsid w:val="48B25D18"/>
    <w:rsid w:val="48C8E682"/>
    <w:rsid w:val="48D60D26"/>
    <w:rsid w:val="48E2AC79"/>
    <w:rsid w:val="48E73AA5"/>
    <w:rsid w:val="48F0C498"/>
    <w:rsid w:val="48F1E5A1"/>
    <w:rsid w:val="48F31931"/>
    <w:rsid w:val="48F7E1CB"/>
    <w:rsid w:val="48FEA31C"/>
    <w:rsid w:val="49108372"/>
    <w:rsid w:val="4912E19E"/>
    <w:rsid w:val="49131162"/>
    <w:rsid w:val="491DDA88"/>
    <w:rsid w:val="491DF8A2"/>
    <w:rsid w:val="491E6F6C"/>
    <w:rsid w:val="4921FAFA"/>
    <w:rsid w:val="4949C907"/>
    <w:rsid w:val="494BDBCE"/>
    <w:rsid w:val="495158C9"/>
    <w:rsid w:val="4958F51E"/>
    <w:rsid w:val="4967EF85"/>
    <w:rsid w:val="496BADF0"/>
    <w:rsid w:val="496E9D86"/>
    <w:rsid w:val="4975F233"/>
    <w:rsid w:val="4989F605"/>
    <w:rsid w:val="498B5EDF"/>
    <w:rsid w:val="498E5EA6"/>
    <w:rsid w:val="49964438"/>
    <w:rsid w:val="49A17AF3"/>
    <w:rsid w:val="49B1B8F5"/>
    <w:rsid w:val="49B9704A"/>
    <w:rsid w:val="49C2F8CC"/>
    <w:rsid w:val="49C5B8E8"/>
    <w:rsid w:val="49C6B65E"/>
    <w:rsid w:val="49C6BBCE"/>
    <w:rsid w:val="49D140C4"/>
    <w:rsid w:val="49D374A9"/>
    <w:rsid w:val="49D7E4CB"/>
    <w:rsid w:val="49DF18C3"/>
    <w:rsid w:val="49E5A4A3"/>
    <w:rsid w:val="49EF6D9C"/>
    <w:rsid w:val="49F36CC6"/>
    <w:rsid w:val="49FAB56D"/>
    <w:rsid w:val="49FC1BF3"/>
    <w:rsid w:val="4A03DADF"/>
    <w:rsid w:val="4A05975C"/>
    <w:rsid w:val="4A123876"/>
    <w:rsid w:val="4A124739"/>
    <w:rsid w:val="4A136E3A"/>
    <w:rsid w:val="4A19C33D"/>
    <w:rsid w:val="4A1C2EE8"/>
    <w:rsid w:val="4A2F1DE2"/>
    <w:rsid w:val="4A3075B2"/>
    <w:rsid w:val="4A3440E5"/>
    <w:rsid w:val="4A4C9368"/>
    <w:rsid w:val="4A5F4555"/>
    <w:rsid w:val="4A7443B6"/>
    <w:rsid w:val="4A763304"/>
    <w:rsid w:val="4A7B35E9"/>
    <w:rsid w:val="4A7CDCA7"/>
    <w:rsid w:val="4A819969"/>
    <w:rsid w:val="4A83A54D"/>
    <w:rsid w:val="4A85423D"/>
    <w:rsid w:val="4A8A6F47"/>
    <w:rsid w:val="4A900979"/>
    <w:rsid w:val="4A966CE2"/>
    <w:rsid w:val="4A9A2E3E"/>
    <w:rsid w:val="4A9C53F5"/>
    <w:rsid w:val="4AA982D4"/>
    <w:rsid w:val="4AB3395C"/>
    <w:rsid w:val="4ABFE4BC"/>
    <w:rsid w:val="4AC05463"/>
    <w:rsid w:val="4AC6F418"/>
    <w:rsid w:val="4AC6FB10"/>
    <w:rsid w:val="4AD1D8FB"/>
    <w:rsid w:val="4ADE0F61"/>
    <w:rsid w:val="4ADE1AD8"/>
    <w:rsid w:val="4ADF37CF"/>
    <w:rsid w:val="4AE8A3DC"/>
    <w:rsid w:val="4AEC632F"/>
    <w:rsid w:val="4AED38AF"/>
    <w:rsid w:val="4AEDBC0D"/>
    <w:rsid w:val="4AF6581F"/>
    <w:rsid w:val="4AFBA4D5"/>
    <w:rsid w:val="4B12FDC9"/>
    <w:rsid w:val="4B17859A"/>
    <w:rsid w:val="4B1FC453"/>
    <w:rsid w:val="4B202B3C"/>
    <w:rsid w:val="4B223E75"/>
    <w:rsid w:val="4B22F4CC"/>
    <w:rsid w:val="4B272F40"/>
    <w:rsid w:val="4B2BEE31"/>
    <w:rsid w:val="4B346F3D"/>
    <w:rsid w:val="4B3AE06C"/>
    <w:rsid w:val="4B3D5DD1"/>
    <w:rsid w:val="4B40D42E"/>
    <w:rsid w:val="4B424E01"/>
    <w:rsid w:val="4B430730"/>
    <w:rsid w:val="4B4BA81C"/>
    <w:rsid w:val="4B50E53F"/>
    <w:rsid w:val="4B59AAED"/>
    <w:rsid w:val="4B5DE37E"/>
    <w:rsid w:val="4B5F1686"/>
    <w:rsid w:val="4B60E250"/>
    <w:rsid w:val="4B61FF5E"/>
    <w:rsid w:val="4B65AEB0"/>
    <w:rsid w:val="4B694C38"/>
    <w:rsid w:val="4B6CB80D"/>
    <w:rsid w:val="4B6ED1F5"/>
    <w:rsid w:val="4B757AE0"/>
    <w:rsid w:val="4B75F05E"/>
    <w:rsid w:val="4B771E64"/>
    <w:rsid w:val="4B7E1534"/>
    <w:rsid w:val="4B7F7B0D"/>
    <w:rsid w:val="4B84688D"/>
    <w:rsid w:val="4B868CA3"/>
    <w:rsid w:val="4B885670"/>
    <w:rsid w:val="4B8988C3"/>
    <w:rsid w:val="4B95DD58"/>
    <w:rsid w:val="4B988E43"/>
    <w:rsid w:val="4B9C164A"/>
    <w:rsid w:val="4BB0FC80"/>
    <w:rsid w:val="4BB23CAE"/>
    <w:rsid w:val="4BB79080"/>
    <w:rsid w:val="4BC10DC0"/>
    <w:rsid w:val="4BC191C6"/>
    <w:rsid w:val="4BC3DBD3"/>
    <w:rsid w:val="4BC4FFA7"/>
    <w:rsid w:val="4BCBB655"/>
    <w:rsid w:val="4BCD6017"/>
    <w:rsid w:val="4BE75149"/>
    <w:rsid w:val="4BEA466E"/>
    <w:rsid w:val="4BEBAB15"/>
    <w:rsid w:val="4BEE7490"/>
    <w:rsid w:val="4BF1A61A"/>
    <w:rsid w:val="4BF26082"/>
    <w:rsid w:val="4BF5203E"/>
    <w:rsid w:val="4BF73533"/>
    <w:rsid w:val="4BFEE7E4"/>
    <w:rsid w:val="4C0EABA4"/>
    <w:rsid w:val="4C0EB74E"/>
    <w:rsid w:val="4C1741C2"/>
    <w:rsid w:val="4C1881A2"/>
    <w:rsid w:val="4C1BC5F2"/>
    <w:rsid w:val="4C1E8CC7"/>
    <w:rsid w:val="4C223A46"/>
    <w:rsid w:val="4C2B93F9"/>
    <w:rsid w:val="4C308A18"/>
    <w:rsid w:val="4C30F422"/>
    <w:rsid w:val="4C30F50E"/>
    <w:rsid w:val="4C330EE6"/>
    <w:rsid w:val="4C344322"/>
    <w:rsid w:val="4C3A25CF"/>
    <w:rsid w:val="4C448F47"/>
    <w:rsid w:val="4C457E3C"/>
    <w:rsid w:val="4C4BC36E"/>
    <w:rsid w:val="4C5F4EF4"/>
    <w:rsid w:val="4C60D384"/>
    <w:rsid w:val="4C68D5D1"/>
    <w:rsid w:val="4C6B2EE6"/>
    <w:rsid w:val="4C82B260"/>
    <w:rsid w:val="4C8B639D"/>
    <w:rsid w:val="4C8FEB0C"/>
    <w:rsid w:val="4C966FBA"/>
    <w:rsid w:val="4CA54729"/>
    <w:rsid w:val="4CB3CA3C"/>
    <w:rsid w:val="4CB4F81A"/>
    <w:rsid w:val="4CB64BF8"/>
    <w:rsid w:val="4CB7E145"/>
    <w:rsid w:val="4CC4B84E"/>
    <w:rsid w:val="4CD7F005"/>
    <w:rsid w:val="4CD9B039"/>
    <w:rsid w:val="4CDA08DC"/>
    <w:rsid w:val="4CE0B74F"/>
    <w:rsid w:val="4CEC698B"/>
    <w:rsid w:val="4CFE66E2"/>
    <w:rsid w:val="4D01BA82"/>
    <w:rsid w:val="4D07EBF7"/>
    <w:rsid w:val="4D0D2D84"/>
    <w:rsid w:val="4D148254"/>
    <w:rsid w:val="4D1BA63F"/>
    <w:rsid w:val="4D1BFDEF"/>
    <w:rsid w:val="4D235A80"/>
    <w:rsid w:val="4D262641"/>
    <w:rsid w:val="4D287AA4"/>
    <w:rsid w:val="4D2AFE77"/>
    <w:rsid w:val="4D346F31"/>
    <w:rsid w:val="4D3CF563"/>
    <w:rsid w:val="4D3EAB96"/>
    <w:rsid w:val="4D4176DA"/>
    <w:rsid w:val="4D41DC4B"/>
    <w:rsid w:val="4D456A75"/>
    <w:rsid w:val="4D4F9FAC"/>
    <w:rsid w:val="4D548AC2"/>
    <w:rsid w:val="4D555257"/>
    <w:rsid w:val="4D58BA80"/>
    <w:rsid w:val="4D58E80D"/>
    <w:rsid w:val="4D64116E"/>
    <w:rsid w:val="4D686A15"/>
    <w:rsid w:val="4D6F6AB4"/>
    <w:rsid w:val="4D7824FC"/>
    <w:rsid w:val="4D854A01"/>
    <w:rsid w:val="4D87B25E"/>
    <w:rsid w:val="4D8D184E"/>
    <w:rsid w:val="4D9C5824"/>
    <w:rsid w:val="4DA2641D"/>
    <w:rsid w:val="4DA9AA44"/>
    <w:rsid w:val="4DACFF02"/>
    <w:rsid w:val="4DAE2207"/>
    <w:rsid w:val="4DAF57F3"/>
    <w:rsid w:val="4DB70842"/>
    <w:rsid w:val="4DC1D797"/>
    <w:rsid w:val="4DC2993D"/>
    <w:rsid w:val="4DC7948E"/>
    <w:rsid w:val="4DCEDF47"/>
    <w:rsid w:val="4DD6553B"/>
    <w:rsid w:val="4DDAECDE"/>
    <w:rsid w:val="4DE4A495"/>
    <w:rsid w:val="4DEE25C9"/>
    <w:rsid w:val="4DFAA6E5"/>
    <w:rsid w:val="4E16066E"/>
    <w:rsid w:val="4E1A29A0"/>
    <w:rsid w:val="4E1A894D"/>
    <w:rsid w:val="4E1CC399"/>
    <w:rsid w:val="4E1CED18"/>
    <w:rsid w:val="4E2F4426"/>
    <w:rsid w:val="4E2FEB8F"/>
    <w:rsid w:val="4E3F75C7"/>
    <w:rsid w:val="4E43F98B"/>
    <w:rsid w:val="4E46DF4A"/>
    <w:rsid w:val="4E5043F1"/>
    <w:rsid w:val="4E5ADF95"/>
    <w:rsid w:val="4E602FD4"/>
    <w:rsid w:val="4E615228"/>
    <w:rsid w:val="4E68C0C8"/>
    <w:rsid w:val="4E7A488D"/>
    <w:rsid w:val="4E841CFC"/>
    <w:rsid w:val="4E971E94"/>
    <w:rsid w:val="4E98C220"/>
    <w:rsid w:val="4EADFA13"/>
    <w:rsid w:val="4EB289E6"/>
    <w:rsid w:val="4EB3E8E9"/>
    <w:rsid w:val="4EB45342"/>
    <w:rsid w:val="4EBAD722"/>
    <w:rsid w:val="4EBDF272"/>
    <w:rsid w:val="4EC89450"/>
    <w:rsid w:val="4EC9523D"/>
    <w:rsid w:val="4ECBBBD8"/>
    <w:rsid w:val="4EE6E4EF"/>
    <w:rsid w:val="4EE7564C"/>
    <w:rsid w:val="4EE91BAB"/>
    <w:rsid w:val="4EEE692A"/>
    <w:rsid w:val="4EF122B8"/>
    <w:rsid w:val="4EF2C146"/>
    <w:rsid w:val="4EF2DCAC"/>
    <w:rsid w:val="4EF7E3FF"/>
    <w:rsid w:val="4EFFFE82"/>
    <w:rsid w:val="4F0146D9"/>
    <w:rsid w:val="4F017DFD"/>
    <w:rsid w:val="4F0524C7"/>
    <w:rsid w:val="4F08C065"/>
    <w:rsid w:val="4F0F175C"/>
    <w:rsid w:val="4F102836"/>
    <w:rsid w:val="4F10D8F4"/>
    <w:rsid w:val="4F11EF37"/>
    <w:rsid w:val="4F1207DD"/>
    <w:rsid w:val="4F25203D"/>
    <w:rsid w:val="4F28BF94"/>
    <w:rsid w:val="4F2A4AF9"/>
    <w:rsid w:val="4F2F10B3"/>
    <w:rsid w:val="4F45AA12"/>
    <w:rsid w:val="4F477716"/>
    <w:rsid w:val="4F49FCCE"/>
    <w:rsid w:val="4F4C6CE8"/>
    <w:rsid w:val="4F4D706D"/>
    <w:rsid w:val="4F4D929D"/>
    <w:rsid w:val="4F51EB0B"/>
    <w:rsid w:val="4F537C4A"/>
    <w:rsid w:val="4F5456C0"/>
    <w:rsid w:val="4F560187"/>
    <w:rsid w:val="4F599A78"/>
    <w:rsid w:val="4F669417"/>
    <w:rsid w:val="4F66F663"/>
    <w:rsid w:val="4F68CF4E"/>
    <w:rsid w:val="4F6C097C"/>
    <w:rsid w:val="4F82DA72"/>
    <w:rsid w:val="4F84E3DA"/>
    <w:rsid w:val="4F88EB32"/>
    <w:rsid w:val="4F93750D"/>
    <w:rsid w:val="4FA80CE9"/>
    <w:rsid w:val="4FA84D98"/>
    <w:rsid w:val="4FAD9930"/>
    <w:rsid w:val="4FB260BC"/>
    <w:rsid w:val="4FB36912"/>
    <w:rsid w:val="4FB44A3B"/>
    <w:rsid w:val="4FB9F570"/>
    <w:rsid w:val="4FC219E7"/>
    <w:rsid w:val="4FC9EC62"/>
    <w:rsid w:val="4FD032B7"/>
    <w:rsid w:val="4FD5832F"/>
    <w:rsid w:val="4FD7F7E4"/>
    <w:rsid w:val="4FDB549C"/>
    <w:rsid w:val="4FDBA2D8"/>
    <w:rsid w:val="4FDEDE18"/>
    <w:rsid w:val="4FEF3852"/>
    <w:rsid w:val="4FF6168F"/>
    <w:rsid w:val="4FFB1D08"/>
    <w:rsid w:val="5001B9CC"/>
    <w:rsid w:val="50082364"/>
    <w:rsid w:val="5010EEC8"/>
    <w:rsid w:val="5021E901"/>
    <w:rsid w:val="5027707A"/>
    <w:rsid w:val="502C1966"/>
    <w:rsid w:val="503184E8"/>
    <w:rsid w:val="5039F977"/>
    <w:rsid w:val="503EB8A8"/>
    <w:rsid w:val="503F056E"/>
    <w:rsid w:val="5045647D"/>
    <w:rsid w:val="504BC8F4"/>
    <w:rsid w:val="504EF5E2"/>
    <w:rsid w:val="504F0F01"/>
    <w:rsid w:val="504F7CC3"/>
    <w:rsid w:val="504FB5C9"/>
    <w:rsid w:val="50515575"/>
    <w:rsid w:val="50515980"/>
    <w:rsid w:val="50558B3A"/>
    <w:rsid w:val="50694D89"/>
    <w:rsid w:val="506AFF73"/>
    <w:rsid w:val="50712C71"/>
    <w:rsid w:val="507E6396"/>
    <w:rsid w:val="5084CCF1"/>
    <w:rsid w:val="5095DA76"/>
    <w:rsid w:val="50A335CC"/>
    <w:rsid w:val="50B17422"/>
    <w:rsid w:val="50B61D0A"/>
    <w:rsid w:val="50B65F18"/>
    <w:rsid w:val="50B6B1B7"/>
    <w:rsid w:val="50C67F5C"/>
    <w:rsid w:val="50CC4B4B"/>
    <w:rsid w:val="50D017D4"/>
    <w:rsid w:val="50D57D34"/>
    <w:rsid w:val="50DABB0B"/>
    <w:rsid w:val="50DD0723"/>
    <w:rsid w:val="50E06ABA"/>
    <w:rsid w:val="50F1D650"/>
    <w:rsid w:val="50FDA72A"/>
    <w:rsid w:val="51061FF2"/>
    <w:rsid w:val="5109119A"/>
    <w:rsid w:val="510DF5FD"/>
    <w:rsid w:val="5115D722"/>
    <w:rsid w:val="51167128"/>
    <w:rsid w:val="5116CBC5"/>
    <w:rsid w:val="5118E5A4"/>
    <w:rsid w:val="511D6E28"/>
    <w:rsid w:val="511F51C2"/>
    <w:rsid w:val="51247DCF"/>
    <w:rsid w:val="5126791E"/>
    <w:rsid w:val="5126C5A0"/>
    <w:rsid w:val="512D2E41"/>
    <w:rsid w:val="513DE142"/>
    <w:rsid w:val="513E141B"/>
    <w:rsid w:val="513F646C"/>
    <w:rsid w:val="514038FD"/>
    <w:rsid w:val="51453ED7"/>
    <w:rsid w:val="514B4E5C"/>
    <w:rsid w:val="515970D1"/>
    <w:rsid w:val="515A3B48"/>
    <w:rsid w:val="515CC6D9"/>
    <w:rsid w:val="515EA27E"/>
    <w:rsid w:val="51678A29"/>
    <w:rsid w:val="516D0C91"/>
    <w:rsid w:val="516D6206"/>
    <w:rsid w:val="516E7B4A"/>
    <w:rsid w:val="5176F740"/>
    <w:rsid w:val="517BFB4C"/>
    <w:rsid w:val="517C0DC3"/>
    <w:rsid w:val="5181F2C8"/>
    <w:rsid w:val="518694AC"/>
    <w:rsid w:val="518CB40D"/>
    <w:rsid w:val="51901782"/>
    <w:rsid w:val="51940E98"/>
    <w:rsid w:val="5196D9A7"/>
    <w:rsid w:val="51A14313"/>
    <w:rsid w:val="51A7B0A8"/>
    <w:rsid w:val="51AA1A50"/>
    <w:rsid w:val="51AA8876"/>
    <w:rsid w:val="51AD19E4"/>
    <w:rsid w:val="51C4746D"/>
    <w:rsid w:val="51C4AAE6"/>
    <w:rsid w:val="51D2EA73"/>
    <w:rsid w:val="51D90F11"/>
    <w:rsid w:val="51DC93BE"/>
    <w:rsid w:val="51EA1E6D"/>
    <w:rsid w:val="51EBF67F"/>
    <w:rsid w:val="51F7F071"/>
    <w:rsid w:val="51FD05C5"/>
    <w:rsid w:val="520A41D7"/>
    <w:rsid w:val="520AC5FE"/>
    <w:rsid w:val="520F663D"/>
    <w:rsid w:val="521002B3"/>
    <w:rsid w:val="52135A07"/>
    <w:rsid w:val="52153070"/>
    <w:rsid w:val="522DB190"/>
    <w:rsid w:val="5233E4FF"/>
    <w:rsid w:val="5236B655"/>
    <w:rsid w:val="5236EBDB"/>
    <w:rsid w:val="52373653"/>
    <w:rsid w:val="5238949A"/>
    <w:rsid w:val="525826E2"/>
    <w:rsid w:val="5265BF30"/>
    <w:rsid w:val="52669508"/>
    <w:rsid w:val="526856DC"/>
    <w:rsid w:val="5269D85B"/>
    <w:rsid w:val="526B8776"/>
    <w:rsid w:val="526C191C"/>
    <w:rsid w:val="527905D6"/>
    <w:rsid w:val="527D800E"/>
    <w:rsid w:val="5290AFAB"/>
    <w:rsid w:val="5291CDCE"/>
    <w:rsid w:val="529E464C"/>
    <w:rsid w:val="52AA6847"/>
    <w:rsid w:val="52B1CFF3"/>
    <w:rsid w:val="52BAFAF9"/>
    <w:rsid w:val="52C34D14"/>
    <w:rsid w:val="52C37F73"/>
    <w:rsid w:val="52C7992F"/>
    <w:rsid w:val="52D825A3"/>
    <w:rsid w:val="52DE7FDE"/>
    <w:rsid w:val="52DFA14F"/>
    <w:rsid w:val="52E6D8C6"/>
    <w:rsid w:val="52EF40B3"/>
    <w:rsid w:val="52F05C1B"/>
    <w:rsid w:val="52F0B096"/>
    <w:rsid w:val="52F4C463"/>
    <w:rsid w:val="52F83096"/>
    <w:rsid w:val="52FCA95C"/>
    <w:rsid w:val="52FE4301"/>
    <w:rsid w:val="53021340"/>
    <w:rsid w:val="5305D1E6"/>
    <w:rsid w:val="53099A54"/>
    <w:rsid w:val="530F3ADA"/>
    <w:rsid w:val="531A0142"/>
    <w:rsid w:val="531C3925"/>
    <w:rsid w:val="531D4068"/>
    <w:rsid w:val="53298E2E"/>
    <w:rsid w:val="532D5838"/>
    <w:rsid w:val="53311264"/>
    <w:rsid w:val="5336ABC9"/>
    <w:rsid w:val="53403DCE"/>
    <w:rsid w:val="5344D1B7"/>
    <w:rsid w:val="5345CB2D"/>
    <w:rsid w:val="5346B30D"/>
    <w:rsid w:val="534AEB55"/>
    <w:rsid w:val="534C63EA"/>
    <w:rsid w:val="534CD958"/>
    <w:rsid w:val="5357A60A"/>
    <w:rsid w:val="536419B3"/>
    <w:rsid w:val="536EEB90"/>
    <w:rsid w:val="536FAF3E"/>
    <w:rsid w:val="5370B4B3"/>
    <w:rsid w:val="53730EA7"/>
    <w:rsid w:val="5373D5CC"/>
    <w:rsid w:val="537BE003"/>
    <w:rsid w:val="537CC9FF"/>
    <w:rsid w:val="537D6BDF"/>
    <w:rsid w:val="537E9153"/>
    <w:rsid w:val="5381BEF0"/>
    <w:rsid w:val="538796A1"/>
    <w:rsid w:val="538CD208"/>
    <w:rsid w:val="538D11F2"/>
    <w:rsid w:val="538F702C"/>
    <w:rsid w:val="539828A2"/>
    <w:rsid w:val="539B01E7"/>
    <w:rsid w:val="539B5FE2"/>
    <w:rsid w:val="539FD268"/>
    <w:rsid w:val="539FEA29"/>
    <w:rsid w:val="53A24C05"/>
    <w:rsid w:val="53A4FD7F"/>
    <w:rsid w:val="53A5B66A"/>
    <w:rsid w:val="53AE6612"/>
    <w:rsid w:val="53AEDC24"/>
    <w:rsid w:val="53AFD258"/>
    <w:rsid w:val="53B46614"/>
    <w:rsid w:val="53BC8530"/>
    <w:rsid w:val="53C75C13"/>
    <w:rsid w:val="53CD629E"/>
    <w:rsid w:val="53CFD06B"/>
    <w:rsid w:val="53D1A8FE"/>
    <w:rsid w:val="53DA2DF5"/>
    <w:rsid w:val="53DEAE65"/>
    <w:rsid w:val="53E23C19"/>
    <w:rsid w:val="53E7622D"/>
    <w:rsid w:val="53F8D58D"/>
    <w:rsid w:val="53F8F1A3"/>
    <w:rsid w:val="5402FBDF"/>
    <w:rsid w:val="54122E85"/>
    <w:rsid w:val="541B67EB"/>
    <w:rsid w:val="5429FBBA"/>
    <w:rsid w:val="542F4D26"/>
    <w:rsid w:val="5439BBD2"/>
    <w:rsid w:val="543AB6A8"/>
    <w:rsid w:val="54402DA2"/>
    <w:rsid w:val="5444EE96"/>
    <w:rsid w:val="54498477"/>
    <w:rsid w:val="5449984A"/>
    <w:rsid w:val="544BE1E7"/>
    <w:rsid w:val="54532F52"/>
    <w:rsid w:val="54585BE6"/>
    <w:rsid w:val="546849D6"/>
    <w:rsid w:val="54692C8B"/>
    <w:rsid w:val="546A7BB9"/>
    <w:rsid w:val="546D425C"/>
    <w:rsid w:val="546E25AB"/>
    <w:rsid w:val="547EE4DE"/>
    <w:rsid w:val="5483847D"/>
    <w:rsid w:val="54914A7F"/>
    <w:rsid w:val="54935BC6"/>
    <w:rsid w:val="54A7DB0B"/>
    <w:rsid w:val="54ACB40B"/>
    <w:rsid w:val="54B37A5F"/>
    <w:rsid w:val="54B975F5"/>
    <w:rsid w:val="54C43AD6"/>
    <w:rsid w:val="54C5BBD6"/>
    <w:rsid w:val="54C988FD"/>
    <w:rsid w:val="54C9CC13"/>
    <w:rsid w:val="54CE24E1"/>
    <w:rsid w:val="54CF2CEE"/>
    <w:rsid w:val="54DEB049"/>
    <w:rsid w:val="54EEB055"/>
    <w:rsid w:val="54FBDF64"/>
    <w:rsid w:val="54FCBB1D"/>
    <w:rsid w:val="54FE55EC"/>
    <w:rsid w:val="5522A316"/>
    <w:rsid w:val="55241227"/>
    <w:rsid w:val="552B3CCD"/>
    <w:rsid w:val="552C137E"/>
    <w:rsid w:val="55382B61"/>
    <w:rsid w:val="553CCB1A"/>
    <w:rsid w:val="553ED1A5"/>
    <w:rsid w:val="5543D787"/>
    <w:rsid w:val="5547FC54"/>
    <w:rsid w:val="554F56B2"/>
    <w:rsid w:val="5557DEC6"/>
    <w:rsid w:val="55600DE5"/>
    <w:rsid w:val="55608367"/>
    <w:rsid w:val="5561DF06"/>
    <w:rsid w:val="55742A64"/>
    <w:rsid w:val="557C32DE"/>
    <w:rsid w:val="557E5F53"/>
    <w:rsid w:val="558EAADD"/>
    <w:rsid w:val="55902711"/>
    <w:rsid w:val="559B6EFB"/>
    <w:rsid w:val="559DFBD1"/>
    <w:rsid w:val="55A502A1"/>
    <w:rsid w:val="55A6545E"/>
    <w:rsid w:val="55AE2DA7"/>
    <w:rsid w:val="55B6BCD3"/>
    <w:rsid w:val="55C0B250"/>
    <w:rsid w:val="55C27A56"/>
    <w:rsid w:val="55C7EBDD"/>
    <w:rsid w:val="55CDB202"/>
    <w:rsid w:val="55D4DB32"/>
    <w:rsid w:val="55F02736"/>
    <w:rsid w:val="55F0912D"/>
    <w:rsid w:val="55F47E2E"/>
    <w:rsid w:val="55F57CC3"/>
    <w:rsid w:val="55F63438"/>
    <w:rsid w:val="55FB20B0"/>
    <w:rsid w:val="5602A240"/>
    <w:rsid w:val="561621B3"/>
    <w:rsid w:val="56175A34"/>
    <w:rsid w:val="56184A66"/>
    <w:rsid w:val="5618F20F"/>
    <w:rsid w:val="56214458"/>
    <w:rsid w:val="562BC504"/>
    <w:rsid w:val="562FE74C"/>
    <w:rsid w:val="563AA050"/>
    <w:rsid w:val="5640CCA6"/>
    <w:rsid w:val="56497B47"/>
    <w:rsid w:val="565058DB"/>
    <w:rsid w:val="565FD293"/>
    <w:rsid w:val="5678B86A"/>
    <w:rsid w:val="5678BB74"/>
    <w:rsid w:val="567AE469"/>
    <w:rsid w:val="567D3516"/>
    <w:rsid w:val="568B8F3D"/>
    <w:rsid w:val="568BDA83"/>
    <w:rsid w:val="5691297F"/>
    <w:rsid w:val="5698FE48"/>
    <w:rsid w:val="569AF4C1"/>
    <w:rsid w:val="569C0EB6"/>
    <w:rsid w:val="569C9499"/>
    <w:rsid w:val="56A0C6C8"/>
    <w:rsid w:val="56A2DF80"/>
    <w:rsid w:val="56A811ED"/>
    <w:rsid w:val="56AEAEF7"/>
    <w:rsid w:val="56B9A823"/>
    <w:rsid w:val="56BC2791"/>
    <w:rsid w:val="56BE1C85"/>
    <w:rsid w:val="56D2E7B0"/>
    <w:rsid w:val="56D800DA"/>
    <w:rsid w:val="56D8CD19"/>
    <w:rsid w:val="56E158ED"/>
    <w:rsid w:val="56EBD5E3"/>
    <w:rsid w:val="56EF4B8D"/>
    <w:rsid w:val="56F61C77"/>
    <w:rsid w:val="56F70148"/>
    <w:rsid w:val="56F7E264"/>
    <w:rsid w:val="56F92227"/>
    <w:rsid w:val="56FCB450"/>
    <w:rsid w:val="57013784"/>
    <w:rsid w:val="5702DB21"/>
    <w:rsid w:val="5708E273"/>
    <w:rsid w:val="570CEF4F"/>
    <w:rsid w:val="57103B84"/>
    <w:rsid w:val="5712A742"/>
    <w:rsid w:val="57151AB9"/>
    <w:rsid w:val="5719B5CB"/>
    <w:rsid w:val="571DB72A"/>
    <w:rsid w:val="57243B1B"/>
    <w:rsid w:val="573B2217"/>
    <w:rsid w:val="573CEA26"/>
    <w:rsid w:val="57402677"/>
    <w:rsid w:val="574C0E5F"/>
    <w:rsid w:val="57690B86"/>
    <w:rsid w:val="576C175B"/>
    <w:rsid w:val="57704EF2"/>
    <w:rsid w:val="577F82D8"/>
    <w:rsid w:val="57832AA8"/>
    <w:rsid w:val="5787F414"/>
    <w:rsid w:val="578BBF1C"/>
    <w:rsid w:val="579626AC"/>
    <w:rsid w:val="57A3BAA1"/>
    <w:rsid w:val="57AE17F7"/>
    <w:rsid w:val="57AE3F99"/>
    <w:rsid w:val="57B1DB40"/>
    <w:rsid w:val="57B21378"/>
    <w:rsid w:val="57C0793B"/>
    <w:rsid w:val="57D4E302"/>
    <w:rsid w:val="57E751FF"/>
    <w:rsid w:val="57EB145D"/>
    <w:rsid w:val="57EB40B8"/>
    <w:rsid w:val="57F61229"/>
    <w:rsid w:val="57FE189C"/>
    <w:rsid w:val="57FF2C7B"/>
    <w:rsid w:val="57FF557F"/>
    <w:rsid w:val="580133BC"/>
    <w:rsid w:val="5805A302"/>
    <w:rsid w:val="5808942C"/>
    <w:rsid w:val="580DE0A3"/>
    <w:rsid w:val="58152D85"/>
    <w:rsid w:val="581E71C8"/>
    <w:rsid w:val="583A54A6"/>
    <w:rsid w:val="5843B09D"/>
    <w:rsid w:val="58527A2F"/>
    <w:rsid w:val="5855887C"/>
    <w:rsid w:val="5857761B"/>
    <w:rsid w:val="585B3803"/>
    <w:rsid w:val="585EABE0"/>
    <w:rsid w:val="5862C7C3"/>
    <w:rsid w:val="5867D2B7"/>
    <w:rsid w:val="586860A4"/>
    <w:rsid w:val="5888392F"/>
    <w:rsid w:val="58A35757"/>
    <w:rsid w:val="58A96C02"/>
    <w:rsid w:val="58AE00DD"/>
    <w:rsid w:val="58B06E43"/>
    <w:rsid w:val="58BD9190"/>
    <w:rsid w:val="58C43F1B"/>
    <w:rsid w:val="58C5EC11"/>
    <w:rsid w:val="58C70B7A"/>
    <w:rsid w:val="58CBF868"/>
    <w:rsid w:val="58D3B527"/>
    <w:rsid w:val="58D449DE"/>
    <w:rsid w:val="58D64D9B"/>
    <w:rsid w:val="58D704AA"/>
    <w:rsid w:val="58D9C694"/>
    <w:rsid w:val="58E07A20"/>
    <w:rsid w:val="58EF3D9E"/>
    <w:rsid w:val="58F247A9"/>
    <w:rsid w:val="58F35CD8"/>
    <w:rsid w:val="58F44935"/>
    <w:rsid w:val="591C7E97"/>
    <w:rsid w:val="591DF506"/>
    <w:rsid w:val="592B57A3"/>
    <w:rsid w:val="593A2112"/>
    <w:rsid w:val="594A7011"/>
    <w:rsid w:val="5958D56A"/>
    <w:rsid w:val="5959859D"/>
    <w:rsid w:val="59644ECB"/>
    <w:rsid w:val="596B4658"/>
    <w:rsid w:val="596DB8AD"/>
    <w:rsid w:val="596FDAF6"/>
    <w:rsid w:val="5973BC7D"/>
    <w:rsid w:val="59743AAF"/>
    <w:rsid w:val="5979AEF5"/>
    <w:rsid w:val="59848DE6"/>
    <w:rsid w:val="59863A61"/>
    <w:rsid w:val="599161D4"/>
    <w:rsid w:val="5993323A"/>
    <w:rsid w:val="59AFD09C"/>
    <w:rsid w:val="59B73FA0"/>
    <w:rsid w:val="59C3234A"/>
    <w:rsid w:val="59C4B54A"/>
    <w:rsid w:val="59CB2C18"/>
    <w:rsid w:val="59CDE10D"/>
    <w:rsid w:val="59D151B4"/>
    <w:rsid w:val="59D1711E"/>
    <w:rsid w:val="59D320A5"/>
    <w:rsid w:val="59D50569"/>
    <w:rsid w:val="59D6A2B6"/>
    <w:rsid w:val="59DA8281"/>
    <w:rsid w:val="59DBC200"/>
    <w:rsid w:val="59F1055E"/>
    <w:rsid w:val="59F5F11E"/>
    <w:rsid w:val="5A042851"/>
    <w:rsid w:val="5A0637C4"/>
    <w:rsid w:val="5A088D97"/>
    <w:rsid w:val="5A154033"/>
    <w:rsid w:val="5A1591D3"/>
    <w:rsid w:val="5A1BA46D"/>
    <w:rsid w:val="5A1D8D55"/>
    <w:rsid w:val="5A1FDCFD"/>
    <w:rsid w:val="5A235155"/>
    <w:rsid w:val="5A2AF161"/>
    <w:rsid w:val="5A3349C3"/>
    <w:rsid w:val="5A3722A8"/>
    <w:rsid w:val="5A37B093"/>
    <w:rsid w:val="5A3A9003"/>
    <w:rsid w:val="5A3E112A"/>
    <w:rsid w:val="5A40CC12"/>
    <w:rsid w:val="5A44040B"/>
    <w:rsid w:val="5A45316B"/>
    <w:rsid w:val="5A56FA86"/>
    <w:rsid w:val="5A6259A4"/>
    <w:rsid w:val="5A62B190"/>
    <w:rsid w:val="5A69E667"/>
    <w:rsid w:val="5A7473FF"/>
    <w:rsid w:val="5A806B0A"/>
    <w:rsid w:val="5A8A2764"/>
    <w:rsid w:val="5A8C8716"/>
    <w:rsid w:val="5A90ACB3"/>
    <w:rsid w:val="5A9FEFC7"/>
    <w:rsid w:val="5AAD8E88"/>
    <w:rsid w:val="5AADE158"/>
    <w:rsid w:val="5AB53BB0"/>
    <w:rsid w:val="5ABDD376"/>
    <w:rsid w:val="5AC28471"/>
    <w:rsid w:val="5AD7C888"/>
    <w:rsid w:val="5ADDF752"/>
    <w:rsid w:val="5ADE48D9"/>
    <w:rsid w:val="5AE68CEB"/>
    <w:rsid w:val="5AE6F71F"/>
    <w:rsid w:val="5AED2833"/>
    <w:rsid w:val="5AF03687"/>
    <w:rsid w:val="5AF3780D"/>
    <w:rsid w:val="5AFE3B78"/>
    <w:rsid w:val="5B027538"/>
    <w:rsid w:val="5B139F6F"/>
    <w:rsid w:val="5B1861DB"/>
    <w:rsid w:val="5B1B5B8C"/>
    <w:rsid w:val="5B1ECA9D"/>
    <w:rsid w:val="5B2523BB"/>
    <w:rsid w:val="5B3D0058"/>
    <w:rsid w:val="5B41B018"/>
    <w:rsid w:val="5B5FB60F"/>
    <w:rsid w:val="5B64733C"/>
    <w:rsid w:val="5B6EADAA"/>
    <w:rsid w:val="5B733A07"/>
    <w:rsid w:val="5B73C3F6"/>
    <w:rsid w:val="5B752F7A"/>
    <w:rsid w:val="5B775F34"/>
    <w:rsid w:val="5B7A5338"/>
    <w:rsid w:val="5B7E7462"/>
    <w:rsid w:val="5B857817"/>
    <w:rsid w:val="5B8C5606"/>
    <w:rsid w:val="5B8E792B"/>
    <w:rsid w:val="5B99D078"/>
    <w:rsid w:val="5BA97489"/>
    <w:rsid w:val="5BB09B94"/>
    <w:rsid w:val="5BB38E7D"/>
    <w:rsid w:val="5BB723C2"/>
    <w:rsid w:val="5BB83BDD"/>
    <w:rsid w:val="5BB9A26F"/>
    <w:rsid w:val="5BBDA605"/>
    <w:rsid w:val="5BC11190"/>
    <w:rsid w:val="5BC1EB3D"/>
    <w:rsid w:val="5BC740E8"/>
    <w:rsid w:val="5BCC6E22"/>
    <w:rsid w:val="5BD7211A"/>
    <w:rsid w:val="5BDD7B06"/>
    <w:rsid w:val="5BE1C660"/>
    <w:rsid w:val="5BE7CFAE"/>
    <w:rsid w:val="5BF4BCDD"/>
    <w:rsid w:val="5BFE1ED6"/>
    <w:rsid w:val="5C0B9905"/>
    <w:rsid w:val="5C1007D3"/>
    <w:rsid w:val="5C10C0DA"/>
    <w:rsid w:val="5C22F08C"/>
    <w:rsid w:val="5C2861A4"/>
    <w:rsid w:val="5C2A81D8"/>
    <w:rsid w:val="5C2D7708"/>
    <w:rsid w:val="5C30C461"/>
    <w:rsid w:val="5C38DA91"/>
    <w:rsid w:val="5C4733B9"/>
    <w:rsid w:val="5C476F27"/>
    <w:rsid w:val="5C4AB923"/>
    <w:rsid w:val="5C525980"/>
    <w:rsid w:val="5C52D432"/>
    <w:rsid w:val="5C5D9715"/>
    <w:rsid w:val="5C604D93"/>
    <w:rsid w:val="5C64A745"/>
    <w:rsid w:val="5C6E41DB"/>
    <w:rsid w:val="5C73F7B9"/>
    <w:rsid w:val="5C79710A"/>
    <w:rsid w:val="5C79AE4B"/>
    <w:rsid w:val="5C7D8308"/>
    <w:rsid w:val="5C827022"/>
    <w:rsid w:val="5C85849B"/>
    <w:rsid w:val="5C91B77F"/>
    <w:rsid w:val="5C93BEA0"/>
    <w:rsid w:val="5C9F4046"/>
    <w:rsid w:val="5CB47705"/>
    <w:rsid w:val="5CC897E0"/>
    <w:rsid w:val="5CD59052"/>
    <w:rsid w:val="5CD95CF1"/>
    <w:rsid w:val="5CE8D01F"/>
    <w:rsid w:val="5CEB8735"/>
    <w:rsid w:val="5CF3E834"/>
    <w:rsid w:val="5CF885A7"/>
    <w:rsid w:val="5CFA97F7"/>
    <w:rsid w:val="5D03019C"/>
    <w:rsid w:val="5D035F0D"/>
    <w:rsid w:val="5D083A40"/>
    <w:rsid w:val="5D0AC721"/>
    <w:rsid w:val="5D0E79DA"/>
    <w:rsid w:val="5D1ECE5F"/>
    <w:rsid w:val="5D228D00"/>
    <w:rsid w:val="5D22B30F"/>
    <w:rsid w:val="5D26A803"/>
    <w:rsid w:val="5D2CACC8"/>
    <w:rsid w:val="5D2D7258"/>
    <w:rsid w:val="5D2E08BB"/>
    <w:rsid w:val="5D403FE2"/>
    <w:rsid w:val="5D42DFD9"/>
    <w:rsid w:val="5D4965A0"/>
    <w:rsid w:val="5D4DD417"/>
    <w:rsid w:val="5D535AAC"/>
    <w:rsid w:val="5D5677ED"/>
    <w:rsid w:val="5D5BECCD"/>
    <w:rsid w:val="5D5C6CD4"/>
    <w:rsid w:val="5D60059C"/>
    <w:rsid w:val="5D605688"/>
    <w:rsid w:val="5D684018"/>
    <w:rsid w:val="5D6A9B76"/>
    <w:rsid w:val="5D6AFC01"/>
    <w:rsid w:val="5D6C380F"/>
    <w:rsid w:val="5D7368EF"/>
    <w:rsid w:val="5D7377FA"/>
    <w:rsid w:val="5D795D38"/>
    <w:rsid w:val="5D7C8F19"/>
    <w:rsid w:val="5D7DA97D"/>
    <w:rsid w:val="5D838A4B"/>
    <w:rsid w:val="5D85B6F5"/>
    <w:rsid w:val="5D925B5C"/>
    <w:rsid w:val="5D95AB84"/>
    <w:rsid w:val="5D9E2B4F"/>
    <w:rsid w:val="5D9FC85C"/>
    <w:rsid w:val="5DAA146F"/>
    <w:rsid w:val="5DAB822F"/>
    <w:rsid w:val="5DB71C33"/>
    <w:rsid w:val="5DB8F1AD"/>
    <w:rsid w:val="5DB9D20D"/>
    <w:rsid w:val="5DC48DED"/>
    <w:rsid w:val="5DC52F43"/>
    <w:rsid w:val="5DC9B811"/>
    <w:rsid w:val="5DCDA4FA"/>
    <w:rsid w:val="5DCDF90D"/>
    <w:rsid w:val="5DD9CFD7"/>
    <w:rsid w:val="5DDE2456"/>
    <w:rsid w:val="5DE7DEDF"/>
    <w:rsid w:val="5DF949AF"/>
    <w:rsid w:val="5DFDEF71"/>
    <w:rsid w:val="5E11814F"/>
    <w:rsid w:val="5E14E66F"/>
    <w:rsid w:val="5E1CCDDD"/>
    <w:rsid w:val="5E220928"/>
    <w:rsid w:val="5E2BCC5A"/>
    <w:rsid w:val="5E319CE8"/>
    <w:rsid w:val="5E3E4830"/>
    <w:rsid w:val="5E445DED"/>
    <w:rsid w:val="5E46FBCB"/>
    <w:rsid w:val="5E4A6BAD"/>
    <w:rsid w:val="5E4A8D05"/>
    <w:rsid w:val="5E4C3680"/>
    <w:rsid w:val="5E4F6ED1"/>
    <w:rsid w:val="5E4F9CF0"/>
    <w:rsid w:val="5E625480"/>
    <w:rsid w:val="5E632479"/>
    <w:rsid w:val="5E674D1C"/>
    <w:rsid w:val="5E676E98"/>
    <w:rsid w:val="5E6C37FC"/>
    <w:rsid w:val="5E72756C"/>
    <w:rsid w:val="5E72DA2B"/>
    <w:rsid w:val="5E772389"/>
    <w:rsid w:val="5E77A070"/>
    <w:rsid w:val="5E7A0530"/>
    <w:rsid w:val="5E8BF051"/>
    <w:rsid w:val="5E94CD7B"/>
    <w:rsid w:val="5E9529FD"/>
    <w:rsid w:val="5E969B46"/>
    <w:rsid w:val="5E9A30F8"/>
    <w:rsid w:val="5EA0E3BF"/>
    <w:rsid w:val="5EA359F1"/>
    <w:rsid w:val="5EA3757B"/>
    <w:rsid w:val="5EB059B9"/>
    <w:rsid w:val="5EB1F805"/>
    <w:rsid w:val="5EC110D9"/>
    <w:rsid w:val="5ECF3F3E"/>
    <w:rsid w:val="5ED82088"/>
    <w:rsid w:val="5EDE8042"/>
    <w:rsid w:val="5EE14EE0"/>
    <w:rsid w:val="5EE9FBB3"/>
    <w:rsid w:val="5EF0C350"/>
    <w:rsid w:val="5EF0C406"/>
    <w:rsid w:val="5EF4C650"/>
    <w:rsid w:val="5EF79B45"/>
    <w:rsid w:val="5EFC5140"/>
    <w:rsid w:val="5EFEA775"/>
    <w:rsid w:val="5F0EA8C8"/>
    <w:rsid w:val="5F1166C0"/>
    <w:rsid w:val="5F11BC3A"/>
    <w:rsid w:val="5F199259"/>
    <w:rsid w:val="5F3A1F89"/>
    <w:rsid w:val="5F3B75A1"/>
    <w:rsid w:val="5F4058FD"/>
    <w:rsid w:val="5F41D7DE"/>
    <w:rsid w:val="5F4C2C32"/>
    <w:rsid w:val="5F4DDDB6"/>
    <w:rsid w:val="5F51DC82"/>
    <w:rsid w:val="5F550E74"/>
    <w:rsid w:val="5F55783C"/>
    <w:rsid w:val="5F5C0316"/>
    <w:rsid w:val="5F5D7C2C"/>
    <w:rsid w:val="5F5E6713"/>
    <w:rsid w:val="5F683D6D"/>
    <w:rsid w:val="5F7B495C"/>
    <w:rsid w:val="5F8CFF7A"/>
    <w:rsid w:val="5F9039EF"/>
    <w:rsid w:val="5F94CBDC"/>
    <w:rsid w:val="5F955594"/>
    <w:rsid w:val="5F95B59A"/>
    <w:rsid w:val="5F97C230"/>
    <w:rsid w:val="5F9AE5FE"/>
    <w:rsid w:val="5F9B4092"/>
    <w:rsid w:val="5FA00B24"/>
    <w:rsid w:val="5FA6044F"/>
    <w:rsid w:val="5FA8AFA0"/>
    <w:rsid w:val="5FA8EE46"/>
    <w:rsid w:val="5FA9960E"/>
    <w:rsid w:val="5FA9A9EF"/>
    <w:rsid w:val="5FAD639B"/>
    <w:rsid w:val="5FAFC955"/>
    <w:rsid w:val="5FB25E51"/>
    <w:rsid w:val="5FBA73DB"/>
    <w:rsid w:val="5FC17087"/>
    <w:rsid w:val="5FC31E0C"/>
    <w:rsid w:val="5FC34326"/>
    <w:rsid w:val="5FCE3E47"/>
    <w:rsid w:val="5FCEA31F"/>
    <w:rsid w:val="5FD47E96"/>
    <w:rsid w:val="5FDE8F7A"/>
    <w:rsid w:val="5FE5B9AA"/>
    <w:rsid w:val="5FE63A8C"/>
    <w:rsid w:val="5FE68252"/>
    <w:rsid w:val="5FF00D67"/>
    <w:rsid w:val="5FF76BDF"/>
    <w:rsid w:val="5FFD863E"/>
    <w:rsid w:val="6002BC75"/>
    <w:rsid w:val="60056C48"/>
    <w:rsid w:val="60137C4C"/>
    <w:rsid w:val="601D07A4"/>
    <w:rsid w:val="602475D2"/>
    <w:rsid w:val="60250642"/>
    <w:rsid w:val="602ED2E2"/>
    <w:rsid w:val="60345709"/>
    <w:rsid w:val="6037A13A"/>
    <w:rsid w:val="603FE27B"/>
    <w:rsid w:val="604300DC"/>
    <w:rsid w:val="6049D72A"/>
    <w:rsid w:val="604B7FFE"/>
    <w:rsid w:val="60520844"/>
    <w:rsid w:val="605A961D"/>
    <w:rsid w:val="605B8709"/>
    <w:rsid w:val="605E02D3"/>
    <w:rsid w:val="6069FE20"/>
    <w:rsid w:val="607765F9"/>
    <w:rsid w:val="6087077B"/>
    <w:rsid w:val="60878EE1"/>
    <w:rsid w:val="608D714E"/>
    <w:rsid w:val="608E619E"/>
    <w:rsid w:val="60912DB3"/>
    <w:rsid w:val="6095D910"/>
    <w:rsid w:val="609C9DA3"/>
    <w:rsid w:val="60A089D5"/>
    <w:rsid w:val="60B38094"/>
    <w:rsid w:val="60B561FD"/>
    <w:rsid w:val="60B866BF"/>
    <w:rsid w:val="60B9B1C1"/>
    <w:rsid w:val="60C0D28B"/>
    <w:rsid w:val="60C2A789"/>
    <w:rsid w:val="60DCF130"/>
    <w:rsid w:val="60DF1931"/>
    <w:rsid w:val="60E737CE"/>
    <w:rsid w:val="60EDFC76"/>
    <w:rsid w:val="610C7B3E"/>
    <w:rsid w:val="611A8FFA"/>
    <w:rsid w:val="611E6544"/>
    <w:rsid w:val="61209572"/>
    <w:rsid w:val="61209948"/>
    <w:rsid w:val="6126E6E6"/>
    <w:rsid w:val="612B29D8"/>
    <w:rsid w:val="61335485"/>
    <w:rsid w:val="61382730"/>
    <w:rsid w:val="613A00B5"/>
    <w:rsid w:val="614844A8"/>
    <w:rsid w:val="614BEF21"/>
    <w:rsid w:val="614E05E6"/>
    <w:rsid w:val="61523F3C"/>
    <w:rsid w:val="6159E53F"/>
    <w:rsid w:val="615E6B33"/>
    <w:rsid w:val="616A76D5"/>
    <w:rsid w:val="616DF139"/>
    <w:rsid w:val="6179F840"/>
    <w:rsid w:val="617BCF36"/>
    <w:rsid w:val="6183FEB4"/>
    <w:rsid w:val="6184ED20"/>
    <w:rsid w:val="61894EE1"/>
    <w:rsid w:val="6189D3D2"/>
    <w:rsid w:val="61906341"/>
    <w:rsid w:val="6193358B"/>
    <w:rsid w:val="6194C04B"/>
    <w:rsid w:val="619F4D9C"/>
    <w:rsid w:val="61A1B86F"/>
    <w:rsid w:val="61A28B84"/>
    <w:rsid w:val="61A5DAFF"/>
    <w:rsid w:val="61B1DC53"/>
    <w:rsid w:val="61BF4547"/>
    <w:rsid w:val="61BFDA38"/>
    <w:rsid w:val="61C2D6F9"/>
    <w:rsid w:val="61C8E081"/>
    <w:rsid w:val="61D3AC80"/>
    <w:rsid w:val="61D600DC"/>
    <w:rsid w:val="61D9BE04"/>
    <w:rsid w:val="61E67343"/>
    <w:rsid w:val="61F268ED"/>
    <w:rsid w:val="61F32831"/>
    <w:rsid w:val="61F4E585"/>
    <w:rsid w:val="61FA64FB"/>
    <w:rsid w:val="61FA929B"/>
    <w:rsid w:val="62003ED1"/>
    <w:rsid w:val="62036584"/>
    <w:rsid w:val="6208111E"/>
    <w:rsid w:val="621FE0A4"/>
    <w:rsid w:val="622775F7"/>
    <w:rsid w:val="622C1BC0"/>
    <w:rsid w:val="62373AE1"/>
    <w:rsid w:val="6238CA3F"/>
    <w:rsid w:val="6239A038"/>
    <w:rsid w:val="62408172"/>
    <w:rsid w:val="6244D045"/>
    <w:rsid w:val="62460A60"/>
    <w:rsid w:val="6246F868"/>
    <w:rsid w:val="624DBD64"/>
    <w:rsid w:val="625A5A00"/>
    <w:rsid w:val="625D8B05"/>
    <w:rsid w:val="6261E77D"/>
    <w:rsid w:val="626444C0"/>
    <w:rsid w:val="626FB255"/>
    <w:rsid w:val="6274F798"/>
    <w:rsid w:val="62850EBB"/>
    <w:rsid w:val="628F9D9F"/>
    <w:rsid w:val="629F80F5"/>
    <w:rsid w:val="62A0D7F2"/>
    <w:rsid w:val="62B1DD9D"/>
    <w:rsid w:val="62C98FA2"/>
    <w:rsid w:val="62E1BDAF"/>
    <w:rsid w:val="62E9B929"/>
    <w:rsid w:val="62EDA6AC"/>
    <w:rsid w:val="62F98762"/>
    <w:rsid w:val="62FF8EC4"/>
    <w:rsid w:val="630FEC3D"/>
    <w:rsid w:val="6313B867"/>
    <w:rsid w:val="631618E4"/>
    <w:rsid w:val="631D7D5F"/>
    <w:rsid w:val="631F65F2"/>
    <w:rsid w:val="632A647A"/>
    <w:rsid w:val="633BC87D"/>
    <w:rsid w:val="633E2784"/>
    <w:rsid w:val="6351A4B7"/>
    <w:rsid w:val="63526931"/>
    <w:rsid w:val="635E958E"/>
    <w:rsid w:val="635FA07F"/>
    <w:rsid w:val="63600683"/>
    <w:rsid w:val="6366E5AB"/>
    <w:rsid w:val="636A56F5"/>
    <w:rsid w:val="636C1130"/>
    <w:rsid w:val="636F55A6"/>
    <w:rsid w:val="63833C52"/>
    <w:rsid w:val="63A240C8"/>
    <w:rsid w:val="63A2DA53"/>
    <w:rsid w:val="63AC3083"/>
    <w:rsid w:val="63B31558"/>
    <w:rsid w:val="63BAD5BD"/>
    <w:rsid w:val="63BB428C"/>
    <w:rsid w:val="63C13BB8"/>
    <w:rsid w:val="63C9D3ED"/>
    <w:rsid w:val="63DC5C70"/>
    <w:rsid w:val="63F339B8"/>
    <w:rsid w:val="63F69640"/>
    <w:rsid w:val="63F952DC"/>
    <w:rsid w:val="64009E9D"/>
    <w:rsid w:val="64011B96"/>
    <w:rsid w:val="6401C85E"/>
    <w:rsid w:val="64051161"/>
    <w:rsid w:val="6407B3EE"/>
    <w:rsid w:val="6408E1C8"/>
    <w:rsid w:val="6416C28E"/>
    <w:rsid w:val="6416F3E9"/>
    <w:rsid w:val="6417797E"/>
    <w:rsid w:val="6419404D"/>
    <w:rsid w:val="641F660B"/>
    <w:rsid w:val="6423A514"/>
    <w:rsid w:val="64291CC9"/>
    <w:rsid w:val="642D96F0"/>
    <w:rsid w:val="642FA589"/>
    <w:rsid w:val="643AB037"/>
    <w:rsid w:val="64456BA8"/>
    <w:rsid w:val="6457BDD3"/>
    <w:rsid w:val="645E43D7"/>
    <w:rsid w:val="6466DB49"/>
    <w:rsid w:val="647927F4"/>
    <w:rsid w:val="647C5CE7"/>
    <w:rsid w:val="647EE24B"/>
    <w:rsid w:val="6483552B"/>
    <w:rsid w:val="6487D127"/>
    <w:rsid w:val="64880B2D"/>
    <w:rsid w:val="6489E21D"/>
    <w:rsid w:val="64956AB0"/>
    <w:rsid w:val="6495CB7B"/>
    <w:rsid w:val="649A6DE0"/>
    <w:rsid w:val="649ED085"/>
    <w:rsid w:val="64A1FA92"/>
    <w:rsid w:val="64A26662"/>
    <w:rsid w:val="64A53250"/>
    <w:rsid w:val="64B26D1A"/>
    <w:rsid w:val="64B29B34"/>
    <w:rsid w:val="64B47381"/>
    <w:rsid w:val="64B7988A"/>
    <w:rsid w:val="64B80300"/>
    <w:rsid w:val="64BAB7E0"/>
    <w:rsid w:val="64BC6DCB"/>
    <w:rsid w:val="64BE1933"/>
    <w:rsid w:val="64CACE7B"/>
    <w:rsid w:val="64D35F0A"/>
    <w:rsid w:val="64D87523"/>
    <w:rsid w:val="64E1D213"/>
    <w:rsid w:val="64E1FFA1"/>
    <w:rsid w:val="64E3BE0C"/>
    <w:rsid w:val="64E542B4"/>
    <w:rsid w:val="64E6F3CA"/>
    <w:rsid w:val="64E979F2"/>
    <w:rsid w:val="64F0BCA1"/>
    <w:rsid w:val="64F2C617"/>
    <w:rsid w:val="6500EA61"/>
    <w:rsid w:val="650508EA"/>
    <w:rsid w:val="651122AD"/>
    <w:rsid w:val="6513BCF1"/>
    <w:rsid w:val="6513C1F6"/>
    <w:rsid w:val="65197AA4"/>
    <w:rsid w:val="65200BFD"/>
    <w:rsid w:val="65206129"/>
    <w:rsid w:val="6526DD83"/>
    <w:rsid w:val="6526E5BB"/>
    <w:rsid w:val="652F4234"/>
    <w:rsid w:val="65301945"/>
    <w:rsid w:val="6536551F"/>
    <w:rsid w:val="653EA7EB"/>
    <w:rsid w:val="654AAF36"/>
    <w:rsid w:val="655460C5"/>
    <w:rsid w:val="6554AF19"/>
    <w:rsid w:val="656382AB"/>
    <w:rsid w:val="656C3D7A"/>
    <w:rsid w:val="657161E5"/>
    <w:rsid w:val="65799A60"/>
    <w:rsid w:val="657BC021"/>
    <w:rsid w:val="657BE683"/>
    <w:rsid w:val="658660C2"/>
    <w:rsid w:val="6586D2BF"/>
    <w:rsid w:val="658C87E1"/>
    <w:rsid w:val="658EF039"/>
    <w:rsid w:val="65938D69"/>
    <w:rsid w:val="65A290DD"/>
    <w:rsid w:val="65A76D2F"/>
    <w:rsid w:val="65CD6FC0"/>
    <w:rsid w:val="65D30AAD"/>
    <w:rsid w:val="65D3FE29"/>
    <w:rsid w:val="65E56D4D"/>
    <w:rsid w:val="65E80931"/>
    <w:rsid w:val="65EA2265"/>
    <w:rsid w:val="65F04A23"/>
    <w:rsid w:val="65F256FB"/>
    <w:rsid w:val="65FDC643"/>
    <w:rsid w:val="6606982F"/>
    <w:rsid w:val="66085A5C"/>
    <w:rsid w:val="6609258A"/>
    <w:rsid w:val="660C30C2"/>
    <w:rsid w:val="660D97D7"/>
    <w:rsid w:val="6610D27F"/>
    <w:rsid w:val="66148A1F"/>
    <w:rsid w:val="6618A6E8"/>
    <w:rsid w:val="6619199B"/>
    <w:rsid w:val="661AE573"/>
    <w:rsid w:val="6624B086"/>
    <w:rsid w:val="662621E6"/>
    <w:rsid w:val="6628AC9A"/>
    <w:rsid w:val="6628E082"/>
    <w:rsid w:val="6635A018"/>
    <w:rsid w:val="66405AAE"/>
    <w:rsid w:val="664AC01B"/>
    <w:rsid w:val="664ACDBA"/>
    <w:rsid w:val="664EF0A3"/>
    <w:rsid w:val="66550D2E"/>
    <w:rsid w:val="6657CD09"/>
    <w:rsid w:val="66597AB7"/>
    <w:rsid w:val="665DE3F3"/>
    <w:rsid w:val="66620829"/>
    <w:rsid w:val="6666BCFA"/>
    <w:rsid w:val="666AB7F5"/>
    <w:rsid w:val="666BCA24"/>
    <w:rsid w:val="666FCE73"/>
    <w:rsid w:val="6672FF8F"/>
    <w:rsid w:val="668884CE"/>
    <w:rsid w:val="668E90B1"/>
    <w:rsid w:val="66906D34"/>
    <w:rsid w:val="66943A06"/>
    <w:rsid w:val="66992E7F"/>
    <w:rsid w:val="66B48DC9"/>
    <w:rsid w:val="66B52B0F"/>
    <w:rsid w:val="66B976B1"/>
    <w:rsid w:val="66CB926F"/>
    <w:rsid w:val="66CFAC9C"/>
    <w:rsid w:val="66D0C821"/>
    <w:rsid w:val="66D2E137"/>
    <w:rsid w:val="66E27886"/>
    <w:rsid w:val="66E34C96"/>
    <w:rsid w:val="66E61F90"/>
    <w:rsid w:val="66E7A4F3"/>
    <w:rsid w:val="66E83FB1"/>
    <w:rsid w:val="66F27E8D"/>
    <w:rsid w:val="670545C0"/>
    <w:rsid w:val="6706A7DF"/>
    <w:rsid w:val="6710BCE4"/>
    <w:rsid w:val="6715DB7A"/>
    <w:rsid w:val="67199646"/>
    <w:rsid w:val="67283686"/>
    <w:rsid w:val="672A86FC"/>
    <w:rsid w:val="67302A9F"/>
    <w:rsid w:val="6731F81A"/>
    <w:rsid w:val="6737324D"/>
    <w:rsid w:val="6738AD5E"/>
    <w:rsid w:val="673BAD26"/>
    <w:rsid w:val="673F7831"/>
    <w:rsid w:val="67438C21"/>
    <w:rsid w:val="67507266"/>
    <w:rsid w:val="6756EB56"/>
    <w:rsid w:val="675ACF8D"/>
    <w:rsid w:val="675BE857"/>
    <w:rsid w:val="675E2537"/>
    <w:rsid w:val="6764EF72"/>
    <w:rsid w:val="676D073B"/>
    <w:rsid w:val="67700BCB"/>
    <w:rsid w:val="67741981"/>
    <w:rsid w:val="677BB99C"/>
    <w:rsid w:val="6781F882"/>
    <w:rsid w:val="6782118E"/>
    <w:rsid w:val="67821F1C"/>
    <w:rsid w:val="6783C8E1"/>
    <w:rsid w:val="678A4F97"/>
    <w:rsid w:val="67928334"/>
    <w:rsid w:val="679A2FC9"/>
    <w:rsid w:val="679B48D1"/>
    <w:rsid w:val="679D672B"/>
    <w:rsid w:val="67A28BF2"/>
    <w:rsid w:val="67A39FFE"/>
    <w:rsid w:val="67A3C98D"/>
    <w:rsid w:val="67A77D27"/>
    <w:rsid w:val="67AEC9B9"/>
    <w:rsid w:val="67B1CD27"/>
    <w:rsid w:val="67B6B177"/>
    <w:rsid w:val="67BEED6E"/>
    <w:rsid w:val="67C634B9"/>
    <w:rsid w:val="67C71504"/>
    <w:rsid w:val="67CCF641"/>
    <w:rsid w:val="67D4CE5E"/>
    <w:rsid w:val="67D59F08"/>
    <w:rsid w:val="67D9A508"/>
    <w:rsid w:val="67DB239A"/>
    <w:rsid w:val="67E8C125"/>
    <w:rsid w:val="67F62E9F"/>
    <w:rsid w:val="67F6EBAC"/>
    <w:rsid w:val="67FCA89B"/>
    <w:rsid w:val="68000ABB"/>
    <w:rsid w:val="68026472"/>
    <w:rsid w:val="6806D5AE"/>
    <w:rsid w:val="680A5E01"/>
    <w:rsid w:val="680ABD7D"/>
    <w:rsid w:val="680B0A17"/>
    <w:rsid w:val="680B6266"/>
    <w:rsid w:val="680F24A2"/>
    <w:rsid w:val="681058A4"/>
    <w:rsid w:val="681BB770"/>
    <w:rsid w:val="681CB3A8"/>
    <w:rsid w:val="682B9576"/>
    <w:rsid w:val="682E7952"/>
    <w:rsid w:val="683C99C4"/>
    <w:rsid w:val="683F2756"/>
    <w:rsid w:val="684635DD"/>
    <w:rsid w:val="684AD2C2"/>
    <w:rsid w:val="6857C8FB"/>
    <w:rsid w:val="685AA32B"/>
    <w:rsid w:val="685D5345"/>
    <w:rsid w:val="6861EA6A"/>
    <w:rsid w:val="6862F826"/>
    <w:rsid w:val="6864ABF8"/>
    <w:rsid w:val="686BE347"/>
    <w:rsid w:val="686C7093"/>
    <w:rsid w:val="68738F36"/>
    <w:rsid w:val="68788C12"/>
    <w:rsid w:val="689EE6E0"/>
    <w:rsid w:val="68AF93AE"/>
    <w:rsid w:val="68B0F7DA"/>
    <w:rsid w:val="68B270BC"/>
    <w:rsid w:val="68BAA8C4"/>
    <w:rsid w:val="68C92FB9"/>
    <w:rsid w:val="68CECCCC"/>
    <w:rsid w:val="68D26601"/>
    <w:rsid w:val="68D68ED8"/>
    <w:rsid w:val="68D96E40"/>
    <w:rsid w:val="68E4142A"/>
    <w:rsid w:val="68EDD0CD"/>
    <w:rsid w:val="68EDD671"/>
    <w:rsid w:val="68F33536"/>
    <w:rsid w:val="68FACDB6"/>
    <w:rsid w:val="69091F4A"/>
    <w:rsid w:val="690C8E64"/>
    <w:rsid w:val="6913320A"/>
    <w:rsid w:val="691BD4A0"/>
    <w:rsid w:val="69251CA3"/>
    <w:rsid w:val="692F5400"/>
    <w:rsid w:val="6930FC9E"/>
    <w:rsid w:val="6934E850"/>
    <w:rsid w:val="69383027"/>
    <w:rsid w:val="6949C9FE"/>
    <w:rsid w:val="694E43F3"/>
    <w:rsid w:val="694F84EC"/>
    <w:rsid w:val="6955A204"/>
    <w:rsid w:val="69574311"/>
    <w:rsid w:val="695D9196"/>
    <w:rsid w:val="6974A23F"/>
    <w:rsid w:val="698DD8B8"/>
    <w:rsid w:val="699324BA"/>
    <w:rsid w:val="699474AC"/>
    <w:rsid w:val="699C1C8E"/>
    <w:rsid w:val="699EA65D"/>
    <w:rsid w:val="69A33B98"/>
    <w:rsid w:val="69AC7E07"/>
    <w:rsid w:val="69B2A867"/>
    <w:rsid w:val="69B3B1B4"/>
    <w:rsid w:val="69B51DC4"/>
    <w:rsid w:val="69D2970B"/>
    <w:rsid w:val="69DFA915"/>
    <w:rsid w:val="69E42903"/>
    <w:rsid w:val="69E9AB6D"/>
    <w:rsid w:val="69F95107"/>
    <w:rsid w:val="69FD0BDB"/>
    <w:rsid w:val="69FD73BC"/>
    <w:rsid w:val="6A014C67"/>
    <w:rsid w:val="6A0310B4"/>
    <w:rsid w:val="6A04DB69"/>
    <w:rsid w:val="6A0B3301"/>
    <w:rsid w:val="6A11772C"/>
    <w:rsid w:val="6A16D7F8"/>
    <w:rsid w:val="6A236954"/>
    <w:rsid w:val="6A2DACA5"/>
    <w:rsid w:val="6A2ED71B"/>
    <w:rsid w:val="6A313513"/>
    <w:rsid w:val="6A3153C5"/>
    <w:rsid w:val="6A35A7EC"/>
    <w:rsid w:val="6A3A5662"/>
    <w:rsid w:val="6A3AF92B"/>
    <w:rsid w:val="6A404E0D"/>
    <w:rsid w:val="6A458969"/>
    <w:rsid w:val="6A49FEE0"/>
    <w:rsid w:val="6A55D0A7"/>
    <w:rsid w:val="6A58FC5F"/>
    <w:rsid w:val="6A5C0CE5"/>
    <w:rsid w:val="6A6C1ED1"/>
    <w:rsid w:val="6A72DAD8"/>
    <w:rsid w:val="6AA73559"/>
    <w:rsid w:val="6AA90E4E"/>
    <w:rsid w:val="6AB38C69"/>
    <w:rsid w:val="6AB65C82"/>
    <w:rsid w:val="6AB7EE71"/>
    <w:rsid w:val="6ABC55C6"/>
    <w:rsid w:val="6AC01C6D"/>
    <w:rsid w:val="6AC46803"/>
    <w:rsid w:val="6AD07731"/>
    <w:rsid w:val="6AD42FB3"/>
    <w:rsid w:val="6ADA9394"/>
    <w:rsid w:val="6AE19BFE"/>
    <w:rsid w:val="6AE657B2"/>
    <w:rsid w:val="6AEEFBE9"/>
    <w:rsid w:val="6AEFCC6F"/>
    <w:rsid w:val="6AF93E5D"/>
    <w:rsid w:val="6AFFE3D6"/>
    <w:rsid w:val="6B08C47C"/>
    <w:rsid w:val="6B0AE325"/>
    <w:rsid w:val="6B0BFA32"/>
    <w:rsid w:val="6B0DA535"/>
    <w:rsid w:val="6B0E65D0"/>
    <w:rsid w:val="6B101906"/>
    <w:rsid w:val="6B146EA3"/>
    <w:rsid w:val="6B22CB02"/>
    <w:rsid w:val="6B28C3E1"/>
    <w:rsid w:val="6B2BC22E"/>
    <w:rsid w:val="6B30CFE0"/>
    <w:rsid w:val="6B441EF2"/>
    <w:rsid w:val="6B48E253"/>
    <w:rsid w:val="6B4BE3FD"/>
    <w:rsid w:val="6B526CC9"/>
    <w:rsid w:val="6B5D642C"/>
    <w:rsid w:val="6B630AC1"/>
    <w:rsid w:val="6B6E1AFE"/>
    <w:rsid w:val="6B7B377F"/>
    <w:rsid w:val="6B7D4EDD"/>
    <w:rsid w:val="6B7E376C"/>
    <w:rsid w:val="6B827384"/>
    <w:rsid w:val="6B82E090"/>
    <w:rsid w:val="6B8370D2"/>
    <w:rsid w:val="6B876EA0"/>
    <w:rsid w:val="6B880969"/>
    <w:rsid w:val="6B8997D2"/>
    <w:rsid w:val="6B8B13CD"/>
    <w:rsid w:val="6B905AEA"/>
    <w:rsid w:val="6B9278B0"/>
    <w:rsid w:val="6B948708"/>
    <w:rsid w:val="6B96C106"/>
    <w:rsid w:val="6B9C9345"/>
    <w:rsid w:val="6BA0E8F4"/>
    <w:rsid w:val="6BA0FFE6"/>
    <w:rsid w:val="6BB48307"/>
    <w:rsid w:val="6BBCF673"/>
    <w:rsid w:val="6BC43C55"/>
    <w:rsid w:val="6BCD9181"/>
    <w:rsid w:val="6BD97291"/>
    <w:rsid w:val="6BED9D3E"/>
    <w:rsid w:val="6BEE2E70"/>
    <w:rsid w:val="6BEFEE1B"/>
    <w:rsid w:val="6BF55FA4"/>
    <w:rsid w:val="6C0B412A"/>
    <w:rsid w:val="6C0BFE75"/>
    <w:rsid w:val="6C0C624A"/>
    <w:rsid w:val="6C152B4F"/>
    <w:rsid w:val="6C192349"/>
    <w:rsid w:val="6C1F327E"/>
    <w:rsid w:val="6C291D38"/>
    <w:rsid w:val="6C30F1E1"/>
    <w:rsid w:val="6C36C03D"/>
    <w:rsid w:val="6C378091"/>
    <w:rsid w:val="6C389264"/>
    <w:rsid w:val="6C4950CA"/>
    <w:rsid w:val="6C4B617D"/>
    <w:rsid w:val="6C4D38D1"/>
    <w:rsid w:val="6C517CF2"/>
    <w:rsid w:val="6C577AE2"/>
    <w:rsid w:val="6C59597B"/>
    <w:rsid w:val="6C63E840"/>
    <w:rsid w:val="6C653CF5"/>
    <w:rsid w:val="6C65C4F5"/>
    <w:rsid w:val="6C6698DF"/>
    <w:rsid w:val="6C7341A1"/>
    <w:rsid w:val="6C7423A7"/>
    <w:rsid w:val="6C7F3D4C"/>
    <w:rsid w:val="6C82E905"/>
    <w:rsid w:val="6C839725"/>
    <w:rsid w:val="6C8421A4"/>
    <w:rsid w:val="6C85AE29"/>
    <w:rsid w:val="6C8723DC"/>
    <w:rsid w:val="6C88A3C0"/>
    <w:rsid w:val="6C8AC482"/>
    <w:rsid w:val="6C8E2986"/>
    <w:rsid w:val="6C8F2819"/>
    <w:rsid w:val="6C903E80"/>
    <w:rsid w:val="6C98DAEB"/>
    <w:rsid w:val="6CB3C22E"/>
    <w:rsid w:val="6CB54C85"/>
    <w:rsid w:val="6CB7841C"/>
    <w:rsid w:val="6CB86AC1"/>
    <w:rsid w:val="6CCF9ECB"/>
    <w:rsid w:val="6CD54B1E"/>
    <w:rsid w:val="6CE00F8E"/>
    <w:rsid w:val="6CE29989"/>
    <w:rsid w:val="6CE7CDD6"/>
    <w:rsid w:val="6CEEAAC1"/>
    <w:rsid w:val="6CEEE777"/>
    <w:rsid w:val="6CF5E90F"/>
    <w:rsid w:val="6CF947AA"/>
    <w:rsid w:val="6CFE400C"/>
    <w:rsid w:val="6CFF3EC2"/>
    <w:rsid w:val="6D03C814"/>
    <w:rsid w:val="6D1C8BF1"/>
    <w:rsid w:val="6D21BCF1"/>
    <w:rsid w:val="6D227B02"/>
    <w:rsid w:val="6D23008C"/>
    <w:rsid w:val="6D23EE43"/>
    <w:rsid w:val="6D2686BC"/>
    <w:rsid w:val="6D299020"/>
    <w:rsid w:val="6D489EC2"/>
    <w:rsid w:val="6D4A3A25"/>
    <w:rsid w:val="6D557E96"/>
    <w:rsid w:val="6D6B8C0A"/>
    <w:rsid w:val="6D6F2533"/>
    <w:rsid w:val="6D71A77E"/>
    <w:rsid w:val="6D7A0CE6"/>
    <w:rsid w:val="6D7A6141"/>
    <w:rsid w:val="6D7D8052"/>
    <w:rsid w:val="6D932B6E"/>
    <w:rsid w:val="6D93F0BC"/>
    <w:rsid w:val="6D9744F1"/>
    <w:rsid w:val="6DA80923"/>
    <w:rsid w:val="6DB17983"/>
    <w:rsid w:val="6DC4AB3E"/>
    <w:rsid w:val="6DD6EF35"/>
    <w:rsid w:val="6DD72AF6"/>
    <w:rsid w:val="6DE5D843"/>
    <w:rsid w:val="6DF16F89"/>
    <w:rsid w:val="6DF9A018"/>
    <w:rsid w:val="6DFBA71F"/>
    <w:rsid w:val="6E037CE7"/>
    <w:rsid w:val="6E060997"/>
    <w:rsid w:val="6E0DA958"/>
    <w:rsid w:val="6E14E53E"/>
    <w:rsid w:val="6E23F8C7"/>
    <w:rsid w:val="6E26E4F8"/>
    <w:rsid w:val="6E2C5ED3"/>
    <w:rsid w:val="6E3B515B"/>
    <w:rsid w:val="6E3BF28E"/>
    <w:rsid w:val="6E3D5F4B"/>
    <w:rsid w:val="6E4197ED"/>
    <w:rsid w:val="6E491107"/>
    <w:rsid w:val="6E4B93DF"/>
    <w:rsid w:val="6E5C3481"/>
    <w:rsid w:val="6E62D77B"/>
    <w:rsid w:val="6E669E3C"/>
    <w:rsid w:val="6E6976AA"/>
    <w:rsid w:val="6E7FB8A5"/>
    <w:rsid w:val="6E8A6A07"/>
    <w:rsid w:val="6E9FDBED"/>
    <w:rsid w:val="6EA06FE5"/>
    <w:rsid w:val="6EA55CC9"/>
    <w:rsid w:val="6EAF5DEC"/>
    <w:rsid w:val="6EC53ED5"/>
    <w:rsid w:val="6EC7E9B1"/>
    <w:rsid w:val="6ED423A6"/>
    <w:rsid w:val="6ED8DB46"/>
    <w:rsid w:val="6ED914E3"/>
    <w:rsid w:val="6EE8ABF7"/>
    <w:rsid w:val="6EEA0307"/>
    <w:rsid w:val="6EF3C6C2"/>
    <w:rsid w:val="6F00FFD5"/>
    <w:rsid w:val="6F012F79"/>
    <w:rsid w:val="6F079315"/>
    <w:rsid w:val="6F087053"/>
    <w:rsid w:val="6F0B70BE"/>
    <w:rsid w:val="6F0D1F2C"/>
    <w:rsid w:val="6F13A9A1"/>
    <w:rsid w:val="6F1A9253"/>
    <w:rsid w:val="6F1C9135"/>
    <w:rsid w:val="6F2B019A"/>
    <w:rsid w:val="6F398C5C"/>
    <w:rsid w:val="6F3AAEC2"/>
    <w:rsid w:val="6F3D9A44"/>
    <w:rsid w:val="6F3E5683"/>
    <w:rsid w:val="6F3FF093"/>
    <w:rsid w:val="6F4005C7"/>
    <w:rsid w:val="6F44F778"/>
    <w:rsid w:val="6F4A283E"/>
    <w:rsid w:val="6F5FCE5D"/>
    <w:rsid w:val="6F635293"/>
    <w:rsid w:val="6F68FAA7"/>
    <w:rsid w:val="6F695CF3"/>
    <w:rsid w:val="6F6DD058"/>
    <w:rsid w:val="6F75F80D"/>
    <w:rsid w:val="6F7AB538"/>
    <w:rsid w:val="6F7E1354"/>
    <w:rsid w:val="6F7E52F3"/>
    <w:rsid w:val="6F833797"/>
    <w:rsid w:val="6F861AD3"/>
    <w:rsid w:val="6F8CEFD7"/>
    <w:rsid w:val="6F904F45"/>
    <w:rsid w:val="6F9A8CD5"/>
    <w:rsid w:val="6FA0349C"/>
    <w:rsid w:val="6FA6A9D8"/>
    <w:rsid w:val="6FA6D384"/>
    <w:rsid w:val="6FA71BE7"/>
    <w:rsid w:val="6FB09DC0"/>
    <w:rsid w:val="6FB7A138"/>
    <w:rsid w:val="6FB94802"/>
    <w:rsid w:val="6FBE98AF"/>
    <w:rsid w:val="6FC23EFE"/>
    <w:rsid w:val="6FCCF4C9"/>
    <w:rsid w:val="6FDF6B85"/>
    <w:rsid w:val="6FE7ABE0"/>
    <w:rsid w:val="6FE9CB4D"/>
    <w:rsid w:val="6FF806E0"/>
    <w:rsid w:val="6FFCAF64"/>
    <w:rsid w:val="70025D90"/>
    <w:rsid w:val="7004D638"/>
    <w:rsid w:val="70059C3D"/>
    <w:rsid w:val="700AAB57"/>
    <w:rsid w:val="70113C5C"/>
    <w:rsid w:val="7015D1E0"/>
    <w:rsid w:val="701A0BA8"/>
    <w:rsid w:val="701DF283"/>
    <w:rsid w:val="70288CE9"/>
    <w:rsid w:val="702957C3"/>
    <w:rsid w:val="702A2773"/>
    <w:rsid w:val="702E9E79"/>
    <w:rsid w:val="702F4F7A"/>
    <w:rsid w:val="7032FF2C"/>
    <w:rsid w:val="7034F547"/>
    <w:rsid w:val="70359C77"/>
    <w:rsid w:val="7038E934"/>
    <w:rsid w:val="703A2ACE"/>
    <w:rsid w:val="703B1DB3"/>
    <w:rsid w:val="703B5F46"/>
    <w:rsid w:val="703BB855"/>
    <w:rsid w:val="703E97E8"/>
    <w:rsid w:val="70414A3E"/>
    <w:rsid w:val="70480E67"/>
    <w:rsid w:val="70543645"/>
    <w:rsid w:val="7073C4ED"/>
    <w:rsid w:val="70757392"/>
    <w:rsid w:val="707BCA04"/>
    <w:rsid w:val="707D9F1D"/>
    <w:rsid w:val="707F11E1"/>
    <w:rsid w:val="70829E82"/>
    <w:rsid w:val="70852D1F"/>
    <w:rsid w:val="7089B20D"/>
    <w:rsid w:val="70946B27"/>
    <w:rsid w:val="7096DFFF"/>
    <w:rsid w:val="709D3562"/>
    <w:rsid w:val="709E4162"/>
    <w:rsid w:val="709E7DCB"/>
    <w:rsid w:val="70B6E295"/>
    <w:rsid w:val="70B9ABF5"/>
    <w:rsid w:val="70BFE52B"/>
    <w:rsid w:val="70C793A5"/>
    <w:rsid w:val="70CC2CA0"/>
    <w:rsid w:val="70D94D27"/>
    <w:rsid w:val="70DAE463"/>
    <w:rsid w:val="70E0C7D9"/>
    <w:rsid w:val="70E1DDD0"/>
    <w:rsid w:val="70EA44D0"/>
    <w:rsid w:val="70F2FB9B"/>
    <w:rsid w:val="70F60153"/>
    <w:rsid w:val="70F9F036"/>
    <w:rsid w:val="7100AD6C"/>
    <w:rsid w:val="7102142E"/>
    <w:rsid w:val="710E0B85"/>
    <w:rsid w:val="7116142C"/>
    <w:rsid w:val="7118051A"/>
    <w:rsid w:val="711B97B5"/>
    <w:rsid w:val="712625C1"/>
    <w:rsid w:val="7138AE4E"/>
    <w:rsid w:val="71405F54"/>
    <w:rsid w:val="71445757"/>
    <w:rsid w:val="7147BB4D"/>
    <w:rsid w:val="714AE6FD"/>
    <w:rsid w:val="714ECF97"/>
    <w:rsid w:val="714F069B"/>
    <w:rsid w:val="71546016"/>
    <w:rsid w:val="715922E0"/>
    <w:rsid w:val="71597602"/>
    <w:rsid w:val="7161D3E2"/>
    <w:rsid w:val="716ECCD0"/>
    <w:rsid w:val="71725EF6"/>
    <w:rsid w:val="7177C23A"/>
    <w:rsid w:val="71810C89"/>
    <w:rsid w:val="7182A464"/>
    <w:rsid w:val="718505CF"/>
    <w:rsid w:val="718786DF"/>
    <w:rsid w:val="718B4FCD"/>
    <w:rsid w:val="719083E5"/>
    <w:rsid w:val="7193137A"/>
    <w:rsid w:val="7193F46E"/>
    <w:rsid w:val="719616E5"/>
    <w:rsid w:val="7199C9E9"/>
    <w:rsid w:val="71A2D1EC"/>
    <w:rsid w:val="71A2DA91"/>
    <w:rsid w:val="71AA4B7B"/>
    <w:rsid w:val="71AB7F70"/>
    <w:rsid w:val="71B23049"/>
    <w:rsid w:val="71B86B7D"/>
    <w:rsid w:val="71BC3EB3"/>
    <w:rsid w:val="71C81CF2"/>
    <w:rsid w:val="71C96526"/>
    <w:rsid w:val="71E295E8"/>
    <w:rsid w:val="71E3C50C"/>
    <w:rsid w:val="71E629C8"/>
    <w:rsid w:val="71E95FD9"/>
    <w:rsid w:val="71EE063E"/>
    <w:rsid w:val="71F389C9"/>
    <w:rsid w:val="71FC3BBB"/>
    <w:rsid w:val="71FD0AC2"/>
    <w:rsid w:val="71FDDDBB"/>
    <w:rsid w:val="720681F4"/>
    <w:rsid w:val="72074D9F"/>
    <w:rsid w:val="720D1E11"/>
    <w:rsid w:val="72152136"/>
    <w:rsid w:val="72161EEA"/>
    <w:rsid w:val="7218CB80"/>
    <w:rsid w:val="72200DC3"/>
    <w:rsid w:val="722473ED"/>
    <w:rsid w:val="723622AD"/>
    <w:rsid w:val="7238D58F"/>
    <w:rsid w:val="72432A30"/>
    <w:rsid w:val="7249F3C7"/>
    <w:rsid w:val="7252084A"/>
    <w:rsid w:val="7255266F"/>
    <w:rsid w:val="725C1266"/>
    <w:rsid w:val="7264478B"/>
    <w:rsid w:val="7265D14C"/>
    <w:rsid w:val="726B46A6"/>
    <w:rsid w:val="726C176F"/>
    <w:rsid w:val="726D3B13"/>
    <w:rsid w:val="72708DC8"/>
    <w:rsid w:val="72736B61"/>
    <w:rsid w:val="727568EC"/>
    <w:rsid w:val="727928E1"/>
    <w:rsid w:val="727B3269"/>
    <w:rsid w:val="72878C78"/>
    <w:rsid w:val="72907C24"/>
    <w:rsid w:val="72920C64"/>
    <w:rsid w:val="72960B0F"/>
    <w:rsid w:val="72A44302"/>
    <w:rsid w:val="72A5B2E1"/>
    <w:rsid w:val="72B491BD"/>
    <w:rsid w:val="72B89F0E"/>
    <w:rsid w:val="72BED5C8"/>
    <w:rsid w:val="72C357D9"/>
    <w:rsid w:val="72C53F94"/>
    <w:rsid w:val="72C8A9E7"/>
    <w:rsid w:val="72CA62D7"/>
    <w:rsid w:val="72CDB507"/>
    <w:rsid w:val="72D078FF"/>
    <w:rsid w:val="72D78C31"/>
    <w:rsid w:val="72DD3139"/>
    <w:rsid w:val="72DE7446"/>
    <w:rsid w:val="72E0C897"/>
    <w:rsid w:val="72EABD3F"/>
    <w:rsid w:val="72ECE43C"/>
    <w:rsid w:val="72F5367C"/>
    <w:rsid w:val="72F6DB74"/>
    <w:rsid w:val="7304F59E"/>
    <w:rsid w:val="730A666F"/>
    <w:rsid w:val="7311CC7F"/>
    <w:rsid w:val="7319A6CB"/>
    <w:rsid w:val="731F2875"/>
    <w:rsid w:val="732D2DFE"/>
    <w:rsid w:val="7332FF33"/>
    <w:rsid w:val="733D14A9"/>
    <w:rsid w:val="73410A48"/>
    <w:rsid w:val="73449212"/>
    <w:rsid w:val="73478151"/>
    <w:rsid w:val="734942CE"/>
    <w:rsid w:val="734C0F33"/>
    <w:rsid w:val="734E4983"/>
    <w:rsid w:val="7357785A"/>
    <w:rsid w:val="735AD2BE"/>
    <w:rsid w:val="735EABB0"/>
    <w:rsid w:val="736A7560"/>
    <w:rsid w:val="736FD389"/>
    <w:rsid w:val="737697F3"/>
    <w:rsid w:val="737B77EF"/>
    <w:rsid w:val="737F2EFF"/>
    <w:rsid w:val="7388EB0E"/>
    <w:rsid w:val="738F9726"/>
    <w:rsid w:val="7391FA86"/>
    <w:rsid w:val="7397B941"/>
    <w:rsid w:val="7397EDEB"/>
    <w:rsid w:val="73993BF9"/>
    <w:rsid w:val="739A5721"/>
    <w:rsid w:val="739D8FB5"/>
    <w:rsid w:val="73A26D0E"/>
    <w:rsid w:val="73A2A49B"/>
    <w:rsid w:val="73A402C1"/>
    <w:rsid w:val="73BBA1A8"/>
    <w:rsid w:val="73BE3890"/>
    <w:rsid w:val="73C2C139"/>
    <w:rsid w:val="73C9570C"/>
    <w:rsid w:val="73D60820"/>
    <w:rsid w:val="73DC91DE"/>
    <w:rsid w:val="73DED31A"/>
    <w:rsid w:val="73E3A967"/>
    <w:rsid w:val="73E7A9E2"/>
    <w:rsid w:val="73EC0D58"/>
    <w:rsid w:val="73EE1822"/>
    <w:rsid w:val="73EFA161"/>
    <w:rsid w:val="73FE2E38"/>
    <w:rsid w:val="73FF6EB5"/>
    <w:rsid w:val="741138D8"/>
    <w:rsid w:val="741B0144"/>
    <w:rsid w:val="741D82D3"/>
    <w:rsid w:val="741E60DA"/>
    <w:rsid w:val="741F88FC"/>
    <w:rsid w:val="742002AB"/>
    <w:rsid w:val="74273552"/>
    <w:rsid w:val="743591A5"/>
    <w:rsid w:val="7435EA48"/>
    <w:rsid w:val="743ED63B"/>
    <w:rsid w:val="7447AE82"/>
    <w:rsid w:val="744CF854"/>
    <w:rsid w:val="744E8174"/>
    <w:rsid w:val="744F5BFB"/>
    <w:rsid w:val="745C6955"/>
    <w:rsid w:val="7467E69D"/>
    <w:rsid w:val="746970C7"/>
    <w:rsid w:val="746E730D"/>
    <w:rsid w:val="746E8B64"/>
    <w:rsid w:val="74727450"/>
    <w:rsid w:val="7473BA8A"/>
    <w:rsid w:val="747F7B54"/>
    <w:rsid w:val="748C0E54"/>
    <w:rsid w:val="74914FEB"/>
    <w:rsid w:val="74944629"/>
    <w:rsid w:val="7496BCAB"/>
    <w:rsid w:val="74998382"/>
    <w:rsid w:val="74A98BB7"/>
    <w:rsid w:val="74ACE46D"/>
    <w:rsid w:val="74B00C82"/>
    <w:rsid w:val="74B969E9"/>
    <w:rsid w:val="74B98CD5"/>
    <w:rsid w:val="74BC3D60"/>
    <w:rsid w:val="74BEAF63"/>
    <w:rsid w:val="74C32F64"/>
    <w:rsid w:val="74CD6DA2"/>
    <w:rsid w:val="74CFB41F"/>
    <w:rsid w:val="74D3F6CC"/>
    <w:rsid w:val="74D5ECBB"/>
    <w:rsid w:val="74D66418"/>
    <w:rsid w:val="74DD1684"/>
    <w:rsid w:val="74DE3612"/>
    <w:rsid w:val="74EC132C"/>
    <w:rsid w:val="74EFB4F5"/>
    <w:rsid w:val="74F381E7"/>
    <w:rsid w:val="74F5E26B"/>
    <w:rsid w:val="74FFC840"/>
    <w:rsid w:val="750831A2"/>
    <w:rsid w:val="750EB4E0"/>
    <w:rsid w:val="751412B8"/>
    <w:rsid w:val="75193DF7"/>
    <w:rsid w:val="751C0A45"/>
    <w:rsid w:val="751E37D7"/>
    <w:rsid w:val="75203299"/>
    <w:rsid w:val="75205820"/>
    <w:rsid w:val="7526EBA8"/>
    <w:rsid w:val="75271BFB"/>
    <w:rsid w:val="752CA8FE"/>
    <w:rsid w:val="752F2E50"/>
    <w:rsid w:val="7536B2E1"/>
    <w:rsid w:val="753AA713"/>
    <w:rsid w:val="753EA394"/>
    <w:rsid w:val="75481070"/>
    <w:rsid w:val="754A40D0"/>
    <w:rsid w:val="756A2C2F"/>
    <w:rsid w:val="7573FB27"/>
    <w:rsid w:val="757B7BE0"/>
    <w:rsid w:val="75843DA4"/>
    <w:rsid w:val="7594FD1A"/>
    <w:rsid w:val="759AFA47"/>
    <w:rsid w:val="75A55787"/>
    <w:rsid w:val="75A6D298"/>
    <w:rsid w:val="75B029C9"/>
    <w:rsid w:val="75B22B61"/>
    <w:rsid w:val="75B39BF5"/>
    <w:rsid w:val="75B56231"/>
    <w:rsid w:val="75C52C5D"/>
    <w:rsid w:val="75CE0E54"/>
    <w:rsid w:val="75D02D8D"/>
    <w:rsid w:val="75D901E9"/>
    <w:rsid w:val="75DB3950"/>
    <w:rsid w:val="75F68B73"/>
    <w:rsid w:val="75F8E9A8"/>
    <w:rsid w:val="75F9CA0A"/>
    <w:rsid w:val="75FC98DD"/>
    <w:rsid w:val="76114914"/>
    <w:rsid w:val="761390E5"/>
    <w:rsid w:val="76151D64"/>
    <w:rsid w:val="76170338"/>
    <w:rsid w:val="76189935"/>
    <w:rsid w:val="7629E493"/>
    <w:rsid w:val="76412A82"/>
    <w:rsid w:val="76487C32"/>
    <w:rsid w:val="76489620"/>
    <w:rsid w:val="76527026"/>
    <w:rsid w:val="765730D8"/>
    <w:rsid w:val="76581B8D"/>
    <w:rsid w:val="7659DD48"/>
    <w:rsid w:val="766F49E7"/>
    <w:rsid w:val="7670B8F7"/>
    <w:rsid w:val="7675DF22"/>
    <w:rsid w:val="767E600F"/>
    <w:rsid w:val="7682BEAF"/>
    <w:rsid w:val="76910B48"/>
    <w:rsid w:val="76A2A0FD"/>
    <w:rsid w:val="76A3F559"/>
    <w:rsid w:val="76A49CCC"/>
    <w:rsid w:val="76A596DE"/>
    <w:rsid w:val="76AAFBE1"/>
    <w:rsid w:val="76AC526A"/>
    <w:rsid w:val="76B6D7F1"/>
    <w:rsid w:val="76B70055"/>
    <w:rsid w:val="76B7CC1D"/>
    <w:rsid w:val="76BA4C03"/>
    <w:rsid w:val="76CFE5CC"/>
    <w:rsid w:val="76DABF24"/>
    <w:rsid w:val="76E1522B"/>
    <w:rsid w:val="76E46B7C"/>
    <w:rsid w:val="76E54E75"/>
    <w:rsid w:val="76ECF700"/>
    <w:rsid w:val="76EFFC08"/>
    <w:rsid w:val="76F036D0"/>
    <w:rsid w:val="76F7587E"/>
    <w:rsid w:val="76FEC468"/>
    <w:rsid w:val="770E8C49"/>
    <w:rsid w:val="77134470"/>
    <w:rsid w:val="7715ABB7"/>
    <w:rsid w:val="771F2772"/>
    <w:rsid w:val="77218654"/>
    <w:rsid w:val="773F640D"/>
    <w:rsid w:val="77466314"/>
    <w:rsid w:val="775422B9"/>
    <w:rsid w:val="77560D90"/>
    <w:rsid w:val="775A735E"/>
    <w:rsid w:val="775AE638"/>
    <w:rsid w:val="775FBBD9"/>
    <w:rsid w:val="7761D74F"/>
    <w:rsid w:val="7765D96B"/>
    <w:rsid w:val="776753C9"/>
    <w:rsid w:val="776A4404"/>
    <w:rsid w:val="776B51F3"/>
    <w:rsid w:val="776C071D"/>
    <w:rsid w:val="776E3DF1"/>
    <w:rsid w:val="7784FDBB"/>
    <w:rsid w:val="778656C3"/>
    <w:rsid w:val="778CD5F2"/>
    <w:rsid w:val="7794351E"/>
    <w:rsid w:val="779478A5"/>
    <w:rsid w:val="7795F4EB"/>
    <w:rsid w:val="779BCE12"/>
    <w:rsid w:val="77A2B387"/>
    <w:rsid w:val="77B1BBA0"/>
    <w:rsid w:val="77B1E569"/>
    <w:rsid w:val="77B55470"/>
    <w:rsid w:val="77BF1BBA"/>
    <w:rsid w:val="77C33007"/>
    <w:rsid w:val="77C5D8FD"/>
    <w:rsid w:val="77C8F1F9"/>
    <w:rsid w:val="77CDF455"/>
    <w:rsid w:val="77CE4A50"/>
    <w:rsid w:val="77D126C4"/>
    <w:rsid w:val="77D230A4"/>
    <w:rsid w:val="77DB4CE7"/>
    <w:rsid w:val="77EEF681"/>
    <w:rsid w:val="77EF305C"/>
    <w:rsid w:val="77FD5FD5"/>
    <w:rsid w:val="77FDA9C9"/>
    <w:rsid w:val="77FE1B93"/>
    <w:rsid w:val="7802EBAD"/>
    <w:rsid w:val="78062AD0"/>
    <w:rsid w:val="78164E01"/>
    <w:rsid w:val="781A9890"/>
    <w:rsid w:val="781D93AB"/>
    <w:rsid w:val="78204F9A"/>
    <w:rsid w:val="7824A6B7"/>
    <w:rsid w:val="78371D1F"/>
    <w:rsid w:val="7839EB3F"/>
    <w:rsid w:val="783E638C"/>
    <w:rsid w:val="783FE136"/>
    <w:rsid w:val="7848F77B"/>
    <w:rsid w:val="784D8F0F"/>
    <w:rsid w:val="78567C67"/>
    <w:rsid w:val="7857970B"/>
    <w:rsid w:val="785DA0D2"/>
    <w:rsid w:val="7864F241"/>
    <w:rsid w:val="7866529C"/>
    <w:rsid w:val="786C0865"/>
    <w:rsid w:val="787C2FE1"/>
    <w:rsid w:val="78940E1B"/>
    <w:rsid w:val="7895E8C7"/>
    <w:rsid w:val="78A81653"/>
    <w:rsid w:val="78B63DCC"/>
    <w:rsid w:val="78C6E843"/>
    <w:rsid w:val="78C87E38"/>
    <w:rsid w:val="78D82EF3"/>
    <w:rsid w:val="78DE452F"/>
    <w:rsid w:val="78F8F91A"/>
    <w:rsid w:val="78FA2F81"/>
    <w:rsid w:val="78FBD2B5"/>
    <w:rsid w:val="78FFBE58"/>
    <w:rsid w:val="790E5C0C"/>
    <w:rsid w:val="7912C0B7"/>
    <w:rsid w:val="791AFC41"/>
    <w:rsid w:val="7922B8E7"/>
    <w:rsid w:val="79263D53"/>
    <w:rsid w:val="7927BD4E"/>
    <w:rsid w:val="7927D1B2"/>
    <w:rsid w:val="7930B97C"/>
    <w:rsid w:val="793B6EC4"/>
    <w:rsid w:val="794941DD"/>
    <w:rsid w:val="794FE5D9"/>
    <w:rsid w:val="795245D4"/>
    <w:rsid w:val="795A919B"/>
    <w:rsid w:val="79602584"/>
    <w:rsid w:val="79605FCF"/>
    <w:rsid w:val="79622CC2"/>
    <w:rsid w:val="796A1829"/>
    <w:rsid w:val="796AE28A"/>
    <w:rsid w:val="797870EF"/>
    <w:rsid w:val="797B561E"/>
    <w:rsid w:val="798D29E1"/>
    <w:rsid w:val="799080D0"/>
    <w:rsid w:val="7992F948"/>
    <w:rsid w:val="799524B5"/>
    <w:rsid w:val="79999127"/>
    <w:rsid w:val="799B0245"/>
    <w:rsid w:val="799CF3D1"/>
    <w:rsid w:val="79A2283E"/>
    <w:rsid w:val="79A38A51"/>
    <w:rsid w:val="79AC9F94"/>
    <w:rsid w:val="79AF06CF"/>
    <w:rsid w:val="79B6CFCC"/>
    <w:rsid w:val="79BB0F3F"/>
    <w:rsid w:val="79C035E2"/>
    <w:rsid w:val="79CB601E"/>
    <w:rsid w:val="79CC0FBA"/>
    <w:rsid w:val="79CCFBF3"/>
    <w:rsid w:val="79D24B09"/>
    <w:rsid w:val="79D306E3"/>
    <w:rsid w:val="79D360A8"/>
    <w:rsid w:val="79D3B889"/>
    <w:rsid w:val="79D4AE9E"/>
    <w:rsid w:val="79DAC63F"/>
    <w:rsid w:val="79DD1ED1"/>
    <w:rsid w:val="79DF41B5"/>
    <w:rsid w:val="79DF98BA"/>
    <w:rsid w:val="79E3E948"/>
    <w:rsid w:val="79ECAF1A"/>
    <w:rsid w:val="79F4D84B"/>
    <w:rsid w:val="7A0C20A0"/>
    <w:rsid w:val="7A150C94"/>
    <w:rsid w:val="7A20A0B2"/>
    <w:rsid w:val="7A303F8E"/>
    <w:rsid w:val="7A35CA5A"/>
    <w:rsid w:val="7A3B3E44"/>
    <w:rsid w:val="7A3D835A"/>
    <w:rsid w:val="7A3FAC87"/>
    <w:rsid w:val="7A4CE1EF"/>
    <w:rsid w:val="7A5AA030"/>
    <w:rsid w:val="7A6A549A"/>
    <w:rsid w:val="7A715A3D"/>
    <w:rsid w:val="7A7874FD"/>
    <w:rsid w:val="7A789FDB"/>
    <w:rsid w:val="7A7ECC33"/>
    <w:rsid w:val="7A82F855"/>
    <w:rsid w:val="7A87F497"/>
    <w:rsid w:val="7A8A1B5F"/>
    <w:rsid w:val="7A8D5067"/>
    <w:rsid w:val="7A8E4F48"/>
    <w:rsid w:val="7A94D59A"/>
    <w:rsid w:val="7A950089"/>
    <w:rsid w:val="7A950A23"/>
    <w:rsid w:val="7A95C35F"/>
    <w:rsid w:val="7A97F2F5"/>
    <w:rsid w:val="7A993D1D"/>
    <w:rsid w:val="7AA80E6E"/>
    <w:rsid w:val="7AA8A70B"/>
    <w:rsid w:val="7AA8E41D"/>
    <w:rsid w:val="7AC139B9"/>
    <w:rsid w:val="7AD20ED8"/>
    <w:rsid w:val="7AD89080"/>
    <w:rsid w:val="7ADC9522"/>
    <w:rsid w:val="7AE4BCCC"/>
    <w:rsid w:val="7AE9AC35"/>
    <w:rsid w:val="7AEE9C12"/>
    <w:rsid w:val="7AF20872"/>
    <w:rsid w:val="7AF3254E"/>
    <w:rsid w:val="7AF5B860"/>
    <w:rsid w:val="7AF86823"/>
    <w:rsid w:val="7B020857"/>
    <w:rsid w:val="7B049C2C"/>
    <w:rsid w:val="7B0AD5B4"/>
    <w:rsid w:val="7B0D96CA"/>
    <w:rsid w:val="7B1EDD37"/>
    <w:rsid w:val="7B3C4B68"/>
    <w:rsid w:val="7B3E8171"/>
    <w:rsid w:val="7B447405"/>
    <w:rsid w:val="7B45493B"/>
    <w:rsid w:val="7B493619"/>
    <w:rsid w:val="7B499A9D"/>
    <w:rsid w:val="7B50CD70"/>
    <w:rsid w:val="7B50DFDD"/>
    <w:rsid w:val="7B55E167"/>
    <w:rsid w:val="7B5A42BC"/>
    <w:rsid w:val="7B5AA50F"/>
    <w:rsid w:val="7B6AB9A0"/>
    <w:rsid w:val="7B70EBB0"/>
    <w:rsid w:val="7B73B990"/>
    <w:rsid w:val="7B7F0463"/>
    <w:rsid w:val="7B85D776"/>
    <w:rsid w:val="7B86C92E"/>
    <w:rsid w:val="7B8BD640"/>
    <w:rsid w:val="7B942A8D"/>
    <w:rsid w:val="7B9AC431"/>
    <w:rsid w:val="7BA0B717"/>
    <w:rsid w:val="7BA4FFFC"/>
    <w:rsid w:val="7BAA5872"/>
    <w:rsid w:val="7BAE4242"/>
    <w:rsid w:val="7BAF2109"/>
    <w:rsid w:val="7BB1C70F"/>
    <w:rsid w:val="7BBB4C11"/>
    <w:rsid w:val="7BC30760"/>
    <w:rsid w:val="7BC40601"/>
    <w:rsid w:val="7BC55D83"/>
    <w:rsid w:val="7BCDB929"/>
    <w:rsid w:val="7BD3BB3A"/>
    <w:rsid w:val="7BD4C960"/>
    <w:rsid w:val="7BD56884"/>
    <w:rsid w:val="7BD5B97D"/>
    <w:rsid w:val="7BD91E85"/>
    <w:rsid w:val="7BDE133D"/>
    <w:rsid w:val="7BE1E565"/>
    <w:rsid w:val="7BE47E6A"/>
    <w:rsid w:val="7BE8F0AF"/>
    <w:rsid w:val="7BEF9DF5"/>
    <w:rsid w:val="7BF1B147"/>
    <w:rsid w:val="7BF665C5"/>
    <w:rsid w:val="7BF7886A"/>
    <w:rsid w:val="7BFB6D86"/>
    <w:rsid w:val="7BFD8D68"/>
    <w:rsid w:val="7C006DBC"/>
    <w:rsid w:val="7C114103"/>
    <w:rsid w:val="7C116ABE"/>
    <w:rsid w:val="7C124354"/>
    <w:rsid w:val="7C1B05D8"/>
    <w:rsid w:val="7C1E2CDD"/>
    <w:rsid w:val="7C1F08ED"/>
    <w:rsid w:val="7C26E9D1"/>
    <w:rsid w:val="7C2C381E"/>
    <w:rsid w:val="7C2F26E3"/>
    <w:rsid w:val="7C3C1D4A"/>
    <w:rsid w:val="7C3E63EB"/>
    <w:rsid w:val="7C4232C0"/>
    <w:rsid w:val="7C47AB8E"/>
    <w:rsid w:val="7C4816C9"/>
    <w:rsid w:val="7C4CA8C2"/>
    <w:rsid w:val="7C4D205F"/>
    <w:rsid w:val="7C540ED1"/>
    <w:rsid w:val="7C6C027E"/>
    <w:rsid w:val="7C6EFA8D"/>
    <w:rsid w:val="7C7280F0"/>
    <w:rsid w:val="7C77739B"/>
    <w:rsid w:val="7C8351B7"/>
    <w:rsid w:val="7C84BE65"/>
    <w:rsid w:val="7C8E8BED"/>
    <w:rsid w:val="7C8FC1F2"/>
    <w:rsid w:val="7C8FEAB9"/>
    <w:rsid w:val="7C99E29D"/>
    <w:rsid w:val="7C9A910C"/>
    <w:rsid w:val="7C9FE114"/>
    <w:rsid w:val="7CAAFBF7"/>
    <w:rsid w:val="7CAFC918"/>
    <w:rsid w:val="7CCCEEB3"/>
    <w:rsid w:val="7CD88F2F"/>
    <w:rsid w:val="7CDCEAC0"/>
    <w:rsid w:val="7CDD13A6"/>
    <w:rsid w:val="7CEB18DE"/>
    <w:rsid w:val="7CECEB42"/>
    <w:rsid w:val="7CF4712E"/>
    <w:rsid w:val="7CFDA1DA"/>
    <w:rsid w:val="7D0CBC11"/>
    <w:rsid w:val="7D10B1FF"/>
    <w:rsid w:val="7D15A520"/>
    <w:rsid w:val="7D1935D7"/>
    <w:rsid w:val="7D1EA2D2"/>
    <w:rsid w:val="7D1F0D58"/>
    <w:rsid w:val="7D244FDC"/>
    <w:rsid w:val="7D2547F7"/>
    <w:rsid w:val="7D267E2D"/>
    <w:rsid w:val="7D3032E1"/>
    <w:rsid w:val="7D31913E"/>
    <w:rsid w:val="7D3B7EB6"/>
    <w:rsid w:val="7D3F3CCA"/>
    <w:rsid w:val="7D46603C"/>
    <w:rsid w:val="7D4C8462"/>
    <w:rsid w:val="7D4CFF23"/>
    <w:rsid w:val="7D4F542F"/>
    <w:rsid w:val="7D5CFBDA"/>
    <w:rsid w:val="7D64B1AF"/>
    <w:rsid w:val="7D69ED3C"/>
    <w:rsid w:val="7D6F0BFA"/>
    <w:rsid w:val="7D6FC2CF"/>
    <w:rsid w:val="7D8699E1"/>
    <w:rsid w:val="7D894E8A"/>
    <w:rsid w:val="7D8C3A78"/>
    <w:rsid w:val="7D8CB113"/>
    <w:rsid w:val="7D9320B2"/>
    <w:rsid w:val="7D9427F0"/>
    <w:rsid w:val="7D9BD218"/>
    <w:rsid w:val="7DA854CB"/>
    <w:rsid w:val="7DAB4C2B"/>
    <w:rsid w:val="7DBAED52"/>
    <w:rsid w:val="7DBB84A4"/>
    <w:rsid w:val="7DBF4AE1"/>
    <w:rsid w:val="7DCC1241"/>
    <w:rsid w:val="7DD13C6A"/>
    <w:rsid w:val="7DE74A7A"/>
    <w:rsid w:val="7DE7F31B"/>
    <w:rsid w:val="7DF5AC20"/>
    <w:rsid w:val="7E03364C"/>
    <w:rsid w:val="7E24C5AA"/>
    <w:rsid w:val="7E352A14"/>
    <w:rsid w:val="7E35564C"/>
    <w:rsid w:val="7E3C1BD7"/>
    <w:rsid w:val="7E3E09A0"/>
    <w:rsid w:val="7E4944A7"/>
    <w:rsid w:val="7E4E8F43"/>
    <w:rsid w:val="7E51E95C"/>
    <w:rsid w:val="7E5BEA1B"/>
    <w:rsid w:val="7E689E7B"/>
    <w:rsid w:val="7E716289"/>
    <w:rsid w:val="7E7174E2"/>
    <w:rsid w:val="7E74D9D3"/>
    <w:rsid w:val="7E832C07"/>
    <w:rsid w:val="7E8334D6"/>
    <w:rsid w:val="7E842B4E"/>
    <w:rsid w:val="7E883534"/>
    <w:rsid w:val="7E884901"/>
    <w:rsid w:val="7E8A440E"/>
    <w:rsid w:val="7E964E2A"/>
    <w:rsid w:val="7E981051"/>
    <w:rsid w:val="7E996812"/>
    <w:rsid w:val="7E9FC14B"/>
    <w:rsid w:val="7EA07ECE"/>
    <w:rsid w:val="7EAB29E3"/>
    <w:rsid w:val="7EADC5E3"/>
    <w:rsid w:val="7EBFEA84"/>
    <w:rsid w:val="7EC22777"/>
    <w:rsid w:val="7EC30DF0"/>
    <w:rsid w:val="7EC3A0FA"/>
    <w:rsid w:val="7ECE308F"/>
    <w:rsid w:val="7ECE8148"/>
    <w:rsid w:val="7ED223FE"/>
    <w:rsid w:val="7ED6E617"/>
    <w:rsid w:val="7EDB2273"/>
    <w:rsid w:val="7EDD587C"/>
    <w:rsid w:val="7EE0B22F"/>
    <w:rsid w:val="7EE518FD"/>
    <w:rsid w:val="7EEDF7B5"/>
    <w:rsid w:val="7EFFA523"/>
    <w:rsid w:val="7F0386FD"/>
    <w:rsid w:val="7F04245F"/>
    <w:rsid w:val="7F05A632"/>
    <w:rsid w:val="7F092B0D"/>
    <w:rsid w:val="7F096E3D"/>
    <w:rsid w:val="7F0D7A4A"/>
    <w:rsid w:val="7F112F8C"/>
    <w:rsid w:val="7F17E35D"/>
    <w:rsid w:val="7F18B79F"/>
    <w:rsid w:val="7F198627"/>
    <w:rsid w:val="7F19EE67"/>
    <w:rsid w:val="7F1A78B2"/>
    <w:rsid w:val="7F1F5B7E"/>
    <w:rsid w:val="7F219C6E"/>
    <w:rsid w:val="7F28D3E1"/>
    <w:rsid w:val="7F29B156"/>
    <w:rsid w:val="7F4F8B16"/>
    <w:rsid w:val="7F50D1D2"/>
    <w:rsid w:val="7F6A1DD4"/>
    <w:rsid w:val="7F70837C"/>
    <w:rsid w:val="7F77746D"/>
    <w:rsid w:val="7F7F4880"/>
    <w:rsid w:val="7F84E2BA"/>
    <w:rsid w:val="7F86D7DB"/>
    <w:rsid w:val="7F8CF8A3"/>
    <w:rsid w:val="7F97F8C1"/>
    <w:rsid w:val="7F99E138"/>
    <w:rsid w:val="7FA71C07"/>
    <w:rsid w:val="7FA905AD"/>
    <w:rsid w:val="7FB20299"/>
    <w:rsid w:val="7FBA1104"/>
    <w:rsid w:val="7FC75705"/>
    <w:rsid w:val="7FC760C0"/>
    <w:rsid w:val="7FCBAB4B"/>
    <w:rsid w:val="7FD22B5C"/>
    <w:rsid w:val="7FD34B0B"/>
    <w:rsid w:val="7FF0C3AF"/>
    <w:rsid w:val="7FF32662"/>
    <w:rsid w:val="7FF40D88"/>
    <w:rsid w:val="7FF464B4"/>
    <w:rsid w:val="7FF48EE2"/>
    <w:rsid w:val="7FFCF55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9E2899"/>
  <w15:chartTrackingRefBased/>
  <w15:docId w15:val="{32364F00-557D-4EF9-B32D-8E18E775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682B9576"/>
    <w:rPr>
      <w:rFonts w:ascii="Times New Roman" w:hAnsi="Times New Roman"/>
    </w:rPr>
  </w:style>
  <w:style w:type="paragraph" w:styleId="Heading1">
    <w:name w:val="heading 1"/>
    <w:basedOn w:val="Normal"/>
    <w:next w:val="Normal"/>
    <w:link w:val="Heading1Char"/>
    <w:uiPriority w:val="1"/>
    <w:qFormat/>
    <w:rsid w:val="682B9576"/>
    <w:pPr>
      <w:keepNext/>
      <w:tabs>
        <w:tab w:val="num" w:pos="480"/>
      </w:tabs>
      <w:spacing w:before="240" w:after="240"/>
      <w:ind w:left="480" w:hanging="480"/>
      <w:jc w:val="both"/>
      <w:outlineLvl w:val="0"/>
    </w:pPr>
    <w:rPr>
      <w:rFonts w:eastAsia="Times New Roman" w:cs="Times New Roman"/>
      <w:b/>
      <w:bCs/>
      <w:smallCaps/>
      <w:sz w:val="24"/>
      <w:szCs w:val="24"/>
    </w:rPr>
  </w:style>
  <w:style w:type="paragraph" w:styleId="Heading2">
    <w:name w:val="heading 2"/>
    <w:basedOn w:val="Normal"/>
    <w:next w:val="Normal"/>
    <w:link w:val="Heading2Char"/>
    <w:uiPriority w:val="1"/>
    <w:qFormat/>
    <w:rsid w:val="682B9576"/>
    <w:pPr>
      <w:keepNext/>
      <w:tabs>
        <w:tab w:val="num" w:pos="1200"/>
      </w:tabs>
      <w:spacing w:after="240"/>
      <w:ind w:left="1200" w:hanging="720"/>
      <w:jc w:val="both"/>
      <w:outlineLvl w:val="1"/>
    </w:pPr>
    <w:rPr>
      <w:rFonts w:eastAsia="Times New Roman" w:cs="Times New Roman"/>
      <w:b/>
      <w:bCs/>
      <w:sz w:val="24"/>
      <w:szCs w:val="24"/>
    </w:rPr>
  </w:style>
  <w:style w:type="paragraph" w:styleId="Heading3">
    <w:name w:val="heading 3"/>
    <w:basedOn w:val="Normal"/>
    <w:next w:val="Normal"/>
    <w:link w:val="Heading3Char"/>
    <w:uiPriority w:val="1"/>
    <w:qFormat/>
    <w:rsid w:val="682B9576"/>
    <w:pPr>
      <w:keepNext/>
      <w:spacing w:after="240"/>
      <w:ind w:left="1560" w:hanging="720"/>
      <w:jc w:val="both"/>
      <w:outlineLvl w:val="2"/>
    </w:pPr>
    <w:rPr>
      <w:rFonts w:eastAsia="Times New Roman" w:cs="Times New Roman"/>
      <w:i/>
      <w:iCs/>
      <w:sz w:val="24"/>
      <w:szCs w:val="24"/>
    </w:rPr>
  </w:style>
  <w:style w:type="paragraph" w:styleId="Heading4">
    <w:name w:val="heading 4"/>
    <w:basedOn w:val="Normal"/>
    <w:next w:val="Normal"/>
    <w:link w:val="Heading4Char"/>
    <w:uiPriority w:val="9"/>
    <w:unhideWhenUsed/>
    <w:qFormat/>
    <w:rsid w:val="682B957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682B957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682B9576"/>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682B9576"/>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682B9576"/>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682B9576"/>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1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EEE"/>
    <w:rPr>
      <w:sz w:val="16"/>
      <w:szCs w:val="16"/>
    </w:rPr>
  </w:style>
  <w:style w:type="paragraph" w:styleId="CommentText">
    <w:name w:val="annotation text"/>
    <w:basedOn w:val="Normal"/>
    <w:link w:val="CommentTextChar"/>
    <w:uiPriority w:val="99"/>
    <w:unhideWhenUsed/>
    <w:rsid w:val="682B9576"/>
    <w:rPr>
      <w:sz w:val="20"/>
      <w:szCs w:val="20"/>
    </w:rPr>
  </w:style>
  <w:style w:type="character" w:customStyle="1" w:styleId="CommentTextChar">
    <w:name w:val="Comment Text Char"/>
    <w:basedOn w:val="DefaultParagraphFont"/>
    <w:link w:val="CommentText"/>
    <w:uiPriority w:val="99"/>
    <w:rsid w:val="7EDB2273"/>
    <w:rPr>
      <w:noProof w:val="0"/>
      <w:sz w:val="20"/>
      <w:szCs w:val="20"/>
      <w:lang w:val="hu-HU"/>
    </w:rPr>
  </w:style>
  <w:style w:type="paragraph" w:styleId="CommentSubject">
    <w:name w:val="annotation subject"/>
    <w:basedOn w:val="CommentText"/>
    <w:next w:val="CommentText"/>
    <w:link w:val="CommentSubjectChar"/>
    <w:uiPriority w:val="99"/>
    <w:semiHidden/>
    <w:unhideWhenUsed/>
    <w:rsid w:val="7EDB2273"/>
    <w:rPr>
      <w:b/>
      <w:bCs/>
    </w:rPr>
  </w:style>
  <w:style w:type="character" w:customStyle="1" w:styleId="CommentSubjectChar">
    <w:name w:val="Comment Subject Char"/>
    <w:basedOn w:val="CommentTextChar"/>
    <w:link w:val="CommentSubject"/>
    <w:uiPriority w:val="99"/>
    <w:semiHidden/>
    <w:rsid w:val="7EDB2273"/>
    <w:rPr>
      <w:b/>
      <w:bCs/>
      <w:noProof w:val="0"/>
      <w:sz w:val="20"/>
      <w:szCs w:val="20"/>
      <w:lang w:val="hu-HU"/>
    </w:rPr>
  </w:style>
  <w:style w:type="table" w:customStyle="1" w:styleId="TabelrasterTNO1">
    <w:name w:val="TabelrasterTNO1"/>
    <w:basedOn w:val="TableNormal"/>
    <w:next w:val="TableGrid"/>
    <w:uiPriority w:val="59"/>
    <w:qFormat/>
    <w:rsid w:val="00680BE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qFormat/>
    <w:rsid w:val="00680BEE"/>
    <w:rPr>
      <w:color w:val="0000FF"/>
      <w:u w:val="single"/>
    </w:rPr>
  </w:style>
  <w:style w:type="paragraph" w:customStyle="1" w:styleId="FootnoteTextEP-LC1">
    <w:name w:val="Footnote Text_EP-LC1"/>
    <w:basedOn w:val="Normal"/>
    <w:next w:val="FootnoteText"/>
    <w:link w:val="FootnoteTextChar"/>
    <w:uiPriority w:val="99"/>
    <w:unhideWhenUsed/>
    <w:qFormat/>
    <w:rsid w:val="682B9576"/>
    <w:pPr>
      <w:spacing w:after="0"/>
      <w:jc w:val="both"/>
    </w:pPr>
    <w:rPr>
      <w:rFonts w:eastAsia="Times New Roman" w:cs="Times New Roman"/>
      <w:sz w:val="20"/>
      <w:szCs w:val="20"/>
    </w:rPr>
  </w:style>
  <w:style w:type="character" w:customStyle="1" w:styleId="FootnoteTextChar">
    <w:name w:val="Footnote Text Char"/>
    <w:basedOn w:val="DefaultParagraphFont"/>
    <w:link w:val="FootnoteTextEP-LC1"/>
    <w:uiPriority w:val="99"/>
    <w:rsid w:val="7EDB2273"/>
    <w:rPr>
      <w:rFonts w:ascii="Times New Roman" w:eastAsia="Times New Roman" w:hAnsi="Times New Roman" w:cs="Times New Roman"/>
      <w:noProof w:val="0"/>
      <w:sz w:val="20"/>
      <w:szCs w:val="20"/>
      <w:lang w:val="hu-HU"/>
    </w:rPr>
  </w:style>
  <w:style w:type="character" w:styleId="FootnoteReference">
    <w:name w:val="footnote reference"/>
    <w:basedOn w:val="DefaultParagraphFont"/>
    <w:link w:val="CharCharChar1"/>
    <w:uiPriority w:val="99"/>
    <w:unhideWhenUsed/>
    <w:rsid w:val="7EDB2273"/>
    <w:rPr>
      <w:noProof w:val="0"/>
      <w:vertAlign w:val="superscript"/>
      <w:lang w:val="hu-HU"/>
    </w:rPr>
  </w:style>
  <w:style w:type="paragraph" w:customStyle="1" w:styleId="CharCharChar1">
    <w:name w:val="Char Char Char1"/>
    <w:basedOn w:val="Normal"/>
    <w:link w:val="FootnoteReference"/>
    <w:uiPriority w:val="99"/>
    <w:rsid w:val="682B9576"/>
    <w:pPr>
      <w:spacing w:line="240" w:lineRule="exact"/>
      <w:jc w:val="both"/>
    </w:pPr>
    <w:rPr>
      <w:vertAlign w:val="superscript"/>
    </w:rPr>
  </w:style>
  <w:style w:type="character" w:styleId="Hyperlink">
    <w:name w:val="Hyperlink"/>
    <w:basedOn w:val="DefaultParagraphFont"/>
    <w:uiPriority w:val="99"/>
    <w:unhideWhenUsed/>
    <w:qFormat/>
    <w:rsid w:val="00680BEE"/>
    <w:rPr>
      <w:color w:val="0563C1" w:themeColor="hyperlink"/>
      <w:u w:val="single"/>
    </w:rPr>
  </w:style>
  <w:style w:type="paragraph" w:styleId="FootnoteText">
    <w:name w:val="footnote text"/>
    <w:basedOn w:val="Normal"/>
    <w:link w:val="FootnoteTextChar1"/>
    <w:uiPriority w:val="99"/>
    <w:unhideWhenUsed/>
    <w:qFormat/>
    <w:rsid w:val="682B9576"/>
    <w:pPr>
      <w:spacing w:after="0"/>
    </w:pPr>
    <w:rPr>
      <w:sz w:val="20"/>
      <w:szCs w:val="20"/>
    </w:rPr>
  </w:style>
  <w:style w:type="character" w:customStyle="1" w:styleId="FootnoteTextChar1">
    <w:name w:val="Footnote Text Char1"/>
    <w:basedOn w:val="DefaultParagraphFont"/>
    <w:link w:val="FootnoteText"/>
    <w:uiPriority w:val="99"/>
    <w:rsid w:val="7EDB2273"/>
    <w:rPr>
      <w:noProof w:val="0"/>
      <w:sz w:val="20"/>
      <w:szCs w:val="20"/>
      <w:lang w:val="hu-HU"/>
    </w:rPr>
  </w:style>
  <w:style w:type="character" w:customStyle="1" w:styleId="UnresolvedMention">
    <w:name w:val="Unresolved Mention"/>
    <w:basedOn w:val="DefaultParagraphFont"/>
    <w:uiPriority w:val="99"/>
    <w:semiHidden/>
    <w:unhideWhenUsed/>
    <w:rsid w:val="008B60A5"/>
    <w:rPr>
      <w:color w:val="605E5C"/>
      <w:shd w:val="clear" w:color="auto" w:fill="E1DFDD"/>
    </w:rPr>
  </w:style>
  <w:style w:type="character" w:styleId="FollowedHyperlink">
    <w:name w:val="FollowedHyperlink"/>
    <w:basedOn w:val="DefaultParagraphFont"/>
    <w:uiPriority w:val="99"/>
    <w:semiHidden/>
    <w:unhideWhenUsed/>
    <w:rsid w:val="00D344FA"/>
    <w:rPr>
      <w:color w:val="954F72" w:themeColor="followedHyperlink"/>
      <w:u w:val="single"/>
    </w:rPr>
  </w:style>
  <w:style w:type="character" w:customStyle="1" w:styleId="Marker">
    <w:name w:val="Marker"/>
    <w:basedOn w:val="DefaultParagraphFont"/>
    <w:rsid w:val="00F10E48"/>
    <w:rPr>
      <w:color w:val="0000FF"/>
      <w:shd w:val="clear" w:color="auto" w:fill="auto"/>
    </w:rPr>
  </w:style>
  <w:style w:type="paragraph" w:styleId="Header">
    <w:name w:val="header"/>
    <w:basedOn w:val="Normal"/>
    <w:link w:val="HeaderChar"/>
    <w:uiPriority w:val="99"/>
    <w:unhideWhenUsed/>
    <w:rsid w:val="682B9576"/>
    <w:pPr>
      <w:tabs>
        <w:tab w:val="center" w:pos="4680"/>
        <w:tab w:val="right" w:pos="9360"/>
      </w:tabs>
      <w:spacing w:after="0"/>
    </w:pPr>
  </w:style>
  <w:style w:type="character" w:customStyle="1" w:styleId="HeaderChar">
    <w:name w:val="Header Char"/>
    <w:basedOn w:val="DefaultParagraphFont"/>
    <w:link w:val="Header"/>
    <w:uiPriority w:val="99"/>
    <w:rsid w:val="7EDB2273"/>
    <w:rPr>
      <w:noProof w:val="0"/>
      <w:lang w:val="hu-HU"/>
    </w:rPr>
  </w:style>
  <w:style w:type="paragraph" w:styleId="Footer">
    <w:name w:val="footer"/>
    <w:basedOn w:val="Normal"/>
    <w:link w:val="FooterChar"/>
    <w:uiPriority w:val="99"/>
    <w:unhideWhenUsed/>
    <w:rsid w:val="682B9576"/>
    <w:pPr>
      <w:tabs>
        <w:tab w:val="center" w:pos="4680"/>
        <w:tab w:val="right" w:pos="9360"/>
      </w:tabs>
      <w:spacing w:after="0"/>
    </w:pPr>
  </w:style>
  <w:style w:type="character" w:customStyle="1" w:styleId="FooterChar">
    <w:name w:val="Footer Char"/>
    <w:basedOn w:val="DefaultParagraphFont"/>
    <w:link w:val="Footer"/>
    <w:uiPriority w:val="99"/>
    <w:rsid w:val="7EDB2273"/>
    <w:rPr>
      <w:noProof w:val="0"/>
      <w:lang w:val="hu-HU"/>
    </w:rPr>
  </w:style>
  <w:style w:type="paragraph" w:customStyle="1" w:styleId="Pagedecouverture">
    <w:name w:val="Page de couverture"/>
    <w:basedOn w:val="Normal"/>
    <w:next w:val="Normal"/>
    <w:uiPriority w:val="1"/>
    <w:rsid w:val="682B9576"/>
    <w:pPr>
      <w:spacing w:after="0"/>
      <w:jc w:val="both"/>
    </w:pPr>
    <w:rPr>
      <w:rFonts w:cs="Times New Roman"/>
      <w:sz w:val="24"/>
      <w:szCs w:val="24"/>
    </w:rPr>
  </w:style>
  <w:style w:type="paragraph" w:customStyle="1" w:styleId="FooterCoverPage">
    <w:name w:val="Footer Cover Page"/>
    <w:basedOn w:val="Normal"/>
    <w:link w:val="FooterCoverPageChar"/>
    <w:uiPriority w:val="1"/>
    <w:rsid w:val="682B9576"/>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7EDB2273"/>
    <w:rPr>
      <w:rFonts w:ascii="Times New Roman" w:hAnsi="Times New Roman"/>
      <w:sz w:val="24"/>
    </w:rPr>
  </w:style>
  <w:style w:type="paragraph" w:customStyle="1" w:styleId="FooterSensitivity">
    <w:name w:val="Footer Sensitivity"/>
    <w:basedOn w:val="Normal"/>
    <w:link w:val="FooterSensitivityChar"/>
    <w:uiPriority w:val="1"/>
    <w:rsid w:val="682B957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7EDB2273"/>
    <w:rPr>
      <w:rFonts w:ascii="Times New Roman" w:hAnsi="Times New Roman"/>
      <w:b/>
      <w:sz w:val="32"/>
    </w:rPr>
  </w:style>
  <w:style w:type="paragraph" w:customStyle="1" w:styleId="HeaderCoverPage">
    <w:name w:val="Header Cover Page"/>
    <w:basedOn w:val="Normal"/>
    <w:link w:val="HeaderCoverPageChar"/>
    <w:uiPriority w:val="1"/>
    <w:rsid w:val="682B9576"/>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uiPriority w:val="1"/>
    <w:rsid w:val="7EDB2273"/>
    <w:rPr>
      <w:rFonts w:ascii="Times New Roman" w:hAnsi="Times New Roman"/>
      <w:sz w:val="24"/>
    </w:rPr>
  </w:style>
  <w:style w:type="paragraph" w:customStyle="1" w:styleId="HeaderSensitivity">
    <w:name w:val="Header Sensitivity"/>
    <w:basedOn w:val="Normal"/>
    <w:link w:val="HeaderSensitivityChar"/>
    <w:uiPriority w:val="1"/>
    <w:rsid w:val="682B9576"/>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7EDB2273"/>
    <w:rPr>
      <w:rFonts w:ascii="Times New Roman" w:hAnsi="Times New Roman"/>
      <w:b/>
      <w:sz w:val="32"/>
    </w:rPr>
  </w:style>
  <w:style w:type="paragraph" w:customStyle="1" w:styleId="HeaderSensitivityRight">
    <w:name w:val="Header Sensitivity Right"/>
    <w:basedOn w:val="Normal"/>
    <w:link w:val="HeaderSensitivityRightChar"/>
    <w:uiPriority w:val="1"/>
    <w:rsid w:val="682B9576"/>
    <w:pPr>
      <w:spacing w:after="120" w:line="240" w:lineRule="auto"/>
      <w:jc w:val="right"/>
    </w:pPr>
    <w:rPr>
      <w:sz w:val="28"/>
    </w:rPr>
  </w:style>
  <w:style w:type="character" w:customStyle="1" w:styleId="HeaderSensitivityRightChar">
    <w:name w:val="Header Sensitivity Right Char"/>
    <w:basedOn w:val="DefaultParagraphFont"/>
    <w:link w:val="HeaderSensitivityRight"/>
    <w:uiPriority w:val="1"/>
    <w:rsid w:val="7EDB2273"/>
    <w:rPr>
      <w:rFonts w:ascii="Times New Roman" w:hAnsi="Times New Roman"/>
      <w:sz w:val="28"/>
    </w:rPr>
  </w:style>
  <w:style w:type="character" w:customStyle="1" w:styleId="Heading1Char">
    <w:name w:val="Heading 1 Char"/>
    <w:basedOn w:val="DefaultParagraphFont"/>
    <w:link w:val="Heading1"/>
    <w:uiPriority w:val="1"/>
    <w:rsid w:val="7EDB2273"/>
    <w:rPr>
      <w:rFonts w:ascii="Times New Roman" w:eastAsia="Times New Roman" w:hAnsi="Times New Roman" w:cs="Times New Roman"/>
      <w:b/>
      <w:bCs/>
      <w:smallCaps/>
      <w:noProof w:val="0"/>
      <w:sz w:val="24"/>
      <w:szCs w:val="24"/>
      <w:lang w:val="hu-HU"/>
    </w:rPr>
  </w:style>
  <w:style w:type="paragraph" w:styleId="ListParagraph">
    <w:name w:val="List Paragraph"/>
    <w:basedOn w:val="Normal"/>
    <w:uiPriority w:val="34"/>
    <w:qFormat/>
    <w:rsid w:val="682B9576"/>
    <w:pPr>
      <w:ind w:left="720"/>
      <w:contextualSpacing/>
    </w:pPr>
  </w:style>
  <w:style w:type="paragraph" w:customStyle="1" w:styleId="AnnexTitle">
    <w:name w:val="Annex Title"/>
    <w:basedOn w:val="Heading1"/>
    <w:next w:val="Normal"/>
    <w:link w:val="AnnexTitleChar"/>
    <w:uiPriority w:val="1"/>
    <w:qFormat/>
    <w:rsid w:val="7EDB2273"/>
    <w:pPr>
      <w:spacing w:after="480"/>
      <w:ind w:left="0" w:firstLine="0"/>
      <w:jc w:val="center"/>
    </w:pPr>
    <w:rPr>
      <w:sz w:val="32"/>
      <w:szCs w:val="32"/>
    </w:rPr>
  </w:style>
  <w:style w:type="character" w:customStyle="1" w:styleId="AnnexTitleChar">
    <w:name w:val="Annex Title Char"/>
    <w:basedOn w:val="DefaultParagraphFont"/>
    <w:link w:val="AnnexTitle"/>
    <w:uiPriority w:val="1"/>
    <w:rsid w:val="7EDB2273"/>
    <w:rPr>
      <w:rFonts w:ascii="Times New Roman" w:eastAsia="Times New Roman" w:hAnsi="Times New Roman" w:cs="Times New Roman"/>
      <w:b/>
      <w:bCs/>
      <w:smallCaps/>
      <w:noProof w:val="0"/>
      <w:sz w:val="32"/>
      <w:szCs w:val="32"/>
      <w:lang w:val="hu-HU"/>
    </w:rPr>
  </w:style>
  <w:style w:type="character" w:customStyle="1" w:styleId="Heading2Char">
    <w:name w:val="Heading 2 Char"/>
    <w:basedOn w:val="DefaultParagraphFont"/>
    <w:link w:val="Heading2"/>
    <w:uiPriority w:val="1"/>
    <w:rsid w:val="00387063"/>
    <w:rPr>
      <w:rFonts w:ascii="Times New Roman" w:eastAsia="Times New Roman" w:hAnsi="Times New Roman" w:cs="Times New Roman"/>
      <w:b/>
      <w:bCs/>
      <w:sz w:val="24"/>
      <w:szCs w:val="24"/>
      <w:lang w:val="hu-HU"/>
    </w:rPr>
  </w:style>
  <w:style w:type="character" w:customStyle="1" w:styleId="Heading3Char">
    <w:name w:val="Heading 3 Char"/>
    <w:basedOn w:val="DefaultParagraphFont"/>
    <w:link w:val="Heading3"/>
    <w:uiPriority w:val="1"/>
    <w:rsid w:val="00387063"/>
    <w:rPr>
      <w:rFonts w:ascii="Times New Roman" w:eastAsia="Times New Roman" w:hAnsi="Times New Roman" w:cs="Times New Roman"/>
      <w:i/>
      <w:iCs/>
      <w:sz w:val="24"/>
      <w:szCs w:val="24"/>
      <w:lang w:val="hu-HU"/>
    </w:rPr>
  </w:style>
  <w:style w:type="paragraph" w:styleId="NormalWeb">
    <w:name w:val="Normal (Web)"/>
    <w:basedOn w:val="Normal"/>
    <w:uiPriority w:val="99"/>
    <w:semiHidden/>
    <w:unhideWhenUsed/>
    <w:rsid w:val="682B9576"/>
    <w:rPr>
      <w:rFonts w:cs="Times New Roman"/>
      <w:sz w:val="24"/>
      <w:szCs w:val="24"/>
    </w:rPr>
  </w:style>
  <w:style w:type="character" w:customStyle="1" w:styleId="outputecliaff">
    <w:name w:val="outputecliaff"/>
    <w:basedOn w:val="DefaultParagraphFont"/>
    <w:rsid w:val="002E15BB"/>
  </w:style>
  <w:style w:type="paragraph" w:styleId="Title">
    <w:name w:val="Title"/>
    <w:basedOn w:val="Normal"/>
    <w:next w:val="Normal"/>
    <w:link w:val="TitleChar"/>
    <w:uiPriority w:val="10"/>
    <w:qFormat/>
    <w:rsid w:val="682B9576"/>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682B9576"/>
    <w:rPr>
      <w:rFonts w:eastAsiaTheme="minorEastAsia"/>
      <w:color w:val="5A5A5A"/>
    </w:rPr>
  </w:style>
  <w:style w:type="paragraph" w:styleId="Quote">
    <w:name w:val="Quote"/>
    <w:basedOn w:val="Normal"/>
    <w:next w:val="Normal"/>
    <w:link w:val="QuoteChar"/>
    <w:uiPriority w:val="29"/>
    <w:qFormat/>
    <w:rsid w:val="682B9576"/>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82B9576"/>
    <w:pPr>
      <w:spacing w:before="360" w:after="360"/>
      <w:ind w:left="864" w:right="864"/>
      <w:jc w:val="center"/>
    </w:pPr>
    <w:rPr>
      <w:i/>
      <w:iCs/>
      <w:color w:val="4472C4" w:themeColor="accent1"/>
    </w:rPr>
  </w:style>
  <w:style w:type="character" w:customStyle="1" w:styleId="Heading4Char">
    <w:name w:val="Heading 4 Char"/>
    <w:basedOn w:val="DefaultParagraphFont"/>
    <w:link w:val="Heading4"/>
    <w:uiPriority w:val="9"/>
    <w:rsid w:val="7EDB2273"/>
    <w:rPr>
      <w:rFonts w:asciiTheme="majorHAnsi" w:eastAsiaTheme="majorEastAsia" w:hAnsiTheme="majorHAnsi" w:cstheme="majorBidi"/>
      <w:i/>
      <w:iCs/>
      <w:noProof w:val="0"/>
      <w:color w:val="2F5496" w:themeColor="accent1" w:themeShade="BF"/>
      <w:lang w:val="hu-HU"/>
    </w:rPr>
  </w:style>
  <w:style w:type="character" w:customStyle="1" w:styleId="Heading5Char">
    <w:name w:val="Heading 5 Char"/>
    <w:basedOn w:val="DefaultParagraphFont"/>
    <w:link w:val="Heading5"/>
    <w:uiPriority w:val="9"/>
    <w:rsid w:val="7EDB2273"/>
    <w:rPr>
      <w:rFonts w:asciiTheme="majorHAnsi" w:eastAsiaTheme="majorEastAsia" w:hAnsiTheme="majorHAnsi" w:cstheme="majorBidi"/>
      <w:noProof w:val="0"/>
      <w:color w:val="2F5496" w:themeColor="accent1" w:themeShade="BF"/>
      <w:lang w:val="hu-HU"/>
    </w:rPr>
  </w:style>
  <w:style w:type="character" w:customStyle="1" w:styleId="Heading6Char">
    <w:name w:val="Heading 6 Char"/>
    <w:basedOn w:val="DefaultParagraphFont"/>
    <w:link w:val="Heading6"/>
    <w:uiPriority w:val="9"/>
    <w:rsid w:val="7EDB2273"/>
    <w:rPr>
      <w:rFonts w:asciiTheme="majorHAnsi" w:eastAsiaTheme="majorEastAsia" w:hAnsiTheme="majorHAnsi" w:cstheme="majorBidi"/>
      <w:noProof w:val="0"/>
      <w:color w:val="1F3763"/>
      <w:lang w:val="hu-HU"/>
    </w:rPr>
  </w:style>
  <w:style w:type="character" w:customStyle="1" w:styleId="Heading7Char">
    <w:name w:val="Heading 7 Char"/>
    <w:basedOn w:val="DefaultParagraphFont"/>
    <w:link w:val="Heading7"/>
    <w:uiPriority w:val="9"/>
    <w:rsid w:val="7EDB2273"/>
    <w:rPr>
      <w:rFonts w:asciiTheme="majorHAnsi" w:eastAsiaTheme="majorEastAsia" w:hAnsiTheme="majorHAnsi" w:cstheme="majorBidi"/>
      <w:i/>
      <w:iCs/>
      <w:noProof w:val="0"/>
      <w:color w:val="1F3763"/>
      <w:lang w:val="hu-HU"/>
    </w:rPr>
  </w:style>
  <w:style w:type="character" w:customStyle="1" w:styleId="Heading8Char">
    <w:name w:val="Heading 8 Char"/>
    <w:basedOn w:val="DefaultParagraphFont"/>
    <w:link w:val="Heading8"/>
    <w:uiPriority w:val="9"/>
    <w:rsid w:val="7EDB2273"/>
    <w:rPr>
      <w:rFonts w:asciiTheme="majorHAnsi" w:eastAsiaTheme="majorEastAsia" w:hAnsiTheme="majorHAnsi" w:cstheme="majorBidi"/>
      <w:noProof w:val="0"/>
      <w:color w:val="272727"/>
      <w:sz w:val="21"/>
      <w:szCs w:val="21"/>
      <w:lang w:val="hu-HU"/>
    </w:rPr>
  </w:style>
  <w:style w:type="character" w:customStyle="1" w:styleId="Heading9Char">
    <w:name w:val="Heading 9 Char"/>
    <w:basedOn w:val="DefaultParagraphFont"/>
    <w:link w:val="Heading9"/>
    <w:uiPriority w:val="9"/>
    <w:rsid w:val="7EDB2273"/>
    <w:rPr>
      <w:rFonts w:asciiTheme="majorHAnsi" w:eastAsiaTheme="majorEastAsia" w:hAnsiTheme="majorHAnsi" w:cstheme="majorBidi"/>
      <w:i/>
      <w:iCs/>
      <w:noProof w:val="0"/>
      <w:color w:val="272727"/>
      <w:sz w:val="21"/>
      <w:szCs w:val="21"/>
      <w:lang w:val="hu-HU"/>
    </w:rPr>
  </w:style>
  <w:style w:type="character" w:customStyle="1" w:styleId="TitleChar">
    <w:name w:val="Title Char"/>
    <w:basedOn w:val="DefaultParagraphFont"/>
    <w:link w:val="Title"/>
    <w:uiPriority w:val="10"/>
    <w:rsid w:val="7EDB2273"/>
    <w:rPr>
      <w:rFonts w:asciiTheme="majorHAnsi" w:eastAsiaTheme="majorEastAsia" w:hAnsiTheme="majorHAnsi" w:cstheme="majorBidi"/>
      <w:noProof w:val="0"/>
      <w:sz w:val="56"/>
      <w:szCs w:val="56"/>
      <w:lang w:val="hu-HU"/>
    </w:rPr>
  </w:style>
  <w:style w:type="character" w:customStyle="1" w:styleId="SubtitleChar">
    <w:name w:val="Subtitle Char"/>
    <w:basedOn w:val="DefaultParagraphFont"/>
    <w:link w:val="Subtitle"/>
    <w:uiPriority w:val="11"/>
    <w:rsid w:val="7EDB2273"/>
    <w:rPr>
      <w:rFonts w:asciiTheme="minorHAnsi" w:eastAsiaTheme="minorEastAsia" w:hAnsiTheme="minorHAnsi" w:cstheme="minorBidi"/>
      <w:noProof w:val="0"/>
      <w:color w:val="5A5A5A"/>
      <w:lang w:val="hu-HU"/>
    </w:rPr>
  </w:style>
  <w:style w:type="character" w:customStyle="1" w:styleId="QuoteChar">
    <w:name w:val="Quote Char"/>
    <w:basedOn w:val="DefaultParagraphFont"/>
    <w:link w:val="Quote"/>
    <w:uiPriority w:val="29"/>
    <w:rsid w:val="7EDB2273"/>
    <w:rPr>
      <w:i/>
      <w:iCs/>
      <w:noProof w:val="0"/>
      <w:color w:val="404040" w:themeColor="text1" w:themeTint="BF"/>
      <w:lang w:val="hu-HU"/>
    </w:rPr>
  </w:style>
  <w:style w:type="character" w:customStyle="1" w:styleId="IntenseQuoteChar">
    <w:name w:val="Intense Quote Char"/>
    <w:basedOn w:val="DefaultParagraphFont"/>
    <w:link w:val="IntenseQuote"/>
    <w:uiPriority w:val="30"/>
    <w:rsid w:val="7EDB2273"/>
    <w:rPr>
      <w:i/>
      <w:iCs/>
      <w:noProof w:val="0"/>
      <w:color w:val="4472C4" w:themeColor="accent1"/>
      <w:lang w:val="hu-HU"/>
    </w:rPr>
  </w:style>
  <w:style w:type="paragraph" w:styleId="TOC1">
    <w:name w:val="toc 1"/>
    <w:basedOn w:val="Normal"/>
    <w:next w:val="Normal"/>
    <w:uiPriority w:val="39"/>
    <w:unhideWhenUsed/>
    <w:rsid w:val="682B9576"/>
    <w:pPr>
      <w:spacing w:after="100"/>
    </w:pPr>
  </w:style>
  <w:style w:type="paragraph" w:styleId="TOC2">
    <w:name w:val="toc 2"/>
    <w:basedOn w:val="Normal"/>
    <w:next w:val="Normal"/>
    <w:uiPriority w:val="39"/>
    <w:unhideWhenUsed/>
    <w:rsid w:val="682B9576"/>
    <w:pPr>
      <w:spacing w:after="100"/>
      <w:ind w:left="220"/>
    </w:pPr>
  </w:style>
  <w:style w:type="paragraph" w:styleId="TOC3">
    <w:name w:val="toc 3"/>
    <w:basedOn w:val="Normal"/>
    <w:next w:val="Normal"/>
    <w:uiPriority w:val="39"/>
    <w:unhideWhenUsed/>
    <w:rsid w:val="682B9576"/>
    <w:pPr>
      <w:spacing w:after="100"/>
      <w:ind w:left="440"/>
    </w:pPr>
  </w:style>
  <w:style w:type="paragraph" w:styleId="TOC4">
    <w:name w:val="toc 4"/>
    <w:basedOn w:val="Normal"/>
    <w:next w:val="Normal"/>
    <w:uiPriority w:val="39"/>
    <w:unhideWhenUsed/>
    <w:rsid w:val="682B9576"/>
    <w:pPr>
      <w:spacing w:after="100"/>
      <w:ind w:left="660"/>
    </w:pPr>
  </w:style>
  <w:style w:type="paragraph" w:styleId="TOC5">
    <w:name w:val="toc 5"/>
    <w:basedOn w:val="Normal"/>
    <w:next w:val="Normal"/>
    <w:uiPriority w:val="39"/>
    <w:unhideWhenUsed/>
    <w:rsid w:val="682B9576"/>
    <w:pPr>
      <w:spacing w:after="100"/>
      <w:ind w:left="880"/>
    </w:pPr>
  </w:style>
  <w:style w:type="paragraph" w:styleId="TOC6">
    <w:name w:val="toc 6"/>
    <w:basedOn w:val="Normal"/>
    <w:next w:val="Normal"/>
    <w:uiPriority w:val="39"/>
    <w:unhideWhenUsed/>
    <w:rsid w:val="682B9576"/>
    <w:pPr>
      <w:spacing w:after="100"/>
      <w:ind w:left="1100"/>
    </w:pPr>
  </w:style>
  <w:style w:type="paragraph" w:styleId="TOC7">
    <w:name w:val="toc 7"/>
    <w:basedOn w:val="Normal"/>
    <w:next w:val="Normal"/>
    <w:uiPriority w:val="39"/>
    <w:unhideWhenUsed/>
    <w:rsid w:val="682B9576"/>
    <w:pPr>
      <w:spacing w:after="100"/>
      <w:ind w:left="1320"/>
    </w:pPr>
  </w:style>
  <w:style w:type="paragraph" w:styleId="TOC8">
    <w:name w:val="toc 8"/>
    <w:basedOn w:val="Normal"/>
    <w:next w:val="Normal"/>
    <w:uiPriority w:val="39"/>
    <w:unhideWhenUsed/>
    <w:rsid w:val="682B9576"/>
    <w:pPr>
      <w:spacing w:after="100"/>
      <w:ind w:left="1540"/>
    </w:pPr>
  </w:style>
  <w:style w:type="paragraph" w:styleId="TOC9">
    <w:name w:val="toc 9"/>
    <w:basedOn w:val="Normal"/>
    <w:next w:val="Normal"/>
    <w:uiPriority w:val="39"/>
    <w:unhideWhenUsed/>
    <w:rsid w:val="682B9576"/>
    <w:pPr>
      <w:spacing w:after="100"/>
      <w:ind w:left="1760"/>
    </w:pPr>
  </w:style>
  <w:style w:type="paragraph" w:styleId="EndnoteText">
    <w:name w:val="endnote text"/>
    <w:basedOn w:val="Normal"/>
    <w:link w:val="EndnoteTextChar"/>
    <w:uiPriority w:val="99"/>
    <w:semiHidden/>
    <w:unhideWhenUsed/>
    <w:rsid w:val="682B9576"/>
    <w:pPr>
      <w:spacing w:after="0"/>
    </w:pPr>
    <w:rPr>
      <w:sz w:val="20"/>
      <w:szCs w:val="20"/>
    </w:rPr>
  </w:style>
  <w:style w:type="character" w:customStyle="1" w:styleId="EndnoteTextChar">
    <w:name w:val="Endnote Text Char"/>
    <w:basedOn w:val="DefaultParagraphFont"/>
    <w:link w:val="EndnoteText"/>
    <w:uiPriority w:val="99"/>
    <w:semiHidden/>
    <w:rsid w:val="7EDB2273"/>
    <w:rPr>
      <w:noProof w:val="0"/>
      <w:sz w:val="20"/>
      <w:szCs w:val="20"/>
      <w:lang w:val="hu-HU"/>
    </w:rPr>
  </w:style>
  <w:style w:type="paragraph" w:styleId="Revision">
    <w:name w:val="Revision"/>
    <w:hidden/>
    <w:uiPriority w:val="99"/>
    <w:semiHidden/>
    <w:rsid w:val="00E75B0B"/>
    <w:pPr>
      <w:spacing w:after="0" w:line="240" w:lineRule="auto"/>
    </w:pPr>
    <w:rPr>
      <w:rFonts w:ascii="Times New Roman" w:hAnsi="Times New Roman"/>
    </w:rPr>
  </w:style>
  <w:style w:type="character" w:customStyle="1" w:styleId="CommentTextChar1">
    <w:name w:val="Comment Text Char1"/>
    <w:basedOn w:val="DefaultParagraphFont"/>
    <w:uiPriority w:val="99"/>
    <w:rsid w:val="00B207BD"/>
    <w:rPr>
      <w:sz w:val="20"/>
      <w:szCs w:val="20"/>
    </w:rPr>
  </w:style>
  <w:style w:type="paragraph" w:customStyle="1" w:styleId="pf0">
    <w:name w:val="pf0"/>
    <w:basedOn w:val="Normal"/>
    <w:rsid w:val="682B9576"/>
    <w:pPr>
      <w:spacing w:beforeAutospacing="1" w:afterAutospacing="1" w:line="240" w:lineRule="auto"/>
    </w:pPr>
    <w:rPr>
      <w:rFonts w:eastAsia="Times New Roman" w:cs="Times New Roman"/>
      <w:sz w:val="24"/>
      <w:szCs w:val="24"/>
    </w:rPr>
  </w:style>
  <w:style w:type="character" w:customStyle="1" w:styleId="cf01">
    <w:name w:val="cf01"/>
    <w:basedOn w:val="DefaultParagraphFont"/>
    <w:rsid w:val="00943DE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239">
      <w:bodyDiv w:val="1"/>
      <w:marLeft w:val="0"/>
      <w:marRight w:val="0"/>
      <w:marTop w:val="0"/>
      <w:marBottom w:val="0"/>
      <w:divBdr>
        <w:top w:val="none" w:sz="0" w:space="0" w:color="auto"/>
        <w:left w:val="none" w:sz="0" w:space="0" w:color="auto"/>
        <w:bottom w:val="none" w:sz="0" w:space="0" w:color="auto"/>
        <w:right w:val="none" w:sz="0" w:space="0" w:color="auto"/>
      </w:divBdr>
    </w:div>
    <w:div w:id="5177376">
      <w:bodyDiv w:val="1"/>
      <w:marLeft w:val="0"/>
      <w:marRight w:val="0"/>
      <w:marTop w:val="0"/>
      <w:marBottom w:val="0"/>
      <w:divBdr>
        <w:top w:val="none" w:sz="0" w:space="0" w:color="auto"/>
        <w:left w:val="none" w:sz="0" w:space="0" w:color="auto"/>
        <w:bottom w:val="none" w:sz="0" w:space="0" w:color="auto"/>
        <w:right w:val="none" w:sz="0" w:space="0" w:color="auto"/>
      </w:divBdr>
    </w:div>
    <w:div w:id="38628597">
      <w:bodyDiv w:val="1"/>
      <w:marLeft w:val="0"/>
      <w:marRight w:val="0"/>
      <w:marTop w:val="0"/>
      <w:marBottom w:val="0"/>
      <w:divBdr>
        <w:top w:val="none" w:sz="0" w:space="0" w:color="auto"/>
        <w:left w:val="none" w:sz="0" w:space="0" w:color="auto"/>
        <w:bottom w:val="none" w:sz="0" w:space="0" w:color="auto"/>
        <w:right w:val="none" w:sz="0" w:space="0" w:color="auto"/>
      </w:divBdr>
    </w:div>
    <w:div w:id="46996160">
      <w:bodyDiv w:val="1"/>
      <w:marLeft w:val="0"/>
      <w:marRight w:val="0"/>
      <w:marTop w:val="0"/>
      <w:marBottom w:val="0"/>
      <w:divBdr>
        <w:top w:val="none" w:sz="0" w:space="0" w:color="auto"/>
        <w:left w:val="none" w:sz="0" w:space="0" w:color="auto"/>
        <w:bottom w:val="none" w:sz="0" w:space="0" w:color="auto"/>
        <w:right w:val="none" w:sz="0" w:space="0" w:color="auto"/>
      </w:divBdr>
    </w:div>
    <w:div w:id="114757953">
      <w:bodyDiv w:val="1"/>
      <w:marLeft w:val="0"/>
      <w:marRight w:val="0"/>
      <w:marTop w:val="0"/>
      <w:marBottom w:val="0"/>
      <w:divBdr>
        <w:top w:val="none" w:sz="0" w:space="0" w:color="auto"/>
        <w:left w:val="none" w:sz="0" w:space="0" w:color="auto"/>
        <w:bottom w:val="none" w:sz="0" w:space="0" w:color="auto"/>
        <w:right w:val="none" w:sz="0" w:space="0" w:color="auto"/>
      </w:divBdr>
    </w:div>
    <w:div w:id="164439645">
      <w:bodyDiv w:val="1"/>
      <w:marLeft w:val="0"/>
      <w:marRight w:val="0"/>
      <w:marTop w:val="0"/>
      <w:marBottom w:val="0"/>
      <w:divBdr>
        <w:top w:val="none" w:sz="0" w:space="0" w:color="auto"/>
        <w:left w:val="none" w:sz="0" w:space="0" w:color="auto"/>
        <w:bottom w:val="none" w:sz="0" w:space="0" w:color="auto"/>
        <w:right w:val="none" w:sz="0" w:space="0" w:color="auto"/>
      </w:divBdr>
    </w:div>
    <w:div w:id="221406114">
      <w:bodyDiv w:val="1"/>
      <w:marLeft w:val="0"/>
      <w:marRight w:val="0"/>
      <w:marTop w:val="0"/>
      <w:marBottom w:val="0"/>
      <w:divBdr>
        <w:top w:val="none" w:sz="0" w:space="0" w:color="auto"/>
        <w:left w:val="none" w:sz="0" w:space="0" w:color="auto"/>
        <w:bottom w:val="none" w:sz="0" w:space="0" w:color="auto"/>
        <w:right w:val="none" w:sz="0" w:space="0" w:color="auto"/>
      </w:divBdr>
    </w:div>
    <w:div w:id="250746104">
      <w:bodyDiv w:val="1"/>
      <w:marLeft w:val="0"/>
      <w:marRight w:val="0"/>
      <w:marTop w:val="0"/>
      <w:marBottom w:val="0"/>
      <w:divBdr>
        <w:top w:val="none" w:sz="0" w:space="0" w:color="auto"/>
        <w:left w:val="none" w:sz="0" w:space="0" w:color="auto"/>
        <w:bottom w:val="none" w:sz="0" w:space="0" w:color="auto"/>
        <w:right w:val="none" w:sz="0" w:space="0" w:color="auto"/>
      </w:divBdr>
    </w:div>
    <w:div w:id="253636464">
      <w:bodyDiv w:val="1"/>
      <w:marLeft w:val="0"/>
      <w:marRight w:val="0"/>
      <w:marTop w:val="0"/>
      <w:marBottom w:val="0"/>
      <w:divBdr>
        <w:top w:val="none" w:sz="0" w:space="0" w:color="auto"/>
        <w:left w:val="none" w:sz="0" w:space="0" w:color="auto"/>
        <w:bottom w:val="none" w:sz="0" w:space="0" w:color="auto"/>
        <w:right w:val="none" w:sz="0" w:space="0" w:color="auto"/>
      </w:divBdr>
    </w:div>
    <w:div w:id="262225749">
      <w:bodyDiv w:val="1"/>
      <w:marLeft w:val="0"/>
      <w:marRight w:val="0"/>
      <w:marTop w:val="0"/>
      <w:marBottom w:val="0"/>
      <w:divBdr>
        <w:top w:val="none" w:sz="0" w:space="0" w:color="auto"/>
        <w:left w:val="none" w:sz="0" w:space="0" w:color="auto"/>
        <w:bottom w:val="none" w:sz="0" w:space="0" w:color="auto"/>
        <w:right w:val="none" w:sz="0" w:space="0" w:color="auto"/>
      </w:divBdr>
    </w:div>
    <w:div w:id="364209022">
      <w:bodyDiv w:val="1"/>
      <w:marLeft w:val="0"/>
      <w:marRight w:val="0"/>
      <w:marTop w:val="0"/>
      <w:marBottom w:val="0"/>
      <w:divBdr>
        <w:top w:val="none" w:sz="0" w:space="0" w:color="auto"/>
        <w:left w:val="none" w:sz="0" w:space="0" w:color="auto"/>
        <w:bottom w:val="none" w:sz="0" w:space="0" w:color="auto"/>
        <w:right w:val="none" w:sz="0" w:space="0" w:color="auto"/>
      </w:divBdr>
    </w:div>
    <w:div w:id="406805365">
      <w:bodyDiv w:val="1"/>
      <w:marLeft w:val="0"/>
      <w:marRight w:val="0"/>
      <w:marTop w:val="0"/>
      <w:marBottom w:val="0"/>
      <w:divBdr>
        <w:top w:val="none" w:sz="0" w:space="0" w:color="auto"/>
        <w:left w:val="none" w:sz="0" w:space="0" w:color="auto"/>
        <w:bottom w:val="none" w:sz="0" w:space="0" w:color="auto"/>
        <w:right w:val="none" w:sz="0" w:space="0" w:color="auto"/>
      </w:divBdr>
    </w:div>
    <w:div w:id="517962399">
      <w:bodyDiv w:val="1"/>
      <w:marLeft w:val="0"/>
      <w:marRight w:val="0"/>
      <w:marTop w:val="0"/>
      <w:marBottom w:val="0"/>
      <w:divBdr>
        <w:top w:val="none" w:sz="0" w:space="0" w:color="auto"/>
        <w:left w:val="none" w:sz="0" w:space="0" w:color="auto"/>
        <w:bottom w:val="none" w:sz="0" w:space="0" w:color="auto"/>
        <w:right w:val="none" w:sz="0" w:space="0" w:color="auto"/>
      </w:divBdr>
    </w:div>
    <w:div w:id="654576635">
      <w:bodyDiv w:val="1"/>
      <w:marLeft w:val="0"/>
      <w:marRight w:val="0"/>
      <w:marTop w:val="0"/>
      <w:marBottom w:val="0"/>
      <w:divBdr>
        <w:top w:val="none" w:sz="0" w:space="0" w:color="auto"/>
        <w:left w:val="none" w:sz="0" w:space="0" w:color="auto"/>
        <w:bottom w:val="none" w:sz="0" w:space="0" w:color="auto"/>
        <w:right w:val="none" w:sz="0" w:space="0" w:color="auto"/>
      </w:divBdr>
    </w:div>
    <w:div w:id="661011224">
      <w:bodyDiv w:val="1"/>
      <w:marLeft w:val="0"/>
      <w:marRight w:val="0"/>
      <w:marTop w:val="0"/>
      <w:marBottom w:val="0"/>
      <w:divBdr>
        <w:top w:val="none" w:sz="0" w:space="0" w:color="auto"/>
        <w:left w:val="none" w:sz="0" w:space="0" w:color="auto"/>
        <w:bottom w:val="none" w:sz="0" w:space="0" w:color="auto"/>
        <w:right w:val="none" w:sz="0" w:space="0" w:color="auto"/>
      </w:divBdr>
    </w:div>
    <w:div w:id="665671192">
      <w:bodyDiv w:val="1"/>
      <w:marLeft w:val="0"/>
      <w:marRight w:val="0"/>
      <w:marTop w:val="0"/>
      <w:marBottom w:val="0"/>
      <w:divBdr>
        <w:top w:val="none" w:sz="0" w:space="0" w:color="auto"/>
        <w:left w:val="none" w:sz="0" w:space="0" w:color="auto"/>
        <w:bottom w:val="none" w:sz="0" w:space="0" w:color="auto"/>
        <w:right w:val="none" w:sz="0" w:space="0" w:color="auto"/>
      </w:divBdr>
    </w:div>
    <w:div w:id="673648391">
      <w:bodyDiv w:val="1"/>
      <w:marLeft w:val="0"/>
      <w:marRight w:val="0"/>
      <w:marTop w:val="0"/>
      <w:marBottom w:val="0"/>
      <w:divBdr>
        <w:top w:val="none" w:sz="0" w:space="0" w:color="auto"/>
        <w:left w:val="none" w:sz="0" w:space="0" w:color="auto"/>
        <w:bottom w:val="none" w:sz="0" w:space="0" w:color="auto"/>
        <w:right w:val="none" w:sz="0" w:space="0" w:color="auto"/>
      </w:divBdr>
    </w:div>
    <w:div w:id="771970028">
      <w:bodyDiv w:val="1"/>
      <w:marLeft w:val="0"/>
      <w:marRight w:val="0"/>
      <w:marTop w:val="0"/>
      <w:marBottom w:val="0"/>
      <w:divBdr>
        <w:top w:val="none" w:sz="0" w:space="0" w:color="auto"/>
        <w:left w:val="none" w:sz="0" w:space="0" w:color="auto"/>
        <w:bottom w:val="none" w:sz="0" w:space="0" w:color="auto"/>
        <w:right w:val="none" w:sz="0" w:space="0" w:color="auto"/>
      </w:divBdr>
    </w:div>
    <w:div w:id="830758702">
      <w:bodyDiv w:val="1"/>
      <w:marLeft w:val="0"/>
      <w:marRight w:val="0"/>
      <w:marTop w:val="0"/>
      <w:marBottom w:val="0"/>
      <w:divBdr>
        <w:top w:val="none" w:sz="0" w:space="0" w:color="auto"/>
        <w:left w:val="none" w:sz="0" w:space="0" w:color="auto"/>
        <w:bottom w:val="none" w:sz="0" w:space="0" w:color="auto"/>
        <w:right w:val="none" w:sz="0" w:space="0" w:color="auto"/>
      </w:divBdr>
    </w:div>
    <w:div w:id="863976836">
      <w:bodyDiv w:val="1"/>
      <w:marLeft w:val="0"/>
      <w:marRight w:val="0"/>
      <w:marTop w:val="0"/>
      <w:marBottom w:val="0"/>
      <w:divBdr>
        <w:top w:val="none" w:sz="0" w:space="0" w:color="auto"/>
        <w:left w:val="none" w:sz="0" w:space="0" w:color="auto"/>
        <w:bottom w:val="none" w:sz="0" w:space="0" w:color="auto"/>
        <w:right w:val="none" w:sz="0" w:space="0" w:color="auto"/>
      </w:divBdr>
    </w:div>
    <w:div w:id="1010136495">
      <w:bodyDiv w:val="1"/>
      <w:marLeft w:val="0"/>
      <w:marRight w:val="0"/>
      <w:marTop w:val="0"/>
      <w:marBottom w:val="0"/>
      <w:divBdr>
        <w:top w:val="none" w:sz="0" w:space="0" w:color="auto"/>
        <w:left w:val="none" w:sz="0" w:space="0" w:color="auto"/>
        <w:bottom w:val="none" w:sz="0" w:space="0" w:color="auto"/>
        <w:right w:val="none" w:sz="0" w:space="0" w:color="auto"/>
      </w:divBdr>
    </w:div>
    <w:div w:id="1022514097">
      <w:bodyDiv w:val="1"/>
      <w:marLeft w:val="0"/>
      <w:marRight w:val="0"/>
      <w:marTop w:val="0"/>
      <w:marBottom w:val="0"/>
      <w:divBdr>
        <w:top w:val="none" w:sz="0" w:space="0" w:color="auto"/>
        <w:left w:val="none" w:sz="0" w:space="0" w:color="auto"/>
        <w:bottom w:val="none" w:sz="0" w:space="0" w:color="auto"/>
        <w:right w:val="none" w:sz="0" w:space="0" w:color="auto"/>
      </w:divBdr>
      <w:divsChild>
        <w:div w:id="396246796">
          <w:marLeft w:val="0"/>
          <w:marRight w:val="0"/>
          <w:marTop w:val="0"/>
          <w:marBottom w:val="0"/>
          <w:divBdr>
            <w:top w:val="none" w:sz="0" w:space="0" w:color="auto"/>
            <w:left w:val="none" w:sz="0" w:space="0" w:color="auto"/>
            <w:bottom w:val="none" w:sz="0" w:space="0" w:color="auto"/>
            <w:right w:val="none" w:sz="0" w:space="0" w:color="auto"/>
          </w:divBdr>
          <w:divsChild>
            <w:div w:id="214201376">
              <w:marLeft w:val="0"/>
              <w:marRight w:val="0"/>
              <w:marTop w:val="0"/>
              <w:marBottom w:val="0"/>
              <w:divBdr>
                <w:top w:val="none" w:sz="0" w:space="0" w:color="auto"/>
                <w:left w:val="none" w:sz="0" w:space="0" w:color="auto"/>
                <w:bottom w:val="none" w:sz="0" w:space="0" w:color="auto"/>
                <w:right w:val="none" w:sz="0" w:space="0" w:color="auto"/>
              </w:divBdr>
              <w:divsChild>
                <w:div w:id="1779567036">
                  <w:marLeft w:val="0"/>
                  <w:marRight w:val="0"/>
                  <w:marTop w:val="0"/>
                  <w:marBottom w:val="0"/>
                  <w:divBdr>
                    <w:top w:val="none" w:sz="0" w:space="0" w:color="auto"/>
                    <w:left w:val="none" w:sz="0" w:space="0" w:color="auto"/>
                    <w:bottom w:val="none" w:sz="0" w:space="0" w:color="auto"/>
                    <w:right w:val="none" w:sz="0" w:space="0" w:color="auto"/>
                  </w:divBdr>
                  <w:divsChild>
                    <w:div w:id="90664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373441">
          <w:marLeft w:val="0"/>
          <w:marRight w:val="0"/>
          <w:marTop w:val="0"/>
          <w:marBottom w:val="0"/>
          <w:divBdr>
            <w:top w:val="none" w:sz="0" w:space="0" w:color="auto"/>
            <w:left w:val="none" w:sz="0" w:space="0" w:color="auto"/>
            <w:bottom w:val="none" w:sz="0" w:space="0" w:color="auto"/>
            <w:right w:val="none" w:sz="0" w:space="0" w:color="auto"/>
          </w:divBdr>
          <w:divsChild>
            <w:div w:id="886573494">
              <w:marLeft w:val="0"/>
              <w:marRight w:val="0"/>
              <w:marTop w:val="0"/>
              <w:marBottom w:val="0"/>
              <w:divBdr>
                <w:top w:val="none" w:sz="0" w:space="0" w:color="auto"/>
                <w:left w:val="none" w:sz="0" w:space="0" w:color="auto"/>
                <w:bottom w:val="none" w:sz="0" w:space="0" w:color="auto"/>
                <w:right w:val="none" w:sz="0" w:space="0" w:color="auto"/>
              </w:divBdr>
              <w:divsChild>
                <w:div w:id="775639504">
                  <w:marLeft w:val="0"/>
                  <w:marRight w:val="0"/>
                  <w:marTop w:val="0"/>
                  <w:marBottom w:val="0"/>
                  <w:divBdr>
                    <w:top w:val="none" w:sz="0" w:space="0" w:color="auto"/>
                    <w:left w:val="none" w:sz="0" w:space="0" w:color="auto"/>
                    <w:bottom w:val="none" w:sz="0" w:space="0" w:color="auto"/>
                    <w:right w:val="none" w:sz="0" w:space="0" w:color="auto"/>
                  </w:divBdr>
                  <w:divsChild>
                    <w:div w:id="70202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320676">
      <w:bodyDiv w:val="1"/>
      <w:marLeft w:val="0"/>
      <w:marRight w:val="0"/>
      <w:marTop w:val="0"/>
      <w:marBottom w:val="0"/>
      <w:divBdr>
        <w:top w:val="none" w:sz="0" w:space="0" w:color="auto"/>
        <w:left w:val="none" w:sz="0" w:space="0" w:color="auto"/>
        <w:bottom w:val="none" w:sz="0" w:space="0" w:color="auto"/>
        <w:right w:val="none" w:sz="0" w:space="0" w:color="auto"/>
      </w:divBdr>
    </w:div>
    <w:div w:id="1093623147">
      <w:bodyDiv w:val="1"/>
      <w:marLeft w:val="0"/>
      <w:marRight w:val="0"/>
      <w:marTop w:val="0"/>
      <w:marBottom w:val="0"/>
      <w:divBdr>
        <w:top w:val="none" w:sz="0" w:space="0" w:color="auto"/>
        <w:left w:val="none" w:sz="0" w:space="0" w:color="auto"/>
        <w:bottom w:val="none" w:sz="0" w:space="0" w:color="auto"/>
        <w:right w:val="none" w:sz="0" w:space="0" w:color="auto"/>
      </w:divBdr>
    </w:div>
    <w:div w:id="1110272498">
      <w:bodyDiv w:val="1"/>
      <w:marLeft w:val="0"/>
      <w:marRight w:val="0"/>
      <w:marTop w:val="0"/>
      <w:marBottom w:val="0"/>
      <w:divBdr>
        <w:top w:val="none" w:sz="0" w:space="0" w:color="auto"/>
        <w:left w:val="none" w:sz="0" w:space="0" w:color="auto"/>
        <w:bottom w:val="none" w:sz="0" w:space="0" w:color="auto"/>
        <w:right w:val="none" w:sz="0" w:space="0" w:color="auto"/>
      </w:divBdr>
    </w:div>
    <w:div w:id="1116289835">
      <w:bodyDiv w:val="1"/>
      <w:marLeft w:val="0"/>
      <w:marRight w:val="0"/>
      <w:marTop w:val="0"/>
      <w:marBottom w:val="0"/>
      <w:divBdr>
        <w:top w:val="none" w:sz="0" w:space="0" w:color="auto"/>
        <w:left w:val="none" w:sz="0" w:space="0" w:color="auto"/>
        <w:bottom w:val="none" w:sz="0" w:space="0" w:color="auto"/>
        <w:right w:val="none" w:sz="0" w:space="0" w:color="auto"/>
      </w:divBdr>
    </w:div>
    <w:div w:id="1198153481">
      <w:bodyDiv w:val="1"/>
      <w:marLeft w:val="0"/>
      <w:marRight w:val="0"/>
      <w:marTop w:val="0"/>
      <w:marBottom w:val="0"/>
      <w:divBdr>
        <w:top w:val="none" w:sz="0" w:space="0" w:color="auto"/>
        <w:left w:val="none" w:sz="0" w:space="0" w:color="auto"/>
        <w:bottom w:val="none" w:sz="0" w:space="0" w:color="auto"/>
        <w:right w:val="none" w:sz="0" w:space="0" w:color="auto"/>
      </w:divBdr>
    </w:div>
    <w:div w:id="1215581587">
      <w:bodyDiv w:val="1"/>
      <w:marLeft w:val="0"/>
      <w:marRight w:val="0"/>
      <w:marTop w:val="0"/>
      <w:marBottom w:val="0"/>
      <w:divBdr>
        <w:top w:val="none" w:sz="0" w:space="0" w:color="auto"/>
        <w:left w:val="none" w:sz="0" w:space="0" w:color="auto"/>
        <w:bottom w:val="none" w:sz="0" w:space="0" w:color="auto"/>
        <w:right w:val="none" w:sz="0" w:space="0" w:color="auto"/>
      </w:divBdr>
      <w:divsChild>
        <w:div w:id="972101238">
          <w:marLeft w:val="0"/>
          <w:marRight w:val="0"/>
          <w:marTop w:val="0"/>
          <w:marBottom w:val="0"/>
          <w:divBdr>
            <w:top w:val="none" w:sz="0" w:space="0" w:color="auto"/>
            <w:left w:val="none" w:sz="0" w:space="0" w:color="auto"/>
            <w:bottom w:val="none" w:sz="0" w:space="0" w:color="auto"/>
            <w:right w:val="none" w:sz="0" w:space="0" w:color="auto"/>
          </w:divBdr>
          <w:divsChild>
            <w:div w:id="609700470">
              <w:marLeft w:val="0"/>
              <w:marRight w:val="0"/>
              <w:marTop w:val="0"/>
              <w:marBottom w:val="0"/>
              <w:divBdr>
                <w:top w:val="none" w:sz="0" w:space="0" w:color="auto"/>
                <w:left w:val="none" w:sz="0" w:space="0" w:color="auto"/>
                <w:bottom w:val="none" w:sz="0" w:space="0" w:color="auto"/>
                <w:right w:val="none" w:sz="0" w:space="0" w:color="auto"/>
              </w:divBdr>
              <w:divsChild>
                <w:div w:id="1148322006">
                  <w:marLeft w:val="0"/>
                  <w:marRight w:val="0"/>
                  <w:marTop w:val="0"/>
                  <w:marBottom w:val="0"/>
                  <w:divBdr>
                    <w:top w:val="none" w:sz="0" w:space="0" w:color="auto"/>
                    <w:left w:val="none" w:sz="0" w:space="0" w:color="auto"/>
                    <w:bottom w:val="none" w:sz="0" w:space="0" w:color="auto"/>
                    <w:right w:val="none" w:sz="0" w:space="0" w:color="auto"/>
                  </w:divBdr>
                  <w:divsChild>
                    <w:div w:id="15480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673600">
          <w:marLeft w:val="0"/>
          <w:marRight w:val="0"/>
          <w:marTop w:val="0"/>
          <w:marBottom w:val="0"/>
          <w:divBdr>
            <w:top w:val="none" w:sz="0" w:space="0" w:color="auto"/>
            <w:left w:val="none" w:sz="0" w:space="0" w:color="auto"/>
            <w:bottom w:val="none" w:sz="0" w:space="0" w:color="auto"/>
            <w:right w:val="none" w:sz="0" w:space="0" w:color="auto"/>
          </w:divBdr>
          <w:divsChild>
            <w:div w:id="1489248098">
              <w:marLeft w:val="0"/>
              <w:marRight w:val="0"/>
              <w:marTop w:val="0"/>
              <w:marBottom w:val="0"/>
              <w:divBdr>
                <w:top w:val="none" w:sz="0" w:space="0" w:color="auto"/>
                <w:left w:val="none" w:sz="0" w:space="0" w:color="auto"/>
                <w:bottom w:val="none" w:sz="0" w:space="0" w:color="auto"/>
                <w:right w:val="none" w:sz="0" w:space="0" w:color="auto"/>
              </w:divBdr>
              <w:divsChild>
                <w:div w:id="1908806139">
                  <w:marLeft w:val="0"/>
                  <w:marRight w:val="0"/>
                  <w:marTop w:val="0"/>
                  <w:marBottom w:val="0"/>
                  <w:divBdr>
                    <w:top w:val="none" w:sz="0" w:space="0" w:color="auto"/>
                    <w:left w:val="none" w:sz="0" w:space="0" w:color="auto"/>
                    <w:bottom w:val="none" w:sz="0" w:space="0" w:color="auto"/>
                    <w:right w:val="none" w:sz="0" w:space="0" w:color="auto"/>
                  </w:divBdr>
                  <w:divsChild>
                    <w:div w:id="12387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466772">
      <w:bodyDiv w:val="1"/>
      <w:marLeft w:val="0"/>
      <w:marRight w:val="0"/>
      <w:marTop w:val="0"/>
      <w:marBottom w:val="0"/>
      <w:divBdr>
        <w:top w:val="none" w:sz="0" w:space="0" w:color="auto"/>
        <w:left w:val="none" w:sz="0" w:space="0" w:color="auto"/>
        <w:bottom w:val="none" w:sz="0" w:space="0" w:color="auto"/>
        <w:right w:val="none" w:sz="0" w:space="0" w:color="auto"/>
      </w:divBdr>
    </w:div>
    <w:div w:id="1254162624">
      <w:bodyDiv w:val="1"/>
      <w:marLeft w:val="0"/>
      <w:marRight w:val="0"/>
      <w:marTop w:val="0"/>
      <w:marBottom w:val="0"/>
      <w:divBdr>
        <w:top w:val="none" w:sz="0" w:space="0" w:color="auto"/>
        <w:left w:val="none" w:sz="0" w:space="0" w:color="auto"/>
        <w:bottom w:val="none" w:sz="0" w:space="0" w:color="auto"/>
        <w:right w:val="none" w:sz="0" w:space="0" w:color="auto"/>
      </w:divBdr>
    </w:div>
    <w:div w:id="1272741080">
      <w:bodyDiv w:val="1"/>
      <w:marLeft w:val="0"/>
      <w:marRight w:val="0"/>
      <w:marTop w:val="0"/>
      <w:marBottom w:val="0"/>
      <w:divBdr>
        <w:top w:val="none" w:sz="0" w:space="0" w:color="auto"/>
        <w:left w:val="none" w:sz="0" w:space="0" w:color="auto"/>
        <w:bottom w:val="none" w:sz="0" w:space="0" w:color="auto"/>
        <w:right w:val="none" w:sz="0" w:space="0" w:color="auto"/>
      </w:divBdr>
    </w:div>
    <w:div w:id="1274291250">
      <w:bodyDiv w:val="1"/>
      <w:marLeft w:val="0"/>
      <w:marRight w:val="0"/>
      <w:marTop w:val="0"/>
      <w:marBottom w:val="0"/>
      <w:divBdr>
        <w:top w:val="none" w:sz="0" w:space="0" w:color="auto"/>
        <w:left w:val="none" w:sz="0" w:space="0" w:color="auto"/>
        <w:bottom w:val="none" w:sz="0" w:space="0" w:color="auto"/>
        <w:right w:val="none" w:sz="0" w:space="0" w:color="auto"/>
      </w:divBdr>
      <w:divsChild>
        <w:div w:id="1068067195">
          <w:marLeft w:val="0"/>
          <w:marRight w:val="0"/>
          <w:marTop w:val="0"/>
          <w:marBottom w:val="0"/>
          <w:divBdr>
            <w:top w:val="none" w:sz="0" w:space="0" w:color="auto"/>
            <w:left w:val="none" w:sz="0" w:space="0" w:color="auto"/>
            <w:bottom w:val="none" w:sz="0" w:space="0" w:color="auto"/>
            <w:right w:val="none" w:sz="0" w:space="0" w:color="auto"/>
          </w:divBdr>
          <w:divsChild>
            <w:div w:id="1183980838">
              <w:marLeft w:val="0"/>
              <w:marRight w:val="0"/>
              <w:marTop w:val="0"/>
              <w:marBottom w:val="0"/>
              <w:divBdr>
                <w:top w:val="none" w:sz="0" w:space="0" w:color="auto"/>
                <w:left w:val="none" w:sz="0" w:space="0" w:color="auto"/>
                <w:bottom w:val="none" w:sz="0" w:space="0" w:color="auto"/>
                <w:right w:val="none" w:sz="0" w:space="0" w:color="auto"/>
              </w:divBdr>
              <w:divsChild>
                <w:div w:id="549420736">
                  <w:marLeft w:val="0"/>
                  <w:marRight w:val="0"/>
                  <w:marTop w:val="0"/>
                  <w:marBottom w:val="0"/>
                  <w:divBdr>
                    <w:top w:val="none" w:sz="0" w:space="0" w:color="auto"/>
                    <w:left w:val="none" w:sz="0" w:space="0" w:color="auto"/>
                    <w:bottom w:val="none" w:sz="0" w:space="0" w:color="auto"/>
                    <w:right w:val="none" w:sz="0" w:space="0" w:color="auto"/>
                  </w:divBdr>
                  <w:divsChild>
                    <w:div w:id="161698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698078">
          <w:marLeft w:val="0"/>
          <w:marRight w:val="0"/>
          <w:marTop w:val="0"/>
          <w:marBottom w:val="0"/>
          <w:divBdr>
            <w:top w:val="none" w:sz="0" w:space="0" w:color="auto"/>
            <w:left w:val="none" w:sz="0" w:space="0" w:color="auto"/>
            <w:bottom w:val="none" w:sz="0" w:space="0" w:color="auto"/>
            <w:right w:val="none" w:sz="0" w:space="0" w:color="auto"/>
          </w:divBdr>
          <w:divsChild>
            <w:div w:id="1194658499">
              <w:marLeft w:val="0"/>
              <w:marRight w:val="0"/>
              <w:marTop w:val="0"/>
              <w:marBottom w:val="0"/>
              <w:divBdr>
                <w:top w:val="none" w:sz="0" w:space="0" w:color="auto"/>
                <w:left w:val="none" w:sz="0" w:space="0" w:color="auto"/>
                <w:bottom w:val="none" w:sz="0" w:space="0" w:color="auto"/>
                <w:right w:val="none" w:sz="0" w:space="0" w:color="auto"/>
              </w:divBdr>
              <w:divsChild>
                <w:div w:id="1550266410">
                  <w:marLeft w:val="0"/>
                  <w:marRight w:val="0"/>
                  <w:marTop w:val="0"/>
                  <w:marBottom w:val="0"/>
                  <w:divBdr>
                    <w:top w:val="none" w:sz="0" w:space="0" w:color="auto"/>
                    <w:left w:val="none" w:sz="0" w:space="0" w:color="auto"/>
                    <w:bottom w:val="none" w:sz="0" w:space="0" w:color="auto"/>
                    <w:right w:val="none" w:sz="0" w:space="0" w:color="auto"/>
                  </w:divBdr>
                  <w:divsChild>
                    <w:div w:id="163409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06356">
      <w:bodyDiv w:val="1"/>
      <w:marLeft w:val="0"/>
      <w:marRight w:val="0"/>
      <w:marTop w:val="0"/>
      <w:marBottom w:val="0"/>
      <w:divBdr>
        <w:top w:val="none" w:sz="0" w:space="0" w:color="auto"/>
        <w:left w:val="none" w:sz="0" w:space="0" w:color="auto"/>
        <w:bottom w:val="none" w:sz="0" w:space="0" w:color="auto"/>
        <w:right w:val="none" w:sz="0" w:space="0" w:color="auto"/>
      </w:divBdr>
    </w:div>
    <w:div w:id="1346329166">
      <w:bodyDiv w:val="1"/>
      <w:marLeft w:val="0"/>
      <w:marRight w:val="0"/>
      <w:marTop w:val="0"/>
      <w:marBottom w:val="0"/>
      <w:divBdr>
        <w:top w:val="none" w:sz="0" w:space="0" w:color="auto"/>
        <w:left w:val="none" w:sz="0" w:space="0" w:color="auto"/>
        <w:bottom w:val="none" w:sz="0" w:space="0" w:color="auto"/>
        <w:right w:val="none" w:sz="0" w:space="0" w:color="auto"/>
      </w:divBdr>
    </w:div>
    <w:div w:id="1347173465">
      <w:bodyDiv w:val="1"/>
      <w:marLeft w:val="0"/>
      <w:marRight w:val="0"/>
      <w:marTop w:val="0"/>
      <w:marBottom w:val="0"/>
      <w:divBdr>
        <w:top w:val="none" w:sz="0" w:space="0" w:color="auto"/>
        <w:left w:val="none" w:sz="0" w:space="0" w:color="auto"/>
        <w:bottom w:val="none" w:sz="0" w:space="0" w:color="auto"/>
        <w:right w:val="none" w:sz="0" w:space="0" w:color="auto"/>
      </w:divBdr>
    </w:div>
    <w:div w:id="1381133763">
      <w:bodyDiv w:val="1"/>
      <w:marLeft w:val="0"/>
      <w:marRight w:val="0"/>
      <w:marTop w:val="0"/>
      <w:marBottom w:val="0"/>
      <w:divBdr>
        <w:top w:val="none" w:sz="0" w:space="0" w:color="auto"/>
        <w:left w:val="none" w:sz="0" w:space="0" w:color="auto"/>
        <w:bottom w:val="none" w:sz="0" w:space="0" w:color="auto"/>
        <w:right w:val="none" w:sz="0" w:space="0" w:color="auto"/>
      </w:divBdr>
    </w:div>
    <w:div w:id="1410928250">
      <w:bodyDiv w:val="1"/>
      <w:marLeft w:val="0"/>
      <w:marRight w:val="0"/>
      <w:marTop w:val="0"/>
      <w:marBottom w:val="0"/>
      <w:divBdr>
        <w:top w:val="none" w:sz="0" w:space="0" w:color="auto"/>
        <w:left w:val="none" w:sz="0" w:space="0" w:color="auto"/>
        <w:bottom w:val="none" w:sz="0" w:space="0" w:color="auto"/>
        <w:right w:val="none" w:sz="0" w:space="0" w:color="auto"/>
      </w:divBdr>
    </w:div>
    <w:div w:id="1411153418">
      <w:bodyDiv w:val="1"/>
      <w:marLeft w:val="0"/>
      <w:marRight w:val="0"/>
      <w:marTop w:val="0"/>
      <w:marBottom w:val="0"/>
      <w:divBdr>
        <w:top w:val="none" w:sz="0" w:space="0" w:color="auto"/>
        <w:left w:val="none" w:sz="0" w:space="0" w:color="auto"/>
        <w:bottom w:val="none" w:sz="0" w:space="0" w:color="auto"/>
        <w:right w:val="none" w:sz="0" w:space="0" w:color="auto"/>
      </w:divBdr>
      <w:divsChild>
        <w:div w:id="499735916">
          <w:marLeft w:val="0"/>
          <w:marRight w:val="0"/>
          <w:marTop w:val="0"/>
          <w:marBottom w:val="0"/>
          <w:divBdr>
            <w:top w:val="none" w:sz="0" w:space="0" w:color="auto"/>
            <w:left w:val="none" w:sz="0" w:space="0" w:color="auto"/>
            <w:bottom w:val="none" w:sz="0" w:space="0" w:color="auto"/>
            <w:right w:val="none" w:sz="0" w:space="0" w:color="auto"/>
          </w:divBdr>
          <w:divsChild>
            <w:div w:id="307252493">
              <w:marLeft w:val="0"/>
              <w:marRight w:val="0"/>
              <w:marTop w:val="0"/>
              <w:marBottom w:val="0"/>
              <w:divBdr>
                <w:top w:val="none" w:sz="0" w:space="0" w:color="auto"/>
                <w:left w:val="none" w:sz="0" w:space="0" w:color="auto"/>
                <w:bottom w:val="none" w:sz="0" w:space="0" w:color="auto"/>
                <w:right w:val="none" w:sz="0" w:space="0" w:color="auto"/>
              </w:divBdr>
              <w:divsChild>
                <w:div w:id="352806956">
                  <w:marLeft w:val="0"/>
                  <w:marRight w:val="0"/>
                  <w:marTop w:val="0"/>
                  <w:marBottom w:val="0"/>
                  <w:divBdr>
                    <w:top w:val="none" w:sz="0" w:space="0" w:color="auto"/>
                    <w:left w:val="none" w:sz="0" w:space="0" w:color="auto"/>
                    <w:bottom w:val="none" w:sz="0" w:space="0" w:color="auto"/>
                    <w:right w:val="none" w:sz="0" w:space="0" w:color="auto"/>
                  </w:divBdr>
                  <w:divsChild>
                    <w:div w:id="71613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074477">
      <w:bodyDiv w:val="1"/>
      <w:marLeft w:val="0"/>
      <w:marRight w:val="0"/>
      <w:marTop w:val="0"/>
      <w:marBottom w:val="0"/>
      <w:divBdr>
        <w:top w:val="none" w:sz="0" w:space="0" w:color="auto"/>
        <w:left w:val="none" w:sz="0" w:space="0" w:color="auto"/>
        <w:bottom w:val="none" w:sz="0" w:space="0" w:color="auto"/>
        <w:right w:val="none" w:sz="0" w:space="0" w:color="auto"/>
      </w:divBdr>
    </w:div>
    <w:div w:id="1530803590">
      <w:bodyDiv w:val="1"/>
      <w:marLeft w:val="0"/>
      <w:marRight w:val="0"/>
      <w:marTop w:val="0"/>
      <w:marBottom w:val="0"/>
      <w:divBdr>
        <w:top w:val="none" w:sz="0" w:space="0" w:color="auto"/>
        <w:left w:val="none" w:sz="0" w:space="0" w:color="auto"/>
        <w:bottom w:val="none" w:sz="0" w:space="0" w:color="auto"/>
        <w:right w:val="none" w:sz="0" w:space="0" w:color="auto"/>
      </w:divBdr>
    </w:div>
    <w:div w:id="1531801604">
      <w:bodyDiv w:val="1"/>
      <w:marLeft w:val="0"/>
      <w:marRight w:val="0"/>
      <w:marTop w:val="0"/>
      <w:marBottom w:val="0"/>
      <w:divBdr>
        <w:top w:val="none" w:sz="0" w:space="0" w:color="auto"/>
        <w:left w:val="none" w:sz="0" w:space="0" w:color="auto"/>
        <w:bottom w:val="none" w:sz="0" w:space="0" w:color="auto"/>
        <w:right w:val="none" w:sz="0" w:space="0" w:color="auto"/>
      </w:divBdr>
    </w:div>
    <w:div w:id="1576739514">
      <w:bodyDiv w:val="1"/>
      <w:marLeft w:val="0"/>
      <w:marRight w:val="0"/>
      <w:marTop w:val="0"/>
      <w:marBottom w:val="0"/>
      <w:divBdr>
        <w:top w:val="none" w:sz="0" w:space="0" w:color="auto"/>
        <w:left w:val="none" w:sz="0" w:space="0" w:color="auto"/>
        <w:bottom w:val="none" w:sz="0" w:space="0" w:color="auto"/>
        <w:right w:val="none" w:sz="0" w:space="0" w:color="auto"/>
      </w:divBdr>
    </w:div>
    <w:div w:id="1582105006">
      <w:bodyDiv w:val="1"/>
      <w:marLeft w:val="0"/>
      <w:marRight w:val="0"/>
      <w:marTop w:val="0"/>
      <w:marBottom w:val="0"/>
      <w:divBdr>
        <w:top w:val="none" w:sz="0" w:space="0" w:color="auto"/>
        <w:left w:val="none" w:sz="0" w:space="0" w:color="auto"/>
        <w:bottom w:val="none" w:sz="0" w:space="0" w:color="auto"/>
        <w:right w:val="none" w:sz="0" w:space="0" w:color="auto"/>
      </w:divBdr>
    </w:div>
    <w:div w:id="1610313795">
      <w:bodyDiv w:val="1"/>
      <w:marLeft w:val="0"/>
      <w:marRight w:val="0"/>
      <w:marTop w:val="0"/>
      <w:marBottom w:val="0"/>
      <w:divBdr>
        <w:top w:val="none" w:sz="0" w:space="0" w:color="auto"/>
        <w:left w:val="none" w:sz="0" w:space="0" w:color="auto"/>
        <w:bottom w:val="none" w:sz="0" w:space="0" w:color="auto"/>
        <w:right w:val="none" w:sz="0" w:space="0" w:color="auto"/>
      </w:divBdr>
    </w:div>
    <w:div w:id="1610316261">
      <w:bodyDiv w:val="1"/>
      <w:marLeft w:val="0"/>
      <w:marRight w:val="0"/>
      <w:marTop w:val="0"/>
      <w:marBottom w:val="0"/>
      <w:divBdr>
        <w:top w:val="none" w:sz="0" w:space="0" w:color="auto"/>
        <w:left w:val="none" w:sz="0" w:space="0" w:color="auto"/>
        <w:bottom w:val="none" w:sz="0" w:space="0" w:color="auto"/>
        <w:right w:val="none" w:sz="0" w:space="0" w:color="auto"/>
      </w:divBdr>
    </w:div>
    <w:div w:id="1702440384">
      <w:bodyDiv w:val="1"/>
      <w:marLeft w:val="0"/>
      <w:marRight w:val="0"/>
      <w:marTop w:val="0"/>
      <w:marBottom w:val="0"/>
      <w:divBdr>
        <w:top w:val="none" w:sz="0" w:space="0" w:color="auto"/>
        <w:left w:val="none" w:sz="0" w:space="0" w:color="auto"/>
        <w:bottom w:val="none" w:sz="0" w:space="0" w:color="auto"/>
        <w:right w:val="none" w:sz="0" w:space="0" w:color="auto"/>
      </w:divBdr>
    </w:div>
    <w:div w:id="1711227012">
      <w:bodyDiv w:val="1"/>
      <w:marLeft w:val="0"/>
      <w:marRight w:val="0"/>
      <w:marTop w:val="0"/>
      <w:marBottom w:val="0"/>
      <w:divBdr>
        <w:top w:val="none" w:sz="0" w:space="0" w:color="auto"/>
        <w:left w:val="none" w:sz="0" w:space="0" w:color="auto"/>
        <w:bottom w:val="none" w:sz="0" w:space="0" w:color="auto"/>
        <w:right w:val="none" w:sz="0" w:space="0" w:color="auto"/>
      </w:divBdr>
    </w:div>
    <w:div w:id="1720977527">
      <w:bodyDiv w:val="1"/>
      <w:marLeft w:val="0"/>
      <w:marRight w:val="0"/>
      <w:marTop w:val="0"/>
      <w:marBottom w:val="0"/>
      <w:divBdr>
        <w:top w:val="none" w:sz="0" w:space="0" w:color="auto"/>
        <w:left w:val="none" w:sz="0" w:space="0" w:color="auto"/>
        <w:bottom w:val="none" w:sz="0" w:space="0" w:color="auto"/>
        <w:right w:val="none" w:sz="0" w:space="0" w:color="auto"/>
      </w:divBdr>
    </w:div>
    <w:div w:id="1784106401">
      <w:bodyDiv w:val="1"/>
      <w:marLeft w:val="0"/>
      <w:marRight w:val="0"/>
      <w:marTop w:val="0"/>
      <w:marBottom w:val="0"/>
      <w:divBdr>
        <w:top w:val="none" w:sz="0" w:space="0" w:color="auto"/>
        <w:left w:val="none" w:sz="0" w:space="0" w:color="auto"/>
        <w:bottom w:val="none" w:sz="0" w:space="0" w:color="auto"/>
        <w:right w:val="none" w:sz="0" w:space="0" w:color="auto"/>
      </w:divBdr>
    </w:div>
    <w:div w:id="1809743167">
      <w:bodyDiv w:val="1"/>
      <w:marLeft w:val="0"/>
      <w:marRight w:val="0"/>
      <w:marTop w:val="0"/>
      <w:marBottom w:val="0"/>
      <w:divBdr>
        <w:top w:val="none" w:sz="0" w:space="0" w:color="auto"/>
        <w:left w:val="none" w:sz="0" w:space="0" w:color="auto"/>
        <w:bottom w:val="none" w:sz="0" w:space="0" w:color="auto"/>
        <w:right w:val="none" w:sz="0" w:space="0" w:color="auto"/>
      </w:divBdr>
    </w:div>
    <w:div w:id="1820538904">
      <w:bodyDiv w:val="1"/>
      <w:marLeft w:val="0"/>
      <w:marRight w:val="0"/>
      <w:marTop w:val="0"/>
      <w:marBottom w:val="0"/>
      <w:divBdr>
        <w:top w:val="none" w:sz="0" w:space="0" w:color="auto"/>
        <w:left w:val="none" w:sz="0" w:space="0" w:color="auto"/>
        <w:bottom w:val="none" w:sz="0" w:space="0" w:color="auto"/>
        <w:right w:val="none" w:sz="0" w:space="0" w:color="auto"/>
      </w:divBdr>
    </w:div>
    <w:div w:id="1826388607">
      <w:bodyDiv w:val="1"/>
      <w:marLeft w:val="0"/>
      <w:marRight w:val="0"/>
      <w:marTop w:val="0"/>
      <w:marBottom w:val="0"/>
      <w:divBdr>
        <w:top w:val="none" w:sz="0" w:space="0" w:color="auto"/>
        <w:left w:val="none" w:sz="0" w:space="0" w:color="auto"/>
        <w:bottom w:val="none" w:sz="0" w:space="0" w:color="auto"/>
        <w:right w:val="none" w:sz="0" w:space="0" w:color="auto"/>
      </w:divBdr>
    </w:div>
    <w:div w:id="1833833638">
      <w:bodyDiv w:val="1"/>
      <w:marLeft w:val="0"/>
      <w:marRight w:val="0"/>
      <w:marTop w:val="0"/>
      <w:marBottom w:val="0"/>
      <w:divBdr>
        <w:top w:val="none" w:sz="0" w:space="0" w:color="auto"/>
        <w:left w:val="none" w:sz="0" w:space="0" w:color="auto"/>
        <w:bottom w:val="none" w:sz="0" w:space="0" w:color="auto"/>
        <w:right w:val="none" w:sz="0" w:space="0" w:color="auto"/>
      </w:divBdr>
    </w:div>
    <w:div w:id="1848789110">
      <w:bodyDiv w:val="1"/>
      <w:marLeft w:val="0"/>
      <w:marRight w:val="0"/>
      <w:marTop w:val="0"/>
      <w:marBottom w:val="0"/>
      <w:divBdr>
        <w:top w:val="none" w:sz="0" w:space="0" w:color="auto"/>
        <w:left w:val="none" w:sz="0" w:space="0" w:color="auto"/>
        <w:bottom w:val="none" w:sz="0" w:space="0" w:color="auto"/>
        <w:right w:val="none" w:sz="0" w:space="0" w:color="auto"/>
      </w:divBdr>
    </w:div>
    <w:div w:id="1864977566">
      <w:bodyDiv w:val="1"/>
      <w:marLeft w:val="0"/>
      <w:marRight w:val="0"/>
      <w:marTop w:val="0"/>
      <w:marBottom w:val="0"/>
      <w:divBdr>
        <w:top w:val="none" w:sz="0" w:space="0" w:color="auto"/>
        <w:left w:val="none" w:sz="0" w:space="0" w:color="auto"/>
        <w:bottom w:val="none" w:sz="0" w:space="0" w:color="auto"/>
        <w:right w:val="none" w:sz="0" w:space="0" w:color="auto"/>
      </w:divBdr>
    </w:div>
    <w:div w:id="1867062149">
      <w:bodyDiv w:val="1"/>
      <w:marLeft w:val="0"/>
      <w:marRight w:val="0"/>
      <w:marTop w:val="0"/>
      <w:marBottom w:val="0"/>
      <w:divBdr>
        <w:top w:val="none" w:sz="0" w:space="0" w:color="auto"/>
        <w:left w:val="none" w:sz="0" w:space="0" w:color="auto"/>
        <w:bottom w:val="none" w:sz="0" w:space="0" w:color="auto"/>
        <w:right w:val="none" w:sz="0" w:space="0" w:color="auto"/>
      </w:divBdr>
    </w:div>
    <w:div w:id="1911231871">
      <w:bodyDiv w:val="1"/>
      <w:marLeft w:val="0"/>
      <w:marRight w:val="0"/>
      <w:marTop w:val="0"/>
      <w:marBottom w:val="0"/>
      <w:divBdr>
        <w:top w:val="none" w:sz="0" w:space="0" w:color="auto"/>
        <w:left w:val="none" w:sz="0" w:space="0" w:color="auto"/>
        <w:bottom w:val="none" w:sz="0" w:space="0" w:color="auto"/>
        <w:right w:val="none" w:sz="0" w:space="0" w:color="auto"/>
      </w:divBdr>
    </w:div>
    <w:div w:id="1954288476">
      <w:bodyDiv w:val="1"/>
      <w:marLeft w:val="0"/>
      <w:marRight w:val="0"/>
      <w:marTop w:val="0"/>
      <w:marBottom w:val="0"/>
      <w:divBdr>
        <w:top w:val="none" w:sz="0" w:space="0" w:color="auto"/>
        <w:left w:val="none" w:sz="0" w:space="0" w:color="auto"/>
        <w:bottom w:val="none" w:sz="0" w:space="0" w:color="auto"/>
        <w:right w:val="none" w:sz="0" w:space="0" w:color="auto"/>
      </w:divBdr>
    </w:div>
    <w:div w:id="1963030464">
      <w:bodyDiv w:val="1"/>
      <w:marLeft w:val="0"/>
      <w:marRight w:val="0"/>
      <w:marTop w:val="0"/>
      <w:marBottom w:val="0"/>
      <w:divBdr>
        <w:top w:val="none" w:sz="0" w:space="0" w:color="auto"/>
        <w:left w:val="none" w:sz="0" w:space="0" w:color="auto"/>
        <w:bottom w:val="none" w:sz="0" w:space="0" w:color="auto"/>
        <w:right w:val="none" w:sz="0" w:space="0" w:color="auto"/>
      </w:divBdr>
    </w:div>
    <w:div w:id="1978217249">
      <w:bodyDiv w:val="1"/>
      <w:marLeft w:val="0"/>
      <w:marRight w:val="0"/>
      <w:marTop w:val="0"/>
      <w:marBottom w:val="0"/>
      <w:divBdr>
        <w:top w:val="none" w:sz="0" w:space="0" w:color="auto"/>
        <w:left w:val="none" w:sz="0" w:space="0" w:color="auto"/>
        <w:bottom w:val="none" w:sz="0" w:space="0" w:color="auto"/>
        <w:right w:val="none" w:sz="0" w:space="0" w:color="auto"/>
      </w:divBdr>
      <w:divsChild>
        <w:div w:id="195436770">
          <w:marLeft w:val="0"/>
          <w:marRight w:val="0"/>
          <w:marTop w:val="0"/>
          <w:marBottom w:val="0"/>
          <w:divBdr>
            <w:top w:val="none" w:sz="0" w:space="0" w:color="auto"/>
            <w:left w:val="none" w:sz="0" w:space="0" w:color="auto"/>
            <w:bottom w:val="none" w:sz="0" w:space="0" w:color="auto"/>
            <w:right w:val="none" w:sz="0" w:space="0" w:color="auto"/>
          </w:divBdr>
          <w:divsChild>
            <w:div w:id="812793937">
              <w:marLeft w:val="0"/>
              <w:marRight w:val="0"/>
              <w:marTop w:val="0"/>
              <w:marBottom w:val="0"/>
              <w:divBdr>
                <w:top w:val="none" w:sz="0" w:space="0" w:color="auto"/>
                <w:left w:val="none" w:sz="0" w:space="0" w:color="auto"/>
                <w:bottom w:val="none" w:sz="0" w:space="0" w:color="auto"/>
                <w:right w:val="none" w:sz="0" w:space="0" w:color="auto"/>
              </w:divBdr>
              <w:divsChild>
                <w:div w:id="1123041576">
                  <w:marLeft w:val="0"/>
                  <w:marRight w:val="0"/>
                  <w:marTop w:val="0"/>
                  <w:marBottom w:val="0"/>
                  <w:divBdr>
                    <w:top w:val="none" w:sz="0" w:space="0" w:color="auto"/>
                    <w:left w:val="none" w:sz="0" w:space="0" w:color="auto"/>
                    <w:bottom w:val="none" w:sz="0" w:space="0" w:color="auto"/>
                    <w:right w:val="none" w:sz="0" w:space="0" w:color="auto"/>
                  </w:divBdr>
                  <w:divsChild>
                    <w:div w:id="63035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580227">
      <w:bodyDiv w:val="1"/>
      <w:marLeft w:val="0"/>
      <w:marRight w:val="0"/>
      <w:marTop w:val="0"/>
      <w:marBottom w:val="0"/>
      <w:divBdr>
        <w:top w:val="none" w:sz="0" w:space="0" w:color="auto"/>
        <w:left w:val="none" w:sz="0" w:space="0" w:color="auto"/>
        <w:bottom w:val="none" w:sz="0" w:space="0" w:color="auto"/>
        <w:right w:val="none" w:sz="0" w:space="0" w:color="auto"/>
      </w:divBdr>
    </w:div>
    <w:div w:id="2000886029">
      <w:bodyDiv w:val="1"/>
      <w:marLeft w:val="0"/>
      <w:marRight w:val="0"/>
      <w:marTop w:val="0"/>
      <w:marBottom w:val="0"/>
      <w:divBdr>
        <w:top w:val="none" w:sz="0" w:space="0" w:color="auto"/>
        <w:left w:val="none" w:sz="0" w:space="0" w:color="auto"/>
        <w:bottom w:val="none" w:sz="0" w:space="0" w:color="auto"/>
        <w:right w:val="none" w:sz="0" w:space="0" w:color="auto"/>
      </w:divBdr>
    </w:div>
    <w:div w:id="2033845204">
      <w:bodyDiv w:val="1"/>
      <w:marLeft w:val="0"/>
      <w:marRight w:val="0"/>
      <w:marTop w:val="0"/>
      <w:marBottom w:val="0"/>
      <w:divBdr>
        <w:top w:val="none" w:sz="0" w:space="0" w:color="auto"/>
        <w:left w:val="none" w:sz="0" w:space="0" w:color="auto"/>
        <w:bottom w:val="none" w:sz="0" w:space="0" w:color="auto"/>
        <w:right w:val="none" w:sz="0" w:space="0" w:color="auto"/>
      </w:divBdr>
    </w:div>
    <w:div w:id="205681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hcch.net/en/instruments/conventions/full-text/?cid=81" TargetMode="External"/><Relationship Id="rId26" Type="http://schemas.openxmlformats.org/officeDocument/2006/relationships/hyperlink" Target="https://op.europa.eu/en/publication-detail/-/publication/2cad0491-fe02-11ee-a251-01aa75ed71a1" TargetMode="External"/><Relationship Id="rId39"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op.europa.eu/en/publication-detail/-/publication/2cad0491-fe02-11ee-a251-01aa75ed71a1" TargetMode="External"/><Relationship Id="rId34" Type="http://schemas.openxmlformats.org/officeDocument/2006/relationships/hyperlink" Target="https://eur-lex.europa.eu/legal-content/HU/TXT/?uri=CELEX%3A32024L1069" TargetMode="External"/><Relationship Id="rId42"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finance.ec.europa.eu/system/files/2016-11/report-compensation-cross-border-victims-29012009_en.pdf" TargetMode="External"/><Relationship Id="rId33" Type="http://schemas.openxmlformats.org/officeDocument/2006/relationships/hyperlink" Target="https://www.europarl.europa.eu/doceo/document/TA-7-2012-0200_HU.html" TargetMode="External"/><Relationship Id="rId38" Type="http://schemas.openxmlformats.org/officeDocument/2006/relationships/header" Target="header4.xml"/><Relationship Id="rId46"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op.europa.eu/en/publication-detail/-/publication/c92e8d95-ac55-4c9c-91b6-36a5a7564838/language-en" TargetMode="External"/><Relationship Id="rId29" Type="http://schemas.openxmlformats.org/officeDocument/2006/relationships/hyperlink" Target="https://www.hcch.net/en/instruments/conventions/full-text/?cid=81"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HU/TXT/?uri=CELEX:32007R0864" TargetMode="External"/><Relationship Id="rId32" Type="http://schemas.openxmlformats.org/officeDocument/2006/relationships/hyperlink" Target="https://op.europa.eu/en/publication-detail/-/publication/2cad0491-fe02-11ee-a251-01aa75ed71a1" TargetMode="External"/><Relationship Id="rId37" Type="http://schemas.openxmlformats.org/officeDocument/2006/relationships/hyperlink" Target="https://op.europa.eu/en/publication-detail/-/publication/11043f63-200c-11ec-bd8e-01aa75ed71a1/language-en/format-PDF/source-233231803" TargetMode="Externa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finance.ec.europa.eu/system/files/2016-11/report-compensation-cross-border-victims-29012009_en.pdf" TargetMode="External"/><Relationship Id="rId28" Type="http://schemas.openxmlformats.org/officeDocument/2006/relationships/hyperlink" Target="https://op.europa.eu/en/publication-detail/-/publication/11043f63-200c-11ec-bd8e-01aa75ed71a1/language-en/format-PDF/source-233231803" TargetMode="External"/><Relationship Id="rId36" Type="http://schemas.openxmlformats.org/officeDocument/2006/relationships/hyperlink" Target="https://op.europa.eu/en/publication-detail/-/publication/11043f63-200c-11ec-bd8e-01aa75ed71a1/language-en/format-PDF/source-233231803" TargetMode="External"/><Relationship Id="rId10" Type="http://schemas.openxmlformats.org/officeDocument/2006/relationships/endnotes" Target="endnotes.xml"/><Relationship Id="rId19" Type="http://schemas.openxmlformats.org/officeDocument/2006/relationships/hyperlink" Target="https://op.europa.eu/en/publication-detail/-/publication/11043f63-200c-11ec-bd8e-01aa75ed71a1" TargetMode="External"/><Relationship Id="rId31" Type="http://schemas.openxmlformats.org/officeDocument/2006/relationships/hyperlink" Target="https://op.europa.eu/en/publication-detail/-/publication/11043f63-200c-11ec-bd8e-01aa75ed71a1/language-en/format-PDF/source-233231803"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finance.ec.europa.eu/system/files/2016-11/report-compensation-cross-border-victims-29012009_en.pdf" TargetMode="External"/><Relationship Id="rId27" Type="http://schemas.openxmlformats.org/officeDocument/2006/relationships/hyperlink" Target="https://op.europa.eu/en/publication-detail/-/publication/c92e8d95-ac55-4c9c-91b6-36a5a7564838/language-en" TargetMode="External"/><Relationship Id="rId30" Type="http://schemas.openxmlformats.org/officeDocument/2006/relationships/hyperlink" Target="https://op.europa.eu/en/publication-detail/-/publication/2cad0491-fe02-11ee-a251-01aa75ed71a1" TargetMode="External"/><Relationship Id="rId35" Type="http://schemas.openxmlformats.org/officeDocument/2006/relationships/hyperlink" Target="https://www.europarl.europa.eu/doceo/document/TA-9-2023-0264_HU.pdf" TargetMode="External"/><Relationship Id="rId43"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4e4370d0-cead-11ed-a05c-01aa75ed71a1" TargetMode="External"/><Relationship Id="rId2" Type="http://schemas.openxmlformats.org/officeDocument/2006/relationships/hyperlink" Target="https://op.europa.eu/en/publication-detail/-/publication/2cad0491-fe02-11ee-a251-01aa75ed71a1" TargetMode="External"/><Relationship Id="rId1" Type="http://schemas.openxmlformats.org/officeDocument/2006/relationships/hyperlink" Target="https://www.europarl.europa.eu/RegData/etudes/STUD/2021/703387/IPOL_STU(2021)703387_EN.pdf" TargetMode="External"/><Relationship Id="rId6" Type="http://schemas.openxmlformats.org/officeDocument/2006/relationships/hyperlink" Target="https://op.europa.eu/en/publication-detail/-/publication/11043f63-200c-11ec-bd8e-01aa75ed71a1/language-en/format-PDF/source-233231803" TargetMode="External"/><Relationship Id="rId5" Type="http://schemas.openxmlformats.org/officeDocument/2006/relationships/hyperlink" Target="https://op.europa.eu/en/publication-detail/-/publication/11043f63-200c-11ec-bd8e-01aa75ed71a1/language-en/format-PDF/source-233231803" TargetMode="External"/><Relationship Id="rId4" Type="http://schemas.openxmlformats.org/officeDocument/2006/relationships/hyperlink" Target="https://eur-lex.europa.eu/legal-content/HU/TXT/?uri=celex%3A52022PC0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13" ma:contentTypeDescription="Create a new document." ma:contentTypeScope="" ma:versionID="d4b677d4b4a39419df1298303b9f50f3">
  <xsd:schema xmlns:xsd="http://www.w3.org/2001/XMLSchema" xmlns:xs="http://www.w3.org/2001/XMLSchema" xmlns:p="http://schemas.microsoft.com/office/2006/metadata/properties" xmlns:ns3="b1574990-7dca-46ed-ac87-7eb4962c31b1" xmlns:ns4="d2e3c90a-5f11-4787-ace5-3a0bcb2edcfa" targetNamespace="http://schemas.microsoft.com/office/2006/metadata/properties" ma:root="true" ma:fieldsID="ab02c02e02c10a35d818fe71a2968a5f" ns3:_="" ns4:_="">
    <xsd:import namespace="b1574990-7dca-46ed-ac87-7eb4962c31b1"/>
    <xsd:import namespace="d2e3c90a-5f11-4787-ace5-3a0bcb2edcf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1574990-7dca-46ed-ac87-7eb4962c31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88A99-4722-4AA6-AC95-964ADFD49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d2e3c90a-5f11-4787-ace5-3a0bcb2ed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EC78C4-EB06-43D7-BF49-4E84F2143F75}">
  <ds:schemaRefs>
    <ds:schemaRef ds:uri="http://schemas.microsoft.com/sharepoint/v3/contenttype/forms"/>
  </ds:schemaRefs>
</ds:datastoreItem>
</file>

<file path=customXml/itemProps3.xml><?xml version="1.0" encoding="utf-8"?>
<ds:datastoreItem xmlns:ds="http://schemas.openxmlformats.org/officeDocument/2006/customXml" ds:itemID="{04E7EC3E-F75E-4633-ABA4-B2280769A59F}">
  <ds:schemaRefs>
    <ds:schemaRef ds:uri="http://schemas.microsoft.com/office/2006/metadata/properties"/>
    <ds:schemaRef ds:uri="http://schemas.microsoft.com/office/infopath/2007/PartnerControls"/>
    <ds:schemaRef ds:uri="b1574990-7dca-46ed-ac87-7eb4962c31b1"/>
  </ds:schemaRefs>
</ds:datastoreItem>
</file>

<file path=customXml/itemProps4.xml><?xml version="1.0" encoding="utf-8"?>
<ds:datastoreItem xmlns:ds="http://schemas.openxmlformats.org/officeDocument/2006/customXml" ds:itemID="{554DB4DB-D798-4CC2-8446-6C93DE876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5382</Words>
  <Characters>30682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cp:lastPrinted>2024-07-16T16:45:00Z</cp:lastPrinted>
  <dcterms:created xsi:type="dcterms:W3CDTF">2025-01-21T13:09:00Z</dcterms:created>
  <dcterms:modified xsi:type="dcterms:W3CDTF">2025-01-30T16:28:00Z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2024-01-19T13:13:30Z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853a798f-e849-4f87-8f50-ecd0351cb52e</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CP-007</vt:lpwstr>
  </property>
  <property fmtid="{D5CDD505-2E9C-101B-9397-08002B2CF9AE}" pid="14" name="Last edited using">
    <vt:lpwstr>LW 9.1, Build 20240808</vt:lpwstr>
  </property>
  <property fmtid="{D5CDD505-2E9C-101B-9397-08002B2CF9AE}" pid="15" name="Created using">
    <vt:lpwstr>LW 9.0, Build 20230317</vt:lpwstr>
  </property>
  <property fmtid="{D5CDD505-2E9C-101B-9397-08002B2CF9AE}" pid="16" name="ContentTypeId">
    <vt:lpwstr>0x0101009910B1AB3EE7FB41977BC1E216BA6147</vt:lpwstr>
  </property>
  <property name="OP_sanitized" fmtid="{D5CDD505-2E9C-101B-9397-08002B2CF9AE}" pid="17">
    <vt:lpwstr>True</vt:lpwstr>
  </property>
</Properties>
</file>