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A5" w:rsidRPr="004F1533" w:rsidRDefault="00216E4C" w:rsidP="00216E4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2D10EC8-534D-4A19-8566-AE5820152009" style="width:455.25pt;height:414pt">
            <v:imagedata r:id="rId8" o:title=""/>
          </v:shape>
        </w:pict>
      </w:r>
    </w:p>
    <w:p w:rsidR="005D73A5" w:rsidRPr="004F1533" w:rsidRDefault="005D73A5" w:rsidP="005D73A5">
      <w:pPr>
        <w:rPr>
          <w:noProof/>
        </w:rPr>
        <w:sectPr w:rsidR="005D73A5" w:rsidRPr="004F1533" w:rsidSect="00216E4C">
          <w:footerReference w:type="even" r:id="rId9"/>
          <w:footerReference w:type="default" r:id="rId10"/>
          <w:pgSz w:w="11907" w:h="16839"/>
          <w:pgMar w:top="1134" w:right="1417" w:bottom="1134" w:left="1417" w:header="709" w:footer="709" w:gutter="0"/>
          <w:pgNumType w:start="0"/>
          <w:cols w:space="720"/>
          <w:docGrid w:linePitch="360"/>
        </w:sectPr>
      </w:pPr>
    </w:p>
    <w:p w:rsidR="005D73A5" w:rsidRPr="004F1533" w:rsidRDefault="005D73A5">
      <w:pPr>
        <w:pStyle w:val="Exposdesmotifstitre"/>
        <w:rPr>
          <w:noProof/>
        </w:rPr>
      </w:pPr>
      <w:bookmarkStart w:id="0" w:name="_GoBack"/>
      <w:bookmarkEnd w:id="0"/>
      <w:r w:rsidRPr="004F1533">
        <w:rPr>
          <w:noProof/>
        </w:rPr>
        <w:lastRenderedPageBreak/>
        <w:t>INDOKOLÁS</w:t>
      </w:r>
    </w:p>
    <w:p w:rsidR="005D73A5" w:rsidRPr="004F1533" w:rsidRDefault="005D73A5">
      <w:pPr>
        <w:pStyle w:val="ManualHeading1"/>
        <w:rPr>
          <w:noProof/>
        </w:rPr>
      </w:pPr>
      <w:r w:rsidRPr="004F1533">
        <w:rPr>
          <w:noProof/>
        </w:rPr>
        <w:t>1.</w:t>
      </w:r>
      <w:r w:rsidRPr="004F1533">
        <w:rPr>
          <w:noProof/>
        </w:rPr>
        <w:tab/>
        <w:t>A JAVASLAT HÁTTERE</w:t>
      </w:r>
    </w:p>
    <w:p w:rsidR="005D73A5" w:rsidRPr="004F1533" w:rsidRDefault="005D73A5">
      <w:pPr>
        <w:pStyle w:val="ManualHeading2"/>
        <w:rPr>
          <w:rFonts w:eastAsia="Arial Unicode MS"/>
          <w:noProof/>
        </w:rPr>
      </w:pPr>
      <w:r w:rsidRPr="004F1533">
        <w:rPr>
          <w:noProof/>
          <w:color w:val="000000"/>
          <w:u w:color="000000"/>
          <w:bdr w:val="nil"/>
        </w:rPr>
        <w:t>•</w:t>
      </w:r>
      <w:r w:rsidRPr="004F1533">
        <w:rPr>
          <w:noProof/>
          <w:color w:val="000000"/>
          <w:u w:color="000000"/>
          <w:bdr w:val="nil"/>
        </w:rPr>
        <w:tab/>
      </w:r>
      <w:r w:rsidRPr="004F1533">
        <w:rPr>
          <w:noProof/>
        </w:rPr>
        <w:t>A javaslat indokai és céljai</w:t>
      </w:r>
    </w:p>
    <w:p w:rsidR="00EB2C46" w:rsidRPr="004F1533" w:rsidRDefault="00EB2C46" w:rsidP="00EB2C46">
      <w:pPr>
        <w:pBdr>
          <w:top w:val="nil"/>
          <w:left w:val="nil"/>
          <w:bottom w:val="nil"/>
          <w:right w:val="nil"/>
          <w:between w:val="nil"/>
          <w:bar w:val="nil"/>
        </w:pBdr>
        <w:rPr>
          <w:noProof/>
        </w:rPr>
      </w:pPr>
      <w:r w:rsidRPr="004F1533">
        <w:rPr>
          <w:noProof/>
        </w:rPr>
        <w:t>A 2004/38/EK európai parlamenti és tanácsi irányelv</w:t>
      </w:r>
      <w:r w:rsidRPr="004F1533">
        <w:rPr>
          <w:rStyle w:val="FootnoteReference"/>
          <w:noProof/>
        </w:rPr>
        <w:footnoteReference w:id="2"/>
      </w:r>
      <w:r w:rsidRPr="004F1533">
        <w:rPr>
          <w:noProof/>
        </w:rPr>
        <w:t xml:space="preserve"> úgy rendelkezik, hogy az uniós polgárok személyazonosító igazolványok és útlevelek használatával gyakorolhatják a szabad mozgáshoz és tartózkodáshoz való jogukat. Ezek az úti okmányok a Nemzetközi Polgári Repülési Szervezet (ICAO) előírásain alapuló, magas biztonsági szintű fizikai okmányok, amelyek olyan érintkezésmentes adathordozóval (mikrocsippel) vannak ellátva, amely tartalmazza birtokosának személyazonosító adatait, arcképmását és két ujjnyomatát. </w:t>
      </w:r>
    </w:p>
    <w:p w:rsidR="008167F9" w:rsidRPr="004F1533" w:rsidRDefault="008167F9" w:rsidP="008167F9">
      <w:pPr>
        <w:pBdr>
          <w:top w:val="nil"/>
          <w:left w:val="nil"/>
          <w:bottom w:val="nil"/>
          <w:right w:val="nil"/>
          <w:between w:val="nil"/>
          <w:bar w:val="nil"/>
        </w:pBdr>
        <w:rPr>
          <w:rFonts w:eastAsia="Arial Unicode MS"/>
          <w:noProof/>
        </w:rPr>
      </w:pPr>
      <w:r w:rsidRPr="004F1533">
        <w:rPr>
          <w:noProof/>
        </w:rPr>
        <w:t>Az ICAO 2016 óta dolgozik az úti okmányok digitalizálásán a légi közlekedés megkönnyítése érdekében. Az ICAO által végzett munka eredménye a digitális utazási igazolványra vonatkozó szabvány kidolgozása, amely az úti okmányban foglalt mikrocsipen tárolt személyes adatokat hasznosítja (az ujjnyomatok kivételével). A digitális utazási igazolvány biztonságosan tárolható, például mobiltelefonon, egyszeri vagy többszöri használatra. A birtokosok az utazás előtt egy interfész, például mobiltelefon-alkalmazás segítségével megoszthatják digitális utazási igazolványukat az érintett érdekelt felekkel, például a határforgalom-ellenőrzést végző hatóságokkal és a fuvarozókkal. Az ICAO digitális utazási igazolványra vonatkozó műszaki szabványának</w:t>
      </w:r>
      <w:r w:rsidRPr="004F1533">
        <w:rPr>
          <w:rStyle w:val="FootnoteReference"/>
          <w:noProof/>
        </w:rPr>
        <w:footnoteReference w:id="3"/>
      </w:r>
      <w:r w:rsidRPr="004F1533">
        <w:rPr>
          <w:noProof/>
        </w:rPr>
        <w:t xml:space="preserve"> első változatát kísérleti projektek keretében már véglegesítették és tesztelték</w:t>
      </w:r>
      <w:r w:rsidRPr="004F1533">
        <w:rPr>
          <w:rStyle w:val="FootnoteReference"/>
          <w:noProof/>
        </w:rPr>
        <w:footnoteReference w:id="4"/>
      </w:r>
      <w:r w:rsidRPr="004F1533">
        <w:rPr>
          <w:noProof/>
        </w:rPr>
        <w:t>.</w:t>
      </w:r>
    </w:p>
    <w:p w:rsidR="00AC5C97" w:rsidRPr="004F1533" w:rsidRDefault="008167F9" w:rsidP="00C35BC0">
      <w:pPr>
        <w:rPr>
          <w:noProof/>
          <w:szCs w:val="24"/>
        </w:rPr>
      </w:pPr>
      <w:r w:rsidRPr="004F1533">
        <w:rPr>
          <w:noProof/>
        </w:rPr>
        <w:t>Az úti okmányok területén elért technológiai fejlődést ki lehetne használni a szabad mozgáshoz való jog gyakorlásának megkönnyítése érdekében azáltal, hogy a fizikai okmányokban foglalt érintkezésmentes mikrocsipen található adatokat digitális utazási igazolványok létrehozására használják fel</w:t>
      </w:r>
      <w:r w:rsidR="00EB2C46" w:rsidRPr="004F1533">
        <w:rPr>
          <w:rStyle w:val="FootnoteReference"/>
          <w:rFonts w:eastAsia="Arial Unicode MS"/>
          <w:noProof/>
        </w:rPr>
        <w:footnoteReference w:id="5"/>
      </w:r>
      <w:r w:rsidRPr="004F1533">
        <w:rPr>
          <w:noProof/>
        </w:rPr>
        <w:t xml:space="preserve">. E javaslat összefüggésében „digitális utazási igazolvány” a személyazonosító igazolványban foglalt mikrocsipen tárolt információkban feltüntetett személyazonosság digitális megjelenítése, amely a személyazonosító igazolványt kiállító tagállami hatóság nyilvános kulcsú infrastruktúrájának használatával biztonságosan és megbízhatóan validálható. Az ilyen digitális utazási igazolványnak a birtokos ujjnyomatai kivételével ugyanazokat a személyes adatokat – többek között a birtokos arcképmását – kell tartalmaznia, mint amelyek a létrehozásának alapjául szolgáló személyazonosító igazolványban szerepelnek. </w:t>
      </w:r>
    </w:p>
    <w:p w:rsidR="00BD404C" w:rsidRPr="004F1533" w:rsidRDefault="00D95908" w:rsidP="00167C6C">
      <w:pPr>
        <w:rPr>
          <w:bCs/>
          <w:noProof/>
        </w:rPr>
      </w:pPr>
      <w:r w:rsidRPr="004F1533">
        <w:rPr>
          <w:noProof/>
        </w:rPr>
        <w:t>A személyazonosító igazolványokon alapuló digitális utazási igazolványok megkönnyíthetik az uniós polgárok számára a szabad mozgáshoz való joguk gyakorlását. Mivel az uniós polgárok személyazonosító igazolványukat használhatják a schengeni térség külső határainak átlépésére, az említett digitális utazási igazolványuk lehetővé tennék számukra, hogy gyorsabban és zökkenőmentesebben essenek át a határellenőrzésen.</w:t>
      </w:r>
    </w:p>
    <w:p w:rsidR="004B2736" w:rsidRPr="00C644AD" w:rsidRDefault="00E2745C" w:rsidP="004B2736">
      <w:pPr>
        <w:pBdr>
          <w:top w:val="nil"/>
          <w:left w:val="nil"/>
          <w:bottom w:val="nil"/>
          <w:right w:val="nil"/>
          <w:between w:val="nil"/>
          <w:bar w:val="nil"/>
        </w:pBdr>
        <w:rPr>
          <w:noProof/>
        </w:rPr>
      </w:pPr>
      <w:r w:rsidRPr="004F1533">
        <w:rPr>
          <w:noProof/>
        </w:rPr>
        <w:t>Ezért a kezdeményezés párhuzamos az utazási adatok elektronikus benyújtására irányuló alkalmazás („EU Digital Travel” alkalmazás) létrehozásáról, valamint az (EU) 2016/399 és az (EU) 2018/1726 európai parlamenti és tanácsi rendeletnek és a 2252/2004/EK tanácsi rendeletnek a digitális utazási igazolványok alkalmazása tekintetében történő módosításáról szóló európai parlamenti és tanácsi rendeletre irányuló javaslattal</w:t>
      </w:r>
      <w:r w:rsidR="004B2736" w:rsidRPr="004F1533">
        <w:rPr>
          <w:rStyle w:val="FootnoteReference"/>
          <w:rFonts w:eastAsia="Arial Unicode MS"/>
          <w:noProof/>
        </w:rPr>
        <w:footnoteReference w:id="6"/>
      </w:r>
      <w:r w:rsidRPr="004F1533">
        <w:rPr>
          <w:noProof/>
        </w:rPr>
        <w:t>. Ez a javaslat többek között bevezeti a tagállamok által kiállított útleveleken alapuló digitális utazási igazolványt, és meghatározza az „EU Digital Travel” alkalmazás, az említett digitális utazási igazolványok utazást megelőző előzetes ellenőrzés céljából történő kibocsátására és továbbítására szolgáló mobiltelefon-alkalmazás specifikációit. A két javaslat egyidejű elfogadása biztosítja a személyazonosító igazolványokkal és útlevelekkel kapcsolatos fejlesztések következetességét, figyelembe véve, hogy mindkét típusú úti okmány felhasználható a szabad mozgáshoz való jog gyakorlására. Következésképpen a személyazonosító igazolvánnyal rendelkező uniós polgárok számára lehetővé kell tenni, hogy az „EU Digital Travel” alkalmazást használják a személyazonosító igazolványon alapuló digitális utazási igazolványok létrehozására, pontosan ugyanúgy, mint az útlevelek használatakor.</w:t>
      </w:r>
    </w:p>
    <w:p w:rsidR="00EB2C46" w:rsidRPr="004F1533" w:rsidRDefault="00FD5971" w:rsidP="00BD404C">
      <w:pPr>
        <w:pBdr>
          <w:top w:val="nil"/>
          <w:left w:val="nil"/>
          <w:bottom w:val="nil"/>
          <w:right w:val="nil"/>
          <w:between w:val="nil"/>
          <w:bar w:val="nil"/>
        </w:pBdr>
        <w:rPr>
          <w:rFonts w:eastAsia="Arial Unicode MS"/>
          <w:noProof/>
        </w:rPr>
      </w:pPr>
      <w:r w:rsidRPr="004F1533">
        <w:rPr>
          <w:noProof/>
        </w:rPr>
        <w:t>A digitális utazási igazolványok, amint rendelkezésre állnak, felhasználhatók a szabad mozgás egyéb vonatkozásainak megkönnyítésére is, például egy másik tagállamba költözést követően a nemzeti hatóságoknál történő regisztrációra, ami csökkentheti az adminisztratív terheket. Egy későbbi szakaszban az is lehetővé válhat, hogy kizárólag digitális utazási igazolvány birtokában gyakorolhassák a szabad mozgáshoz való jogukat, azaz anélkül, hogy ehhez fizikai személyazonosító igazolványra vagy útlevélre lenne szükség. Végül pedig a hiteles digitális utazási igazolvány megkönnyíthetné a hozzáférést az elektronikus azonosítási rendszerekhez és a megbízható azonosítást igénylő szolgáltatásokhoz. Ez leegyszerűsítheti az uniós polgárok mindennapi életét, többek között azokét is, akik az állampolgárságuk szerinti tagállamtól eltérő tagállamban tartózkodnak.</w:t>
      </w:r>
    </w:p>
    <w:p w:rsidR="00EB2C46" w:rsidRPr="004F1533" w:rsidRDefault="00EB2C46" w:rsidP="00EB2C46">
      <w:pPr>
        <w:pBdr>
          <w:top w:val="nil"/>
          <w:left w:val="nil"/>
          <w:bottom w:val="nil"/>
          <w:right w:val="nil"/>
          <w:between w:val="nil"/>
          <w:bar w:val="nil"/>
        </w:pBdr>
        <w:rPr>
          <w:rFonts w:eastAsia="Arial Unicode MS"/>
          <w:noProof/>
        </w:rPr>
      </w:pPr>
      <w:r w:rsidRPr="004F1533">
        <w:rPr>
          <w:noProof/>
        </w:rPr>
        <w:t>Az ágazat és a nemzeti kormányok már megkezdték annak vizsgálatát, hogy miként lehetne felhasználni a digitális utazási információkat annak érdekében, hogy az utazás zökkenőmentesebb és még inkább ügyfélközpontú folyamattá váljon. A Bizottság úgy véli, hogy a 2023. évi munkaprogramjában</w:t>
      </w:r>
      <w:r w:rsidRPr="004F1533">
        <w:rPr>
          <w:rStyle w:val="FootnoteReference"/>
          <w:noProof/>
        </w:rPr>
        <w:footnoteReference w:id="7"/>
      </w:r>
      <w:r w:rsidRPr="004F1533">
        <w:rPr>
          <w:noProof/>
        </w:rPr>
        <w:t xml:space="preserve"> bejelentetteknek megfelelően a digitális utazási igazolványokra vonatkozó egységes szabványt uniós szinten kell meghatározni, mivel így: i. elkerülhető a széttagoltság; ii. biztosítható az uniós értékeknek való megfelelés; valamint iii. garantálható, hogy valamennyi uniós polgár részesülhessen a digitális utazási igazolványok előnyeiből. Ez azt is lehetővé tenné az Unió számára, hogy képes legyen befolyásolni a fejlődés irányát a globális szabványok terén, valamint hogy elő tudja mozdítani gazdasági érdekeit és technológiai stratégiai autonómiáját. </w:t>
      </w:r>
    </w:p>
    <w:p w:rsidR="00EB2C46" w:rsidRPr="004F1533" w:rsidRDefault="009D1583" w:rsidP="00EB2C46">
      <w:pPr>
        <w:pBdr>
          <w:top w:val="nil"/>
          <w:left w:val="nil"/>
          <w:bottom w:val="nil"/>
          <w:right w:val="nil"/>
          <w:between w:val="nil"/>
          <w:bar w:val="nil"/>
        </w:pBdr>
        <w:rPr>
          <w:rFonts w:eastAsia="Arial Unicode MS"/>
          <w:noProof/>
        </w:rPr>
      </w:pPr>
      <w:r w:rsidRPr="004F1533">
        <w:rPr>
          <w:noProof/>
        </w:rPr>
        <w:t>A fentiekre tekintettel e kezdeményezés célja a tagállamok által kiállított személyazonosító igazolványokon alapuló digitális utazási igazolvány létrehozása, amelyet az uniós polgárok a szabad mozgáshoz való joguk gyakorlása során használhatnak.</w:t>
      </w:r>
    </w:p>
    <w:p w:rsidR="00E85FB0" w:rsidRPr="004F1533" w:rsidRDefault="00E85FB0" w:rsidP="00E85FB0">
      <w:pPr>
        <w:pBdr>
          <w:top w:val="nil"/>
          <w:left w:val="nil"/>
          <w:bottom w:val="nil"/>
          <w:right w:val="nil"/>
          <w:between w:val="nil"/>
          <w:bar w:val="nil"/>
        </w:pBdr>
        <w:rPr>
          <w:rFonts w:eastAsia="Arial Unicode MS"/>
          <w:noProof/>
        </w:rPr>
      </w:pPr>
      <w:r w:rsidRPr="004F1533">
        <w:rPr>
          <w:noProof/>
        </w:rPr>
        <w:t>A globális interoperabilitás elérése érdekében a személyazonosító igazolványon alapuló digitális utazási igazolványokra vonatkozó uniós műszaki előírásoknak az ICAO digitálisutazásiigazolvány-szabványán kell alapulniuk. Annak érdekében, hogy minden, személyazonosító igazolvánnyal rendelkező uniós polgár digitális utazási igazolványt kaphasson, a személyazonosító igazolványt kiállító összes tagállamnak digitális utazási igazolványt kell kínálnia állampolgárai számára. Ugyanakkor az uniós polgárok nem kötelezhetők arra, hogy digitális utazási igazolvánnyal rendelkezzenek, ha úgy kívánnak élni a szabad mozgással, hogy ehhez kizárólag fizikai személyazonosító igazolványukat vagy útlevelüket használják.</w:t>
      </w:r>
    </w:p>
    <w:p w:rsidR="00E85FB0" w:rsidRPr="004F1533" w:rsidRDefault="009D1583" w:rsidP="00E85FB0">
      <w:pPr>
        <w:pBdr>
          <w:top w:val="nil"/>
          <w:left w:val="nil"/>
          <w:bottom w:val="nil"/>
          <w:right w:val="nil"/>
          <w:between w:val="nil"/>
          <w:bar w:val="nil"/>
        </w:pBdr>
        <w:rPr>
          <w:noProof/>
          <w:szCs w:val="24"/>
        </w:rPr>
      </w:pPr>
      <w:r w:rsidRPr="004F1533">
        <w:rPr>
          <w:noProof/>
        </w:rPr>
        <w:t>A digitális utazási igazolványok elterjedésének előmozdítása érdekében az uniós polgárok számára meg kell teremteni annak lehetőségét, hogy új fizikai személyazonosító igazolvány igénylésekor személyazonosító igazolványon alapuló digitális utazási igazolványt is kapjanak. Emellett lehetővé kell tenni számukra, hogy egy már meglévő és érvényes személyazonosító igazolvány felhasználásával digitális utazási igazolványt szerezzenek be, többek között úgy, hogy mobiltelefonos alkalmazások segítségével létrehozzák azt. Végezetül az uniós polgárok számára lehetővé kell tenni, hogy a digitális utazási igazolványt az európai digitális személyiadat-tárcájukban</w:t>
      </w:r>
      <w:r w:rsidR="00E85FB0" w:rsidRPr="004F1533">
        <w:rPr>
          <w:rStyle w:val="FootnoteReference"/>
          <w:noProof/>
          <w:szCs w:val="24"/>
        </w:rPr>
        <w:footnoteReference w:id="8"/>
      </w:r>
      <w:r w:rsidRPr="004F1533">
        <w:rPr>
          <w:noProof/>
        </w:rPr>
        <w:t xml:space="preserve"> tárolják.</w:t>
      </w:r>
    </w:p>
    <w:p w:rsidR="005D73A5" w:rsidRPr="004F1533" w:rsidRDefault="005D73A5">
      <w:pPr>
        <w:pStyle w:val="ManualHeading2"/>
        <w:rPr>
          <w:rFonts w:eastAsia="Arial Unicode MS"/>
          <w:noProof/>
          <w:color w:val="000000"/>
          <w:u w:color="000000"/>
          <w:bdr w:val="nil"/>
        </w:rPr>
      </w:pPr>
      <w:r w:rsidRPr="004F1533">
        <w:rPr>
          <w:noProof/>
          <w:color w:val="000000"/>
          <w:u w:color="000000"/>
          <w:bdr w:val="nil"/>
        </w:rPr>
        <w:t>•</w:t>
      </w:r>
      <w:r w:rsidRPr="004F1533">
        <w:rPr>
          <w:noProof/>
          <w:color w:val="000000"/>
          <w:u w:color="000000"/>
          <w:bdr w:val="nil"/>
        </w:rPr>
        <w:tab/>
      </w:r>
      <w:r w:rsidRPr="004F1533">
        <w:rPr>
          <w:noProof/>
        </w:rPr>
        <w:t>Összhang a szabályozási terület jelenlegi rendelkezéseivel</w:t>
      </w:r>
    </w:p>
    <w:p w:rsidR="006B15DA" w:rsidRPr="004F1533" w:rsidRDefault="006B15DA" w:rsidP="00527E70">
      <w:pPr>
        <w:pBdr>
          <w:top w:val="nil"/>
          <w:left w:val="nil"/>
          <w:bottom w:val="nil"/>
          <w:right w:val="nil"/>
          <w:between w:val="nil"/>
          <w:bar w:val="nil"/>
        </w:pBdr>
        <w:rPr>
          <w:rFonts w:eastAsia="Arial Unicode MS"/>
          <w:noProof/>
        </w:rPr>
      </w:pPr>
      <w:r w:rsidRPr="004F1533">
        <w:rPr>
          <w:noProof/>
        </w:rPr>
        <w:t>Ez a kezdeményezés szükségessé teszi, hogy a tagállamok által kiállított személyazonosító igazolványok megfeleljenek egy olyan szabványnak, amely szavatolja, az említett személyazonosító igazolványok alapul szolgálhassanak a digitális utazási igazolványok létrehozásához. Ezért ez a kezdeményezés a személyazonosító igazolványokra vonatkozó, jelenleg az (EU) 2019/1157 európai parlamenti és tanácsi rendeletben</w:t>
      </w:r>
      <w:r w:rsidRPr="004F1533">
        <w:rPr>
          <w:rStyle w:val="FootnoteReference"/>
          <w:noProof/>
        </w:rPr>
        <w:footnoteReference w:id="9"/>
      </w:r>
      <w:r w:rsidRPr="004F1533">
        <w:rPr>
          <w:noProof/>
        </w:rPr>
        <w:t xml:space="preserve"> foglalt releváns uniós szintű szabályokra épül, és azokhoz igazodik. Miután a Bíróság a Landeshauptstadt Wiesbaden ügyben</w:t>
      </w:r>
      <w:r w:rsidR="00204AE7" w:rsidRPr="004F1533">
        <w:rPr>
          <w:rStyle w:val="FootnoteReference"/>
          <w:noProof/>
        </w:rPr>
        <w:footnoteReference w:id="10"/>
      </w:r>
      <w:r w:rsidRPr="004F1533">
        <w:rPr>
          <w:noProof/>
        </w:rPr>
        <w:t xml:space="preserve"> érvénytelenítette az (EU) 2019/1157 rendeletet, a Bizottság 2024. július 23-án javaslatot</w:t>
      </w:r>
      <w:r w:rsidR="00204AE7" w:rsidRPr="004F1533">
        <w:rPr>
          <w:rStyle w:val="FootnoteReference"/>
          <w:noProof/>
        </w:rPr>
        <w:footnoteReference w:id="11"/>
      </w:r>
      <w:r w:rsidRPr="004F1533">
        <w:rPr>
          <w:noProof/>
        </w:rPr>
        <w:t xml:space="preserve"> fogadott el, amellyel elindította a személyazonosító igazolványokra vonatkozó szabványokról szóló új rendeletre irányuló eljárást. </w:t>
      </w:r>
    </w:p>
    <w:p w:rsidR="00527E70" w:rsidRPr="004F1533" w:rsidRDefault="00527E70" w:rsidP="00527E70">
      <w:pPr>
        <w:rPr>
          <w:noProof/>
          <w:u w:color="000000"/>
          <w:bdr w:val="nil"/>
        </w:rPr>
      </w:pPr>
      <w:r w:rsidRPr="004F1533">
        <w:rPr>
          <w:noProof/>
        </w:rPr>
        <w:t>Ez a kezdeményezés nem módosítja az Unió polgárainak a tagállamok területén történő szabad mozgáshoz és tartózkodáshoz való jogáról szóló 2004/38/EK irányelvben meghatározott anyagi jogi feltételeket. E kezdeményezés célja ugyanakkor, hogy a 2004/38/EK irányelvvel teljes összhangban megkönnyítse az uniós polgárok számára e jog gyakorlását azáltal, hogy személyazonosító igazolványon alapuló digitális utazási igazolványt biztosít az uniós polgárok számára.</w:t>
      </w:r>
    </w:p>
    <w:p w:rsidR="005D73A5" w:rsidRPr="004F1533" w:rsidRDefault="005D73A5">
      <w:pPr>
        <w:pStyle w:val="ManualHeading2"/>
        <w:rPr>
          <w:rFonts w:eastAsia="Arial Unicode MS"/>
          <w:noProof/>
        </w:rPr>
      </w:pPr>
      <w:r w:rsidRPr="004F1533">
        <w:rPr>
          <w:noProof/>
          <w:color w:val="000000"/>
          <w:u w:color="000000"/>
          <w:bdr w:val="nil"/>
        </w:rPr>
        <w:t>•</w:t>
      </w:r>
      <w:r w:rsidRPr="004F1533">
        <w:rPr>
          <w:noProof/>
          <w:color w:val="000000"/>
          <w:u w:color="000000"/>
          <w:bdr w:val="nil"/>
        </w:rPr>
        <w:tab/>
      </w:r>
      <w:r w:rsidRPr="004F1533">
        <w:rPr>
          <w:noProof/>
        </w:rPr>
        <w:t>Összhang az Unió egyéb szakpolitikáival</w:t>
      </w:r>
    </w:p>
    <w:p w:rsidR="00666A05" w:rsidRPr="004F1533" w:rsidRDefault="00666A05" w:rsidP="009D2060">
      <w:pPr>
        <w:rPr>
          <w:noProof/>
        </w:rPr>
      </w:pPr>
      <w:r w:rsidRPr="004F1533">
        <w:rPr>
          <w:noProof/>
        </w:rPr>
        <w:t>Ez a kezdeményezés és általában véve a digitális utazási igazolványok Unión belüli bevezetése szorosan kapcsolódik az európai digitális személyazonosság és az európai digitális személyiadat-tárca létrehozásával kapcsolatos, folyamatban lévő fejlesztésekhez. Lehetővé kell tenni, hogy az európai digitális személyiadat-tárcában a digitális vezetői engedélyek, orvosi rendelvények és egyéb dokumentumok mellett digitális utazási igazolványokat is tároljanak.</w:t>
      </w:r>
    </w:p>
    <w:p w:rsidR="00E40C5B" w:rsidRPr="004F1533" w:rsidRDefault="00796A16" w:rsidP="009D2060">
      <w:pPr>
        <w:rPr>
          <w:noProof/>
        </w:rPr>
      </w:pPr>
      <w:r w:rsidRPr="004F1533">
        <w:rPr>
          <w:noProof/>
        </w:rPr>
        <w:t>Ez a kezdeményezés kapcsolódik a Bizottság 2020. évi európai digitális stratégiájához is, amelynek célja az olyan technológiák elterjedésének támogatása, amelyek valódi változást hoznak az emberek mindennapi életében. A kezdeményezés elősegíti továbbá a „digitális évtized” uniós programja keretében meghatározott „digitális iránytű” céljait, amelyek részét képezi a közszolgáltatások digitalizálása. A „digitális iránytű” konkrét célkitűzése, hogy 2030 végéig minden uniós polgár hozzáférjen a digitális azonosításhoz</w:t>
      </w:r>
      <w:r w:rsidR="00666A05" w:rsidRPr="004F1533">
        <w:rPr>
          <w:rStyle w:val="FootnoteReference"/>
          <w:noProof/>
        </w:rPr>
        <w:footnoteReference w:id="12"/>
      </w:r>
      <w:r w:rsidRPr="004F1533">
        <w:rPr>
          <w:noProof/>
        </w:rPr>
        <w:t>. A digitális évtizedben érvényre juttatandó digitális jogokról és elvekről szóló európai nyilatkozatban</w:t>
      </w:r>
      <w:r w:rsidR="004B2736" w:rsidRPr="004F1533">
        <w:rPr>
          <w:rStyle w:val="FootnoteReference"/>
          <w:noProof/>
        </w:rPr>
        <w:footnoteReference w:id="13"/>
      </w:r>
      <w:r w:rsidRPr="004F1533">
        <w:rPr>
          <w:noProof/>
        </w:rPr>
        <w:t>, a Bizottság és a társjogalkotók elkötelezték magukat annak biztosítása mellett, hogy az Unióban élő személyek a hozzáférhető, önkéntes, biztonságos és megbízható digitális személyazonossággal rendelkezhessenek. Általánosabban fogalmazva, a javaslat hozzájárul a digitális technológiák használatának elterjedéséhez.</w:t>
      </w:r>
    </w:p>
    <w:p w:rsidR="00666A05" w:rsidRPr="004F1533" w:rsidRDefault="00666A05" w:rsidP="009D2060">
      <w:pPr>
        <w:rPr>
          <w:noProof/>
        </w:rPr>
      </w:pPr>
      <w:r w:rsidRPr="004F1533">
        <w:rPr>
          <w:noProof/>
        </w:rPr>
        <w:t xml:space="preserve">A kezdeményezés emellett reagál a digitalizáció általános globális tendenciájára, valamint az utazók egyre gyorsabb és zökkenőmentesebb utazási ügyintézéssel kapcsolatos elvárásaira. </w:t>
      </w:r>
    </w:p>
    <w:p w:rsidR="005D73A5" w:rsidRPr="004F1533" w:rsidRDefault="005D73A5">
      <w:pPr>
        <w:pStyle w:val="ManualHeading1"/>
        <w:rPr>
          <w:noProof/>
        </w:rPr>
      </w:pPr>
      <w:r w:rsidRPr="004F1533">
        <w:rPr>
          <w:noProof/>
        </w:rPr>
        <w:t>(2)</w:t>
      </w:r>
      <w:r w:rsidRPr="004F1533">
        <w:rPr>
          <w:noProof/>
        </w:rPr>
        <w:tab/>
        <w:t>JOGALAP, SZUBSZIDIARITÁS ÉS ARÁNYOSSÁG</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Jogalap</w:t>
      </w:r>
    </w:p>
    <w:p w:rsidR="008D5EB5" w:rsidRPr="004F1533" w:rsidRDefault="008D5EB5" w:rsidP="008D5EB5">
      <w:pPr>
        <w:rPr>
          <w:noProof/>
        </w:rPr>
      </w:pPr>
      <w:r w:rsidRPr="004F1533">
        <w:rPr>
          <w:noProof/>
        </w:rPr>
        <w:t>Az Európai Unió működéséről szóló szerződés (EUMSZ) 77. cikkének (3) bekezdése hatáskört ruház az Unióra az útlevelekre, személyazonosító igazolványokra, tartózkodási engedélyekre vagy bármilyen egyéb ilyen jellegű okmányra vonatkozó rendelkezések elfogadására, amelyek célja az EUMSZ 20. cikk (2) bekezdésének a) pontjában biztosított, a tagállamok területén való szabad mozgáshoz és tartózkodáshoz való jog gyakorlásának megkönnyítése</w:t>
      </w:r>
      <w:r w:rsidR="00322BBA" w:rsidRPr="004F1533">
        <w:rPr>
          <w:rStyle w:val="FootnoteReference"/>
          <w:noProof/>
        </w:rPr>
        <w:footnoteReference w:id="14"/>
      </w:r>
      <w:r w:rsidRPr="004F1533">
        <w:rPr>
          <w:noProof/>
        </w:rPr>
        <w:t xml:space="preserve">. </w:t>
      </w:r>
    </w:p>
    <w:p w:rsidR="008D5EB5" w:rsidRPr="004F1533" w:rsidRDefault="008D5EB5" w:rsidP="00967465">
      <w:pPr>
        <w:rPr>
          <w:noProof/>
        </w:rPr>
      </w:pPr>
      <w:r w:rsidRPr="004F1533">
        <w:rPr>
          <w:noProof/>
        </w:rPr>
        <w:t>E javaslat célja, hogy megkönnyítse az uniós polgárok szabad mozgáshoz való jogának biztonságos környezetben történő gyakorlását a tagállamok által számukra kiállított személyazonosító igazolványokon alapuló, hiteles digitális utazási igazolványokat biztosítva számukra. Ez a javaslat tehát elválaszthatatlanul összekapcsolódik a fizikai személyazonosító igazolványokra vonatkozó szabályokkal. Ezért e javaslat ugyanarra a jogalapra épül, mint az uniós polgárok személyazonosító igazolványai és a szabad mozgás jogával élő uniós polgárok és azok családtagjai részére kiállított tartózkodási okmányok biztonságának megerősítéséről szóló tanácsi rendeletre irányuló bizottsági javaslatéval</w:t>
      </w:r>
      <w:r w:rsidR="00831F8E" w:rsidRPr="004F1533">
        <w:rPr>
          <w:rStyle w:val="FootnoteReference"/>
          <w:noProof/>
        </w:rPr>
        <w:footnoteReference w:id="15"/>
      </w:r>
      <w:r w:rsidRPr="004F1533">
        <w:rPr>
          <w:noProof/>
        </w:rPr>
        <w:t>.</w:t>
      </w:r>
    </w:p>
    <w:p w:rsidR="008D5EB5" w:rsidRPr="004F1533" w:rsidRDefault="008D5EB5" w:rsidP="008D5EB5">
      <w:pPr>
        <w:rPr>
          <w:noProof/>
        </w:rPr>
      </w:pPr>
      <w:r w:rsidRPr="004F1533">
        <w:rPr>
          <w:noProof/>
        </w:rPr>
        <w:t>Az EUMSZ 77. cikkének (3) bekezdése különleges jogalkotási eljárást ír elő. Az EUMSZ 77. cikkének (3) bekezdése szerinti intézkedések elfogadásakor a Tanácsnak a Parlamenttel folytatott konzultációt követően, egyhangúlag kell határoznia.</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 xml:space="preserve">Szubszidiaritás (nem kizárólagos hatáskör esetén) </w:t>
      </w:r>
    </w:p>
    <w:p w:rsidR="00E57AC7" w:rsidRPr="004F1533" w:rsidRDefault="00E57AC7" w:rsidP="00E40C5B">
      <w:pPr>
        <w:pBdr>
          <w:top w:val="nil"/>
          <w:left w:val="nil"/>
          <w:bottom w:val="nil"/>
          <w:right w:val="nil"/>
          <w:between w:val="nil"/>
          <w:bar w:val="nil"/>
        </w:pBdr>
        <w:rPr>
          <w:rFonts w:eastAsia="Arial Unicode MS"/>
          <w:noProof/>
        </w:rPr>
      </w:pPr>
      <w:r w:rsidRPr="004F1533">
        <w:rPr>
          <w:noProof/>
        </w:rPr>
        <w:t>A jelenlegi uniós jogi keret nem teszi lehetővé digitális megoldások igénybevételét a szabad mozgáshoz való jog gyakorlásával összefüggésben. A probléma jellege és az interoperabilitás biztosításának szükségessége miatt a tagállamok maguk nem tudják hatékonyan bevezetni a személyazonosító igazolványokon alapuló digitális utazási igazolványok uniós szinten egységes formátumát, és ezért nem tudják elősegíteni a szabad mozgás gyakorlását az ilyen digitális utazási igazolványok alapján. Bármely nemzeti megoldás azzal a kockázattal járna, hogy más tagállamokban nem fogadják el azokat, és kérdéses volna, hogy a szabad mozgás összefüggésében történő alkalmazásuk során megfelelnek-e az uniós jognak.</w:t>
      </w:r>
    </w:p>
    <w:p w:rsidR="00E57AC7" w:rsidRPr="004F1533" w:rsidRDefault="00E57AC7" w:rsidP="00E40C5B">
      <w:pPr>
        <w:pBdr>
          <w:top w:val="nil"/>
          <w:left w:val="nil"/>
          <w:bottom w:val="nil"/>
          <w:right w:val="nil"/>
          <w:between w:val="nil"/>
          <w:bar w:val="nil"/>
        </w:pBdr>
        <w:rPr>
          <w:rFonts w:eastAsia="Arial Unicode MS"/>
          <w:noProof/>
        </w:rPr>
      </w:pPr>
      <w:r w:rsidRPr="004F1533">
        <w:rPr>
          <w:noProof/>
        </w:rPr>
        <w:t>E javaslat célja, hogy megkönnyítse a szabad mozgáshoz való jog gyakorlását azáltal, hogy lehetőséget biztosít az uniós polgároknak arra, hogy nemzeti személyazonosító igazolványokon alapuló digitális utazási igazolványokhoz jussanak és használják azokat. A nagyságrend és a várható hatások miatt a célkitűzések csak uniós szinten érhetők el hatékonyan és eredményesen.</w:t>
      </w:r>
    </w:p>
    <w:p w:rsidR="00A21972" w:rsidRPr="004F1533" w:rsidRDefault="00967465" w:rsidP="00967465">
      <w:pPr>
        <w:pBdr>
          <w:top w:val="nil"/>
          <w:left w:val="nil"/>
          <w:bottom w:val="nil"/>
          <w:right w:val="nil"/>
          <w:between w:val="nil"/>
          <w:bar w:val="nil"/>
        </w:pBdr>
        <w:rPr>
          <w:rFonts w:eastAsia="Arial Unicode MS"/>
          <w:noProof/>
        </w:rPr>
      </w:pPr>
      <w:r w:rsidRPr="004F1533">
        <w:rPr>
          <w:noProof/>
        </w:rPr>
        <w:t xml:space="preserve">Ugyanakkor ez a javaslat nem követeli meg a tagállamoktól, hogy személyazonosító igazolványokat vezessenek be, amennyiben azokat a nemzeti jog nem írja elő. </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Arányosság</w:t>
      </w:r>
    </w:p>
    <w:p w:rsidR="00E57AC7" w:rsidRPr="004F1533" w:rsidRDefault="00E57AC7" w:rsidP="00E57AC7">
      <w:pPr>
        <w:pBdr>
          <w:top w:val="nil"/>
          <w:left w:val="nil"/>
          <w:bottom w:val="nil"/>
          <w:right w:val="nil"/>
          <w:between w:val="nil"/>
          <w:bar w:val="nil"/>
        </w:pBdr>
        <w:rPr>
          <w:rFonts w:eastAsia="Arial Unicode MS"/>
          <w:noProof/>
        </w:rPr>
      </w:pPr>
      <w:r w:rsidRPr="004F1533">
        <w:rPr>
          <w:noProof/>
        </w:rPr>
        <w:t>A javaslat nem lépi túl a célkitűzésének eléréséhez szükséges mértéket, mivel nem változtatja meg alapvetően a 2004/38/EK irányelv szabályait és rendelkezéseit, sem pedig az uniós polgárok személyazonosító igazolványai és a szabad mozgás jogával élő uniós polgárok és azok családtagjai részére kiállított tartózkodási okmányok biztonságának megerősítéséről szóló tanácsi rendeletre irányuló bizottsági javaslatban</w:t>
      </w:r>
      <w:r w:rsidR="00831F8E" w:rsidRPr="004F1533">
        <w:rPr>
          <w:rStyle w:val="FootnoteReference"/>
          <w:noProof/>
        </w:rPr>
        <w:footnoteReference w:id="16"/>
      </w:r>
      <w:r w:rsidRPr="004F1533">
        <w:rPr>
          <w:noProof/>
        </w:rPr>
        <w:t xml:space="preserve"> foglaltakat.</w:t>
      </w:r>
    </w:p>
    <w:p w:rsidR="00E57AC7" w:rsidRPr="004F1533" w:rsidRDefault="00E57AC7" w:rsidP="00E57AC7">
      <w:pPr>
        <w:pBdr>
          <w:top w:val="nil"/>
          <w:left w:val="nil"/>
          <w:bottom w:val="nil"/>
          <w:right w:val="nil"/>
          <w:between w:val="nil"/>
          <w:bar w:val="nil"/>
        </w:pBdr>
        <w:rPr>
          <w:rFonts w:eastAsia="Arial Unicode MS"/>
          <w:noProof/>
        </w:rPr>
      </w:pPr>
      <w:r w:rsidRPr="004F1533">
        <w:rPr>
          <w:noProof/>
        </w:rPr>
        <w:t xml:space="preserve">Ezenkívül a digitális utazási igazolvány igénylésére vonatkozó döntést az egyes uniós polgárokra bíznák. Azok, akik úgy döntenek, hogy ezt nem teszik meg, továbbra is csak fizikai útlevelükkel vagy személyazonosító igazolványukkal gyakorolhatnák a szabad mozgáshoz való jogukat. Előfordulhatna azonban, hogy nem részesülnek a digitális utazási igazolvánnyal is rendelkező uniós polgárok rendelkezésére álló egyes könnyítésekből. </w:t>
      </w:r>
    </w:p>
    <w:p w:rsidR="00E57AC7" w:rsidRPr="004F1533" w:rsidRDefault="00E57AC7" w:rsidP="00E57AC7">
      <w:pPr>
        <w:pBdr>
          <w:top w:val="nil"/>
          <w:left w:val="nil"/>
          <w:bottom w:val="nil"/>
          <w:right w:val="nil"/>
          <w:between w:val="nil"/>
          <w:bar w:val="nil"/>
        </w:pBdr>
        <w:rPr>
          <w:rFonts w:eastAsia="Arial Unicode MS"/>
          <w:noProof/>
        </w:rPr>
      </w:pPr>
      <w:r w:rsidRPr="004F1533">
        <w:rPr>
          <w:noProof/>
        </w:rPr>
        <w:t>A különböző – köztük az elvetett – szakpolitikai lehetőségek arányosságára vonatkozó további magyarázatokat az e javaslatot kísérő hatásvizsgálat</w:t>
      </w:r>
      <w:r w:rsidRPr="004F1533">
        <w:rPr>
          <w:rStyle w:val="FootnoteReference"/>
          <w:noProof/>
        </w:rPr>
        <w:footnoteReference w:id="17"/>
      </w:r>
      <w:r w:rsidRPr="004F1533">
        <w:rPr>
          <w:noProof/>
        </w:rPr>
        <w:t xml:space="preserve"> tartalmazza.</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A jogi aktus típusának megválasztása</w:t>
      </w:r>
    </w:p>
    <w:p w:rsidR="00E57AC7" w:rsidRPr="004F1533" w:rsidRDefault="00CA4517" w:rsidP="00CA4517">
      <w:pPr>
        <w:rPr>
          <w:noProof/>
        </w:rPr>
      </w:pPr>
      <w:r w:rsidRPr="004F1533">
        <w:rPr>
          <w:noProof/>
        </w:rPr>
        <w:t>A rendelet az egyedüli olyan jogi aktus, amely valamennyi uniós tagállamban garantálja az uniós jog közvetlen, azonnali és egységes végrehajtását.</w:t>
      </w:r>
    </w:p>
    <w:p w:rsidR="005D73A5" w:rsidRPr="004F1533" w:rsidRDefault="005D73A5">
      <w:pPr>
        <w:pStyle w:val="ManualHeading1"/>
        <w:rPr>
          <w:noProof/>
        </w:rPr>
      </w:pPr>
      <w:r w:rsidRPr="004F1533">
        <w:rPr>
          <w:noProof/>
        </w:rPr>
        <w:t>(3)</w:t>
      </w:r>
      <w:r w:rsidRPr="004F1533">
        <w:rPr>
          <w:noProof/>
        </w:rPr>
        <w:tab/>
        <w:t>AZ UTÓLAGOS ÉRTÉKELÉSEK, AZ ÉRDEKELT FELEKKEL FOLYTATOTT KONZULTÁCIÓK ÉS A HATÁSVIZSGÁLATOK EREDMÉNYEI</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Az érdekelt felekkel folytatott konzultációk</w:t>
      </w:r>
    </w:p>
    <w:p w:rsidR="00256D09" w:rsidRPr="00C644AD" w:rsidRDefault="00256D09" w:rsidP="00382F51">
      <w:pPr>
        <w:pBdr>
          <w:top w:val="nil"/>
          <w:left w:val="nil"/>
          <w:bottom w:val="nil"/>
          <w:right w:val="nil"/>
          <w:between w:val="nil"/>
          <w:bar w:val="nil"/>
        </w:pBdr>
        <w:rPr>
          <w:noProof/>
        </w:rPr>
      </w:pPr>
      <w:r w:rsidRPr="004F1533">
        <w:rPr>
          <w:noProof/>
        </w:rPr>
        <w:t>E kezdeményezés és az azt kísérő javaslat</w:t>
      </w:r>
      <w:r w:rsidR="00831F8E" w:rsidRPr="004F1533">
        <w:rPr>
          <w:rStyle w:val="FootnoteReference"/>
          <w:noProof/>
        </w:rPr>
        <w:footnoteReference w:id="18"/>
      </w:r>
      <w:r w:rsidRPr="004F1533">
        <w:rPr>
          <w:noProof/>
        </w:rPr>
        <w:t xml:space="preserve"> előkészítése során számos konzultációra került sor az érdekelt felekkel, köztük a tagállami hatóságokkal, az uniós ügynökségekkel, az ágazattal, a nyilvánossággal és a nemzetközi utazási ágazatban részt vevő nemzetközi szervezetekkel. A hatásvizsgálat részeként nyilvános konzultációt szerveztek</w:t>
      </w:r>
      <w:r w:rsidRPr="004F1533">
        <w:rPr>
          <w:rStyle w:val="FootnoteReference"/>
          <w:rFonts w:eastAsia="Arial Unicode MS"/>
          <w:noProof/>
        </w:rPr>
        <w:footnoteReference w:id="19"/>
      </w:r>
      <w:r w:rsidRPr="004F1533">
        <w:rPr>
          <w:noProof/>
        </w:rPr>
        <w:t>. Egy Eurobarométer tematikus felmérést is végeztek annak érdekében, hogy jobban megismerjék az uniós polgároknak a digitális utazási igazolványok határokon átnyúló utazásokra való használatával kapcsolatos véleményét</w:t>
      </w:r>
      <w:r w:rsidRPr="004F1533">
        <w:rPr>
          <w:rStyle w:val="FootnoteReference"/>
          <w:rFonts w:eastAsia="Arial Unicode MS"/>
          <w:noProof/>
        </w:rPr>
        <w:footnoteReference w:id="20"/>
      </w:r>
      <w:r w:rsidRPr="004F1533">
        <w:rPr>
          <w:noProof/>
        </w:rPr>
        <w:t>. A konzultációban részt vevő érdekelt felek többsége nagymértékű támogatását fejezte ki a kezdeményezés iránt, hangsúlyozva, hogy mind a nemzeti hatóságok, mind az utazók számára várhatóan előnyökkel járna és kényelmes volna, ha lehetővé tennék az utazók számára a digitális utazási igazolványok használatát.</w:t>
      </w:r>
    </w:p>
    <w:p w:rsidR="00256D09" w:rsidRPr="00C644AD" w:rsidRDefault="00256D09" w:rsidP="00382F51">
      <w:pPr>
        <w:pBdr>
          <w:top w:val="nil"/>
          <w:left w:val="nil"/>
          <w:bottom w:val="nil"/>
          <w:right w:val="nil"/>
          <w:between w:val="nil"/>
          <w:bar w:val="nil"/>
        </w:pBdr>
        <w:rPr>
          <w:noProof/>
        </w:rPr>
      </w:pPr>
      <w:r w:rsidRPr="004F1533">
        <w:rPr>
          <w:noProof/>
        </w:rPr>
        <w:t>A Bizottság a kezdeményezés előkészítése során figyelembe vette a konzultációs tevékenységek során kapott visszajelzéseket. A kezdeményezés például előírja, hogy a digitális utazási igazolványok használata önkéntes (az utazók számára nem kötelező), és valamennyi uniós digitális utazási igazolványra vonatkozóan egységes műszaki szabványt javasol.</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Szakértői vélemények összegyűjtése és felhasználása</w:t>
      </w:r>
    </w:p>
    <w:p w:rsidR="00256D09" w:rsidRPr="00C644AD" w:rsidRDefault="00256D09" w:rsidP="00382F51">
      <w:pPr>
        <w:pBdr>
          <w:top w:val="nil"/>
          <w:left w:val="nil"/>
          <w:bottom w:val="nil"/>
          <w:right w:val="nil"/>
          <w:between w:val="nil"/>
          <w:bar w:val="nil"/>
        </w:pBdr>
        <w:rPr>
          <w:noProof/>
        </w:rPr>
      </w:pPr>
      <w:r w:rsidRPr="004F1533">
        <w:rPr>
          <w:noProof/>
        </w:rPr>
        <w:t>A hatásvizsgálat elkészítésének elősegítése érdekében a Bizottság megrendelt egy külső tanulmányt az úti okmányok digitalizálására és az utazás megkönnyítésére irányuló uniós kezdeményezésről abból a célból, hogy szakpolitikai alternatívákat dolgozzon ki és értékelje azok lehetséges hatásait. A tanulmány stratégiai interjúk, célzott konzultációk, részletes interjúk és nyilvános konzultáció keretében összegyűjtötte az érdekelt felek véleményét és szakmai tapasztalatait.</w:t>
      </w:r>
    </w:p>
    <w:p w:rsidR="00256D09" w:rsidRPr="004F1533" w:rsidRDefault="00256D09" w:rsidP="00382F51">
      <w:pPr>
        <w:pBdr>
          <w:top w:val="nil"/>
          <w:left w:val="nil"/>
          <w:bottom w:val="nil"/>
          <w:right w:val="nil"/>
          <w:between w:val="nil"/>
          <w:bar w:val="nil"/>
        </w:pBdr>
        <w:rPr>
          <w:rFonts w:eastAsia="Arial Unicode MS"/>
          <w:noProof/>
        </w:rPr>
      </w:pPr>
      <w:r w:rsidRPr="004F1533">
        <w:rPr>
          <w:noProof/>
        </w:rPr>
        <w:t>Három tagállam (Finnország, Horvátország és Hollandia) uniós finanszírozású kísérleti projekteket is végrehajt a határokon átnyúló utazásra szolgáló digitális utazási igazolványok tesztelésére. A Bizottság figyelembe vette az e kísérleti projektek során mostanáig szerzett tapasztalatokat és eredményeket, és megjelenítette azokat a hatásvizsgálatban és ebben a javaslatban.</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Hatásvizsgálat</w:t>
      </w:r>
    </w:p>
    <w:p w:rsidR="00385563" w:rsidRPr="00C644AD" w:rsidRDefault="00385563" w:rsidP="00382F51">
      <w:pPr>
        <w:pBdr>
          <w:top w:val="nil"/>
          <w:left w:val="nil"/>
          <w:bottom w:val="nil"/>
          <w:right w:val="nil"/>
          <w:between w:val="nil"/>
          <w:bar w:val="nil"/>
        </w:pBdr>
        <w:rPr>
          <w:noProof/>
        </w:rPr>
      </w:pPr>
      <w:r w:rsidRPr="004F1533">
        <w:rPr>
          <w:noProof/>
        </w:rPr>
        <w:t>E kezdeményezés és az azt kísérő javaslat</w:t>
      </w:r>
      <w:r w:rsidR="00831F8E" w:rsidRPr="004F1533">
        <w:rPr>
          <w:rStyle w:val="FootnoteReference"/>
          <w:noProof/>
        </w:rPr>
        <w:footnoteReference w:id="21"/>
      </w:r>
      <w:r w:rsidRPr="004F1533">
        <w:rPr>
          <w:noProof/>
        </w:rPr>
        <w:t xml:space="preserve"> előkészítése során a Bizottság hatásvizsgálatot</w:t>
      </w:r>
      <w:r w:rsidRPr="004F1533">
        <w:rPr>
          <w:rStyle w:val="FootnoteReference"/>
          <w:noProof/>
        </w:rPr>
        <w:footnoteReference w:id="22"/>
      </w:r>
      <w:r w:rsidRPr="004F1533">
        <w:rPr>
          <w:noProof/>
        </w:rPr>
        <w:t xml:space="preserve"> is végzett. A hatásvizsgálat három szakpolitikai lehetőséget értékelt, amelyek mindegyike jogalkotási intézkedésekkel jár, mivel szükségessé teszi az úti okmányokra és a határforgalom-ellenőrzésre vonatkozó meglévő uniós jogszabályok módosítását vagy kiegészítését. Ez eleve kizárta a „puha jogi” megközelítést.</w:t>
      </w:r>
    </w:p>
    <w:p w:rsidR="00385563" w:rsidRPr="004F1533" w:rsidRDefault="00385563" w:rsidP="00382F51">
      <w:pPr>
        <w:pBdr>
          <w:top w:val="nil"/>
          <w:left w:val="nil"/>
          <w:bottom w:val="nil"/>
          <w:right w:val="nil"/>
          <w:between w:val="nil"/>
          <w:bar w:val="nil"/>
        </w:pBdr>
        <w:rPr>
          <w:rFonts w:eastAsia="Arial Unicode MS"/>
          <w:noProof/>
        </w:rPr>
      </w:pPr>
      <w:r w:rsidRPr="004F1533">
        <w:rPr>
          <w:noProof/>
        </w:rPr>
        <w:t xml:space="preserve">Mindegyik szakpolitikai alternatíva tartalmazott néhány közös építőelemet, nevezetesen az alábbiakat: i. átmeneti időszak; ii. a meglévő nemzetközi ICAO műszaki szabvány alkalmazása; iii. az, hogy az utazók önként használják a digitális utazási igazolványokat (amint azt a nyilvános konzultáció is megerősítette); és iv. a digitális utazási igazolványok létrehozására és benyújtására szolgáló központi uniós műszaki megoldás. </w:t>
      </w:r>
    </w:p>
    <w:p w:rsidR="00385563" w:rsidRPr="004F1533" w:rsidRDefault="00385563" w:rsidP="00382F51">
      <w:pPr>
        <w:pBdr>
          <w:top w:val="nil"/>
          <w:left w:val="nil"/>
          <w:bottom w:val="nil"/>
          <w:right w:val="nil"/>
          <w:between w:val="nil"/>
          <w:bar w:val="nil"/>
        </w:pBdr>
        <w:rPr>
          <w:rFonts w:eastAsia="Arial Unicode MS"/>
          <w:noProof/>
        </w:rPr>
      </w:pPr>
      <w:r w:rsidRPr="004F1533">
        <w:rPr>
          <w:noProof/>
        </w:rPr>
        <w:t>A három szakpolitikai alternatíva közötti fő különbséget az jelenti, hogy a tagállamok milyen mértékű rugalmasságot élveznek az alábbiak tekintetében: i. a digitális utazási igazolványokhoz jutás lehetősége (mivel egyes tagállamok kifejezetten megtiltották az úti okmányokban foglalt mikrocsipen tárolt adatokhoz való hozzáférést); és ii. digitális utazási igazolványok használata határokon átnyúló utazás során.</w:t>
      </w:r>
    </w:p>
    <w:p w:rsidR="00385563" w:rsidRPr="004F1533" w:rsidRDefault="00385563" w:rsidP="00382F51">
      <w:pPr>
        <w:pBdr>
          <w:top w:val="nil"/>
          <w:left w:val="nil"/>
          <w:bottom w:val="nil"/>
          <w:right w:val="nil"/>
          <w:between w:val="nil"/>
          <w:bar w:val="nil"/>
        </w:pBdr>
        <w:rPr>
          <w:rFonts w:eastAsia="Arial Unicode MS"/>
          <w:noProof/>
        </w:rPr>
      </w:pPr>
      <w:r w:rsidRPr="004F1533">
        <w:rPr>
          <w:noProof/>
        </w:rPr>
        <w:t>Az alábbi összefoglaló csak az e javaslat kapcsán releváns szempontokra terjed ki.</w:t>
      </w:r>
    </w:p>
    <w:p w:rsidR="00385563" w:rsidRPr="004F1533" w:rsidRDefault="00385563" w:rsidP="00382F51">
      <w:pPr>
        <w:pBdr>
          <w:top w:val="nil"/>
          <w:left w:val="nil"/>
          <w:bottom w:val="nil"/>
          <w:right w:val="nil"/>
          <w:between w:val="nil"/>
          <w:bar w:val="nil"/>
        </w:pBdr>
        <w:rPr>
          <w:rFonts w:eastAsia="Arial Unicode MS"/>
          <w:noProof/>
        </w:rPr>
      </w:pPr>
      <w:r w:rsidRPr="004F1533">
        <w:rPr>
          <w:noProof/>
        </w:rPr>
        <w:t xml:space="preserve">Az </w:t>
      </w:r>
      <w:r w:rsidRPr="004F1533">
        <w:rPr>
          <w:noProof/>
          <w:u w:val="single"/>
        </w:rPr>
        <w:t>1. szakpolitikai alternatíva</w:t>
      </w:r>
      <w:r w:rsidRPr="004F1533">
        <w:rPr>
          <w:noProof/>
        </w:rPr>
        <w:t xml:space="preserve"> lehetővé tette a tagállamok számára, hogy digitális utazási igazolványokat bocsássanak az utazók rendelkezésére. </w:t>
      </w:r>
    </w:p>
    <w:p w:rsidR="00385563" w:rsidRPr="004F1533" w:rsidRDefault="00385563" w:rsidP="00382F51">
      <w:pPr>
        <w:pBdr>
          <w:top w:val="nil"/>
          <w:left w:val="nil"/>
          <w:bottom w:val="nil"/>
          <w:right w:val="nil"/>
          <w:between w:val="nil"/>
          <w:bar w:val="nil"/>
        </w:pBdr>
        <w:rPr>
          <w:rFonts w:eastAsia="Arial Unicode MS"/>
          <w:noProof/>
        </w:rPr>
      </w:pPr>
      <w:r w:rsidRPr="004F1533">
        <w:rPr>
          <w:noProof/>
        </w:rPr>
        <w:t xml:space="preserve">A </w:t>
      </w:r>
      <w:r w:rsidRPr="004F1533">
        <w:rPr>
          <w:noProof/>
          <w:u w:val="single"/>
        </w:rPr>
        <w:t>2. szakpolitikai alternatíva</w:t>
      </w:r>
      <w:r w:rsidRPr="004F1533">
        <w:rPr>
          <w:noProof/>
        </w:rPr>
        <w:t xml:space="preserve"> arra kötelezte a tagállamokat, hogy digitális utazási igazolványokat bocsássanak az utazók rendelkezésére.</w:t>
      </w:r>
    </w:p>
    <w:p w:rsidR="00385563" w:rsidRPr="004F1533" w:rsidRDefault="00385563" w:rsidP="00382F51">
      <w:pPr>
        <w:pBdr>
          <w:top w:val="nil"/>
          <w:left w:val="nil"/>
          <w:bottom w:val="nil"/>
          <w:right w:val="nil"/>
          <w:between w:val="nil"/>
          <w:bar w:val="nil"/>
        </w:pBdr>
        <w:rPr>
          <w:rFonts w:eastAsia="Arial Unicode MS"/>
          <w:noProof/>
        </w:rPr>
      </w:pPr>
      <w:r w:rsidRPr="004F1533">
        <w:rPr>
          <w:noProof/>
        </w:rPr>
        <w:t xml:space="preserve">A </w:t>
      </w:r>
      <w:r w:rsidRPr="004F1533">
        <w:rPr>
          <w:noProof/>
          <w:u w:val="single"/>
        </w:rPr>
        <w:t>3. szakpolitikai alternatíva</w:t>
      </w:r>
      <w:r w:rsidRPr="004F1533">
        <w:rPr>
          <w:noProof/>
        </w:rPr>
        <w:t xml:space="preserve"> arra kötelezte a tagállamokat, hogy a digitális utazási igazolványokat tegyék elérhetővé az utazók számára, és harmonizált megközelítést határozott meg azok tagállamok közötti használatára vonatkozóan. </w:t>
      </w:r>
    </w:p>
    <w:p w:rsidR="00385563" w:rsidRPr="004F1533" w:rsidRDefault="00385563" w:rsidP="00382F51">
      <w:pPr>
        <w:pBdr>
          <w:top w:val="nil"/>
          <w:left w:val="nil"/>
          <w:bottom w:val="nil"/>
          <w:right w:val="nil"/>
          <w:between w:val="nil"/>
          <w:bar w:val="nil"/>
        </w:pBdr>
        <w:rPr>
          <w:rFonts w:eastAsia="Arial Unicode MS"/>
          <w:noProof/>
        </w:rPr>
      </w:pPr>
      <w:r w:rsidRPr="004F1533">
        <w:rPr>
          <w:noProof/>
        </w:rPr>
        <w:t>A hatásvizsgálat megállapításai alapján az előnyben részesített szakpolitikai választási lehetőség a 3. alternatíva, megfelelő átmeneti időszakkal együtt. A 3. alternatíva keretében valamennyi tagállam kínálna digitális utazási igazolványokat az általuk már kiadott úti okmányok alapján. Az uniós polgárok használhatnák digitális utazási igazolványaikat: i. azokban a tagállamokban, amelyek úgy döntenek, hogy bevezetik a digitális utazási igazolványokat az átmeneti időszak alatt; és ii. valamennyi érintett tagállamban az átmeneti időszakot követően, amint készen áll a közös uniós szintű műszaki megoldás.</w:t>
      </w:r>
    </w:p>
    <w:p w:rsidR="00385563" w:rsidRPr="004F1533" w:rsidRDefault="00385563" w:rsidP="00382F51">
      <w:pPr>
        <w:pBdr>
          <w:top w:val="nil"/>
          <w:left w:val="nil"/>
          <w:bottom w:val="nil"/>
          <w:right w:val="nil"/>
          <w:between w:val="nil"/>
          <w:bar w:val="nil"/>
        </w:pBdr>
        <w:rPr>
          <w:rFonts w:eastAsia="Arial Unicode MS"/>
          <w:noProof/>
        </w:rPr>
      </w:pPr>
      <w:r w:rsidRPr="004F1533">
        <w:rPr>
          <w:noProof/>
        </w:rPr>
        <w:t>Összességében az előnyben részesített alternatíva fejti ki a leginkább pozitív hatást a következő célkitűzések elérése tekintetében: i. a szabad mozgás gördülékenyebb és könnyebb gyakorlásának lehetővé tétele; és ii. szigorú biztonsági előírások betartása. Ez a hatás főként a tagállamok azon kettős kötelezettségének tudható be, hogy lehetővé kell tenniük az egyének számára a digitális utazási igazolványok megszerzését és azok utazási célokra történő tényleges felhasználását. E kettős kötelezettség teljesítése következtében az összes szakpolitikai alternatíva közül várhatóan e szerint fogják a legszélesebb körben igényelni a digitális utazási igazolványokat. Az előnyben részesített alternatíva lehetővé tenné minden olyan uniós polgár számára, aki megfelelő személyazonosító igazolvánnyal rendelkezik, hogy a lehető leghatékonyabb módon szerezzen be digitális utazási igazolványt. </w:t>
      </w:r>
    </w:p>
    <w:p w:rsidR="00385563" w:rsidRPr="004F1533" w:rsidRDefault="00385563" w:rsidP="00382F51">
      <w:pPr>
        <w:pBdr>
          <w:top w:val="nil"/>
          <w:left w:val="nil"/>
          <w:bottom w:val="nil"/>
          <w:right w:val="nil"/>
          <w:between w:val="nil"/>
          <w:bar w:val="nil"/>
        </w:pBdr>
        <w:rPr>
          <w:rFonts w:eastAsia="Arial Unicode MS"/>
          <w:noProof/>
        </w:rPr>
      </w:pPr>
      <w:r w:rsidRPr="004F1533">
        <w:rPr>
          <w:noProof/>
        </w:rPr>
        <w:t>A személyazonosító igazolványon alapuló digitális utazási igazolványok szabványosítása további előnyökkel is járna, például fokozná a fuvarozók (légitársaságok, személyszállítás, vasúttársaságok stb.) hatékonyságát, amelyek önkéntes alapon dönthetnek úgy, hogy ezeket a digitális utazási igazolványokat beépítik munkafolyamataikba. A digitális utazási igazolványoknak az európai digitális személyiadat-tárcába való beépítésével ez a javaslat lehetővé tenné az uniós polgárok számára azok szélesebb körű felhasználását. </w:t>
      </w:r>
    </w:p>
    <w:p w:rsidR="00385563" w:rsidRPr="004F1533" w:rsidRDefault="00385563" w:rsidP="00382F51">
      <w:pPr>
        <w:pBdr>
          <w:top w:val="nil"/>
          <w:left w:val="nil"/>
          <w:bottom w:val="nil"/>
          <w:right w:val="nil"/>
          <w:between w:val="nil"/>
          <w:bar w:val="nil"/>
        </w:pBdr>
        <w:rPr>
          <w:rFonts w:eastAsia="Arial Unicode MS"/>
          <w:noProof/>
        </w:rPr>
      </w:pPr>
      <w:r w:rsidRPr="004F1533">
        <w:rPr>
          <w:noProof/>
        </w:rPr>
        <w:t>Az előnyben részesített alternatíva a digitális utazási igazolványok bevezetéséhez kapcsolódóan korlátozott terhet ró a tagállamokra, amit ellensúlyoz az intézkedések várható pozitív hatása. A végleges előnyök a digitális utazási igazolványok elterjedésének mértékétől függenek. A hatásvizsgálatban további információk találhatók az előnyben részesített alternatíva költségeire, hasznára és forgatókönyv-alapú értékelésére vonatkozóan. </w:t>
      </w:r>
    </w:p>
    <w:p w:rsidR="00002D46" w:rsidRPr="004F1533" w:rsidRDefault="00002D46" w:rsidP="00ED7158">
      <w:pPr>
        <w:rPr>
          <w:rFonts w:eastAsia="Arial Unicode MS"/>
          <w:noProof/>
        </w:rPr>
      </w:pPr>
      <w:r w:rsidRPr="004F1533">
        <w:rPr>
          <w:noProof/>
        </w:rPr>
        <w:t>E kezdeményezés előreláthatóan nem jár jelentős környezeti hatással, különös tekintettel arra, hogy a kezdeményezés várhatóan nem lesz hatással az utazások volumenére.</w:t>
      </w:r>
    </w:p>
    <w:p w:rsidR="00385563" w:rsidRPr="00C644AD" w:rsidRDefault="00385563" w:rsidP="00382F51">
      <w:pPr>
        <w:pBdr>
          <w:top w:val="nil"/>
          <w:left w:val="nil"/>
          <w:bottom w:val="nil"/>
          <w:right w:val="nil"/>
          <w:between w:val="nil"/>
          <w:bar w:val="nil"/>
        </w:pBdr>
        <w:rPr>
          <w:noProof/>
        </w:rPr>
      </w:pPr>
      <w:r w:rsidRPr="004F1533">
        <w:rPr>
          <w:noProof/>
        </w:rPr>
        <w:t>A Szabályozói Ellenőrzési Testület 2023. december 15-én kedvező véleményt adott ki a hatásvizsgálatról</w:t>
      </w:r>
      <w:r w:rsidRPr="004F1533">
        <w:rPr>
          <w:rStyle w:val="FootnoteReference"/>
          <w:noProof/>
        </w:rPr>
        <w:footnoteReference w:id="23"/>
      </w:r>
      <w:r w:rsidRPr="004F1533">
        <w:rPr>
          <w:noProof/>
        </w:rPr>
        <w:t>, amelyben azt ajánlotta, hogy a hatásvizsgálat jobban különböztesse meg az előnyöket a versenyképesség tekintetében, és alaposabban értékelje a különböző alternatívák költségeit és előnyeit.</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Célravezető szabályozás és egyszerűsítés</w:t>
      </w:r>
    </w:p>
    <w:p w:rsidR="00385563" w:rsidRPr="004F1533" w:rsidRDefault="00385563" w:rsidP="00385563">
      <w:pPr>
        <w:pBdr>
          <w:top w:val="nil"/>
          <w:left w:val="nil"/>
          <w:bottom w:val="nil"/>
          <w:right w:val="nil"/>
          <w:between w:val="nil"/>
          <w:bar w:val="nil"/>
        </w:pBdr>
        <w:rPr>
          <w:noProof/>
        </w:rPr>
      </w:pPr>
      <w:r w:rsidRPr="004F1533">
        <w:rPr>
          <w:noProof/>
        </w:rPr>
        <w:t>E javaslat előkészítési folyamata során nem azonosítottak konkrét hatásokat a kis- és középvállalkozásokra nézve.</w:t>
      </w:r>
    </w:p>
    <w:p w:rsidR="00385563" w:rsidRPr="004F1533" w:rsidRDefault="00385563" w:rsidP="00385563">
      <w:pPr>
        <w:pBdr>
          <w:top w:val="nil"/>
          <w:left w:val="nil"/>
          <w:bottom w:val="nil"/>
          <w:right w:val="nil"/>
          <w:between w:val="nil"/>
          <w:bar w:val="nil"/>
        </w:pBdr>
        <w:rPr>
          <w:noProof/>
        </w:rPr>
      </w:pPr>
      <w:r w:rsidRPr="004F1533">
        <w:rPr>
          <w:noProof/>
        </w:rPr>
        <w:t>Mivel ez a javaslat személyazonosító igazolványon alapuló digitális utazási igazolványt hozna létre, teljes mértékben összeegyeztethető az „alapértelmezetten digitális” elvvel.</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Alapjogok</w:t>
      </w:r>
    </w:p>
    <w:p w:rsidR="00385563" w:rsidRPr="00C644AD" w:rsidRDefault="00385563" w:rsidP="00385563">
      <w:pPr>
        <w:pBdr>
          <w:top w:val="nil"/>
          <w:left w:val="nil"/>
          <w:bottom w:val="nil"/>
          <w:right w:val="nil"/>
          <w:between w:val="nil"/>
          <w:bar w:val="nil"/>
        </w:pBdr>
        <w:rPr>
          <w:noProof/>
        </w:rPr>
      </w:pPr>
      <w:r w:rsidRPr="004F1533">
        <w:rPr>
          <w:noProof/>
        </w:rPr>
        <w:t>A javaslat kedvezően hat az uniós polgároknak Európai Unió Alapjogi Chartájának (a továbbiakban: a Charta) 45. cikkében meghatározott, az uniós polgárokat megillető szabad mozgáshoz és tartózkodáshoz való alapvető jogra azáltal, hogy személyazonosító igazolványokon alapuló digitális utazási igazolványt vezet be az említett jog gyakorlásának megkönnyítése céljából.</w:t>
      </w:r>
    </w:p>
    <w:p w:rsidR="000E6FBC" w:rsidRPr="004F1533" w:rsidRDefault="00385563" w:rsidP="00982EDF">
      <w:pPr>
        <w:pBdr>
          <w:top w:val="nil"/>
          <w:left w:val="nil"/>
          <w:bottom w:val="nil"/>
          <w:right w:val="nil"/>
          <w:between w:val="nil"/>
          <w:bar w:val="nil"/>
        </w:pBdr>
        <w:rPr>
          <w:noProof/>
        </w:rPr>
      </w:pPr>
      <w:r w:rsidRPr="004F1533">
        <w:rPr>
          <w:noProof/>
        </w:rPr>
        <w:t>Ez a javaslat személyes adatok (köztük biometrikus adatok, nevezetesen a digitális utazási igazolványok birtokosának arcképmása) kezeléséhez vezet. Az arcképmásnak a személyazonosító igazolványok alapján kiállított digitális utazási igazolványban való feltüntetésére vonatkozó kötelezettség mind a magánélet tiszteletben tartásához való jog, mind a személyes adatok védelméhez való jog korlátozását jelenti</w:t>
      </w:r>
      <w:r w:rsidR="000E6FBC" w:rsidRPr="004F1533">
        <w:rPr>
          <w:rStyle w:val="FootnoteReference"/>
          <w:noProof/>
        </w:rPr>
        <w:footnoteReference w:id="24"/>
      </w:r>
      <w:r w:rsidRPr="004F1533">
        <w:rPr>
          <w:noProof/>
        </w:rPr>
        <w:t>. E jogok korlátozását törvénynek kell előírnia, és annak tiszteletben kell tartania e jogok lényeges tartalmát. Emellett – az arányosság elvének megfelelően – ilyen korlátozásokra csak akkor és annyiban kerülhet sor, ha és amennyiben az elengedhetetlen és ténylegesen az Unió által elismert általános érdekű célkitűzéseket vagy mások jogainak védelmét szolgálja</w:t>
      </w:r>
      <w:r w:rsidR="000E6FBC" w:rsidRPr="004F1533">
        <w:rPr>
          <w:rStyle w:val="FootnoteReference"/>
          <w:noProof/>
        </w:rPr>
        <w:footnoteReference w:id="25"/>
      </w:r>
      <w:r w:rsidRPr="004F1533">
        <w:rPr>
          <w:noProof/>
        </w:rPr>
        <w:t>.</w:t>
      </w:r>
    </w:p>
    <w:p w:rsidR="000E6FBC" w:rsidRPr="004F1533" w:rsidRDefault="000B4C0B" w:rsidP="00B53DF0">
      <w:pPr>
        <w:pBdr>
          <w:top w:val="nil"/>
          <w:left w:val="nil"/>
          <w:bottom w:val="nil"/>
          <w:right w:val="nil"/>
          <w:between w:val="nil"/>
          <w:bar w:val="nil"/>
        </w:pBdr>
        <w:rPr>
          <w:noProof/>
        </w:rPr>
      </w:pPr>
      <w:r w:rsidRPr="004F1533">
        <w:rPr>
          <w:noProof/>
        </w:rPr>
        <w:t>Ezzel kapcsolatban a javaslat úgy rendelkezik, hogy a vonatkozó uniós jogszabályok</w:t>
      </w:r>
      <w:r w:rsidRPr="004F1533">
        <w:rPr>
          <w:rStyle w:val="FootnoteReference"/>
          <w:rFonts w:eastAsia="Arial Unicode MS"/>
          <w:noProof/>
        </w:rPr>
        <w:footnoteReference w:id="26"/>
      </w:r>
      <w:r w:rsidRPr="004F1533">
        <w:rPr>
          <w:noProof/>
        </w:rPr>
        <w:t>, nevezetesen a személyes adatoknak a fizikai személyazonosító igazolványokkal összefüggésben való védelmére vonatkozó rendelkezések</w:t>
      </w:r>
      <w:r w:rsidRPr="004F1533">
        <w:rPr>
          <w:rStyle w:val="FootnoteReference"/>
          <w:rFonts w:eastAsia="Arial Unicode MS"/>
          <w:noProof/>
        </w:rPr>
        <w:footnoteReference w:id="27"/>
      </w:r>
      <w:r w:rsidRPr="004F1533">
        <w:rPr>
          <w:noProof/>
        </w:rPr>
        <w:t xml:space="preserve"> alkalmazandók. A korlátozások hatályát, valamint azok alkalmazási feltételeit tehát az uniós jog – elsősorban e javaslat, valamint a személyazonosító igazolványokról szóló rendeletjavaslat</w:t>
      </w:r>
      <w:r w:rsidR="000E6FBC" w:rsidRPr="004F1533">
        <w:rPr>
          <w:rStyle w:val="FootnoteReference"/>
          <w:rFonts w:eastAsia="Arial Unicode MS"/>
          <w:noProof/>
        </w:rPr>
        <w:footnoteReference w:id="28"/>
      </w:r>
      <w:r w:rsidRPr="004F1533">
        <w:rPr>
          <w:noProof/>
        </w:rPr>
        <w:t xml:space="preserve"> – fogja meghatározni. A birtokos arcképmásának az adathordozóba való beillesztésére vonatkozó kötelezettség nem sérti a Charta 7. és 8. cikkében biztosított alapvető jogok lényeges tartalmát, mivel az arcképmással szolgáltatott információk önmagukban nem nyújthatnak betekintést az érintett személyek magán‑ és családi életébe</w:t>
      </w:r>
      <w:r w:rsidR="00356120" w:rsidRPr="004F1533">
        <w:rPr>
          <w:rStyle w:val="FootnoteReference"/>
          <w:noProof/>
        </w:rPr>
        <w:footnoteReference w:id="29"/>
      </w:r>
      <w:r w:rsidRPr="004F1533">
        <w:rPr>
          <w:noProof/>
        </w:rPr>
        <w:t>.</w:t>
      </w:r>
    </w:p>
    <w:p w:rsidR="00402943" w:rsidRPr="004F1533" w:rsidRDefault="00C37271" w:rsidP="00402943">
      <w:pPr>
        <w:pBdr>
          <w:top w:val="nil"/>
          <w:left w:val="nil"/>
          <w:bottom w:val="nil"/>
          <w:right w:val="nil"/>
          <w:between w:val="nil"/>
          <w:bar w:val="nil"/>
        </w:pBdr>
        <w:rPr>
          <w:noProof/>
        </w:rPr>
      </w:pPr>
      <w:r w:rsidRPr="004F1533">
        <w:rPr>
          <w:noProof/>
        </w:rPr>
        <w:t>Az arcképmás digitális utazási igazolványba való beillesztésének célja, hogy lehetővé tegye ezen utazási igazolvány birtokosának megbízható azonosítását azáltal, hogy arcképmását összehasonlítják a digitális utazási igazolványban szereplő arcképmással, és így küzdjenek az okmányokkal való visszaélés ellen, ami az Unió által elismert általános érdekű célkitűzés, amint azt a Bíróság is megerősítette</w:t>
      </w:r>
      <w:r w:rsidRPr="004F1533">
        <w:rPr>
          <w:rStyle w:val="FootnoteReference"/>
          <w:noProof/>
        </w:rPr>
        <w:footnoteReference w:id="30"/>
      </w:r>
      <w:r w:rsidRPr="004F1533">
        <w:rPr>
          <w:noProof/>
        </w:rPr>
        <w:t xml:space="preserve">. </w:t>
      </w:r>
    </w:p>
    <w:p w:rsidR="00402943" w:rsidRPr="004F1533" w:rsidRDefault="00402943" w:rsidP="00402943">
      <w:pPr>
        <w:rPr>
          <w:noProof/>
        </w:rPr>
      </w:pPr>
      <w:r w:rsidRPr="004F1533">
        <w:rPr>
          <w:noProof/>
        </w:rPr>
        <w:t xml:space="preserve">Az arcképmásnak a digitális utazási igazolványba való beillesztése alkalmas az okmányokkal való visszaélés elleni küzdelemre irányuló közérdekű cél elérésére, mivel ez az eszköz a digitális utazási igazolvány birtokosa személyazonosságának megbízható ellenőrzésére és ezáltal a csalás kockázatának csökkentésére szolgál. </w:t>
      </w:r>
      <w:bookmarkStart w:id="1" w:name="point93"/>
    </w:p>
    <w:p w:rsidR="00402943" w:rsidRPr="004F1533" w:rsidRDefault="00402943" w:rsidP="00402943">
      <w:pPr>
        <w:rPr>
          <w:noProof/>
          <w:szCs w:val="24"/>
        </w:rPr>
      </w:pPr>
      <w:r w:rsidRPr="004F1533">
        <w:rPr>
          <w:noProof/>
        </w:rPr>
        <w:t>Ezt az sem kérdőjelezi meg, hogy a digitális utazási igazolványok – a fizikai személyazonosító igazolványokkal ellentétben – nem tartalmazzák a birtokos ujjnyomatait, mivel a digitális utazási igazolványokat fizikai okmánnyal együtt használnák, és nem váltanák fel azokat. Ha az illetékes hatóságoknak kétségeik vannak a digitális utazási igazolvány hitelességét vagy a birtokos személyazonosságát illetően, továbbra is használhatják a személyazonosító igazolványban foglalt mikrocsipoen tárolt ujjnyomatokat. Egyelőre nem állnak rendelkezésre szabványok az ujjnyomatok digitális utazási igazolványba való beillesztésére vonatkozóan, és az ujjlenyomatok kriptográfiai védelme miatt semmi esetre sem lehet azokat lehívni a személyazonosító igazolványban foglalt mikrocsipről.</w:t>
      </w:r>
    </w:p>
    <w:p w:rsidR="00402943" w:rsidRPr="004F1533" w:rsidRDefault="00402943" w:rsidP="00D537D8">
      <w:pPr>
        <w:rPr>
          <w:noProof/>
        </w:rPr>
      </w:pPr>
      <w:r w:rsidRPr="004F1533">
        <w:rPr>
          <w:noProof/>
        </w:rPr>
        <w:t>Az arcképmás beillesztése az elérni kívánt közérdek megvalósításához is szükséges. A digitális utazási igazolvány csak a birtokos személyazonosító adatait (például név, születési idő stb.) tartalmazná, ami nem megbízható és hatékony azonosítási eszköz.</w:t>
      </w:r>
    </w:p>
    <w:p w:rsidR="007070E8" w:rsidRPr="004F1533" w:rsidRDefault="007070E8" w:rsidP="007070E8">
      <w:pPr>
        <w:pBdr>
          <w:top w:val="nil"/>
          <w:left w:val="nil"/>
          <w:bottom w:val="nil"/>
          <w:right w:val="nil"/>
          <w:between w:val="nil"/>
          <w:bar w:val="nil"/>
        </w:pBdr>
        <w:rPr>
          <w:rFonts w:eastAsia="Arial Unicode MS"/>
          <w:noProof/>
        </w:rPr>
      </w:pPr>
      <w:r w:rsidRPr="004F1533">
        <w:rPr>
          <w:noProof/>
        </w:rPr>
        <w:t>Emellett az e javaslaton alapuló digitális utazási igazolványok nem tartalmaznak olyan személyes adatokat, amelyek még nem szerepelnek a kiállításának alapjául szolgáló személyazonosító igazolványban foglalt mikrocsipen. A digitális utazási igazolványok valójában kevesebb személyes adatot fognak tartalmazni, mivel nem szerepelnek bennük a birtokos ujjnyomatai.</w:t>
      </w:r>
    </w:p>
    <w:p w:rsidR="000E6FBC" w:rsidRPr="004F1533" w:rsidRDefault="007070E8" w:rsidP="00385563">
      <w:pPr>
        <w:pBdr>
          <w:top w:val="nil"/>
          <w:left w:val="nil"/>
          <w:bottom w:val="nil"/>
          <w:right w:val="nil"/>
          <w:between w:val="nil"/>
          <w:bar w:val="nil"/>
        </w:pBdr>
        <w:rPr>
          <w:rFonts w:eastAsia="Arial Unicode MS"/>
          <w:noProof/>
        </w:rPr>
      </w:pPr>
      <w:r w:rsidRPr="004F1533">
        <w:rPr>
          <w:noProof/>
        </w:rPr>
        <w:t>Amint arra a Bíróság a Landeshauptstadt Wiesbaden ítéletben a fizikai személyazonosító igazolványok tekintetében már rámutatott</w:t>
      </w:r>
      <w:r w:rsidR="00C94214" w:rsidRPr="004F1533">
        <w:rPr>
          <w:rStyle w:val="FootnoteReference"/>
          <w:rFonts w:eastAsia="Arial Unicode MS"/>
          <w:noProof/>
        </w:rPr>
        <w:footnoteReference w:id="31"/>
      </w:r>
      <w:r w:rsidRPr="004F1533">
        <w:rPr>
          <w:noProof/>
        </w:rPr>
        <w:t>, az ilyen biometrikus adatok felvételéből eredő korlátozások az érintett adatok jellegére, az adatkezelés jellegére, módjára és az előírt biztosítékokra tekintettel nem minősülnek aránytalan súlyúnak az elérni kívánt cél jelentőségéhez képest. Így az ilyen intézkedést úgy kell tekinteni, mint amely egyrészről e célkitűzések, másrészről pedig a szóban forgó alapvető jogok közötti kiegyensúlyozott mérlegelésen alapul. Következésképpen a Charta 7. és 8. cikkében biztosított jogok gyakorlásának korlátozása nem sérti az arányosság elvét.</w:t>
      </w:r>
      <w:bookmarkEnd w:id="1"/>
    </w:p>
    <w:p w:rsidR="005D73A5" w:rsidRPr="004F1533" w:rsidRDefault="005D73A5">
      <w:pPr>
        <w:pStyle w:val="ManualHeading1"/>
        <w:rPr>
          <w:noProof/>
        </w:rPr>
      </w:pPr>
      <w:r w:rsidRPr="004F1533">
        <w:rPr>
          <w:noProof/>
        </w:rPr>
        <w:t>(4)</w:t>
      </w:r>
      <w:r w:rsidRPr="004F1533">
        <w:rPr>
          <w:noProof/>
        </w:rPr>
        <w:tab/>
        <w:t>KÖLTSÉGVETÉSI VONZATOK</w:t>
      </w:r>
    </w:p>
    <w:p w:rsidR="00385563" w:rsidRPr="00C644AD" w:rsidRDefault="00385563" w:rsidP="00385563">
      <w:pPr>
        <w:pBdr>
          <w:top w:val="nil"/>
          <w:left w:val="nil"/>
          <w:bottom w:val="nil"/>
          <w:right w:val="nil"/>
          <w:between w:val="nil"/>
          <w:bar w:val="nil"/>
        </w:pBdr>
        <w:spacing w:before="0" w:after="240"/>
        <w:rPr>
          <w:noProof/>
        </w:rPr>
      </w:pPr>
      <w:r w:rsidRPr="004F1533">
        <w:rPr>
          <w:noProof/>
        </w:rPr>
        <w:t>A javaslat nincs hatással az uniós költségvetésre.</w:t>
      </w:r>
    </w:p>
    <w:p w:rsidR="005D73A5" w:rsidRPr="004F1533" w:rsidRDefault="005D73A5">
      <w:pPr>
        <w:pStyle w:val="ManualHeading1"/>
        <w:rPr>
          <w:noProof/>
        </w:rPr>
      </w:pPr>
      <w:r w:rsidRPr="004F1533">
        <w:rPr>
          <w:noProof/>
        </w:rPr>
        <w:t>(5)</w:t>
      </w:r>
      <w:r w:rsidRPr="004F1533">
        <w:rPr>
          <w:noProof/>
        </w:rPr>
        <w:tab/>
        <w:t>EGYÉB ELEMEK</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Végrehajtási tervek, valamint a nyomon követés, az értékelés és a jelentéstétel szabályai</w:t>
      </w:r>
    </w:p>
    <w:p w:rsidR="004C32F1" w:rsidRPr="004F1533" w:rsidRDefault="001810C7" w:rsidP="0089242A">
      <w:pPr>
        <w:pBdr>
          <w:top w:val="nil"/>
          <w:left w:val="nil"/>
          <w:bottom w:val="nil"/>
          <w:right w:val="nil"/>
          <w:between w:val="nil"/>
          <w:bar w:val="nil"/>
        </w:pBdr>
        <w:rPr>
          <w:noProof/>
        </w:rPr>
      </w:pPr>
      <w:r w:rsidRPr="004F1533">
        <w:rPr>
          <w:noProof/>
        </w:rPr>
        <w:t>Az „EU Digital Travel” alkalmazás igénybevételével létrehozott első digitális utazási igazolványok létrehozásától számított öt éven belül a Bizottság értékelni fogja a javaslat eredményességét, hatékonyságát, relevanciáját, koherenciáját és uniós hozzáadott értékét. Ez biztosítja, hogy elegendő adat álljon rendelkezésre a rendelet valamennyi vonatkozásáról. Ezt az értékelést a kísérő javaslatban</w:t>
      </w:r>
      <w:r w:rsidR="00436FF4" w:rsidRPr="004F1533">
        <w:rPr>
          <w:rStyle w:val="FootnoteReference"/>
          <w:noProof/>
        </w:rPr>
        <w:footnoteReference w:id="32"/>
      </w:r>
      <w:r w:rsidRPr="004F1533">
        <w:rPr>
          <w:noProof/>
        </w:rPr>
        <w:t xml:space="preserve"> előírt értékeléssel együtt lehetne elvégezni.</w:t>
      </w:r>
    </w:p>
    <w:p w:rsidR="005D73A5" w:rsidRPr="004F1533" w:rsidRDefault="005D73A5">
      <w:pPr>
        <w:pStyle w:val="ManualHeading2"/>
        <w:rPr>
          <w:rFonts w:eastAsia="Arial Unicode MS"/>
          <w:noProof/>
          <w:u w:color="000000"/>
          <w:bdr w:val="nil"/>
        </w:rPr>
      </w:pPr>
      <w:r w:rsidRPr="004F1533">
        <w:rPr>
          <w:noProof/>
          <w:u w:color="000000"/>
          <w:bdr w:val="nil"/>
        </w:rPr>
        <w:t>•</w:t>
      </w:r>
      <w:r w:rsidRPr="004F1533">
        <w:rPr>
          <w:noProof/>
          <w:u w:color="000000"/>
          <w:bdr w:val="nil"/>
        </w:rPr>
        <w:tab/>
        <w:t>A javaslat egyes rendelkezéseinek részletes magyarázata</w:t>
      </w:r>
    </w:p>
    <w:p w:rsidR="004C32F1" w:rsidRPr="004F1533" w:rsidRDefault="004C32F1" w:rsidP="004C32F1">
      <w:pPr>
        <w:pBdr>
          <w:top w:val="nil"/>
          <w:left w:val="nil"/>
          <w:bottom w:val="nil"/>
          <w:right w:val="nil"/>
          <w:between w:val="nil"/>
          <w:bar w:val="nil"/>
        </w:pBdr>
        <w:rPr>
          <w:noProof/>
        </w:rPr>
      </w:pPr>
      <w:r w:rsidRPr="004F1533">
        <w:rPr>
          <w:noProof/>
        </w:rPr>
        <w:t xml:space="preserve">Az </w:t>
      </w:r>
      <w:r w:rsidRPr="004F1533">
        <w:rPr>
          <w:b/>
          <w:noProof/>
        </w:rPr>
        <w:t>1. cikk</w:t>
      </w:r>
      <w:r w:rsidRPr="004F1533">
        <w:rPr>
          <w:noProof/>
        </w:rPr>
        <w:t xml:space="preserve"> ismerteti a rendelet tárgyát.</w:t>
      </w:r>
    </w:p>
    <w:p w:rsidR="004C32F1" w:rsidRPr="004F1533" w:rsidRDefault="004C32F1" w:rsidP="004C32F1">
      <w:pPr>
        <w:pBdr>
          <w:top w:val="nil"/>
          <w:left w:val="nil"/>
          <w:bottom w:val="nil"/>
          <w:right w:val="nil"/>
          <w:between w:val="nil"/>
          <w:bar w:val="nil"/>
        </w:pBdr>
        <w:rPr>
          <w:rFonts w:eastAsia="Arial Unicode MS"/>
          <w:noProof/>
        </w:rPr>
      </w:pPr>
      <w:r w:rsidRPr="004F1533">
        <w:rPr>
          <w:noProof/>
        </w:rPr>
        <w:t xml:space="preserve">A </w:t>
      </w:r>
      <w:r w:rsidRPr="004F1533">
        <w:rPr>
          <w:b/>
          <w:noProof/>
        </w:rPr>
        <w:t>2. cikk</w:t>
      </w:r>
      <w:r w:rsidRPr="004F1533">
        <w:rPr>
          <w:noProof/>
        </w:rPr>
        <w:t xml:space="preserve"> tartalmazza a 2004/38/EK irányelv 4. cikkének (3) bekezdésében említett, a tagállamok által saját állampolgáraik számára a fizikai személyazonosító igazolványokról szóló rendeletjavaslatnak</w:t>
      </w:r>
      <w:r w:rsidR="004722BD" w:rsidRPr="004F1533">
        <w:rPr>
          <w:rStyle w:val="FootnoteReference"/>
          <w:rFonts w:eastAsia="Arial Unicode MS"/>
          <w:noProof/>
        </w:rPr>
        <w:footnoteReference w:id="33"/>
      </w:r>
      <w:r w:rsidRPr="004F1533">
        <w:rPr>
          <w:noProof/>
        </w:rPr>
        <w:t xml:space="preserve"> megfelelő formátumban kiállított személyazonosító igazolványokon alapuló digitális utazási igazolványok létrehozására vonatkozó anyagi jogi szabályokat. </w:t>
      </w:r>
    </w:p>
    <w:p w:rsidR="004C32F1" w:rsidRPr="004F1533" w:rsidRDefault="004C32F1" w:rsidP="004C32F1">
      <w:pPr>
        <w:rPr>
          <w:noProof/>
        </w:rPr>
      </w:pPr>
      <w:r w:rsidRPr="004F1533">
        <w:rPr>
          <w:noProof/>
        </w:rPr>
        <w:t>Új személyazonosító igazolvány kiállításakor a tagállamoknak kérésre a kérelmezők rendelkezésére kell bocsátaniuk a megfelelő digitális utazási igazolványt. A kompatibilis személyazonosító igazolványok birtokosai számára azt is lehetővé kell tenni, hogy egy későbbi szakaszban megfelelő digitális utazási igazolványt igényeljenek a személyazonosító igazolványt kiállító tagállamoktól.</w:t>
      </w:r>
    </w:p>
    <w:p w:rsidR="004C32F1" w:rsidRPr="004F1533" w:rsidRDefault="004C32F1" w:rsidP="004C32F1">
      <w:pPr>
        <w:rPr>
          <w:noProof/>
        </w:rPr>
      </w:pPr>
      <w:r w:rsidRPr="004F1533">
        <w:rPr>
          <w:noProof/>
        </w:rPr>
        <w:t xml:space="preserve">Ezen túlmenően a személyazonosító igazolvány birtokosai számára lehetővé kell tenni, hogy az adott igazolványon alapuló digitális utazási igazolványt hozzanak létre. Lehetővé kell tenni a birtokosok számára, hogy az érintett személy rendelkezésére álló eszközök – például a személyazonosító igazolványba foglalt érintkezésmentes integrált áramkörű kártya leolvasására képes mobiltelefon és mobiltelefon-alkalmazás – segítségével távolról állíttassanak ki digitális utazási igazolványt. </w:t>
      </w:r>
    </w:p>
    <w:p w:rsidR="004C32F1" w:rsidRPr="004F1533" w:rsidRDefault="004C32F1" w:rsidP="004C32F1">
      <w:pPr>
        <w:rPr>
          <w:noProof/>
        </w:rPr>
      </w:pPr>
      <w:r w:rsidRPr="004F1533">
        <w:rPr>
          <w:noProof/>
        </w:rPr>
        <w:t>A digitális utazási igazolvány létrehozása előtt a tagállamoknak ki kell alakítaniuk egy olyan rendszert, amely megerősíti a személyazonosító igazolványban foglalt mikrocsip hitelességét és sértetlenségét, és a digitális utazási igazolványt létrehozni kívánó személy arcképmását összeveti a mikrocsipen tárolt arcképmással. Ennek célja annak biztosítása, hogy a digitális utazási igazolványt az a személy hozza létre, aki számára a személyazonosító igazolványt kiállították.</w:t>
      </w:r>
    </w:p>
    <w:p w:rsidR="004C32F1" w:rsidRPr="004F1533" w:rsidRDefault="005A7222" w:rsidP="004C32F1">
      <w:pPr>
        <w:rPr>
          <w:noProof/>
        </w:rPr>
      </w:pPr>
      <w:r w:rsidRPr="004F1533">
        <w:rPr>
          <w:noProof/>
        </w:rPr>
        <w:t xml:space="preserve">A digitális utazási igazolvány létrehozása céljából a személyazonosító igazolvány birtokosai számára lehetővé kell tenni az </w:t>
      </w:r>
      <w:bookmarkStart w:id="2" w:name="_Hlk159229918"/>
      <w:r w:rsidRPr="004F1533">
        <w:rPr>
          <w:noProof/>
        </w:rPr>
        <w:t>„EU Digital Travel” alkalmazás igénybevételét, amely utóbbira vonatkozóan a kísérő javaslat</w:t>
      </w:r>
      <w:bookmarkStart w:id="3" w:name="_Hlk176527067"/>
      <w:r w:rsidR="004C32F1" w:rsidRPr="004F1533">
        <w:rPr>
          <w:rStyle w:val="FootnoteReference"/>
          <w:noProof/>
        </w:rPr>
        <w:footnoteReference w:id="34"/>
      </w:r>
      <w:bookmarkEnd w:id="2"/>
      <w:bookmarkEnd w:id="3"/>
      <w:r w:rsidRPr="004F1533">
        <w:rPr>
          <w:noProof/>
        </w:rPr>
        <w:t xml:space="preserve"> határozza meg az előírásokat. Ez az alkalmazás támogatni fogja a személyazonosító igazolványokon alapuló digitális utazási igazolványok létrehozását, mivel azok ugyanazokat a műszaki szabványokat fogják alkalmazni, mint az útleveleken alapuló digitális utazási igazolványok. </w:t>
      </w:r>
    </w:p>
    <w:p w:rsidR="004C32F1" w:rsidRPr="004F1533" w:rsidRDefault="00D95908" w:rsidP="004C32F1">
      <w:pPr>
        <w:rPr>
          <w:noProof/>
        </w:rPr>
      </w:pPr>
      <w:r w:rsidRPr="004F1533">
        <w:rPr>
          <w:noProof/>
        </w:rPr>
        <w:t>A digitális utazási igazolványnak ugyanazokat a személyes adatokat – többek között a birtokos arcképmását – kell tartalmaznia, mint az alapjául szolgáló személyazonosító igazolványban szereplő adatok (eltekintve a birtokos ujjnyomataitól, amelyeket nem kell beilleszteni).</w:t>
      </w:r>
    </w:p>
    <w:p w:rsidR="004C32F1" w:rsidRPr="004F1533" w:rsidRDefault="004C32F1" w:rsidP="004C32F1">
      <w:pPr>
        <w:rPr>
          <w:noProof/>
          <w:szCs w:val="24"/>
        </w:rPr>
      </w:pPr>
      <w:r w:rsidRPr="004F1533">
        <w:rPr>
          <w:noProof/>
        </w:rPr>
        <w:t>A digitális utazási igazolvány birtokosai számára lehetővé kell tenni, hogy azt az európai digitális személyiadat-tárcában tárolják.</w:t>
      </w:r>
    </w:p>
    <w:p w:rsidR="002C112E" w:rsidRPr="004F1533" w:rsidRDefault="002C112E" w:rsidP="002C112E">
      <w:pPr>
        <w:rPr>
          <w:noProof/>
        </w:rPr>
      </w:pPr>
      <w:r w:rsidRPr="004F1533">
        <w:rPr>
          <w:noProof/>
        </w:rPr>
        <w:t>Emellett ez a cikk felhatalmazza a Bizottságot arra, hogy végrehajtási jogi aktus útján meghatározza azt a legkésőbbi időpontot, amelytől kezdve a tagállamoknak lehetővé kell tenniük a digitális utazási igazolványok létrehozását az „EU Digital Travel” alkalmazás igénybevételével. E felhatalmazás célja annak biztosítása, hogy a digitális utazási igazolványok „EU Digital Travel” alkalmazás igénybevételével történő létrehozásának lehetővé tételére irányuló jogi követelmény csak akkor legyen alkalmazandó, ha az alkalmazás működésbe lépett.</w:t>
      </w:r>
    </w:p>
    <w:p w:rsidR="004C32F1" w:rsidRPr="004F1533" w:rsidRDefault="004C32F1" w:rsidP="004C32F1">
      <w:pPr>
        <w:rPr>
          <w:noProof/>
        </w:rPr>
      </w:pPr>
      <w:r w:rsidRPr="004F1533">
        <w:rPr>
          <w:noProof/>
        </w:rPr>
        <w:t xml:space="preserve">A </w:t>
      </w:r>
      <w:r w:rsidRPr="004F1533">
        <w:rPr>
          <w:b/>
          <w:noProof/>
        </w:rPr>
        <w:t>3. cikk</w:t>
      </w:r>
      <w:r w:rsidRPr="004F1533">
        <w:rPr>
          <w:noProof/>
        </w:rPr>
        <w:t xml:space="preserve"> előírja a tagállamok számára, hogy kapcsolattartó pontokat jelöljenek ki a rendelet végrehajtására. Ezek megegyezhetnek a fizikai személyazonosító igazolványokról szóló rendeletjavaslat</w:t>
      </w:r>
      <w:r w:rsidR="005A7222" w:rsidRPr="004F1533">
        <w:rPr>
          <w:rStyle w:val="FootnoteReference"/>
          <w:rFonts w:eastAsia="Arial Unicode MS"/>
          <w:noProof/>
        </w:rPr>
        <w:footnoteReference w:id="35"/>
      </w:r>
      <w:r w:rsidRPr="004F1533">
        <w:rPr>
          <w:noProof/>
        </w:rPr>
        <w:t xml:space="preserve"> végrehajtására kijelöltekkel.</w:t>
      </w:r>
    </w:p>
    <w:p w:rsidR="004C32F1" w:rsidRPr="004F1533" w:rsidRDefault="004C32F1" w:rsidP="008E4119">
      <w:pPr>
        <w:rPr>
          <w:noProof/>
        </w:rPr>
      </w:pPr>
      <w:r w:rsidRPr="004F1533">
        <w:rPr>
          <w:noProof/>
        </w:rPr>
        <w:t xml:space="preserve">A </w:t>
      </w:r>
      <w:r w:rsidRPr="004F1533">
        <w:rPr>
          <w:b/>
          <w:noProof/>
        </w:rPr>
        <w:t>4. cikk</w:t>
      </w:r>
      <w:r w:rsidRPr="004F1533">
        <w:rPr>
          <w:noProof/>
        </w:rPr>
        <w:t xml:space="preserve"> úgy rendelkezik, hogy az általánosan alkalmazandó uniós adatvédelmi jogi kereten túlmenően a személyazonosító igazolványokról szóló rendeletjavaslatban</w:t>
      </w:r>
      <w:r w:rsidR="0084089E" w:rsidRPr="004F1533">
        <w:rPr>
          <w:rStyle w:val="FootnoteReference"/>
          <w:noProof/>
        </w:rPr>
        <w:footnoteReference w:id="36"/>
      </w:r>
      <w:r w:rsidRPr="004F1533">
        <w:rPr>
          <w:noProof/>
        </w:rPr>
        <w:t xml:space="preserve"> szereplő egyedi adatvédelmi keretet kell alkalmazni a személyes adatok e rendelet szerinti kezelésére. Nincs szükség külön adatvédelmi keretre, mivel az e rendelettel létrehozott digitális utazási igazolványok – a birtokos ujjnyomatainak kivételével – ugyanazokat a személyes adatokat tartalmazzák, mint a fizikai személyazonosító igazolványok, és azonos célokra kívánják felhasználni őket.</w:t>
      </w:r>
    </w:p>
    <w:p w:rsidR="005A7222" w:rsidRPr="004F1533" w:rsidRDefault="00397C4C" w:rsidP="004C32F1">
      <w:pPr>
        <w:rPr>
          <w:noProof/>
        </w:rPr>
      </w:pPr>
      <w:r w:rsidRPr="004F1533">
        <w:rPr>
          <w:noProof/>
        </w:rPr>
        <w:t xml:space="preserve">Az </w:t>
      </w:r>
      <w:r w:rsidRPr="004F1533">
        <w:rPr>
          <w:b/>
          <w:noProof/>
        </w:rPr>
        <w:t>5. cikk</w:t>
      </w:r>
      <w:r w:rsidRPr="004F1533">
        <w:rPr>
          <w:noProof/>
        </w:rPr>
        <w:t xml:space="preserve"> felhatalmazza a Bizottságot arra, hogy elfogadja a személyazonosító igazolványok alapján kiállított digitális utazási igazolványokra vonatkozó szükséges műszaki előírásokat, eljárásokat és követelményeket, beleértve a következőkre vonatkozókat is: i. adatséma és -formátum; ii. kibocsátási és hozzáférhetővé tételi folyamat; iii. érvényesség; iv. megbízhatósági modell; v. hitelesítés és validálás; és vi. visszavonás.</w:t>
      </w:r>
    </w:p>
    <w:p w:rsidR="00397C4C" w:rsidRPr="004F1533" w:rsidRDefault="005A7222" w:rsidP="004C32F1">
      <w:pPr>
        <w:rPr>
          <w:noProof/>
        </w:rPr>
      </w:pPr>
      <w:r w:rsidRPr="004F1533">
        <w:rPr>
          <w:noProof/>
        </w:rPr>
        <w:t xml:space="preserve">Ezeknek a műszaki előírásoknak – amennyire lehetséges – az ICAO szintjén elfogadott vonatkozó nemzetközi szabványokon és gyakorlatokon kell alapulniuk annak érdekében, hogy biztosítsák mind a nemzetközi szintű következetes megközelítést, mind pedig a digitális utazási igazolványok globális interoperabilitását. </w:t>
      </w:r>
    </w:p>
    <w:p w:rsidR="00073584" w:rsidRPr="004F1533" w:rsidRDefault="00073584" w:rsidP="004C32F1">
      <w:pPr>
        <w:rPr>
          <w:b/>
          <w:bCs/>
          <w:noProof/>
        </w:rPr>
      </w:pPr>
      <w:r w:rsidRPr="004F1533">
        <w:rPr>
          <w:noProof/>
        </w:rPr>
        <w:t>A műszaki előírások célja továbbá annak biztosítása, hogy a digitális utazási igazolvány tárolható legyen az európai digitális személyiadat-tárcában.</w:t>
      </w:r>
    </w:p>
    <w:p w:rsidR="00397C4C" w:rsidRPr="004F1533" w:rsidRDefault="00792B73" w:rsidP="00397C4C">
      <w:pPr>
        <w:rPr>
          <w:noProof/>
        </w:rPr>
      </w:pPr>
      <w:r w:rsidRPr="004F1533">
        <w:rPr>
          <w:noProof/>
        </w:rPr>
        <w:t xml:space="preserve">A </w:t>
      </w:r>
      <w:r w:rsidRPr="004F1533">
        <w:rPr>
          <w:b/>
          <w:noProof/>
        </w:rPr>
        <w:t>6. cikk</w:t>
      </w:r>
      <w:r w:rsidRPr="004F1533">
        <w:rPr>
          <w:noProof/>
        </w:rPr>
        <w:t xml:space="preserve"> az arra a bizottságra vonatkozó szabályokat tartalmazza, amelynek feladata, hogy segítséget nyújtson a Bizottságnak a rendelet végrehajtása során.</w:t>
      </w:r>
    </w:p>
    <w:p w:rsidR="00073584" w:rsidRPr="004F1533" w:rsidRDefault="00073584" w:rsidP="00073584">
      <w:pPr>
        <w:spacing w:before="0" w:after="0"/>
        <w:rPr>
          <w:noProof/>
          <w:szCs w:val="24"/>
        </w:rPr>
      </w:pPr>
      <w:r w:rsidRPr="004F1533">
        <w:rPr>
          <w:noProof/>
        </w:rPr>
        <w:t>Az 1683/95/EK tanácsi rendelet</w:t>
      </w:r>
      <w:r w:rsidRPr="004F1533">
        <w:rPr>
          <w:rStyle w:val="FootnoteReference"/>
          <w:noProof/>
        </w:rPr>
        <w:footnoteReference w:id="37"/>
      </w:r>
      <w:r w:rsidRPr="004F1533">
        <w:rPr>
          <w:noProof/>
        </w:rPr>
        <w:t xml:space="preserve"> 6. cikkével létrehozott, „a vízumok egységes formátumának meghatározásával foglalkozó bizottság”</w:t>
      </w:r>
      <w:r w:rsidRPr="004F1533">
        <w:rPr>
          <w:rStyle w:val="FootnoteReference"/>
          <w:noProof/>
        </w:rPr>
        <w:footnoteReference w:id="38"/>
      </w:r>
      <w:r w:rsidRPr="004F1533">
        <w:rPr>
          <w:noProof/>
        </w:rPr>
        <w:t xml:space="preserve"> kerül kijelölésre illetékes bizottságnak, mivel szintén e testület feladata a Bizottság támogatása, a fizikai személyazonosító igazolványokról szóló rendeletjavaslattal</w:t>
      </w:r>
      <w:r w:rsidRPr="004F1533">
        <w:rPr>
          <w:rStyle w:val="FootnoteReference"/>
          <w:rFonts w:eastAsia="Arial Unicode MS"/>
          <w:noProof/>
        </w:rPr>
        <w:footnoteReference w:id="39"/>
      </w:r>
      <w:r w:rsidRPr="004F1533">
        <w:rPr>
          <w:noProof/>
        </w:rPr>
        <w:t xml:space="preserve"> kapcsolatban.</w:t>
      </w:r>
    </w:p>
    <w:p w:rsidR="00792B73" w:rsidRPr="004F1533" w:rsidRDefault="00792B73" w:rsidP="00792B73">
      <w:pPr>
        <w:rPr>
          <w:noProof/>
        </w:rPr>
      </w:pPr>
      <w:r w:rsidRPr="004F1533">
        <w:rPr>
          <w:noProof/>
        </w:rPr>
        <w:t xml:space="preserve">A </w:t>
      </w:r>
      <w:r w:rsidRPr="004F1533">
        <w:rPr>
          <w:b/>
          <w:noProof/>
        </w:rPr>
        <w:t>7. cikk</w:t>
      </w:r>
      <w:r w:rsidRPr="004F1533">
        <w:rPr>
          <w:noProof/>
        </w:rPr>
        <w:t xml:space="preserve"> előírja, hogy a Bizottságnak értékelnie kell a rendeletet, és arról a 2. cikk alapján elfogadandó végrehajtási jogi aktusnak megfelelően jelentést kell készítenie az attól az időponttól számított öt éven belül, amikortól a tagállamoknak lehetővé kell tenniük digitális utazási igazolványok létrehozását az „EU Digital Travel” alkalmazás igénybevételével. Az értékelésre a Bizottság minőségi jogalkotásra vonatkozó iránymutatásaival</w:t>
      </w:r>
      <w:r w:rsidRPr="004F1533">
        <w:rPr>
          <w:rStyle w:val="FootnoteReference"/>
          <w:noProof/>
        </w:rPr>
        <w:footnoteReference w:id="40"/>
      </w:r>
      <w:r w:rsidRPr="004F1533">
        <w:rPr>
          <w:noProof/>
        </w:rPr>
        <w:t xml:space="preserve"> összhangban és a jogalkotás minőségének javításáról szóló, 2016. április 13-i intézményközi megállapodás</w:t>
      </w:r>
      <w:r w:rsidRPr="004F1533">
        <w:rPr>
          <w:rStyle w:val="FootnoteReference"/>
          <w:noProof/>
        </w:rPr>
        <w:footnoteReference w:id="41"/>
      </w:r>
      <w:r w:rsidRPr="004F1533">
        <w:rPr>
          <w:noProof/>
        </w:rPr>
        <w:t xml:space="preserve"> (22) és (23) bekezdésének megfelelően kerül sor. E jelentés kiadásához a Bizottság információkat kér a tagállamoktól és az érintett uniós ügynökségektől. </w:t>
      </w:r>
    </w:p>
    <w:p w:rsidR="00792B73" w:rsidRPr="004F1533" w:rsidRDefault="00792B73" w:rsidP="00397C4C">
      <w:pPr>
        <w:rPr>
          <w:noProof/>
        </w:rPr>
      </w:pPr>
      <w:r w:rsidRPr="004F1533">
        <w:rPr>
          <w:noProof/>
        </w:rPr>
        <w:t xml:space="preserve">A </w:t>
      </w:r>
      <w:r w:rsidRPr="004F1533">
        <w:rPr>
          <w:b/>
          <w:noProof/>
        </w:rPr>
        <w:t>8. cikk</w:t>
      </w:r>
      <w:r w:rsidRPr="004F1533">
        <w:rPr>
          <w:noProof/>
        </w:rPr>
        <w:t xml:space="preserve"> tartalmazza a rendelet hatálybalépésére és alkalmazására vonatkozó szabályokat. Előírja, hogy a tagállamoknak 12 hónappal az 5. cikkben említett szükséges műszaki előírások elfogadását követően meg kell kezdeniük a személyazonosító igazolványon alapuló digitális utazási igazolványok kiállítását az „EU Digital Travel” alkalmazás igénybevétele nélkül. A személyazonosító igazolványon alapuló digitális utazási igazolványoknak az „EU Digital Travel” alkalmazás igénybevételével történő létrehozása egy későbbi szakaszban, és csak azt követően válik lehetővé, hogy a Bizottság elfogadta a 2. cikkben említett végrehajtási jogi aktust.</w:t>
      </w:r>
    </w:p>
    <w:p w:rsidR="005D73A5" w:rsidRPr="004F1533" w:rsidRDefault="005D73A5">
      <w:pPr>
        <w:rPr>
          <w:noProof/>
        </w:rPr>
      </w:pPr>
    </w:p>
    <w:p w:rsidR="00792B73" w:rsidRPr="004F1533" w:rsidRDefault="00792B73">
      <w:pPr>
        <w:rPr>
          <w:noProof/>
        </w:rPr>
        <w:sectPr w:rsidR="00792B73" w:rsidRPr="004F1533" w:rsidSect="00216E4C">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C00DEF" w:rsidRPr="004F1533" w:rsidRDefault="00D96875" w:rsidP="00D96875">
      <w:pPr>
        <w:pStyle w:val="Rfrenceinterinstitutionnelle"/>
        <w:rPr>
          <w:noProof/>
        </w:rPr>
      </w:pPr>
      <w:r>
        <w:rPr>
          <w:noProof/>
        </w:rPr>
        <w:t>2024/0248 (CNS)</w:t>
      </w:r>
    </w:p>
    <w:p w:rsidR="005D73A5" w:rsidRPr="004F1533" w:rsidRDefault="00D96875" w:rsidP="00D96875">
      <w:pPr>
        <w:pStyle w:val="Statut"/>
        <w:rPr>
          <w:noProof/>
        </w:rPr>
      </w:pPr>
      <w:r w:rsidRPr="00D96875">
        <w:rPr>
          <w:noProof/>
        </w:rPr>
        <w:t>Javaslat</w:t>
      </w:r>
    </w:p>
    <w:p w:rsidR="005D73A5" w:rsidRPr="004F1533" w:rsidRDefault="00D96875" w:rsidP="00D96875">
      <w:pPr>
        <w:pStyle w:val="Typedudocument"/>
        <w:rPr>
          <w:noProof/>
        </w:rPr>
      </w:pPr>
      <w:r w:rsidRPr="00D96875">
        <w:rPr>
          <w:noProof/>
        </w:rPr>
        <w:t>A TANÁCS RENDELETE</w:t>
      </w:r>
    </w:p>
    <w:p w:rsidR="005D73A5" w:rsidRPr="004F1533" w:rsidRDefault="00D96875" w:rsidP="00D96875">
      <w:pPr>
        <w:pStyle w:val="Titreobjet"/>
        <w:rPr>
          <w:noProof/>
        </w:rPr>
      </w:pPr>
      <w:r w:rsidRPr="00D96875">
        <w:rPr>
          <w:noProof/>
        </w:rPr>
        <w:t>a személyazonosító igazolványokon alapuló digitális utazási igazolványok kibocsátásáról és az azokra vonatkozó műszaki szabványokról</w:t>
      </w:r>
    </w:p>
    <w:p w:rsidR="005D73A5" w:rsidRPr="004F1533" w:rsidRDefault="00D96875" w:rsidP="00D96875">
      <w:pPr>
        <w:pStyle w:val="IntrtEEE"/>
        <w:rPr>
          <w:noProof/>
        </w:rPr>
      </w:pPr>
      <w:r w:rsidRPr="00D96875">
        <w:rPr>
          <w:noProof/>
        </w:rPr>
        <w:t>(EGT-vonatkozású szöveg)</w:t>
      </w:r>
    </w:p>
    <w:p w:rsidR="005D73A5" w:rsidRPr="004F1533" w:rsidRDefault="005D73A5">
      <w:pPr>
        <w:pStyle w:val="Institutionquiagit"/>
        <w:rPr>
          <w:noProof/>
        </w:rPr>
      </w:pPr>
      <w:r w:rsidRPr="004F1533">
        <w:rPr>
          <w:noProof/>
        </w:rPr>
        <w:t>AZ EURÓPAI UNIÓ TANÁCSA,</w:t>
      </w:r>
    </w:p>
    <w:p w:rsidR="005D73A5" w:rsidRPr="004F1533" w:rsidRDefault="005D73A5">
      <w:pPr>
        <w:rPr>
          <w:noProof/>
        </w:rPr>
      </w:pPr>
      <w:r w:rsidRPr="004F1533">
        <w:rPr>
          <w:noProof/>
        </w:rPr>
        <w:t>tekintettel az Európai Unió működéséről szóló szerződésre és különösen annak 77. cikke (3) bekezdésére,</w:t>
      </w:r>
    </w:p>
    <w:p w:rsidR="005D73A5" w:rsidRPr="004F1533" w:rsidRDefault="005D73A5">
      <w:pPr>
        <w:rPr>
          <w:noProof/>
        </w:rPr>
      </w:pPr>
      <w:r w:rsidRPr="004F1533">
        <w:rPr>
          <w:noProof/>
        </w:rPr>
        <w:t>tekintettel az Európai Bizottság javaslatára,</w:t>
      </w:r>
    </w:p>
    <w:p w:rsidR="005D73A5" w:rsidRPr="004F1533" w:rsidRDefault="005D73A5">
      <w:pPr>
        <w:rPr>
          <w:noProof/>
        </w:rPr>
      </w:pPr>
      <w:r w:rsidRPr="004F1533">
        <w:rPr>
          <w:noProof/>
        </w:rPr>
        <w:t>a jogalkotási aktus tervezete nemzeti parlamenteknek való megküldését követően,</w:t>
      </w:r>
    </w:p>
    <w:p w:rsidR="005D73A5" w:rsidRPr="004F1533" w:rsidRDefault="005D73A5">
      <w:pPr>
        <w:rPr>
          <w:noProof/>
        </w:rPr>
      </w:pPr>
      <w:r w:rsidRPr="004F1533">
        <w:rPr>
          <w:noProof/>
        </w:rPr>
        <w:t>tekintettel az Európai Parlament véleményére</w:t>
      </w:r>
      <w:r w:rsidRPr="004F1533">
        <w:rPr>
          <w:rStyle w:val="FootnoteReference"/>
          <w:noProof/>
        </w:rPr>
        <w:footnoteReference w:id="42"/>
      </w:r>
      <w:r w:rsidRPr="004F1533">
        <w:rPr>
          <w:noProof/>
        </w:rPr>
        <w:t>,</w:t>
      </w:r>
    </w:p>
    <w:p w:rsidR="005D73A5" w:rsidRPr="004F1533" w:rsidRDefault="005D73A5">
      <w:pPr>
        <w:rPr>
          <w:noProof/>
        </w:rPr>
      </w:pPr>
      <w:r w:rsidRPr="004F1533">
        <w:rPr>
          <w:noProof/>
        </w:rPr>
        <w:t>különleges jogalkotási eljárás keretében,</w:t>
      </w:r>
    </w:p>
    <w:p w:rsidR="005D73A5" w:rsidRPr="004F1533" w:rsidRDefault="005D73A5">
      <w:pPr>
        <w:rPr>
          <w:noProof/>
        </w:rPr>
      </w:pPr>
      <w:r w:rsidRPr="004F1533">
        <w:rPr>
          <w:noProof/>
        </w:rPr>
        <w:t>mivel:</w:t>
      </w:r>
    </w:p>
    <w:p w:rsidR="005D73A5" w:rsidRPr="004F1533" w:rsidRDefault="004038A5" w:rsidP="004038A5">
      <w:pPr>
        <w:pStyle w:val="ManualConsidrant"/>
        <w:rPr>
          <w:noProof/>
        </w:rPr>
      </w:pPr>
      <w:r w:rsidRPr="004038A5">
        <w:rPr>
          <w:noProof/>
        </w:rPr>
        <w:t>(1)</w:t>
      </w:r>
      <w:r w:rsidRPr="004038A5">
        <w:rPr>
          <w:noProof/>
        </w:rPr>
        <w:tab/>
      </w:r>
      <w:r w:rsidR="00CA40FD" w:rsidRPr="004F1533">
        <w:rPr>
          <w:noProof/>
        </w:rPr>
        <w:t>A 2004/38/EK európai parlamenti és tanácsi irányelv</w:t>
      </w:r>
      <w:r w:rsidR="00CA40FD" w:rsidRPr="004F1533">
        <w:rPr>
          <w:rStyle w:val="FootnoteReference"/>
          <w:noProof/>
        </w:rPr>
        <w:footnoteReference w:id="43"/>
      </w:r>
      <w:r w:rsidR="00CA40FD" w:rsidRPr="004F1533">
        <w:rPr>
          <w:noProof/>
        </w:rPr>
        <w:t xml:space="preserve"> értelmében a fizikai személyazonosító igazolványok és útlevelek azok az okmányok, amelyek lehetővé teszik az uniós polgárok számára a szabad mozgáshoz és tartózkodáshoz való joguk gyakorlását.</w:t>
      </w:r>
    </w:p>
    <w:p w:rsidR="00CA40FD" w:rsidRPr="004F1533" w:rsidRDefault="004038A5" w:rsidP="004038A5">
      <w:pPr>
        <w:pStyle w:val="ManualConsidrant"/>
        <w:rPr>
          <w:noProof/>
        </w:rPr>
      </w:pPr>
      <w:r w:rsidRPr="004038A5">
        <w:rPr>
          <w:noProof/>
        </w:rPr>
        <w:t>(2)</w:t>
      </w:r>
      <w:r w:rsidRPr="004038A5">
        <w:rPr>
          <w:noProof/>
        </w:rPr>
        <w:tab/>
      </w:r>
      <w:r w:rsidR="00CA40FD" w:rsidRPr="004F1533">
        <w:rPr>
          <w:noProof/>
        </w:rPr>
        <w:t xml:space="preserve">A tagállamok által állampolgáraik számára kiállított személyazonosító igazolványok és a tagállamok által az uniós polgárok és családtagjaik részére kiállított tartózkodási okmányok megbízhatóságának és elfogadásának növelése, és ezáltal a szabad mozgáshoz való jog gyakorlásának megkönnyítése érdekében </w:t>
      </w:r>
      <w:bookmarkStart w:id="4" w:name="_Hlk176535873"/>
      <w:r w:rsidR="00CA40FD" w:rsidRPr="004F1533">
        <w:rPr>
          <w:noProof/>
        </w:rPr>
        <w:t>az (EU) XXXX/XXXX tanácsi rendelet</w:t>
      </w:r>
      <w:r w:rsidR="00CA40FD" w:rsidRPr="004F1533">
        <w:rPr>
          <w:rStyle w:val="FootnoteReference"/>
          <w:noProof/>
        </w:rPr>
        <w:footnoteReference w:id="44"/>
      </w:r>
      <w:r w:rsidR="00CA40FD" w:rsidRPr="004F1533">
        <w:rPr>
          <w:noProof/>
        </w:rPr>
        <w:t xml:space="preserve"> </w:t>
      </w:r>
      <w:r w:rsidR="00CA40FD" w:rsidRPr="004F1533">
        <w:rPr>
          <w:i/>
          <w:noProof/>
        </w:rPr>
        <w:t>[COM(2024) 316 final]</w:t>
      </w:r>
      <w:r w:rsidR="00CA40FD" w:rsidRPr="004F1533">
        <w:rPr>
          <w:noProof/>
        </w:rPr>
        <w:t xml:space="preserve"> </w:t>
      </w:r>
      <w:bookmarkEnd w:id="4"/>
      <w:r w:rsidR="00CA40FD" w:rsidRPr="004F1533">
        <w:rPr>
          <w:noProof/>
        </w:rPr>
        <w:t>megerősíti az említett személyazonosító igazolványokra és tartózkodási okmányokra alkalmazandó biztonsági előírásokat. A személyazonosító igazolványok esetében az említett rendelet meghatározza azokat a biztonsági előírásokat, formátumot és előírásokat, amelyeknek az ilyen fizikai okmányoknak meg kell felelniük.</w:t>
      </w:r>
    </w:p>
    <w:p w:rsidR="00CA40FD" w:rsidRPr="004F1533" w:rsidRDefault="004038A5" w:rsidP="004038A5">
      <w:pPr>
        <w:pStyle w:val="ManualConsidrant"/>
        <w:rPr>
          <w:noProof/>
        </w:rPr>
      </w:pPr>
      <w:r w:rsidRPr="004038A5">
        <w:rPr>
          <w:noProof/>
        </w:rPr>
        <w:t>(3)</w:t>
      </w:r>
      <w:r w:rsidRPr="004038A5">
        <w:rPr>
          <w:noProof/>
        </w:rPr>
        <w:tab/>
      </w:r>
      <w:r w:rsidR="00CA40FD" w:rsidRPr="004F1533">
        <w:rPr>
          <w:noProof/>
        </w:rPr>
        <w:t>A szabad mozgáshoz és tartózkodáshoz való jog gyakorlásának megkönnyítése érdekében uniós szintű szabályokat kell megállapítani a személyazonosító igazolványon alapuló digitális utazási igazolványok, azaz a személyazonosító igazolvány adathordozójában tárolt információkból származó és a személyazonosító igazolványt kiállító hatóság nyilvános kulcsú infrastruktúrájának használatával validálható személyazonosságának digitális megjelenítésére vonatkozóan. Ez azt is szolgálja, hogy az Unión belül ne alakuljanak ki összeegyeztethetetlen szabványok, és biztosítja, hogy minden, személyazonosító igazolvánnyal rendelkező uniós polgár, amennyiben úgy kívánja, digitális utazási igazolványt kaphasson.</w:t>
      </w:r>
    </w:p>
    <w:p w:rsidR="00CA40FD" w:rsidRPr="004F1533" w:rsidRDefault="004038A5" w:rsidP="004038A5">
      <w:pPr>
        <w:pStyle w:val="ManualConsidrant"/>
        <w:rPr>
          <w:noProof/>
        </w:rPr>
      </w:pPr>
      <w:r w:rsidRPr="004038A5">
        <w:rPr>
          <w:noProof/>
        </w:rPr>
        <w:t>(4)</w:t>
      </w:r>
      <w:r w:rsidRPr="004038A5">
        <w:rPr>
          <w:noProof/>
        </w:rPr>
        <w:tab/>
      </w:r>
      <w:r w:rsidR="00CA40FD" w:rsidRPr="004F1533">
        <w:rPr>
          <w:noProof/>
        </w:rPr>
        <w:t>Ha a szabad mozgáshoz való jog gyakorlása egy másik tagállamba történő utazással jár, a személyazonosító igazolványon alapuló digitális utazási igazolványok használata felgyorsíthatja az alkalmazandó ellenőrzéseket. Ennek megfelelően az uniós polgároknak jogot kell biztosítani ahhoz, hogy személyazonosító igazolványaikon alapuló digitális utazási igazolványokat kapjanak és használjanak. Ugyanakkor nem kötelezhetők arra, hogy digitális utazási igazolvánnyal rendelkezzenek, vagy annak megszerzése után tovább használják azt.</w:t>
      </w:r>
    </w:p>
    <w:p w:rsidR="00CA40FD" w:rsidRPr="004F1533" w:rsidRDefault="004038A5" w:rsidP="004038A5">
      <w:pPr>
        <w:pStyle w:val="ManualConsidrant"/>
        <w:rPr>
          <w:noProof/>
        </w:rPr>
      </w:pPr>
      <w:r w:rsidRPr="004038A5">
        <w:rPr>
          <w:noProof/>
        </w:rPr>
        <w:t>(5)</w:t>
      </w:r>
      <w:r w:rsidRPr="004038A5">
        <w:rPr>
          <w:noProof/>
        </w:rPr>
        <w:tab/>
      </w:r>
      <w:r w:rsidR="00CA40FD" w:rsidRPr="004F1533">
        <w:rPr>
          <w:noProof/>
        </w:rPr>
        <w:t xml:space="preserve">Annak érdekében, hogy az uniós polgárok számára megkönnyítsék a digitális utazási igazolvány megszerzését, a tagállamoknak a személyazonosító igazolvány kiállításakor és a kérelmező kérésére a </w:t>
      </w:r>
      <w:bookmarkStart w:id="5" w:name="_Hlk161222550"/>
      <w:r w:rsidR="00CA40FD" w:rsidRPr="004F1533">
        <w:rPr>
          <w:noProof/>
        </w:rPr>
        <w:t xml:space="preserve">harmonizált uniós előírásokon alapuló </w:t>
      </w:r>
      <w:bookmarkEnd w:id="5"/>
      <w:r w:rsidR="00CA40FD" w:rsidRPr="004F1533">
        <w:rPr>
          <w:noProof/>
        </w:rPr>
        <w:t>megfelelő digitális utazási igazolványt is ki kell állítaniuk az uniós polgárok számára.</w:t>
      </w:r>
    </w:p>
    <w:p w:rsidR="00CA40FD" w:rsidRPr="004F1533" w:rsidRDefault="004038A5" w:rsidP="004038A5">
      <w:pPr>
        <w:pStyle w:val="ManualConsidrant"/>
        <w:rPr>
          <w:noProof/>
        </w:rPr>
      </w:pPr>
      <w:bookmarkStart w:id="6" w:name="_Hlk161222620"/>
      <w:r w:rsidRPr="004038A5">
        <w:rPr>
          <w:noProof/>
        </w:rPr>
        <w:t>(6)</w:t>
      </w:r>
      <w:r w:rsidRPr="004038A5">
        <w:rPr>
          <w:noProof/>
        </w:rPr>
        <w:tab/>
      </w:r>
      <w:r w:rsidR="00CA4968" w:rsidRPr="004F1533">
        <w:rPr>
          <w:noProof/>
        </w:rPr>
        <w:t>Emellett, mivel előfordulhat, hogy egy uniós polgár úgy dönt, hogy a személyazonosító igazolvány kiállításakor nem igényel digitális utazási igazolványt, a tagállamoknak lehetővé kell tenniük az (EU) XXXX/XXXX rendelet</w:t>
      </w:r>
      <w:r w:rsidR="00CA4968" w:rsidRPr="004F1533">
        <w:rPr>
          <w:i/>
          <w:noProof/>
        </w:rPr>
        <w:t xml:space="preserve"> [COM(2024) 316 final]</w:t>
      </w:r>
      <w:r w:rsidR="00CA4968" w:rsidRPr="004F1533">
        <w:rPr>
          <w:noProof/>
        </w:rPr>
        <w:t xml:space="preserve"> követelményeinek megfelelő formátumban kiállított személyazonosító igazolvány birtokosai számára, hogy egy későbbi szakaszban – többek között távolról – megfelelő digitális utazási igazolványt hozzanak létre olyan eszközök, például mobiltelefonok használatával, amelyek mobiltelefon-alkalmazás segítségével képesek leolvasni a személyazonosító igazolvány adathordozóját</w:t>
      </w:r>
      <w:bookmarkEnd w:id="6"/>
      <w:r w:rsidR="00CA4968" w:rsidRPr="004F1533">
        <w:rPr>
          <w:noProof/>
        </w:rPr>
        <w:t xml:space="preserve">. </w:t>
      </w:r>
    </w:p>
    <w:p w:rsidR="00CA40FD" w:rsidRPr="004F1533" w:rsidRDefault="004038A5" w:rsidP="004038A5">
      <w:pPr>
        <w:pStyle w:val="ManualConsidrant"/>
        <w:rPr>
          <w:noProof/>
        </w:rPr>
      </w:pPr>
      <w:r w:rsidRPr="004038A5">
        <w:rPr>
          <w:noProof/>
        </w:rPr>
        <w:t>(7)</w:t>
      </w:r>
      <w:r w:rsidRPr="004038A5">
        <w:rPr>
          <w:noProof/>
        </w:rPr>
        <w:tab/>
      </w:r>
      <w:r w:rsidR="00CA40FD" w:rsidRPr="004F1533">
        <w:rPr>
          <w:noProof/>
        </w:rPr>
        <w:t>Ha a digitális utazási igazolványt távolról hozzák létre, a tagállamoknak a szükséges szoftvermegoldás megfelelő konfigurálásával biztosítaniuk kell, hogy ellenőrizzék a fizikai személyazonosító igazolvány adathordozójának hitelességét és sértetlenségét, továbbá hogy az utazási igazolvány létrehozása előtt a digitális utazási igazolványt létrehozni kívánó személy arcképmását összevessék az adathordozón tárolt arcképmással. Ez azt hivatott biztosítani, hogy a digitális utazási igazolványt kizárólag az a személy hozhassa létre, aki számára a személyazonosító igazolványt kiállították.</w:t>
      </w:r>
    </w:p>
    <w:p w:rsidR="00CA4968" w:rsidRPr="004F1533" w:rsidRDefault="004038A5" w:rsidP="004038A5">
      <w:pPr>
        <w:pStyle w:val="ManualConsidrant"/>
        <w:rPr>
          <w:noProof/>
        </w:rPr>
      </w:pPr>
      <w:r w:rsidRPr="004038A5">
        <w:rPr>
          <w:noProof/>
        </w:rPr>
        <w:t>(8)</w:t>
      </w:r>
      <w:r w:rsidRPr="004038A5">
        <w:rPr>
          <w:noProof/>
        </w:rPr>
        <w:tab/>
      </w:r>
      <w:r w:rsidR="00CA4968" w:rsidRPr="004F1533">
        <w:rPr>
          <w:noProof/>
        </w:rPr>
        <w:t>Tekintettel arra, hogy az „EU Digital Travel” alkalmazás, amelyre vonatkozó előírásokat</w:t>
      </w:r>
      <w:r w:rsidR="00CA4968" w:rsidRPr="004F1533">
        <w:rPr>
          <w:rStyle w:val="normaltextrun"/>
          <w:noProof/>
        </w:rPr>
        <w:t xml:space="preserve"> az (EU) XXXX/XXXX európai parlamenti és tanácsi rendelet</w:t>
      </w:r>
      <w:r w:rsidR="002D5A9A" w:rsidRPr="004F1533">
        <w:rPr>
          <w:rStyle w:val="FootnoteReference"/>
          <w:rFonts w:eastAsia="Arial Unicode MS"/>
          <w:noProof/>
        </w:rPr>
        <w:footnoteReference w:id="45"/>
      </w:r>
      <w:r w:rsidR="00CA4968" w:rsidRPr="004F1533">
        <w:rPr>
          <w:rStyle w:val="normaltextrun"/>
          <w:noProof/>
        </w:rPr>
        <w:t xml:space="preserve"> </w:t>
      </w:r>
      <w:r w:rsidR="00CA4968" w:rsidRPr="004F1533">
        <w:rPr>
          <w:rStyle w:val="normaltextrun"/>
          <w:i/>
          <w:noProof/>
        </w:rPr>
        <w:t>[COM(2024) 670 final]</w:t>
      </w:r>
      <w:r w:rsidR="00CA4968" w:rsidRPr="004F1533">
        <w:rPr>
          <w:noProof/>
        </w:rPr>
        <w:t xml:space="preserve"> állapítja meg, lehetővé teszi majd az (EU) XXXX/XXXX rendelet </w:t>
      </w:r>
      <w:r w:rsidR="00CA4968" w:rsidRPr="004F1533">
        <w:rPr>
          <w:i/>
          <w:noProof/>
        </w:rPr>
        <w:t>[COM(2024) 316 final]</w:t>
      </w:r>
      <w:r w:rsidR="00CA4968" w:rsidRPr="004F1533">
        <w:rPr>
          <w:noProof/>
        </w:rPr>
        <w:t xml:space="preserve"> követelményeinek megfelelő személyazonosító igazolványokon alapuló digitális utazási igazolványok létrehozását, az ilyen személyazonosító igazolványokkal rendelkező uniós polgárok számára lehetővé kell tenni, hogy a megfelelő digitális utazási igazolványok távoli létrehozásakor ezt az alkalmazást használják.</w:t>
      </w:r>
    </w:p>
    <w:p w:rsidR="00CA4968" w:rsidRPr="004F1533" w:rsidRDefault="004038A5" w:rsidP="004038A5">
      <w:pPr>
        <w:pStyle w:val="ManualConsidrant"/>
        <w:rPr>
          <w:noProof/>
        </w:rPr>
      </w:pPr>
      <w:r w:rsidRPr="004038A5">
        <w:rPr>
          <w:noProof/>
        </w:rPr>
        <w:t>(9)</w:t>
      </w:r>
      <w:r w:rsidRPr="004038A5">
        <w:rPr>
          <w:noProof/>
        </w:rPr>
        <w:tab/>
      </w:r>
      <w:r w:rsidR="00CA4968" w:rsidRPr="004F1533">
        <w:rPr>
          <w:noProof/>
        </w:rPr>
        <w:t>A digitális utazási igazolványnak támogatnia kell a 910/2014/EU európai parlamenti és tanácsi rendeletnek</w:t>
      </w:r>
      <w:r w:rsidR="00CA4968" w:rsidRPr="004F1533">
        <w:rPr>
          <w:rStyle w:val="FootnoteReference"/>
          <w:noProof/>
          <w:szCs w:val="24"/>
        </w:rPr>
        <w:footnoteReference w:id="46"/>
      </w:r>
      <w:r w:rsidR="00CA4968" w:rsidRPr="004F1533">
        <w:rPr>
          <w:noProof/>
        </w:rPr>
        <w:t xml:space="preserve"> </w:t>
      </w:r>
      <w:bookmarkStart w:id="8" w:name="_Hlk176536039"/>
      <w:r w:rsidR="00CA4968" w:rsidRPr="004F1533">
        <w:rPr>
          <w:noProof/>
        </w:rPr>
        <w:t xml:space="preserve">megfelelő </w:t>
      </w:r>
      <w:bookmarkStart w:id="9" w:name="_Hlk176536294"/>
      <w:r w:rsidR="00CA4968" w:rsidRPr="004F1533">
        <w:rPr>
          <w:noProof/>
        </w:rPr>
        <w:t>európai digitális személyiadat-tárcákban</w:t>
      </w:r>
      <w:bookmarkEnd w:id="9"/>
      <w:r w:rsidR="00CA4968" w:rsidRPr="004F1533">
        <w:rPr>
          <w:noProof/>
        </w:rPr>
        <w:t xml:space="preserve"> való tárolást.</w:t>
      </w:r>
      <w:bookmarkEnd w:id="8"/>
    </w:p>
    <w:p w:rsidR="000B4C0B" w:rsidRPr="004F1533" w:rsidRDefault="004038A5" w:rsidP="004038A5">
      <w:pPr>
        <w:pStyle w:val="ManualConsidrant"/>
        <w:rPr>
          <w:noProof/>
        </w:rPr>
      </w:pPr>
      <w:r w:rsidRPr="004038A5">
        <w:rPr>
          <w:noProof/>
        </w:rPr>
        <w:t>(10)</w:t>
      </w:r>
      <w:r w:rsidRPr="004038A5">
        <w:rPr>
          <w:noProof/>
        </w:rPr>
        <w:tab/>
      </w:r>
      <w:r w:rsidR="00CA4968" w:rsidRPr="004F1533">
        <w:rPr>
          <w:noProof/>
        </w:rPr>
        <w:t>Mivel személyazonosító igazolvány alapján készülnek, a digitális utazási igazolványoknak ugyanazokat a személyes adatokat, többek között arcképmást kell tartalmazniuk. Az arckép digitális utazási igazolványba való beillesztésének lehetővé kell tennie az utazási igazolvány birtokosának megbízható azonosítását azáltal, hogy a digitális utazási igazolvány bemutatásakor arcképmását összehasonlítják a digitális utazási igazolványban szereplő arcképmással, és ezáltal fellépnek az okmányokkal való visszaélés ellen. Amint azt a Bíróság megerősítette, az okmányokkal való visszaélés elleni küzdelem, amely többek között a hamis okmányok előállítása, valamint eredeti okmányoknak azok tulajdonosaitól eltérő személyek általi felhasználása elleni küzdelemre terjed ki, az Unió által elismert általános érdekű célkitűzésnek minősül.</w:t>
      </w:r>
    </w:p>
    <w:p w:rsidR="00CA4968" w:rsidRPr="004F1533" w:rsidRDefault="004038A5" w:rsidP="004038A5">
      <w:pPr>
        <w:pStyle w:val="ManualConsidrant"/>
        <w:rPr>
          <w:noProof/>
        </w:rPr>
      </w:pPr>
      <w:r w:rsidRPr="004038A5">
        <w:rPr>
          <w:noProof/>
        </w:rPr>
        <w:t>(11)</w:t>
      </w:r>
      <w:r w:rsidRPr="004038A5">
        <w:rPr>
          <w:noProof/>
        </w:rPr>
        <w:tab/>
      </w:r>
      <w:r w:rsidR="00CA4968" w:rsidRPr="004F1533">
        <w:rPr>
          <w:noProof/>
        </w:rPr>
        <w:t>A digitális utazási igazolványok azonban nem tartalmazhatják a birtokos ujjnyomatait, amelyek az okmányokkal való visszaélés elleni küzdelem érdekében szerepelnek a személyazonosító igazolványok adathordozóján. Egyelőre nem állnak rendelkezésre szabványok azoknak a digitális utazási igazolványba való beillesztésére vonatkozóan, és kriptográfiai védelmük miatt semmi esetre sem lehet az ujjnyomatokat lehívni a személyazonosító igazolványok adathordozójáról. Az, hogy a digitális utazási igazolványban nem szerepelnek ujjnyomatok, nem veszélyezteti a személyazonosító igazolványok csalárd felhasználásával szembeni védelmet, mivel a digitális utazási igazolványokat együtt használnák a fizikai személyazonosító igazolványokkal, nem pedig felváltanák az utóbbiakat. Ha az illetékes hatóságoknak kétségei vannak a digitális utazási igazolvány hitelességét vagy a birtokos személyazonosságát illetően, továbbra is használhatják a személyazonosító igazolvány adathordozóján tárolt ujjnyomatokat.</w:t>
      </w:r>
    </w:p>
    <w:p w:rsidR="00CA4968" w:rsidRPr="004F1533" w:rsidRDefault="004038A5" w:rsidP="004038A5">
      <w:pPr>
        <w:pStyle w:val="ManualConsidrant"/>
        <w:rPr>
          <w:noProof/>
        </w:rPr>
      </w:pPr>
      <w:r w:rsidRPr="004038A5">
        <w:rPr>
          <w:noProof/>
        </w:rPr>
        <w:t>(12)</w:t>
      </w:r>
      <w:r w:rsidRPr="004038A5">
        <w:rPr>
          <w:noProof/>
        </w:rPr>
        <w:tab/>
      </w:r>
      <w:r w:rsidR="00CA4968" w:rsidRPr="004F1533">
        <w:rPr>
          <w:noProof/>
        </w:rPr>
        <w:t xml:space="preserve">A digitális utazási igazolványok elterjedésének ösztönzése érdekében és a személyazonosító igazolványok kiállításáért fizetendő díjak meghatározására vonatkozó tagállami hatáskör sérelme nélkül a digitális utazási igazolványokat díjmentesen kell kiállítani. </w:t>
      </w:r>
    </w:p>
    <w:p w:rsidR="00B40993" w:rsidRPr="004F1533" w:rsidRDefault="004038A5" w:rsidP="004038A5">
      <w:pPr>
        <w:pStyle w:val="ManualConsidrant"/>
        <w:rPr>
          <w:noProof/>
        </w:rPr>
      </w:pPr>
      <w:r w:rsidRPr="004038A5">
        <w:rPr>
          <w:noProof/>
        </w:rPr>
        <w:t>(13)</w:t>
      </w:r>
      <w:r w:rsidRPr="004038A5">
        <w:rPr>
          <w:noProof/>
        </w:rPr>
        <w:tab/>
      </w:r>
      <w:r w:rsidR="00CA4968" w:rsidRPr="004F1533">
        <w:rPr>
          <w:noProof/>
        </w:rPr>
        <w:t>A tagállamoknak meg kell osztaniuk egymással a digitális utazási igazolványok hitelességének és érvényességének ellenőrzéséhez szükséges információkat.</w:t>
      </w:r>
    </w:p>
    <w:p w:rsidR="00CA4968" w:rsidRPr="004F1533" w:rsidRDefault="004038A5" w:rsidP="004038A5">
      <w:pPr>
        <w:pStyle w:val="ManualConsidrant"/>
        <w:rPr>
          <w:noProof/>
        </w:rPr>
      </w:pPr>
      <w:r w:rsidRPr="004038A5">
        <w:rPr>
          <w:noProof/>
        </w:rPr>
        <w:t>(14)</w:t>
      </w:r>
      <w:r w:rsidRPr="004038A5">
        <w:rPr>
          <w:noProof/>
        </w:rPr>
        <w:tab/>
      </w:r>
      <w:r w:rsidR="00B40993" w:rsidRPr="004F1533">
        <w:rPr>
          <w:noProof/>
        </w:rPr>
        <w:t xml:space="preserve">Mivel az e rendelet alapján kiállított digitális utazási igazolványt a birtokos személyazonosító igazolványának adathordozóján szereplő adatok alkotják, kiállításának meg kell könnyítenie az ilyen okmánnyal rendelkező személyek szabad mozgását és tartózkodását, többek között a tagállamok területére való belépés során. </w:t>
      </w:r>
    </w:p>
    <w:p w:rsidR="00CA4968" w:rsidRPr="004F1533" w:rsidRDefault="004038A5" w:rsidP="004038A5">
      <w:pPr>
        <w:pStyle w:val="ManualConsidrant"/>
        <w:rPr>
          <w:noProof/>
        </w:rPr>
      </w:pPr>
      <w:r w:rsidRPr="004038A5">
        <w:rPr>
          <w:noProof/>
        </w:rPr>
        <w:t>(15)</w:t>
      </w:r>
      <w:r w:rsidRPr="004038A5">
        <w:rPr>
          <w:noProof/>
        </w:rPr>
        <w:tab/>
      </w:r>
      <w:r w:rsidR="00571443" w:rsidRPr="004F1533">
        <w:rPr>
          <w:noProof/>
        </w:rPr>
        <w:t>A</w:t>
      </w:r>
      <w:bookmarkStart w:id="10" w:name="_Hlk176536131"/>
      <w:r w:rsidR="00571443" w:rsidRPr="004F1533">
        <w:rPr>
          <w:noProof/>
        </w:rPr>
        <w:t>z (EU) 2016/679 európai parlamenti és tanácsi rendelet</w:t>
      </w:r>
      <w:r w:rsidR="00571443" w:rsidRPr="004F1533">
        <w:rPr>
          <w:rStyle w:val="FootnoteReference"/>
          <w:noProof/>
        </w:rPr>
        <w:footnoteReference w:id="47"/>
      </w:r>
      <w:r w:rsidR="00571443" w:rsidRPr="004F1533">
        <w:rPr>
          <w:noProof/>
        </w:rPr>
        <w:t xml:space="preserve"> </w:t>
      </w:r>
      <w:bookmarkEnd w:id="10"/>
      <w:r w:rsidR="00571443" w:rsidRPr="004F1533">
        <w:rPr>
          <w:noProof/>
        </w:rPr>
        <w:t xml:space="preserve">alkalmazandó az e rendelet alkalmazásával összefüggésben kezelendő személyes adatok tekintetében. Mivel az e rendelettel létrehozott digitális utazási igazolványok – a birtokos ujjnyomatainak kivételével – ugyanazokat a személyes adatokat tartalmazzák, mint a személyazonosító igazolványok, és azonos célokra használják azokat, az (EU) XXXX/XXXX rendeletben </w:t>
      </w:r>
      <w:r w:rsidR="00571443" w:rsidRPr="004F1533">
        <w:rPr>
          <w:i/>
          <w:noProof/>
        </w:rPr>
        <w:t>[COM(2024) 316 final]</w:t>
      </w:r>
      <w:r w:rsidR="00571443" w:rsidRPr="004F1533">
        <w:rPr>
          <w:noProof/>
        </w:rPr>
        <w:t xml:space="preserve"> foglalt, a személyes adatok védelmére vonatkozó különös szabályokat az e rendelet hatálya alá tartozó digitális utazási igazolványokra is alkalmazni kell.</w:t>
      </w:r>
    </w:p>
    <w:p w:rsidR="00CA4968" w:rsidRPr="004F1533" w:rsidRDefault="004038A5" w:rsidP="004038A5">
      <w:pPr>
        <w:pStyle w:val="ManualConsidrant"/>
        <w:rPr>
          <w:noProof/>
        </w:rPr>
      </w:pPr>
      <w:bookmarkStart w:id="11" w:name="_Hlk175915130"/>
      <w:r w:rsidRPr="004038A5">
        <w:rPr>
          <w:noProof/>
        </w:rPr>
        <w:t>(16)</w:t>
      </w:r>
      <w:r w:rsidRPr="004038A5">
        <w:rPr>
          <w:noProof/>
        </w:rPr>
        <w:tab/>
      </w:r>
      <w:r w:rsidR="00CA4968" w:rsidRPr="004F1533">
        <w:rPr>
          <w:noProof/>
        </w:rPr>
        <w:t xml:space="preserve">A személyazonosító igazolványon alapuló digitális utazási igazolványok kiállítására és létrehozására vonatkozó egységes feltételek biztosítása érdekében a Bizottságra végrehajtási hatásköröket kell ruházni, hogy műszaki előírásokat, eljárásokat és követelményeket fogadjon el, többek között az említett okmányok kiállításának folyamatára, érvényességére, hitelesítésére, validálására és visszavonására vonatkozóan. A digitális utazási igazolványokra vonatkozó műszaki előírások kidolgozásakor a Bizottságnak lehetőség szerint a Nemzetközi Polgári Repülési Szervezeten keretében elfogadott vonatkozó nemzetközi szabványokra és gyakorlatokra kell támaszkodnia annak érdekében, hogy biztosítsa mind a nemzetközi szintű következetes megközelítést, mind pedig a digitális utazási igazolványok globális interoperabilitását. A Bizottságnak arra is törekednie kell, hogy az uniós jog szerinti akadálymentességi követelményekkel összhangban a fogyatékossággal élő személyek számára biztosított legyen a hozzáférhetőség. Emellett a Bizottságra végrehajtási hatásköröket kell ruházni annak megerősítése érdekében, hogy technikailag lehetséges létrehozni személyazonosító igazolványon alapuló digitális utazási igazolványokat az „EU Digital Travel” alkalmazás használatával, amely utóbbira vonatkozó rendelkezéseket </w:t>
      </w:r>
      <w:r w:rsidR="00CA4968" w:rsidRPr="004F1533">
        <w:rPr>
          <w:rStyle w:val="normaltextrun"/>
          <w:noProof/>
        </w:rPr>
        <w:t xml:space="preserve">az (EU) XXXX/XXXX rendelet </w:t>
      </w:r>
      <w:r w:rsidR="00CA4968" w:rsidRPr="004F1533">
        <w:rPr>
          <w:rStyle w:val="normaltextrun"/>
          <w:i/>
          <w:noProof/>
        </w:rPr>
        <w:t>[COM(2024) 670 final]</w:t>
      </w:r>
      <w:r w:rsidR="00CA4968" w:rsidRPr="004F1533">
        <w:rPr>
          <w:rStyle w:val="normaltextrun"/>
          <w:noProof/>
        </w:rPr>
        <w:t xml:space="preserve"> állapítja meg, továbbá azért, hogy a megerősítés alapján meghatározza azt a legkésőbbi időpontot,</w:t>
      </w:r>
      <w:r w:rsidR="00CA4968" w:rsidRPr="004F1533">
        <w:rPr>
          <w:noProof/>
        </w:rPr>
        <w:t xml:space="preserve"> amelytől kezdve a tagállamoknak lehetővé kell tenniük a személyazonosító igazolványon alapuló digitális utazási igazolványoknak az említett alkalmazás igénybevételével történő létrehozását. Ezeket a végrehajtási hatásköröket a 182/2011/EU európai parlamenti és tanácsi rendeletnek</w:t>
      </w:r>
      <w:r w:rsidR="00DE44CC" w:rsidRPr="004F1533">
        <w:rPr>
          <w:rStyle w:val="FootnoteReference"/>
          <w:noProof/>
        </w:rPr>
        <w:footnoteReference w:id="48"/>
      </w:r>
      <w:r w:rsidR="00CA4968" w:rsidRPr="004F1533">
        <w:rPr>
          <w:noProof/>
        </w:rPr>
        <w:t xml:space="preserve"> megfelelően kell gyakorolni. </w:t>
      </w:r>
    </w:p>
    <w:bookmarkEnd w:id="11"/>
    <w:p w:rsidR="00DE44CC" w:rsidRPr="004F1533" w:rsidRDefault="004038A5" w:rsidP="004038A5">
      <w:pPr>
        <w:pStyle w:val="ManualConsidrant"/>
        <w:rPr>
          <w:noProof/>
        </w:rPr>
      </w:pPr>
      <w:r w:rsidRPr="004038A5">
        <w:rPr>
          <w:noProof/>
        </w:rPr>
        <w:t>(17)</w:t>
      </w:r>
      <w:r w:rsidRPr="004038A5">
        <w:rPr>
          <w:noProof/>
        </w:rPr>
        <w:tab/>
      </w:r>
      <w:r w:rsidR="00DE44CC" w:rsidRPr="004F1533">
        <w:rPr>
          <w:noProof/>
        </w:rPr>
        <w:t>Mivel e rendelet céljait, nevezetesen a szabad mozgás joga gyakorlásának megkönnyítését személyazonosító igazolványon alapuló digitális utazási igazolvány létrehozásával, a tagállamok nem tudják kielégítően megvalósítani, az Unió szintjén azonban az intézkedés léptéke vagy hatásai miatt e célok jobban megvalósíthatók, az Unió intézkedéseket hozhat az EUSZ 5. cikkében foglalt szubszidiaritás elvének megfelelően. Az arányosságnak az említett cikkben foglalt elvével összhangban ez a rendelet nem lépi túl az e célok eléréséhez szükséges mértéket.</w:t>
      </w:r>
    </w:p>
    <w:p w:rsidR="00CA4968" w:rsidRPr="004F1533" w:rsidRDefault="004038A5" w:rsidP="004038A5">
      <w:pPr>
        <w:pStyle w:val="ManualConsidrant"/>
        <w:rPr>
          <w:noProof/>
        </w:rPr>
      </w:pPr>
      <w:r w:rsidRPr="004038A5">
        <w:rPr>
          <w:noProof/>
        </w:rPr>
        <w:t>(18)</w:t>
      </w:r>
      <w:r w:rsidRPr="004038A5">
        <w:rPr>
          <w:noProof/>
        </w:rPr>
        <w:tab/>
      </w:r>
      <w:r w:rsidR="00CA4968" w:rsidRPr="004F1533">
        <w:rPr>
          <w:noProof/>
        </w:rPr>
        <w:t>A jogalkotás minőségének javításáról szóló, 2016. április 13-i intézményközi megállapodás</w:t>
      </w:r>
      <w:r w:rsidR="00CA4968" w:rsidRPr="004F1533">
        <w:rPr>
          <w:rStyle w:val="FootnoteReference"/>
          <w:noProof/>
        </w:rPr>
        <w:footnoteReference w:id="49"/>
      </w:r>
      <w:r w:rsidR="00CA4968" w:rsidRPr="004F1533">
        <w:rPr>
          <w:noProof/>
        </w:rPr>
        <w:t xml:space="preserve"> (22) és (23) bekezdésével összhangban a Bizottság elvégzi e rendelet értékelését annak érdekében, hogy felmérje annak tényleges hatásait és azt, hogy szükség van-e további intézkedésre.</w:t>
      </w:r>
    </w:p>
    <w:p w:rsidR="00A34CC1" w:rsidRPr="004F1533" w:rsidRDefault="004038A5" w:rsidP="004038A5">
      <w:pPr>
        <w:pStyle w:val="ManualConsidrant"/>
        <w:rPr>
          <w:noProof/>
        </w:rPr>
      </w:pPr>
      <w:r w:rsidRPr="004038A5">
        <w:rPr>
          <w:noProof/>
        </w:rPr>
        <w:t>(19)</w:t>
      </w:r>
      <w:r w:rsidRPr="004038A5">
        <w:rPr>
          <w:noProof/>
        </w:rPr>
        <w:tab/>
      </w:r>
      <w:r w:rsidR="00A34CC1" w:rsidRPr="004F1533">
        <w:rPr>
          <w:noProof/>
        </w:rPr>
        <w:t>Az Európai Unióról szóló szerződéshez és az Európai Unió működéséről szóló szerződéshez csatolt, Dánia helyzetéről szóló 22. jegyzőkönyv 1. és 2. cikke értelmében Dánia nem vesz részt ennek a rendeletnek az elfogadásában, az rá nézve nem kötelező és nem alkalmazandó.</w:t>
      </w:r>
    </w:p>
    <w:p w:rsidR="00A34CC1" w:rsidRPr="004F1533" w:rsidRDefault="004038A5" w:rsidP="004038A5">
      <w:pPr>
        <w:pStyle w:val="ManualConsidrant"/>
        <w:rPr>
          <w:noProof/>
        </w:rPr>
      </w:pPr>
      <w:r w:rsidRPr="004038A5">
        <w:rPr>
          <w:noProof/>
        </w:rPr>
        <w:t>(20)</w:t>
      </w:r>
      <w:r w:rsidRPr="004038A5">
        <w:rPr>
          <w:noProof/>
        </w:rPr>
        <w:tab/>
      </w:r>
      <w:r w:rsidR="00DD2496" w:rsidRPr="004F1533">
        <w:rPr>
          <w:noProof/>
        </w:rPr>
        <w:t>[Az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3. cikkével összhangban Írország bejelentette, hogy részt kíván venni ennek a rendeletnek az elfogadásában és alkalmazásában.] VAGY [Az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1. és 2. cikkével összhangban, az említett jegyzőkönyv 4. cikkének sérelme nélkül, Írország nem vesz részt ennek a rendeletnek az elfogadásában, az rá nézve nem kötelező és nem alkalmazandó.]</w:t>
      </w:r>
    </w:p>
    <w:p w:rsidR="003F3EDD" w:rsidRPr="004F1533" w:rsidRDefault="004038A5" w:rsidP="004038A5">
      <w:pPr>
        <w:pStyle w:val="ManualConsidrant"/>
        <w:rPr>
          <w:noProof/>
        </w:rPr>
      </w:pPr>
      <w:r w:rsidRPr="004038A5">
        <w:rPr>
          <w:noProof/>
        </w:rPr>
        <w:t>(21)</w:t>
      </w:r>
      <w:r w:rsidRPr="004038A5">
        <w:rPr>
          <w:noProof/>
        </w:rPr>
        <w:tab/>
      </w:r>
      <w:r w:rsidR="003F3EDD" w:rsidRPr="004F1533">
        <w:rPr>
          <w:noProof/>
        </w:rPr>
        <w:t>Ez a rendelet tiszteletben tartja a különösen az Európai Unió Alapjogi Chartája (a továbbiakban: a Charta) által elismert alapvető jogokat és elveket, köztük a szabad mozgáshoz való jogot és a személyes adatok védelméhez való jogot. E rendelet alkalmazásakor a tagállamoknak meg kell felelniük a Chartának.</w:t>
      </w:r>
    </w:p>
    <w:p w:rsidR="005D73A5" w:rsidRPr="004F1533" w:rsidRDefault="004038A5" w:rsidP="004038A5">
      <w:pPr>
        <w:pStyle w:val="ManualConsidrant"/>
        <w:rPr>
          <w:noProof/>
        </w:rPr>
      </w:pPr>
      <w:r w:rsidRPr="004038A5">
        <w:rPr>
          <w:noProof/>
        </w:rPr>
        <w:t>(22)</w:t>
      </w:r>
      <w:r w:rsidRPr="004038A5">
        <w:rPr>
          <w:noProof/>
        </w:rPr>
        <w:tab/>
      </w:r>
      <w:r w:rsidR="00A34CC1" w:rsidRPr="004F1533">
        <w:rPr>
          <w:noProof/>
        </w:rPr>
        <w:t>Az (EU) 2018/1725</w:t>
      </w:r>
      <w:bookmarkStart w:id="12" w:name="_Hlk176536191"/>
      <w:r w:rsidR="00A34CC1" w:rsidRPr="004F1533">
        <w:rPr>
          <w:noProof/>
        </w:rPr>
        <w:t xml:space="preserve"> európai parlamenti és tanácsi rendelet</w:t>
      </w:r>
      <w:r w:rsidR="00A34CC1" w:rsidRPr="004F1533">
        <w:rPr>
          <w:rStyle w:val="FootnoteReference"/>
          <w:noProof/>
        </w:rPr>
        <w:footnoteReference w:id="50"/>
      </w:r>
      <w:r w:rsidR="00A34CC1" w:rsidRPr="004F1533">
        <w:rPr>
          <w:noProof/>
        </w:rPr>
        <w:t xml:space="preserve"> </w:t>
      </w:r>
      <w:bookmarkEnd w:id="12"/>
      <w:r w:rsidR="00A34CC1" w:rsidRPr="004F1533">
        <w:rPr>
          <w:noProof/>
        </w:rPr>
        <w:t>42. cikkének (1) bekezdésével összhangban a Bizottság egyeztetett az európai adatvédelmi biztossal, aki XXXX-án/-én véleményt nyilvánított</w:t>
      </w:r>
      <w:r w:rsidR="00A34CC1" w:rsidRPr="004F1533">
        <w:rPr>
          <w:rStyle w:val="FootnoteReference"/>
          <w:noProof/>
        </w:rPr>
        <w:footnoteReference w:id="51"/>
      </w:r>
      <w:r w:rsidR="00A34CC1" w:rsidRPr="004F1533">
        <w:rPr>
          <w:noProof/>
        </w:rPr>
        <w:t>,</w:t>
      </w:r>
    </w:p>
    <w:p w:rsidR="005D73A5" w:rsidRPr="004F1533" w:rsidRDefault="005D73A5">
      <w:pPr>
        <w:pStyle w:val="Formuledadoption"/>
        <w:rPr>
          <w:noProof/>
        </w:rPr>
      </w:pPr>
      <w:r w:rsidRPr="004F1533">
        <w:rPr>
          <w:noProof/>
        </w:rPr>
        <w:t>ELFOGADTA EZT A RENDELETET:</w:t>
      </w:r>
    </w:p>
    <w:p w:rsidR="005D73A5" w:rsidRPr="004F1533" w:rsidRDefault="005D73A5">
      <w:pPr>
        <w:pStyle w:val="Titrearticle"/>
        <w:rPr>
          <w:noProof/>
        </w:rPr>
      </w:pPr>
      <w:r w:rsidRPr="004F1533">
        <w:rPr>
          <w:noProof/>
        </w:rPr>
        <w:t>1. cikk</w:t>
      </w:r>
      <w:r w:rsidRPr="004F1533">
        <w:rPr>
          <w:noProof/>
        </w:rPr>
        <w:br/>
        <w:t>Tárgy</w:t>
      </w:r>
    </w:p>
    <w:p w:rsidR="00AA2FA7" w:rsidRPr="004F1533" w:rsidRDefault="00AA2FA7" w:rsidP="00F3784B">
      <w:pPr>
        <w:rPr>
          <w:noProof/>
        </w:rPr>
      </w:pPr>
      <w:r w:rsidRPr="004F1533">
        <w:rPr>
          <w:noProof/>
        </w:rPr>
        <w:t xml:space="preserve">Ez a rendelet meghatározza a tagállamok által az uniós polgárok részére az (EU) XXXX/XXXX rendeletben </w:t>
      </w:r>
      <w:r w:rsidRPr="004F1533">
        <w:rPr>
          <w:i/>
          <w:noProof/>
        </w:rPr>
        <w:t>[COM(2024) 316 final]</w:t>
      </w:r>
      <w:r w:rsidRPr="004F1533">
        <w:rPr>
          <w:noProof/>
        </w:rPr>
        <w:t xml:space="preserve"> megállapított követelményekkel összhangban kiállított személyazonosító igazolványokon alapuló digitális utazási igazolványok kiállításának és létrehozásának keretét azzal a céllal, hogy megkönnyítse az ilyen digitális utazási igazolványokkal rendelkező uniós polgárok számára az Európai Unió működéséről szóló szerződés 20. cikke (2) bekezdésének a) pontjában említett jog gyakorlását.</w:t>
      </w:r>
    </w:p>
    <w:p w:rsidR="006B7378" w:rsidRPr="004F1533" w:rsidRDefault="006B7378" w:rsidP="006B7378">
      <w:pPr>
        <w:pStyle w:val="Titrearticle"/>
        <w:rPr>
          <w:noProof/>
        </w:rPr>
      </w:pPr>
      <w:r w:rsidRPr="004F1533">
        <w:rPr>
          <w:noProof/>
        </w:rPr>
        <w:t>2. cikk</w:t>
      </w:r>
      <w:r w:rsidRPr="004F1533">
        <w:rPr>
          <w:noProof/>
        </w:rPr>
        <w:br/>
        <w:t>Digitális utazási igazolványok</w:t>
      </w:r>
    </w:p>
    <w:p w:rsidR="000B254C" w:rsidRPr="004F1533" w:rsidRDefault="00C644AD" w:rsidP="00C644AD">
      <w:pPr>
        <w:pStyle w:val="Point0"/>
        <w:rPr>
          <w:noProof/>
        </w:rPr>
      </w:pPr>
      <w:r w:rsidRPr="00C644AD">
        <w:rPr>
          <w:noProof/>
        </w:rPr>
        <w:t>(1)</w:t>
      </w:r>
      <w:r w:rsidRPr="00C644AD">
        <w:rPr>
          <w:noProof/>
        </w:rPr>
        <w:tab/>
      </w:r>
      <w:r w:rsidR="006B7378" w:rsidRPr="004F1533">
        <w:rPr>
          <w:noProof/>
        </w:rPr>
        <w:t>A személyazonosító igazolványt igénylő személy kérésére a tagállamnak a személyazonosító igazolvány kiállításával egyidejűleg digitális utazási igazolványt is ki kell állítania.</w:t>
      </w:r>
    </w:p>
    <w:p w:rsidR="006B7378" w:rsidRPr="004F1533" w:rsidRDefault="00C644AD" w:rsidP="00C644AD">
      <w:pPr>
        <w:pStyle w:val="Point0"/>
        <w:rPr>
          <w:noProof/>
        </w:rPr>
      </w:pPr>
      <w:r w:rsidRPr="00C644AD">
        <w:rPr>
          <w:noProof/>
        </w:rPr>
        <w:t>(2)</w:t>
      </w:r>
      <w:r w:rsidRPr="00C644AD">
        <w:rPr>
          <w:noProof/>
        </w:rPr>
        <w:tab/>
      </w:r>
      <w:r w:rsidR="006B7378" w:rsidRPr="004F1533">
        <w:rPr>
          <w:noProof/>
        </w:rPr>
        <w:t xml:space="preserve">Az (EU) XXXX/XXXX rendelet </w:t>
      </w:r>
      <w:r w:rsidR="006B7378" w:rsidRPr="004F1533">
        <w:rPr>
          <w:i/>
          <w:noProof/>
        </w:rPr>
        <w:t>[COM(2024) 316 final]</w:t>
      </w:r>
      <w:r w:rsidR="006B7378" w:rsidRPr="004F1533">
        <w:rPr>
          <w:noProof/>
        </w:rPr>
        <w:t xml:space="preserve"> követelményeinek megfelelően kiállított személyazonosító igazolvány birtokosának kérésére a személyazonosító igazolványt kiállító tagállam digitális utazási igazolványt állít ki.</w:t>
      </w:r>
    </w:p>
    <w:p w:rsidR="00FC57BB" w:rsidRPr="004F1533" w:rsidRDefault="00C644AD" w:rsidP="00C644AD">
      <w:pPr>
        <w:pStyle w:val="Point0"/>
        <w:rPr>
          <w:noProof/>
        </w:rPr>
      </w:pPr>
      <w:r w:rsidRPr="00C644AD">
        <w:rPr>
          <w:noProof/>
        </w:rPr>
        <w:t>(3)</w:t>
      </w:r>
      <w:r w:rsidRPr="00C644AD">
        <w:rPr>
          <w:noProof/>
        </w:rPr>
        <w:tab/>
      </w:r>
      <w:r w:rsidR="00FC57BB" w:rsidRPr="004F1533">
        <w:rPr>
          <w:noProof/>
        </w:rPr>
        <w:t xml:space="preserve">A tagállamok lehetővé teszik az általuk az (EU) XXXX/XXXX rendelet </w:t>
      </w:r>
      <w:r w:rsidR="00FC57BB" w:rsidRPr="004F1533">
        <w:rPr>
          <w:i/>
          <w:noProof/>
        </w:rPr>
        <w:t>[COM(2024) 316 final]</w:t>
      </w:r>
      <w:r w:rsidR="00FC57BB" w:rsidRPr="004F1533">
        <w:rPr>
          <w:noProof/>
        </w:rPr>
        <w:t xml:space="preserve"> követelményeinek megfelelően kiállított személyazonosító igazolvány birtokosainak, hogy távolról digitális utazási igazolványt hozzanak létre. E célból a birtokosok igénybe vehetik az „EU Digital Travel” alkalmazást, amely utóbbira vonatkozó rendelkezéseket </w:t>
      </w:r>
      <w:r w:rsidR="00FC57BB" w:rsidRPr="004F1533">
        <w:rPr>
          <w:rStyle w:val="normaltextrun"/>
          <w:noProof/>
        </w:rPr>
        <w:t xml:space="preserve">az (EU) XXXX/XXXX rendelet </w:t>
      </w:r>
      <w:r w:rsidR="00FC57BB" w:rsidRPr="004F1533">
        <w:rPr>
          <w:rStyle w:val="normaltextrun"/>
          <w:i/>
          <w:noProof/>
        </w:rPr>
        <w:t>[COM(2024) 670 final]</w:t>
      </w:r>
      <w:r w:rsidR="00FC57BB" w:rsidRPr="004F1533">
        <w:rPr>
          <w:noProof/>
        </w:rPr>
        <w:t xml:space="preserve"> állapítja meg. A birtokosok számára lehetővé kell tenni, hogy hozzáférjenek a személyazonosító igazolványok adathordozójának azon részeihez, amelyek a digitális utazási igazolvány létrehozásához szükségesek.</w:t>
      </w:r>
    </w:p>
    <w:p w:rsidR="00FC57BB" w:rsidRPr="004F1533" w:rsidRDefault="00FC57BB" w:rsidP="00FC57BB">
      <w:pPr>
        <w:pStyle w:val="Text1"/>
        <w:rPr>
          <w:noProof/>
          <w:szCs w:val="24"/>
        </w:rPr>
      </w:pPr>
      <w:r w:rsidRPr="004F1533">
        <w:rPr>
          <w:noProof/>
        </w:rPr>
        <w:t>A digitális utazási igazolvány létrehozása előtt a tagállamok gondoskodnak annak ellenőrzéséről, hogy személyazonosító igazolvány adathordozója sértetlen és hiteles, továbbá arról, hogy a digitális utazási igazolványt létrehozni kívánó személy arcképmását összevessék az adathordozón tárolt arcképmással.</w:t>
      </w:r>
    </w:p>
    <w:p w:rsidR="002749E8" w:rsidRPr="004F1533" w:rsidRDefault="00C644AD" w:rsidP="00C644AD">
      <w:pPr>
        <w:pStyle w:val="Point0"/>
        <w:rPr>
          <w:noProof/>
          <w:szCs w:val="24"/>
        </w:rPr>
      </w:pPr>
      <w:bookmarkStart w:id="13" w:name="_Hlk176537442"/>
      <w:r>
        <w:rPr>
          <w:noProof/>
        </w:rPr>
        <w:t>(4)</w:t>
      </w:r>
      <w:r w:rsidRPr="00C644AD">
        <w:rPr>
          <w:noProof/>
        </w:rPr>
        <w:tab/>
      </w:r>
      <w:r w:rsidR="00B258D5" w:rsidRPr="004F1533">
        <w:rPr>
          <w:noProof/>
        </w:rPr>
        <w:t>Az e cikk alapján kiállított vagy létrehozott digitális utazási igazolványok:</w:t>
      </w:r>
    </w:p>
    <w:p w:rsidR="001B3EFF" w:rsidRPr="004F1533" w:rsidRDefault="00C644AD" w:rsidP="00C644AD">
      <w:pPr>
        <w:pStyle w:val="Point1"/>
        <w:rPr>
          <w:noProof/>
        </w:rPr>
      </w:pPr>
      <w:r>
        <w:rPr>
          <w:noProof/>
        </w:rPr>
        <w:t>a)</w:t>
      </w:r>
      <w:r w:rsidRPr="00C644AD">
        <w:rPr>
          <w:noProof/>
        </w:rPr>
        <w:tab/>
      </w:r>
      <w:r w:rsidR="001B3EFF" w:rsidRPr="004F1533">
        <w:rPr>
          <w:noProof/>
        </w:rPr>
        <w:t>az 5. cikk alapján elfogadott műszaki előírásokon alapulnak;</w:t>
      </w:r>
    </w:p>
    <w:p w:rsidR="002749E8" w:rsidRPr="004F1533" w:rsidRDefault="00C644AD" w:rsidP="00C644AD">
      <w:pPr>
        <w:pStyle w:val="Point1"/>
        <w:rPr>
          <w:noProof/>
        </w:rPr>
      </w:pPr>
      <w:r>
        <w:rPr>
          <w:noProof/>
        </w:rPr>
        <w:t>b)</w:t>
      </w:r>
      <w:r w:rsidRPr="00C644AD">
        <w:rPr>
          <w:noProof/>
        </w:rPr>
        <w:tab/>
      </w:r>
      <w:r w:rsidR="002749E8" w:rsidRPr="004F1533">
        <w:rPr>
          <w:noProof/>
        </w:rPr>
        <w:t xml:space="preserve">olyan formátumban készülnek, amely lehetővé teszi </w:t>
      </w:r>
      <w:bookmarkStart w:id="14" w:name="_Hlk176537147"/>
      <w:r w:rsidR="002749E8" w:rsidRPr="004F1533">
        <w:rPr>
          <w:noProof/>
        </w:rPr>
        <w:t>a 910/2014/EU rendeletnek megfelelően kiadott</w:t>
      </w:r>
      <w:bookmarkEnd w:id="14"/>
      <w:r w:rsidR="002749E8" w:rsidRPr="004F1533">
        <w:rPr>
          <w:noProof/>
        </w:rPr>
        <w:t xml:space="preserve"> európai digitális személyiadat-tárcákban való tárolásukat;</w:t>
      </w:r>
    </w:p>
    <w:p w:rsidR="002749E8" w:rsidRPr="004F1533" w:rsidRDefault="00C644AD" w:rsidP="00C644AD">
      <w:pPr>
        <w:pStyle w:val="Point1"/>
        <w:rPr>
          <w:noProof/>
        </w:rPr>
      </w:pPr>
      <w:r>
        <w:rPr>
          <w:noProof/>
        </w:rPr>
        <w:t>c)</w:t>
      </w:r>
      <w:r w:rsidRPr="00C644AD">
        <w:rPr>
          <w:noProof/>
        </w:rPr>
        <w:tab/>
      </w:r>
      <w:r w:rsidR="002749E8" w:rsidRPr="004F1533">
        <w:rPr>
          <w:noProof/>
        </w:rPr>
        <w:t>díjmentesek;</w:t>
      </w:r>
    </w:p>
    <w:p w:rsidR="001B6B99" w:rsidRPr="004F1533" w:rsidRDefault="00C644AD" w:rsidP="00C644AD">
      <w:pPr>
        <w:pStyle w:val="Point1"/>
        <w:rPr>
          <w:noProof/>
        </w:rPr>
      </w:pPr>
      <w:r>
        <w:rPr>
          <w:noProof/>
        </w:rPr>
        <w:t>d)</w:t>
      </w:r>
      <w:r w:rsidRPr="00C644AD">
        <w:rPr>
          <w:noProof/>
        </w:rPr>
        <w:tab/>
      </w:r>
      <w:r w:rsidR="002749E8" w:rsidRPr="004F1533">
        <w:rPr>
          <w:noProof/>
        </w:rPr>
        <w:t>ugyanazokat a személyes adatokat – többek között arcképmást – tartalmazzák, mint a kiállításuk vagy létrehozásuk alapjául szolgáló személyazonosító igazolvány.</w:t>
      </w:r>
    </w:p>
    <w:p w:rsidR="00FC57BB" w:rsidRPr="004F1533" w:rsidRDefault="001B6B99" w:rsidP="00865D0C">
      <w:pPr>
        <w:pStyle w:val="Text1"/>
        <w:rPr>
          <w:noProof/>
        </w:rPr>
      </w:pPr>
      <w:r w:rsidRPr="004F1533">
        <w:rPr>
          <w:noProof/>
        </w:rPr>
        <w:t>A d) pont alkalmazásában az e cikk alapján kiállított vagy létrehozott digitális utazási igazolványok nem tartalmazzák a birtokos ujjnyomatait.</w:t>
      </w:r>
    </w:p>
    <w:bookmarkEnd w:id="13"/>
    <w:p w:rsidR="00FC57BB" w:rsidRPr="004F1533" w:rsidRDefault="00C644AD" w:rsidP="00C644AD">
      <w:pPr>
        <w:pStyle w:val="Point0"/>
        <w:rPr>
          <w:noProof/>
        </w:rPr>
      </w:pPr>
      <w:r>
        <w:rPr>
          <w:noProof/>
        </w:rPr>
        <w:t>(5)</w:t>
      </w:r>
      <w:r w:rsidRPr="00C644AD">
        <w:rPr>
          <w:noProof/>
        </w:rPr>
        <w:tab/>
      </w:r>
      <w:r w:rsidR="00FC57BB" w:rsidRPr="004F1533">
        <w:rPr>
          <w:noProof/>
        </w:rPr>
        <w:t>A tagállamok lehetővé teszik a digitális utazási igazolványok hitelesítését és validálását az 5. cikk alapján elfogadott műszaki előírásokkal összhangban.</w:t>
      </w:r>
    </w:p>
    <w:p w:rsidR="006F6FF7" w:rsidRPr="004F1533" w:rsidRDefault="00C644AD" w:rsidP="00C644AD">
      <w:pPr>
        <w:pStyle w:val="Point0"/>
        <w:rPr>
          <w:noProof/>
        </w:rPr>
      </w:pPr>
      <w:bookmarkStart w:id="15" w:name="_Hlk175915181"/>
      <w:r>
        <w:rPr>
          <w:noProof/>
        </w:rPr>
        <w:t>(6)</w:t>
      </w:r>
      <w:r w:rsidRPr="00C644AD">
        <w:rPr>
          <w:noProof/>
        </w:rPr>
        <w:tab/>
      </w:r>
      <w:r w:rsidR="008833F2" w:rsidRPr="004F1533">
        <w:rPr>
          <w:noProof/>
        </w:rPr>
        <w:t xml:space="preserve">Amint a Bizottság megerősítette, hogy technikailag lehetséges létrehozni az (EU) XXXX/XXXX </w:t>
      </w:r>
      <w:r w:rsidR="008833F2" w:rsidRPr="004F1533">
        <w:rPr>
          <w:i/>
          <w:noProof/>
        </w:rPr>
        <w:t xml:space="preserve">[COM(2024) 316 final] </w:t>
      </w:r>
      <w:r w:rsidR="008833F2" w:rsidRPr="004F1533">
        <w:rPr>
          <w:noProof/>
        </w:rPr>
        <w:t xml:space="preserve">rendeletben meghatározott követelményekkel összhangban kiállított személyazonosító igazolványon alapuló digitális utazási igazolványokat az „EU Digital Travel” alkalmazás igénybevételével, amely utóbbira vonatkozó rendelkezéseket </w:t>
      </w:r>
      <w:r w:rsidR="008833F2" w:rsidRPr="004F1533">
        <w:rPr>
          <w:rStyle w:val="normaltextrun"/>
          <w:i/>
          <w:noProof/>
        </w:rPr>
        <w:t>az (EU) XXXX/XXXX rendelet [COM(2024) 670 final]</w:t>
      </w:r>
      <w:r w:rsidR="008833F2" w:rsidRPr="004F1533">
        <w:rPr>
          <w:noProof/>
        </w:rPr>
        <w:t xml:space="preserve"> állapítja meg, és a tagállamok legkésőbb a Bizottság által végrehajtási jogi aktus útján meghatározott időponttól kezdve lehetővé teszik az e cikk (3) bekezdése szerinti digitális utazási igazolványok létrehozását. Ezt a végrehajtási jogi aktust a 6. cikk (2) bekezdésében említett vizsgálóbizottsági eljárásnak megfelelően kell elfogadni</w:t>
      </w:r>
      <w:bookmarkEnd w:id="15"/>
      <w:r w:rsidR="008833F2" w:rsidRPr="004F1533">
        <w:rPr>
          <w:noProof/>
        </w:rPr>
        <w:t>.</w:t>
      </w:r>
    </w:p>
    <w:p w:rsidR="006B7378" w:rsidRPr="004F1533" w:rsidRDefault="006B7378" w:rsidP="006B7378">
      <w:pPr>
        <w:pStyle w:val="Titrearticle"/>
        <w:rPr>
          <w:noProof/>
        </w:rPr>
      </w:pPr>
      <w:r w:rsidRPr="004F1533">
        <w:rPr>
          <w:noProof/>
        </w:rPr>
        <w:t>3. cikk</w:t>
      </w:r>
      <w:r w:rsidRPr="004F1533">
        <w:rPr>
          <w:noProof/>
        </w:rPr>
        <w:br/>
        <w:t>Kapcsolattartó pont</w:t>
      </w:r>
    </w:p>
    <w:p w:rsidR="006B7378" w:rsidRPr="004F1533" w:rsidRDefault="006B7378" w:rsidP="006B7378">
      <w:pPr>
        <w:rPr>
          <w:noProof/>
        </w:rPr>
      </w:pPr>
      <w:r w:rsidRPr="004F1533">
        <w:rPr>
          <w:noProof/>
        </w:rPr>
        <w:t>Mindegyik tagállam kijelöl egy hatóságot kapcsolattartó pontként e rendelet végrehajtására. Mindegyik tagállam közli e hatóság nevét a Bizottsággal és a többi tagállammal. Ha egy tagállam módosítja az általa kijelölt hatóságot, erről tájékoztatja a többi tagállamot és a Bizottságot.</w:t>
      </w:r>
    </w:p>
    <w:p w:rsidR="006B7378" w:rsidRPr="004F1533" w:rsidRDefault="006B7378" w:rsidP="006B7378">
      <w:pPr>
        <w:pStyle w:val="Titrearticle"/>
        <w:rPr>
          <w:noProof/>
        </w:rPr>
      </w:pPr>
      <w:r w:rsidRPr="004F1533">
        <w:rPr>
          <w:noProof/>
        </w:rPr>
        <w:t>4. cikk</w:t>
      </w:r>
      <w:r w:rsidRPr="004F1533">
        <w:rPr>
          <w:noProof/>
        </w:rPr>
        <w:br/>
        <w:t>A személyes adatok védelme</w:t>
      </w:r>
    </w:p>
    <w:p w:rsidR="006B7378" w:rsidRPr="004F1533" w:rsidRDefault="00A15D9A" w:rsidP="00AA54C7">
      <w:pPr>
        <w:rPr>
          <w:noProof/>
        </w:rPr>
      </w:pPr>
      <w:r w:rsidRPr="004F1533">
        <w:rPr>
          <w:noProof/>
        </w:rPr>
        <w:t xml:space="preserve">A 2. cikk alapján kiállított vagy létrehozott digitális utazási igazolványokban tárolt személyes adatokat az (EU) XXXX/XXXX rendelet </w:t>
      </w:r>
      <w:r w:rsidRPr="004F1533">
        <w:rPr>
          <w:i/>
          <w:noProof/>
        </w:rPr>
        <w:t>[COM(2024) 316 final]</w:t>
      </w:r>
      <w:r w:rsidRPr="004F1533">
        <w:rPr>
          <w:noProof/>
        </w:rPr>
        <w:t xml:space="preserve"> 11. cikkével összhangban kell kezelni.</w:t>
      </w:r>
    </w:p>
    <w:p w:rsidR="00F3784B" w:rsidRPr="004F1533" w:rsidRDefault="00F3784B" w:rsidP="00F3784B">
      <w:pPr>
        <w:pStyle w:val="Titrearticle"/>
        <w:rPr>
          <w:noProof/>
        </w:rPr>
      </w:pPr>
      <w:r w:rsidRPr="004F1533">
        <w:rPr>
          <w:noProof/>
        </w:rPr>
        <w:t>5. cikk</w:t>
      </w:r>
      <w:r w:rsidRPr="004F1533">
        <w:rPr>
          <w:noProof/>
        </w:rPr>
        <w:br/>
        <w:t>Műszaki előírások, eljárások és követelmények</w:t>
      </w:r>
    </w:p>
    <w:p w:rsidR="00940D12" w:rsidRPr="004F1533" w:rsidRDefault="00A15D9A" w:rsidP="00F00840">
      <w:pPr>
        <w:rPr>
          <w:noProof/>
        </w:rPr>
      </w:pPr>
      <w:r w:rsidRPr="004F1533">
        <w:rPr>
          <w:noProof/>
        </w:rPr>
        <w:t xml:space="preserve">A Bizottság végrehajtási jogi aktusok útján műszaki előírásokat, eljárásokat és követelményeket fogad el </w:t>
      </w:r>
      <w:bookmarkStart w:id="16" w:name="_Hlk161223192"/>
      <w:r w:rsidRPr="004F1533">
        <w:rPr>
          <w:noProof/>
        </w:rPr>
        <w:t>a személyazonosító igazolványok alapján kiállított vagy létrehozott digitális utazási igazolványokra vonatkozóan, többek között a következők tekintetében:</w:t>
      </w:r>
    </w:p>
    <w:p w:rsidR="00940D12" w:rsidRPr="004F1533" w:rsidRDefault="00C644AD" w:rsidP="00C644AD">
      <w:pPr>
        <w:pStyle w:val="Point0"/>
        <w:rPr>
          <w:noProof/>
        </w:rPr>
      </w:pPr>
      <w:r>
        <w:rPr>
          <w:noProof/>
        </w:rPr>
        <w:t>a)</w:t>
      </w:r>
      <w:r w:rsidRPr="00C644AD">
        <w:rPr>
          <w:noProof/>
        </w:rPr>
        <w:tab/>
      </w:r>
      <w:r w:rsidR="006B7378" w:rsidRPr="004F1533">
        <w:rPr>
          <w:noProof/>
        </w:rPr>
        <w:t>adatséma és -formátum;</w:t>
      </w:r>
    </w:p>
    <w:p w:rsidR="00940D12" w:rsidRPr="004F1533" w:rsidRDefault="00C644AD" w:rsidP="00C644AD">
      <w:pPr>
        <w:pStyle w:val="Point0"/>
        <w:rPr>
          <w:noProof/>
        </w:rPr>
      </w:pPr>
      <w:r>
        <w:rPr>
          <w:noProof/>
        </w:rPr>
        <w:t>b)</w:t>
      </w:r>
      <w:r w:rsidRPr="00C644AD">
        <w:rPr>
          <w:noProof/>
        </w:rPr>
        <w:tab/>
      </w:r>
      <w:r w:rsidR="006B7378" w:rsidRPr="004F1533">
        <w:rPr>
          <w:noProof/>
        </w:rPr>
        <w:t>kibocsátási és hozzáférhetővé tételi folyamat;</w:t>
      </w:r>
    </w:p>
    <w:p w:rsidR="00940D12" w:rsidRPr="004F1533" w:rsidRDefault="00C644AD" w:rsidP="00C644AD">
      <w:pPr>
        <w:pStyle w:val="Point0"/>
        <w:rPr>
          <w:noProof/>
        </w:rPr>
      </w:pPr>
      <w:r>
        <w:rPr>
          <w:noProof/>
        </w:rPr>
        <w:t>c)</w:t>
      </w:r>
      <w:r w:rsidRPr="00C644AD">
        <w:rPr>
          <w:noProof/>
        </w:rPr>
        <w:tab/>
      </w:r>
      <w:r w:rsidR="006B7378" w:rsidRPr="004F1533">
        <w:rPr>
          <w:noProof/>
        </w:rPr>
        <w:t>érvényesség</w:t>
      </w:r>
      <w:bookmarkEnd w:id="16"/>
      <w:r w:rsidR="006B7378" w:rsidRPr="004F1533">
        <w:rPr>
          <w:noProof/>
        </w:rPr>
        <w:t>;</w:t>
      </w:r>
    </w:p>
    <w:p w:rsidR="00940D12" w:rsidRPr="004F1533" w:rsidRDefault="00C644AD" w:rsidP="00C644AD">
      <w:pPr>
        <w:pStyle w:val="Point0"/>
        <w:rPr>
          <w:noProof/>
        </w:rPr>
      </w:pPr>
      <w:r>
        <w:rPr>
          <w:noProof/>
        </w:rPr>
        <w:t>d)</w:t>
      </w:r>
      <w:r w:rsidRPr="00C644AD">
        <w:rPr>
          <w:noProof/>
        </w:rPr>
        <w:tab/>
      </w:r>
      <w:r w:rsidR="006B7378" w:rsidRPr="004F1533">
        <w:rPr>
          <w:noProof/>
        </w:rPr>
        <w:t>bizalmi modell;</w:t>
      </w:r>
    </w:p>
    <w:p w:rsidR="00865D0C" w:rsidRPr="004F1533" w:rsidRDefault="00C644AD" w:rsidP="00C644AD">
      <w:pPr>
        <w:pStyle w:val="Point0"/>
        <w:rPr>
          <w:noProof/>
        </w:rPr>
      </w:pPr>
      <w:r>
        <w:rPr>
          <w:noProof/>
        </w:rPr>
        <w:t>e)</w:t>
      </w:r>
      <w:r w:rsidRPr="00C644AD">
        <w:rPr>
          <w:noProof/>
        </w:rPr>
        <w:tab/>
      </w:r>
      <w:r w:rsidR="00865D0C" w:rsidRPr="004F1533">
        <w:rPr>
          <w:noProof/>
        </w:rPr>
        <w:t>hitelesítés és validálás;</w:t>
      </w:r>
    </w:p>
    <w:p w:rsidR="00F3784B" w:rsidRPr="004F1533" w:rsidRDefault="00C644AD" w:rsidP="00C644AD">
      <w:pPr>
        <w:pStyle w:val="Point0"/>
        <w:rPr>
          <w:noProof/>
        </w:rPr>
      </w:pPr>
      <w:r>
        <w:rPr>
          <w:noProof/>
        </w:rPr>
        <w:t>f)</w:t>
      </w:r>
      <w:r w:rsidRPr="00C644AD">
        <w:rPr>
          <w:noProof/>
        </w:rPr>
        <w:tab/>
      </w:r>
      <w:r w:rsidR="006B7378" w:rsidRPr="004F1533">
        <w:rPr>
          <w:noProof/>
        </w:rPr>
        <w:t>visszavonás.</w:t>
      </w:r>
    </w:p>
    <w:p w:rsidR="006B7378" w:rsidRPr="004F1533" w:rsidRDefault="006B7378" w:rsidP="00F00840">
      <w:pPr>
        <w:rPr>
          <w:noProof/>
        </w:rPr>
      </w:pPr>
      <w:r w:rsidRPr="004F1533">
        <w:rPr>
          <w:noProof/>
        </w:rPr>
        <w:t>Ezeket a végrehajtási jogi aktusokat a 6. cikk (2) bekezdésében említett vizsgálóbizottsági eljárás keretében kell elfogadni.</w:t>
      </w:r>
    </w:p>
    <w:p w:rsidR="0054068B" w:rsidRPr="004F1533" w:rsidRDefault="0054068B" w:rsidP="00F00840">
      <w:pPr>
        <w:rPr>
          <w:noProof/>
        </w:rPr>
      </w:pPr>
      <w:r w:rsidRPr="004F1533">
        <w:rPr>
          <w:noProof/>
        </w:rPr>
        <w:t xml:space="preserve">E műszaki előírások elfogadásakor a Bizottság figyelembe veszi az uniós jog szerinti akadálymentességi követelményeket. </w:t>
      </w:r>
    </w:p>
    <w:p w:rsidR="00F3784B" w:rsidRPr="004F1533" w:rsidRDefault="00F3784B" w:rsidP="00F3784B">
      <w:pPr>
        <w:pStyle w:val="Titrearticle"/>
        <w:rPr>
          <w:noProof/>
        </w:rPr>
      </w:pPr>
      <w:r w:rsidRPr="004F1533">
        <w:rPr>
          <w:noProof/>
        </w:rPr>
        <w:t>6. cikk</w:t>
      </w:r>
      <w:r w:rsidRPr="004F1533">
        <w:rPr>
          <w:noProof/>
        </w:rPr>
        <w:br/>
        <w:t>Bizottsági eljárás</w:t>
      </w:r>
    </w:p>
    <w:p w:rsidR="00F3784B" w:rsidRPr="004F1533" w:rsidRDefault="00C644AD" w:rsidP="00C644AD">
      <w:pPr>
        <w:pStyle w:val="Point0"/>
        <w:rPr>
          <w:noProof/>
        </w:rPr>
      </w:pPr>
      <w:r w:rsidRPr="00C644AD">
        <w:rPr>
          <w:noProof/>
        </w:rPr>
        <w:t>(1)</w:t>
      </w:r>
      <w:r w:rsidRPr="00C644AD">
        <w:rPr>
          <w:noProof/>
        </w:rPr>
        <w:tab/>
      </w:r>
      <w:r w:rsidR="00F3784B" w:rsidRPr="004F1533">
        <w:rPr>
          <w:noProof/>
        </w:rPr>
        <w:t>A Bizottságot az 1683/95/EK tanácsi rendelet</w:t>
      </w:r>
      <w:r w:rsidR="00A15D9A" w:rsidRPr="004F1533">
        <w:rPr>
          <w:rStyle w:val="FootnoteReference"/>
          <w:noProof/>
        </w:rPr>
        <w:footnoteReference w:id="52"/>
      </w:r>
      <w:r w:rsidR="00F3784B" w:rsidRPr="004F1533">
        <w:rPr>
          <w:noProof/>
        </w:rPr>
        <w:t xml:space="preserve"> 6. cikkével létrehozott bizottság segíti. Ez a bizottság a 182/2011/EU rendelet szerinti bizottság.</w:t>
      </w:r>
    </w:p>
    <w:p w:rsidR="00F3784B" w:rsidRPr="004F1533" w:rsidRDefault="00C644AD" w:rsidP="00C644AD">
      <w:pPr>
        <w:pStyle w:val="Point0"/>
        <w:rPr>
          <w:noProof/>
        </w:rPr>
      </w:pPr>
      <w:r w:rsidRPr="00C644AD">
        <w:rPr>
          <w:noProof/>
        </w:rPr>
        <w:t>(2)</w:t>
      </w:r>
      <w:r w:rsidRPr="00C644AD">
        <w:rPr>
          <w:noProof/>
        </w:rPr>
        <w:tab/>
      </w:r>
      <w:r w:rsidR="00F3784B" w:rsidRPr="004F1533">
        <w:rPr>
          <w:noProof/>
        </w:rPr>
        <w:t>Az e bekezdésre történő hivatkozáskor a 182/2011/EU rendelet 5. cikkét kell alkalmazni.</w:t>
      </w:r>
    </w:p>
    <w:p w:rsidR="00F3784B" w:rsidRPr="004F1533" w:rsidRDefault="00F3784B" w:rsidP="00F3784B">
      <w:pPr>
        <w:pStyle w:val="Titrearticle"/>
        <w:rPr>
          <w:noProof/>
        </w:rPr>
      </w:pPr>
      <w:r w:rsidRPr="004F1533">
        <w:rPr>
          <w:noProof/>
        </w:rPr>
        <w:t>7. cikk</w:t>
      </w:r>
      <w:r w:rsidRPr="004F1533">
        <w:rPr>
          <w:noProof/>
        </w:rPr>
        <w:br/>
        <w:t>Értékelés</w:t>
      </w:r>
    </w:p>
    <w:p w:rsidR="00F3784B" w:rsidRPr="004F1533" w:rsidRDefault="00A756A3" w:rsidP="00F3784B">
      <w:pPr>
        <w:rPr>
          <w:noProof/>
        </w:rPr>
      </w:pPr>
      <w:r w:rsidRPr="004F1533">
        <w:rPr>
          <w:noProof/>
        </w:rPr>
        <w:t>A 2. cikk (6) bekezdésében említett végrehajtási jogi aktus elfogadása után 5 évvel a Bizottság elvégzi e rendelet értékelését, és az értékelés főbb megállapításairól jelentést nyújt be az Európai Parlamentnek és a Tanácsnak.</w:t>
      </w:r>
    </w:p>
    <w:p w:rsidR="00F3784B" w:rsidRPr="004F1533" w:rsidRDefault="00F3784B" w:rsidP="00F3784B">
      <w:pPr>
        <w:rPr>
          <w:noProof/>
        </w:rPr>
      </w:pPr>
      <w:r w:rsidRPr="004F1533">
        <w:rPr>
          <w:noProof/>
        </w:rPr>
        <w:t>A tagállamok és az illetékes uniós ügynökségek megküldik az említett jelentés elkészítéséhez szükséges információkat a Bizottságnak.</w:t>
      </w:r>
    </w:p>
    <w:p w:rsidR="005D73A5" w:rsidRPr="004F1533" w:rsidRDefault="005D73A5">
      <w:pPr>
        <w:pStyle w:val="Titrearticle"/>
        <w:rPr>
          <w:noProof/>
        </w:rPr>
      </w:pPr>
      <w:r w:rsidRPr="004F1533">
        <w:rPr>
          <w:noProof/>
        </w:rPr>
        <w:t>8. cikk</w:t>
      </w:r>
      <w:r w:rsidRPr="004F1533">
        <w:rPr>
          <w:noProof/>
        </w:rPr>
        <w:br/>
        <w:t>Hatálybalépés</w:t>
      </w:r>
    </w:p>
    <w:p w:rsidR="005D73A5" w:rsidRPr="004F1533" w:rsidRDefault="005D73A5">
      <w:pPr>
        <w:rPr>
          <w:noProof/>
        </w:rPr>
      </w:pPr>
      <w:r w:rsidRPr="004F1533">
        <w:rPr>
          <w:noProof/>
        </w:rPr>
        <w:t xml:space="preserve">Ez a rendelet az </w:t>
      </w:r>
      <w:r w:rsidRPr="004F1533">
        <w:rPr>
          <w:i/>
          <w:noProof/>
        </w:rPr>
        <w:t>Európai Unió Hivatalos Lapjában</w:t>
      </w:r>
      <w:r w:rsidRPr="004F1533">
        <w:rPr>
          <w:noProof/>
        </w:rPr>
        <w:t xml:space="preserve"> való kihirdetését követő huszadik napon lép hatályba.</w:t>
      </w:r>
    </w:p>
    <w:p w:rsidR="003C36C2" w:rsidRPr="004F1533" w:rsidRDefault="003C36C2">
      <w:pPr>
        <w:rPr>
          <w:noProof/>
        </w:rPr>
      </w:pPr>
      <w:r w:rsidRPr="004F1533">
        <w:rPr>
          <w:noProof/>
        </w:rPr>
        <w:t>A 2. cikk (1) és (2) bekezdését az 5. cikkben említett műszaki előírások, eljárások és követelmények hatálybalépésétől számított 12 hónap elteltével kell alkalmazni.</w:t>
      </w:r>
    </w:p>
    <w:p w:rsidR="005D73A5" w:rsidRPr="004F1533" w:rsidRDefault="005D73A5">
      <w:pPr>
        <w:pStyle w:val="Applicationdirecte"/>
        <w:rPr>
          <w:noProof/>
        </w:rPr>
      </w:pPr>
      <w:r w:rsidRPr="004F1533">
        <w:rPr>
          <w:noProof/>
        </w:rPr>
        <w:t>Ez a rendelet a Szerződéseknek megfelelően teljes egészében kötelező és közvetlenül alkalmazandó a tagállamokban.</w:t>
      </w:r>
    </w:p>
    <w:p w:rsidR="005D73A5" w:rsidRPr="004F1533" w:rsidRDefault="00D96875" w:rsidP="00707A64">
      <w:pPr>
        <w:pStyle w:val="Fait"/>
        <w:rPr>
          <w:noProof/>
        </w:rPr>
      </w:pPr>
      <w:r>
        <w:rPr>
          <w:noProof/>
        </w:rPr>
        <w:t>Kelt Strasbourgban, -án/-én.</w:t>
      </w:r>
    </w:p>
    <w:p w:rsidR="005D73A5" w:rsidRPr="004F1533" w:rsidRDefault="005D73A5" w:rsidP="00707A64">
      <w:pPr>
        <w:pStyle w:val="Institutionquisigne"/>
        <w:rPr>
          <w:noProof/>
        </w:rPr>
      </w:pPr>
      <w:r w:rsidRPr="004F1533">
        <w:rPr>
          <w:noProof/>
        </w:rPr>
        <w:tab/>
        <w:t>a Tanács részéről</w:t>
      </w:r>
    </w:p>
    <w:p w:rsidR="005D73A5" w:rsidRPr="004F1533" w:rsidRDefault="005D73A5" w:rsidP="005D73A5">
      <w:pPr>
        <w:pStyle w:val="Personnequisigne"/>
        <w:rPr>
          <w:noProof/>
        </w:rPr>
      </w:pPr>
      <w:r w:rsidRPr="004F1533">
        <w:rPr>
          <w:noProof/>
        </w:rPr>
        <w:tab/>
        <w:t>az elnök</w:t>
      </w:r>
    </w:p>
    <w:sectPr w:rsidR="005D73A5" w:rsidRPr="004F1533" w:rsidSect="00216E4C">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0AB" w:rsidRDefault="00A530AB" w:rsidP="005D73A5">
      <w:pPr>
        <w:spacing w:before="0" w:after="0"/>
      </w:pPr>
      <w:r>
        <w:separator/>
      </w:r>
    </w:p>
  </w:endnote>
  <w:endnote w:type="continuationSeparator" w:id="0">
    <w:p w:rsidR="00A530AB" w:rsidRDefault="00A530AB" w:rsidP="005D73A5">
      <w:pPr>
        <w:spacing w:before="0" w:after="0"/>
      </w:pPr>
      <w:r>
        <w:continuationSeparator/>
      </w:r>
    </w:p>
  </w:endnote>
  <w:endnote w:type="continuationNotice" w:id="1">
    <w:p w:rsidR="00A530AB" w:rsidRDefault="00A530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4C" w:rsidRPr="00216E4C" w:rsidRDefault="00216E4C" w:rsidP="00216E4C">
    <w:pPr>
      <w:pStyle w:val="Footer"/>
      <w:rPr>
        <w:rFonts w:ascii="Arial" w:hAnsi="Arial" w:cs="Arial"/>
        <w:b/>
        <w:sz w:val="48"/>
      </w:rPr>
    </w:pPr>
    <w:r w:rsidRPr="00216E4C">
      <w:rPr>
        <w:rFonts w:ascii="Arial" w:hAnsi="Arial" w:cs="Arial"/>
        <w:b/>
        <w:sz w:val="48"/>
      </w:rPr>
      <w:t>HU</w:t>
    </w:r>
    <w:r w:rsidRPr="00216E4C">
      <w:rPr>
        <w:rFonts w:ascii="Arial" w:hAnsi="Arial" w:cs="Arial"/>
        <w:b/>
        <w:sz w:val="48"/>
      </w:rPr>
      <w:tab/>
    </w:r>
    <w:r w:rsidRPr="00216E4C">
      <w:rPr>
        <w:rFonts w:ascii="Arial" w:hAnsi="Arial" w:cs="Arial"/>
        <w:b/>
        <w:sz w:val="48"/>
      </w:rPr>
      <w:tab/>
    </w:r>
    <w:r w:rsidRPr="00216E4C">
      <w:tab/>
    </w:r>
    <w:r w:rsidRPr="00216E4C">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4C" w:rsidRPr="00216E4C" w:rsidRDefault="00216E4C" w:rsidP="00216E4C">
    <w:pPr>
      <w:pStyle w:val="Footer"/>
      <w:rPr>
        <w:rFonts w:ascii="Arial" w:hAnsi="Arial" w:cs="Arial"/>
        <w:b/>
        <w:sz w:val="48"/>
      </w:rPr>
    </w:pPr>
    <w:r w:rsidRPr="00216E4C">
      <w:rPr>
        <w:rFonts w:ascii="Arial" w:hAnsi="Arial" w:cs="Arial"/>
        <w:b/>
        <w:sz w:val="48"/>
      </w:rPr>
      <w:t>HU</w:t>
    </w:r>
    <w:r w:rsidRPr="00216E4C">
      <w:rPr>
        <w:rFonts w:ascii="Arial" w:hAnsi="Arial" w:cs="Arial"/>
        <w:b/>
        <w:sz w:val="48"/>
      </w:rPr>
      <w:tab/>
    </w:r>
    <w:r w:rsidRPr="00216E4C">
      <w:rPr>
        <w:rFonts w:ascii="Arial" w:hAnsi="Arial" w:cs="Arial"/>
        <w:b/>
        <w:sz w:val="48"/>
      </w:rPr>
      <w:tab/>
    </w:r>
    <w:r w:rsidRPr="00216E4C">
      <w:tab/>
    </w:r>
    <w:r w:rsidRPr="00216E4C">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4C" w:rsidRDefault="00216E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4C" w:rsidRPr="00216E4C" w:rsidRDefault="00216E4C" w:rsidP="00216E4C">
    <w:pPr>
      <w:pStyle w:val="Footer"/>
      <w:rPr>
        <w:rFonts w:ascii="Arial" w:hAnsi="Arial" w:cs="Arial"/>
        <w:b/>
        <w:sz w:val="48"/>
      </w:rPr>
    </w:pPr>
    <w:r w:rsidRPr="00216E4C">
      <w:rPr>
        <w:rFonts w:ascii="Arial" w:hAnsi="Arial" w:cs="Arial"/>
        <w:b/>
        <w:sz w:val="48"/>
      </w:rPr>
      <w:t>HU</w:t>
    </w:r>
    <w:r w:rsidRPr="00216E4C">
      <w:rPr>
        <w:rFonts w:ascii="Arial" w:hAnsi="Arial" w:cs="Arial"/>
        <w:b/>
        <w:sz w:val="48"/>
      </w:rPr>
      <w:tab/>
    </w:r>
    <w:r>
      <w:fldChar w:fldCharType="begin"/>
    </w:r>
    <w:r>
      <w:instrText xml:space="preserve"> PAGE  \* MERGEFORMAT </w:instrText>
    </w:r>
    <w:r>
      <w:fldChar w:fldCharType="separate"/>
    </w:r>
    <w:r w:rsidR="00707A64">
      <w:rPr>
        <w:noProof/>
      </w:rPr>
      <w:t>20</w:t>
    </w:r>
    <w:r>
      <w:fldChar w:fldCharType="end"/>
    </w:r>
    <w:r>
      <w:tab/>
    </w:r>
    <w:r w:rsidRPr="00216E4C">
      <w:tab/>
    </w:r>
    <w:r w:rsidRPr="00216E4C">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4C" w:rsidRDefault="00216E4C" w:rsidP="00216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0AB" w:rsidRDefault="00A530AB" w:rsidP="005D73A5">
      <w:pPr>
        <w:spacing w:before="0" w:after="0"/>
      </w:pPr>
      <w:r>
        <w:separator/>
      </w:r>
    </w:p>
  </w:footnote>
  <w:footnote w:type="continuationSeparator" w:id="0">
    <w:p w:rsidR="00A530AB" w:rsidRDefault="00A530AB" w:rsidP="005D73A5">
      <w:pPr>
        <w:spacing w:before="0" w:after="0"/>
      </w:pPr>
      <w:r>
        <w:continuationSeparator/>
      </w:r>
    </w:p>
  </w:footnote>
  <w:footnote w:type="continuationNotice" w:id="1">
    <w:p w:rsidR="00A530AB" w:rsidRDefault="00A530AB">
      <w:pPr>
        <w:spacing w:before="0" w:after="0"/>
      </w:pPr>
    </w:p>
  </w:footnote>
  <w:footnote w:id="2">
    <w:p w:rsidR="00EB2C46" w:rsidRPr="00D33D5E" w:rsidRDefault="00EB2C46" w:rsidP="00EB2C46">
      <w:pPr>
        <w:pStyle w:val="FootnoteText"/>
      </w:pPr>
      <w:r>
        <w:rPr>
          <w:rStyle w:val="FootnoteReference"/>
        </w:rPr>
        <w:footnoteRef/>
      </w:r>
      <w:r>
        <w:tab/>
        <w:t xml:space="preserve">Az Európai Parlament és a Tanács 2004/38/EK irányelve (2004. április 29.) az Unió polgárainak és családtagjaiknak a tagállamok területén történő szabad mozgáshoz és tartózkodáshoz való jogáról, valamint az 1612/68/EGK rendelet módosításáról, továbbá a 64/221/EGK, a 68/360/EGK, a 72/194/EGK, a 73/148/EGK, a 75/34/EGK, a 75/35/EGK, a 90/364/EGK, a 90/365/EGK és a 93/96/EGK irányelv hatályon kívül helyezéséről (HL L 158., 2004.4.30., 77. o., ELI: </w:t>
      </w:r>
      <w:hyperlink r:id="rId1" w:tooltip="Az ELI (európai jogszabály-azonosító) URI-hivatkozása révén biztosít hozzáférést a dokumentumhoz." w:history="1">
        <w:r>
          <w:rPr>
            <w:rStyle w:val="Hyperlink"/>
          </w:rPr>
          <w:t>http://data.europa.eu/eli/dir/2004/38/oj</w:t>
        </w:r>
      </w:hyperlink>
      <w:r>
        <w:t>).</w:t>
      </w:r>
    </w:p>
  </w:footnote>
  <w:footnote w:id="3">
    <w:p w:rsidR="008167F9" w:rsidRPr="00C25CAD" w:rsidRDefault="008167F9" w:rsidP="008167F9">
      <w:pPr>
        <w:pStyle w:val="FootnoteText"/>
      </w:pPr>
      <w:r>
        <w:rPr>
          <w:rStyle w:val="FootnoteReference"/>
        </w:rPr>
        <w:footnoteRef/>
      </w:r>
      <w:r>
        <w:tab/>
        <w:t xml:space="preserve">Lásd: ICAO, </w:t>
      </w:r>
      <w:hyperlink r:id="rId2" w:history="1">
        <w:r>
          <w:rPr>
            <w:rStyle w:val="Hyperlink"/>
          </w:rPr>
          <w:t>Guiding Core Principles for the Development of Digital Travel Credentials (DTC)</w:t>
        </w:r>
      </w:hyperlink>
      <w:r>
        <w:t xml:space="preserve"> (A digitális utazási igazolvány (DTC) kidolgozására vonatkozó irányadó alapelvek), valamint </w:t>
      </w:r>
      <w:hyperlink r:id="rId3" w:history="1">
        <w:r>
          <w:rPr>
            <w:rStyle w:val="Hyperlink"/>
          </w:rPr>
          <w:t>Digital Travel Credentials (DTC), Virtual Component Data Structure and PKI Mechanisms</w:t>
        </w:r>
      </w:hyperlink>
      <w:r>
        <w:t xml:space="preserve"> (Digitális utazási igazolvány, Virtuális összetevőkből álló adatstruktúra, PKI-mechanizmusok), technikai jelentés 1.2. verzió, 2020. október.</w:t>
      </w:r>
    </w:p>
  </w:footnote>
  <w:footnote w:id="4">
    <w:p w:rsidR="008167F9" w:rsidRPr="00C25CAD" w:rsidRDefault="008167F9" w:rsidP="008167F9">
      <w:pPr>
        <w:pStyle w:val="FootnoteText"/>
      </w:pPr>
      <w:r>
        <w:rPr>
          <w:rStyle w:val="FootnoteReference"/>
        </w:rPr>
        <w:footnoteRef/>
      </w:r>
      <w:r>
        <w:tab/>
        <w:t xml:space="preserve">Lásd például: Raja Rajavartiolaitos, „Finland and Croatia are testing digital travel credentials in external border traffic in a DTC Pilot project” (Finnország és Horvátország egy DTC kísérleti projekt keretében teszteli a digitális utazási igazolványokat a külső határforgalomban), 2023. február 3., elérhető az alábbi internetcímen: </w:t>
      </w:r>
      <w:hyperlink r:id="rId4" w:history="1">
        <w:r>
          <w:rPr>
            <w:rStyle w:val="Hyperlink"/>
          </w:rPr>
          <w:t>https://raja.fi/-/suomi-ja-kroatia-kokeilevat-digitaalisen-matkustusasiakirjan-kayttoa-ulkorajaliikenteessa-dtc-pilottiprojektissa?languageId=en_US</w:t>
        </w:r>
      </w:hyperlink>
      <w:r>
        <w:t xml:space="preserve">; Hollandia kormánya, „Dutch participation in European DTC pilot” (Holland részvétel az európai DTC kísérleti projektben), 2023.10.27., elérhető a következő internetcímen: </w:t>
      </w:r>
      <w:hyperlink r:id="rId5" w:history="1">
        <w:r>
          <w:rPr>
            <w:rStyle w:val="Hyperlink"/>
          </w:rPr>
          <w:t>https://www.government.nl/documents/publications/2023/02/23/dtc</w:t>
        </w:r>
      </w:hyperlink>
      <w:r>
        <w:t>.</w:t>
      </w:r>
    </w:p>
  </w:footnote>
  <w:footnote w:id="5">
    <w:p w:rsidR="00EB2C46" w:rsidRPr="00012B40" w:rsidRDefault="00EB2C46" w:rsidP="00EB2C46">
      <w:pPr>
        <w:pStyle w:val="FootnoteText"/>
      </w:pPr>
      <w:r>
        <w:rPr>
          <w:rStyle w:val="FootnoteReference"/>
        </w:rPr>
        <w:footnoteRef/>
      </w:r>
      <w:r>
        <w:tab/>
        <w:t>A belső határellenőrzés nélküli térség külső határainak átlépésével kapcsolatos további részleteket lásd: COM(2024) 670 final.</w:t>
      </w:r>
    </w:p>
  </w:footnote>
  <w:footnote w:id="6">
    <w:p w:rsidR="004B2736" w:rsidRPr="006E7BB9" w:rsidRDefault="004B2736" w:rsidP="004B2736">
      <w:pPr>
        <w:pStyle w:val="FootnoteText"/>
      </w:pPr>
      <w:r>
        <w:rPr>
          <w:rStyle w:val="FootnoteReference"/>
        </w:rPr>
        <w:footnoteRef/>
      </w:r>
      <w:r>
        <w:tab/>
        <w:t>COM(2024) 670 final.</w:t>
      </w:r>
    </w:p>
  </w:footnote>
  <w:footnote w:id="7">
    <w:p w:rsidR="00EB2C46" w:rsidRPr="001217B1" w:rsidRDefault="00EB2C46" w:rsidP="00EB2C46">
      <w:pPr>
        <w:pStyle w:val="FootnoteText"/>
      </w:pPr>
      <w:r>
        <w:rPr>
          <w:rStyle w:val="FootnoteReference"/>
        </w:rPr>
        <w:footnoteRef/>
      </w:r>
      <w:r>
        <w:tab/>
        <w:t>COM(2022) 548 final.</w:t>
      </w:r>
    </w:p>
  </w:footnote>
  <w:footnote w:id="8">
    <w:p w:rsidR="00E85FB0" w:rsidRPr="00F0603A" w:rsidRDefault="00E85FB0" w:rsidP="00E85FB0">
      <w:pPr>
        <w:pStyle w:val="FootnoteText"/>
      </w:pPr>
      <w:r>
        <w:rPr>
          <w:rStyle w:val="FootnoteReference"/>
        </w:rPr>
        <w:footnoteRef/>
      </w:r>
      <w:r>
        <w:tab/>
        <w:t>Az európai digitális személyiadat-tárcát a következő jogi aktus határozta meg: az Európai Parlament és a Tanács (EU) 2024/1183 rendelete (2024. április 11.) a 910/2014/EU rendeletnek az európai digitális személyazonossági keret létrehozása tekintetében történő módosításáról (</w:t>
      </w:r>
      <w:r>
        <w:rPr>
          <w:rStyle w:val="Emphasis"/>
          <w:i w:val="0"/>
        </w:rPr>
        <w:t xml:space="preserve">HL L, 2024/1183, 2024.4.30., ELI: </w:t>
      </w:r>
      <w:hyperlink r:id="rId6" w:tgtFrame="_blank" w:tooltip="Az ELI (európai jogszabály-azonosító) URI-hivatkozása révén biztosít hozzáférést a dokumentumhoz." w:history="1">
        <w:r>
          <w:rPr>
            <w:rStyle w:val="Hyperlink"/>
          </w:rPr>
          <w:t>http://data.europa.eu/eli/reg/2024/1183/oj</w:t>
        </w:r>
      </w:hyperlink>
      <w:r>
        <w:t>).</w:t>
      </w:r>
    </w:p>
  </w:footnote>
  <w:footnote w:id="9">
    <w:p w:rsidR="006B15DA" w:rsidRPr="00A52CBD" w:rsidRDefault="006B15DA" w:rsidP="006B15DA">
      <w:pPr>
        <w:pStyle w:val="FootnoteText"/>
      </w:pPr>
      <w:r>
        <w:rPr>
          <w:rStyle w:val="FootnoteReference"/>
        </w:rPr>
        <w:footnoteRef/>
      </w:r>
      <w:r>
        <w:tab/>
        <w:t xml:space="preserve">Az Európai Parlament és a Tanács (EU) 2019/1157 rendelete (2019. június 20.) az uniós polgárok személyazonosító igazolványai és a szabad mozgás jogával élő uniós polgárok és azok családtagjai részére kiállított tartózkodási okmányok biztonságának megerősítéséről (HL L 188., 2019.7.12., 67. o., ELI: </w:t>
      </w:r>
      <w:hyperlink r:id="rId7" w:history="1">
        <w:r>
          <w:rPr>
            <w:rStyle w:val="Hyperlink"/>
          </w:rPr>
          <w:t>http://data.europa.eu/eli/reg/2019/1157/oj</w:t>
        </w:r>
      </w:hyperlink>
      <w:r>
        <w:t xml:space="preserve">). </w:t>
      </w:r>
    </w:p>
  </w:footnote>
  <w:footnote w:id="10">
    <w:p w:rsidR="00204AE7" w:rsidRPr="00A52CBD" w:rsidRDefault="00204AE7" w:rsidP="00204AE7">
      <w:pPr>
        <w:pStyle w:val="FootnoteText"/>
      </w:pPr>
      <w:r>
        <w:rPr>
          <w:rStyle w:val="FootnoteReference"/>
        </w:rPr>
        <w:footnoteRef/>
      </w:r>
      <w:r>
        <w:tab/>
        <w:t xml:space="preserve">A Bíróság 2024. március 21-i ítélete, Landeshauptstadt Wiesbaden, C-61/22., </w:t>
      </w:r>
      <w:r>
        <w:rPr>
          <w:rStyle w:val="outputecli"/>
        </w:rPr>
        <w:t>ECLI:EU:C:2024:251.</w:t>
      </w:r>
    </w:p>
  </w:footnote>
  <w:footnote w:id="11">
    <w:p w:rsidR="00204AE7" w:rsidRPr="00851226" w:rsidRDefault="00204AE7">
      <w:pPr>
        <w:pStyle w:val="FootnoteText"/>
      </w:pPr>
      <w:r>
        <w:rPr>
          <w:rStyle w:val="FootnoteReference"/>
        </w:rPr>
        <w:footnoteRef/>
      </w:r>
      <w:r>
        <w:tab/>
        <w:t>COM(2024) 316 final.</w:t>
      </w:r>
    </w:p>
  </w:footnote>
  <w:footnote w:id="12">
    <w:p w:rsidR="00666A05" w:rsidRPr="009C2A47" w:rsidRDefault="00666A05" w:rsidP="00666A05">
      <w:pPr>
        <w:pStyle w:val="FootnoteText"/>
      </w:pPr>
      <w:r>
        <w:rPr>
          <w:rStyle w:val="FootnoteReference"/>
        </w:rPr>
        <w:footnoteRef/>
      </w:r>
      <w:r>
        <w:tab/>
      </w:r>
      <w:hyperlink r:id="rId8" w:history="1">
        <w:r>
          <w:rPr>
            <w:rStyle w:val="Hyperlink"/>
          </w:rPr>
          <w:t>https://commission.europa.eu/strategy-and-policy/priorities-2019-2024/europe-fit-digital-age/europes-digital-decade-digital-targets-2030_hu</w:t>
        </w:r>
      </w:hyperlink>
      <w:r>
        <w:t xml:space="preserve">. </w:t>
      </w:r>
    </w:p>
  </w:footnote>
  <w:footnote w:id="13">
    <w:p w:rsidR="004B2736" w:rsidRPr="00D72EB0" w:rsidRDefault="004B2736">
      <w:pPr>
        <w:pStyle w:val="FootnoteText"/>
      </w:pPr>
      <w:r>
        <w:rPr>
          <w:rStyle w:val="FootnoteReference"/>
        </w:rPr>
        <w:footnoteRef/>
      </w:r>
      <w:r>
        <w:tab/>
        <w:t>HL C 23., 2023.1.23., 1. o.</w:t>
      </w:r>
    </w:p>
  </w:footnote>
  <w:footnote w:id="14">
    <w:p w:rsidR="00322BBA" w:rsidRPr="00322BBA" w:rsidRDefault="00322BBA">
      <w:pPr>
        <w:pStyle w:val="FootnoteText"/>
      </w:pPr>
      <w:r>
        <w:rPr>
          <w:rStyle w:val="FootnoteReference"/>
        </w:rPr>
        <w:footnoteRef/>
      </w:r>
      <w:r>
        <w:tab/>
        <w:t xml:space="preserve">A Bíróság 2024. március 21-i ítélete, Landeshauptstadt Wiesbaden, C-61/22., </w:t>
      </w:r>
      <w:r>
        <w:rPr>
          <w:rStyle w:val="outputecli"/>
        </w:rPr>
        <w:t>ECLI:EU:C:2024:251, 54. pont.</w:t>
      </w:r>
    </w:p>
  </w:footnote>
  <w:footnote w:id="15">
    <w:p w:rsidR="00831F8E" w:rsidRPr="00D808A2" w:rsidRDefault="00831F8E">
      <w:pPr>
        <w:pStyle w:val="FootnoteText"/>
      </w:pPr>
      <w:r>
        <w:rPr>
          <w:rStyle w:val="FootnoteReference"/>
        </w:rPr>
        <w:footnoteRef/>
      </w:r>
      <w:r>
        <w:tab/>
        <w:t>COM(2024) 316 final.</w:t>
      </w:r>
    </w:p>
  </w:footnote>
  <w:footnote w:id="16">
    <w:p w:rsidR="00831F8E" w:rsidRPr="00D808A2" w:rsidRDefault="00831F8E">
      <w:pPr>
        <w:pStyle w:val="FootnoteText"/>
      </w:pPr>
      <w:r>
        <w:rPr>
          <w:rStyle w:val="FootnoteReference"/>
        </w:rPr>
        <w:footnoteRef/>
      </w:r>
      <w:r>
        <w:tab/>
        <w:t>COM(2024) 316 final.</w:t>
      </w:r>
    </w:p>
  </w:footnote>
  <w:footnote w:id="17">
    <w:p w:rsidR="00E57AC7" w:rsidRPr="00B43A98" w:rsidRDefault="00E57AC7" w:rsidP="00E57AC7">
      <w:pPr>
        <w:pStyle w:val="FootnoteText"/>
      </w:pPr>
      <w:r>
        <w:rPr>
          <w:rStyle w:val="FootnoteReference"/>
        </w:rPr>
        <w:footnoteRef/>
      </w:r>
      <w:r>
        <w:tab/>
        <w:t>SWD(2024) 671 final.</w:t>
      </w:r>
    </w:p>
  </w:footnote>
  <w:footnote w:id="18">
    <w:p w:rsidR="00831F8E" w:rsidRPr="00ED749A" w:rsidRDefault="00831F8E" w:rsidP="00831F8E">
      <w:pPr>
        <w:pStyle w:val="FootnoteText"/>
      </w:pPr>
      <w:r>
        <w:rPr>
          <w:rStyle w:val="FootnoteReference"/>
        </w:rPr>
        <w:footnoteRef/>
      </w:r>
      <w:r>
        <w:tab/>
        <w:t>COM(2024) 670 final.</w:t>
      </w:r>
    </w:p>
  </w:footnote>
  <w:footnote w:id="19">
    <w:p w:rsidR="00256D09" w:rsidRPr="00B43A98" w:rsidRDefault="00256D09" w:rsidP="00256D09">
      <w:pPr>
        <w:pStyle w:val="FootnoteText"/>
      </w:pPr>
      <w:r>
        <w:rPr>
          <w:rStyle w:val="FootnoteReference"/>
        </w:rPr>
        <w:footnoteRef/>
      </w:r>
      <w:r>
        <w:tab/>
      </w:r>
      <w:hyperlink r:id="rId9" w:history="1">
        <w:r>
          <w:rPr>
            <w:rStyle w:val="Hyperlink"/>
          </w:rPr>
          <w:t>https://ec.europa.eu/info/law/better-regulation/have-your-say/initiatives/13514-Travel-digitalising-travel-documents-to-make-travelling-easier/public-consultation_hu</w:t>
        </w:r>
      </w:hyperlink>
      <w:r>
        <w:t xml:space="preserve"> </w:t>
      </w:r>
    </w:p>
  </w:footnote>
  <w:footnote w:id="20">
    <w:p w:rsidR="00256D09" w:rsidRPr="00B43A98" w:rsidRDefault="00256D09" w:rsidP="00256D09">
      <w:pPr>
        <w:pStyle w:val="FootnoteText"/>
      </w:pPr>
      <w:r>
        <w:rPr>
          <w:rStyle w:val="FootnoteReference"/>
        </w:rPr>
        <w:footnoteRef/>
      </w:r>
      <w:r>
        <w:tab/>
      </w:r>
      <w:hyperlink r:id="rId10" w:history="1">
        <w:r>
          <w:rPr>
            <w:rStyle w:val="Hyperlink"/>
          </w:rPr>
          <w:t>536. Eurobarométer tematikus felmérés</w:t>
        </w:r>
      </w:hyperlink>
      <w:r>
        <w:t xml:space="preserve"> </w:t>
      </w:r>
      <w:r>
        <w:rPr>
          <w:rStyle w:val="Strong"/>
          <w:b w:val="0"/>
        </w:rPr>
        <w:t>az úti okmányok digitalizálásáról</w:t>
      </w:r>
      <w:r>
        <w:t xml:space="preserve"> és az </w:t>
      </w:r>
      <w:r>
        <w:rPr>
          <w:rStyle w:val="Strong"/>
          <w:b w:val="0"/>
        </w:rPr>
        <w:t>utazás megkönnyítéséről.</w:t>
      </w:r>
    </w:p>
  </w:footnote>
  <w:footnote w:id="21">
    <w:p w:rsidR="00831F8E" w:rsidRPr="00ED749A" w:rsidRDefault="00831F8E" w:rsidP="00831F8E">
      <w:pPr>
        <w:pStyle w:val="FootnoteText"/>
      </w:pPr>
      <w:r>
        <w:rPr>
          <w:rStyle w:val="FootnoteReference"/>
        </w:rPr>
        <w:footnoteRef/>
      </w:r>
      <w:r>
        <w:tab/>
        <w:t>COM(2024) 670 final.</w:t>
      </w:r>
    </w:p>
  </w:footnote>
  <w:footnote w:id="22">
    <w:p w:rsidR="00385563" w:rsidRPr="00B43A98" w:rsidRDefault="00385563" w:rsidP="00385563">
      <w:pPr>
        <w:pStyle w:val="FootnoteText"/>
      </w:pPr>
      <w:r>
        <w:rPr>
          <w:rStyle w:val="FootnoteReference"/>
        </w:rPr>
        <w:footnoteRef/>
      </w:r>
      <w:r>
        <w:tab/>
        <w:t>SWD(2024) 671 final.</w:t>
      </w:r>
    </w:p>
  </w:footnote>
  <w:footnote w:id="23">
    <w:p w:rsidR="00385563" w:rsidRPr="000F46C4" w:rsidRDefault="00385563" w:rsidP="00385563">
      <w:pPr>
        <w:pStyle w:val="FootnoteText"/>
      </w:pPr>
      <w:r>
        <w:rPr>
          <w:rStyle w:val="FootnoteReference"/>
        </w:rPr>
        <w:footnoteRef/>
      </w:r>
      <w:r>
        <w:tab/>
        <w:t>SEC(2024) 670.</w:t>
      </w:r>
    </w:p>
  </w:footnote>
  <w:footnote w:id="24">
    <w:p w:rsidR="000E6FBC" w:rsidRPr="00F87B10" w:rsidRDefault="000E6FBC" w:rsidP="000E6FBC">
      <w:pPr>
        <w:pStyle w:val="FootnoteText"/>
      </w:pPr>
      <w:r>
        <w:rPr>
          <w:rStyle w:val="FootnoteReference"/>
          <w:lang w:val="en-IE"/>
        </w:rPr>
        <w:footnoteRef/>
      </w:r>
      <w:r>
        <w:tab/>
        <w:t xml:space="preserve">A Bíróság 2024. március 21-i ítélete, Landeshauptstadt Wiesbaden, C-61/22., </w:t>
      </w:r>
      <w:r>
        <w:rPr>
          <w:rStyle w:val="outputecli"/>
        </w:rPr>
        <w:t>ECLI:EU:C:2024:251, 73–74. pont.</w:t>
      </w:r>
    </w:p>
  </w:footnote>
  <w:footnote w:id="25">
    <w:p w:rsidR="000E6FBC" w:rsidRPr="00F87B10" w:rsidRDefault="000E6FBC" w:rsidP="000E6FBC">
      <w:pPr>
        <w:pStyle w:val="FootnoteText"/>
      </w:pPr>
      <w:r>
        <w:rPr>
          <w:rStyle w:val="FootnoteReference"/>
          <w:lang w:val="en-IE"/>
        </w:rPr>
        <w:footnoteRef/>
      </w:r>
      <w:r>
        <w:tab/>
        <w:t xml:space="preserve">A Bíróság 2024. március 21-i ítélete, Landeshauptstadt Wiesbaden, C-61/22., </w:t>
      </w:r>
      <w:r>
        <w:rPr>
          <w:rStyle w:val="outputecli"/>
        </w:rPr>
        <w:t>ECLI:EU:C:2024:251, 76. pont.</w:t>
      </w:r>
    </w:p>
  </w:footnote>
  <w:footnote w:id="26">
    <w:p w:rsidR="000B4C0B" w:rsidRPr="00C56DB4" w:rsidRDefault="000B4C0B" w:rsidP="000B4C0B">
      <w:pPr>
        <w:pStyle w:val="FootnoteText"/>
      </w:pPr>
      <w:r>
        <w:rPr>
          <w:rStyle w:val="FootnoteReference"/>
        </w:rPr>
        <w:footnoteRef/>
      </w:r>
      <w:r>
        <w:tab/>
        <w:t xml:space="preserve">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(HL L 119., 2016.5.4., 1. o., ELI: </w:t>
      </w:r>
      <w:hyperlink r:id="rId11" w:tooltip="Az ELI (európai jogszabály-azonosító) URI-hivatkozása révén biztosít hozzáférést a dokumentumhoz." w:history="1">
        <w:r>
          <w:rPr>
            <w:rStyle w:val="Hyperlink"/>
          </w:rPr>
          <w:t>http://data.europa.eu/eli/reg/2016/679/oj),</w:t>
        </w:r>
      </w:hyperlink>
      <w:r>
        <w:t xml:space="preserve">), valamint az Európai Parlament és a Tanács (EU) 2016/680 irányelve (2016. április 27.) a személyes adatoknak az illetékes hatóságok által a bűncselekmények megelőzése, nyomozása, felderítése, a vádeljárás lefolytatása vagy büntetőjogi szankciók végrehajtása céljából végzett kezelése tekintetében a természetes személyek védelméről és az ilyen adatok szabad áramlásáról, valamint a 2008/977/IB tanácsi kerethatározat hatályon kívül helyezéséről (HL L 119., 2016.5.4., 89. o., ELI: </w:t>
      </w:r>
      <w:hyperlink r:id="rId12" w:tooltip="Az ELI (európai jogszabály-azonosító) URI-hivatkozása révén biztosít hozzáférést a dokumentumhoz." w:history="1">
        <w:r>
          <w:rPr>
            <w:rStyle w:val="Hyperlink"/>
          </w:rPr>
          <w:t>https://eur-lex.europa.eu/eli/dir/2016/680/oj?eliuri=eli%3Adir%3A2016%3A680%3Aoj&amp;locale=hu</w:t>
        </w:r>
      </w:hyperlink>
      <w:r>
        <w:t>).</w:t>
      </w:r>
    </w:p>
  </w:footnote>
  <w:footnote w:id="27">
    <w:p w:rsidR="000B4C0B" w:rsidRPr="00D808A2" w:rsidRDefault="000B4C0B" w:rsidP="000B4C0B">
      <w:pPr>
        <w:pStyle w:val="FootnoteText"/>
      </w:pPr>
      <w:r>
        <w:rPr>
          <w:rStyle w:val="FootnoteReference"/>
        </w:rPr>
        <w:footnoteRef/>
      </w:r>
      <w:r>
        <w:tab/>
        <w:t>COM(2024) 316 final.</w:t>
      </w:r>
    </w:p>
  </w:footnote>
  <w:footnote w:id="28">
    <w:p w:rsidR="000E6FBC" w:rsidRPr="00851226" w:rsidRDefault="000E6FBC" w:rsidP="000E6FBC">
      <w:pPr>
        <w:pStyle w:val="FootnoteText"/>
      </w:pPr>
      <w:r>
        <w:rPr>
          <w:rStyle w:val="FootnoteReference"/>
        </w:rPr>
        <w:footnoteRef/>
      </w:r>
      <w:r>
        <w:tab/>
        <w:t>COM(2024) 316 final.</w:t>
      </w:r>
    </w:p>
  </w:footnote>
  <w:footnote w:id="29">
    <w:p w:rsidR="00356120" w:rsidRPr="00B53DF0" w:rsidRDefault="00356120" w:rsidP="00356120">
      <w:pPr>
        <w:pStyle w:val="FootnoteText"/>
      </w:pPr>
      <w:r>
        <w:rPr>
          <w:rStyle w:val="FootnoteReference"/>
          <w:lang w:val="en-IE"/>
        </w:rPr>
        <w:footnoteRef/>
      </w:r>
      <w:r>
        <w:tab/>
        <w:t xml:space="preserve">Lásd továbbá a Bíróság 2024. március 21-i ítéletét, Landeshauptstadt Wiesbaden, C-61/22., </w:t>
      </w:r>
      <w:r>
        <w:rPr>
          <w:rStyle w:val="outputecli"/>
        </w:rPr>
        <w:t>ECLI:EU:C:2024:251, 80–81. pont.</w:t>
      </w:r>
    </w:p>
  </w:footnote>
  <w:footnote w:id="30">
    <w:p w:rsidR="00C37271" w:rsidRPr="00B53DF0" w:rsidRDefault="00C37271">
      <w:pPr>
        <w:pStyle w:val="FootnoteText"/>
      </w:pPr>
      <w:r>
        <w:rPr>
          <w:rStyle w:val="FootnoteReference"/>
        </w:rPr>
        <w:footnoteRef/>
      </w:r>
      <w:r>
        <w:tab/>
        <w:t xml:space="preserve">A Bíróság 2024. március 21-i ítélete, Landeshauptstadt Wiesbaden, C-61/22., </w:t>
      </w:r>
      <w:r>
        <w:rPr>
          <w:rStyle w:val="outputecli"/>
        </w:rPr>
        <w:t>ECLI:EU:C:2024:251, 87. pont és az ott hivatkozott ítélkezési gyakorlat.</w:t>
      </w:r>
    </w:p>
  </w:footnote>
  <w:footnote w:id="31">
    <w:p w:rsidR="00C94214" w:rsidRPr="00F87B10" w:rsidRDefault="00C94214" w:rsidP="00C94214">
      <w:pPr>
        <w:pStyle w:val="FootnoteText"/>
      </w:pPr>
      <w:r>
        <w:rPr>
          <w:rStyle w:val="FootnoteReference"/>
          <w:lang w:val="en-IE"/>
        </w:rPr>
        <w:footnoteRef/>
      </w:r>
      <w:r>
        <w:tab/>
        <w:t xml:space="preserve">A Bíróság 2024. március 21-i ítélete, Landeshauptstadt Wiesbaden, C-61/22., </w:t>
      </w:r>
      <w:r>
        <w:rPr>
          <w:rStyle w:val="outputecli"/>
        </w:rPr>
        <w:t>ECLI:EU:C:2024:251, 106–125. pont.</w:t>
      </w:r>
    </w:p>
  </w:footnote>
  <w:footnote w:id="32">
    <w:p w:rsidR="00436FF4" w:rsidRPr="00ED749A" w:rsidRDefault="00436FF4" w:rsidP="00436FF4">
      <w:pPr>
        <w:pStyle w:val="FootnoteText"/>
      </w:pPr>
      <w:r>
        <w:rPr>
          <w:rStyle w:val="FootnoteReference"/>
        </w:rPr>
        <w:footnoteRef/>
      </w:r>
      <w:r>
        <w:tab/>
        <w:t>COM(2024) 670 final.</w:t>
      </w:r>
    </w:p>
  </w:footnote>
  <w:footnote w:id="33">
    <w:p w:rsidR="004722BD" w:rsidRPr="00D808A2" w:rsidRDefault="004722BD" w:rsidP="004722BD">
      <w:pPr>
        <w:pStyle w:val="FootnoteText"/>
      </w:pPr>
      <w:r>
        <w:rPr>
          <w:rStyle w:val="FootnoteReference"/>
        </w:rPr>
        <w:footnoteRef/>
      </w:r>
      <w:r>
        <w:tab/>
        <w:t>COM(2024) 316 final.</w:t>
      </w:r>
    </w:p>
  </w:footnote>
  <w:footnote w:id="34">
    <w:p w:rsidR="004C32F1" w:rsidRPr="00ED749A" w:rsidRDefault="004C32F1" w:rsidP="004C32F1">
      <w:pPr>
        <w:pStyle w:val="FootnoteText"/>
      </w:pPr>
      <w:r>
        <w:rPr>
          <w:rStyle w:val="FootnoteReference"/>
        </w:rPr>
        <w:footnoteRef/>
      </w:r>
      <w:r>
        <w:tab/>
        <w:t>COM(2024) 670 final.</w:t>
      </w:r>
    </w:p>
  </w:footnote>
  <w:footnote w:id="35">
    <w:p w:rsidR="005A7222" w:rsidRPr="00D808A2" w:rsidRDefault="005A7222" w:rsidP="005A7222">
      <w:pPr>
        <w:pStyle w:val="FootnoteText"/>
      </w:pPr>
      <w:r>
        <w:rPr>
          <w:rStyle w:val="FootnoteReference"/>
        </w:rPr>
        <w:footnoteRef/>
      </w:r>
      <w:r>
        <w:tab/>
        <w:t>COM(2024) 316 final.</w:t>
      </w:r>
    </w:p>
  </w:footnote>
  <w:footnote w:id="36">
    <w:p w:rsidR="0084089E" w:rsidRPr="00851226" w:rsidRDefault="0084089E" w:rsidP="0084089E">
      <w:pPr>
        <w:pStyle w:val="FootnoteText"/>
      </w:pPr>
      <w:r>
        <w:rPr>
          <w:rStyle w:val="FootnoteReference"/>
        </w:rPr>
        <w:footnoteRef/>
      </w:r>
      <w:r>
        <w:tab/>
        <w:t>COM(2024) 316 final.</w:t>
      </w:r>
    </w:p>
  </w:footnote>
  <w:footnote w:id="37">
    <w:p w:rsidR="00073584" w:rsidRDefault="00073584" w:rsidP="00073584">
      <w:pPr>
        <w:pStyle w:val="FootnoteText"/>
      </w:pPr>
      <w:r>
        <w:rPr>
          <w:rStyle w:val="FootnoteReference"/>
        </w:rPr>
        <w:footnoteRef/>
      </w:r>
      <w:r>
        <w:tab/>
        <w:t xml:space="preserve">A Tanács 1683/95/EK rendelete (1995. május 29.) a vízumok egységes formátumának meghatározásáról (HL L 164., 1995.7.14., 1. o., ELI: </w:t>
      </w:r>
      <w:hyperlink r:id="rId13" w:history="1">
        <w:r>
          <w:rPr>
            <w:rStyle w:val="Hyperlink"/>
          </w:rPr>
          <w:t>http://data.europa.eu/eli/reg/1995/1683/oj</w:t>
        </w:r>
      </w:hyperlink>
      <w:r>
        <w:t>).</w:t>
      </w:r>
    </w:p>
  </w:footnote>
  <w:footnote w:id="38">
    <w:p w:rsidR="00073584" w:rsidRPr="00073584" w:rsidRDefault="00073584">
      <w:pPr>
        <w:pStyle w:val="FootnoteText"/>
      </w:pPr>
      <w:r>
        <w:rPr>
          <w:rStyle w:val="FootnoteReference"/>
        </w:rPr>
        <w:footnoteRef/>
      </w:r>
      <w:r>
        <w:tab/>
      </w:r>
      <w:hyperlink r:id="rId14" w:history="1">
        <w:r>
          <w:rPr>
            <w:rStyle w:val="Hyperlink"/>
          </w:rPr>
          <w:t>https://ec.europa.eu/transparency/comitology-register/screen/committees/C20800/consult?lang=hu</w:t>
        </w:r>
      </w:hyperlink>
      <w:r>
        <w:t xml:space="preserve"> </w:t>
      </w:r>
    </w:p>
  </w:footnote>
  <w:footnote w:id="39">
    <w:p w:rsidR="00073584" w:rsidRPr="00D808A2" w:rsidRDefault="00073584" w:rsidP="00073584">
      <w:pPr>
        <w:pStyle w:val="FootnoteText"/>
      </w:pPr>
      <w:r>
        <w:rPr>
          <w:rStyle w:val="FootnoteReference"/>
        </w:rPr>
        <w:footnoteRef/>
      </w:r>
      <w:r>
        <w:tab/>
        <w:t>COM(2024) 316 final.</w:t>
      </w:r>
    </w:p>
  </w:footnote>
  <w:footnote w:id="40">
    <w:p w:rsidR="00792B73" w:rsidRPr="00792B73" w:rsidRDefault="00792B73">
      <w:pPr>
        <w:pStyle w:val="FootnoteText"/>
      </w:pPr>
      <w:r>
        <w:rPr>
          <w:rStyle w:val="FootnoteReference"/>
        </w:rPr>
        <w:footnoteRef/>
      </w:r>
      <w:r>
        <w:tab/>
      </w:r>
      <w:hyperlink r:id="rId15" w:history="1">
        <w:r>
          <w:rPr>
            <w:rStyle w:val="Hyperlink"/>
          </w:rPr>
          <w:t>https://commission.europa.eu/law/law-making-process/planning-and-proposing-law/better-regulation/better-regulation-guidelines-and-toolbox_hu</w:t>
        </w:r>
      </w:hyperlink>
      <w:r>
        <w:t xml:space="preserve"> </w:t>
      </w:r>
    </w:p>
  </w:footnote>
  <w:footnote w:id="41">
    <w:p w:rsidR="00792B73" w:rsidRPr="00792B73" w:rsidRDefault="00792B73" w:rsidP="00792B73">
      <w:pPr>
        <w:pStyle w:val="FootnoteText"/>
      </w:pPr>
      <w:r>
        <w:rPr>
          <w:rStyle w:val="FootnoteReference"/>
        </w:rPr>
        <w:footnoteRef/>
      </w:r>
      <w:r>
        <w:tab/>
        <w:t xml:space="preserve">Intézményközi megállapodás az Európai Parlament, az Európai Unió Tanácsa és az Európai Bizottság között a jogalkotás minőségének javításáról (HL L 123., 2016.5.12., 1. o., ELI: </w:t>
      </w:r>
      <w:hyperlink r:id="rId16" w:tooltip="Az ELI (európai jogszabály-azonosító) URI-hivatkozása révén biztosít hozzáférést a dokumentumhoz." w:history="1">
        <w:r>
          <w:rPr>
            <w:rStyle w:val="Hyperlink"/>
          </w:rPr>
          <w:t>http://data.europa.eu/eli/agree_interinstit/2016/512/oj</w:t>
        </w:r>
      </w:hyperlink>
      <w:r>
        <w:t>).</w:t>
      </w:r>
    </w:p>
  </w:footnote>
  <w:footnote w:id="42">
    <w:p w:rsidR="005D73A5" w:rsidRPr="001E63A9" w:rsidRDefault="005D73A5">
      <w:pPr>
        <w:pStyle w:val="FootnoteText"/>
      </w:pPr>
      <w:r>
        <w:rPr>
          <w:rStyle w:val="FootnoteReference"/>
        </w:rPr>
        <w:footnoteRef/>
      </w:r>
      <w:r>
        <w:tab/>
        <w:t>HL C […]., […]., […]. o.</w:t>
      </w:r>
    </w:p>
  </w:footnote>
  <w:footnote w:id="43">
    <w:p w:rsidR="00CA40FD" w:rsidRPr="00D33D5E" w:rsidRDefault="00CA40FD" w:rsidP="00CA40FD">
      <w:pPr>
        <w:pStyle w:val="FootnoteText"/>
      </w:pPr>
      <w:r>
        <w:rPr>
          <w:rStyle w:val="FootnoteReference"/>
        </w:rPr>
        <w:footnoteRef/>
      </w:r>
      <w:r>
        <w:tab/>
        <w:t xml:space="preserve">Az Európai Parlament és a Tanács 2004/38/EK irányelve (2004. április 29.) az Unió polgárainak és családtagjaiknak a tagállamok területén történő szabad mozgáshoz és tartózkodáshoz való jogáról, valamint az 1612/68/EGK rendelet módosításáról, továbbá a 64/221/EGK, a 68/360/EGK, a 72/194/EGK, a 73/148/EGK, a 75/34/EGK, a 75/35/EGK, a 90/364/EGK, a 90/365/EGK és a 93/96/EGK irányelv hatályon kívül helyezéséről (HL L 158., 2004.4.30., 77. o., ELI: </w:t>
      </w:r>
      <w:hyperlink r:id="rId17" w:tooltip="Az ELI (európai jogszabály-azonosító) URI-hivatkozása révén biztosít hozzáférést a dokumentumhoz." w:history="1">
        <w:r>
          <w:rPr>
            <w:rStyle w:val="Hyperlink"/>
          </w:rPr>
          <w:t>http://data.europa.eu/eli/dir/2004/38/oj</w:t>
        </w:r>
      </w:hyperlink>
      <w:r>
        <w:t>).</w:t>
      </w:r>
    </w:p>
  </w:footnote>
  <w:footnote w:id="44">
    <w:p w:rsidR="00CA40FD" w:rsidRPr="008C332E" w:rsidRDefault="00CA40FD" w:rsidP="00CA40FD">
      <w:pPr>
        <w:pStyle w:val="FootnoteText"/>
      </w:pPr>
      <w:r>
        <w:rPr>
          <w:rStyle w:val="FootnoteReference"/>
        </w:rPr>
        <w:footnoteRef/>
      </w:r>
      <w:r>
        <w:tab/>
        <w:t>A Tanács (EU) XXXX/XXXX rendelete […] az uniós polgárok személyazonosító igazolványai és a szabad mozgás jogával élő uniós polgárok és azok családtagjai részére kiállított tartózkodási okmányok biztonságának megerősítéséről (HL L […]., […]. […] o., ELI: […]).</w:t>
      </w:r>
    </w:p>
  </w:footnote>
  <w:footnote w:id="45">
    <w:p w:rsidR="002D5A9A" w:rsidRPr="00F0603A" w:rsidRDefault="002D5A9A" w:rsidP="002D5A9A">
      <w:pPr>
        <w:pStyle w:val="FootnoteText"/>
      </w:pPr>
      <w:r>
        <w:rPr>
          <w:rStyle w:val="FootnoteReference"/>
        </w:rPr>
        <w:footnoteRef/>
      </w:r>
      <w:r>
        <w:tab/>
      </w:r>
      <w:r>
        <w:rPr>
          <w:rStyle w:val="normaltextrun"/>
        </w:rPr>
        <w:t>Az Európai Parlament és a Tanács (EU) XXXX/XXXX rendelete</w:t>
      </w:r>
      <w:r>
        <w:t xml:space="preserve"> […] az utazási adatok elektronikus benyújtására irányuló alkalmazás („EU Digital Travel” alkalmazás) létrehozásáról, valamint az (EU) 2016/399 és az (EU) 2018/1726 európai parlamenti és tanácsi rendeletnek és a 2252/2004/EK tanácsi rendeletnek a digitális utazási igazolványok alkalmazása tekintetében történő módosításáról (HL L [...]., [...]., [...]. o., ELI: […]).</w:t>
      </w:r>
    </w:p>
  </w:footnote>
  <w:footnote w:id="46">
    <w:p w:rsidR="00CA4968" w:rsidRPr="00E44666" w:rsidRDefault="00CA4968" w:rsidP="00CA4968">
      <w:pPr>
        <w:pStyle w:val="FootnoteText"/>
      </w:pPr>
      <w:r>
        <w:rPr>
          <w:rStyle w:val="FootnoteReference"/>
        </w:rPr>
        <w:footnoteRef/>
      </w:r>
      <w:r>
        <w:tab/>
      </w:r>
      <w:bookmarkStart w:id="7" w:name="_Hlk176537925"/>
      <w:r>
        <w:t xml:space="preserve">Az Európai Parlament és a Tanács 910/2014/EU rendelete (2014. július 23.) a belső piacon történő elektronikus tranzakciókhoz kapcsolódó elektronikus azonosításról és bizalmi szolgáltatásokról (HL L 257., 2014.8.28., 73. o., ELI: </w:t>
      </w:r>
      <w:hyperlink r:id="rId18" w:history="1">
        <w:r>
          <w:rPr>
            <w:rStyle w:val="Hyperlink"/>
          </w:rPr>
          <w:t>http://data.europa.eu/eli/reg/2014/910/oj</w:t>
        </w:r>
      </w:hyperlink>
      <w:r>
        <w:t>)</w:t>
      </w:r>
      <w:bookmarkEnd w:id="7"/>
      <w:r>
        <w:t>.</w:t>
      </w:r>
    </w:p>
  </w:footnote>
  <w:footnote w:id="47">
    <w:p w:rsidR="00571443" w:rsidRPr="00C12131" w:rsidRDefault="00571443" w:rsidP="00571443">
      <w:pPr>
        <w:pStyle w:val="FootnoteText"/>
      </w:pPr>
      <w:r>
        <w:rPr>
          <w:rStyle w:val="FootnoteReference"/>
          <w:lang w:val="en-IE"/>
        </w:rPr>
        <w:footnoteRef/>
      </w:r>
      <w:r>
        <w:tab/>
        <w:t xml:space="preserve">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(HL L 119., 2016.5.4., 1. o., ELI: </w:t>
      </w:r>
      <w:hyperlink r:id="rId19" w:tooltip="Az ELI (európai jogszabály-azonosító) URI-hivatkozása révén biztosít hozzáférést a dokumentumhoz." w:history="1">
        <w:r>
          <w:rPr>
            <w:rStyle w:val="Hyperlink"/>
          </w:rPr>
          <w:t>http://data.europa.eu/eli/reg/2016/679/oj</w:t>
        </w:r>
      </w:hyperlink>
      <w:r>
        <w:t>).</w:t>
      </w:r>
    </w:p>
  </w:footnote>
  <w:footnote w:id="48">
    <w:p w:rsidR="00DE44CC" w:rsidRPr="00E747C2" w:rsidRDefault="00DE44CC" w:rsidP="00DE44CC">
      <w:pPr>
        <w:pStyle w:val="FootnoteText"/>
      </w:pPr>
      <w:r>
        <w:rPr>
          <w:rStyle w:val="FootnoteReference"/>
        </w:rPr>
        <w:footnoteRef/>
      </w:r>
      <w:r>
        <w:tab/>
        <w:t xml:space="preserve">Az Európai Parlament és a Tanács 182/2011/EU rendelete (2011. február 16.) a Bizottság végrehajtási hatásköreinek gyakorlására vonatkozó tagállami ellenőrzési mechanizmusok szabályainak és általános elveinek megállapításáról (HL L 55., 2011.2.28., 13. o., ELI: </w:t>
      </w:r>
      <w:hyperlink r:id="rId20" w:history="1">
        <w:r>
          <w:rPr>
            <w:rStyle w:val="Hyperlink"/>
          </w:rPr>
          <w:t>http://data.europa.eu/eli/reg/2011/182/oj</w:t>
        </w:r>
      </w:hyperlink>
      <w:r>
        <w:t>).</w:t>
      </w:r>
    </w:p>
  </w:footnote>
  <w:footnote w:id="49">
    <w:p w:rsidR="00CA4968" w:rsidRPr="00792B73" w:rsidRDefault="00CA4968" w:rsidP="00CA4968">
      <w:pPr>
        <w:pStyle w:val="FootnoteText"/>
      </w:pPr>
      <w:r>
        <w:rPr>
          <w:rStyle w:val="FootnoteReference"/>
        </w:rPr>
        <w:footnoteRef/>
      </w:r>
      <w:r>
        <w:tab/>
        <w:t xml:space="preserve">Intézményközi megállapodás az Európai Parlament, az Európai Unió Tanácsa és az Európai Bizottság között a jogalkotás minőségének javításáról (HL L 123., 2016.5.12., 1. o., ELI: </w:t>
      </w:r>
      <w:hyperlink r:id="rId21" w:tooltip="Az ELI (európai jogszabály-azonosító) URI-hivatkozása révén biztosít hozzáférést a dokumentumhoz." w:history="1">
        <w:r>
          <w:rPr>
            <w:rStyle w:val="Hyperlink"/>
          </w:rPr>
          <w:t>http://data.europa.eu/eli/agree_interinstit/2016/512/oj</w:t>
        </w:r>
      </w:hyperlink>
      <w:r>
        <w:t>).</w:t>
      </w:r>
    </w:p>
  </w:footnote>
  <w:footnote w:id="50">
    <w:p w:rsidR="00A34CC1" w:rsidRPr="00F02B6C" w:rsidRDefault="00A34CC1" w:rsidP="00A34CC1">
      <w:pPr>
        <w:pStyle w:val="FootnoteText"/>
      </w:pPr>
      <w:r>
        <w:rPr>
          <w:rStyle w:val="FootnoteReference"/>
        </w:rPr>
        <w:footnoteRef/>
      </w:r>
      <w:r>
        <w:tab/>
        <w:t xml:space="preserve">Az Európai Parlament és a Tanács (EU) 2018/1725 (2018. október 23.) rendelete a természetes személyeknek a személyes adatok uniós intézmények, szervek, hivatalok és ügynökségek általi kezelése tekintetében való védelméről és az ilyen adatok szabad áramlásáról, valamint a 45/2001/EK rendelet és az 1247/2002/EK határozat hatályon kívül helyezéséről (HL L 295., 2018.11.21., 39. o., ELI: </w:t>
      </w:r>
      <w:hyperlink r:id="rId22" w:history="1">
        <w:r>
          <w:rPr>
            <w:rStyle w:val="Hyperlink"/>
          </w:rPr>
          <w:t>http://data.europa.eu/eli/reg/2018/1725/oj</w:t>
        </w:r>
      </w:hyperlink>
      <w:r>
        <w:t>).</w:t>
      </w:r>
    </w:p>
  </w:footnote>
  <w:footnote w:id="51">
    <w:p w:rsidR="00A34CC1" w:rsidRPr="004E73AC" w:rsidRDefault="00A34CC1" w:rsidP="00A34CC1">
      <w:pPr>
        <w:pStyle w:val="FootnoteText"/>
      </w:pPr>
      <w:r>
        <w:rPr>
          <w:rStyle w:val="FootnoteReference"/>
        </w:rPr>
        <w:footnoteRef/>
      </w:r>
      <w:r>
        <w:tab/>
        <w:t>HL C […]., […]., […]. o.</w:t>
      </w:r>
    </w:p>
  </w:footnote>
  <w:footnote w:id="52">
    <w:p w:rsidR="00A15D9A" w:rsidRPr="00A15D9A" w:rsidRDefault="00A15D9A">
      <w:pPr>
        <w:pStyle w:val="FootnoteText"/>
      </w:pPr>
      <w:r>
        <w:rPr>
          <w:rStyle w:val="FootnoteReference"/>
        </w:rPr>
        <w:footnoteRef/>
      </w:r>
      <w:r>
        <w:tab/>
        <w:t xml:space="preserve">A Tanács 1683/95/EK rendelete (1995. május 29.) a vízumok egységes formátumának meghatározásáról (HL L 164., 1995.7.14., 1. o., ELI: </w:t>
      </w:r>
      <w:hyperlink r:id="rId23" w:history="1">
        <w:r>
          <w:rPr>
            <w:rStyle w:val="Hyperlink"/>
          </w:rPr>
          <w:t>http://data.europa.eu/eli/reg/1995/1683/oj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4C" w:rsidRDefault="00216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4C" w:rsidRDefault="00216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39C644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1E7AA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9223D7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D1889D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0-07 14:46:1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2D10EC8-534D-4A19-8566-AE5820152009"/>
    <w:docVar w:name="LW_COVERPAGE_TYPE" w:val="1"/>
    <w:docVar w:name="LW_CROSSREFERENCE" w:val="{SWD(2024) 671 final} - {SWD(2024) 672 final}"/>
    <w:docVar w:name="LW_DocType" w:val="COM"/>
    <w:docVar w:name="LW_EMISSION" w:val="2024.10.8."/>
    <w:docVar w:name="LW_EMISSION_ISODATE" w:val="2024-10-08"/>
    <w:docVar w:name="LW_EMISSION_LOCATION" w:val="STR"/>
    <w:docVar w:name="LW_EMISSION_PREFIX" w:val="Strasbourg,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NS"/>
    <w:docVar w:name="LW_REF.II.NEW.CP_NUMBER" w:val="0248"/>
    <w:docVar w:name="LW_REF.II.NEW.CP_YEAR" w:val="2024"/>
    <w:docVar w:name="LW_REF.INST.NEW" w:val="COM"/>
    <w:docVar w:name="LW_REF.INST.NEW_ADOPTED" w:val="final"/>
    <w:docVar w:name="LW_REF.INST.NEW_TEXT" w:val="(2024) 67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 személyazonosító igazolványokon alapuló digitális utazási igazolványok kibocsátásáról és az azokra vonatkozó m\u369?szaki szabványokról"/>
    <w:docVar w:name="LW_TYPE.DOC.CP" w:val="A TANÁCS RENDELETE"/>
    <w:docVar w:name="LwApiVersions" w:val="LW4CoDe 1.24.5.0; LW 9.0, Build 20240221"/>
  </w:docVars>
  <w:rsids>
    <w:rsidRoot w:val="005D73A5"/>
    <w:rsid w:val="00001AC4"/>
    <w:rsid w:val="00002D46"/>
    <w:rsid w:val="0000428C"/>
    <w:rsid w:val="00007918"/>
    <w:rsid w:val="00011519"/>
    <w:rsid w:val="00011A8F"/>
    <w:rsid w:val="00012305"/>
    <w:rsid w:val="00014ED4"/>
    <w:rsid w:val="00022C19"/>
    <w:rsid w:val="00023FE0"/>
    <w:rsid w:val="0002477C"/>
    <w:rsid w:val="00041939"/>
    <w:rsid w:val="000427E6"/>
    <w:rsid w:val="00044999"/>
    <w:rsid w:val="00055F11"/>
    <w:rsid w:val="0006405C"/>
    <w:rsid w:val="00064CAC"/>
    <w:rsid w:val="00073584"/>
    <w:rsid w:val="00075255"/>
    <w:rsid w:val="000766D9"/>
    <w:rsid w:val="00090D5C"/>
    <w:rsid w:val="0009101A"/>
    <w:rsid w:val="000966FE"/>
    <w:rsid w:val="000A500A"/>
    <w:rsid w:val="000A6CDF"/>
    <w:rsid w:val="000B254C"/>
    <w:rsid w:val="000B4C0B"/>
    <w:rsid w:val="000B58A4"/>
    <w:rsid w:val="000C483A"/>
    <w:rsid w:val="000C76F0"/>
    <w:rsid w:val="000D47A6"/>
    <w:rsid w:val="000E579F"/>
    <w:rsid w:val="000E6FBC"/>
    <w:rsid w:val="000F46C4"/>
    <w:rsid w:val="0010432E"/>
    <w:rsid w:val="001065F5"/>
    <w:rsid w:val="00110CE3"/>
    <w:rsid w:val="00113D0B"/>
    <w:rsid w:val="001173EF"/>
    <w:rsid w:val="001238EF"/>
    <w:rsid w:val="0012420A"/>
    <w:rsid w:val="00126E07"/>
    <w:rsid w:val="00133AA3"/>
    <w:rsid w:val="001356B3"/>
    <w:rsid w:val="001419B7"/>
    <w:rsid w:val="00142C52"/>
    <w:rsid w:val="00145333"/>
    <w:rsid w:val="00150A0C"/>
    <w:rsid w:val="001544E3"/>
    <w:rsid w:val="00166ED4"/>
    <w:rsid w:val="00167C6C"/>
    <w:rsid w:val="00171516"/>
    <w:rsid w:val="00173468"/>
    <w:rsid w:val="00176A2D"/>
    <w:rsid w:val="001810C7"/>
    <w:rsid w:val="00181477"/>
    <w:rsid w:val="00194D64"/>
    <w:rsid w:val="00197613"/>
    <w:rsid w:val="001A36C2"/>
    <w:rsid w:val="001A5B13"/>
    <w:rsid w:val="001B1160"/>
    <w:rsid w:val="001B3EFF"/>
    <w:rsid w:val="001B6B99"/>
    <w:rsid w:val="001B75AD"/>
    <w:rsid w:val="001C5B3C"/>
    <w:rsid w:val="001C6BCE"/>
    <w:rsid w:val="001D39DF"/>
    <w:rsid w:val="001D4689"/>
    <w:rsid w:val="001E02AD"/>
    <w:rsid w:val="001E5304"/>
    <w:rsid w:val="001F66B4"/>
    <w:rsid w:val="001F71F6"/>
    <w:rsid w:val="00204AE7"/>
    <w:rsid w:val="00206786"/>
    <w:rsid w:val="0021417F"/>
    <w:rsid w:val="00215FB0"/>
    <w:rsid w:val="00216E4C"/>
    <w:rsid w:val="00217875"/>
    <w:rsid w:val="002302DB"/>
    <w:rsid w:val="00233DC7"/>
    <w:rsid w:val="002424CF"/>
    <w:rsid w:val="00247779"/>
    <w:rsid w:val="00250959"/>
    <w:rsid w:val="00256D09"/>
    <w:rsid w:val="002749E8"/>
    <w:rsid w:val="00285BEE"/>
    <w:rsid w:val="002940D4"/>
    <w:rsid w:val="0029533F"/>
    <w:rsid w:val="002A7E7B"/>
    <w:rsid w:val="002B30AF"/>
    <w:rsid w:val="002B4FF3"/>
    <w:rsid w:val="002C112E"/>
    <w:rsid w:val="002C306D"/>
    <w:rsid w:val="002C311E"/>
    <w:rsid w:val="002D4D87"/>
    <w:rsid w:val="002D547C"/>
    <w:rsid w:val="002D5A9A"/>
    <w:rsid w:val="002E1271"/>
    <w:rsid w:val="002E367D"/>
    <w:rsid w:val="002F0CB4"/>
    <w:rsid w:val="002F50A3"/>
    <w:rsid w:val="003017DD"/>
    <w:rsid w:val="003151F5"/>
    <w:rsid w:val="00316C9A"/>
    <w:rsid w:val="003208F0"/>
    <w:rsid w:val="00322BBA"/>
    <w:rsid w:val="00323CBC"/>
    <w:rsid w:val="00332DFF"/>
    <w:rsid w:val="0033344A"/>
    <w:rsid w:val="003429E9"/>
    <w:rsid w:val="00344F97"/>
    <w:rsid w:val="00356120"/>
    <w:rsid w:val="00382F51"/>
    <w:rsid w:val="00385563"/>
    <w:rsid w:val="00394052"/>
    <w:rsid w:val="00397C4C"/>
    <w:rsid w:val="003A0ABD"/>
    <w:rsid w:val="003A1ED8"/>
    <w:rsid w:val="003A6862"/>
    <w:rsid w:val="003C36C2"/>
    <w:rsid w:val="003D41B6"/>
    <w:rsid w:val="003D4BF3"/>
    <w:rsid w:val="003D5EC1"/>
    <w:rsid w:val="003F0ED4"/>
    <w:rsid w:val="003F327E"/>
    <w:rsid w:val="003F3EDD"/>
    <w:rsid w:val="003F5289"/>
    <w:rsid w:val="003F5B3B"/>
    <w:rsid w:val="00400F4C"/>
    <w:rsid w:val="004020B8"/>
    <w:rsid w:val="00402943"/>
    <w:rsid w:val="004038A5"/>
    <w:rsid w:val="00416C2B"/>
    <w:rsid w:val="00421565"/>
    <w:rsid w:val="00422BAD"/>
    <w:rsid w:val="0042648E"/>
    <w:rsid w:val="004275A7"/>
    <w:rsid w:val="00430E3E"/>
    <w:rsid w:val="00436FF4"/>
    <w:rsid w:val="00445AA3"/>
    <w:rsid w:val="004477D8"/>
    <w:rsid w:val="00456353"/>
    <w:rsid w:val="00464A10"/>
    <w:rsid w:val="00466887"/>
    <w:rsid w:val="004722BD"/>
    <w:rsid w:val="00475B14"/>
    <w:rsid w:val="00480AF2"/>
    <w:rsid w:val="004936D2"/>
    <w:rsid w:val="004A00C5"/>
    <w:rsid w:val="004A2328"/>
    <w:rsid w:val="004A66DE"/>
    <w:rsid w:val="004B2736"/>
    <w:rsid w:val="004B6608"/>
    <w:rsid w:val="004B6D3E"/>
    <w:rsid w:val="004C32F1"/>
    <w:rsid w:val="004D3D4E"/>
    <w:rsid w:val="004E14F9"/>
    <w:rsid w:val="004E74D4"/>
    <w:rsid w:val="004F1533"/>
    <w:rsid w:val="00503CCC"/>
    <w:rsid w:val="00507EE3"/>
    <w:rsid w:val="0051018A"/>
    <w:rsid w:val="00510884"/>
    <w:rsid w:val="0051298A"/>
    <w:rsid w:val="00513032"/>
    <w:rsid w:val="0051331E"/>
    <w:rsid w:val="00513374"/>
    <w:rsid w:val="005231CD"/>
    <w:rsid w:val="00525B02"/>
    <w:rsid w:val="00527E70"/>
    <w:rsid w:val="00530933"/>
    <w:rsid w:val="00536244"/>
    <w:rsid w:val="00536E17"/>
    <w:rsid w:val="00537ECF"/>
    <w:rsid w:val="0054068B"/>
    <w:rsid w:val="00543095"/>
    <w:rsid w:val="005442F8"/>
    <w:rsid w:val="0055073E"/>
    <w:rsid w:val="00557FAB"/>
    <w:rsid w:val="0056127F"/>
    <w:rsid w:val="0056570A"/>
    <w:rsid w:val="00565914"/>
    <w:rsid w:val="00571443"/>
    <w:rsid w:val="00580E8E"/>
    <w:rsid w:val="00582027"/>
    <w:rsid w:val="00582073"/>
    <w:rsid w:val="00585D67"/>
    <w:rsid w:val="005A7222"/>
    <w:rsid w:val="005B1EB6"/>
    <w:rsid w:val="005B3257"/>
    <w:rsid w:val="005C377F"/>
    <w:rsid w:val="005C5458"/>
    <w:rsid w:val="005D73A5"/>
    <w:rsid w:val="005D7F92"/>
    <w:rsid w:val="005E3069"/>
    <w:rsid w:val="005F6661"/>
    <w:rsid w:val="005F71E9"/>
    <w:rsid w:val="0060111B"/>
    <w:rsid w:val="00603BD8"/>
    <w:rsid w:val="006054BE"/>
    <w:rsid w:val="00613B5A"/>
    <w:rsid w:val="00614494"/>
    <w:rsid w:val="006379D5"/>
    <w:rsid w:val="00645BE1"/>
    <w:rsid w:val="006464F4"/>
    <w:rsid w:val="006531B3"/>
    <w:rsid w:val="0065639F"/>
    <w:rsid w:val="00656A71"/>
    <w:rsid w:val="0065795C"/>
    <w:rsid w:val="006614DE"/>
    <w:rsid w:val="00666A05"/>
    <w:rsid w:val="00682F7E"/>
    <w:rsid w:val="006A4A30"/>
    <w:rsid w:val="006B15DA"/>
    <w:rsid w:val="006B7378"/>
    <w:rsid w:val="006C2C1B"/>
    <w:rsid w:val="006D074C"/>
    <w:rsid w:val="006D1EF7"/>
    <w:rsid w:val="006E0763"/>
    <w:rsid w:val="006F2308"/>
    <w:rsid w:val="006F39AE"/>
    <w:rsid w:val="006F6FF7"/>
    <w:rsid w:val="006F7194"/>
    <w:rsid w:val="0070186E"/>
    <w:rsid w:val="00704BC0"/>
    <w:rsid w:val="007070E8"/>
    <w:rsid w:val="00707A64"/>
    <w:rsid w:val="0071312E"/>
    <w:rsid w:val="00726FBD"/>
    <w:rsid w:val="00737EE8"/>
    <w:rsid w:val="007534A0"/>
    <w:rsid w:val="00756D23"/>
    <w:rsid w:val="00757ED1"/>
    <w:rsid w:val="0076124C"/>
    <w:rsid w:val="00763943"/>
    <w:rsid w:val="00770674"/>
    <w:rsid w:val="00773331"/>
    <w:rsid w:val="00775D53"/>
    <w:rsid w:val="00786C02"/>
    <w:rsid w:val="00792B73"/>
    <w:rsid w:val="007932EF"/>
    <w:rsid w:val="0079614F"/>
    <w:rsid w:val="00796A16"/>
    <w:rsid w:val="007A2BC6"/>
    <w:rsid w:val="007A2EA1"/>
    <w:rsid w:val="007B52F3"/>
    <w:rsid w:val="007C2E25"/>
    <w:rsid w:val="007C3D6F"/>
    <w:rsid w:val="007C57DD"/>
    <w:rsid w:val="007C5C2F"/>
    <w:rsid w:val="007C759F"/>
    <w:rsid w:val="007D5056"/>
    <w:rsid w:val="007D56EB"/>
    <w:rsid w:val="007E05B0"/>
    <w:rsid w:val="007F52B8"/>
    <w:rsid w:val="007F6AE4"/>
    <w:rsid w:val="00800D31"/>
    <w:rsid w:val="008054B0"/>
    <w:rsid w:val="00805DC0"/>
    <w:rsid w:val="00812508"/>
    <w:rsid w:val="008167F9"/>
    <w:rsid w:val="00822CBE"/>
    <w:rsid w:val="008245A0"/>
    <w:rsid w:val="00830599"/>
    <w:rsid w:val="00831F8E"/>
    <w:rsid w:val="00834C3A"/>
    <w:rsid w:val="0084089E"/>
    <w:rsid w:val="008432ED"/>
    <w:rsid w:val="008474D7"/>
    <w:rsid w:val="00851226"/>
    <w:rsid w:val="008526FF"/>
    <w:rsid w:val="00864D50"/>
    <w:rsid w:val="00865D0C"/>
    <w:rsid w:val="00874D22"/>
    <w:rsid w:val="00883026"/>
    <w:rsid w:val="008833F2"/>
    <w:rsid w:val="0089242A"/>
    <w:rsid w:val="0089641D"/>
    <w:rsid w:val="008A2914"/>
    <w:rsid w:val="008A29B1"/>
    <w:rsid w:val="008A7081"/>
    <w:rsid w:val="008B0AA4"/>
    <w:rsid w:val="008B0CE4"/>
    <w:rsid w:val="008D31FC"/>
    <w:rsid w:val="008D5EB5"/>
    <w:rsid w:val="008E3810"/>
    <w:rsid w:val="008E4119"/>
    <w:rsid w:val="008E4D8E"/>
    <w:rsid w:val="00916C86"/>
    <w:rsid w:val="00940D12"/>
    <w:rsid w:val="009479CD"/>
    <w:rsid w:val="00960485"/>
    <w:rsid w:val="009671D3"/>
    <w:rsid w:val="00967465"/>
    <w:rsid w:val="00967F06"/>
    <w:rsid w:val="009708DF"/>
    <w:rsid w:val="00982EDF"/>
    <w:rsid w:val="00983E77"/>
    <w:rsid w:val="00991117"/>
    <w:rsid w:val="009A3FEC"/>
    <w:rsid w:val="009A6150"/>
    <w:rsid w:val="009A6FFA"/>
    <w:rsid w:val="009B12AF"/>
    <w:rsid w:val="009C159E"/>
    <w:rsid w:val="009C3847"/>
    <w:rsid w:val="009D1583"/>
    <w:rsid w:val="009D2060"/>
    <w:rsid w:val="009D2A8C"/>
    <w:rsid w:val="009E2C03"/>
    <w:rsid w:val="00A076F3"/>
    <w:rsid w:val="00A15D9A"/>
    <w:rsid w:val="00A21972"/>
    <w:rsid w:val="00A25D5B"/>
    <w:rsid w:val="00A34CC1"/>
    <w:rsid w:val="00A36995"/>
    <w:rsid w:val="00A40D3A"/>
    <w:rsid w:val="00A450AC"/>
    <w:rsid w:val="00A528E3"/>
    <w:rsid w:val="00A530AB"/>
    <w:rsid w:val="00A5468B"/>
    <w:rsid w:val="00A60FEE"/>
    <w:rsid w:val="00A718A1"/>
    <w:rsid w:val="00A756A3"/>
    <w:rsid w:val="00A95FE4"/>
    <w:rsid w:val="00AA2FA7"/>
    <w:rsid w:val="00AA54C7"/>
    <w:rsid w:val="00AB59B0"/>
    <w:rsid w:val="00AC12A5"/>
    <w:rsid w:val="00AC5C97"/>
    <w:rsid w:val="00AD1DD9"/>
    <w:rsid w:val="00AD4D20"/>
    <w:rsid w:val="00AD6156"/>
    <w:rsid w:val="00AD6ACA"/>
    <w:rsid w:val="00AE6A86"/>
    <w:rsid w:val="00AF5BF3"/>
    <w:rsid w:val="00B07B6F"/>
    <w:rsid w:val="00B14F94"/>
    <w:rsid w:val="00B204E8"/>
    <w:rsid w:val="00B258D5"/>
    <w:rsid w:val="00B40993"/>
    <w:rsid w:val="00B513BB"/>
    <w:rsid w:val="00B53DF0"/>
    <w:rsid w:val="00B66642"/>
    <w:rsid w:val="00B9653B"/>
    <w:rsid w:val="00B97AFB"/>
    <w:rsid w:val="00BB7030"/>
    <w:rsid w:val="00BC4746"/>
    <w:rsid w:val="00BD0FCC"/>
    <w:rsid w:val="00BD376B"/>
    <w:rsid w:val="00BD404C"/>
    <w:rsid w:val="00BF1926"/>
    <w:rsid w:val="00C00DEF"/>
    <w:rsid w:val="00C02B89"/>
    <w:rsid w:val="00C12301"/>
    <w:rsid w:val="00C14A89"/>
    <w:rsid w:val="00C2315B"/>
    <w:rsid w:val="00C25833"/>
    <w:rsid w:val="00C3218E"/>
    <w:rsid w:val="00C32420"/>
    <w:rsid w:val="00C35BC0"/>
    <w:rsid w:val="00C37271"/>
    <w:rsid w:val="00C50742"/>
    <w:rsid w:val="00C60DDB"/>
    <w:rsid w:val="00C61F92"/>
    <w:rsid w:val="00C644AD"/>
    <w:rsid w:val="00C7240F"/>
    <w:rsid w:val="00C94214"/>
    <w:rsid w:val="00CA163C"/>
    <w:rsid w:val="00CA40FD"/>
    <w:rsid w:val="00CA4517"/>
    <w:rsid w:val="00CA4968"/>
    <w:rsid w:val="00CB1644"/>
    <w:rsid w:val="00CB4CAE"/>
    <w:rsid w:val="00CD187E"/>
    <w:rsid w:val="00CD7548"/>
    <w:rsid w:val="00CE1767"/>
    <w:rsid w:val="00CE2C53"/>
    <w:rsid w:val="00CE49C7"/>
    <w:rsid w:val="00D05F0A"/>
    <w:rsid w:val="00D07A30"/>
    <w:rsid w:val="00D11727"/>
    <w:rsid w:val="00D1475A"/>
    <w:rsid w:val="00D17CD9"/>
    <w:rsid w:val="00D20381"/>
    <w:rsid w:val="00D25317"/>
    <w:rsid w:val="00D3430A"/>
    <w:rsid w:val="00D409F4"/>
    <w:rsid w:val="00D410D4"/>
    <w:rsid w:val="00D41808"/>
    <w:rsid w:val="00D537D8"/>
    <w:rsid w:val="00D546C5"/>
    <w:rsid w:val="00D55E2C"/>
    <w:rsid w:val="00D56554"/>
    <w:rsid w:val="00D62EDE"/>
    <w:rsid w:val="00D646D7"/>
    <w:rsid w:val="00D726FF"/>
    <w:rsid w:val="00D72EB0"/>
    <w:rsid w:val="00D808A2"/>
    <w:rsid w:val="00D84A22"/>
    <w:rsid w:val="00D95908"/>
    <w:rsid w:val="00D95954"/>
    <w:rsid w:val="00D96875"/>
    <w:rsid w:val="00D969D0"/>
    <w:rsid w:val="00D97685"/>
    <w:rsid w:val="00DA14DF"/>
    <w:rsid w:val="00DA31DB"/>
    <w:rsid w:val="00DA31DE"/>
    <w:rsid w:val="00DA5B2E"/>
    <w:rsid w:val="00DB23D8"/>
    <w:rsid w:val="00DB2DB3"/>
    <w:rsid w:val="00DC664D"/>
    <w:rsid w:val="00DD077A"/>
    <w:rsid w:val="00DD2496"/>
    <w:rsid w:val="00DE44CC"/>
    <w:rsid w:val="00DF16AF"/>
    <w:rsid w:val="00DF22F1"/>
    <w:rsid w:val="00DF404E"/>
    <w:rsid w:val="00DF4DDC"/>
    <w:rsid w:val="00DF7675"/>
    <w:rsid w:val="00E05B93"/>
    <w:rsid w:val="00E107E9"/>
    <w:rsid w:val="00E20815"/>
    <w:rsid w:val="00E239DF"/>
    <w:rsid w:val="00E24C79"/>
    <w:rsid w:val="00E2745C"/>
    <w:rsid w:val="00E3018D"/>
    <w:rsid w:val="00E305D0"/>
    <w:rsid w:val="00E317F7"/>
    <w:rsid w:val="00E31C46"/>
    <w:rsid w:val="00E339FF"/>
    <w:rsid w:val="00E352C0"/>
    <w:rsid w:val="00E35F90"/>
    <w:rsid w:val="00E40C5B"/>
    <w:rsid w:val="00E41FE1"/>
    <w:rsid w:val="00E43102"/>
    <w:rsid w:val="00E4310C"/>
    <w:rsid w:val="00E456BB"/>
    <w:rsid w:val="00E57AC7"/>
    <w:rsid w:val="00E62CD2"/>
    <w:rsid w:val="00E64536"/>
    <w:rsid w:val="00E657D3"/>
    <w:rsid w:val="00E72A9E"/>
    <w:rsid w:val="00E72F7C"/>
    <w:rsid w:val="00E7365C"/>
    <w:rsid w:val="00E82399"/>
    <w:rsid w:val="00E82445"/>
    <w:rsid w:val="00E85FB0"/>
    <w:rsid w:val="00E94059"/>
    <w:rsid w:val="00E94FC5"/>
    <w:rsid w:val="00E95464"/>
    <w:rsid w:val="00E973AA"/>
    <w:rsid w:val="00EA26A3"/>
    <w:rsid w:val="00EB2C46"/>
    <w:rsid w:val="00EB53D7"/>
    <w:rsid w:val="00EC103E"/>
    <w:rsid w:val="00ED2120"/>
    <w:rsid w:val="00ED47A4"/>
    <w:rsid w:val="00ED7158"/>
    <w:rsid w:val="00ED739A"/>
    <w:rsid w:val="00EE60FF"/>
    <w:rsid w:val="00F00840"/>
    <w:rsid w:val="00F05D14"/>
    <w:rsid w:val="00F0640F"/>
    <w:rsid w:val="00F31C76"/>
    <w:rsid w:val="00F3784B"/>
    <w:rsid w:val="00F416F1"/>
    <w:rsid w:val="00F41B0E"/>
    <w:rsid w:val="00F55F5B"/>
    <w:rsid w:val="00F55F89"/>
    <w:rsid w:val="00F56F48"/>
    <w:rsid w:val="00F63B38"/>
    <w:rsid w:val="00F654E6"/>
    <w:rsid w:val="00F852DD"/>
    <w:rsid w:val="00F86C90"/>
    <w:rsid w:val="00F90CB7"/>
    <w:rsid w:val="00F950CC"/>
    <w:rsid w:val="00FA0356"/>
    <w:rsid w:val="00FA36A5"/>
    <w:rsid w:val="00FC29E0"/>
    <w:rsid w:val="00FC38F8"/>
    <w:rsid w:val="00FC57BB"/>
    <w:rsid w:val="00FD5971"/>
    <w:rsid w:val="00FF2666"/>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F60A6AE-8840-42A6-AAFF-829E66F4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378"/>
    <w:rPr>
      <w:color w:val="0000FF"/>
      <w:u w:val="single"/>
    </w:rPr>
  </w:style>
  <w:style w:type="paragraph" w:customStyle="1" w:styleId="CharCharChar1">
    <w:name w:val="Char Char Char1"/>
    <w:basedOn w:val="Normal"/>
    <w:link w:val="FootnoteReference"/>
    <w:uiPriority w:val="99"/>
    <w:rsid w:val="006B7378"/>
    <w:pPr>
      <w:spacing w:before="0" w:after="160" w:line="240" w:lineRule="exact"/>
    </w:pPr>
    <w:rPr>
      <w:rFonts w:asciiTheme="minorHAnsi" w:hAnsiTheme="minorHAnsi" w:cstheme="minorBidi"/>
      <w:sz w:val="22"/>
      <w:vertAlign w:val="superscript"/>
    </w:rPr>
  </w:style>
  <w:style w:type="paragraph" w:styleId="ListBullet">
    <w:name w:val="List Bullet"/>
    <w:basedOn w:val="Normal"/>
    <w:uiPriority w:val="99"/>
    <w:semiHidden/>
    <w:unhideWhenUsed/>
    <w:rsid w:val="008D5EB5"/>
    <w:pPr>
      <w:numPr>
        <w:numId w:val="1"/>
      </w:numPr>
      <w:contextualSpacing/>
    </w:pPr>
  </w:style>
  <w:style w:type="paragraph" w:styleId="ListBullet2">
    <w:name w:val="List Bullet 2"/>
    <w:basedOn w:val="Normal"/>
    <w:uiPriority w:val="99"/>
    <w:semiHidden/>
    <w:unhideWhenUsed/>
    <w:rsid w:val="008D5EB5"/>
    <w:pPr>
      <w:numPr>
        <w:numId w:val="2"/>
      </w:numPr>
      <w:contextualSpacing/>
    </w:pPr>
  </w:style>
  <w:style w:type="paragraph" w:styleId="ListBullet3">
    <w:name w:val="List Bullet 3"/>
    <w:basedOn w:val="Normal"/>
    <w:uiPriority w:val="99"/>
    <w:semiHidden/>
    <w:unhideWhenUsed/>
    <w:rsid w:val="008D5EB5"/>
    <w:pPr>
      <w:numPr>
        <w:numId w:val="3"/>
      </w:numPr>
      <w:contextualSpacing/>
    </w:pPr>
  </w:style>
  <w:style w:type="paragraph" w:styleId="ListBullet4">
    <w:name w:val="List Bullet 4"/>
    <w:basedOn w:val="Normal"/>
    <w:uiPriority w:val="99"/>
    <w:semiHidden/>
    <w:unhideWhenUsed/>
    <w:rsid w:val="008D5EB5"/>
    <w:pPr>
      <w:numPr>
        <w:numId w:val="4"/>
      </w:numPr>
      <w:contextualSpacing/>
    </w:pPr>
  </w:style>
  <w:style w:type="character" w:customStyle="1" w:styleId="outputecli">
    <w:name w:val="outputecli"/>
    <w:basedOn w:val="DefaultParagraphFont"/>
    <w:rsid w:val="00EB2C46"/>
  </w:style>
  <w:style w:type="character" w:customStyle="1" w:styleId="normaltextrun">
    <w:name w:val="normaltextrun"/>
    <w:basedOn w:val="DefaultParagraphFont"/>
    <w:rsid w:val="00E85FB0"/>
  </w:style>
  <w:style w:type="paragraph" w:customStyle="1" w:styleId="paragraph">
    <w:name w:val="paragraph"/>
    <w:basedOn w:val="Normal"/>
    <w:rsid w:val="00666A05"/>
    <w:pPr>
      <w:spacing w:before="100" w:beforeAutospacing="1" w:after="100" w:afterAutospacing="1"/>
      <w:jc w:val="left"/>
    </w:pPr>
    <w:rPr>
      <w:rFonts w:eastAsia="Times New Roman"/>
      <w:szCs w:val="24"/>
      <w:lang w:eastAsia="en-IE"/>
    </w:rPr>
  </w:style>
  <w:style w:type="character" w:styleId="Strong">
    <w:name w:val="Strong"/>
    <w:basedOn w:val="DefaultParagraphFont"/>
    <w:uiPriority w:val="22"/>
    <w:qFormat/>
    <w:rsid w:val="00256D09"/>
    <w:rPr>
      <w:b/>
      <w:bCs/>
    </w:rPr>
  </w:style>
  <w:style w:type="paragraph" w:customStyle="1" w:styleId="Normal1">
    <w:name w:val="Normal1"/>
    <w:basedOn w:val="Normal"/>
    <w:rsid w:val="004C32F1"/>
    <w:pPr>
      <w:spacing w:before="100" w:beforeAutospacing="1" w:after="100" w:afterAutospacing="1"/>
      <w:jc w:val="left"/>
    </w:pPr>
    <w:rPr>
      <w:rFonts w:eastAsia="Times New Roman"/>
      <w:szCs w:val="24"/>
      <w:lang w:eastAsia="en-IE"/>
    </w:rPr>
  </w:style>
  <w:style w:type="character" w:customStyle="1" w:styleId="UnresolvedMention">
    <w:name w:val="Unresolved Mention"/>
    <w:basedOn w:val="DefaultParagraphFont"/>
    <w:uiPriority w:val="99"/>
    <w:semiHidden/>
    <w:unhideWhenUsed/>
    <w:rsid w:val="00792B73"/>
    <w:rPr>
      <w:color w:val="605E5C"/>
      <w:shd w:val="clear" w:color="auto" w:fill="E1DFDD"/>
    </w:rPr>
  </w:style>
  <w:style w:type="character" w:customStyle="1" w:styleId="footnotereference0">
    <w:name w:val="footnotereference"/>
    <w:basedOn w:val="DefaultParagraphFont"/>
    <w:rsid w:val="00CA4968"/>
  </w:style>
  <w:style w:type="character" w:styleId="FollowedHyperlink">
    <w:name w:val="FollowedHyperlink"/>
    <w:basedOn w:val="DefaultParagraphFont"/>
    <w:uiPriority w:val="99"/>
    <w:semiHidden/>
    <w:unhideWhenUsed/>
    <w:rsid w:val="005C377F"/>
    <w:rPr>
      <w:color w:val="800080" w:themeColor="followedHyperlink"/>
      <w:u w:val="single"/>
    </w:rPr>
  </w:style>
  <w:style w:type="character" w:styleId="Emphasis">
    <w:name w:val="Emphasis"/>
    <w:basedOn w:val="DefaultParagraphFont"/>
    <w:uiPriority w:val="20"/>
    <w:qFormat/>
    <w:rsid w:val="00A21972"/>
    <w:rPr>
      <w:i/>
      <w:iCs/>
    </w:rPr>
  </w:style>
  <w:style w:type="paragraph" w:styleId="EndnoteText">
    <w:name w:val="endnote text"/>
    <w:basedOn w:val="Normal"/>
    <w:link w:val="EndnoteTextChar"/>
    <w:uiPriority w:val="99"/>
    <w:semiHidden/>
    <w:unhideWhenUsed/>
    <w:rsid w:val="00322BBA"/>
    <w:pPr>
      <w:spacing w:before="0" w:after="0"/>
    </w:pPr>
    <w:rPr>
      <w:sz w:val="20"/>
      <w:szCs w:val="20"/>
    </w:rPr>
  </w:style>
  <w:style w:type="character" w:customStyle="1" w:styleId="EndnoteTextChar">
    <w:name w:val="Endnote Text Char"/>
    <w:basedOn w:val="DefaultParagraphFont"/>
    <w:link w:val="EndnoteText"/>
    <w:uiPriority w:val="99"/>
    <w:semiHidden/>
    <w:rsid w:val="00322BBA"/>
    <w:rPr>
      <w:rFonts w:ascii="Times New Roman" w:hAnsi="Times New Roman" w:cs="Times New Roman"/>
      <w:sz w:val="20"/>
      <w:szCs w:val="20"/>
      <w:lang w:val="hu-HU"/>
    </w:rPr>
  </w:style>
  <w:style w:type="character" w:styleId="EndnoteReference">
    <w:name w:val="endnote reference"/>
    <w:basedOn w:val="DefaultParagraphFont"/>
    <w:uiPriority w:val="99"/>
    <w:semiHidden/>
    <w:unhideWhenUsed/>
    <w:rsid w:val="00322BBA"/>
    <w:rPr>
      <w:vertAlign w:val="superscript"/>
    </w:rPr>
  </w:style>
  <w:style w:type="character" w:styleId="CommentReference">
    <w:name w:val="annotation reference"/>
    <w:basedOn w:val="DefaultParagraphFont"/>
    <w:uiPriority w:val="99"/>
    <w:semiHidden/>
    <w:unhideWhenUsed/>
    <w:rsid w:val="00851226"/>
    <w:rPr>
      <w:sz w:val="16"/>
      <w:szCs w:val="16"/>
    </w:rPr>
  </w:style>
  <w:style w:type="paragraph" w:styleId="CommentText">
    <w:name w:val="annotation text"/>
    <w:basedOn w:val="Normal"/>
    <w:link w:val="CommentTextChar"/>
    <w:uiPriority w:val="99"/>
    <w:unhideWhenUsed/>
    <w:rsid w:val="00B53DF0"/>
    <w:rPr>
      <w:sz w:val="20"/>
      <w:szCs w:val="20"/>
    </w:rPr>
  </w:style>
  <w:style w:type="character" w:customStyle="1" w:styleId="CommentTextChar">
    <w:name w:val="Comment Text Char"/>
    <w:basedOn w:val="DefaultParagraphFont"/>
    <w:link w:val="CommentText"/>
    <w:uiPriority w:val="99"/>
    <w:rsid w:val="00851226"/>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851226"/>
    <w:rPr>
      <w:b/>
      <w:bCs/>
    </w:rPr>
  </w:style>
  <w:style w:type="character" w:customStyle="1" w:styleId="CommentSubjectChar">
    <w:name w:val="Comment Subject Char"/>
    <w:basedOn w:val="CommentTextChar"/>
    <w:link w:val="CommentSubject"/>
    <w:uiPriority w:val="99"/>
    <w:semiHidden/>
    <w:rsid w:val="00851226"/>
    <w:rPr>
      <w:rFonts w:ascii="Times New Roman" w:hAnsi="Times New Roman" w:cs="Times New Roman"/>
      <w:b/>
      <w:bCs/>
      <w:sz w:val="20"/>
      <w:szCs w:val="20"/>
      <w:lang w:val="hu-HU"/>
    </w:rPr>
  </w:style>
  <w:style w:type="paragraph" w:styleId="Revision">
    <w:name w:val="Revision"/>
    <w:hidden/>
    <w:uiPriority w:val="99"/>
    <w:semiHidden/>
    <w:rsid w:val="00022C19"/>
    <w:pPr>
      <w:spacing w:after="0" w:line="240" w:lineRule="auto"/>
    </w:pPr>
    <w:rPr>
      <w:rFonts w:ascii="Times New Roman" w:hAnsi="Times New Roman" w:cs="Times New Roman"/>
      <w:sz w:val="24"/>
    </w:rPr>
  </w:style>
  <w:style w:type="paragraph" w:customStyle="1" w:styleId="c01pointnumerotealtn">
    <w:name w:val="c01pointnumerotealtn"/>
    <w:basedOn w:val="Normal"/>
    <w:rsid w:val="00402943"/>
    <w:pPr>
      <w:spacing w:before="100" w:beforeAutospacing="1" w:after="100" w:afterAutospacing="1"/>
      <w:jc w:val="left"/>
    </w:pPr>
    <w:rPr>
      <w:rFonts w:eastAsia="Times New Roman"/>
      <w:szCs w:val="24"/>
      <w:lang w:eastAsia="en-IE"/>
    </w:rPr>
  </w:style>
  <w:style w:type="character" w:customStyle="1" w:styleId="HeaderChar">
    <w:name w:val="Header Char"/>
    <w:basedOn w:val="DefaultParagraphFont"/>
    <w:link w:val="Header"/>
    <w:uiPriority w:val="99"/>
    <w:rsid w:val="00216E4C"/>
    <w:rPr>
      <w:rFonts w:ascii="Times New Roman" w:hAnsi="Times New Roman" w:cs="Times New Roman"/>
      <w:sz w:val="24"/>
      <w:lang w:val="hu-HU"/>
    </w:rPr>
  </w:style>
  <w:style w:type="character" w:customStyle="1" w:styleId="FooterChar">
    <w:name w:val="Footer Char"/>
    <w:basedOn w:val="DefaultParagraphFont"/>
    <w:link w:val="Footer"/>
    <w:uiPriority w:val="99"/>
    <w:rsid w:val="00216E4C"/>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216E4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16E4C"/>
    <w:pPr>
      <w:spacing w:before="0"/>
      <w:jc w:val="right"/>
    </w:pPr>
    <w:rPr>
      <w:sz w:val="28"/>
    </w:rPr>
  </w:style>
  <w:style w:type="paragraph" w:customStyle="1" w:styleId="FooterSensitivity">
    <w:name w:val="Footer Sensitivity"/>
    <w:basedOn w:val="Normal"/>
    <w:rsid w:val="00216E4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16E4C"/>
    <w:pPr>
      <w:tabs>
        <w:tab w:val="center" w:pos="4535"/>
        <w:tab w:val="right" w:pos="9071"/>
      </w:tabs>
      <w:spacing w:before="0"/>
    </w:pPr>
  </w:style>
  <w:style w:type="paragraph" w:customStyle="1" w:styleId="HeaderLandscape">
    <w:name w:val="HeaderLandscape"/>
    <w:basedOn w:val="Normal"/>
    <w:rsid w:val="00216E4C"/>
    <w:pPr>
      <w:tabs>
        <w:tab w:val="center" w:pos="7285"/>
        <w:tab w:val="right" w:pos="14003"/>
      </w:tabs>
      <w:spacing w:before="0"/>
    </w:pPr>
  </w:style>
  <w:style w:type="paragraph" w:styleId="Footer">
    <w:name w:val="footer"/>
    <w:basedOn w:val="Normal"/>
    <w:link w:val="FooterChar"/>
    <w:uiPriority w:val="99"/>
    <w:unhideWhenUsed/>
    <w:rsid w:val="00216E4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16E4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3616">
      <w:bodyDiv w:val="1"/>
      <w:marLeft w:val="0"/>
      <w:marRight w:val="0"/>
      <w:marTop w:val="0"/>
      <w:marBottom w:val="0"/>
      <w:divBdr>
        <w:top w:val="none" w:sz="0" w:space="0" w:color="auto"/>
        <w:left w:val="none" w:sz="0" w:space="0" w:color="auto"/>
        <w:bottom w:val="none" w:sz="0" w:space="0" w:color="auto"/>
        <w:right w:val="none" w:sz="0" w:space="0" w:color="auto"/>
      </w:divBdr>
    </w:div>
    <w:div w:id="286814244">
      <w:bodyDiv w:val="1"/>
      <w:marLeft w:val="0"/>
      <w:marRight w:val="0"/>
      <w:marTop w:val="0"/>
      <w:marBottom w:val="0"/>
      <w:divBdr>
        <w:top w:val="none" w:sz="0" w:space="0" w:color="auto"/>
        <w:left w:val="none" w:sz="0" w:space="0" w:color="auto"/>
        <w:bottom w:val="none" w:sz="0" w:space="0" w:color="auto"/>
        <w:right w:val="none" w:sz="0" w:space="0" w:color="auto"/>
      </w:divBdr>
    </w:div>
    <w:div w:id="377515652">
      <w:bodyDiv w:val="1"/>
      <w:marLeft w:val="0"/>
      <w:marRight w:val="0"/>
      <w:marTop w:val="0"/>
      <w:marBottom w:val="0"/>
      <w:divBdr>
        <w:top w:val="none" w:sz="0" w:space="0" w:color="auto"/>
        <w:left w:val="none" w:sz="0" w:space="0" w:color="auto"/>
        <w:bottom w:val="none" w:sz="0" w:space="0" w:color="auto"/>
        <w:right w:val="none" w:sz="0" w:space="0" w:color="auto"/>
      </w:divBdr>
    </w:div>
    <w:div w:id="439178926">
      <w:bodyDiv w:val="1"/>
      <w:marLeft w:val="0"/>
      <w:marRight w:val="0"/>
      <w:marTop w:val="0"/>
      <w:marBottom w:val="0"/>
      <w:divBdr>
        <w:top w:val="none" w:sz="0" w:space="0" w:color="auto"/>
        <w:left w:val="none" w:sz="0" w:space="0" w:color="auto"/>
        <w:bottom w:val="none" w:sz="0" w:space="0" w:color="auto"/>
        <w:right w:val="none" w:sz="0" w:space="0" w:color="auto"/>
      </w:divBdr>
    </w:div>
    <w:div w:id="456992817">
      <w:bodyDiv w:val="1"/>
      <w:marLeft w:val="0"/>
      <w:marRight w:val="0"/>
      <w:marTop w:val="0"/>
      <w:marBottom w:val="0"/>
      <w:divBdr>
        <w:top w:val="none" w:sz="0" w:space="0" w:color="auto"/>
        <w:left w:val="none" w:sz="0" w:space="0" w:color="auto"/>
        <w:bottom w:val="none" w:sz="0" w:space="0" w:color="auto"/>
        <w:right w:val="none" w:sz="0" w:space="0" w:color="auto"/>
      </w:divBdr>
    </w:div>
    <w:div w:id="516694655">
      <w:bodyDiv w:val="1"/>
      <w:marLeft w:val="0"/>
      <w:marRight w:val="0"/>
      <w:marTop w:val="0"/>
      <w:marBottom w:val="0"/>
      <w:divBdr>
        <w:top w:val="none" w:sz="0" w:space="0" w:color="auto"/>
        <w:left w:val="none" w:sz="0" w:space="0" w:color="auto"/>
        <w:bottom w:val="none" w:sz="0" w:space="0" w:color="auto"/>
        <w:right w:val="none" w:sz="0" w:space="0" w:color="auto"/>
      </w:divBdr>
    </w:div>
    <w:div w:id="623342045">
      <w:bodyDiv w:val="1"/>
      <w:marLeft w:val="0"/>
      <w:marRight w:val="0"/>
      <w:marTop w:val="0"/>
      <w:marBottom w:val="0"/>
      <w:divBdr>
        <w:top w:val="none" w:sz="0" w:space="0" w:color="auto"/>
        <w:left w:val="none" w:sz="0" w:space="0" w:color="auto"/>
        <w:bottom w:val="none" w:sz="0" w:space="0" w:color="auto"/>
        <w:right w:val="none" w:sz="0" w:space="0" w:color="auto"/>
      </w:divBdr>
    </w:div>
    <w:div w:id="770123343">
      <w:bodyDiv w:val="1"/>
      <w:marLeft w:val="0"/>
      <w:marRight w:val="0"/>
      <w:marTop w:val="0"/>
      <w:marBottom w:val="0"/>
      <w:divBdr>
        <w:top w:val="none" w:sz="0" w:space="0" w:color="auto"/>
        <w:left w:val="none" w:sz="0" w:space="0" w:color="auto"/>
        <w:bottom w:val="none" w:sz="0" w:space="0" w:color="auto"/>
        <w:right w:val="none" w:sz="0" w:space="0" w:color="auto"/>
      </w:divBdr>
    </w:div>
    <w:div w:id="1013261331">
      <w:bodyDiv w:val="1"/>
      <w:marLeft w:val="0"/>
      <w:marRight w:val="0"/>
      <w:marTop w:val="0"/>
      <w:marBottom w:val="0"/>
      <w:divBdr>
        <w:top w:val="none" w:sz="0" w:space="0" w:color="auto"/>
        <w:left w:val="none" w:sz="0" w:space="0" w:color="auto"/>
        <w:bottom w:val="none" w:sz="0" w:space="0" w:color="auto"/>
        <w:right w:val="none" w:sz="0" w:space="0" w:color="auto"/>
      </w:divBdr>
    </w:div>
    <w:div w:id="1027753654">
      <w:bodyDiv w:val="1"/>
      <w:marLeft w:val="0"/>
      <w:marRight w:val="0"/>
      <w:marTop w:val="0"/>
      <w:marBottom w:val="0"/>
      <w:divBdr>
        <w:top w:val="none" w:sz="0" w:space="0" w:color="auto"/>
        <w:left w:val="none" w:sz="0" w:space="0" w:color="auto"/>
        <w:bottom w:val="none" w:sz="0" w:space="0" w:color="auto"/>
        <w:right w:val="none" w:sz="0" w:space="0" w:color="auto"/>
      </w:divBdr>
    </w:div>
    <w:div w:id="1039822482">
      <w:bodyDiv w:val="1"/>
      <w:marLeft w:val="0"/>
      <w:marRight w:val="0"/>
      <w:marTop w:val="0"/>
      <w:marBottom w:val="0"/>
      <w:divBdr>
        <w:top w:val="none" w:sz="0" w:space="0" w:color="auto"/>
        <w:left w:val="none" w:sz="0" w:space="0" w:color="auto"/>
        <w:bottom w:val="none" w:sz="0" w:space="0" w:color="auto"/>
        <w:right w:val="none" w:sz="0" w:space="0" w:color="auto"/>
      </w:divBdr>
    </w:div>
    <w:div w:id="1056394737">
      <w:bodyDiv w:val="1"/>
      <w:marLeft w:val="0"/>
      <w:marRight w:val="0"/>
      <w:marTop w:val="0"/>
      <w:marBottom w:val="0"/>
      <w:divBdr>
        <w:top w:val="none" w:sz="0" w:space="0" w:color="auto"/>
        <w:left w:val="none" w:sz="0" w:space="0" w:color="auto"/>
        <w:bottom w:val="none" w:sz="0" w:space="0" w:color="auto"/>
        <w:right w:val="none" w:sz="0" w:space="0" w:color="auto"/>
      </w:divBdr>
    </w:div>
    <w:div w:id="1493525402">
      <w:bodyDiv w:val="1"/>
      <w:marLeft w:val="0"/>
      <w:marRight w:val="0"/>
      <w:marTop w:val="0"/>
      <w:marBottom w:val="0"/>
      <w:divBdr>
        <w:top w:val="none" w:sz="0" w:space="0" w:color="auto"/>
        <w:left w:val="none" w:sz="0" w:space="0" w:color="auto"/>
        <w:bottom w:val="none" w:sz="0" w:space="0" w:color="auto"/>
        <w:right w:val="none" w:sz="0" w:space="0" w:color="auto"/>
      </w:divBdr>
    </w:div>
    <w:div w:id="1743479147">
      <w:bodyDiv w:val="1"/>
      <w:marLeft w:val="0"/>
      <w:marRight w:val="0"/>
      <w:marTop w:val="0"/>
      <w:marBottom w:val="0"/>
      <w:divBdr>
        <w:top w:val="none" w:sz="0" w:space="0" w:color="auto"/>
        <w:left w:val="none" w:sz="0" w:space="0" w:color="auto"/>
        <w:bottom w:val="none" w:sz="0" w:space="0" w:color="auto"/>
        <w:right w:val="none" w:sz="0" w:space="0" w:color="auto"/>
      </w:divBdr>
    </w:div>
    <w:div w:id="1816331577">
      <w:bodyDiv w:val="1"/>
      <w:marLeft w:val="0"/>
      <w:marRight w:val="0"/>
      <w:marTop w:val="0"/>
      <w:marBottom w:val="0"/>
      <w:divBdr>
        <w:top w:val="none" w:sz="0" w:space="0" w:color="auto"/>
        <w:left w:val="none" w:sz="0" w:space="0" w:color="auto"/>
        <w:bottom w:val="none" w:sz="0" w:space="0" w:color="auto"/>
        <w:right w:val="none" w:sz="0" w:space="0" w:color="auto"/>
      </w:divBdr>
    </w:div>
    <w:div w:id="1822118918">
      <w:bodyDiv w:val="1"/>
      <w:marLeft w:val="0"/>
      <w:marRight w:val="0"/>
      <w:marTop w:val="0"/>
      <w:marBottom w:val="0"/>
      <w:divBdr>
        <w:top w:val="none" w:sz="0" w:space="0" w:color="auto"/>
        <w:left w:val="none" w:sz="0" w:space="0" w:color="auto"/>
        <w:bottom w:val="none" w:sz="0" w:space="0" w:color="auto"/>
        <w:right w:val="none" w:sz="0" w:space="0" w:color="auto"/>
      </w:divBdr>
    </w:div>
    <w:div w:id="20433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priorities-2019-2024/europe-fit-digital-age/europes-digital-decade-digital-targets-2030_hu" TargetMode="External"/><Relationship Id="rId13" Type="http://schemas.openxmlformats.org/officeDocument/2006/relationships/hyperlink" Target="http://data.europa.eu/eli/reg/1995/1683/oj" TargetMode="External"/><Relationship Id="rId18" Type="http://schemas.openxmlformats.org/officeDocument/2006/relationships/hyperlink" Target="http://data.europa.eu/eli/reg/2014/910/oj" TargetMode="External"/><Relationship Id="rId3" Type="http://schemas.openxmlformats.org/officeDocument/2006/relationships/hyperlink" Target="https://www.icao.int/Security/FAL/TRIP/PublishingImages/Pages/Publications/Digital%20Travel%20Credential%20%28DTC%29.pdf" TargetMode="External"/><Relationship Id="rId21" Type="http://schemas.openxmlformats.org/officeDocument/2006/relationships/hyperlink" Target="http://data.europa.eu/eli/agree_interinstit/2016/512/oj?locale=hu" TargetMode="External"/><Relationship Id="rId7" Type="http://schemas.openxmlformats.org/officeDocument/2006/relationships/hyperlink" Target="http://data.europa.eu/eli/reg/2019/1157/oj" TargetMode="External"/><Relationship Id="rId12" Type="http://schemas.openxmlformats.org/officeDocument/2006/relationships/hyperlink" Target="https://eur-lex.europa.eu/eli/dir/2016/680/oj?eliuri=eli%3Adir%3A2016%3A680%3Aoj&amp;locale=hu" TargetMode="External"/><Relationship Id="rId17" Type="http://schemas.openxmlformats.org/officeDocument/2006/relationships/hyperlink" Target="http://data.europa.eu/eli/dir/2004/38/oj" TargetMode="External"/><Relationship Id="rId2" Type="http://schemas.openxmlformats.org/officeDocument/2006/relationships/hyperlink" Target="https://www.icao.int/Security/FAL/TRIP/PublishingImages/Pages/Publications/Guiding%20core%20principles%20for%20the%20development%20of%20a%20Digital%20Travel%20Credential%20%20%28DTC%29.PDF" TargetMode="External"/><Relationship Id="rId16" Type="http://schemas.openxmlformats.org/officeDocument/2006/relationships/hyperlink" Target="http://data.europa.eu/eli/agree_interinstit/2016/512/oj?locale=hu" TargetMode="External"/><Relationship Id="rId20" Type="http://schemas.openxmlformats.org/officeDocument/2006/relationships/hyperlink" Target="http://data.europa.eu/eli/reg/2011/182/oj" TargetMode="External"/><Relationship Id="rId1" Type="http://schemas.openxmlformats.org/officeDocument/2006/relationships/hyperlink" Target="http://data.europa.eu/eli/dir/2004/38/oj" TargetMode="External"/><Relationship Id="rId6" Type="http://schemas.openxmlformats.org/officeDocument/2006/relationships/hyperlink" Target="http://data.europa.eu/eli/reg/2024/1183/oj" TargetMode="External"/><Relationship Id="rId11" Type="http://schemas.openxmlformats.org/officeDocument/2006/relationships/hyperlink" Target="http://data.europa.eu/eli/reg/2016/679/oj" TargetMode="External"/><Relationship Id="rId5" Type="http://schemas.openxmlformats.org/officeDocument/2006/relationships/hyperlink" Target="https://www.government.nl/documents/publications/2023/02/23/dtc" TargetMode="External"/><Relationship Id="rId15" Type="http://schemas.openxmlformats.org/officeDocument/2006/relationships/hyperlink" Target="https://commission.europa.eu/law/law-making-process/planning-and-proposing-law/better-regulation/better-regulation-guidelines-and-toolbox_hu" TargetMode="External"/><Relationship Id="rId23" Type="http://schemas.openxmlformats.org/officeDocument/2006/relationships/hyperlink" Target="http://data.europa.eu/eli/reg/1995/1683/oj" TargetMode="External"/><Relationship Id="rId10" Type="http://schemas.openxmlformats.org/officeDocument/2006/relationships/hyperlink" Target="https://europa.eu/eurobarometer/surveys/detail/2967" TargetMode="External"/><Relationship Id="rId19" Type="http://schemas.openxmlformats.org/officeDocument/2006/relationships/hyperlink" Target="http://data.europa.eu/eli/reg/2016/679/oj" TargetMode="External"/><Relationship Id="rId4" Type="http://schemas.openxmlformats.org/officeDocument/2006/relationships/hyperlink" Target="https://raja.fi/-/suomi-ja-kroatia-kokeilevat-digitaalisen-matkustusasiakirjan-kayttoa-ulkorajaliikenteessa-dtc-pilottiprojektissa?languageId=en_US" TargetMode="External"/><Relationship Id="rId9" Type="http://schemas.openxmlformats.org/officeDocument/2006/relationships/hyperlink" Target="https://ec.europa.eu/info/law/better-regulation/have-your-say/initiatives/13514-Travel-digitalising-travel-documents-to-make-travelling-easier/public-consultation_hu" TargetMode="External"/><Relationship Id="rId14" Type="http://schemas.openxmlformats.org/officeDocument/2006/relationships/hyperlink" Target="https://ec.europa.eu/transparency/comitology-register/screen/committees/C20800/consult?lang=hu" TargetMode="External"/><Relationship Id="rId22" Type="http://schemas.openxmlformats.org/officeDocument/2006/relationships/hyperlink" Target="http://data.europa.eu/eli/reg/2018/172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0824C-C1AC-47B4-B008-BD1F1D17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13</Pages>
  <Words>7735</Words>
  <Characters>44095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2024-10-04T07:41:00Z</dcterms:created>
  <dcterms:modified xsi:type="dcterms:W3CDTF">2024-10-07T12:46:00Z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2024-04-09T09:51:01Z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44b6c7b2-23b6-4abe-9cc1-28b9d75ea3bd</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SJ-016</vt:lpwstr>
  </property>
  <property fmtid="{D5CDD505-2E9C-101B-9397-08002B2CF9AE}" pid="17" name="DQCStatus">
    <vt:lpwstr>Green (DQC version 03)</vt:lpwstr>
  </property>
  <property name="OP_sanitized" fmtid="{D5CDD505-2E9C-101B-9397-08002B2CF9AE}" pid="18">
    <vt:lpwstr>True</vt:lpwstr>
  </property>
</Properties>
</file>