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C6" w:rsidRPr="002A1C31" w:rsidRDefault="00127E00" w:rsidP="00127E00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EDB1F81C-F990-415C-A7A2-8D2CA82C6C27" style="width:455.25pt;height:369.75pt">
            <v:imagedata r:id="rId11" o:title=""/>
          </v:shape>
        </w:pict>
      </w:r>
    </w:p>
    <w:p w:rsidR="00252AC6" w:rsidRPr="002A1C31" w:rsidRDefault="00252AC6" w:rsidP="00252AC6">
      <w:pPr>
        <w:rPr>
          <w:noProof/>
        </w:rPr>
        <w:sectPr w:rsidR="00252AC6" w:rsidRPr="002A1C31" w:rsidSect="00127E00">
          <w:footerReference w:type="even" r:id="rId12"/>
          <w:footerReference w:type="defaul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252AC6" w:rsidRPr="002A1C31" w:rsidRDefault="00252AC6" w:rsidP="00F060F9">
      <w:pPr>
        <w:pStyle w:val="Exposdesmotifstitre"/>
        <w:rPr>
          <w:noProof/>
        </w:rPr>
      </w:pPr>
      <w:bookmarkStart w:id="0" w:name="_GoBack"/>
      <w:bookmarkEnd w:id="0"/>
      <w:r w:rsidRPr="002A1C31">
        <w:rPr>
          <w:noProof/>
        </w:rPr>
        <w:lastRenderedPageBreak/>
        <w:t>INDOKOLÁS</w:t>
      </w:r>
    </w:p>
    <w:p w:rsidR="00252AC6" w:rsidRPr="002A1C31" w:rsidRDefault="00252AC6" w:rsidP="00252AC6">
      <w:pPr>
        <w:pStyle w:val="ManualHeading1"/>
        <w:rPr>
          <w:noProof/>
        </w:rPr>
      </w:pPr>
      <w:r w:rsidRPr="002A1C31">
        <w:rPr>
          <w:noProof/>
        </w:rPr>
        <w:t>A JAVASLAT HÁTTERE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1.</w:t>
      </w:r>
      <w:r w:rsidRPr="00576FF3">
        <w:rPr>
          <w:noProof/>
        </w:rPr>
        <w:tab/>
      </w:r>
      <w:r w:rsidR="00252AC6" w:rsidRPr="002A1C31">
        <w:rPr>
          <w:noProof/>
        </w:rPr>
        <w:t>Az elbocsátott munkavállalók támogatását szolgáló Európai Globalizációs Alkalmazkodási Alapból (EGAA) nyújtott pénzügyi hozzájárulásokra vonatkozó szabályokat az elbocsátott munkavállalók támogatását szolgáló Európai Globalizációs Alkalmazkodási Alapról (EGAA) és az 1309/2013/EU rendelet hatályon kívül helyezéséről szóló, 2021. április 28-i (EU) 2021/691 európai parlamenti és tanácsi rendelet</w:t>
      </w:r>
      <w:r w:rsidR="00252AC6" w:rsidRPr="002A1C31">
        <w:rPr>
          <w:rStyle w:val="FootnoteReference"/>
          <w:noProof/>
        </w:rPr>
        <w:footnoteReference w:id="1"/>
      </w:r>
      <w:r w:rsidR="00252AC6" w:rsidRPr="002A1C31">
        <w:rPr>
          <w:noProof/>
        </w:rPr>
        <w:t xml:space="preserve"> határozza meg.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2.</w:t>
      </w:r>
      <w:r w:rsidRPr="00576FF3">
        <w:rPr>
          <w:noProof/>
        </w:rPr>
        <w:tab/>
      </w:r>
      <w:r w:rsidR="00252AC6" w:rsidRPr="002A1C31">
        <w:rPr>
          <w:noProof/>
        </w:rPr>
        <w:t xml:space="preserve">A </w:t>
      </w:r>
      <w:bookmarkStart w:id="1" w:name="PrimEnterprise_Name"/>
      <w:r w:rsidR="00252AC6" w:rsidRPr="002A1C31">
        <w:rPr>
          <w:noProof/>
        </w:rPr>
        <w:t>Match-Smatch szupermarketeknél (Match SA. és Profi SA.)</w:t>
      </w:r>
      <w:bookmarkEnd w:id="1"/>
      <w:r w:rsidR="00252AC6" w:rsidRPr="002A1C31">
        <w:rPr>
          <w:noProof/>
        </w:rPr>
        <w:t xml:space="preserve"> </w:t>
      </w:r>
      <w:bookmarkStart w:id="2" w:name="MS_Name"/>
      <w:r w:rsidR="00252AC6" w:rsidRPr="002A1C31">
        <w:rPr>
          <w:noProof/>
        </w:rPr>
        <w:t>Belgiumban</w:t>
      </w:r>
      <w:bookmarkEnd w:id="2"/>
      <w:r w:rsidR="00252AC6" w:rsidRPr="002A1C31">
        <w:rPr>
          <w:noProof/>
        </w:rPr>
        <w:t xml:space="preserve"> történt elbocsátásokat követően Belgium 2024. június 3-án EGF/</w:t>
      </w:r>
      <w:bookmarkStart w:id="3" w:name="EGF_Ref_Year"/>
      <w:r w:rsidR="00252AC6" w:rsidRPr="002A1C31">
        <w:rPr>
          <w:noProof/>
        </w:rPr>
        <w:t>2024</w:t>
      </w:r>
      <w:bookmarkEnd w:id="3"/>
      <w:r w:rsidR="00252AC6" w:rsidRPr="002A1C31">
        <w:rPr>
          <w:noProof/>
        </w:rPr>
        <w:t>/</w:t>
      </w:r>
      <w:bookmarkStart w:id="4" w:name="EGF_Ref_CaseNumber"/>
      <w:r w:rsidR="00252AC6" w:rsidRPr="002A1C31">
        <w:rPr>
          <w:noProof/>
        </w:rPr>
        <w:t>001</w:t>
      </w:r>
      <w:bookmarkEnd w:id="4"/>
      <w:r w:rsidR="00252AC6" w:rsidRPr="002A1C31">
        <w:rPr>
          <w:noProof/>
        </w:rPr>
        <w:t xml:space="preserve"> </w:t>
      </w:r>
      <w:bookmarkStart w:id="5" w:name="MS_Code"/>
      <w:r w:rsidR="00252AC6" w:rsidRPr="002A1C31">
        <w:rPr>
          <w:noProof/>
        </w:rPr>
        <w:t>BE</w:t>
      </w:r>
      <w:bookmarkEnd w:id="5"/>
      <w:r w:rsidR="00252AC6" w:rsidRPr="002A1C31">
        <w:rPr>
          <w:noProof/>
        </w:rPr>
        <w:t>/</w:t>
      </w:r>
      <w:bookmarkStart w:id="6" w:name="EGF_Ref_CaseName"/>
      <w:r w:rsidR="00252AC6" w:rsidRPr="002A1C31">
        <w:rPr>
          <w:noProof/>
        </w:rPr>
        <w:t>Match</w:t>
      </w:r>
      <w:bookmarkEnd w:id="6"/>
      <w:r w:rsidR="00252AC6" w:rsidRPr="002A1C31">
        <w:rPr>
          <w:noProof/>
        </w:rPr>
        <w:t>-Smatch referenciaszámmal kérelmet nyújtott be az EGAA-ból igénybe vehető pénzügyi hozzájárulás iránt.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3.</w:t>
      </w:r>
      <w:r w:rsidRPr="00576FF3">
        <w:rPr>
          <w:noProof/>
        </w:rPr>
        <w:tab/>
      </w:r>
      <w:r w:rsidR="00252AC6" w:rsidRPr="002A1C31">
        <w:rPr>
          <w:noProof/>
        </w:rPr>
        <w:t xml:space="preserve">A kérelem értékelése után a Bizottság az (EU) 2021/691 rendelet valamennyi vonatkozó rendelkezése alapján megállapította, hogy az EGAA-ból igénybe vehető pénzügyi hozzájárulás odaítélésének feltételei teljesülnek. </w:t>
      </w:r>
    </w:p>
    <w:p w:rsidR="00252AC6" w:rsidRPr="002A1C31" w:rsidRDefault="00252AC6" w:rsidP="00252AC6">
      <w:pPr>
        <w:pStyle w:val="ManualHeading1"/>
        <w:rPr>
          <w:noProof/>
        </w:rPr>
      </w:pPr>
      <w:r w:rsidRPr="002A1C31">
        <w:rPr>
          <w:noProof/>
        </w:rPr>
        <w:t>A KÉRELEM ÖSSZEFOGLALÁSA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8"/>
        <w:gridCol w:w="1721"/>
        <w:gridCol w:w="2658"/>
      </w:tblGrid>
      <w:tr w:rsidR="00252AC6" w:rsidRPr="002A1C31" w:rsidTr="00C812FC">
        <w:tc>
          <w:tcPr>
            <w:tcW w:w="4908" w:type="dxa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EGAA-kérelem</w:t>
            </w:r>
          </w:p>
        </w:tc>
        <w:tc>
          <w:tcPr>
            <w:tcW w:w="4379" w:type="dxa"/>
            <w:gridSpan w:val="2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EGF/2024/001 BE/Match-Smatch</w:t>
            </w:r>
          </w:p>
        </w:tc>
      </w:tr>
      <w:tr w:rsidR="00252AC6" w:rsidRPr="002A1C31" w:rsidTr="00C812FC">
        <w:tc>
          <w:tcPr>
            <w:tcW w:w="4908" w:type="dxa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Tagállam</w:t>
            </w:r>
          </w:p>
        </w:tc>
        <w:tc>
          <w:tcPr>
            <w:tcW w:w="4379" w:type="dxa"/>
            <w:gridSpan w:val="2"/>
            <w:shd w:val="clear" w:color="auto" w:fill="auto"/>
          </w:tcPr>
          <w:p w:rsidR="00252AC6" w:rsidRPr="002A1C31" w:rsidRDefault="007C4649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Belgium</w:t>
            </w:r>
          </w:p>
        </w:tc>
      </w:tr>
      <w:tr w:rsidR="00252AC6" w:rsidRPr="002A1C31" w:rsidTr="00C812FC">
        <w:tc>
          <w:tcPr>
            <w:tcW w:w="4908" w:type="dxa"/>
            <w:tcBorders>
              <w:bottom w:val="single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Érintett régió(k) (NUTS</w:t>
            </w:r>
            <w:r w:rsidRPr="002A1C31">
              <w:rPr>
                <w:rStyle w:val="FootnoteReference"/>
                <w:noProof/>
              </w:rPr>
              <w:footnoteReference w:id="2"/>
            </w:r>
            <w:r w:rsidRPr="002A1C31">
              <w:rPr>
                <w:noProof/>
              </w:rPr>
              <w:t xml:space="preserve"> 2 szint)</w:t>
            </w:r>
          </w:p>
        </w:tc>
        <w:tc>
          <w:tcPr>
            <w:tcW w:w="4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2AC6" w:rsidRPr="002A1C31" w:rsidRDefault="002644F6" w:rsidP="00F060F9">
            <w:pPr>
              <w:spacing w:before="0" w:after="0"/>
              <w:ind w:rightChars="192" w:right="461"/>
              <w:jc w:val="left"/>
              <w:rPr>
                <w:noProof/>
                <w:szCs w:val="24"/>
              </w:rPr>
            </w:pPr>
            <w:bookmarkStart w:id="7" w:name="Region_1_Name"/>
            <w:r w:rsidRPr="002A1C31">
              <w:rPr>
                <w:noProof/>
              </w:rPr>
              <w:t>Hainaut tartomány</w:t>
            </w:r>
            <w:bookmarkEnd w:id="7"/>
            <w:r w:rsidRPr="002A1C31">
              <w:rPr>
                <w:noProof/>
              </w:rPr>
              <w:t xml:space="preserve"> (BE32), </w:t>
            </w:r>
          </w:p>
          <w:p w:rsidR="00252AC6" w:rsidRPr="002A1C31" w:rsidRDefault="002644F6" w:rsidP="00F060F9">
            <w:pPr>
              <w:spacing w:before="0" w:after="0"/>
              <w:ind w:rightChars="192" w:right="461"/>
              <w:jc w:val="left"/>
              <w:rPr>
                <w:noProof/>
                <w:szCs w:val="24"/>
              </w:rPr>
            </w:pPr>
            <w:r w:rsidRPr="002A1C31">
              <w:rPr>
                <w:noProof/>
              </w:rPr>
              <w:t>Liège tartomány (BE33) és</w:t>
            </w:r>
            <w:r w:rsidRPr="002A1C31">
              <w:rPr>
                <w:noProof/>
              </w:rPr>
              <w:br/>
              <w:t>Namur tartomány (BE35)</w:t>
            </w:r>
          </w:p>
        </w:tc>
      </w:tr>
      <w:tr w:rsidR="00252AC6" w:rsidRPr="002A1C31" w:rsidTr="00C812FC">
        <w:tc>
          <w:tcPr>
            <w:tcW w:w="4908" w:type="dxa"/>
            <w:tcBorders>
              <w:bottom w:val="dotted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A kérelem benyújtásának időpontja</w:t>
            </w:r>
          </w:p>
        </w:tc>
        <w:tc>
          <w:tcPr>
            <w:tcW w:w="4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52AC6" w:rsidRPr="002A1C31" w:rsidRDefault="00511F57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2024. június 3.</w:t>
            </w:r>
          </w:p>
        </w:tc>
      </w:tr>
      <w:tr w:rsidR="00252AC6" w:rsidRPr="002A1C31" w:rsidTr="00C812FC"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A kérelem átvételi elismervényén feltüntetett dátum</w:t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2AC6" w:rsidRPr="002A1C31" w:rsidRDefault="00511F57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2024. június 3.</w:t>
            </w:r>
          </w:p>
        </w:tc>
      </w:tr>
      <w:tr w:rsidR="00252AC6" w:rsidRPr="002A1C31" w:rsidTr="00C812FC"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A kiegészítő információk kérésének időpontja</w:t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2AC6" w:rsidRPr="002A1C31" w:rsidRDefault="00511F57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2024. június 17.</w:t>
            </w:r>
          </w:p>
        </w:tc>
      </w:tr>
      <w:tr w:rsidR="00252AC6" w:rsidRPr="002A1C31" w:rsidTr="00C812FC"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A kiegészítő információk benyújtásának határideje</w:t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2AC6" w:rsidRPr="002A1C31" w:rsidRDefault="00511F57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2024. július 8.</w:t>
            </w:r>
          </w:p>
        </w:tc>
      </w:tr>
      <w:tr w:rsidR="00252AC6" w:rsidRPr="002A1C31" w:rsidTr="00C812FC">
        <w:tc>
          <w:tcPr>
            <w:tcW w:w="4908" w:type="dxa"/>
            <w:tcBorders>
              <w:top w:val="dotted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Az értékelés elvégzésének határideje</w:t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52AC6" w:rsidRPr="002A1C31" w:rsidRDefault="00511F57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2024. szeptember 17.</w:t>
            </w:r>
          </w:p>
        </w:tc>
      </w:tr>
      <w:tr w:rsidR="00252AC6" w:rsidRPr="002A1C31" w:rsidTr="00C812FC">
        <w:tc>
          <w:tcPr>
            <w:tcW w:w="4908" w:type="dxa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Beavatkozási kritérium</w:t>
            </w:r>
          </w:p>
        </w:tc>
        <w:tc>
          <w:tcPr>
            <w:tcW w:w="4379" w:type="dxa"/>
            <w:gridSpan w:val="2"/>
            <w:shd w:val="clear" w:color="auto" w:fill="auto"/>
          </w:tcPr>
          <w:p w:rsidR="00252AC6" w:rsidRPr="002A1C31" w:rsidRDefault="00252AC6" w:rsidP="00136567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Az (EU) 2021/691 rendelet 4. cikke (2) bekezdésének a) pontja</w:t>
            </w:r>
          </w:p>
        </w:tc>
      </w:tr>
      <w:tr w:rsidR="00252AC6" w:rsidRPr="002A1C31" w:rsidTr="00C812FC">
        <w:tc>
          <w:tcPr>
            <w:tcW w:w="4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br w:type="page"/>
              <w:t>Az elsődlegesen érintett vállalat</w:t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AC6" w:rsidRPr="002A1C31" w:rsidRDefault="007C4649" w:rsidP="00F060F9">
            <w:pPr>
              <w:spacing w:before="60" w:after="60"/>
              <w:ind w:rightChars="192" w:right="461"/>
              <w:jc w:val="left"/>
              <w:rPr>
                <w:noProof/>
                <w:szCs w:val="24"/>
              </w:rPr>
            </w:pPr>
            <w:r w:rsidRPr="002A1C31">
              <w:rPr>
                <w:noProof/>
              </w:rPr>
              <w:t>Match-Smatch</w:t>
            </w:r>
          </w:p>
        </w:tc>
      </w:tr>
      <w:tr w:rsidR="00252AC6" w:rsidRPr="002A1C31" w:rsidTr="00C812FC">
        <w:tc>
          <w:tcPr>
            <w:tcW w:w="4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br w:type="page"/>
              <w:t>Az érintett vállalatok száma</w:t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2AC6" w:rsidRPr="002A1C31" w:rsidRDefault="007C4649" w:rsidP="00F060F9">
            <w:pPr>
              <w:spacing w:before="60" w:after="60"/>
              <w:ind w:rightChars="192" w:right="461"/>
              <w:jc w:val="left"/>
              <w:rPr>
                <w:noProof/>
                <w:szCs w:val="24"/>
              </w:rPr>
            </w:pPr>
            <w:r w:rsidRPr="002A1C31">
              <w:rPr>
                <w:noProof/>
              </w:rPr>
              <w:t>1</w:t>
            </w:r>
          </w:p>
        </w:tc>
      </w:tr>
      <w:tr w:rsidR="00252AC6" w:rsidRPr="002A1C31" w:rsidTr="00C812FC">
        <w:tc>
          <w:tcPr>
            <w:tcW w:w="4908" w:type="dxa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Gazdasági ágazat(ok)</w:t>
            </w:r>
          </w:p>
          <w:p w:rsidR="00252AC6" w:rsidRPr="002A1C31" w:rsidRDefault="00252AC6" w:rsidP="00BB0146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(NACE Rev. 2. szerinti ágazat)</w:t>
            </w:r>
            <w:r w:rsidRPr="002A1C31">
              <w:rPr>
                <w:rStyle w:val="FootnoteReference"/>
                <w:noProof/>
                <w:szCs w:val="24"/>
              </w:rPr>
              <w:footnoteReference w:id="3"/>
            </w:r>
          </w:p>
        </w:tc>
        <w:tc>
          <w:tcPr>
            <w:tcW w:w="4379" w:type="dxa"/>
            <w:gridSpan w:val="2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ind w:rightChars="192" w:right="461"/>
              <w:jc w:val="left"/>
              <w:rPr>
                <w:noProof/>
                <w:szCs w:val="24"/>
              </w:rPr>
            </w:pPr>
            <w:r w:rsidRPr="002A1C31">
              <w:rPr>
                <w:noProof/>
              </w:rPr>
              <w:t>47. ágazat (Kiskereskedelem, kivéve: gépjármű, motorkerékpár)</w:t>
            </w:r>
          </w:p>
        </w:tc>
      </w:tr>
      <w:tr w:rsidR="00252AC6" w:rsidRPr="002A1C31" w:rsidTr="00C812FC">
        <w:tc>
          <w:tcPr>
            <w:tcW w:w="4908" w:type="dxa"/>
            <w:tcBorders>
              <w:bottom w:val="single" w:sz="4" w:space="0" w:color="auto"/>
            </w:tcBorders>
            <w:shd w:val="clear" w:color="auto" w:fill="auto"/>
          </w:tcPr>
          <w:p w:rsidR="00252AC6" w:rsidRPr="002A1C31" w:rsidRDefault="00252AC6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Referencia-időszak (négy hónap):</w:t>
            </w:r>
          </w:p>
        </w:tc>
        <w:tc>
          <w:tcPr>
            <w:tcW w:w="43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2AC6" w:rsidRPr="002A1C31" w:rsidRDefault="00604BFF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2023. december 11. – 2024. április 11.</w:t>
            </w:r>
          </w:p>
        </w:tc>
      </w:tr>
      <w:tr w:rsidR="00252AC6" w:rsidRPr="002A1C31" w:rsidTr="00C812FC">
        <w:tc>
          <w:tcPr>
            <w:tcW w:w="4908" w:type="dxa"/>
            <w:tcBorders>
              <w:bottom w:val="dotted" w:sz="4" w:space="0" w:color="auto"/>
            </w:tcBorders>
            <w:shd w:val="clear" w:color="auto" w:fill="auto"/>
          </w:tcPr>
          <w:p w:rsidR="00252AC6" w:rsidRPr="002A1C31" w:rsidRDefault="00252AC6" w:rsidP="00730D6A">
            <w:pPr>
              <w:spacing w:before="60" w:after="60"/>
              <w:jc w:val="left"/>
              <w:rPr>
                <w:rFonts w:eastAsia="Calibri"/>
                <w:noProof/>
                <w:highlight w:val="magenta"/>
              </w:rPr>
            </w:pPr>
            <w:r w:rsidRPr="002A1C31">
              <w:rPr>
                <w:noProof/>
              </w:rPr>
              <w:t>A referencia-időszak alatt elbocsátottak száma (</w:t>
            </w:r>
            <w:r w:rsidRPr="002A1C31">
              <w:rPr>
                <w:i/>
                <w:noProof/>
              </w:rPr>
              <w:t>a</w:t>
            </w:r>
            <w:r w:rsidRPr="002A1C31">
              <w:rPr>
                <w:noProof/>
              </w:rPr>
              <w:t>)</w:t>
            </w:r>
          </w:p>
        </w:tc>
        <w:tc>
          <w:tcPr>
            <w:tcW w:w="4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52AC6" w:rsidRPr="002A1C31" w:rsidRDefault="00537682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  <w:highlight w:val="magenta"/>
              </w:rPr>
            </w:pPr>
            <w:r w:rsidRPr="002A1C31">
              <w:rPr>
                <w:noProof/>
              </w:rPr>
              <w:t>444</w:t>
            </w:r>
          </w:p>
        </w:tc>
      </w:tr>
      <w:tr w:rsidR="00252AC6" w:rsidRPr="002A1C31" w:rsidTr="00C812FC"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  <w:highlight w:val="magenta"/>
              </w:rPr>
            </w:pPr>
            <w:r w:rsidRPr="002A1C31">
              <w:rPr>
                <w:noProof/>
              </w:rPr>
              <w:t>A referencia-időszak előtt vagy után elbocsátottak száma (</w:t>
            </w:r>
            <w:r w:rsidRPr="002A1C31">
              <w:rPr>
                <w:i/>
                <w:noProof/>
              </w:rPr>
              <w:t>b</w:t>
            </w:r>
            <w:r w:rsidRPr="002A1C31">
              <w:rPr>
                <w:noProof/>
              </w:rPr>
              <w:t>)</w:t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2AC6" w:rsidRPr="002A1C31" w:rsidRDefault="00384E9F" w:rsidP="00A60360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69</w:t>
            </w:r>
          </w:p>
        </w:tc>
      </w:tr>
      <w:tr w:rsidR="00252AC6" w:rsidRPr="002A1C31" w:rsidTr="00C812FC">
        <w:tc>
          <w:tcPr>
            <w:tcW w:w="49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52AC6" w:rsidRPr="002A1C31" w:rsidRDefault="00252AC6" w:rsidP="00A60360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Az elbocsátottak száma összesen (</w:t>
            </w:r>
            <w:r w:rsidRPr="002A1C31">
              <w:rPr>
                <w:i/>
                <w:noProof/>
              </w:rPr>
              <w:t>a</w:t>
            </w:r>
            <w:r w:rsidRPr="002A1C31">
              <w:rPr>
                <w:noProof/>
              </w:rPr>
              <w:t xml:space="preserve"> + </w:t>
            </w:r>
            <w:r w:rsidRPr="002A1C31">
              <w:rPr>
                <w:i/>
                <w:noProof/>
              </w:rPr>
              <w:t>b</w:t>
            </w:r>
            <w:r w:rsidRPr="002A1C31">
              <w:rPr>
                <w:noProof/>
              </w:rPr>
              <w:t>)</w:t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52AC6" w:rsidRPr="002A1C31" w:rsidRDefault="00E2235E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513</w:t>
            </w:r>
          </w:p>
        </w:tc>
      </w:tr>
      <w:tr w:rsidR="00252AC6" w:rsidRPr="002A1C31" w:rsidTr="00C812FC">
        <w:tc>
          <w:tcPr>
            <w:tcW w:w="4908" w:type="dxa"/>
            <w:tcBorders>
              <w:bottom w:val="dotted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A támogatható kedvezményezettek száma összesen</w:t>
            </w:r>
          </w:p>
        </w:tc>
        <w:tc>
          <w:tcPr>
            <w:tcW w:w="4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52AC6" w:rsidRPr="002A1C31" w:rsidRDefault="004B193D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513</w:t>
            </w:r>
          </w:p>
        </w:tc>
      </w:tr>
      <w:tr w:rsidR="00252AC6" w:rsidRPr="002A1C31" w:rsidTr="00C812FC"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A támogatásra jogosult kedvezményezettek száma összesen</w:t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52AC6" w:rsidRPr="002A1C31" w:rsidRDefault="00F05548" w:rsidP="00F060F9">
            <w:pPr>
              <w:spacing w:before="60" w:after="60"/>
              <w:ind w:rightChars="192" w:right="461"/>
              <w:jc w:val="lef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365</w:t>
            </w:r>
          </w:p>
        </w:tc>
      </w:tr>
      <w:tr w:rsidR="00C812FC" w:rsidRPr="002A1C31" w:rsidTr="00C812FC">
        <w:tc>
          <w:tcPr>
            <w:tcW w:w="490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812FC" w:rsidRPr="002A1C31" w:rsidRDefault="00C812FC" w:rsidP="00F060F9">
            <w:pPr>
              <w:spacing w:before="0" w:after="0"/>
              <w:jc w:val="left"/>
              <w:rPr>
                <w:noProof/>
              </w:rPr>
            </w:pPr>
            <w:r w:rsidRPr="002A1C31">
              <w:rPr>
                <w:noProof/>
              </w:rPr>
              <w:t>A személyre szabott szolgáltatásokhoz kapcsolódó költségvetés (EUR)</w:t>
            </w:r>
          </w:p>
        </w:tc>
        <w:tc>
          <w:tcPr>
            <w:tcW w:w="1721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812FC" w:rsidRPr="002A1C31" w:rsidRDefault="00537682" w:rsidP="00C812FC">
            <w:pPr>
              <w:spacing w:before="0" w:after="0"/>
              <w:ind w:rightChars="192" w:right="461"/>
              <w:jc w:val="right"/>
              <w:rPr>
                <w:noProof/>
              </w:rPr>
            </w:pPr>
            <w:r w:rsidRPr="002A1C31">
              <w:rPr>
                <w:noProof/>
              </w:rPr>
              <w:t>3 009 752</w:t>
            </w:r>
          </w:p>
        </w:tc>
        <w:tc>
          <w:tcPr>
            <w:tcW w:w="2658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812FC" w:rsidRPr="002A1C31" w:rsidRDefault="00C812FC" w:rsidP="00F060F9">
            <w:pPr>
              <w:spacing w:before="0" w:after="0"/>
              <w:ind w:rightChars="192" w:right="461"/>
              <w:jc w:val="left"/>
              <w:rPr>
                <w:noProof/>
              </w:rPr>
            </w:pPr>
          </w:p>
        </w:tc>
      </w:tr>
      <w:tr w:rsidR="00C812FC" w:rsidRPr="002A1C31" w:rsidTr="00C812FC"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12FC" w:rsidRPr="002A1C31" w:rsidRDefault="00C812FC" w:rsidP="00F060F9">
            <w:pPr>
              <w:spacing w:before="0" w:after="0"/>
              <w:jc w:val="left"/>
              <w:rPr>
                <w:noProof/>
              </w:rPr>
            </w:pPr>
            <w:r w:rsidRPr="002A1C31">
              <w:rPr>
                <w:noProof/>
              </w:rPr>
              <w:t>Az EGAA végrehajtásához kapcsolódó költségvetés</w:t>
            </w:r>
            <w:r w:rsidRPr="002A1C31">
              <w:rPr>
                <w:rStyle w:val="FootnoteReference"/>
                <w:noProof/>
              </w:rPr>
              <w:footnoteReference w:id="4"/>
            </w:r>
            <w:r w:rsidRPr="002A1C31">
              <w:rPr>
                <w:noProof/>
              </w:rPr>
              <w:t xml:space="preserve"> (EUR)</w:t>
            </w:r>
          </w:p>
        </w:tc>
        <w:tc>
          <w:tcPr>
            <w:tcW w:w="172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812FC" w:rsidRPr="002A1C31" w:rsidRDefault="00537682" w:rsidP="00C812FC">
            <w:pPr>
              <w:spacing w:before="0" w:after="0"/>
              <w:ind w:rightChars="192" w:right="461"/>
              <w:jc w:val="right"/>
              <w:rPr>
                <w:noProof/>
              </w:rPr>
            </w:pPr>
            <w:r w:rsidRPr="002A1C31">
              <w:rPr>
                <w:noProof/>
              </w:rPr>
              <w:t>121 500</w:t>
            </w:r>
          </w:p>
        </w:tc>
        <w:tc>
          <w:tcPr>
            <w:tcW w:w="265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812FC" w:rsidRPr="002A1C31" w:rsidRDefault="00C812FC" w:rsidP="00F060F9">
            <w:pPr>
              <w:spacing w:before="0" w:after="0"/>
              <w:ind w:rightChars="192" w:right="461"/>
              <w:jc w:val="left"/>
              <w:rPr>
                <w:noProof/>
              </w:rPr>
            </w:pPr>
          </w:p>
        </w:tc>
      </w:tr>
      <w:tr w:rsidR="00C812FC" w:rsidRPr="002A1C31" w:rsidTr="00C812FC">
        <w:tc>
          <w:tcPr>
            <w:tcW w:w="49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12FC" w:rsidRPr="002A1C31" w:rsidRDefault="00C812FC" w:rsidP="00F060F9">
            <w:pPr>
              <w:spacing w:before="0" w:after="0"/>
              <w:jc w:val="left"/>
              <w:rPr>
                <w:noProof/>
              </w:rPr>
            </w:pPr>
            <w:r w:rsidRPr="002A1C31">
              <w:rPr>
                <w:noProof/>
              </w:rPr>
              <w:t>Teljes költségvetés (EUR)</w:t>
            </w:r>
          </w:p>
        </w:tc>
        <w:tc>
          <w:tcPr>
            <w:tcW w:w="1721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812FC" w:rsidRPr="002A1C31" w:rsidRDefault="00537682" w:rsidP="00C812FC">
            <w:pPr>
              <w:spacing w:before="0" w:after="0"/>
              <w:ind w:rightChars="192" w:right="461"/>
              <w:jc w:val="right"/>
              <w:rPr>
                <w:noProof/>
              </w:rPr>
            </w:pPr>
            <w:r w:rsidRPr="002A1C31">
              <w:rPr>
                <w:noProof/>
              </w:rPr>
              <w:t>3 131 252</w:t>
            </w:r>
          </w:p>
        </w:tc>
        <w:tc>
          <w:tcPr>
            <w:tcW w:w="265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C812FC" w:rsidRPr="002A1C31" w:rsidRDefault="00C812FC" w:rsidP="00F060F9">
            <w:pPr>
              <w:spacing w:before="0" w:after="0"/>
              <w:ind w:rightChars="192" w:right="461"/>
              <w:jc w:val="left"/>
              <w:rPr>
                <w:noProof/>
              </w:rPr>
            </w:pPr>
          </w:p>
        </w:tc>
      </w:tr>
      <w:tr w:rsidR="00C812FC" w:rsidRPr="002A1C31" w:rsidTr="00C812FC">
        <w:tc>
          <w:tcPr>
            <w:tcW w:w="49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812FC" w:rsidRPr="002A1C31" w:rsidRDefault="00C812FC" w:rsidP="00284DA4">
            <w:pPr>
              <w:spacing w:before="0" w:after="0"/>
              <w:jc w:val="left"/>
              <w:rPr>
                <w:noProof/>
              </w:rPr>
            </w:pPr>
            <w:r w:rsidRPr="002A1C31">
              <w:rPr>
                <w:noProof/>
              </w:rPr>
              <w:t>EGAA-hozzájárulás EUR-ban (85 %)</w:t>
            </w:r>
          </w:p>
        </w:tc>
        <w:tc>
          <w:tcPr>
            <w:tcW w:w="1721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C812FC" w:rsidRPr="002A1C31" w:rsidRDefault="00537682" w:rsidP="00C812FC">
            <w:pPr>
              <w:spacing w:before="0" w:after="0"/>
              <w:ind w:rightChars="192" w:right="461"/>
              <w:jc w:val="right"/>
              <w:rPr>
                <w:noProof/>
              </w:rPr>
            </w:pPr>
            <w:r w:rsidRPr="002A1C31">
              <w:rPr>
                <w:noProof/>
              </w:rPr>
              <w:t>2 661 564</w:t>
            </w:r>
          </w:p>
        </w:tc>
        <w:tc>
          <w:tcPr>
            <w:tcW w:w="2658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C812FC" w:rsidRPr="002A1C31" w:rsidRDefault="00C812FC" w:rsidP="00F060F9">
            <w:pPr>
              <w:spacing w:before="0" w:after="0"/>
              <w:ind w:rightChars="192" w:right="461"/>
              <w:jc w:val="left"/>
              <w:rPr>
                <w:noProof/>
              </w:rPr>
            </w:pPr>
          </w:p>
        </w:tc>
      </w:tr>
    </w:tbl>
    <w:p w:rsidR="00252AC6" w:rsidRPr="002A1C31" w:rsidRDefault="00252AC6" w:rsidP="00252AC6">
      <w:pPr>
        <w:pStyle w:val="ManualHeading1"/>
        <w:rPr>
          <w:noProof/>
        </w:rPr>
      </w:pPr>
      <w:r w:rsidRPr="002A1C31">
        <w:rPr>
          <w:noProof/>
        </w:rPr>
        <w:t>A KÉRELEM ÉRTÉKELÉSE</w:t>
      </w:r>
    </w:p>
    <w:p w:rsidR="00252AC6" w:rsidRPr="002A1C31" w:rsidRDefault="00252AC6" w:rsidP="00252AC6">
      <w:pPr>
        <w:pStyle w:val="ManualHeading2"/>
        <w:rPr>
          <w:noProof/>
        </w:rPr>
      </w:pPr>
      <w:r w:rsidRPr="002A1C31">
        <w:rPr>
          <w:noProof/>
        </w:rPr>
        <w:t>Az eljárás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4.</w:t>
      </w:r>
      <w:r w:rsidRPr="00576FF3">
        <w:rPr>
          <w:noProof/>
        </w:rPr>
        <w:tab/>
      </w:r>
      <w:r w:rsidR="000C64A4" w:rsidRPr="002A1C31">
        <w:rPr>
          <w:noProof/>
        </w:rPr>
        <w:t xml:space="preserve">Belgium 2024. június 3-án EGF/2024/001 BE/Match-Smatch referenciaszámon kérelmet nyújtott be, 12 héten belül attól az időponttól számítva, hogy az (EU) 2021/691 rendelet 4. cikke (2) bekezdésének a) pontjában meghatározott beavatkozási kritériumok teljesültek. A Bizottság ugyanazon a napon visszaigazolta a kérelem beérkezését, és 2024. június 17-én kiegészítő információkat kért Belgiumtól. Belgium a kéréstől számított 15 munkanapon belül megküldte a szóban forgó kiegészítő információkat. A hiánytalan kérelem kézhezvételétől számított 50 munkanapos határidő, amelyen belül a Bizottságnak le kell zárnia annak értékelését, hogy a kérelem megfelel-e a pénzügyi hozzájárulás feltételeinek, 2024. szeptember 17-én jár le. </w:t>
      </w:r>
    </w:p>
    <w:p w:rsidR="00252AC6" w:rsidRPr="002A1C31" w:rsidRDefault="00252AC6" w:rsidP="00252AC6">
      <w:pPr>
        <w:pStyle w:val="ManualHeading2"/>
        <w:rPr>
          <w:noProof/>
        </w:rPr>
      </w:pPr>
      <w:r w:rsidRPr="002A1C31">
        <w:rPr>
          <w:noProof/>
        </w:rPr>
        <w:t>A kérelem elfogadhatósága</w:t>
      </w:r>
    </w:p>
    <w:p w:rsidR="00252AC6" w:rsidRPr="002A1C31" w:rsidRDefault="00252AC6" w:rsidP="00252AC6">
      <w:pPr>
        <w:pStyle w:val="ManualHeading3"/>
        <w:rPr>
          <w:noProof/>
        </w:rPr>
      </w:pPr>
      <w:r w:rsidRPr="002A1C31">
        <w:rPr>
          <w:noProof/>
        </w:rPr>
        <w:t>Az érintett vállalatok és kedvezményezettek</w:t>
      </w:r>
    </w:p>
    <w:p w:rsidR="00252AC6" w:rsidRPr="002A1C31" w:rsidRDefault="00576FF3" w:rsidP="00576FF3">
      <w:pPr>
        <w:pStyle w:val="ManualNumPar1"/>
        <w:rPr>
          <w:noProof/>
          <w:szCs w:val="24"/>
        </w:rPr>
      </w:pPr>
      <w:r w:rsidRPr="00576FF3">
        <w:rPr>
          <w:noProof/>
        </w:rPr>
        <w:t>5.</w:t>
      </w:r>
      <w:r w:rsidRPr="00576FF3">
        <w:rPr>
          <w:noProof/>
        </w:rPr>
        <w:tab/>
      </w:r>
      <w:r w:rsidR="00252AC6" w:rsidRPr="002A1C31">
        <w:rPr>
          <w:noProof/>
        </w:rPr>
        <w:t>A kérelem 513 elbocsátott munkavállalóra vonatkozik, akiknek a Match-Smatch vállalatnál</w:t>
      </w:r>
      <w:r w:rsidR="00252AC6" w:rsidRPr="002A1C31">
        <w:rPr>
          <w:noProof/>
          <w:vertAlign w:val="superscript"/>
        </w:rPr>
        <w:t>4</w:t>
      </w:r>
      <w:r w:rsidR="00252AC6" w:rsidRPr="002A1C31">
        <w:rPr>
          <w:noProof/>
        </w:rPr>
        <w:t xml:space="preserve"> megszűnt a tevékenysége. A vállalat a NACE Rev. 2. rendszer szerinti gazdasági ágazatok közül a 47. ágazatban (Kiskereskedelem, kivéve: gépjármű és motorkerékpár) működik. Az elbocsátásokra főként Hainaut tartomány (BE32), Liège tartomány (BE33) és Namur tartomány (BE35) NUTS 2 szintű régiókban került sor.</w:t>
      </w:r>
    </w:p>
    <w:p w:rsidR="00252AC6" w:rsidRPr="002A1C31" w:rsidRDefault="00252AC6" w:rsidP="00252AC6">
      <w:pPr>
        <w:pStyle w:val="ManualHeading3"/>
        <w:rPr>
          <w:noProof/>
        </w:rPr>
      </w:pPr>
      <w:r w:rsidRPr="002A1C31">
        <w:rPr>
          <w:noProof/>
        </w:rPr>
        <w:t>Beavatkozási kritériumok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6.</w:t>
      </w:r>
      <w:r w:rsidRPr="00576FF3">
        <w:rPr>
          <w:noProof/>
        </w:rPr>
        <w:tab/>
      </w:r>
      <w:r w:rsidR="000C64A4" w:rsidRPr="002A1C31">
        <w:rPr>
          <w:noProof/>
        </w:rPr>
        <w:t>Belgium a kérelmét az (EU) 2021/691 rendelet 4. cikke (2) bekezdésének a) pontja szerinti beavatkozási kritériumok alapján nyújtotta be, amely a támogatást a következőkhöz köti: legalább 200 elbocsátott munkavállaló egy négyhónapos referencia-időszak alatt egy vállalaton belül egy tagállamban, ideértve a beszállítók vagy a továbbfeldolgozó vállalatok körében elbocsátott munkavállalókat és/vagy a tevékenységüket megszüntető önálló vállalkozókat is.</w:t>
      </w:r>
    </w:p>
    <w:p w:rsidR="00252AC6" w:rsidRPr="002A1C31" w:rsidRDefault="00576FF3" w:rsidP="00576FF3">
      <w:pPr>
        <w:pStyle w:val="ManualNumPar1"/>
        <w:rPr>
          <w:noProof/>
        </w:rPr>
      </w:pPr>
      <w:bookmarkStart w:id="8" w:name="_Ref372189348"/>
      <w:r w:rsidRPr="00576FF3">
        <w:rPr>
          <w:noProof/>
        </w:rPr>
        <w:t>7.</w:t>
      </w:r>
      <w:r w:rsidRPr="00576FF3">
        <w:rPr>
          <w:noProof/>
        </w:rPr>
        <w:tab/>
      </w:r>
      <w:r w:rsidR="00252AC6" w:rsidRPr="002A1C31">
        <w:rPr>
          <w:noProof/>
        </w:rPr>
        <w:t xml:space="preserve">A kérelemmel összefüggő négyhónapos referencia-időszak 2023. december 11-től </w:t>
      </w:r>
      <w:bookmarkEnd w:id="8"/>
      <w:r w:rsidR="00252AC6" w:rsidRPr="002A1C31">
        <w:rPr>
          <w:noProof/>
        </w:rPr>
        <w:t>2024. április 11-ig tartott.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8.</w:t>
      </w:r>
      <w:r w:rsidRPr="00576FF3">
        <w:rPr>
          <w:noProof/>
        </w:rPr>
        <w:tab/>
      </w:r>
      <w:r w:rsidR="00596F33" w:rsidRPr="002A1C31">
        <w:rPr>
          <w:noProof/>
        </w:rPr>
        <w:t xml:space="preserve">A referencia-időszakban 444 munkavállalót bocsátottak el a Match-Smatch vállalattól. </w:t>
      </w:r>
    </w:p>
    <w:p w:rsidR="00252AC6" w:rsidRPr="002A1C31" w:rsidRDefault="00252AC6" w:rsidP="00252AC6">
      <w:pPr>
        <w:pStyle w:val="ManualHeading3"/>
        <w:rPr>
          <w:noProof/>
        </w:rPr>
      </w:pPr>
      <w:r w:rsidRPr="002A1C31">
        <w:rPr>
          <w:noProof/>
        </w:rPr>
        <w:t>Az elbocsátások és a tevékenységmegszüntetések számának kiszámítása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9.</w:t>
      </w:r>
      <w:r w:rsidRPr="00576FF3">
        <w:rPr>
          <w:noProof/>
        </w:rPr>
        <w:tab/>
      </w:r>
      <w:r w:rsidR="00440384" w:rsidRPr="002A1C31">
        <w:rPr>
          <w:noProof/>
        </w:rPr>
        <w:t>Az (EU) 2021/691 rendelet 6. cikke első bekezdésének a) pontja és 5. cikke első bekezdésének c) pontja értelmében az elbocsátott munkavállalók tevékenységének referencia-időszak alatti megszűnését a munkaszerződés tényleges megszüntetésének vagy lejáratának dátumától számították.</w:t>
      </w:r>
    </w:p>
    <w:p w:rsidR="00252AC6" w:rsidRPr="002A1C31" w:rsidRDefault="00252AC6" w:rsidP="00252AC6">
      <w:pPr>
        <w:pStyle w:val="ManualHeading3"/>
        <w:rPr>
          <w:noProof/>
        </w:rPr>
      </w:pPr>
      <w:r w:rsidRPr="002A1C31">
        <w:rPr>
          <w:noProof/>
        </w:rPr>
        <w:t>Támogatható kedvezményezettek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10.</w:t>
      </w:r>
      <w:r w:rsidRPr="00576FF3">
        <w:rPr>
          <w:noProof/>
        </w:rPr>
        <w:tab/>
      </w:r>
      <w:r w:rsidR="00252AC6" w:rsidRPr="002A1C31">
        <w:rPr>
          <w:noProof/>
        </w:rPr>
        <w:t>A már említett munkavállalókon túl 69 olyan elbocsátott munkavállaló is a támogatható kedvezményezettek közé tartozik, akiknek a tevékenysége a négyhónapos referencia-időszak előtt vagy után szűnt meg. Az (EU) 2021/691 rendelet 6. cikke második bekezdésének megfelelően e munkavállalók mindegyikének a referencia-időszak előtti hat hónapon belül és/vagy a referencia-időszak vége és az e javaslatnak az (EU) 2021/691 rendelet 6. cikke első bekezdésének b) pontja szerinti elfogadását megelőző nap között szűnt meg a tevékenysége. Egyértelmű ok-okozati összefüggés mutatható ki azzal az eseménnyel, amely a referencia-időszak alatt az elbocsátott munkavállalók tevékenységének megszűnéséhez vezetett, ahogyan azt az (EU) 2021/691 rendelet 6. cikkének második bekezdése megköveteli.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11.</w:t>
      </w:r>
      <w:r w:rsidRPr="00576FF3">
        <w:rPr>
          <w:noProof/>
        </w:rPr>
        <w:tab/>
      </w:r>
      <w:r w:rsidR="00252AC6" w:rsidRPr="002A1C31">
        <w:rPr>
          <w:noProof/>
        </w:rPr>
        <w:t>A támogatható kedvezményezettek száma összesen 513.</w:t>
      </w:r>
    </w:p>
    <w:p w:rsidR="00252AC6" w:rsidRPr="002A1C31" w:rsidRDefault="00385115" w:rsidP="00252AC6">
      <w:pPr>
        <w:pStyle w:val="ManualHeading3"/>
        <w:rPr>
          <w:noProof/>
        </w:rPr>
      </w:pPr>
      <w:r w:rsidRPr="002A1C31">
        <w:rPr>
          <w:noProof/>
        </w:rPr>
        <w:t>Az elbocsátásokhoz és a tevékenység megszüntetéséhez vezető események ismertetése</w:t>
      </w:r>
    </w:p>
    <w:p w:rsidR="001C7D02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12.</w:t>
      </w:r>
      <w:r w:rsidRPr="00576FF3">
        <w:rPr>
          <w:noProof/>
        </w:rPr>
        <w:tab/>
      </w:r>
      <w:r w:rsidR="001C7D02" w:rsidRPr="002A1C31">
        <w:rPr>
          <w:noProof/>
        </w:rPr>
        <w:t>A Match-Smatch évek óta nehéz gazdasági helyzetben volt. 2019-ben az első szerkezetátalakítás 15 üzlet bezárásához és 140 elbocsátáshoz vezetett. 2020-ban a Covid19-világjárvány a Match-Smatch, valamint általában a kiskereskedelmi élelmiszer-ágazat forgalmának ugrásszerű növekedéséhez vezetett a szálloda- és vendéglátóipari ágazat bezárása, a sürgős élelmiszer-vásárlásra való törekvés stb. miatt. Ez a kivételes helyzet lehetővé tette a Match-Smatch számára, hogy 3,6 millió EUR pozitív nettó eredményt érjen el. Mivel azonban az egészségügyi helyzet normalizálódott, a Match-Smatch 2021-ben ismét 11,9 millió EUR veszteségről számolt be</w:t>
      </w:r>
      <w:r w:rsidR="0079619E" w:rsidRPr="002A1C31">
        <w:rPr>
          <w:rStyle w:val="FootnoteReference"/>
          <w:noProof/>
        </w:rPr>
        <w:footnoteReference w:id="5"/>
      </w:r>
      <w:r w:rsidR="001C7D02" w:rsidRPr="002A1C31">
        <w:rPr>
          <w:noProof/>
        </w:rPr>
        <w:t>.</w:t>
      </w:r>
    </w:p>
    <w:p w:rsidR="001C7D02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13.</w:t>
      </w:r>
      <w:r w:rsidRPr="00576FF3">
        <w:rPr>
          <w:noProof/>
        </w:rPr>
        <w:tab/>
      </w:r>
      <w:r w:rsidR="001C7D02" w:rsidRPr="002A1C31">
        <w:rPr>
          <w:noProof/>
        </w:rPr>
        <w:t>2022 januárjában cselekvési tervet indítottak annak érdekében, hogy visszaszorítsák a veszteségeket, és visszaállítsák a vállalkozást a pénzügyi egyensúly felé vezető pályára. Az élelmiszer-kereskedelmet azonban erősen érintette az energia- és inflációs válság. Ennek következtében a cselekvési terv kudarcot vallott, a bruttó működési eredmény 2022-ben a történelmileg legalacsonyabb 36,5 millió EUR összeget érte el, és 9 üzletet kellett bezárni.</w:t>
      </w:r>
    </w:p>
    <w:p w:rsidR="001C7D02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14.</w:t>
      </w:r>
      <w:r w:rsidRPr="00576FF3">
        <w:rPr>
          <w:noProof/>
        </w:rPr>
        <w:tab/>
      </w:r>
      <w:r w:rsidR="00513C7E" w:rsidRPr="002A1C31">
        <w:rPr>
          <w:noProof/>
        </w:rPr>
        <w:t>Összességében 2023-ban jelentősen csökkent a belga élelmiszer-kiskereskedelmi ágazat értékesítési volumene. Ezt többek között a határokon átnyúló vásárlás és az e-kereskedelem fokozódása magyarázza. A Comeos, a belga kereskedelmi és szolgáltatási szövetség szerint Franciaországban a határ menti vásárlások 2023 első negyedévében csaknem 70 %-kal nőttek 2022 első negyedévéhez képest</w:t>
      </w:r>
      <w:r w:rsidR="001C7D02" w:rsidRPr="002A1C31">
        <w:rPr>
          <w:rStyle w:val="FootnoteReference"/>
          <w:noProof/>
        </w:rPr>
        <w:footnoteReference w:id="6"/>
      </w:r>
      <w:r w:rsidR="00513C7E" w:rsidRPr="002A1C31">
        <w:rPr>
          <w:noProof/>
        </w:rPr>
        <w:t xml:space="preserve">. </w:t>
      </w:r>
    </w:p>
    <w:p w:rsidR="001C7D02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15.</w:t>
      </w:r>
      <w:r w:rsidRPr="00576FF3">
        <w:rPr>
          <w:noProof/>
        </w:rPr>
        <w:tab/>
      </w:r>
      <w:r w:rsidR="001C7D02" w:rsidRPr="002A1C31">
        <w:rPr>
          <w:noProof/>
        </w:rPr>
        <w:t>A veszteségek további felhalmozódásának megelőzése érdekében a Match-Smatch elfogadta a Colruyt csoport arra vonatkozó ajánlatát, hogy a 84 üzletből 57-et megvásároljon, és átvegye az üzletek személyzetét is (1 069 fő). Nyolc további üzlet a Carrefour, a Delhaize, az Intermarché és a Delfood lánchoz került.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16.</w:t>
      </w:r>
      <w:r w:rsidRPr="00576FF3">
        <w:rPr>
          <w:noProof/>
        </w:rPr>
        <w:tab/>
      </w:r>
      <w:r w:rsidR="001C7D02" w:rsidRPr="002A1C31">
        <w:rPr>
          <w:noProof/>
        </w:rPr>
        <w:t xml:space="preserve">Annak a 19 üzletnek a 339 alkalmazottja tekintetében, amelyekre nem találtak vevőt, valamint a Match-Smatch központ 174 alkalmazottja tekintetében csoportos létszámcsökkentésre irányuló eljárás indult. </w:t>
      </w:r>
    </w:p>
    <w:p w:rsidR="00252AC6" w:rsidRPr="002A1C31" w:rsidRDefault="00252AC6" w:rsidP="00252AC6">
      <w:pPr>
        <w:pStyle w:val="ManualHeading3"/>
        <w:tabs>
          <w:tab w:val="clear" w:pos="850"/>
          <w:tab w:val="left" w:pos="0"/>
        </w:tabs>
        <w:ind w:left="0" w:firstLine="0"/>
        <w:rPr>
          <w:noProof/>
        </w:rPr>
      </w:pPr>
      <w:r w:rsidRPr="002A1C31">
        <w:rPr>
          <w:noProof/>
        </w:rPr>
        <w:t>Az elbocsátások várható hatása a helyi, a regionális és az országos gazdaságra és foglalkoztatásra</w:t>
      </w:r>
    </w:p>
    <w:p w:rsidR="00607321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17.</w:t>
      </w:r>
      <w:r w:rsidRPr="00576FF3">
        <w:rPr>
          <w:noProof/>
        </w:rPr>
        <w:tab/>
      </w:r>
      <w:r w:rsidR="00D40096" w:rsidRPr="002A1C31">
        <w:rPr>
          <w:noProof/>
        </w:rPr>
        <w:t xml:space="preserve">A Match-Smatch vállalatnál történt elbocsátások Belgium egészét érintik. Az elbocsátások területi hatása azonban eltérő </w:t>
      </w:r>
      <w:r w:rsidR="00D40096" w:rsidRPr="002A1C31">
        <w:rPr>
          <w:rStyle w:val="rynqvb"/>
          <w:noProof/>
        </w:rPr>
        <w:t>a flamand és a vallon munkaerőpiac közötti különbségek miatt, valamint amiatt, hogy az elbocsátások több mint 70 %-a Vallóniába koncentrálódik</w:t>
      </w:r>
      <w:r w:rsidR="00D40096" w:rsidRPr="002A1C31">
        <w:rPr>
          <w:noProof/>
        </w:rPr>
        <w:t>.</w:t>
      </w:r>
    </w:p>
    <w:p w:rsidR="00D4009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18.</w:t>
      </w:r>
      <w:r w:rsidRPr="00576FF3">
        <w:rPr>
          <w:noProof/>
        </w:rPr>
        <w:tab/>
      </w:r>
      <w:r w:rsidR="00D40096" w:rsidRPr="002A1C31">
        <w:rPr>
          <w:noProof/>
        </w:rPr>
        <w:t>2023-ban a munkanélküliségi ráta Belgium egészében továbbra is 5,5 % volt, csakúgy mint 2022-ben. Regionális szinten Flandriában a munkanélküliség 3,2 %-ról 3,4 %-ra nőtt, Vallóniában pedig 8,4 %-ról 8,2 %-ra csökkent. A munkanélküliségi ráta tekintetében hozzávetőleg 5 százalékpontos különbség azonban továbbra is fennáll a két régió között</w:t>
      </w:r>
      <w:r w:rsidR="006845C3" w:rsidRPr="002A1C31">
        <w:rPr>
          <w:rStyle w:val="FootnoteReference"/>
          <w:noProof/>
        </w:rPr>
        <w:footnoteReference w:id="7"/>
      </w:r>
      <w:r w:rsidR="00D40096" w:rsidRPr="002A1C31">
        <w:rPr>
          <w:noProof/>
        </w:rPr>
        <w:t>.</w:t>
      </w:r>
    </w:p>
    <w:p w:rsidR="00D4009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19.</w:t>
      </w:r>
      <w:r w:rsidRPr="00576FF3">
        <w:rPr>
          <w:noProof/>
        </w:rPr>
        <w:tab/>
      </w:r>
      <w:r w:rsidR="00D40096" w:rsidRPr="002A1C31">
        <w:rPr>
          <w:noProof/>
        </w:rPr>
        <w:t>2023 utolsó negyedévében Flandriában a foglalkoztatási ráta 77,0 %</w:t>
      </w:r>
      <w:r w:rsidR="00511891" w:rsidRPr="002A1C31">
        <w:rPr>
          <w:rStyle w:val="FootnoteReference"/>
          <w:noProof/>
        </w:rPr>
        <w:footnoteReference w:id="8"/>
      </w:r>
      <w:r w:rsidR="00D40096" w:rsidRPr="002A1C31">
        <w:rPr>
          <w:noProof/>
        </w:rPr>
        <w:t xml:space="preserve"> volt, ami 1,5 százalékponttal magasabb a 75,5 %</w:t>
      </w:r>
      <w:r w:rsidR="00601B62" w:rsidRPr="002A1C31">
        <w:rPr>
          <w:rStyle w:val="FootnoteReference"/>
          <w:noProof/>
        </w:rPr>
        <w:footnoteReference w:id="9"/>
      </w:r>
      <w:r w:rsidR="00D40096" w:rsidRPr="002A1C31">
        <w:rPr>
          <w:noProof/>
        </w:rPr>
        <w:t>-os uniós átlagnál, míg Vallóniában a foglalkoztatási ráta (66,7 %) 10,3 százalékponttal volt alacsonyabb, mint Flandriában, és körülbelül 9 százalékponttal alacsonyabb az uniós átlagnál</w:t>
      </w:r>
      <w:r w:rsidR="00997428" w:rsidRPr="002A1C31">
        <w:rPr>
          <w:rStyle w:val="FootnoteReference"/>
          <w:noProof/>
        </w:rPr>
        <w:footnoteReference w:id="10"/>
      </w:r>
      <w:r w:rsidR="00D40096" w:rsidRPr="002A1C31">
        <w:rPr>
          <w:noProof/>
        </w:rPr>
        <w:t>.</w:t>
      </w:r>
    </w:p>
    <w:p w:rsidR="00D4009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20.</w:t>
      </w:r>
      <w:r w:rsidRPr="00576FF3">
        <w:rPr>
          <w:noProof/>
        </w:rPr>
        <w:tab/>
      </w:r>
      <w:r w:rsidR="00D40096" w:rsidRPr="002A1C31">
        <w:rPr>
          <w:noProof/>
        </w:rPr>
        <w:t>Az idősebb munkavállalók több akadállyal szembesülnek a foglalkoztatás terén. 2023 utolsó negyedévében országos szinten</w:t>
      </w:r>
      <w:r w:rsidR="00D25069" w:rsidRPr="002A1C31">
        <w:rPr>
          <w:rStyle w:val="FootnoteReference"/>
          <w:noProof/>
        </w:rPr>
        <w:footnoteReference w:id="11"/>
      </w:r>
      <w:r w:rsidR="00D40096" w:rsidRPr="002A1C31">
        <w:rPr>
          <w:noProof/>
        </w:rPr>
        <w:t xml:space="preserve"> 18,3 százalékpontos különbség volt a 20–54 éves korcsoport foglalkoztatási rátája (76,8 %) és az 55 év felettiek foglalkoztatási rátája (58,5 %) között. A vallóniai munkaerőpiacon 2024 márciusában</w:t>
      </w:r>
      <w:r w:rsidR="00A555F7" w:rsidRPr="002A1C31">
        <w:rPr>
          <w:rStyle w:val="FootnoteReference"/>
          <w:noProof/>
        </w:rPr>
        <w:footnoteReference w:id="12"/>
      </w:r>
      <w:r w:rsidR="00D40096" w:rsidRPr="002A1C31">
        <w:rPr>
          <w:noProof/>
        </w:rPr>
        <w:t xml:space="preserve"> az ötven éves vagy annál idősebb regisztrált álláskeresők az összes álláskereső mintegy 25 %-át tették ki. A Match-Smatch-tól elbocsátott munkavállalók mintegy fele (46 %) ötven éves vagy annál idősebb.</w:t>
      </w:r>
    </w:p>
    <w:p w:rsidR="00824671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21.</w:t>
      </w:r>
      <w:r w:rsidRPr="00576FF3">
        <w:rPr>
          <w:noProof/>
        </w:rPr>
        <w:tab/>
      </w:r>
      <w:r w:rsidR="00006E8C" w:rsidRPr="002A1C31">
        <w:rPr>
          <w:noProof/>
        </w:rPr>
        <w:t>A Match-Smatch munkaereje alapvetően pénztárosokból és raktári dolgozókból áll. A Covid19-világjárvány okozta gazdasági válság felgyorsította a szakképzettebb munkavállalók iránti keresletet a belga munkaerőpiacon</w:t>
      </w:r>
      <w:r w:rsidR="00824671" w:rsidRPr="002A1C31">
        <w:rPr>
          <w:rStyle w:val="FootnoteReference"/>
          <w:noProof/>
        </w:rPr>
        <w:footnoteReference w:id="13"/>
      </w:r>
      <w:r w:rsidR="00006E8C" w:rsidRPr="002A1C31">
        <w:rPr>
          <w:noProof/>
        </w:rPr>
        <w:t>, ami megnehezítette a volt Match-Smatch munkavállalók számára a munkaerőpiacra való visszailleszkedést.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22.</w:t>
      </w:r>
      <w:r w:rsidRPr="00576FF3">
        <w:rPr>
          <w:noProof/>
        </w:rPr>
        <w:tab/>
      </w:r>
      <w:r w:rsidR="008E5881" w:rsidRPr="002A1C31">
        <w:rPr>
          <w:noProof/>
        </w:rPr>
        <w:t>Belgium kizárólag a Match-Smatch korábbi vallóniai munkavállalóinak támogatására kért EGAA-társfinanszírozást. A flamand regionális hatóságok úgy vélik, hogy tekintettel a regionális munkaerőpiac helyzetére, nincs szükség a Match-Smatch volt flamand munkavállalói számára rendelkezésre álló támogatás EGAA-társfinanszírozással történő uniós kiegészítésére.</w:t>
      </w:r>
    </w:p>
    <w:p w:rsidR="00CE3812" w:rsidRPr="002A1C31" w:rsidRDefault="00CE3812" w:rsidP="00CE3812">
      <w:pPr>
        <w:pStyle w:val="ManualHeading2"/>
        <w:rPr>
          <w:noProof/>
        </w:rPr>
      </w:pPr>
      <w:r w:rsidRPr="002A1C31">
        <w:rPr>
          <w:noProof/>
        </w:rPr>
        <w:t>A változásra való felkészülésre és a szerkezetátalakításra vonatkozó uniós minőségi keret (QFR) alkalmazása</w:t>
      </w:r>
    </w:p>
    <w:p w:rsidR="00A515C9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23.</w:t>
      </w:r>
      <w:r w:rsidRPr="00576FF3">
        <w:rPr>
          <w:noProof/>
        </w:rPr>
        <w:tab/>
      </w:r>
      <w:r w:rsidR="00A515C9" w:rsidRPr="002A1C31">
        <w:rPr>
          <w:noProof/>
        </w:rPr>
        <w:t>Belgium ismertette, hogyan vették figyelembe a változásra való felkészülésre és a szerkezetátalakításra vonatkozó uniós minőségi keretben</w:t>
      </w:r>
      <w:r w:rsidR="006E2FBA" w:rsidRPr="002A1C31">
        <w:rPr>
          <w:rStyle w:val="FootnoteReference"/>
          <w:noProof/>
        </w:rPr>
        <w:footnoteReference w:id="14"/>
      </w:r>
      <w:r w:rsidR="00A515C9" w:rsidRPr="002A1C31">
        <w:rPr>
          <w:noProof/>
        </w:rPr>
        <w:t xml:space="preserve"> megfogalmazott ajánlásokat.</w:t>
      </w:r>
    </w:p>
    <w:p w:rsidR="00812C24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24.</w:t>
      </w:r>
      <w:r w:rsidRPr="00576FF3">
        <w:rPr>
          <w:noProof/>
        </w:rPr>
        <w:tab/>
      </w:r>
      <w:r w:rsidR="00812C24" w:rsidRPr="002A1C31">
        <w:rPr>
          <w:noProof/>
        </w:rPr>
        <w:t xml:space="preserve">A Match-Smatch tiszteletben tartotta a csoportos létszámcsökkentésről szóló belga törvényt, amely kötelező eljárást ír elő a munkavállalók képviselőinek tájékoztatására és a velük folytatott konzultációra. Az eljárás lehetővé teszi az elbocsátások elkerülésére vagy csökkentésére vonatkozó bármely lehetőségét feltárását. Célja továbbá, hogy kiegészítő szociális intézkedésekkel – például az elbocsátott munkavállalók újrafoglalkoztatásának vagy átképzésének támogatásával – enyhítse a munkahelyek elvesztésének következményeit. A tárgyalások </w:t>
      </w:r>
      <w:bookmarkStart w:id="10" w:name="_Hlk168668396"/>
      <w:r w:rsidR="00812C24" w:rsidRPr="002A1C31">
        <w:rPr>
          <w:noProof/>
        </w:rPr>
        <w:t>533 500 EUR külön költségvetést biztosítottak az átképzési költségek fedezésére.</w:t>
      </w:r>
    </w:p>
    <w:bookmarkEnd w:id="10"/>
    <w:p w:rsidR="00A515C9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25.</w:t>
      </w:r>
      <w:r w:rsidRPr="00576FF3">
        <w:rPr>
          <w:noProof/>
        </w:rPr>
        <w:tab/>
      </w:r>
      <w:r w:rsidR="00A515C9" w:rsidRPr="002A1C31">
        <w:rPr>
          <w:noProof/>
        </w:rPr>
        <w:t>Belgium arról számolt be, hogy a szerkezetátalakítás aktív irányítására vonatkozó nemzeti munkajog</w:t>
      </w:r>
      <w:r w:rsidR="008C3DFF" w:rsidRPr="002A1C31">
        <w:rPr>
          <w:rStyle w:val="FootnoteReference"/>
          <w:noProof/>
        </w:rPr>
        <w:footnoteReference w:id="15"/>
      </w:r>
      <w:r w:rsidR="00A515C9" w:rsidRPr="002A1C31">
        <w:rPr>
          <w:noProof/>
        </w:rPr>
        <w:t xml:space="preserve"> előírja a szerkezetátalakítás alatt álló vállalkozások számára, hogy hozzanak létre egy foglalkoztatási egységet (</w:t>
      </w:r>
      <w:r w:rsidR="00A515C9" w:rsidRPr="002A1C31">
        <w:rPr>
          <w:i/>
          <w:noProof/>
        </w:rPr>
        <w:t>cellule pour l’emploi</w:t>
      </w:r>
      <w:r w:rsidR="00A515C9" w:rsidRPr="002A1C31">
        <w:rPr>
          <w:noProof/>
        </w:rPr>
        <w:t>)</w:t>
      </w:r>
      <w:r w:rsidR="007039B7" w:rsidRPr="002A1C31">
        <w:rPr>
          <w:rStyle w:val="FootnoteReference"/>
          <w:noProof/>
        </w:rPr>
        <w:footnoteReference w:id="16"/>
      </w:r>
      <w:r w:rsidR="00A515C9" w:rsidRPr="002A1C31">
        <w:rPr>
          <w:noProof/>
        </w:rPr>
        <w:t>, amelynek célja, hogy a csoportos létszámcsökkentés keretében elbocsátott munkavállalók számára három hónapon belül 30 órányi (a 45 év feletti munkavállalók esetében hat hónapon belül 60 órányi), az újbóli elhelyezkedés esélyének javítására irányuló szolgáltatásokat nyújtson.</w:t>
      </w:r>
    </w:p>
    <w:p w:rsidR="00CE3812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26.</w:t>
      </w:r>
      <w:r w:rsidRPr="00576FF3">
        <w:rPr>
          <w:noProof/>
        </w:rPr>
        <w:tab/>
      </w:r>
      <w:r w:rsidR="00A515C9" w:rsidRPr="002A1C31">
        <w:rPr>
          <w:noProof/>
        </w:rPr>
        <w:t>Vallónia regionális jogszabályai</w:t>
      </w:r>
      <w:r w:rsidR="00812C24" w:rsidRPr="002A1C31">
        <w:rPr>
          <w:rStyle w:val="FootnoteReference"/>
          <w:noProof/>
        </w:rPr>
        <w:footnoteReference w:id="17"/>
      </w:r>
      <w:r w:rsidR="00A515C9" w:rsidRPr="002A1C31">
        <w:rPr>
          <w:noProof/>
        </w:rPr>
        <w:t xml:space="preserve"> különleges támogatást biztosítanak az elbocsátott munkavállalók számára a regionális állami foglalkoztatási és képzési szolgálat (Le Forem) által létrehozott újrafoglalkoztatási egység (</w:t>
      </w:r>
      <w:r w:rsidR="00A515C9" w:rsidRPr="002A1C31">
        <w:rPr>
          <w:i/>
          <w:noProof/>
        </w:rPr>
        <w:t>cellule de reconversion</w:t>
      </w:r>
      <w:r w:rsidR="00A515C9" w:rsidRPr="002A1C31">
        <w:rPr>
          <w:noProof/>
        </w:rPr>
        <w:t>)</w:t>
      </w:r>
      <w:r w:rsidR="00CD0B29" w:rsidRPr="002A1C31">
        <w:rPr>
          <w:rStyle w:val="FootnoteReference"/>
          <w:noProof/>
        </w:rPr>
        <w:footnoteReference w:id="18"/>
      </w:r>
      <w:r w:rsidR="00A515C9" w:rsidRPr="002A1C31">
        <w:rPr>
          <w:noProof/>
        </w:rPr>
        <w:t xml:space="preserve"> formájában, a munkavállalók képviseleti szervezeteinek kérésére. Az újrafoglalkoztatási egység sem a munkáltató, sem a Le Forem számára nem jelent kötelezettséget. Az EGAA által társfinanszírozott intézkedések végrehajtását egy ilyen újrafoglalkoztatási egység fogja irányítani.</w:t>
      </w:r>
    </w:p>
    <w:p w:rsidR="00AE1620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27.</w:t>
      </w:r>
      <w:r w:rsidRPr="00576FF3">
        <w:rPr>
          <w:noProof/>
        </w:rPr>
        <w:tab/>
      </w:r>
      <w:r w:rsidR="00570056" w:rsidRPr="002A1C31">
        <w:rPr>
          <w:noProof/>
        </w:rPr>
        <w:t xml:space="preserve">Belgium arról számolt be, hogy az újrafoglalkoztatási egységet 2024. január 1-jén, röviddel az első elbocsátások után hozták létre. </w:t>
      </w:r>
    </w:p>
    <w:p w:rsidR="00CE3812" w:rsidRPr="002A1C31" w:rsidRDefault="00CE3812" w:rsidP="00CE3812">
      <w:pPr>
        <w:pStyle w:val="ManualHeading3"/>
        <w:rPr>
          <w:noProof/>
        </w:rPr>
      </w:pPr>
      <w:r w:rsidRPr="002A1C31">
        <w:rPr>
          <w:noProof/>
        </w:rPr>
        <w:t>A nemzeti vagy uniós forrásokból finanszírozott intézkedéseket kiegészítő jelleg</w:t>
      </w:r>
    </w:p>
    <w:p w:rsidR="00CE3812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28.</w:t>
      </w:r>
      <w:r w:rsidRPr="00576FF3">
        <w:rPr>
          <w:noProof/>
        </w:rPr>
        <w:tab/>
      </w:r>
      <w:r w:rsidR="00367496" w:rsidRPr="002A1C31">
        <w:rPr>
          <w:noProof/>
        </w:rPr>
        <w:t>Belgium megerősítette, hogy az alábbiakban ismertetett, az EGAA-ból nyújtott pénzügyi hozzájárulásban részesülő intézkedések nem részesülnek pénzügyi támogatásban egyéb uniós pénzügyi eszközökből.</w:t>
      </w:r>
    </w:p>
    <w:p w:rsidR="00504633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29.</w:t>
      </w:r>
      <w:r w:rsidRPr="00576FF3">
        <w:rPr>
          <w:noProof/>
        </w:rPr>
        <w:tab/>
      </w:r>
      <w:r w:rsidR="008260B7" w:rsidRPr="002A1C31">
        <w:rPr>
          <w:noProof/>
        </w:rPr>
        <w:t xml:space="preserve">A személyre szabott szolgáltatások koordinált csomagja kiegészíti az egyéb nemzeti vagy uniós alapokból finanszírozott intézkedéseket (lásd a 25. bekezdésben leírt, az újbóli elhelyezkedés esélyének javítására irányuló szolgáltatásokat). </w:t>
      </w:r>
    </w:p>
    <w:p w:rsidR="00504633" w:rsidRPr="002A1C31" w:rsidRDefault="00504633" w:rsidP="00504633">
      <w:pPr>
        <w:pStyle w:val="ManualHeading3"/>
        <w:tabs>
          <w:tab w:val="clear" w:pos="850"/>
          <w:tab w:val="left" w:pos="0"/>
        </w:tabs>
        <w:ind w:left="0" w:firstLine="0"/>
        <w:rPr>
          <w:noProof/>
          <w:u w:val="single"/>
        </w:rPr>
      </w:pPr>
      <w:r w:rsidRPr="002A1C31">
        <w:rPr>
          <w:noProof/>
        </w:rPr>
        <w:t>A célcsoportot alkotó kedvezményezettekkel vagy képviselőikkel, a szociális partnerekkel, illetve a helyi és regionális hatóságokkal folytatott konzultáció során követett eljárások</w:t>
      </w:r>
    </w:p>
    <w:p w:rsidR="00504633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30.</w:t>
      </w:r>
      <w:r w:rsidRPr="00576FF3">
        <w:rPr>
          <w:noProof/>
        </w:rPr>
        <w:tab/>
      </w:r>
      <w:r w:rsidR="00367496" w:rsidRPr="002A1C31">
        <w:rPr>
          <w:noProof/>
        </w:rPr>
        <w:t>Belgium jelezte, hogy a személyre szabott szolgáltatások koordinált csomagját a célcsoportot alkotó kedvezményezettekkel, azok képviselőivel és a szociális partnerekkel egyeztetve dolgozták ki, az (EU) 2021/691 rendelet 7. cikkének (4) bekezdésével összhangban.</w:t>
      </w:r>
    </w:p>
    <w:p w:rsidR="00504633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31.</w:t>
      </w:r>
      <w:r w:rsidRPr="00576FF3">
        <w:rPr>
          <w:noProof/>
        </w:rPr>
        <w:tab/>
      </w:r>
      <w:r w:rsidR="00367496" w:rsidRPr="002A1C31">
        <w:rPr>
          <w:noProof/>
        </w:rPr>
        <w:t>Azzal a céllal, hogy a Match-Smatch munkavállalóinak munkába való visszatérését támogató, testre szabott, hatékony intézkedéscsomagot dolgozzanak ki, a Le Forem, a szakszervezetek (az FGTB</w:t>
      </w:r>
      <w:r w:rsidR="00AB691F" w:rsidRPr="002A1C31">
        <w:rPr>
          <w:rStyle w:val="FootnoteReference"/>
          <w:noProof/>
        </w:rPr>
        <w:footnoteReference w:id="19"/>
      </w:r>
      <w:r w:rsidR="00367496" w:rsidRPr="002A1C31">
        <w:rPr>
          <w:noProof/>
        </w:rPr>
        <w:t xml:space="preserve"> és a CSC</w:t>
      </w:r>
      <w:r w:rsidR="00AB691F" w:rsidRPr="002A1C31">
        <w:rPr>
          <w:rStyle w:val="FootnoteReference"/>
          <w:noProof/>
        </w:rPr>
        <w:footnoteReference w:id="20"/>
      </w:r>
      <w:r w:rsidR="00367496" w:rsidRPr="002A1C31">
        <w:rPr>
          <w:noProof/>
        </w:rPr>
        <w:t>) és más partnerek 2024. január 17-én, február 5-én és március 19-én találkoztak, hogy jobban megértsék a munkavállalók átképzésével kapcsolatos igényeket. A munkavállalókat az elbocsátásukat követően kísérő szociális tanácsadókkal is konzultáltak. E találkozók eredményeként az EGAA-intézkedésekből koordinált csomag készült, amely megfelel az (EU) 2021/691 rendelet 7. cikke (4) bekezdésének.</w:t>
      </w:r>
    </w:p>
    <w:p w:rsidR="00252AC6" w:rsidRPr="002A1C31" w:rsidRDefault="00252AC6" w:rsidP="00252AC6">
      <w:pPr>
        <w:pStyle w:val="ManualHeading2"/>
        <w:rPr>
          <w:noProof/>
        </w:rPr>
      </w:pPr>
      <w:r w:rsidRPr="002A1C31">
        <w:rPr>
          <w:noProof/>
        </w:rPr>
        <w:t>A célcsoportot alkotó kedvezményezettek és a javasolt intézkedések</w:t>
      </w:r>
    </w:p>
    <w:p w:rsidR="00252AC6" w:rsidRPr="002A1C31" w:rsidRDefault="00252AC6" w:rsidP="00252AC6">
      <w:pPr>
        <w:pStyle w:val="ManualHeading3"/>
        <w:rPr>
          <w:noProof/>
        </w:rPr>
      </w:pPr>
      <w:r w:rsidRPr="002A1C31">
        <w:rPr>
          <w:noProof/>
        </w:rPr>
        <w:t>A célcsoportot alkotó kedvezményezettek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32.</w:t>
      </w:r>
      <w:r w:rsidRPr="00576FF3">
        <w:rPr>
          <w:noProof/>
        </w:rPr>
        <w:tab/>
      </w:r>
      <w:r w:rsidR="00252AC6" w:rsidRPr="002A1C31">
        <w:rPr>
          <w:noProof/>
        </w:rPr>
        <w:t>Az intézkedésekben várhatóan részt vevő elbocsátott munkavállalók becsült száma 365. Az (EU) 2021/691 rendelet 8. cikke (7) bekezdésének f) pontjában előírtak szerint az e munkavállalók nem, korcsoport és iskolai végzettség szerinti bontása a következő: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063"/>
        <w:gridCol w:w="1176"/>
        <w:gridCol w:w="1176"/>
      </w:tblGrid>
      <w:tr w:rsidR="00252AC6" w:rsidRPr="002A1C31" w:rsidTr="00F060F9">
        <w:trPr>
          <w:jc w:val="center"/>
        </w:trPr>
        <w:tc>
          <w:tcPr>
            <w:tcW w:w="3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2AC6" w:rsidRPr="002A1C31" w:rsidRDefault="00252AC6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Kategória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2AC6" w:rsidRPr="002A1C31" w:rsidRDefault="00252AC6" w:rsidP="00C3711A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A várható kedvezményezettek száma</w:t>
            </w:r>
          </w:p>
        </w:tc>
      </w:tr>
      <w:tr w:rsidR="00252AC6" w:rsidRPr="002A1C31" w:rsidTr="007244BC">
        <w:trPr>
          <w:jc w:val="center"/>
        </w:trPr>
        <w:tc>
          <w:tcPr>
            <w:tcW w:w="149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252AC6" w:rsidRPr="002A1C31" w:rsidRDefault="00CC3C30" w:rsidP="00F060F9">
            <w:pPr>
              <w:spacing w:before="60" w:after="60"/>
              <w:rPr>
                <w:noProof/>
              </w:rPr>
            </w:pPr>
            <w:r w:rsidRPr="002A1C31">
              <w:rPr>
                <w:noProof/>
              </w:rPr>
              <w:t>Nem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252AC6" w:rsidRPr="002A1C31" w:rsidRDefault="00252AC6" w:rsidP="00F060F9">
            <w:pPr>
              <w:spacing w:before="60" w:after="60"/>
              <w:rPr>
                <w:noProof/>
              </w:rPr>
            </w:pPr>
            <w:r w:rsidRPr="002A1C31">
              <w:rPr>
                <w:noProof/>
              </w:rPr>
              <w:t>Férfiak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252AC6" w:rsidRPr="002A1C31" w:rsidRDefault="00F05548" w:rsidP="00F060F9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238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252AC6" w:rsidRPr="002A1C31" w:rsidRDefault="00252AC6" w:rsidP="00F060F9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(65,2 %)</w:t>
            </w:r>
          </w:p>
        </w:tc>
      </w:tr>
      <w:tr w:rsidR="00CC3C30" w:rsidRPr="002A1C31" w:rsidTr="007244BC">
        <w:trPr>
          <w:jc w:val="center"/>
        </w:trPr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CC3C30" w:rsidRPr="002A1C31" w:rsidRDefault="00CC3C30" w:rsidP="00CC3C30">
            <w:pPr>
              <w:spacing w:before="60" w:after="60"/>
              <w:rPr>
                <w:noProof/>
              </w:rPr>
            </w:pPr>
          </w:p>
        </w:tc>
        <w:tc>
          <w:tcPr>
            <w:tcW w:w="2063" w:type="dxa"/>
            <w:tcBorders>
              <w:top w:val="nil"/>
              <w:left w:val="nil"/>
              <w:right w:val="nil"/>
            </w:tcBorders>
          </w:tcPr>
          <w:p w:rsidR="00CC3C30" w:rsidRPr="002A1C31" w:rsidRDefault="00CC3C30" w:rsidP="00CC3C30">
            <w:pPr>
              <w:spacing w:before="60" w:after="60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Nők</w:t>
            </w:r>
          </w:p>
        </w:tc>
        <w:tc>
          <w:tcPr>
            <w:tcW w:w="1176" w:type="dxa"/>
          </w:tcPr>
          <w:p w:rsidR="00CC3C30" w:rsidRPr="002A1C31" w:rsidRDefault="00F05548" w:rsidP="00CC3C30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127</w:t>
            </w:r>
          </w:p>
        </w:tc>
        <w:tc>
          <w:tcPr>
            <w:tcW w:w="1176" w:type="dxa"/>
          </w:tcPr>
          <w:p w:rsidR="00CC3C30" w:rsidRPr="002A1C31" w:rsidRDefault="00CC3C30" w:rsidP="00CC3C30">
            <w:pPr>
              <w:spacing w:before="60" w:after="60"/>
              <w:jc w:val="righ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(34,8 %)</w:t>
            </w:r>
          </w:p>
        </w:tc>
      </w:tr>
      <w:tr w:rsidR="00CC3C30" w:rsidRPr="002A1C31" w:rsidTr="007244BC">
        <w:trPr>
          <w:jc w:val="center"/>
        </w:trPr>
        <w:tc>
          <w:tcPr>
            <w:tcW w:w="1496" w:type="dxa"/>
            <w:tcBorders>
              <w:left w:val="nil"/>
              <w:bottom w:val="single" w:sz="4" w:space="0" w:color="auto"/>
              <w:right w:val="nil"/>
            </w:tcBorders>
          </w:tcPr>
          <w:p w:rsidR="00CC3C30" w:rsidRPr="002A1C31" w:rsidRDefault="00CC3C30" w:rsidP="00CC3C30">
            <w:pPr>
              <w:spacing w:before="60" w:after="60"/>
              <w:rPr>
                <w:noProof/>
              </w:rPr>
            </w:pPr>
          </w:p>
        </w:tc>
        <w:tc>
          <w:tcPr>
            <w:tcW w:w="2063" w:type="dxa"/>
            <w:tcBorders>
              <w:left w:val="nil"/>
              <w:bottom w:val="single" w:sz="4" w:space="0" w:color="auto"/>
              <w:right w:val="nil"/>
            </w:tcBorders>
          </w:tcPr>
          <w:p w:rsidR="00CC3C30" w:rsidRPr="002A1C31" w:rsidRDefault="00CC3C30" w:rsidP="00CC3C30">
            <w:pPr>
              <w:spacing w:before="60" w:after="60"/>
              <w:rPr>
                <w:noProof/>
              </w:rPr>
            </w:pPr>
            <w:r w:rsidRPr="002A1C31">
              <w:rPr>
                <w:noProof/>
              </w:rPr>
              <w:t>Nem bináris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hideMark/>
          </w:tcPr>
          <w:p w:rsidR="00CC3C30" w:rsidRPr="002A1C31" w:rsidRDefault="00C73327" w:rsidP="00CC3C30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0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hideMark/>
          </w:tcPr>
          <w:p w:rsidR="00CC3C30" w:rsidRPr="002A1C31" w:rsidRDefault="00CC3C30" w:rsidP="00CC3C30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(0,0 %)</w:t>
            </w:r>
          </w:p>
        </w:tc>
      </w:tr>
      <w:tr w:rsidR="00CC3C30" w:rsidRPr="002A1C31" w:rsidTr="00F060F9">
        <w:trPr>
          <w:jc w:val="center"/>
        </w:trPr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3C30" w:rsidRPr="002A1C31" w:rsidRDefault="00CC3C30" w:rsidP="00CC3C30">
            <w:pPr>
              <w:spacing w:before="60" w:after="60"/>
              <w:rPr>
                <w:noProof/>
              </w:rPr>
            </w:pPr>
            <w:r w:rsidRPr="002A1C31">
              <w:rPr>
                <w:noProof/>
              </w:rPr>
              <w:t>Korcsoport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3C30" w:rsidRPr="002A1C31" w:rsidRDefault="001812CD" w:rsidP="001812CD">
            <w:pPr>
              <w:spacing w:before="60" w:after="60"/>
              <w:rPr>
                <w:noProof/>
              </w:rPr>
            </w:pPr>
            <w:r w:rsidRPr="002A1C31">
              <w:rPr>
                <w:noProof/>
              </w:rPr>
              <w:t>30 év alattiak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hideMark/>
          </w:tcPr>
          <w:p w:rsidR="00CC3C30" w:rsidRPr="002A1C31" w:rsidRDefault="00F05548" w:rsidP="00CC3C30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28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hideMark/>
          </w:tcPr>
          <w:p w:rsidR="00CC3C30" w:rsidRPr="002A1C31" w:rsidRDefault="00CC3C30" w:rsidP="00CC3C30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(7,7 %)</w:t>
            </w:r>
          </w:p>
        </w:tc>
      </w:tr>
      <w:tr w:rsidR="00CC3C30" w:rsidRPr="002A1C31" w:rsidTr="00F060F9">
        <w:trPr>
          <w:jc w:val="center"/>
        </w:trPr>
        <w:tc>
          <w:tcPr>
            <w:tcW w:w="1496" w:type="dxa"/>
          </w:tcPr>
          <w:p w:rsidR="00CC3C30" w:rsidRPr="002A1C31" w:rsidRDefault="00CC3C30" w:rsidP="00CC3C30">
            <w:pPr>
              <w:spacing w:before="60" w:after="60"/>
              <w:rPr>
                <w:noProof/>
              </w:rPr>
            </w:pPr>
          </w:p>
        </w:tc>
        <w:tc>
          <w:tcPr>
            <w:tcW w:w="2063" w:type="dxa"/>
            <w:hideMark/>
          </w:tcPr>
          <w:p w:rsidR="00CC3C30" w:rsidRPr="002A1C31" w:rsidRDefault="00CC3C30" w:rsidP="00CC3C30">
            <w:pPr>
              <w:spacing w:before="60" w:after="60"/>
              <w:rPr>
                <w:noProof/>
              </w:rPr>
            </w:pPr>
            <w:r w:rsidRPr="002A1C31">
              <w:rPr>
                <w:noProof/>
              </w:rPr>
              <w:t>30–54 év közöttiek</w:t>
            </w:r>
          </w:p>
        </w:tc>
        <w:tc>
          <w:tcPr>
            <w:tcW w:w="1176" w:type="dxa"/>
            <w:hideMark/>
          </w:tcPr>
          <w:p w:rsidR="00CC3C30" w:rsidRPr="002A1C31" w:rsidRDefault="00F05548" w:rsidP="00CC3C30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222</w:t>
            </w:r>
          </w:p>
        </w:tc>
        <w:tc>
          <w:tcPr>
            <w:tcW w:w="1176" w:type="dxa"/>
            <w:hideMark/>
          </w:tcPr>
          <w:p w:rsidR="00CC3C30" w:rsidRPr="002A1C31" w:rsidRDefault="00CC3C30" w:rsidP="00CC3C30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(60,8 %)</w:t>
            </w:r>
          </w:p>
        </w:tc>
      </w:tr>
      <w:tr w:rsidR="00CC3C30" w:rsidRPr="002A1C31" w:rsidTr="007244BC">
        <w:trPr>
          <w:jc w:val="center"/>
        </w:trPr>
        <w:tc>
          <w:tcPr>
            <w:tcW w:w="1496" w:type="dxa"/>
          </w:tcPr>
          <w:p w:rsidR="00CC3C30" w:rsidRPr="002A1C31" w:rsidRDefault="00CC3C30" w:rsidP="00CC3C30">
            <w:pPr>
              <w:spacing w:before="60" w:after="60"/>
              <w:rPr>
                <w:noProof/>
              </w:rPr>
            </w:pPr>
          </w:p>
        </w:tc>
        <w:tc>
          <w:tcPr>
            <w:tcW w:w="2063" w:type="dxa"/>
            <w:hideMark/>
          </w:tcPr>
          <w:p w:rsidR="00CC3C30" w:rsidRPr="002A1C31" w:rsidRDefault="005E38AF" w:rsidP="005E38AF">
            <w:pPr>
              <w:spacing w:before="60" w:after="60"/>
              <w:jc w:val="left"/>
              <w:rPr>
                <w:noProof/>
              </w:rPr>
            </w:pPr>
            <w:r w:rsidRPr="002A1C31">
              <w:rPr>
                <w:noProof/>
              </w:rPr>
              <w:t>54 év felettiek</w:t>
            </w:r>
          </w:p>
        </w:tc>
        <w:tc>
          <w:tcPr>
            <w:tcW w:w="1176" w:type="dxa"/>
            <w:hideMark/>
          </w:tcPr>
          <w:p w:rsidR="00CC3C30" w:rsidRPr="002A1C31" w:rsidRDefault="00F05548" w:rsidP="00CC3C30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115</w:t>
            </w:r>
          </w:p>
        </w:tc>
        <w:tc>
          <w:tcPr>
            <w:tcW w:w="1176" w:type="dxa"/>
            <w:hideMark/>
          </w:tcPr>
          <w:p w:rsidR="00CC3C30" w:rsidRPr="002A1C31" w:rsidRDefault="00CC3C30" w:rsidP="00CC3C30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(31,5 %)</w:t>
            </w:r>
          </w:p>
        </w:tc>
      </w:tr>
      <w:tr w:rsidR="005C2354" w:rsidRPr="002A1C31" w:rsidTr="007244BC">
        <w:trPr>
          <w:jc w:val="center"/>
        </w:trPr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354" w:rsidRPr="002A1C31" w:rsidRDefault="005C2354" w:rsidP="005C2354">
            <w:pPr>
              <w:spacing w:before="60" w:after="60"/>
              <w:rPr>
                <w:noProof/>
              </w:rPr>
            </w:pPr>
            <w:r w:rsidRPr="002A1C31">
              <w:rPr>
                <w:noProof/>
              </w:rPr>
              <w:t>Iskolai végzettség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354" w:rsidRPr="002A1C31" w:rsidRDefault="005C2354" w:rsidP="005C2354">
            <w:pPr>
              <w:spacing w:before="60" w:after="60"/>
              <w:rPr>
                <w:noProof/>
              </w:rPr>
            </w:pPr>
            <w:r w:rsidRPr="002A1C31">
              <w:rPr>
                <w:noProof/>
              </w:rPr>
              <w:t>Legfeljebb alsó középfokú végzettség</w:t>
            </w:r>
            <w:r w:rsidRPr="002A1C31">
              <w:rPr>
                <w:rStyle w:val="FootnoteReference"/>
                <w:noProof/>
              </w:rPr>
              <w:footnoteReference w:id="21"/>
            </w:r>
            <w:r w:rsidRPr="002A1C31">
              <w:rPr>
                <w:noProof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354" w:rsidRPr="002A1C31" w:rsidRDefault="00F05548" w:rsidP="005C2354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110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354" w:rsidRPr="002A1C31" w:rsidRDefault="005C2354" w:rsidP="005C2354">
            <w:pPr>
              <w:spacing w:before="60" w:after="60"/>
              <w:jc w:val="righ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(30,1 %)</w:t>
            </w:r>
          </w:p>
        </w:tc>
      </w:tr>
      <w:tr w:rsidR="005C2354" w:rsidRPr="002A1C31" w:rsidTr="007244BC">
        <w:trPr>
          <w:jc w:val="center"/>
        </w:trPr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5C2354" w:rsidRPr="002A1C31" w:rsidRDefault="005C2354" w:rsidP="005C2354">
            <w:pPr>
              <w:spacing w:before="60" w:after="60"/>
              <w:rPr>
                <w:noProof/>
              </w:rPr>
            </w:pPr>
          </w:p>
        </w:tc>
        <w:tc>
          <w:tcPr>
            <w:tcW w:w="2063" w:type="dxa"/>
            <w:tcBorders>
              <w:top w:val="nil"/>
              <w:left w:val="nil"/>
              <w:right w:val="nil"/>
            </w:tcBorders>
          </w:tcPr>
          <w:p w:rsidR="005C2354" w:rsidRPr="002A1C31" w:rsidRDefault="005C2354" w:rsidP="005C2354">
            <w:pPr>
              <w:spacing w:before="60" w:after="60"/>
              <w:rPr>
                <w:noProof/>
              </w:rPr>
            </w:pPr>
            <w:r w:rsidRPr="002A1C31">
              <w:rPr>
                <w:noProof/>
              </w:rPr>
              <w:t>Felső középfokú</w:t>
            </w:r>
            <w:r w:rsidRPr="002A1C31">
              <w:rPr>
                <w:rStyle w:val="FootnoteReference"/>
                <w:noProof/>
              </w:rPr>
              <w:footnoteReference w:id="22"/>
            </w:r>
            <w:r w:rsidRPr="002A1C31">
              <w:rPr>
                <w:noProof/>
              </w:rPr>
              <w:t xml:space="preserve"> vagy posztszekunder</w:t>
            </w:r>
            <w:r w:rsidRPr="002A1C31">
              <w:rPr>
                <w:rStyle w:val="FootnoteReference"/>
                <w:noProof/>
              </w:rPr>
              <w:footnoteReference w:id="23"/>
            </w:r>
            <w:r w:rsidRPr="002A1C31">
              <w:rPr>
                <w:noProof/>
              </w:rPr>
              <w:t xml:space="preserve"> végzettség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</w:tcPr>
          <w:p w:rsidR="005C2354" w:rsidRPr="002A1C31" w:rsidRDefault="00F05548" w:rsidP="005C2354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192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</w:tcPr>
          <w:p w:rsidR="005C2354" w:rsidRPr="002A1C31" w:rsidRDefault="005C2354" w:rsidP="005C2354">
            <w:pPr>
              <w:spacing w:before="60" w:after="60"/>
              <w:jc w:val="righ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(52,6 %)</w:t>
            </w:r>
          </w:p>
        </w:tc>
      </w:tr>
      <w:tr w:rsidR="005C2354" w:rsidRPr="002A1C31" w:rsidTr="007244BC">
        <w:trPr>
          <w:jc w:val="center"/>
        </w:trPr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354" w:rsidRPr="002A1C31" w:rsidRDefault="005C2354" w:rsidP="005C2354">
            <w:pPr>
              <w:spacing w:before="60" w:after="60"/>
              <w:rPr>
                <w:noProof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354" w:rsidRPr="002A1C31" w:rsidRDefault="005C2354" w:rsidP="005C2354">
            <w:pPr>
              <w:spacing w:before="60" w:after="60"/>
              <w:rPr>
                <w:noProof/>
              </w:rPr>
            </w:pPr>
            <w:r w:rsidRPr="002A1C31">
              <w:rPr>
                <w:noProof/>
              </w:rPr>
              <w:t>Felsőfokú végzettség</w:t>
            </w:r>
            <w:r w:rsidRPr="002A1C31">
              <w:rPr>
                <w:rStyle w:val="FootnoteReference"/>
                <w:noProof/>
              </w:rPr>
              <w:footnoteReference w:id="24"/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354" w:rsidRPr="002A1C31" w:rsidRDefault="00B24BEA" w:rsidP="005C2354">
            <w:pPr>
              <w:spacing w:before="60" w:after="60"/>
              <w:jc w:val="right"/>
              <w:rPr>
                <w:noProof/>
              </w:rPr>
            </w:pPr>
            <w:r w:rsidRPr="002A1C31">
              <w:rPr>
                <w:noProof/>
              </w:rPr>
              <w:t>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354" w:rsidRPr="002A1C31" w:rsidRDefault="005C2354" w:rsidP="005C2354">
            <w:pPr>
              <w:spacing w:before="60" w:after="60"/>
              <w:jc w:val="right"/>
              <w:rPr>
                <w:rFonts w:eastAsia="Calibri"/>
                <w:noProof/>
              </w:rPr>
            </w:pPr>
            <w:r w:rsidRPr="002A1C31">
              <w:rPr>
                <w:noProof/>
              </w:rPr>
              <w:t>(17,3 %)</w:t>
            </w:r>
          </w:p>
        </w:tc>
      </w:tr>
    </w:tbl>
    <w:p w:rsidR="00252AC6" w:rsidRPr="002A1C31" w:rsidRDefault="00FF75EB" w:rsidP="00252AC6">
      <w:pPr>
        <w:pStyle w:val="ManualHeading3"/>
        <w:rPr>
          <w:noProof/>
          <w:u w:val="single"/>
        </w:rPr>
      </w:pPr>
      <w:r w:rsidRPr="002A1C31">
        <w:rPr>
          <w:noProof/>
        </w:rPr>
        <w:t>Javasolt intézkedések</w:t>
      </w:r>
    </w:p>
    <w:p w:rsidR="00252AC6" w:rsidRPr="002A1C31" w:rsidRDefault="00576FF3" w:rsidP="00576FF3">
      <w:pPr>
        <w:pStyle w:val="ManualNumPar1"/>
        <w:rPr>
          <w:noProof/>
        </w:rPr>
      </w:pPr>
      <w:bookmarkStart w:id="11" w:name="_Ref372214239"/>
      <w:r w:rsidRPr="00576FF3">
        <w:rPr>
          <w:noProof/>
        </w:rPr>
        <w:t>33.</w:t>
      </w:r>
      <w:r w:rsidRPr="00576FF3">
        <w:rPr>
          <w:noProof/>
        </w:rPr>
        <w:tab/>
      </w:r>
      <w:r w:rsidR="00930B53" w:rsidRPr="002A1C31">
        <w:rPr>
          <w:noProof/>
        </w:rPr>
        <w:t xml:space="preserve">Az (EU) 2021/691 rendelet 8. cikke (7) bekezdésének h) pontjában előírtak szerint az elbocsátott munkavállalók számára biztosítandó személyre szabott koordinált csomag a következő intézkedéseket tartalmazza: </w:t>
      </w:r>
      <w:bookmarkEnd w:id="11"/>
    </w:p>
    <w:p w:rsidR="00252AC6" w:rsidRPr="002A1C31" w:rsidRDefault="008B5BC0" w:rsidP="003C2969">
      <w:pPr>
        <w:pStyle w:val="Tiret1"/>
        <w:numPr>
          <w:ilvl w:val="0"/>
          <w:numId w:val="11"/>
        </w:numPr>
        <w:rPr>
          <w:noProof/>
        </w:rPr>
      </w:pPr>
      <w:r w:rsidRPr="002A1C31">
        <w:rPr>
          <w:noProof/>
          <w:u w:val="single"/>
        </w:rPr>
        <w:t>Tájékoztatási szolgáltatások, karrier-tanácsadás és az újbóli elhelyezkedés esélyének javítása</w:t>
      </w:r>
      <w:r w:rsidRPr="002A1C31">
        <w:rPr>
          <w:noProof/>
        </w:rPr>
        <w:t>: Ezek a szolgáltatások bővítik a Le Forem foglalkoztatási egysége által az elbocsátó vállalkozás nevében a Match-Smatch korábbi munkavállalóinak támogatására végzett szokásos tevékenységeket. A szokásos ajánlatot a kötelező időszakon túl is meghosszabbítják, és további konkrét szolgáltatásokat, például egyéni coachingot, aktív álláskeresési és munkaközvetítési szolgáltatásokat javasolnak.</w:t>
      </w:r>
    </w:p>
    <w:p w:rsidR="005D57B7" w:rsidRPr="002A1C31" w:rsidRDefault="008B5BC0" w:rsidP="005D57B7">
      <w:pPr>
        <w:pStyle w:val="Tiret1"/>
        <w:rPr>
          <w:noProof/>
        </w:rPr>
      </w:pPr>
      <w:r w:rsidRPr="002A1C31">
        <w:rPr>
          <w:noProof/>
          <w:u w:val="single"/>
        </w:rPr>
        <w:t>Képzés, átképzés és szakképzés</w:t>
      </w:r>
      <w:r w:rsidRPr="002A1C31">
        <w:rPr>
          <w:noProof/>
        </w:rPr>
        <w:t>: A munkavállalók a Le Forem és partnerei szokásos képzési kínálatához férhetnek hozzá. Ezen túlmenően az egyéni projektek kiválasztása és szakképzési tanácsadó által történő elfogadása után az EGAA által társfinanszírozott speciális képzésben részesülnek a munkavállalók azonosított szükségletei szerint.</w:t>
      </w:r>
    </w:p>
    <w:p w:rsidR="005D57B7" w:rsidRPr="002A1C31" w:rsidRDefault="00703A76" w:rsidP="005D57B7">
      <w:pPr>
        <w:pStyle w:val="Tiret1"/>
        <w:rPr>
          <w:noProof/>
        </w:rPr>
      </w:pPr>
      <w:r w:rsidRPr="002A1C31">
        <w:rPr>
          <w:noProof/>
          <w:u w:val="single"/>
        </w:rPr>
        <w:t>Vállalkozás létrehozásához nyújtott támogatás</w:t>
      </w:r>
      <w:r w:rsidRPr="002A1C31">
        <w:rPr>
          <w:noProof/>
        </w:rPr>
        <w:t>: Az intézkedés azokat a munkavállalókat célozza, akik saját vállalkozást kívánnak indítani. Ez egy helyzetfelmérő és orientációs szakaszt, a vállalkozói készségekre vonatkozó információs programokat, a vállalkozás-létrehozás lehetőségeit területi alapú gazdasági elemzés alapján bemutató tájékoztató előadásokat, valamint hálózatépítést foglal magában vállalkozók és a vállalkozások létrehozása terén képesített tanácsadók bevonásával.</w:t>
      </w:r>
    </w:p>
    <w:p w:rsidR="00755E62" w:rsidRPr="002A1C31" w:rsidRDefault="00D16908" w:rsidP="00214915">
      <w:pPr>
        <w:pStyle w:val="Tiret1"/>
        <w:rPr>
          <w:noProof/>
        </w:rPr>
      </w:pPr>
      <w:r w:rsidRPr="002A1C31">
        <w:rPr>
          <w:noProof/>
          <w:u w:val="single"/>
        </w:rPr>
        <w:t>Hozzájárulás vállalkozások létrehozásához</w:t>
      </w:r>
      <w:r w:rsidRPr="002A1C31">
        <w:rPr>
          <w:noProof/>
        </w:rPr>
        <w:t>: Azok a munkavállalók, akik önálló vállalkozói tevékenységet kezdenek vagy vállalkozást indítanak, legfeljebb 15 000 EUR hozzájárulásban részesülnek. A hozzájárulás folyósítása két részletben történik, miután a vállalkozói tevékenység elindítását és fejlesztését (igazoló dokumentumokkal) bizonyították.</w:t>
      </w:r>
    </w:p>
    <w:p w:rsidR="003736CE" w:rsidRPr="002A1C31" w:rsidRDefault="00F93AC5" w:rsidP="00214915">
      <w:pPr>
        <w:pStyle w:val="Tiret1"/>
        <w:rPr>
          <w:noProof/>
        </w:rPr>
      </w:pPr>
      <w:r w:rsidRPr="002A1C31">
        <w:rPr>
          <w:noProof/>
          <w:u w:val="single"/>
        </w:rPr>
        <w:t>Ösztönzők és juttatások</w:t>
      </w:r>
      <w:r w:rsidRPr="002A1C31">
        <w:rPr>
          <w:noProof/>
        </w:rPr>
        <w:t xml:space="preserve">: 1. </w:t>
      </w:r>
      <w:r w:rsidRPr="002A1C31">
        <w:rPr>
          <w:b/>
          <w:noProof/>
        </w:rPr>
        <w:t>Álláskeresési és képzési juttatások</w:t>
      </w:r>
      <w:r w:rsidRPr="002A1C31">
        <w:rPr>
          <w:noProof/>
        </w:rPr>
        <w:t xml:space="preserve">. A munkavállalók a képzéseken vagy álláskeresési tevékenységekben való tényleges részvétel után óránként 2 EUR-t kapnak. 2. </w:t>
      </w:r>
      <w:r w:rsidRPr="002A1C31">
        <w:rPr>
          <w:b/>
          <w:noProof/>
        </w:rPr>
        <w:t>Az informatikai készségek fejlesztésért járó prémium</w:t>
      </w:r>
      <w:r w:rsidRPr="002A1C31">
        <w:rPr>
          <w:noProof/>
        </w:rPr>
        <w:t xml:space="preserve">. Azok a munkavállalók, akik követik mind a digitális autonómia megszerzését célzó modult, mind annak kiegészítő modulját, 700 EUR egyösszegű támogatásban részesülnek, feltéve, hogy aktívan részt vesznek és befejezik a képzést. A prémium célja a digitális írástudatlanság csökkentése azáltal, hogy a munkavállalókat informatikai készségeik fejlesztésére ösztönzi. 3. </w:t>
      </w:r>
      <w:r w:rsidRPr="002A1C31">
        <w:rPr>
          <w:b/>
          <w:noProof/>
        </w:rPr>
        <w:t>A nyelvi készségek fejlesztésért járó prémium</w:t>
      </w:r>
      <w:r w:rsidRPr="002A1C31">
        <w:rPr>
          <w:noProof/>
        </w:rPr>
        <w:t xml:space="preserve">. Azok a munkavállalók, akik konkrét álláskeresés részeként a holland, angol vagy német nyelvi készségeik javításának érdekében nyelvi képzésben vesznek részt, ami lehetővé teszik számukra, hogy magasabb szintet érjenek el a közös európai nyelvi referenciakeretben, 700 EUR összegű egyszeri támogatásban részesülnek. Ugyanez vonatkozik azokra a munkavállalókra is, akiknek az anyanyelve nem a francia, és akik magasabb szintre fejlesztik francia készségeiket. E prémium célja a szakterületeken átnyúló nyelvi készségek fejlesztésének ösztönzése a munkavállalók munkaerőpiaci visszailleszkedésének elősegítése érdekében. 4. </w:t>
      </w:r>
      <w:r w:rsidRPr="002A1C31">
        <w:rPr>
          <w:b/>
          <w:noProof/>
        </w:rPr>
        <w:t>Juttatás az oktatásba való visszatéréshez</w:t>
      </w:r>
      <w:r w:rsidRPr="002A1C31">
        <w:rPr>
          <w:noProof/>
        </w:rPr>
        <w:t xml:space="preserve">. Havi 350 EUR összegű juttatásban részesülnek azok a munkavállalók, akik nappali tagozatos közép- vagy felsőfokú tanulmányokat folytatnak, vagy szakképzésben vesznek részt, életkoruktól függetlenül. 5. </w:t>
      </w:r>
      <w:r w:rsidRPr="002A1C31">
        <w:rPr>
          <w:b/>
          <w:noProof/>
        </w:rPr>
        <w:t>Vállalkozás létrehozásához nyújtott juttatás</w:t>
      </w:r>
      <w:r w:rsidRPr="002A1C31">
        <w:rPr>
          <w:noProof/>
        </w:rPr>
        <w:t>. A munkavállalók a vállalkozásindítás időszakában való támogatásuk céljából</w:t>
      </w:r>
      <w:r w:rsidR="00717FE5" w:rsidRPr="002A1C31">
        <w:rPr>
          <w:rStyle w:val="FootnoteReference"/>
          <w:noProof/>
        </w:rPr>
        <w:footnoteReference w:id="25"/>
      </w:r>
      <w:r w:rsidRPr="002A1C31">
        <w:rPr>
          <w:noProof/>
        </w:rPr>
        <w:t xml:space="preserve"> 350 EUR havi juttatásban részesülnek legfeljebb 12 hónapon át. 6. </w:t>
      </w:r>
      <w:r w:rsidRPr="002A1C31">
        <w:rPr>
          <w:b/>
          <w:noProof/>
        </w:rPr>
        <w:t>A munkaerő-felvétel ösztönzése</w:t>
      </w:r>
      <w:r w:rsidRPr="002A1C31">
        <w:rPr>
          <w:noProof/>
        </w:rPr>
        <w:t>. A Match-Smatch korábbi, 50 évesnél idősebb munkavállalóit felvevő vállalkozások 10 000 EUR-t kapnak a teljes munkaidős, határozatlan idejű szerződések vagy a legfeljebb 6 hónapos, olyan határozott idejű szerződések után, amelyeket állandó szerződés követ.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34.</w:t>
      </w:r>
      <w:r w:rsidRPr="00576FF3">
        <w:rPr>
          <w:noProof/>
        </w:rPr>
        <w:tab/>
      </w:r>
      <w:r w:rsidR="00335FD0" w:rsidRPr="002A1C31">
        <w:rPr>
          <w:noProof/>
        </w:rPr>
        <w:t>A Forem digitális készségek fejlesztésére irányuló standard képzését kiegészítő, fent említett, digitális autonómia megszerzésére irányuló képzés, valamint a körforgásos gazdaságra és az erőforrások hatékony felhasználására vonatkozó modul összhangban van az (EU) 2021/691 rendelet 7. cikkének (2) bekezdésében meghatározott követelményekkel. A Swissport volt munkavállalói számára kifejlesztett, a körforgásos gazdaságra és az erőforrások hatékony felhasználására vonatkozó modul (EGF/2020/005 BE)</w:t>
      </w:r>
      <w:r w:rsidR="00613A0B" w:rsidRPr="002A1C31">
        <w:rPr>
          <w:rStyle w:val="FootnoteReference"/>
          <w:noProof/>
        </w:rPr>
        <w:footnoteReference w:id="26"/>
      </w:r>
      <w:r w:rsidR="00335FD0" w:rsidRPr="002A1C31">
        <w:rPr>
          <w:noProof/>
        </w:rPr>
        <w:t xml:space="preserve"> jelenleg a Le Forem ESZA+ által társfinanszírozott általános képzési kínálatának részét képezi. Ezért e javaslat költségvetésében nem szerepel. A körforgásos gazdaságra vonatkozó modult egy EGAA-kérelem</w:t>
      </w:r>
      <w:r w:rsidR="008D41C8" w:rsidRPr="002A1C31">
        <w:rPr>
          <w:rStyle w:val="FootnoteReference"/>
          <w:noProof/>
        </w:rPr>
        <w:footnoteReference w:id="27"/>
      </w:r>
      <w:r w:rsidR="00335FD0" w:rsidRPr="002A1C31">
        <w:rPr>
          <w:noProof/>
        </w:rPr>
        <w:t xml:space="preserve"> keretében kidolgozott, a szociális gazdaságra vonatkozó modul egészíti ki.</w:t>
      </w:r>
    </w:p>
    <w:p w:rsidR="00252AC6" w:rsidRPr="002A1C31" w:rsidRDefault="00576FF3" w:rsidP="00576FF3">
      <w:pPr>
        <w:pStyle w:val="ManualNumPar1"/>
        <w:rPr>
          <w:noProof/>
        </w:rPr>
      </w:pPr>
      <w:bookmarkStart w:id="12" w:name="_Ref372214242"/>
      <w:r w:rsidRPr="00576FF3">
        <w:rPr>
          <w:noProof/>
        </w:rPr>
        <w:t>35.</w:t>
      </w:r>
      <w:r w:rsidRPr="00576FF3">
        <w:rPr>
          <w:noProof/>
        </w:rPr>
        <w:tab/>
      </w:r>
      <w:r w:rsidR="00C96520" w:rsidRPr="002A1C31">
        <w:rPr>
          <w:noProof/>
        </w:rPr>
        <w:t xml:space="preserve">Az itt ismertetett javasolt tevékenységek az (EU) 2021/691 rendelet 7. cikke szerinti támogatható tevékenységek közé tartozó aktív munkaerőpiaci szakpolitikai intézkedéseknek minősülnek. Ezek a tevékenységek nem helyettesítik a passzív szociális védelmi intézkedéseket. </w:t>
      </w:r>
    </w:p>
    <w:p w:rsidR="004545BE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36.</w:t>
      </w:r>
      <w:r w:rsidRPr="00576FF3">
        <w:rPr>
          <w:noProof/>
        </w:rPr>
        <w:tab/>
      </w:r>
      <w:r w:rsidR="00FC076B" w:rsidRPr="002A1C31">
        <w:rPr>
          <w:noProof/>
        </w:rPr>
        <w:t xml:space="preserve">Belgium arról tájékoztatott, hogy a 30/60 órányi, a munkáltató jogi kötelezettségének minősülő, az újbóli elhelyezkedés esélyének javítását célzó szolgáltatások nyújtása közvetlenül az elbocsátások után megkezdődött. Az EGAA által társfinanszírozott újrafoglalkoztatási egység a jogi kötelezettség lejárta után megszakítás nélkül nyújtja tovább a szolgáltatásokat. 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37.</w:t>
      </w:r>
      <w:r w:rsidRPr="00576FF3">
        <w:rPr>
          <w:noProof/>
        </w:rPr>
        <w:tab/>
      </w:r>
      <w:r w:rsidR="00FC076B" w:rsidRPr="002A1C31">
        <w:rPr>
          <w:noProof/>
        </w:rPr>
        <w:t>Belgium megadta a szükséges információkat a nemzeti jog vagy a kollektív szerződések értelmében az érintett vállalatra nézve kötelező intézkedésekről. Az (EU) 2021/691 rendelet 9. cikkének (1) bekezdésével összhangban Belgium megerősítette, hogy az EGAA-ból nyújtott pénzügyi hozzájárulás nem lép az ilyen intézkedések helyébe.</w:t>
      </w:r>
      <w:bookmarkEnd w:id="12"/>
    </w:p>
    <w:p w:rsidR="00252AC6" w:rsidRPr="002A1C31" w:rsidRDefault="00252AC6" w:rsidP="00252AC6">
      <w:pPr>
        <w:pStyle w:val="ManualHeading3"/>
        <w:rPr>
          <w:noProof/>
        </w:rPr>
      </w:pPr>
      <w:r w:rsidRPr="002A1C31">
        <w:rPr>
          <w:noProof/>
        </w:rPr>
        <w:t>Becsült költségvetés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38.</w:t>
      </w:r>
      <w:r w:rsidRPr="00576FF3">
        <w:rPr>
          <w:noProof/>
        </w:rPr>
        <w:tab/>
      </w:r>
      <w:r w:rsidR="00252AC6" w:rsidRPr="002A1C31">
        <w:rPr>
          <w:noProof/>
        </w:rPr>
        <w:t>A költségek teljes becsült összege 3 131 252 EUR, amely a személyre szabott szolgáltatásokra szánt 3 009 752 EUR összegű kiadásokat, továbbá az előkészítő, irányítási, tájékoztatási és nyilvánossággal kapcsolatos, valamint ellenőrzési és beszámolási tevékenységekre szánt 121 500 EUR összegű kiadásokat foglalja magában.</w:t>
      </w:r>
    </w:p>
    <w:p w:rsidR="00252AC6" w:rsidRPr="002A1C31" w:rsidRDefault="00576FF3" w:rsidP="00576FF3">
      <w:pPr>
        <w:pStyle w:val="ManualNumPar1"/>
        <w:rPr>
          <w:noProof/>
        </w:rPr>
      </w:pPr>
      <w:bookmarkStart w:id="13" w:name="_Ref372550770"/>
      <w:r w:rsidRPr="00576FF3">
        <w:rPr>
          <w:noProof/>
        </w:rPr>
        <w:t>39.</w:t>
      </w:r>
      <w:r w:rsidRPr="00576FF3">
        <w:rPr>
          <w:noProof/>
        </w:rPr>
        <w:tab/>
      </w:r>
      <w:r w:rsidR="00252AC6" w:rsidRPr="002A1C31">
        <w:rPr>
          <w:noProof/>
        </w:rPr>
        <w:t>Az EGAA-ból igényelt teljes pénzügyi hozzájárulás összege 2 661 564 EUR (az összköltség 85 %-a).</w:t>
      </w:r>
      <w:bookmarkEnd w:id="13"/>
    </w:p>
    <w:p w:rsidR="007F59AB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40.</w:t>
      </w:r>
      <w:r w:rsidRPr="00576FF3">
        <w:rPr>
          <w:noProof/>
        </w:rPr>
        <w:tab/>
      </w:r>
      <w:r w:rsidR="00281459" w:rsidRPr="002A1C31">
        <w:rPr>
          <w:noProof/>
        </w:rPr>
        <w:t>Az (EU) 2021/691 rendelet 8. cikke (7) bekezdése m) pontjának megfelelően Belgium pontosította, hogy a tagállami előfinanszírozást és társfinanszírozást a Vallon régió biztosítja.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548"/>
        <w:gridCol w:w="1548"/>
        <w:gridCol w:w="1548"/>
      </w:tblGrid>
      <w:tr w:rsidR="00252AC6" w:rsidRPr="002A1C31" w:rsidTr="00F060F9">
        <w:tc>
          <w:tcPr>
            <w:tcW w:w="4644" w:type="dxa"/>
            <w:shd w:val="clear" w:color="auto" w:fill="auto"/>
            <w:vAlign w:val="center"/>
          </w:tcPr>
          <w:p w:rsidR="00252AC6" w:rsidRPr="002A1C31" w:rsidRDefault="00D5559A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Intézkedések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A résztvevők becsült száma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Az egy résztvevőre eső becsült költség</w:t>
            </w:r>
            <w:r w:rsidRPr="002A1C31">
              <w:rPr>
                <w:noProof/>
                <w:sz w:val="22"/>
              </w:rPr>
              <w:br/>
            </w:r>
            <w:r w:rsidRPr="002A1C31">
              <w:rPr>
                <w:i/>
                <w:noProof/>
                <w:sz w:val="22"/>
              </w:rPr>
              <w:t>(EUR)</w:t>
            </w:r>
            <w:r w:rsidR="00A31F0E" w:rsidRPr="002A1C31">
              <w:rPr>
                <w:rStyle w:val="FootnoteReference"/>
                <w:rFonts w:eastAsia="Times New Roman"/>
                <w:i/>
                <w:noProof/>
                <w:sz w:val="22"/>
              </w:rPr>
              <w:footnoteReference w:id="28"/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Becsült összköltség</w:t>
            </w:r>
          </w:p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i/>
                <w:noProof/>
                <w:sz w:val="22"/>
              </w:rPr>
              <w:t>(EUR)</w:t>
            </w:r>
            <w:r w:rsidR="002060F6" w:rsidRPr="002A1C31">
              <w:rPr>
                <w:rStyle w:val="FootnoteReference"/>
                <w:rFonts w:eastAsia="Times New Roman"/>
                <w:i/>
                <w:noProof/>
                <w:sz w:val="22"/>
              </w:rPr>
              <w:footnoteReference w:id="29"/>
            </w:r>
            <w:r w:rsidRPr="002A1C31">
              <w:rPr>
                <w:i/>
                <w:noProof/>
                <w:sz w:val="22"/>
              </w:rPr>
              <w:t xml:space="preserve"> </w:t>
            </w:r>
          </w:p>
        </w:tc>
      </w:tr>
      <w:tr w:rsidR="00252AC6" w:rsidRPr="002A1C31" w:rsidTr="00F060F9">
        <w:tc>
          <w:tcPr>
            <w:tcW w:w="9288" w:type="dxa"/>
            <w:gridSpan w:val="4"/>
            <w:shd w:val="clear" w:color="auto" w:fill="auto"/>
          </w:tcPr>
          <w:p w:rsidR="00252AC6" w:rsidRPr="002A1C31" w:rsidRDefault="00252AC6" w:rsidP="00CD31A0">
            <w:pPr>
              <w:spacing w:before="60" w:after="60"/>
              <w:jc w:val="lef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 xml:space="preserve">Személyre szabott szolgáltatások (az (EU) 2021/691 rendelet 7. cikke (2) bekezdése, </w:t>
            </w:r>
            <w:r w:rsidRPr="002A1C31">
              <w:rPr>
                <w:noProof/>
              </w:rPr>
              <w:t>második albekezdésének</w:t>
            </w:r>
            <w:r w:rsidRPr="002A1C31">
              <w:rPr>
                <w:noProof/>
                <w:sz w:val="22"/>
              </w:rPr>
              <w:t xml:space="preserve"> a) pontja szerinti intézkedések)</w:t>
            </w:r>
          </w:p>
        </w:tc>
      </w:tr>
      <w:tr w:rsidR="00252AC6" w:rsidRPr="002A1C31" w:rsidTr="00F060F9">
        <w:trPr>
          <w:trHeight w:val="802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8B5BC0" w:rsidP="00F060F9">
            <w:pPr>
              <w:spacing w:before="60" w:after="60"/>
              <w:jc w:val="left"/>
              <w:rPr>
                <w:noProof/>
              </w:rPr>
            </w:pPr>
            <w:r w:rsidRPr="002A1C31">
              <w:rPr>
                <w:noProof/>
              </w:rPr>
              <w:t>Tájékoztatási szolgáltatások, karrier-tanácsadás és az újbóli elhelyezkedés esélyének javítása</w:t>
            </w:r>
            <w:r w:rsidRPr="002A1C31">
              <w:rPr>
                <w:noProof/>
              </w:rPr>
              <w:br/>
              <w:t>(</w:t>
            </w:r>
            <w:r w:rsidRPr="002A1C31">
              <w:rPr>
                <w:i/>
                <w:noProof/>
              </w:rPr>
              <w:t>Reconversion: accompagnement/orientation/mobilisation)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4F07A5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365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4F07A5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5 279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2AC6" w:rsidRPr="002A1C31" w:rsidRDefault="001366C1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1 926 807</w:t>
            </w:r>
          </w:p>
        </w:tc>
      </w:tr>
      <w:tr w:rsidR="00252AC6" w:rsidRPr="002A1C31" w:rsidTr="00F060F9">
        <w:trPr>
          <w:trHeight w:val="802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1366C1" w:rsidP="00F060F9">
            <w:pPr>
              <w:spacing w:before="60" w:after="60"/>
              <w:jc w:val="left"/>
              <w:rPr>
                <w:noProof/>
              </w:rPr>
            </w:pPr>
            <w:r w:rsidRPr="002A1C31">
              <w:rPr>
                <w:noProof/>
              </w:rPr>
              <w:t>Képzés, átképzés és szakképzés (</w:t>
            </w:r>
            <w:r w:rsidRPr="002A1C31">
              <w:rPr>
                <w:i/>
                <w:noProof/>
              </w:rPr>
              <w:t>Formation</w:t>
            </w:r>
            <w:r w:rsidRPr="002A1C31">
              <w:rPr>
                <w:noProof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703A76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150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703A76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208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2AC6" w:rsidRPr="002A1C31" w:rsidRDefault="00703A76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31 200</w:t>
            </w:r>
          </w:p>
        </w:tc>
      </w:tr>
      <w:tr w:rsidR="00252AC6" w:rsidRPr="002A1C31" w:rsidTr="00F060F9">
        <w:trPr>
          <w:trHeight w:val="802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E1167F" w:rsidP="00F060F9">
            <w:pPr>
              <w:spacing w:before="60" w:after="60"/>
              <w:jc w:val="left"/>
              <w:rPr>
                <w:noProof/>
              </w:rPr>
            </w:pPr>
            <w:r w:rsidRPr="002A1C31">
              <w:rPr>
                <w:noProof/>
              </w:rPr>
              <w:t xml:space="preserve">Vállalkozások létrehozásához nyújtott támogatás </w:t>
            </w:r>
            <w:r w:rsidRPr="002A1C31">
              <w:rPr>
                <w:noProof/>
              </w:rPr>
              <w:br/>
              <w:t>(</w:t>
            </w:r>
            <w:r w:rsidRPr="002A1C31">
              <w:rPr>
                <w:i/>
                <w:noProof/>
              </w:rPr>
              <w:t>Dispositif d'accompagnement à l'entrepreneuriat)</w:t>
            </w:r>
            <w:r w:rsidRPr="002A1C31">
              <w:rPr>
                <w:noProof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D16908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45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D16908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3 594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2AC6" w:rsidRPr="002A1C31" w:rsidRDefault="00D16908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161 727</w:t>
            </w:r>
          </w:p>
        </w:tc>
      </w:tr>
      <w:tr w:rsidR="00252AC6" w:rsidRPr="002A1C31" w:rsidTr="00F060F9">
        <w:trPr>
          <w:trHeight w:val="802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9961C7" w:rsidP="00F060F9">
            <w:pPr>
              <w:spacing w:before="60" w:after="60"/>
              <w:jc w:val="left"/>
              <w:rPr>
                <w:noProof/>
              </w:rPr>
            </w:pPr>
            <w:r w:rsidRPr="002A1C31">
              <w:rPr>
                <w:noProof/>
              </w:rPr>
              <w:t>Hozzájárulás vállalkozások létrehozásához</w:t>
            </w:r>
            <w:r w:rsidRPr="002A1C31">
              <w:rPr>
                <w:noProof/>
              </w:rPr>
              <w:br/>
              <w:t>(</w:t>
            </w:r>
            <w:r w:rsidRPr="002A1C31">
              <w:rPr>
                <w:i/>
                <w:noProof/>
              </w:rPr>
              <w:t>Bourse de lancement)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517C37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517C37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10 000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2AC6" w:rsidRPr="002A1C31" w:rsidRDefault="00517C37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120 000</w:t>
            </w:r>
          </w:p>
        </w:tc>
      </w:tr>
      <w:tr w:rsidR="00252AC6" w:rsidRPr="002A1C31" w:rsidTr="00F060F9">
        <w:trPr>
          <w:trHeight w:val="398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righ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Részösszeg (a):</w:t>
            </w:r>
          </w:p>
          <w:p w:rsidR="00252AC6" w:rsidRPr="002A1C31" w:rsidRDefault="00252AC6" w:rsidP="00F060F9">
            <w:pPr>
              <w:spacing w:before="60" w:after="60"/>
              <w:jc w:val="righ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 xml:space="preserve">A személyre szabott szolgáltatáscsomag százalékaránya: </w:t>
            </w:r>
          </w:p>
        </w:tc>
        <w:tc>
          <w:tcPr>
            <w:tcW w:w="3096" w:type="dxa"/>
            <w:gridSpan w:val="2"/>
            <w:vMerge w:val="restart"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–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auto"/>
            <w:vAlign w:val="center"/>
          </w:tcPr>
          <w:p w:rsidR="00252AC6" w:rsidRPr="002A1C31" w:rsidRDefault="00CB6793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</w:rPr>
              <w:t>2 239 734</w:t>
            </w:r>
          </w:p>
        </w:tc>
      </w:tr>
      <w:tr w:rsidR="00252AC6" w:rsidRPr="002A1C31" w:rsidTr="00F060F9">
        <w:trPr>
          <w:trHeight w:val="397"/>
        </w:trPr>
        <w:tc>
          <w:tcPr>
            <w:tcW w:w="4644" w:type="dxa"/>
            <w:vMerge/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right"/>
              <w:rPr>
                <w:rFonts w:eastAsia="Times New Roman"/>
                <w:noProof/>
                <w:sz w:val="22"/>
              </w:rPr>
            </w:pPr>
          </w:p>
        </w:tc>
        <w:tc>
          <w:tcPr>
            <w:tcW w:w="3096" w:type="dxa"/>
            <w:gridSpan w:val="2"/>
            <w:vMerge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(</w:t>
            </w:r>
            <w:r w:rsidRPr="002A1C31">
              <w:rPr>
                <w:noProof/>
              </w:rPr>
              <w:t>74,42 </w:t>
            </w:r>
            <w:r w:rsidRPr="002A1C31">
              <w:rPr>
                <w:noProof/>
                <w:sz w:val="22"/>
              </w:rPr>
              <w:t>%)</w:t>
            </w:r>
          </w:p>
        </w:tc>
      </w:tr>
      <w:tr w:rsidR="00252AC6" w:rsidRPr="002A1C31" w:rsidTr="00F060F9">
        <w:tc>
          <w:tcPr>
            <w:tcW w:w="9288" w:type="dxa"/>
            <w:gridSpan w:val="4"/>
            <w:shd w:val="clear" w:color="auto" w:fill="auto"/>
            <w:vAlign w:val="center"/>
          </w:tcPr>
          <w:p w:rsidR="00252AC6" w:rsidRPr="002A1C31" w:rsidRDefault="00252AC6" w:rsidP="006B3709">
            <w:pPr>
              <w:spacing w:before="60" w:after="60"/>
              <w:jc w:val="left"/>
              <w:rPr>
                <w:noProof/>
                <w:sz w:val="22"/>
              </w:rPr>
            </w:pPr>
            <w:r w:rsidRPr="002A1C31">
              <w:rPr>
                <w:noProof/>
                <w:sz w:val="22"/>
              </w:rPr>
              <w:t xml:space="preserve">Ösztönzők és juttatások (az (EU) 2021/691 rendelet 7. cikke (2) bekezdése </w:t>
            </w:r>
            <w:r w:rsidRPr="002A1C31">
              <w:rPr>
                <w:noProof/>
              </w:rPr>
              <w:t>második albekezdésének</w:t>
            </w:r>
            <w:r w:rsidRPr="002A1C31">
              <w:rPr>
                <w:noProof/>
                <w:sz w:val="22"/>
              </w:rPr>
              <w:t xml:space="preserve"> b) pontja szerinti intézkedések)</w:t>
            </w:r>
          </w:p>
        </w:tc>
      </w:tr>
      <w:tr w:rsidR="00252AC6" w:rsidRPr="002A1C31" w:rsidTr="00F060F9">
        <w:trPr>
          <w:trHeight w:val="802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CB6793" w:rsidP="00F060F9">
            <w:pPr>
              <w:spacing w:before="60" w:after="60"/>
              <w:jc w:val="left"/>
              <w:rPr>
                <w:noProof/>
              </w:rPr>
            </w:pPr>
            <w:r w:rsidRPr="002A1C31">
              <w:rPr>
                <w:noProof/>
              </w:rPr>
              <w:t>Ösztönzők és juttatások</w:t>
            </w:r>
            <w:r w:rsidRPr="002A1C31">
              <w:rPr>
                <w:noProof/>
              </w:rPr>
              <w:br/>
              <w:t>(</w:t>
            </w:r>
            <w:r w:rsidRPr="002A1C31">
              <w:rPr>
                <w:i/>
                <w:noProof/>
              </w:rPr>
              <w:t>Allocation de recherche d'emploi et de formation, prime numérique, prime langue, allocation de reprise d'études, allocation d'entrepreneuriat et subvention 50+)</w:t>
            </w:r>
            <w:r w:rsidRPr="002A1C31">
              <w:rPr>
                <w:noProof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5D7338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365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AC6" w:rsidRPr="002A1C31" w:rsidRDefault="005D7338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2 110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2AC6" w:rsidRPr="002A1C31" w:rsidRDefault="005D7338" w:rsidP="00F060F9">
            <w:pPr>
              <w:spacing w:before="60" w:after="60"/>
              <w:jc w:val="center"/>
              <w:rPr>
                <w:noProof/>
              </w:rPr>
            </w:pPr>
            <w:r w:rsidRPr="002A1C31">
              <w:rPr>
                <w:noProof/>
              </w:rPr>
              <w:t>770 018</w:t>
            </w:r>
          </w:p>
        </w:tc>
      </w:tr>
      <w:tr w:rsidR="00252AC6" w:rsidRPr="002A1C31" w:rsidTr="00F060F9">
        <w:trPr>
          <w:trHeight w:val="203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righ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Részösszeg (b):</w:t>
            </w:r>
          </w:p>
          <w:p w:rsidR="00252AC6" w:rsidRPr="002A1C31" w:rsidRDefault="00252AC6" w:rsidP="00F060F9">
            <w:pPr>
              <w:spacing w:before="60" w:after="60"/>
              <w:jc w:val="righ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A személyre szabott szolgáltatáscsomag százalékaránya:</w:t>
            </w:r>
          </w:p>
        </w:tc>
        <w:tc>
          <w:tcPr>
            <w:tcW w:w="3096" w:type="dxa"/>
            <w:gridSpan w:val="2"/>
            <w:vMerge w:val="restart"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–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auto"/>
            <w:vAlign w:val="center"/>
          </w:tcPr>
          <w:p w:rsidR="00252AC6" w:rsidRPr="002A1C31" w:rsidRDefault="005D7338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</w:rPr>
              <w:t>770 018</w:t>
            </w:r>
          </w:p>
        </w:tc>
      </w:tr>
      <w:tr w:rsidR="00252AC6" w:rsidRPr="002A1C31" w:rsidTr="00F060F9">
        <w:trPr>
          <w:trHeight w:val="202"/>
        </w:trPr>
        <w:tc>
          <w:tcPr>
            <w:tcW w:w="4644" w:type="dxa"/>
            <w:vMerge/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right"/>
              <w:rPr>
                <w:rFonts w:eastAsia="Times New Roman"/>
                <w:noProof/>
                <w:sz w:val="22"/>
              </w:rPr>
            </w:pPr>
          </w:p>
        </w:tc>
        <w:tc>
          <w:tcPr>
            <w:tcW w:w="3096" w:type="dxa"/>
            <w:gridSpan w:val="2"/>
            <w:vMerge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(</w:t>
            </w:r>
            <w:r w:rsidRPr="002A1C31">
              <w:rPr>
                <w:noProof/>
              </w:rPr>
              <w:t>25,58 </w:t>
            </w:r>
            <w:r w:rsidRPr="002A1C31">
              <w:rPr>
                <w:noProof/>
                <w:sz w:val="22"/>
              </w:rPr>
              <w:t>%)</w:t>
            </w:r>
          </w:p>
        </w:tc>
      </w:tr>
      <w:tr w:rsidR="00252AC6" w:rsidRPr="002A1C31" w:rsidTr="00F060F9">
        <w:tc>
          <w:tcPr>
            <w:tcW w:w="9288" w:type="dxa"/>
            <w:gridSpan w:val="4"/>
            <w:shd w:val="clear" w:color="auto" w:fill="auto"/>
            <w:vAlign w:val="center"/>
          </w:tcPr>
          <w:p w:rsidR="00252AC6" w:rsidRPr="002A1C31" w:rsidRDefault="008516EA" w:rsidP="00CD31A0">
            <w:pPr>
              <w:spacing w:before="60" w:after="60"/>
              <w:jc w:val="lef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Az (EU) 2021/691 rendelet 7. cikkének (5) bekezdése szerinti tevékenységek</w:t>
            </w:r>
          </w:p>
        </w:tc>
      </w:tr>
      <w:tr w:rsidR="00252AC6" w:rsidRPr="002A1C31" w:rsidTr="00F060F9">
        <w:tc>
          <w:tcPr>
            <w:tcW w:w="4644" w:type="dxa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ind w:left="284"/>
              <w:jc w:val="lef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1. Előkészítő tevékenységek</w:t>
            </w:r>
          </w:p>
        </w:tc>
        <w:tc>
          <w:tcPr>
            <w:tcW w:w="3096" w:type="dxa"/>
            <w:gridSpan w:val="2"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–</w:t>
            </w:r>
          </w:p>
        </w:tc>
        <w:tc>
          <w:tcPr>
            <w:tcW w:w="1548" w:type="dxa"/>
            <w:shd w:val="clear" w:color="auto" w:fill="auto"/>
          </w:tcPr>
          <w:p w:rsidR="00252AC6" w:rsidRPr="002A1C31" w:rsidRDefault="005D7338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</w:rPr>
              <w:t>78 400</w:t>
            </w:r>
          </w:p>
        </w:tc>
      </w:tr>
      <w:tr w:rsidR="00252AC6" w:rsidRPr="002A1C31" w:rsidTr="00F060F9">
        <w:tc>
          <w:tcPr>
            <w:tcW w:w="4644" w:type="dxa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ind w:left="284"/>
              <w:jc w:val="lef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2. Irányítás</w:t>
            </w:r>
          </w:p>
        </w:tc>
        <w:tc>
          <w:tcPr>
            <w:tcW w:w="3096" w:type="dxa"/>
            <w:gridSpan w:val="2"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–</w:t>
            </w:r>
          </w:p>
        </w:tc>
        <w:tc>
          <w:tcPr>
            <w:tcW w:w="1548" w:type="dxa"/>
            <w:shd w:val="clear" w:color="auto" w:fill="auto"/>
          </w:tcPr>
          <w:p w:rsidR="00252AC6" w:rsidRPr="002A1C31" w:rsidRDefault="005D7338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</w:rPr>
              <w:t>13 000</w:t>
            </w:r>
          </w:p>
        </w:tc>
      </w:tr>
      <w:tr w:rsidR="00252AC6" w:rsidRPr="002A1C31" w:rsidTr="00F060F9">
        <w:tc>
          <w:tcPr>
            <w:tcW w:w="4644" w:type="dxa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ind w:left="284"/>
              <w:jc w:val="lef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3. Tájékoztatás és nyilvánosság</w:t>
            </w:r>
          </w:p>
        </w:tc>
        <w:tc>
          <w:tcPr>
            <w:tcW w:w="3096" w:type="dxa"/>
            <w:gridSpan w:val="2"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–</w:t>
            </w:r>
          </w:p>
        </w:tc>
        <w:tc>
          <w:tcPr>
            <w:tcW w:w="1548" w:type="dxa"/>
            <w:shd w:val="clear" w:color="auto" w:fill="auto"/>
          </w:tcPr>
          <w:p w:rsidR="00252AC6" w:rsidRPr="002A1C31" w:rsidRDefault="005D7338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</w:rPr>
              <w:t>5 000</w:t>
            </w:r>
          </w:p>
        </w:tc>
      </w:tr>
      <w:tr w:rsidR="00252AC6" w:rsidRPr="002A1C31" w:rsidTr="00F060F9">
        <w:tc>
          <w:tcPr>
            <w:tcW w:w="4644" w:type="dxa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ind w:left="284"/>
              <w:jc w:val="lef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4. Ellenőrzés és jelentéstétel</w:t>
            </w:r>
          </w:p>
        </w:tc>
        <w:tc>
          <w:tcPr>
            <w:tcW w:w="3096" w:type="dxa"/>
            <w:gridSpan w:val="2"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–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252AC6" w:rsidRPr="002A1C31" w:rsidRDefault="005D7338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</w:rPr>
              <w:t>25 100</w:t>
            </w:r>
          </w:p>
        </w:tc>
      </w:tr>
      <w:tr w:rsidR="00252AC6" w:rsidRPr="002A1C31" w:rsidTr="00F060F9">
        <w:trPr>
          <w:trHeight w:val="203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righ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Részösszeg (c):</w:t>
            </w:r>
          </w:p>
          <w:p w:rsidR="00252AC6" w:rsidRPr="002A1C31" w:rsidRDefault="00252AC6" w:rsidP="00F060F9">
            <w:pPr>
              <w:spacing w:before="60" w:after="60"/>
              <w:jc w:val="righ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Az összköltség százalékában:</w:t>
            </w:r>
          </w:p>
        </w:tc>
        <w:tc>
          <w:tcPr>
            <w:tcW w:w="3096" w:type="dxa"/>
            <w:gridSpan w:val="2"/>
            <w:vMerge w:val="restart"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0" w:after="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–</w:t>
            </w:r>
          </w:p>
        </w:tc>
        <w:tc>
          <w:tcPr>
            <w:tcW w:w="1548" w:type="dxa"/>
            <w:tcBorders>
              <w:bottom w:val="nil"/>
            </w:tcBorders>
            <w:shd w:val="clear" w:color="auto" w:fill="auto"/>
            <w:vAlign w:val="center"/>
          </w:tcPr>
          <w:p w:rsidR="00252AC6" w:rsidRPr="002A1C31" w:rsidRDefault="005D7338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</w:rPr>
              <w:t>121 500</w:t>
            </w:r>
          </w:p>
        </w:tc>
      </w:tr>
      <w:tr w:rsidR="00252AC6" w:rsidRPr="002A1C31" w:rsidTr="00F060F9">
        <w:trPr>
          <w:trHeight w:val="202"/>
        </w:trPr>
        <w:tc>
          <w:tcPr>
            <w:tcW w:w="4644" w:type="dxa"/>
            <w:vMerge/>
            <w:shd w:val="clear" w:color="auto" w:fill="auto"/>
          </w:tcPr>
          <w:p w:rsidR="00252AC6" w:rsidRPr="002A1C31" w:rsidRDefault="00252AC6" w:rsidP="00F060F9">
            <w:pPr>
              <w:spacing w:before="0" w:after="0"/>
              <w:jc w:val="right"/>
              <w:rPr>
                <w:rFonts w:eastAsia="Times New Roman"/>
                <w:noProof/>
                <w:sz w:val="22"/>
              </w:rPr>
            </w:pPr>
          </w:p>
        </w:tc>
        <w:tc>
          <w:tcPr>
            <w:tcW w:w="3096" w:type="dxa"/>
            <w:gridSpan w:val="2"/>
            <w:vMerge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0" w:after="0"/>
              <w:jc w:val="center"/>
              <w:rPr>
                <w:rFonts w:eastAsia="Times New Roman"/>
                <w:noProof/>
                <w:sz w:val="22"/>
              </w:rPr>
            </w:pPr>
          </w:p>
        </w:tc>
        <w:tc>
          <w:tcPr>
            <w:tcW w:w="1548" w:type="dxa"/>
            <w:tcBorders>
              <w:top w:val="nil"/>
            </w:tcBorders>
            <w:shd w:val="clear" w:color="auto" w:fill="auto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(</w:t>
            </w:r>
            <w:r w:rsidRPr="002A1C31">
              <w:rPr>
                <w:noProof/>
              </w:rPr>
              <w:t>3,88 </w:t>
            </w:r>
            <w:r w:rsidRPr="002A1C31">
              <w:rPr>
                <w:noProof/>
                <w:sz w:val="22"/>
              </w:rPr>
              <w:t>%)</w:t>
            </w:r>
          </w:p>
        </w:tc>
      </w:tr>
      <w:tr w:rsidR="00252AC6" w:rsidRPr="002A1C31" w:rsidTr="00F060F9">
        <w:tc>
          <w:tcPr>
            <w:tcW w:w="4644" w:type="dxa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Az összköltség (a + b + c):</w:t>
            </w:r>
          </w:p>
        </w:tc>
        <w:tc>
          <w:tcPr>
            <w:tcW w:w="3096" w:type="dxa"/>
            <w:gridSpan w:val="2"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–</w:t>
            </w:r>
          </w:p>
        </w:tc>
        <w:tc>
          <w:tcPr>
            <w:tcW w:w="1548" w:type="dxa"/>
            <w:shd w:val="clear" w:color="auto" w:fill="auto"/>
          </w:tcPr>
          <w:p w:rsidR="00252AC6" w:rsidRPr="002A1C31" w:rsidRDefault="0039039E" w:rsidP="00F060F9">
            <w:pPr>
              <w:spacing w:before="60" w:after="60"/>
              <w:jc w:val="center"/>
              <w:rPr>
                <w:noProof/>
                <w:sz w:val="22"/>
              </w:rPr>
            </w:pPr>
            <w:r w:rsidRPr="002A1C31">
              <w:rPr>
                <w:noProof/>
              </w:rPr>
              <w:t>3 131 252</w:t>
            </w:r>
          </w:p>
        </w:tc>
      </w:tr>
      <w:tr w:rsidR="00252AC6" w:rsidRPr="002A1C31" w:rsidTr="00F060F9">
        <w:tc>
          <w:tcPr>
            <w:tcW w:w="4644" w:type="dxa"/>
            <w:shd w:val="clear" w:color="auto" w:fill="auto"/>
          </w:tcPr>
          <w:p w:rsidR="00252AC6" w:rsidRPr="002A1C31" w:rsidRDefault="00252AC6" w:rsidP="00F060F9">
            <w:pPr>
              <w:spacing w:before="60" w:after="60"/>
              <w:jc w:val="left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EGAA-hozzájárulás (az összköltség 85 %-a)</w:t>
            </w:r>
          </w:p>
        </w:tc>
        <w:tc>
          <w:tcPr>
            <w:tcW w:w="3096" w:type="dxa"/>
            <w:gridSpan w:val="2"/>
            <w:shd w:val="clear" w:color="auto" w:fill="D9D9D9"/>
            <w:vAlign w:val="center"/>
          </w:tcPr>
          <w:p w:rsidR="00252AC6" w:rsidRPr="002A1C31" w:rsidRDefault="00252AC6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  <w:sz w:val="22"/>
              </w:rPr>
              <w:t>–</w:t>
            </w:r>
          </w:p>
        </w:tc>
        <w:tc>
          <w:tcPr>
            <w:tcW w:w="1548" w:type="dxa"/>
            <w:shd w:val="clear" w:color="auto" w:fill="auto"/>
          </w:tcPr>
          <w:p w:rsidR="00252AC6" w:rsidRPr="002A1C31" w:rsidRDefault="00537682" w:rsidP="00F060F9">
            <w:pPr>
              <w:spacing w:before="60" w:after="60"/>
              <w:jc w:val="center"/>
              <w:rPr>
                <w:rFonts w:eastAsia="Times New Roman"/>
                <w:noProof/>
                <w:sz w:val="22"/>
              </w:rPr>
            </w:pPr>
            <w:r w:rsidRPr="002A1C31">
              <w:rPr>
                <w:noProof/>
              </w:rPr>
              <w:t>2 661 564</w:t>
            </w:r>
          </w:p>
        </w:tc>
      </w:tr>
    </w:tbl>
    <w:p w:rsidR="00252AC6" w:rsidRPr="002A1C31" w:rsidRDefault="00576FF3" w:rsidP="00576FF3">
      <w:pPr>
        <w:pStyle w:val="ManualNumPar1"/>
        <w:rPr>
          <w:noProof/>
          <w:szCs w:val="20"/>
        </w:rPr>
      </w:pPr>
      <w:r w:rsidRPr="00576FF3">
        <w:rPr>
          <w:noProof/>
        </w:rPr>
        <w:t>41.</w:t>
      </w:r>
      <w:r w:rsidRPr="00576FF3">
        <w:rPr>
          <w:noProof/>
        </w:rPr>
        <w:tab/>
      </w:r>
      <w:r w:rsidR="00252AC6" w:rsidRPr="002A1C31">
        <w:rPr>
          <w:noProof/>
        </w:rPr>
        <w:t>A fenti táblázatban az (EU) 2021/691 rendelet 7. cikke (2) bekezdése második albekezdése b) pontjának megfelelő intézkedésként azonosított intézkedések költsége nem haladja meg a személyre szabott szolgáltatások koordinált csomagja összköltségének 35 %-át. Belgium megerősítette, hogy ezen intézkedések a célcsoportot alkotó kedvezményezetteknek az álláskeresési vagy képzési tevékenységekben való aktív részvételétől függenek.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42.</w:t>
      </w:r>
      <w:r w:rsidRPr="00576FF3">
        <w:rPr>
          <w:noProof/>
        </w:rPr>
        <w:tab/>
      </w:r>
      <w:r w:rsidR="006B3709" w:rsidRPr="002A1C31">
        <w:rPr>
          <w:noProof/>
        </w:rPr>
        <w:t>Az (EU) 2021/691 rendelet 7. cikke (2) bekezdésének negyedik albekezdésével összhangban Belgium megerősítette, hogy az önálló vállalkozáshoz, a vállalkozásalapításhoz, valamint a vállalkozás alkalmazottak által történő átvételéhez kapcsolódó beruházás költsége kedvezményezettenként nem haladja meg a 22 000 EUR-t.</w:t>
      </w:r>
    </w:p>
    <w:p w:rsidR="00252AC6" w:rsidRPr="002A1C31" w:rsidRDefault="00252AC6" w:rsidP="00252AC6">
      <w:pPr>
        <w:pStyle w:val="ManualHeading3"/>
        <w:rPr>
          <w:noProof/>
        </w:rPr>
      </w:pPr>
      <w:r w:rsidRPr="002A1C31">
        <w:rPr>
          <w:noProof/>
        </w:rPr>
        <w:t>A kiadások támogathatóságának időszaka</w:t>
      </w:r>
    </w:p>
    <w:p w:rsidR="009D0554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43.</w:t>
      </w:r>
      <w:r w:rsidRPr="00576FF3">
        <w:rPr>
          <w:noProof/>
        </w:rPr>
        <w:tab/>
      </w:r>
      <w:r w:rsidR="00AC0761" w:rsidRPr="002A1C31">
        <w:rPr>
          <w:noProof/>
        </w:rPr>
        <w:t>Belgium 2024. január 1-jén kezdte meg a személyre szabott szolgáltatások nyújtását a támogatásra jogosult kedvezményezettek részére. Az intézkedésekkel kapcsolatos kiadásokhoz ezért 2024. január 1-jétől a finanszírozási határozat hatálybalépését követő 24 hónapig nyújtható az EGAA-ból pénzügyi hozzájárulás.</w:t>
      </w:r>
    </w:p>
    <w:p w:rsidR="00441C9E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44.</w:t>
      </w:r>
      <w:r w:rsidRPr="00576FF3">
        <w:rPr>
          <w:noProof/>
        </w:rPr>
        <w:tab/>
      </w:r>
      <w:r w:rsidR="008672FE" w:rsidRPr="002A1C31">
        <w:rPr>
          <w:noProof/>
        </w:rPr>
        <w:t xml:space="preserve">Belgium számára 2023. szeptember 22-én merült fel először az EGAA végrehajtásához kapcsolódó igazgatási kiadás. Az előkészítő, irányítási, tájékoztatási és nyilvánossággal kapcsolatos, valamint az ellenőrzési és jelentéstételi tevékenységekre fordított kiadások ezért 2023. szeptember 22-től a finanszírozási határozat hatálybalépését követő 31 hónapig támogathatók az EGAA-ból származó pénzügyi hozzájárulásból. </w:t>
      </w:r>
    </w:p>
    <w:p w:rsidR="00252AC6" w:rsidRPr="002A1C31" w:rsidRDefault="00252AC6" w:rsidP="004D7E25">
      <w:pPr>
        <w:pStyle w:val="ManualHeading2"/>
        <w:rPr>
          <w:noProof/>
        </w:rPr>
      </w:pPr>
      <w:r w:rsidRPr="002A1C31">
        <w:rPr>
          <w:noProof/>
        </w:rPr>
        <w:t>Irányítási és kontrollrendszerek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45.</w:t>
      </w:r>
      <w:r w:rsidRPr="00576FF3">
        <w:rPr>
          <w:noProof/>
        </w:rPr>
        <w:tab/>
      </w:r>
      <w:r w:rsidR="00252AC6" w:rsidRPr="002A1C31">
        <w:rPr>
          <w:noProof/>
        </w:rPr>
        <w:t>A kérelem tartalmazza az (EU) 2021/691 rendelet 23. cikke által előírt irányítási és kontrollrendszer leírását, amely meghatározza az érintett szervek felelősségi körét. Belgium tájékoztatta a Bizottságot, hogy a pénzügyi hozzájárulást ugyanazok a szervek fogják irányítani és ellenőrizni, amelyek az ESZA+-t is irányítják és ellenőrzik.</w:t>
      </w:r>
    </w:p>
    <w:p w:rsidR="00252AC6" w:rsidRPr="002A1C31" w:rsidRDefault="00252AC6" w:rsidP="00252AC6">
      <w:pPr>
        <w:pStyle w:val="ManualHeading2"/>
        <w:rPr>
          <w:noProof/>
        </w:rPr>
      </w:pPr>
      <w:r w:rsidRPr="002A1C31">
        <w:rPr>
          <w:noProof/>
        </w:rPr>
        <w:t>Az érintett tagállam vállalásai</w:t>
      </w:r>
    </w:p>
    <w:p w:rsidR="00252AC6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46.</w:t>
      </w:r>
      <w:r w:rsidRPr="00576FF3">
        <w:rPr>
          <w:noProof/>
        </w:rPr>
        <w:tab/>
      </w:r>
      <w:r w:rsidR="00413611" w:rsidRPr="002A1C31">
        <w:rPr>
          <w:noProof/>
        </w:rPr>
        <w:t xml:space="preserve">Belgium minden szükséges biztosítékot megadott az alábbiak tekintetében: </w:t>
      </w:r>
    </w:p>
    <w:p w:rsidR="00252AC6" w:rsidRPr="002A1C31" w:rsidRDefault="00252AC6" w:rsidP="00252AC6">
      <w:pPr>
        <w:pStyle w:val="Tiret1"/>
        <w:rPr>
          <w:noProof/>
        </w:rPr>
      </w:pPr>
      <w:r w:rsidRPr="002A1C31">
        <w:rPr>
          <w:noProof/>
        </w:rPr>
        <w:t>a javasolt intézkedésekhez való hozzáférés és azok megvalósítása során tiszteletben tartják az egyenlő bánásmód és a megkülönböztetésmentesség elvét,</w:t>
      </w:r>
    </w:p>
    <w:p w:rsidR="00252AC6" w:rsidRPr="002A1C31" w:rsidRDefault="00252AC6" w:rsidP="00252AC6">
      <w:pPr>
        <w:pStyle w:val="Tiret1"/>
        <w:rPr>
          <w:noProof/>
        </w:rPr>
      </w:pPr>
      <w:r w:rsidRPr="002A1C31">
        <w:rPr>
          <w:noProof/>
        </w:rPr>
        <w:t>a nemzeti és uniós jogszabályokban a csoportos létszámcsökkentések vonatkozásában előírt követelményeknek eleget tettek;</w:t>
      </w:r>
    </w:p>
    <w:p w:rsidR="00252AC6" w:rsidRPr="002A1C31" w:rsidRDefault="00252AC6" w:rsidP="007D38CD">
      <w:pPr>
        <w:pStyle w:val="Tiret1"/>
        <w:rPr>
          <w:noProof/>
        </w:rPr>
      </w:pPr>
      <w:r w:rsidRPr="002A1C31">
        <w:rPr>
          <w:noProof/>
        </w:rPr>
        <w:t>a kettős finanszírozást elkerülik,</w:t>
      </w:r>
    </w:p>
    <w:p w:rsidR="00252AC6" w:rsidRPr="002A1C31" w:rsidRDefault="00252AC6" w:rsidP="00252AC6">
      <w:pPr>
        <w:pStyle w:val="Tiret1"/>
        <w:rPr>
          <w:noProof/>
        </w:rPr>
      </w:pPr>
      <w:r w:rsidRPr="002A1C31">
        <w:rPr>
          <w:noProof/>
        </w:rPr>
        <w:t>az EGAA-ból nyújtott pénzügyi hozzájárulás megfelel az állami támogatásra vonatkozó uniós eljárási és anyagi szabályoknak.</w:t>
      </w:r>
    </w:p>
    <w:p w:rsidR="00252AC6" w:rsidRPr="002A1C31" w:rsidRDefault="00252AC6" w:rsidP="00252AC6">
      <w:pPr>
        <w:pStyle w:val="ManualHeading1"/>
        <w:rPr>
          <w:noProof/>
        </w:rPr>
      </w:pPr>
      <w:r w:rsidRPr="002A1C31">
        <w:rPr>
          <w:noProof/>
        </w:rPr>
        <w:t>KÖLTSÉGVETÉSI VONZATOK</w:t>
      </w:r>
    </w:p>
    <w:p w:rsidR="00252AC6" w:rsidRPr="002A1C31" w:rsidRDefault="00252AC6" w:rsidP="00252AC6">
      <w:pPr>
        <w:pStyle w:val="ManualHeading2"/>
        <w:rPr>
          <w:noProof/>
        </w:rPr>
      </w:pPr>
      <w:r w:rsidRPr="002A1C31">
        <w:rPr>
          <w:noProof/>
        </w:rPr>
        <w:t>Javasolt költségvetés</w:t>
      </w:r>
    </w:p>
    <w:p w:rsidR="00252AC6" w:rsidRPr="002A1C31" w:rsidRDefault="00576FF3" w:rsidP="00576FF3">
      <w:pPr>
        <w:pStyle w:val="ManualNumPar1"/>
        <w:rPr>
          <w:noProof/>
        </w:rPr>
      </w:pPr>
      <w:bookmarkStart w:id="14" w:name="_Hlk174701094"/>
      <w:bookmarkStart w:id="15" w:name="_Hlk172121357"/>
      <w:r w:rsidRPr="00576FF3">
        <w:rPr>
          <w:noProof/>
        </w:rPr>
        <w:t>47.</w:t>
      </w:r>
      <w:r w:rsidRPr="00576FF3">
        <w:rPr>
          <w:noProof/>
        </w:rPr>
        <w:tab/>
      </w:r>
      <w:r w:rsidR="00252AC6" w:rsidRPr="002A1C31">
        <w:rPr>
          <w:noProof/>
        </w:rPr>
        <w:t>Az EGAA-támogatás éves maximális összege (2018-as árakon számítva) a 2024. február 29-i (EU, Euratom) 2024/765 tanácsi rendelettel</w:t>
      </w:r>
      <w:r w:rsidR="00301E61" w:rsidRPr="002A1C31">
        <w:rPr>
          <w:rStyle w:val="FootnoteReference"/>
          <w:noProof/>
        </w:rPr>
        <w:footnoteReference w:id="30"/>
      </w:r>
      <w:r w:rsidR="00252AC6" w:rsidRPr="002A1C31">
        <w:rPr>
          <w:noProof/>
        </w:rPr>
        <w:t xml:space="preserve"> módosított, a 2021–2027-es időszakra vonatkozó többéves pénzügyi keretről szóló, 2020. december 17-i (EU, Euratom) 2020/2093 tanácsi rendelet</w:t>
      </w:r>
      <w:r w:rsidR="00252AC6" w:rsidRPr="002A1C31">
        <w:rPr>
          <w:rStyle w:val="FootnoteReference"/>
          <w:noProof/>
        </w:rPr>
        <w:footnoteReference w:id="31"/>
      </w:r>
      <w:r w:rsidR="00252AC6" w:rsidRPr="002A1C31">
        <w:rPr>
          <w:noProof/>
        </w:rPr>
        <w:t xml:space="preserve"> 8. cikkében meghatározottaknak megfelelően 30 millió EUR.</w:t>
      </w:r>
      <w:bookmarkEnd w:id="14"/>
    </w:p>
    <w:bookmarkEnd w:id="15"/>
    <w:p w:rsidR="00252AC6" w:rsidRPr="002A1C31" w:rsidRDefault="00576FF3" w:rsidP="00576FF3">
      <w:pPr>
        <w:pStyle w:val="ManualNumPar1"/>
        <w:rPr>
          <w:rFonts w:eastAsia="Calibri"/>
          <w:noProof/>
        </w:rPr>
      </w:pPr>
      <w:r w:rsidRPr="00576FF3">
        <w:rPr>
          <w:noProof/>
        </w:rPr>
        <w:t>48.</w:t>
      </w:r>
      <w:r w:rsidRPr="00576FF3">
        <w:rPr>
          <w:noProof/>
        </w:rPr>
        <w:tab/>
      </w:r>
      <w:r w:rsidR="00252AC6" w:rsidRPr="002A1C31">
        <w:rPr>
          <w:noProof/>
        </w:rPr>
        <w:t>Miután az (EU) 2021/691 rendelet 13. cikkének (1) és (2) bekezdésében meghatározott feltételek szempontjából megvizsgálta a kérelmet, valamint figyelembe vette a célcsoportot alkotó kedvezményezettek számát, a javasolt intézkedéseket és a becsült költségeket, a Bizottság azt javasolja, hogy a javasolt intézkedések összköltségének 85 %-át kitevő 2 661 564 EUR összeget folyósítsanak az EGAA-ból a kérelemben igényelt pénzügyi hozzájárulás biztosítása érdekében.</w:t>
      </w:r>
    </w:p>
    <w:p w:rsidR="00252AC6" w:rsidRPr="002A1C31" w:rsidRDefault="00576FF3" w:rsidP="00576FF3">
      <w:pPr>
        <w:pStyle w:val="ManualNumPar1"/>
        <w:rPr>
          <w:rFonts w:eastAsia="Times New Roman"/>
          <w:noProof/>
        </w:rPr>
      </w:pPr>
      <w:r w:rsidRPr="00576FF3">
        <w:rPr>
          <w:noProof/>
        </w:rPr>
        <w:t>49.</w:t>
      </w:r>
      <w:r w:rsidRPr="00576FF3">
        <w:rPr>
          <w:noProof/>
        </w:rPr>
        <w:tab/>
      </w:r>
      <w:r w:rsidR="00252AC6" w:rsidRPr="002A1C31">
        <w:rPr>
          <w:noProof/>
        </w:rPr>
        <w:t>Az EGAA igénybevételére vonatkozó javasolt határozatot az (EU) 2021/691 rendelet 15. cikke (1) bekezdése első albekezdésének második mondata értelmében az Európai Parlament és a Tanács közösen hozza meg, az Európai Parlament, az Európai Unió Tanácsa és az Európai Bizottság között létrejött, a költségvetési fegyelemről, a költségvetési ügyekben való együttműködésről és a hatékony és eredményes pénzgazdálkodásról, valamint az új saját forrásokról és az új saját források bevezetésére irányuló ütemtervről szóló, 2020. december 16-i intézményközi megállapodás</w:t>
      </w:r>
      <w:r w:rsidR="00252AC6" w:rsidRPr="002A1C31">
        <w:rPr>
          <w:rStyle w:val="FootnoteReference"/>
          <w:noProof/>
        </w:rPr>
        <w:footnoteReference w:id="32"/>
      </w:r>
      <w:r w:rsidR="00252AC6" w:rsidRPr="002A1C31">
        <w:rPr>
          <w:noProof/>
        </w:rPr>
        <w:t xml:space="preserve"> 9. pontja értelmében.</w:t>
      </w:r>
    </w:p>
    <w:p w:rsidR="00252AC6" w:rsidRPr="002A1C31" w:rsidRDefault="00252AC6" w:rsidP="00252AC6">
      <w:pPr>
        <w:pStyle w:val="ManualHeading2"/>
        <w:rPr>
          <w:noProof/>
        </w:rPr>
      </w:pPr>
      <w:r w:rsidRPr="002A1C31">
        <w:rPr>
          <w:noProof/>
        </w:rPr>
        <w:t>Kapcsolódó jogi aktusok</w:t>
      </w:r>
    </w:p>
    <w:p w:rsidR="00E544E0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50.</w:t>
      </w:r>
      <w:r w:rsidRPr="00576FF3">
        <w:rPr>
          <w:noProof/>
        </w:rPr>
        <w:tab/>
      </w:r>
      <w:r w:rsidR="00252AC6" w:rsidRPr="002A1C31">
        <w:rPr>
          <w:noProof/>
        </w:rPr>
        <w:t>A Bizottság az EGAA igénybevételéről szóló határozatra irányuló javaslatának benyújtásával egyidejűleg 2 661 564 EUR összegnek az érintett költségvetési sorba történő átcsoportosítására vonatkozó javaslatot is benyújt az Európai Parlamentnek és a Tanácsnak.</w:t>
      </w:r>
    </w:p>
    <w:p w:rsidR="00BB42D9" w:rsidRPr="002A1C31" w:rsidRDefault="00576FF3" w:rsidP="00576FF3">
      <w:pPr>
        <w:pStyle w:val="ManualNumPar1"/>
        <w:rPr>
          <w:noProof/>
        </w:rPr>
      </w:pPr>
      <w:r w:rsidRPr="00576FF3">
        <w:rPr>
          <w:noProof/>
        </w:rPr>
        <w:t>51.</w:t>
      </w:r>
      <w:r w:rsidRPr="00576FF3">
        <w:rPr>
          <w:noProof/>
        </w:rPr>
        <w:tab/>
      </w:r>
      <w:r w:rsidR="00BB42D9" w:rsidRPr="002A1C31">
        <w:rPr>
          <w:noProof/>
        </w:rPr>
        <w:t>A Bizottság az EGAA igénybevételéről szóló határozatra irányuló javaslat elfogadásával egyidejűleg határozatot fogadott el a pénzügyi hozzájárulásról, amely az (EU, Euratom) 2018/1046 rendelet</w:t>
      </w:r>
      <w:r w:rsidR="00E76684" w:rsidRPr="002A1C31">
        <w:rPr>
          <w:rStyle w:val="FootnoteReference"/>
          <w:noProof/>
        </w:rPr>
        <w:footnoteReference w:id="33"/>
      </w:r>
      <w:r w:rsidR="00BB42D9" w:rsidRPr="002A1C31">
        <w:rPr>
          <w:noProof/>
        </w:rPr>
        <w:t xml:space="preserve"> 110. cikke értelmében finanszírozási határozatnak minősül. A finanszírozási határozat az (EU) 2021/691 rendelet 15. cikke (2) bekezdésének első albekezdése értelmében azon a napon lép hatályba, amikor a Bizottság értesítést kap a költségvetési átcsoportosítás Európai Parlament és a Tanács általi jóváhagyásáról.</w:t>
      </w:r>
    </w:p>
    <w:p w:rsidR="00252AC6" w:rsidRPr="002A1C31" w:rsidRDefault="00252AC6" w:rsidP="00252AC6">
      <w:pPr>
        <w:rPr>
          <w:noProof/>
        </w:rPr>
        <w:sectPr w:rsidR="00252AC6" w:rsidRPr="002A1C31" w:rsidSect="00127E00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134" w:right="1417" w:bottom="1134" w:left="1417" w:header="709" w:footer="709" w:gutter="0"/>
          <w:pgNumType w:start="1"/>
          <w:cols w:space="708"/>
          <w:docGrid w:linePitch="360"/>
        </w:sectPr>
      </w:pPr>
    </w:p>
    <w:p w:rsidR="00476A52" w:rsidRDefault="004D78C7">
      <w:pPr>
        <w:pStyle w:val="Rfrenceinterinstitutionnelle"/>
        <w:rPr>
          <w:noProof/>
        </w:rPr>
      </w:pPr>
      <w:r>
        <w:rPr>
          <w:noProof/>
        </w:rPr>
        <w:t>2024/0226 (BUD)</w:t>
      </w:r>
    </w:p>
    <w:p w:rsidR="00252AC6" w:rsidRPr="002A1C31" w:rsidRDefault="002A1C31" w:rsidP="002A1C31">
      <w:pPr>
        <w:pStyle w:val="Statut"/>
        <w:rPr>
          <w:noProof/>
        </w:rPr>
      </w:pPr>
      <w:r w:rsidRPr="002A1C31">
        <w:rPr>
          <w:noProof/>
        </w:rPr>
        <w:t>Javaslat</w:t>
      </w:r>
    </w:p>
    <w:p w:rsidR="00252AC6" w:rsidRPr="002A1C31" w:rsidRDefault="002A1C31" w:rsidP="002A1C31">
      <w:pPr>
        <w:pStyle w:val="Typedudocument"/>
        <w:rPr>
          <w:noProof/>
        </w:rPr>
      </w:pPr>
      <w:r w:rsidRPr="002A1C31">
        <w:rPr>
          <w:noProof/>
        </w:rPr>
        <w:t>AZ EURÓPAI PARLAMENT ÉS A TANÁCS HATÁROZATA</w:t>
      </w:r>
    </w:p>
    <w:p w:rsidR="00252AC6" w:rsidRPr="002A1C31" w:rsidRDefault="002A1C31" w:rsidP="002A1C31">
      <w:pPr>
        <w:pStyle w:val="Titreobjet"/>
        <w:rPr>
          <w:noProof/>
        </w:rPr>
      </w:pPr>
      <w:r w:rsidRPr="002A1C31">
        <w:rPr>
          <w:noProof/>
        </w:rPr>
        <w:t>az elbocsátott munkavállalók támogatását szolgáló Európai Globalizációs Alkalmazkodási Alapnak Belgium EGF/2024/001 BE/Match-Smatch referenciaszámú kérelme nyomán történő igénybevételéről</w:t>
      </w:r>
    </w:p>
    <w:p w:rsidR="00252AC6" w:rsidRPr="002A1C31" w:rsidRDefault="00252AC6" w:rsidP="00252AC6">
      <w:pPr>
        <w:pStyle w:val="Institutionquiagit"/>
        <w:rPr>
          <w:noProof/>
        </w:rPr>
      </w:pPr>
      <w:r w:rsidRPr="002A1C31">
        <w:rPr>
          <w:noProof/>
        </w:rPr>
        <w:t>AZ EURÓPAI PARLAMENT ÉS AZ EURÓPAI UNIÓ TANÁCSA,</w:t>
      </w:r>
    </w:p>
    <w:p w:rsidR="00252AC6" w:rsidRPr="002A1C31" w:rsidRDefault="00252AC6" w:rsidP="00252AC6">
      <w:pPr>
        <w:rPr>
          <w:noProof/>
        </w:rPr>
      </w:pPr>
      <w:r w:rsidRPr="002A1C31">
        <w:rPr>
          <w:noProof/>
        </w:rPr>
        <w:t>tekintettel az Európai Unió működéséről szóló szerződésre,</w:t>
      </w:r>
    </w:p>
    <w:p w:rsidR="00252AC6" w:rsidRPr="002A1C31" w:rsidRDefault="00252AC6" w:rsidP="00252AC6">
      <w:pPr>
        <w:rPr>
          <w:noProof/>
        </w:rPr>
      </w:pPr>
      <w:r w:rsidRPr="002A1C31">
        <w:rPr>
          <w:noProof/>
        </w:rPr>
        <w:t>tekintettel az elbocsátott munkavállalók támogatását szolgáló Európai Globalizációs Alkalmazkodási Alapról (EGAA) és az 1309/2013/EU rendelet hatályon kívül helyezéséről szóló, 2021. április 28-i (EU) 2021/691 európai parlamenti és tanácsi rendeletre</w:t>
      </w:r>
      <w:r w:rsidRPr="002A1C31">
        <w:rPr>
          <w:rStyle w:val="FootnoteReference"/>
          <w:noProof/>
        </w:rPr>
        <w:footnoteReference w:id="34"/>
      </w:r>
      <w:r w:rsidRPr="002A1C31">
        <w:rPr>
          <w:noProof/>
        </w:rPr>
        <w:t xml:space="preserve"> és különösen annak 15. cikke (1) bekezdése első albekezdésére,</w:t>
      </w:r>
    </w:p>
    <w:p w:rsidR="00252AC6" w:rsidRPr="002A1C31" w:rsidRDefault="00252AC6" w:rsidP="00252AC6">
      <w:pPr>
        <w:rPr>
          <w:noProof/>
        </w:rPr>
      </w:pPr>
      <w:r w:rsidRPr="002A1C31">
        <w:rPr>
          <w:noProof/>
        </w:rPr>
        <w:t>tekintettel az Európai Parlament, az Európai Unió Tanácsa és az Európai Bizottság közötti, a költségvetési fegyelemről, a költségvetési ügyekben való együttműködésről és a hatékony és eredményes pénzgazdálkodásról, valamint az új saját forrásokról és az új saját források bevezetésére vonatkozó ütemtervről szóló, 2020. december 16-i intézményközi megállapodásra</w:t>
      </w:r>
      <w:r w:rsidR="008238DD" w:rsidRPr="002A1C31">
        <w:rPr>
          <w:rStyle w:val="FootnoteReference"/>
          <w:noProof/>
        </w:rPr>
        <w:footnoteReference w:id="35"/>
      </w:r>
      <w:r w:rsidRPr="002A1C31">
        <w:rPr>
          <w:noProof/>
        </w:rPr>
        <w:t xml:space="preserve"> és különösen annak 9. pontjára,</w:t>
      </w:r>
    </w:p>
    <w:p w:rsidR="00252AC6" w:rsidRPr="002A1C31" w:rsidRDefault="00252AC6" w:rsidP="00252AC6">
      <w:pPr>
        <w:rPr>
          <w:noProof/>
        </w:rPr>
      </w:pPr>
      <w:r w:rsidRPr="002A1C31">
        <w:rPr>
          <w:noProof/>
        </w:rPr>
        <w:t>tekintettel az Európai Bizottság javaslatára,</w:t>
      </w:r>
    </w:p>
    <w:p w:rsidR="00252AC6" w:rsidRPr="002A1C31" w:rsidRDefault="00252AC6" w:rsidP="00252AC6">
      <w:pPr>
        <w:rPr>
          <w:noProof/>
        </w:rPr>
      </w:pPr>
      <w:r w:rsidRPr="002A1C31">
        <w:rPr>
          <w:noProof/>
        </w:rPr>
        <w:t>mivel:</w:t>
      </w:r>
    </w:p>
    <w:p w:rsidR="00252AC6" w:rsidRPr="002A1C31" w:rsidRDefault="00576FF3" w:rsidP="00576FF3">
      <w:pPr>
        <w:pStyle w:val="ManualConsidrant"/>
        <w:rPr>
          <w:noProof/>
        </w:rPr>
      </w:pPr>
      <w:r w:rsidRPr="00576FF3">
        <w:rPr>
          <w:noProof/>
        </w:rPr>
        <w:t>(1)</w:t>
      </w:r>
      <w:r w:rsidRPr="00576FF3">
        <w:rPr>
          <w:noProof/>
        </w:rPr>
        <w:tab/>
      </w:r>
      <w:r w:rsidR="00252AC6" w:rsidRPr="002A1C31">
        <w:rPr>
          <w:noProof/>
        </w:rPr>
        <w:t xml:space="preserve">Az elbocsátott munkavállalók támogatását szolgáló Európai Globalizációs Alkalmazkodási Alap (EGAA) célja, hogy kifejezze a szolidaritást, és előmozdítsa a tisztességes és fenntartható foglalkoztatást az Unióban azáltal, hogy jelentős szerkezetátalakítások esetén támogatást nyújt az elbocsátott munkavállalók és azon önálló vállalkozók számára, akiknek tevékenysége megszűnik, és segíti őket abban, hogy a lehető leghamarabb visszatérjenek a tisztességes foglalkoztatásba és tartósan elhelyezkedjenek. </w:t>
      </w:r>
    </w:p>
    <w:p w:rsidR="00252AC6" w:rsidRPr="002A1C31" w:rsidRDefault="00576FF3" w:rsidP="00576FF3">
      <w:pPr>
        <w:pStyle w:val="ManualConsidrant"/>
        <w:rPr>
          <w:noProof/>
        </w:rPr>
      </w:pPr>
      <w:bookmarkStart w:id="16" w:name="_Hlk174701323"/>
      <w:r w:rsidRPr="00576FF3">
        <w:rPr>
          <w:noProof/>
        </w:rPr>
        <w:t>(2)</w:t>
      </w:r>
      <w:r w:rsidRPr="00576FF3">
        <w:rPr>
          <w:noProof/>
        </w:rPr>
        <w:tab/>
      </w:r>
      <w:r w:rsidR="00252AC6" w:rsidRPr="002A1C31">
        <w:rPr>
          <w:noProof/>
        </w:rPr>
        <w:t>Az EGAA éves maximális összege az (EU, Euratom) 2024/765 tanácsi rendelettel</w:t>
      </w:r>
      <w:r w:rsidR="00DE50E5" w:rsidRPr="002A1C31">
        <w:rPr>
          <w:rStyle w:val="FootnoteReference"/>
          <w:noProof/>
        </w:rPr>
        <w:footnoteReference w:id="36"/>
      </w:r>
      <w:r w:rsidR="00252AC6" w:rsidRPr="002A1C31">
        <w:rPr>
          <w:noProof/>
        </w:rPr>
        <w:t xml:space="preserve"> módosított, (EU, Euratom) 2020/2093 tanácsi rendelet</w:t>
      </w:r>
      <w:r w:rsidR="00252AC6" w:rsidRPr="002A1C31">
        <w:rPr>
          <w:rStyle w:val="FootnoteReference"/>
          <w:noProof/>
        </w:rPr>
        <w:footnoteReference w:id="37"/>
      </w:r>
      <w:r w:rsidR="00252AC6" w:rsidRPr="002A1C31">
        <w:rPr>
          <w:noProof/>
        </w:rPr>
        <w:t xml:space="preserve"> 8. cikkében és az (EU) 2021/691 rendelet 16. cikkében meghatározottaknak megfelelően (2018-as árakon számítva) nem haladhatja meg a 30 millió EUR összeget.</w:t>
      </w:r>
    </w:p>
    <w:bookmarkEnd w:id="16"/>
    <w:p w:rsidR="00252AC6" w:rsidRPr="002A1C31" w:rsidRDefault="00576FF3" w:rsidP="00576FF3">
      <w:pPr>
        <w:pStyle w:val="ManualConsidrant"/>
        <w:rPr>
          <w:noProof/>
        </w:rPr>
      </w:pPr>
      <w:r w:rsidRPr="00576FF3">
        <w:rPr>
          <w:noProof/>
        </w:rPr>
        <w:t>(3)</w:t>
      </w:r>
      <w:r w:rsidRPr="00576FF3">
        <w:rPr>
          <w:noProof/>
        </w:rPr>
        <w:tab/>
      </w:r>
      <w:r w:rsidR="00252AC6" w:rsidRPr="002A1C31">
        <w:rPr>
          <w:noProof/>
        </w:rPr>
        <w:t>Belgium a belgiumi Match-Smatch szupermarketeknél (Match SA. és Profi SA.) történt elbocsátásokra tekintettel 2024. június 3-án az EGAA igénybevételére irányuló kérelmet nyújtott be az (EU) 2021/691 rendelet 8. cikke (1) bekezdésének megfelelően. A kérelmet az (EU) 2021/691 rendelet 8. cikke (5) bekezdésének megfelelően további információkkal egészítette ki. Az igénybevételre vonatkozó európai parlamenti és tanácsi határozat meghozatalára irányuló javaslat keretein belül a Bizottság által végzett értékelés alapján a kérelem teljesíti az EGAA-ból biztosított pénzügyi hozzájárulásnak az (EU) 2021/691 rendelet 13. cikkében megállapított feltételeit</w:t>
      </w:r>
      <w:r w:rsidR="0097092E" w:rsidRPr="002A1C31">
        <w:rPr>
          <w:rStyle w:val="FootnoteReference"/>
          <w:iCs/>
          <w:noProof/>
        </w:rPr>
        <w:footnoteReference w:id="38"/>
      </w:r>
      <w:r w:rsidR="00252AC6" w:rsidRPr="002A1C31">
        <w:rPr>
          <w:noProof/>
        </w:rPr>
        <w:t>.</w:t>
      </w:r>
    </w:p>
    <w:p w:rsidR="00252AC6" w:rsidRPr="002A1C31" w:rsidRDefault="00576FF3" w:rsidP="00576FF3">
      <w:pPr>
        <w:pStyle w:val="ManualConsidrant"/>
        <w:rPr>
          <w:noProof/>
        </w:rPr>
      </w:pPr>
      <w:r w:rsidRPr="00576FF3">
        <w:rPr>
          <w:noProof/>
        </w:rPr>
        <w:t>(4)</w:t>
      </w:r>
      <w:r w:rsidRPr="00576FF3">
        <w:rPr>
          <w:noProof/>
        </w:rPr>
        <w:tab/>
      </w:r>
      <w:r w:rsidR="00252AC6" w:rsidRPr="002A1C31">
        <w:rPr>
          <w:noProof/>
        </w:rPr>
        <w:t>Az EGAA-t ezért igénybe kell venni a Belgium által benyújtott kérelem alapján nyújtandó, 2 661 564 EUR összegű pénzügyi hozzájárulás folyósítása érdekében.</w:t>
      </w:r>
    </w:p>
    <w:p w:rsidR="00252AC6" w:rsidRPr="002A1C31" w:rsidRDefault="00576FF3" w:rsidP="00576FF3">
      <w:pPr>
        <w:pStyle w:val="ManualConsidrant"/>
        <w:rPr>
          <w:noProof/>
        </w:rPr>
      </w:pPr>
      <w:r w:rsidRPr="00576FF3">
        <w:rPr>
          <w:noProof/>
        </w:rPr>
        <w:t>(5)</w:t>
      </w:r>
      <w:r w:rsidRPr="00576FF3">
        <w:rPr>
          <w:noProof/>
        </w:rPr>
        <w:tab/>
      </w:r>
      <w:r w:rsidR="00252AC6" w:rsidRPr="002A1C31">
        <w:rPr>
          <w:noProof/>
        </w:rPr>
        <w:t>Az EGAA igénybevételéhez szükséges idő minimalizálása érdekében ezt a határozatot elfogadása napjától kell alkalmazni,</w:t>
      </w:r>
    </w:p>
    <w:p w:rsidR="00252AC6" w:rsidRPr="002A1C31" w:rsidRDefault="00252AC6" w:rsidP="00252AC6">
      <w:pPr>
        <w:pStyle w:val="Formuledadoption"/>
        <w:rPr>
          <w:noProof/>
        </w:rPr>
      </w:pPr>
      <w:r w:rsidRPr="002A1C31">
        <w:rPr>
          <w:noProof/>
        </w:rPr>
        <w:t xml:space="preserve">ELFOGADTA EZT A HATÁROZATOT: </w:t>
      </w:r>
    </w:p>
    <w:p w:rsidR="00252AC6" w:rsidRPr="002A1C31" w:rsidRDefault="00252AC6" w:rsidP="00252AC6">
      <w:pPr>
        <w:pStyle w:val="Titrearticle"/>
        <w:rPr>
          <w:noProof/>
        </w:rPr>
      </w:pPr>
      <w:r w:rsidRPr="002A1C31">
        <w:rPr>
          <w:noProof/>
        </w:rPr>
        <w:t>1. cikk</w:t>
      </w:r>
    </w:p>
    <w:p w:rsidR="00252AC6" w:rsidRPr="002A1C31" w:rsidRDefault="00252AC6" w:rsidP="00252AC6">
      <w:pPr>
        <w:rPr>
          <w:noProof/>
        </w:rPr>
      </w:pPr>
      <w:r w:rsidRPr="002A1C31">
        <w:rPr>
          <w:noProof/>
        </w:rPr>
        <w:t>Az Unió 2024-as pénzügyi évre vonatkozó általános költségvetésének keretein belül az elbocsátott munkavállalók támogatását szolgáló Európai Globalizációs Alkalmazkodási Alapból 2 661 564 EUR összeg igénybevételére kerül sor kötelezettségvállalási és kifizetési előirányzatok formájában.</w:t>
      </w:r>
    </w:p>
    <w:p w:rsidR="00252AC6" w:rsidRPr="002A1C31" w:rsidRDefault="00252AC6" w:rsidP="00B00857">
      <w:pPr>
        <w:pStyle w:val="Titrearticle"/>
        <w:rPr>
          <w:noProof/>
        </w:rPr>
      </w:pPr>
      <w:r w:rsidRPr="002A1C31">
        <w:rPr>
          <w:noProof/>
        </w:rPr>
        <w:t>2. cikk</w:t>
      </w:r>
    </w:p>
    <w:p w:rsidR="00252AC6" w:rsidRPr="002A1C31" w:rsidRDefault="00252AC6" w:rsidP="00252AC6">
      <w:pPr>
        <w:keepNext/>
        <w:keepLines/>
        <w:rPr>
          <w:noProof/>
        </w:rPr>
      </w:pPr>
      <w:r w:rsidRPr="002A1C31">
        <w:rPr>
          <w:noProof/>
        </w:rPr>
        <w:t xml:space="preserve">Ez a határozat az </w:t>
      </w:r>
      <w:r w:rsidRPr="002A1C31">
        <w:rPr>
          <w:i/>
          <w:noProof/>
        </w:rPr>
        <w:t>Európai Unió Hivatalos Lapjában</w:t>
      </w:r>
      <w:r w:rsidRPr="002A1C31">
        <w:rPr>
          <w:noProof/>
        </w:rPr>
        <w:t xml:space="preserve"> való kihirdetésének napján lép hatályba. Ezt a határozatot </w:t>
      </w:r>
      <w:r w:rsidRPr="002A1C31">
        <w:rPr>
          <w:noProof/>
          <w:color w:val="FF0000"/>
        </w:rPr>
        <w:t>[</w:t>
      </w:r>
      <w:r w:rsidRPr="002A1C31">
        <w:rPr>
          <w:i/>
          <w:noProof/>
          <w:color w:val="FF0000"/>
        </w:rPr>
        <w:t>az elfogadásának időpontja</w:t>
      </w:r>
      <w:r w:rsidRPr="002A1C31">
        <w:rPr>
          <w:noProof/>
          <w:color w:val="FF0000"/>
        </w:rPr>
        <w:t>]</w:t>
      </w:r>
      <w:r w:rsidRPr="002A1C31">
        <w:rPr>
          <w:rStyle w:val="FootnoteReference"/>
          <w:noProof/>
          <w:color w:val="FF0000"/>
        </w:rPr>
        <w:footnoteReference w:customMarkFollows="1" w:id="39"/>
        <w:t>*</w:t>
      </w:r>
      <w:r w:rsidRPr="002A1C31">
        <w:rPr>
          <w:noProof/>
        </w:rPr>
        <w:t>-tól/-től kell alkalmazni.</w:t>
      </w:r>
    </w:p>
    <w:p w:rsidR="00252AC6" w:rsidRPr="002A1C31" w:rsidRDefault="002A1C31" w:rsidP="00B00857">
      <w:pPr>
        <w:pStyle w:val="Fait"/>
        <w:rPr>
          <w:noProof/>
        </w:rPr>
      </w:pPr>
      <w:r>
        <w:rPr>
          <w:noProof/>
        </w:rPr>
        <w:t>Kelt Brüsszelben, -án/-én.</w:t>
      </w:r>
    </w:p>
    <w:p w:rsidR="00252AC6" w:rsidRPr="002A1C31" w:rsidRDefault="00252AC6" w:rsidP="00B00857">
      <w:pPr>
        <w:pStyle w:val="Institutionquisigne"/>
        <w:rPr>
          <w:noProof/>
        </w:rPr>
      </w:pPr>
      <w:r w:rsidRPr="002A1C31">
        <w:rPr>
          <w:noProof/>
        </w:rPr>
        <w:t>az Európai Parlament részéről</w:t>
      </w:r>
      <w:r w:rsidRPr="002A1C31">
        <w:rPr>
          <w:noProof/>
        </w:rPr>
        <w:tab/>
        <w:t>a Tanács részéről</w:t>
      </w:r>
    </w:p>
    <w:p w:rsidR="00252AC6" w:rsidRPr="002A1C31" w:rsidRDefault="00252AC6" w:rsidP="00252AC6">
      <w:pPr>
        <w:pStyle w:val="Personnequisigne"/>
        <w:rPr>
          <w:noProof/>
        </w:rPr>
      </w:pPr>
      <w:r w:rsidRPr="002A1C31">
        <w:rPr>
          <w:noProof/>
        </w:rPr>
        <w:t>az elnök</w:t>
      </w:r>
      <w:r w:rsidRPr="002A1C31">
        <w:rPr>
          <w:noProof/>
        </w:rPr>
        <w:tab/>
        <w:t>az elnök</w:t>
      </w:r>
      <w:r w:rsidRPr="002A1C31">
        <w:rPr>
          <w:noProof/>
        </w:rPr>
        <w:br/>
      </w:r>
    </w:p>
    <w:sectPr w:rsidR="00252AC6" w:rsidRPr="002A1C31" w:rsidSect="00127E00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EF" w:rsidRDefault="001509EF" w:rsidP="00252AC6">
      <w:pPr>
        <w:spacing w:before="0" w:after="0"/>
      </w:pPr>
      <w:r>
        <w:separator/>
      </w:r>
    </w:p>
  </w:endnote>
  <w:endnote w:type="continuationSeparator" w:id="0">
    <w:p w:rsidR="001509EF" w:rsidRDefault="001509EF" w:rsidP="00252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00" w:rsidRPr="00127E00" w:rsidRDefault="00127E00" w:rsidP="00127E00">
    <w:pPr>
      <w:pStyle w:val="Footer"/>
      <w:rPr>
        <w:rFonts w:ascii="Arial" w:hAnsi="Arial" w:cs="Arial"/>
        <w:b/>
        <w:sz w:val="48"/>
      </w:rPr>
    </w:pPr>
    <w:r w:rsidRPr="00127E00">
      <w:rPr>
        <w:rFonts w:ascii="Arial" w:hAnsi="Arial" w:cs="Arial"/>
        <w:b/>
        <w:sz w:val="48"/>
      </w:rPr>
      <w:t>HU</w:t>
    </w:r>
    <w:r w:rsidRPr="00127E00">
      <w:rPr>
        <w:rFonts w:ascii="Arial" w:hAnsi="Arial" w:cs="Arial"/>
        <w:b/>
        <w:sz w:val="48"/>
      </w:rPr>
      <w:tab/>
    </w:r>
    <w:r w:rsidRPr="00127E00">
      <w:rPr>
        <w:rFonts w:ascii="Arial" w:hAnsi="Arial" w:cs="Arial"/>
        <w:b/>
        <w:sz w:val="48"/>
      </w:rPr>
      <w:tab/>
    </w:r>
    <w:r w:rsidRPr="00127E00">
      <w:tab/>
    </w:r>
    <w:r w:rsidRPr="00127E00">
      <w:rPr>
        <w:rFonts w:ascii="Arial" w:hAnsi="Arial" w:cs="Arial"/>
        <w:b/>
        <w:sz w:val="48"/>
      </w:rPr>
      <w:t>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00" w:rsidRPr="00127E00" w:rsidRDefault="00127E00" w:rsidP="00127E00">
    <w:pPr>
      <w:pStyle w:val="Footer"/>
      <w:rPr>
        <w:rFonts w:ascii="Arial" w:hAnsi="Arial" w:cs="Arial"/>
        <w:b/>
        <w:sz w:val="48"/>
      </w:rPr>
    </w:pPr>
    <w:r w:rsidRPr="00127E00">
      <w:rPr>
        <w:rFonts w:ascii="Arial" w:hAnsi="Arial" w:cs="Arial"/>
        <w:b/>
        <w:sz w:val="48"/>
      </w:rPr>
      <w:t>HU</w:t>
    </w:r>
    <w:r w:rsidRPr="00127E00">
      <w:rPr>
        <w:rFonts w:ascii="Arial" w:hAnsi="Arial" w:cs="Arial"/>
        <w:b/>
        <w:sz w:val="48"/>
      </w:rPr>
      <w:tab/>
    </w:r>
    <w:r w:rsidRPr="00127E00">
      <w:rPr>
        <w:rFonts w:ascii="Arial" w:hAnsi="Arial" w:cs="Arial"/>
        <w:b/>
        <w:sz w:val="48"/>
      </w:rPr>
      <w:tab/>
    </w:r>
    <w:r w:rsidRPr="00127E00">
      <w:tab/>
    </w:r>
    <w:r w:rsidRPr="00127E00"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00" w:rsidRDefault="00127E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00" w:rsidRPr="00127E00" w:rsidRDefault="00127E00" w:rsidP="00127E00">
    <w:pPr>
      <w:pStyle w:val="Footer"/>
      <w:rPr>
        <w:rFonts w:ascii="Arial" w:hAnsi="Arial" w:cs="Arial"/>
        <w:b/>
        <w:sz w:val="48"/>
      </w:rPr>
    </w:pPr>
    <w:r w:rsidRPr="00127E00">
      <w:rPr>
        <w:rFonts w:ascii="Arial" w:hAnsi="Arial" w:cs="Arial"/>
        <w:b/>
        <w:sz w:val="48"/>
      </w:rPr>
      <w:t>HU</w:t>
    </w:r>
    <w:r w:rsidRPr="00127E0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B00857">
      <w:rPr>
        <w:noProof/>
      </w:rPr>
      <w:t>13</w:t>
    </w:r>
    <w:r>
      <w:fldChar w:fldCharType="end"/>
    </w:r>
    <w:r>
      <w:tab/>
    </w:r>
    <w:r w:rsidRPr="00127E00">
      <w:tab/>
    </w:r>
    <w:r w:rsidRPr="00127E00">
      <w:rPr>
        <w:rFonts w:ascii="Arial" w:hAnsi="Arial" w:cs="Arial"/>
        <w:b/>
        <w:sz w:val="48"/>
      </w:rPr>
      <w:t>HU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00" w:rsidRDefault="00127E00" w:rsidP="00127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EF" w:rsidRDefault="001509EF" w:rsidP="00252AC6">
      <w:pPr>
        <w:spacing w:before="0" w:after="0"/>
      </w:pPr>
      <w:r>
        <w:separator/>
      </w:r>
    </w:p>
  </w:footnote>
  <w:footnote w:type="continuationSeparator" w:id="0">
    <w:p w:rsidR="001509EF" w:rsidRDefault="001509EF" w:rsidP="00252AC6">
      <w:pPr>
        <w:spacing w:before="0" w:after="0"/>
      </w:pPr>
      <w:r>
        <w:continuationSeparator/>
      </w:r>
    </w:p>
  </w:footnote>
  <w:footnote w:id="1">
    <w:p w:rsidR="00440384" w:rsidRPr="00BE109D" w:rsidRDefault="00440384" w:rsidP="00252AC6">
      <w:pPr>
        <w:pStyle w:val="FootnoteText"/>
      </w:pPr>
      <w:r>
        <w:rPr>
          <w:rStyle w:val="FootnoteReference"/>
        </w:rPr>
        <w:footnoteRef/>
      </w:r>
      <w:r>
        <w:tab/>
        <w:t>HL L 153., 2021.5.3., 48. o.</w:t>
      </w:r>
    </w:p>
  </w:footnote>
  <w:footnote w:id="2">
    <w:p w:rsidR="00440384" w:rsidRPr="002308DE" w:rsidRDefault="00440384" w:rsidP="00252AC6">
      <w:pPr>
        <w:pStyle w:val="FootnoteText"/>
      </w:pPr>
      <w:r>
        <w:rPr>
          <w:rStyle w:val="FootnoteReference"/>
        </w:rPr>
        <w:footnoteRef/>
      </w:r>
      <w:r>
        <w:tab/>
        <w:t>A Bizottság (EU) 2019/1755 felhatalmazáson alapuló rendelete (2019. augusztus 8.) a statisztikai célú területi egységek nómenklatúrájának (NUTS) létrehozásáról szóló 1059/2003/EK európai parlamenti és tanácsi rendelet mellékleteinek módosításáról HL L 270., 2019.10.24., 1. o.</w:t>
      </w:r>
    </w:p>
  </w:footnote>
  <w:footnote w:id="3">
    <w:p w:rsidR="00440384" w:rsidRPr="00A50D50" w:rsidRDefault="00440384" w:rsidP="00252AC6">
      <w:pPr>
        <w:pStyle w:val="FootnoteText"/>
      </w:pPr>
      <w:r>
        <w:rPr>
          <w:rStyle w:val="FootnoteReference"/>
        </w:rPr>
        <w:footnoteRef/>
      </w:r>
      <w:r>
        <w:tab/>
        <w:t>HL L 393., 2006.12.30., 1. o.</w:t>
      </w:r>
    </w:p>
  </w:footnote>
  <w:footnote w:id="4">
    <w:p w:rsidR="00C812FC" w:rsidRPr="00A50D50" w:rsidRDefault="00C812FC" w:rsidP="00252AC6">
      <w:pPr>
        <w:pStyle w:val="FootnoteText"/>
      </w:pPr>
      <w:r>
        <w:rPr>
          <w:rStyle w:val="FootnoteReference"/>
        </w:rPr>
        <w:footnoteRef/>
      </w:r>
      <w:r>
        <w:tab/>
        <w:t>Az (EU) 2021/691 rendelet 7. cikkének (5) bekezdésével összhangban.</w:t>
      </w:r>
    </w:p>
  </w:footnote>
  <w:footnote w:id="5">
    <w:p w:rsidR="0079619E" w:rsidRPr="006E0ACC" w:rsidRDefault="0079619E">
      <w:pPr>
        <w:pStyle w:val="FootnoteText"/>
      </w:pPr>
      <w:r>
        <w:rPr>
          <w:rStyle w:val="FootnoteReference"/>
        </w:rPr>
        <w:footnoteRef/>
      </w:r>
      <w:r>
        <w:tab/>
        <w:t>Üzemi tanács, 2023. szeptember 22.</w:t>
      </w:r>
    </w:p>
  </w:footnote>
  <w:footnote w:id="6">
    <w:p w:rsidR="001C7D02" w:rsidRPr="001C7D02" w:rsidRDefault="001C7D02">
      <w:pPr>
        <w:pStyle w:val="FootnoteText"/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Mémorandum électoral 2024</w:t>
        </w:r>
      </w:hyperlink>
      <w:r>
        <w:t xml:space="preserve"> (A kereskedelmet és a szolgáltatásokat érintő új tendenciák, valamint a kihívásokkal teli gazdasági idők).</w:t>
      </w:r>
    </w:p>
  </w:footnote>
  <w:footnote w:id="7">
    <w:p w:rsidR="006845C3" w:rsidRPr="006E0ACC" w:rsidRDefault="006845C3">
      <w:pPr>
        <w:pStyle w:val="FootnoteText"/>
      </w:pPr>
      <w:r>
        <w:rPr>
          <w:rStyle w:val="FootnoteReference"/>
        </w:rPr>
        <w:footnoteRef/>
      </w:r>
      <w:r>
        <w:tab/>
      </w:r>
      <w:hyperlink r:id="rId2" w:history="1">
        <w:r>
          <w:rPr>
            <w:rStyle w:val="Hyperlink"/>
          </w:rPr>
          <w:t>Statbel. Emploi et chômage (13.6.2024)</w:t>
        </w:r>
      </w:hyperlink>
    </w:p>
  </w:footnote>
  <w:footnote w:id="8">
    <w:p w:rsidR="00511891" w:rsidRPr="006E0ACC" w:rsidRDefault="00511891">
      <w:pPr>
        <w:pStyle w:val="FootnoteText"/>
      </w:pPr>
      <w:r>
        <w:rPr>
          <w:rStyle w:val="FootnoteReference"/>
        </w:rPr>
        <w:footnoteRef/>
      </w:r>
      <w:r>
        <w:tab/>
      </w:r>
      <w:hyperlink r:id="rId3" w:history="1">
        <w:r>
          <w:rPr>
            <w:rStyle w:val="Hyperlink"/>
          </w:rPr>
          <w:t>Statbel. Emploi et chômage (13.6.2024)</w:t>
        </w:r>
      </w:hyperlink>
    </w:p>
  </w:footnote>
  <w:footnote w:id="9">
    <w:p w:rsidR="00601B62" w:rsidRPr="006E0ACC" w:rsidRDefault="00601B62">
      <w:pPr>
        <w:pStyle w:val="FootnoteText"/>
      </w:pPr>
      <w:r>
        <w:rPr>
          <w:rStyle w:val="FootnoteReference"/>
        </w:rPr>
        <w:footnoteRef/>
      </w:r>
      <w:r>
        <w:tab/>
      </w:r>
      <w:hyperlink r:id="rId4" w:anchor="Estonia.2C_Malta.2C_Lithuania_and_Latvia_see_the_greatest_increase_in_labour_market_slack" w:history="1">
        <w:r>
          <w:rPr>
            <w:rStyle w:val="Hyperlink"/>
          </w:rPr>
          <w:t>Eurostat. Negyedéves uniós munkaerőpiaci statisztikák</w:t>
        </w:r>
      </w:hyperlink>
      <w:r>
        <w:t>.</w:t>
      </w:r>
    </w:p>
  </w:footnote>
  <w:footnote w:id="10">
    <w:p w:rsidR="00997428" w:rsidRPr="00A555F7" w:rsidRDefault="00997428">
      <w:pPr>
        <w:pStyle w:val="FootnoteText"/>
      </w:pPr>
      <w:r>
        <w:rPr>
          <w:rStyle w:val="FootnoteReference"/>
        </w:rPr>
        <w:footnoteRef/>
      </w:r>
      <w:r>
        <w:tab/>
      </w:r>
      <w:hyperlink r:id="rId5" w:history="1">
        <w:r>
          <w:rPr>
            <w:rStyle w:val="Hyperlink"/>
          </w:rPr>
          <w:t>Statbel. Emploi et chômage (13.6.2024)</w:t>
        </w:r>
      </w:hyperlink>
      <w:r>
        <w:rPr>
          <w:rStyle w:val="Hyperlink"/>
        </w:rPr>
        <w:t>. Chiffres.</w:t>
      </w:r>
    </w:p>
  </w:footnote>
  <w:footnote w:id="11">
    <w:p w:rsidR="00D25069" w:rsidRPr="00A555F7" w:rsidRDefault="00D25069">
      <w:pPr>
        <w:pStyle w:val="FootnoteText"/>
      </w:pPr>
      <w:r>
        <w:rPr>
          <w:rStyle w:val="FootnoteReference"/>
        </w:rPr>
        <w:footnoteRef/>
      </w:r>
      <w:r>
        <w:tab/>
      </w:r>
      <w:hyperlink r:id="rId6" w:anchor="figures" w:history="1">
        <w:r>
          <w:rPr>
            <w:rStyle w:val="Hyperlink"/>
          </w:rPr>
          <w:t>Statbel. Emploi et chômage (13.6.2024). Chiffres</w:t>
        </w:r>
      </w:hyperlink>
      <w:r>
        <w:t>.</w:t>
      </w:r>
    </w:p>
  </w:footnote>
  <w:footnote w:id="12">
    <w:p w:rsidR="00A555F7" w:rsidRPr="00983904" w:rsidRDefault="00A555F7">
      <w:pPr>
        <w:pStyle w:val="FootnoteText"/>
      </w:pPr>
      <w:r>
        <w:rPr>
          <w:rStyle w:val="FootnoteReference"/>
        </w:rPr>
        <w:footnoteRef/>
      </w:r>
      <w:r>
        <w:tab/>
      </w:r>
      <w:bookmarkStart w:id="9" w:name="_Hlk168668594"/>
      <w:r>
        <w:fldChar w:fldCharType="begin"/>
      </w:r>
      <w:r>
        <w:instrText>HYPERLINK "https://www.leforem.be/content/dam/leforem/fr/documents/chiffres-et-analyses/chiffres-TCD-photolocale-202405.xlsx"</w:instrText>
      </w:r>
      <w:r>
        <w:fldChar w:fldCharType="separate"/>
      </w:r>
      <w:r>
        <w:rPr>
          <w:rStyle w:val="Hyperlink"/>
        </w:rPr>
        <w:t>Le Forem, Emploi du temps. Photo locale de la demande d’emploi (Munkaidő: a helyi álláskeresők). 2024. május</w:t>
      </w:r>
      <w:r>
        <w:fldChar w:fldCharType="end"/>
      </w:r>
      <w:bookmarkEnd w:id="9"/>
      <w:r>
        <w:t>.</w:t>
      </w:r>
    </w:p>
  </w:footnote>
  <w:footnote w:id="13">
    <w:p w:rsidR="00824671" w:rsidRPr="00CB6793" w:rsidRDefault="00824671" w:rsidP="00824671">
      <w:pPr>
        <w:pStyle w:val="FootnoteText"/>
      </w:pPr>
      <w:r>
        <w:rPr>
          <w:rStyle w:val="FootnoteReference"/>
        </w:rPr>
        <w:footnoteRef/>
      </w:r>
      <w:r>
        <w:tab/>
        <w:t>Bodart, V. &amp; B. Van der Linden (2022), Crise du COVID-19. Rebond économique et difficultés de recrutement en Belgique. Regards économiques 168, UCLouvain (A Covid19-válság: Gazdasági fellendülés és munkaerő-felvételi nehézségek Belgiumban).</w:t>
      </w:r>
    </w:p>
  </w:footnote>
  <w:footnote w:id="14">
    <w:p w:rsidR="006E2FBA" w:rsidRPr="00B80404" w:rsidRDefault="006E2FBA">
      <w:pPr>
        <w:pStyle w:val="FootnoteText"/>
      </w:pPr>
      <w:r>
        <w:rPr>
          <w:rStyle w:val="FootnoteReference"/>
        </w:rPr>
        <w:footnoteRef/>
      </w:r>
      <w:r>
        <w:tab/>
      </w:r>
      <w:hyperlink r:id="rId7" w:history="1">
        <w:r>
          <w:rPr>
            <w:rStyle w:val="Hyperlink"/>
          </w:rPr>
          <w:t>A változásra való felkészülésre és a szerkezetátalakításra vonatkozó uniós minőségi keret</w:t>
        </w:r>
      </w:hyperlink>
      <w:r>
        <w:t>.</w:t>
      </w:r>
    </w:p>
  </w:footnote>
  <w:footnote w:id="15">
    <w:p w:rsidR="008C3DFF" w:rsidRPr="008C3DFF" w:rsidRDefault="008C3DFF">
      <w:pPr>
        <w:pStyle w:val="FootnoteText"/>
      </w:pPr>
      <w:r>
        <w:rPr>
          <w:rStyle w:val="FootnoteReference"/>
        </w:rPr>
        <w:footnoteRef/>
      </w:r>
      <w:r>
        <w:tab/>
        <w:t>A 2006. március 9-i királyi rendeletet módosító 2006. november 10-i királyi rendelet (Arrêté Royal).</w:t>
      </w:r>
    </w:p>
  </w:footnote>
  <w:footnote w:id="16">
    <w:p w:rsidR="007039B7" w:rsidRPr="007039B7" w:rsidRDefault="007039B7">
      <w:pPr>
        <w:pStyle w:val="FootnoteText"/>
      </w:pPr>
      <w:r>
        <w:rPr>
          <w:rStyle w:val="FootnoteReference"/>
        </w:rPr>
        <w:footnoteRef/>
      </w:r>
      <w:r>
        <w:tab/>
      </w:r>
      <w:hyperlink r:id="rId8" w:history="1">
        <w:r>
          <w:rPr>
            <w:rStyle w:val="Hyperlink"/>
          </w:rPr>
          <w:t>Le Forem. Szerkezetátalakítási esemény: foglalkoztatási egységek</w:t>
        </w:r>
      </w:hyperlink>
      <w:r>
        <w:rPr>
          <w:rStyle w:val="Hyperlink"/>
        </w:rPr>
        <w:t>.</w:t>
      </w:r>
    </w:p>
  </w:footnote>
  <w:footnote w:id="17">
    <w:p w:rsidR="00812C24" w:rsidRPr="00812C24" w:rsidRDefault="00812C24">
      <w:pPr>
        <w:pStyle w:val="FootnoteText"/>
      </w:pPr>
      <w:r>
        <w:rPr>
          <w:rStyle w:val="FootnoteReference"/>
        </w:rPr>
        <w:footnoteRef/>
      </w:r>
      <w:r>
        <w:tab/>
        <w:t>A 2009. április 30-i rendelettel módosított 2004. január 29-i vallon kormányrendelet.</w:t>
      </w:r>
    </w:p>
  </w:footnote>
  <w:footnote w:id="18">
    <w:p w:rsidR="00CD0B29" w:rsidRPr="00CD0B29" w:rsidRDefault="00CD0B29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Hyperlink"/>
        </w:rPr>
        <w:t xml:space="preserve">Le </w:t>
      </w:r>
      <w:hyperlink r:id="rId9" w:history="1">
        <w:r>
          <w:rPr>
            <w:rStyle w:val="Hyperlink"/>
          </w:rPr>
          <w:t>Forem.Szerkezetátalakítási esemény: újrafoglalkoztatási egységek</w:t>
        </w:r>
      </w:hyperlink>
      <w:r>
        <w:rPr>
          <w:rStyle w:val="Hyperlink"/>
        </w:rPr>
        <w:t>.</w:t>
      </w:r>
    </w:p>
  </w:footnote>
  <w:footnote w:id="19">
    <w:p w:rsidR="00AB691F" w:rsidRPr="00AB691F" w:rsidRDefault="00AB691F">
      <w:pPr>
        <w:pStyle w:val="FootnoteText"/>
      </w:pPr>
      <w:r>
        <w:rPr>
          <w:rStyle w:val="FootnoteReference"/>
        </w:rPr>
        <w:footnoteRef/>
      </w:r>
      <w:r>
        <w:tab/>
        <w:t>Fédération générale du travail de Belgique (Belgiumi Általános Szakszervezeti Szövetség).</w:t>
      </w:r>
    </w:p>
  </w:footnote>
  <w:footnote w:id="20">
    <w:p w:rsidR="00AB691F" w:rsidRPr="00CB6793" w:rsidRDefault="00AB691F">
      <w:pPr>
        <w:pStyle w:val="FootnoteText"/>
      </w:pPr>
      <w:r>
        <w:rPr>
          <w:rStyle w:val="FootnoteReference"/>
        </w:rPr>
        <w:footnoteRef/>
      </w:r>
      <w:r>
        <w:tab/>
        <w:t>Conféderation des syndicats chrétiens (Keresztény Szakszervezetek Szövetsége).</w:t>
      </w:r>
    </w:p>
  </w:footnote>
  <w:footnote w:id="21">
    <w:p w:rsidR="00440384" w:rsidRPr="00CB6793" w:rsidRDefault="00440384">
      <w:pPr>
        <w:pStyle w:val="FootnoteText"/>
      </w:pPr>
      <w:r>
        <w:rPr>
          <w:rStyle w:val="FootnoteReference"/>
        </w:rPr>
        <w:footnoteRef/>
      </w:r>
      <w:r>
        <w:tab/>
        <w:t>ISCED 0–2.</w:t>
      </w:r>
    </w:p>
  </w:footnote>
  <w:footnote w:id="22">
    <w:p w:rsidR="00440384" w:rsidRPr="00A31F0E" w:rsidRDefault="00440384">
      <w:pPr>
        <w:pStyle w:val="FootnoteText"/>
      </w:pPr>
      <w:r>
        <w:rPr>
          <w:rStyle w:val="FootnoteReference"/>
        </w:rPr>
        <w:footnoteRef/>
      </w:r>
      <w:r>
        <w:tab/>
        <w:t>ISCED 3.</w:t>
      </w:r>
    </w:p>
  </w:footnote>
  <w:footnote w:id="23">
    <w:p w:rsidR="00440384" w:rsidRPr="00A31F0E" w:rsidRDefault="00440384">
      <w:pPr>
        <w:pStyle w:val="FootnoteText"/>
      </w:pPr>
      <w:r>
        <w:rPr>
          <w:rStyle w:val="FootnoteReference"/>
        </w:rPr>
        <w:footnoteRef/>
      </w:r>
      <w:r>
        <w:tab/>
        <w:t>ISCED 4.</w:t>
      </w:r>
    </w:p>
  </w:footnote>
  <w:footnote w:id="24">
    <w:p w:rsidR="00440384" w:rsidRPr="00A31F0E" w:rsidRDefault="00440384">
      <w:pPr>
        <w:pStyle w:val="FootnoteText"/>
      </w:pPr>
      <w:r>
        <w:rPr>
          <w:rStyle w:val="FootnoteReference"/>
        </w:rPr>
        <w:footnoteRef/>
      </w:r>
      <w:r>
        <w:tab/>
        <w:t>ISCED 5–8.</w:t>
      </w:r>
    </w:p>
  </w:footnote>
  <w:footnote w:id="25">
    <w:p w:rsidR="00717FE5" w:rsidRPr="00717FE5" w:rsidRDefault="00717FE5">
      <w:pPr>
        <w:pStyle w:val="FootnoteText"/>
      </w:pPr>
      <w:r>
        <w:rPr>
          <w:rStyle w:val="FootnoteReference"/>
        </w:rPr>
        <w:footnoteRef/>
      </w:r>
      <w:r>
        <w:tab/>
        <w:t xml:space="preserve">18 hónap, ha teljes körű vizsgálatot végeznek. </w:t>
      </w:r>
    </w:p>
  </w:footnote>
  <w:footnote w:id="26">
    <w:p w:rsidR="00613A0B" w:rsidRPr="008D41C8" w:rsidRDefault="00613A0B">
      <w:pPr>
        <w:pStyle w:val="FootnoteText"/>
      </w:pPr>
      <w:r>
        <w:rPr>
          <w:rStyle w:val="FootnoteReference"/>
        </w:rPr>
        <w:footnoteRef/>
      </w:r>
      <w:r>
        <w:tab/>
        <w:t>COM(2021) 212.</w:t>
      </w:r>
    </w:p>
  </w:footnote>
  <w:footnote w:id="27">
    <w:p w:rsidR="008D41C8" w:rsidRPr="008D41C8" w:rsidRDefault="008D41C8">
      <w:pPr>
        <w:pStyle w:val="FootnoteText"/>
      </w:pPr>
      <w:r>
        <w:rPr>
          <w:rStyle w:val="FootnoteReference"/>
        </w:rPr>
        <w:footnoteRef/>
      </w:r>
      <w:r>
        <w:tab/>
        <w:t>EGF/2022/002 BE/TNT. COM(2023) 69 final.</w:t>
      </w:r>
      <w:r>
        <w:tab/>
      </w:r>
      <w:r>
        <w:tab/>
      </w:r>
    </w:p>
  </w:footnote>
  <w:footnote w:id="28">
    <w:p w:rsidR="00440384" w:rsidRPr="00A31F0E" w:rsidRDefault="00440384">
      <w:pPr>
        <w:pStyle w:val="FootnoteText"/>
      </w:pPr>
      <w:r>
        <w:rPr>
          <w:rStyle w:val="FootnoteReference"/>
        </w:rPr>
        <w:footnoteRef/>
      </w:r>
      <w:r>
        <w:tab/>
        <w:t>A tizedesjegyek elkerülése érdekében az egy munkavállalóra jutó becsült költségek kerekített összegek. A kerekítés azonban nincs hatással az egyes intézkedések összköltségére, amely azonos a Belgium által benyújtott kérelemben szereplő összeggel.</w:t>
      </w:r>
    </w:p>
  </w:footnote>
  <w:footnote w:id="29">
    <w:p w:rsidR="00440384" w:rsidRPr="002060F6" w:rsidRDefault="00440384">
      <w:pPr>
        <w:pStyle w:val="FootnoteText"/>
      </w:pPr>
      <w:r>
        <w:rPr>
          <w:rStyle w:val="FootnoteReference"/>
        </w:rPr>
        <w:footnoteRef/>
      </w:r>
      <w:r>
        <w:tab/>
        <w:t>A végösszegek a kerekítés miatt nem egyeznek.</w:t>
      </w:r>
    </w:p>
  </w:footnote>
  <w:footnote w:id="30">
    <w:p w:rsidR="00301E61" w:rsidRPr="00A43A82" w:rsidRDefault="00301E61">
      <w:pPr>
        <w:pStyle w:val="FootnoteText"/>
      </w:pPr>
      <w:r>
        <w:rPr>
          <w:rStyle w:val="FootnoteReference"/>
        </w:rPr>
        <w:footnoteRef/>
      </w:r>
      <w:r>
        <w:tab/>
        <w:t xml:space="preserve">HL L 2024/765, 2024.2.29., 4. o. </w:t>
      </w:r>
    </w:p>
  </w:footnote>
  <w:footnote w:id="31">
    <w:p w:rsidR="00440384" w:rsidRDefault="00440384" w:rsidP="00252AC6">
      <w:pPr>
        <w:pStyle w:val="FootnoteText"/>
      </w:pPr>
      <w:r>
        <w:rPr>
          <w:rStyle w:val="FootnoteReference"/>
        </w:rPr>
        <w:footnoteRef/>
      </w:r>
      <w:r>
        <w:tab/>
        <w:t>HL L 433. I, 2020.12.22., 11. o.</w:t>
      </w:r>
    </w:p>
  </w:footnote>
  <w:footnote w:id="32">
    <w:p w:rsidR="00440384" w:rsidRDefault="00440384" w:rsidP="00252AC6">
      <w:pPr>
        <w:pStyle w:val="FootnoteText"/>
      </w:pPr>
      <w:r>
        <w:rPr>
          <w:rStyle w:val="FootnoteReference"/>
        </w:rPr>
        <w:footnoteRef/>
      </w:r>
      <w:r>
        <w:tab/>
        <w:t>HL L 433. I, 2020.12.22., 28. o.</w:t>
      </w:r>
    </w:p>
  </w:footnote>
  <w:footnote w:id="33">
    <w:p w:rsidR="00440384" w:rsidRPr="00E76684" w:rsidRDefault="00440384">
      <w:pPr>
        <w:pStyle w:val="FootnoteText"/>
      </w:pPr>
      <w:r>
        <w:rPr>
          <w:rStyle w:val="FootnoteReference"/>
        </w:rPr>
        <w:footnoteRef/>
      </w:r>
      <w:r>
        <w:tab/>
        <w:t>Az Európai Parlament és a Tanács (EU, Euratom) 2018/1046 rendelete (2018. július 18.) az Unió általános költségvetésére alkalmazandó pénzügyi szabályokról, az 1296/2013/EU, az 1301/2013/EU, az 1303/2013/EU, az 1304/2013/EU, az 1309/2013/EU, az 1316/2013/EU, a 223/2014/EU és a 283/2014/EU rendelet és az 541/2014/EU határozat módosításáról, valamint a 966/2012/EU, Euratom rendelet hatályon kívül helyezéséről (HL L 193., 2018.7.30., 1. o.).</w:t>
      </w:r>
    </w:p>
  </w:footnote>
  <w:footnote w:id="34">
    <w:p w:rsidR="00440384" w:rsidRDefault="00440384" w:rsidP="00252AC6">
      <w:pPr>
        <w:pStyle w:val="FootnoteText"/>
      </w:pPr>
      <w:r>
        <w:rPr>
          <w:rStyle w:val="FootnoteReference"/>
        </w:rPr>
        <w:footnoteRef/>
      </w:r>
      <w:r>
        <w:tab/>
        <w:t>HL L 153., 2021.5.3., 48. o.</w:t>
      </w:r>
    </w:p>
  </w:footnote>
  <w:footnote w:id="35">
    <w:p w:rsidR="00440384" w:rsidRPr="00973296" w:rsidRDefault="00440384">
      <w:pPr>
        <w:pStyle w:val="FootnoteText"/>
      </w:pPr>
      <w:r>
        <w:rPr>
          <w:rStyle w:val="FootnoteReference"/>
        </w:rPr>
        <w:footnoteRef/>
      </w:r>
      <w:r>
        <w:tab/>
        <w:t>HL L 433 I., 2020.12.22., 28. o.</w:t>
      </w:r>
    </w:p>
  </w:footnote>
  <w:footnote w:id="36">
    <w:p w:rsidR="00DE50E5" w:rsidRPr="00BB0126" w:rsidRDefault="00DE50E5" w:rsidP="00DE50E5">
      <w:pPr>
        <w:pStyle w:val="FootnoteText"/>
      </w:pPr>
      <w:r>
        <w:rPr>
          <w:rStyle w:val="FootnoteReference"/>
        </w:rPr>
        <w:footnoteRef/>
      </w:r>
      <w:r>
        <w:tab/>
        <w:t>HL L 2024/765, 2024.2.29., 4. o.</w:t>
      </w:r>
    </w:p>
  </w:footnote>
  <w:footnote w:id="37">
    <w:p w:rsidR="00440384" w:rsidRPr="009F7C73" w:rsidRDefault="00440384" w:rsidP="00252AC6">
      <w:pPr>
        <w:pStyle w:val="FootnoteText"/>
      </w:pPr>
      <w:r>
        <w:rPr>
          <w:rStyle w:val="FootnoteReference"/>
        </w:rPr>
        <w:footnoteRef/>
      </w:r>
      <w:r>
        <w:tab/>
        <w:t>A Tanács (EU, Euratom) 2020/2093 rendelete (2020. december 17.) a 2021–2027-es időszakra vonatkozó többéves pénzügyi keretről (HL L 433 I., 2020.12.22., 11. o.).</w:t>
      </w:r>
    </w:p>
  </w:footnote>
  <w:footnote w:id="38">
    <w:p w:rsidR="0097092E" w:rsidRPr="0097092E" w:rsidRDefault="0097092E">
      <w:pPr>
        <w:pStyle w:val="FootnoteText"/>
      </w:pPr>
      <w:r>
        <w:rPr>
          <w:rStyle w:val="FootnoteReference"/>
        </w:rPr>
        <w:footnoteRef/>
      </w:r>
      <w:r>
        <w:tab/>
        <w:t>COM(2024) 275.</w:t>
      </w:r>
    </w:p>
  </w:footnote>
  <w:footnote w:id="39">
    <w:p w:rsidR="003C1AC6" w:rsidRPr="003C1AC6" w:rsidRDefault="003C1AC6">
      <w:pPr>
        <w:pStyle w:val="FootnoteText"/>
      </w:pPr>
      <w:r>
        <w:rPr>
          <w:rStyle w:val="FootnoteReference"/>
        </w:rPr>
        <w:t>*</w:t>
      </w:r>
      <w:r>
        <w:tab/>
      </w:r>
      <w:r>
        <w:rPr>
          <w:color w:val="FF0000"/>
        </w:rPr>
        <w:t>A dátumot a Hivatalos Lapban való közzététel előtt a Parlament illeszti be.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00" w:rsidRDefault="00127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E00" w:rsidRDefault="00127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BB686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9E463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80CFF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4498EC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32C75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F90476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C2823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5869B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</w:num>
  <w:num w:numId="12">
    <w:abstractNumId w:val="19"/>
  </w:num>
  <w:num w:numId="13">
    <w:abstractNumId w:val="12"/>
  </w:num>
  <w:num w:numId="14">
    <w:abstractNumId w:val="21"/>
  </w:num>
  <w:num w:numId="15">
    <w:abstractNumId w:val="11"/>
  </w:num>
  <w:num w:numId="16">
    <w:abstractNumId w:val="13"/>
  </w:num>
  <w:num w:numId="17">
    <w:abstractNumId w:val="14"/>
  </w:num>
  <w:num w:numId="18">
    <w:abstractNumId w:val="9"/>
  </w:num>
  <w:num w:numId="19">
    <w:abstractNumId w:val="20"/>
  </w:num>
  <w:num w:numId="20">
    <w:abstractNumId w:val="8"/>
  </w:num>
  <w:num w:numId="21">
    <w:abstractNumId w:val="15"/>
  </w:num>
  <w:num w:numId="22">
    <w:abstractNumId w:val="17"/>
  </w:num>
  <w:num w:numId="23">
    <w:abstractNumId w:val="18"/>
  </w:num>
  <w:num w:numId="24">
    <w:abstractNumId w:val="10"/>
  </w:num>
  <w:num w:numId="25">
    <w:abstractNumId w:val="16"/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hideSpellingErrors/>
  <w:hideGrammaticalErrors/>
  <w:attachedTemplate r:id="rId1"/>
  <w:revisionView w:markup="0"/>
  <w:documentProtection w:edit="forms" w:enforcement="0"/>
  <w:defaultTabStop w:val="720"/>
  <w:hyphenationZone w:val="425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4-09-13 09:56:34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EDB1F81C-F990-415C-A7A2-8D2CA82C6C27"/>
    <w:docVar w:name="LW_COVERPAGE_TYPE" w:val="1"/>
    <w:docVar w:name="LW_CROSSREFERENCE" w:val="&lt;UNUSED&gt;"/>
    <w:docVar w:name="LW_DocType" w:val="COM"/>
    <w:docVar w:name="LW_EMISSION" w:val="2024.9.16."/>
    <w:docVar w:name="LW_EMISSION_ISODATE" w:val="2024-09-16"/>
    <w:docVar w:name="LW_EMISSION_LOCATION" w:val="BRX"/>
    <w:docVar w:name="LW_EMISSION_PREFIX" w:val="Brüsszel, "/>
    <w:docVar w:name="LW_EMISSION_SUFFIX" w:val=" "/>
    <w:docVar w:name="LW_ID_DOCMODEL" w:val="SJ-026"/>
    <w:docVar w:name="LW_ID_DOCSIGNATURE" w:val="SJ-026"/>
    <w:docVar w:name="LW_ID_DOCSTRUCTURE" w:val="COM/PL/ORG"/>
    <w:docVar w:name="LW_ID_DOCTYPE" w:val="SJ-026"/>
    <w:docVar w:name="LW_ID_EXP.MOTIFS.NEW" w:val="EM_PL_"/>
    <w:docVar w:name="LW_ID_STATUT" w:val="SJ-026"/>
    <w:docVar w:name="LW_INTERETEEE.CP" w:val="&lt;UNUSED&gt;"/>
    <w:docVar w:name="LW_LANGUE" w:val="HU"/>
    <w:docVar w:name="LW_LEVEL_OF_SENSITIVITY" w:val="Standard treatment"/>
    <w:docVar w:name="LW_NOM.INST" w:val="EURÓPAI BIZOTTSÁG"/>
    <w:docVar w:name="LW_NOM.INST_JOINTDOC" w:val="&lt;EMPTY&gt;"/>
    <w:docVar w:name="LW_PART_NBR" w:val="1"/>
    <w:docVar w:name="LW_PART_NBR_TOTAL" w:val="1"/>
    <w:docVar w:name="LW_REF.II.NEW.CP" w:val="BUD"/>
    <w:docVar w:name="LW_REF.II.NEW.CP_NUMBER" w:val="0226"/>
    <w:docVar w:name="LW_REF.II.NEW.CP_YEAR" w:val="2024"/>
    <w:docVar w:name="LW_REF.INST.NEW" w:val="COM"/>
    <w:docVar w:name="LW_REF.INST.NEW_ADOPTED" w:val="final"/>
    <w:docVar w:name="LW_REF.INST.NEW_TEXT" w:val="(2024) 275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Javaslat"/>
    <w:docVar w:name="LW_SUPERTITRE" w:val="&lt;UNUSED&gt;"/>
    <w:docVar w:name="LW_TITRE.OBJ.CP" w:val="az elbocsátott munkavállalók támogatását szolgáló Európai Globalizációs Alkalmazkodási Alapnak Belgium EGF/2024/001 BE/Match-Smatch referenciaszámú kérelme nyomán történ\u337? igénybevételér\u337?l"/>
    <w:docVar w:name="LW_TYPE.DOC.CP" w:val="AZ EURÓPAI PARLAMENT ÉS A TANÁCS HATÁROZATA"/>
    <w:docVar w:name="LwApiVersions" w:val="LW4CoDe 1.24.5.0; LW 9.0, Build 20240221"/>
  </w:docVars>
  <w:rsids>
    <w:rsidRoot w:val="00252AC6"/>
    <w:rsid w:val="000066CA"/>
    <w:rsid w:val="00006E8C"/>
    <w:rsid w:val="00011051"/>
    <w:rsid w:val="000171CA"/>
    <w:rsid w:val="00020052"/>
    <w:rsid w:val="00037F6F"/>
    <w:rsid w:val="000402F3"/>
    <w:rsid w:val="000438A8"/>
    <w:rsid w:val="000472AF"/>
    <w:rsid w:val="000510EB"/>
    <w:rsid w:val="00056F4C"/>
    <w:rsid w:val="00057D89"/>
    <w:rsid w:val="00067B4B"/>
    <w:rsid w:val="000706E6"/>
    <w:rsid w:val="00070D05"/>
    <w:rsid w:val="00070E8E"/>
    <w:rsid w:val="00073C68"/>
    <w:rsid w:val="00077BDB"/>
    <w:rsid w:val="00082463"/>
    <w:rsid w:val="0008396E"/>
    <w:rsid w:val="000925F4"/>
    <w:rsid w:val="00096654"/>
    <w:rsid w:val="000B1EAF"/>
    <w:rsid w:val="000C63EB"/>
    <w:rsid w:val="000C64A4"/>
    <w:rsid w:val="000D005E"/>
    <w:rsid w:val="000D0C7F"/>
    <w:rsid w:val="000D1317"/>
    <w:rsid w:val="000D6FCB"/>
    <w:rsid w:val="000E061C"/>
    <w:rsid w:val="000E0876"/>
    <w:rsid w:val="000E461A"/>
    <w:rsid w:val="000E4A97"/>
    <w:rsid w:val="000F30C9"/>
    <w:rsid w:val="00102E2A"/>
    <w:rsid w:val="0010731B"/>
    <w:rsid w:val="00112EB5"/>
    <w:rsid w:val="00125A99"/>
    <w:rsid w:val="00126B44"/>
    <w:rsid w:val="00127E00"/>
    <w:rsid w:val="00133424"/>
    <w:rsid w:val="00134EE6"/>
    <w:rsid w:val="00136567"/>
    <w:rsid w:val="001366C1"/>
    <w:rsid w:val="00142595"/>
    <w:rsid w:val="00145384"/>
    <w:rsid w:val="001509EF"/>
    <w:rsid w:val="001535C9"/>
    <w:rsid w:val="001812CD"/>
    <w:rsid w:val="00184282"/>
    <w:rsid w:val="0018741E"/>
    <w:rsid w:val="001921C1"/>
    <w:rsid w:val="00197482"/>
    <w:rsid w:val="001A25E0"/>
    <w:rsid w:val="001A56C5"/>
    <w:rsid w:val="001C7D02"/>
    <w:rsid w:val="001D4700"/>
    <w:rsid w:val="001D5AB0"/>
    <w:rsid w:val="001E353B"/>
    <w:rsid w:val="001E3B29"/>
    <w:rsid w:val="001E7960"/>
    <w:rsid w:val="001F5323"/>
    <w:rsid w:val="002060F6"/>
    <w:rsid w:val="00224842"/>
    <w:rsid w:val="00252AC6"/>
    <w:rsid w:val="0026281E"/>
    <w:rsid w:val="002644F6"/>
    <w:rsid w:val="00266EF2"/>
    <w:rsid w:val="002703A8"/>
    <w:rsid w:val="00270F9D"/>
    <w:rsid w:val="00281459"/>
    <w:rsid w:val="00284DA4"/>
    <w:rsid w:val="00295349"/>
    <w:rsid w:val="0029608B"/>
    <w:rsid w:val="00296C70"/>
    <w:rsid w:val="002A1B48"/>
    <w:rsid w:val="002A1C31"/>
    <w:rsid w:val="002A337D"/>
    <w:rsid w:val="002B481F"/>
    <w:rsid w:val="002B73EC"/>
    <w:rsid w:val="002C0C3E"/>
    <w:rsid w:val="002C51B9"/>
    <w:rsid w:val="002E17C8"/>
    <w:rsid w:val="002E476B"/>
    <w:rsid w:val="002F4D4D"/>
    <w:rsid w:val="002F548F"/>
    <w:rsid w:val="002F62E6"/>
    <w:rsid w:val="002F7B79"/>
    <w:rsid w:val="00301E61"/>
    <w:rsid w:val="00303932"/>
    <w:rsid w:val="00316F93"/>
    <w:rsid w:val="00332432"/>
    <w:rsid w:val="00335FD0"/>
    <w:rsid w:val="00341A70"/>
    <w:rsid w:val="003459D6"/>
    <w:rsid w:val="00346336"/>
    <w:rsid w:val="00352527"/>
    <w:rsid w:val="0035345D"/>
    <w:rsid w:val="003607E2"/>
    <w:rsid w:val="00367496"/>
    <w:rsid w:val="00367994"/>
    <w:rsid w:val="00372E03"/>
    <w:rsid w:val="003736CE"/>
    <w:rsid w:val="0038363B"/>
    <w:rsid w:val="00384805"/>
    <w:rsid w:val="00384E9F"/>
    <w:rsid w:val="00385115"/>
    <w:rsid w:val="00386E78"/>
    <w:rsid w:val="00387329"/>
    <w:rsid w:val="0039039E"/>
    <w:rsid w:val="00394EE8"/>
    <w:rsid w:val="0039736A"/>
    <w:rsid w:val="003A6ABD"/>
    <w:rsid w:val="003C1AC6"/>
    <w:rsid w:val="003C2969"/>
    <w:rsid w:val="003C7EFC"/>
    <w:rsid w:val="003D0D69"/>
    <w:rsid w:val="003D4C12"/>
    <w:rsid w:val="003D6403"/>
    <w:rsid w:val="003E3994"/>
    <w:rsid w:val="003E4E03"/>
    <w:rsid w:val="003F1545"/>
    <w:rsid w:val="00400A1E"/>
    <w:rsid w:val="00413611"/>
    <w:rsid w:val="004219BC"/>
    <w:rsid w:val="00427205"/>
    <w:rsid w:val="00434B1C"/>
    <w:rsid w:val="00436F16"/>
    <w:rsid w:val="00440384"/>
    <w:rsid w:val="00441C9E"/>
    <w:rsid w:val="00451F84"/>
    <w:rsid w:val="00453094"/>
    <w:rsid w:val="004545BE"/>
    <w:rsid w:val="00454DE2"/>
    <w:rsid w:val="00456F51"/>
    <w:rsid w:val="00460CAB"/>
    <w:rsid w:val="00476A52"/>
    <w:rsid w:val="00482329"/>
    <w:rsid w:val="004830C1"/>
    <w:rsid w:val="004861DA"/>
    <w:rsid w:val="004960B2"/>
    <w:rsid w:val="004A0D82"/>
    <w:rsid w:val="004B193D"/>
    <w:rsid w:val="004B2CF6"/>
    <w:rsid w:val="004B7137"/>
    <w:rsid w:val="004C0989"/>
    <w:rsid w:val="004D0CA9"/>
    <w:rsid w:val="004D4359"/>
    <w:rsid w:val="004D7E25"/>
    <w:rsid w:val="004E2487"/>
    <w:rsid w:val="004F07A5"/>
    <w:rsid w:val="005013C0"/>
    <w:rsid w:val="00502763"/>
    <w:rsid w:val="00504633"/>
    <w:rsid w:val="00506C72"/>
    <w:rsid w:val="00510966"/>
    <w:rsid w:val="00511891"/>
    <w:rsid w:val="00511F57"/>
    <w:rsid w:val="00513C7E"/>
    <w:rsid w:val="00517C37"/>
    <w:rsid w:val="00532CC9"/>
    <w:rsid w:val="005364ED"/>
    <w:rsid w:val="00537099"/>
    <w:rsid w:val="00537682"/>
    <w:rsid w:val="005438CD"/>
    <w:rsid w:val="0054531D"/>
    <w:rsid w:val="005508D4"/>
    <w:rsid w:val="005526C6"/>
    <w:rsid w:val="0055343F"/>
    <w:rsid w:val="0055545C"/>
    <w:rsid w:val="0056136C"/>
    <w:rsid w:val="00570056"/>
    <w:rsid w:val="00570E40"/>
    <w:rsid w:val="00571FD0"/>
    <w:rsid w:val="00576FF3"/>
    <w:rsid w:val="00582067"/>
    <w:rsid w:val="005874F7"/>
    <w:rsid w:val="005907AE"/>
    <w:rsid w:val="005917E9"/>
    <w:rsid w:val="00596F33"/>
    <w:rsid w:val="00597B96"/>
    <w:rsid w:val="005A5843"/>
    <w:rsid w:val="005A7BD5"/>
    <w:rsid w:val="005A7C9D"/>
    <w:rsid w:val="005C2354"/>
    <w:rsid w:val="005C2CA5"/>
    <w:rsid w:val="005C364A"/>
    <w:rsid w:val="005D57B7"/>
    <w:rsid w:val="005D7338"/>
    <w:rsid w:val="005D7EC5"/>
    <w:rsid w:val="005E1B21"/>
    <w:rsid w:val="005E38AF"/>
    <w:rsid w:val="005F0673"/>
    <w:rsid w:val="00601B62"/>
    <w:rsid w:val="00604BFF"/>
    <w:rsid w:val="00605110"/>
    <w:rsid w:val="00607321"/>
    <w:rsid w:val="00613A0B"/>
    <w:rsid w:val="006203F2"/>
    <w:rsid w:val="006271C7"/>
    <w:rsid w:val="0063277E"/>
    <w:rsid w:val="00640DB0"/>
    <w:rsid w:val="00675985"/>
    <w:rsid w:val="00676AC9"/>
    <w:rsid w:val="00683D73"/>
    <w:rsid w:val="006845C3"/>
    <w:rsid w:val="006A49CB"/>
    <w:rsid w:val="006B3709"/>
    <w:rsid w:val="006C2060"/>
    <w:rsid w:val="006D0A1A"/>
    <w:rsid w:val="006E0ACC"/>
    <w:rsid w:val="006E2FBA"/>
    <w:rsid w:val="006E793E"/>
    <w:rsid w:val="006F2B86"/>
    <w:rsid w:val="006F75D8"/>
    <w:rsid w:val="007039B7"/>
    <w:rsid w:val="00703A76"/>
    <w:rsid w:val="0071093F"/>
    <w:rsid w:val="00710AB0"/>
    <w:rsid w:val="007152E9"/>
    <w:rsid w:val="00715F80"/>
    <w:rsid w:val="00717407"/>
    <w:rsid w:val="00717FE5"/>
    <w:rsid w:val="007244BC"/>
    <w:rsid w:val="00727100"/>
    <w:rsid w:val="00730D6A"/>
    <w:rsid w:val="00733000"/>
    <w:rsid w:val="0074376F"/>
    <w:rsid w:val="00744A06"/>
    <w:rsid w:val="0075392B"/>
    <w:rsid w:val="00754065"/>
    <w:rsid w:val="00754075"/>
    <w:rsid w:val="00754B53"/>
    <w:rsid w:val="00755E62"/>
    <w:rsid w:val="007716D4"/>
    <w:rsid w:val="0077197F"/>
    <w:rsid w:val="00771E89"/>
    <w:rsid w:val="00772C02"/>
    <w:rsid w:val="00774F5C"/>
    <w:rsid w:val="00775C7F"/>
    <w:rsid w:val="00780384"/>
    <w:rsid w:val="0078515E"/>
    <w:rsid w:val="007923A7"/>
    <w:rsid w:val="0079619E"/>
    <w:rsid w:val="007B3192"/>
    <w:rsid w:val="007C346E"/>
    <w:rsid w:val="007C4649"/>
    <w:rsid w:val="007D0A0E"/>
    <w:rsid w:val="007D178B"/>
    <w:rsid w:val="007D38CD"/>
    <w:rsid w:val="007E107D"/>
    <w:rsid w:val="007E5A41"/>
    <w:rsid w:val="007E5A76"/>
    <w:rsid w:val="007F177C"/>
    <w:rsid w:val="007F3271"/>
    <w:rsid w:val="007F59AB"/>
    <w:rsid w:val="00800AF6"/>
    <w:rsid w:val="00805CF8"/>
    <w:rsid w:val="00812C24"/>
    <w:rsid w:val="00820AD0"/>
    <w:rsid w:val="008238DD"/>
    <w:rsid w:val="00824671"/>
    <w:rsid w:val="008260B7"/>
    <w:rsid w:val="00827942"/>
    <w:rsid w:val="00830AA3"/>
    <w:rsid w:val="008516EA"/>
    <w:rsid w:val="00851CE7"/>
    <w:rsid w:val="00856A5A"/>
    <w:rsid w:val="0085780D"/>
    <w:rsid w:val="008672FE"/>
    <w:rsid w:val="008675A2"/>
    <w:rsid w:val="00872D5A"/>
    <w:rsid w:val="00877878"/>
    <w:rsid w:val="00886F23"/>
    <w:rsid w:val="008960FA"/>
    <w:rsid w:val="0089670E"/>
    <w:rsid w:val="008A0068"/>
    <w:rsid w:val="008A7BAA"/>
    <w:rsid w:val="008B5BC0"/>
    <w:rsid w:val="008C3DFF"/>
    <w:rsid w:val="008D41C8"/>
    <w:rsid w:val="008E40F9"/>
    <w:rsid w:val="008E4808"/>
    <w:rsid w:val="008E5881"/>
    <w:rsid w:val="008E5E59"/>
    <w:rsid w:val="008E6F7B"/>
    <w:rsid w:val="008F0E6D"/>
    <w:rsid w:val="009039A4"/>
    <w:rsid w:val="009139A7"/>
    <w:rsid w:val="00923CDE"/>
    <w:rsid w:val="00930A7F"/>
    <w:rsid w:val="00930B53"/>
    <w:rsid w:val="009339C7"/>
    <w:rsid w:val="00934FF5"/>
    <w:rsid w:val="00942E1E"/>
    <w:rsid w:val="00953263"/>
    <w:rsid w:val="00954359"/>
    <w:rsid w:val="00956F9D"/>
    <w:rsid w:val="009610D2"/>
    <w:rsid w:val="0096450A"/>
    <w:rsid w:val="0097092E"/>
    <w:rsid w:val="00973290"/>
    <w:rsid w:val="00973296"/>
    <w:rsid w:val="009733A7"/>
    <w:rsid w:val="00973FFF"/>
    <w:rsid w:val="00982C7F"/>
    <w:rsid w:val="00983904"/>
    <w:rsid w:val="0098522C"/>
    <w:rsid w:val="00990036"/>
    <w:rsid w:val="009931C9"/>
    <w:rsid w:val="009961C7"/>
    <w:rsid w:val="00997428"/>
    <w:rsid w:val="009C5E9F"/>
    <w:rsid w:val="009D0554"/>
    <w:rsid w:val="009D6A3D"/>
    <w:rsid w:val="009F3686"/>
    <w:rsid w:val="009F55D5"/>
    <w:rsid w:val="00A0108B"/>
    <w:rsid w:val="00A115E6"/>
    <w:rsid w:val="00A164F2"/>
    <w:rsid w:val="00A31F0E"/>
    <w:rsid w:val="00A43A82"/>
    <w:rsid w:val="00A515C9"/>
    <w:rsid w:val="00A54DB0"/>
    <w:rsid w:val="00A555F7"/>
    <w:rsid w:val="00A56F9D"/>
    <w:rsid w:val="00A60360"/>
    <w:rsid w:val="00A77488"/>
    <w:rsid w:val="00A77E9F"/>
    <w:rsid w:val="00A82F6E"/>
    <w:rsid w:val="00A91556"/>
    <w:rsid w:val="00A96B55"/>
    <w:rsid w:val="00A96CA6"/>
    <w:rsid w:val="00AA44A5"/>
    <w:rsid w:val="00AA6AA1"/>
    <w:rsid w:val="00AB691F"/>
    <w:rsid w:val="00AC0761"/>
    <w:rsid w:val="00AD120E"/>
    <w:rsid w:val="00AD571F"/>
    <w:rsid w:val="00AE1620"/>
    <w:rsid w:val="00AE76F3"/>
    <w:rsid w:val="00AF17EF"/>
    <w:rsid w:val="00AF3638"/>
    <w:rsid w:val="00B0059D"/>
    <w:rsid w:val="00B00857"/>
    <w:rsid w:val="00B01214"/>
    <w:rsid w:val="00B05929"/>
    <w:rsid w:val="00B10386"/>
    <w:rsid w:val="00B108EF"/>
    <w:rsid w:val="00B179E6"/>
    <w:rsid w:val="00B24BEA"/>
    <w:rsid w:val="00B2710F"/>
    <w:rsid w:val="00B43DF2"/>
    <w:rsid w:val="00B46294"/>
    <w:rsid w:val="00B50955"/>
    <w:rsid w:val="00B5183B"/>
    <w:rsid w:val="00B57C41"/>
    <w:rsid w:val="00B619F9"/>
    <w:rsid w:val="00B62966"/>
    <w:rsid w:val="00B63126"/>
    <w:rsid w:val="00B64D66"/>
    <w:rsid w:val="00B6657B"/>
    <w:rsid w:val="00B70829"/>
    <w:rsid w:val="00B80404"/>
    <w:rsid w:val="00BA0D4D"/>
    <w:rsid w:val="00BB0126"/>
    <w:rsid w:val="00BB0146"/>
    <w:rsid w:val="00BB344B"/>
    <w:rsid w:val="00BB3AEC"/>
    <w:rsid w:val="00BB42D9"/>
    <w:rsid w:val="00BC55F7"/>
    <w:rsid w:val="00BC65F3"/>
    <w:rsid w:val="00BC692C"/>
    <w:rsid w:val="00BD1C02"/>
    <w:rsid w:val="00BD3524"/>
    <w:rsid w:val="00BD3840"/>
    <w:rsid w:val="00BD4FB6"/>
    <w:rsid w:val="00BE3A22"/>
    <w:rsid w:val="00C10A0D"/>
    <w:rsid w:val="00C12C80"/>
    <w:rsid w:val="00C267A9"/>
    <w:rsid w:val="00C26BAF"/>
    <w:rsid w:val="00C36E0D"/>
    <w:rsid w:val="00C370E1"/>
    <w:rsid w:val="00C3711A"/>
    <w:rsid w:val="00C438CA"/>
    <w:rsid w:val="00C4651E"/>
    <w:rsid w:val="00C5278F"/>
    <w:rsid w:val="00C57490"/>
    <w:rsid w:val="00C64C62"/>
    <w:rsid w:val="00C65AB3"/>
    <w:rsid w:val="00C71DD8"/>
    <w:rsid w:val="00C73327"/>
    <w:rsid w:val="00C812FC"/>
    <w:rsid w:val="00C8476A"/>
    <w:rsid w:val="00C861EB"/>
    <w:rsid w:val="00C87F01"/>
    <w:rsid w:val="00C92759"/>
    <w:rsid w:val="00C94123"/>
    <w:rsid w:val="00C946EF"/>
    <w:rsid w:val="00C96520"/>
    <w:rsid w:val="00CB6793"/>
    <w:rsid w:val="00CC2F97"/>
    <w:rsid w:val="00CC3C30"/>
    <w:rsid w:val="00CC51E3"/>
    <w:rsid w:val="00CD0B29"/>
    <w:rsid w:val="00CD31A0"/>
    <w:rsid w:val="00CD4A4E"/>
    <w:rsid w:val="00CD70EB"/>
    <w:rsid w:val="00CE0AF0"/>
    <w:rsid w:val="00CE3812"/>
    <w:rsid w:val="00CF531A"/>
    <w:rsid w:val="00D11675"/>
    <w:rsid w:val="00D16908"/>
    <w:rsid w:val="00D25069"/>
    <w:rsid w:val="00D36723"/>
    <w:rsid w:val="00D40096"/>
    <w:rsid w:val="00D5559A"/>
    <w:rsid w:val="00D71B77"/>
    <w:rsid w:val="00D820BE"/>
    <w:rsid w:val="00DA00E3"/>
    <w:rsid w:val="00DA0A24"/>
    <w:rsid w:val="00DA60DC"/>
    <w:rsid w:val="00DA7448"/>
    <w:rsid w:val="00DB39B6"/>
    <w:rsid w:val="00DD48D0"/>
    <w:rsid w:val="00DD74C7"/>
    <w:rsid w:val="00DE50E5"/>
    <w:rsid w:val="00DE64A3"/>
    <w:rsid w:val="00DE7FEE"/>
    <w:rsid w:val="00DF1957"/>
    <w:rsid w:val="00DF5AEA"/>
    <w:rsid w:val="00E061EC"/>
    <w:rsid w:val="00E1167F"/>
    <w:rsid w:val="00E11EAC"/>
    <w:rsid w:val="00E15271"/>
    <w:rsid w:val="00E15E2B"/>
    <w:rsid w:val="00E1631F"/>
    <w:rsid w:val="00E1756A"/>
    <w:rsid w:val="00E2235E"/>
    <w:rsid w:val="00E23A5E"/>
    <w:rsid w:val="00E26B35"/>
    <w:rsid w:val="00E4612E"/>
    <w:rsid w:val="00E53238"/>
    <w:rsid w:val="00E5392B"/>
    <w:rsid w:val="00E544E0"/>
    <w:rsid w:val="00E57CEF"/>
    <w:rsid w:val="00E673B1"/>
    <w:rsid w:val="00E76684"/>
    <w:rsid w:val="00E84E70"/>
    <w:rsid w:val="00E94A94"/>
    <w:rsid w:val="00E9660F"/>
    <w:rsid w:val="00EB3A3D"/>
    <w:rsid w:val="00EB3D4D"/>
    <w:rsid w:val="00EB5D85"/>
    <w:rsid w:val="00EC0C69"/>
    <w:rsid w:val="00EE4DD7"/>
    <w:rsid w:val="00EF380A"/>
    <w:rsid w:val="00EF6AF1"/>
    <w:rsid w:val="00F05548"/>
    <w:rsid w:val="00F060F9"/>
    <w:rsid w:val="00F10C20"/>
    <w:rsid w:val="00F241B3"/>
    <w:rsid w:val="00F24B47"/>
    <w:rsid w:val="00F25F8C"/>
    <w:rsid w:val="00F330B5"/>
    <w:rsid w:val="00F33B6E"/>
    <w:rsid w:val="00F43B03"/>
    <w:rsid w:val="00F46043"/>
    <w:rsid w:val="00F51BCD"/>
    <w:rsid w:val="00F5313C"/>
    <w:rsid w:val="00F74109"/>
    <w:rsid w:val="00F767E9"/>
    <w:rsid w:val="00F8118B"/>
    <w:rsid w:val="00F86C51"/>
    <w:rsid w:val="00F86F37"/>
    <w:rsid w:val="00F93AC5"/>
    <w:rsid w:val="00F93C61"/>
    <w:rsid w:val="00FA0572"/>
    <w:rsid w:val="00FA0755"/>
    <w:rsid w:val="00FA2F02"/>
    <w:rsid w:val="00FB3635"/>
    <w:rsid w:val="00FB3A8B"/>
    <w:rsid w:val="00FC076B"/>
    <w:rsid w:val="00FD46CB"/>
    <w:rsid w:val="00FE426A"/>
    <w:rsid w:val="00FE5B5E"/>
    <w:rsid w:val="00FF3C47"/>
    <w:rsid w:val="00FF55F7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,"/>
  <w:listSeparator w:val=";"/>
  <w15:docId w15:val="{FD28939C-0469-4D8F-BD77-41492AA6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hu-HU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252AC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52AC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52AC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52AC6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A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C6"/>
    <w:rPr>
      <w:rFonts w:ascii="Tahoma" w:hAnsi="Tahoma" w:cs="Tahoma"/>
      <w:sz w:val="16"/>
      <w:szCs w:val="16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252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AC6"/>
    <w:rPr>
      <w:rFonts w:ascii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AC6"/>
    <w:rPr>
      <w:rFonts w:ascii="Times New Roman" w:hAnsi="Times New Roman" w:cs="Times New Roman"/>
      <w:b/>
      <w:bCs/>
      <w:sz w:val="20"/>
      <w:szCs w:val="20"/>
      <w:lang w:val="hu-HU"/>
    </w:rPr>
  </w:style>
  <w:style w:type="paragraph" w:styleId="Revision">
    <w:name w:val="Revision"/>
    <w:hidden/>
    <w:uiPriority w:val="99"/>
    <w:semiHidden/>
    <w:rsid w:val="00252AC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2AC6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52AC6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252AC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52AC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52AC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52AC6"/>
    <w:pPr>
      <w:numPr>
        <w:numId w:val="10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252AC6"/>
    <w:rPr>
      <w:color w:val="0000FF" w:themeColor="hyperlink"/>
      <w:u w:val="single"/>
    </w:rPr>
  </w:style>
  <w:style w:type="paragraph" w:customStyle="1" w:styleId="Sous-titreobjet">
    <w:name w:val="Sous-titre objet"/>
    <w:basedOn w:val="Normal"/>
    <w:rsid w:val="00252AC6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  <w:rsid w:val="00252AC6"/>
  </w:style>
  <w:style w:type="character" w:customStyle="1" w:styleId="viiyi">
    <w:name w:val="viiyi"/>
    <w:basedOn w:val="DefaultParagraphFont"/>
    <w:rsid w:val="00772C02"/>
  </w:style>
  <w:style w:type="character" w:customStyle="1" w:styleId="jlqj4b">
    <w:name w:val="jlqj4b"/>
    <w:basedOn w:val="DefaultParagraphFont"/>
    <w:rsid w:val="00772C02"/>
  </w:style>
  <w:style w:type="paragraph" w:styleId="ListParagraph">
    <w:name w:val="List Paragraph"/>
    <w:basedOn w:val="Normal"/>
    <w:uiPriority w:val="34"/>
    <w:qFormat/>
    <w:rsid w:val="004219BC"/>
    <w:pPr>
      <w:spacing w:before="0" w:after="0"/>
      <w:ind w:left="720"/>
      <w:jc w:val="left"/>
    </w:pPr>
    <w:rPr>
      <w:rFonts w:ascii="Calibri" w:hAnsi="Calibri" w:cs="Calibri"/>
      <w:sz w:val="22"/>
    </w:rPr>
  </w:style>
  <w:style w:type="character" w:customStyle="1" w:styleId="rynqvb">
    <w:name w:val="rynqvb"/>
    <w:basedOn w:val="DefaultParagraphFont"/>
    <w:rsid w:val="00F25F8C"/>
  </w:style>
  <w:style w:type="character" w:styleId="FollowedHyperlink">
    <w:name w:val="FollowedHyperlink"/>
    <w:basedOn w:val="DefaultParagraphFont"/>
    <w:uiPriority w:val="99"/>
    <w:semiHidden/>
    <w:unhideWhenUsed/>
    <w:rsid w:val="00D4009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5069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607321"/>
  </w:style>
  <w:style w:type="character" w:customStyle="1" w:styleId="HeaderChar">
    <w:name w:val="Header Char"/>
    <w:basedOn w:val="DefaultParagraphFont"/>
    <w:link w:val="Header"/>
    <w:uiPriority w:val="99"/>
    <w:rsid w:val="00127E00"/>
    <w:rPr>
      <w:rFonts w:ascii="Times New Roman" w:hAnsi="Times New Roman" w:cs="Times New Roman"/>
      <w:sz w:val="24"/>
      <w:lang w:val="hu-HU"/>
    </w:rPr>
  </w:style>
  <w:style w:type="character" w:customStyle="1" w:styleId="FooterChar">
    <w:name w:val="Footer Char"/>
    <w:basedOn w:val="DefaultParagraphFont"/>
    <w:link w:val="Footer"/>
    <w:uiPriority w:val="99"/>
    <w:rsid w:val="00127E00"/>
    <w:rPr>
      <w:rFonts w:ascii="Times New Roman" w:hAnsi="Times New Roman" w:cs="Times New Roman"/>
      <w:sz w:val="24"/>
      <w:lang w:val="hu-HU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hu-HU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127E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127E00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127E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2"/>
      </w:numPr>
    </w:pPr>
  </w:style>
  <w:style w:type="paragraph" w:customStyle="1" w:styleId="Tiret1">
    <w:name w:val="Tiret 1"/>
    <w:basedOn w:val="Point1"/>
    <w:pPr>
      <w:numPr>
        <w:numId w:val="13"/>
      </w:numPr>
    </w:pPr>
  </w:style>
  <w:style w:type="paragraph" w:customStyle="1" w:styleId="Tiret2">
    <w:name w:val="Tiret 2"/>
    <w:basedOn w:val="Point2"/>
    <w:pPr>
      <w:numPr>
        <w:numId w:val="14"/>
      </w:numPr>
    </w:pPr>
  </w:style>
  <w:style w:type="paragraph" w:customStyle="1" w:styleId="Tiret3">
    <w:name w:val="Tiret 3"/>
    <w:basedOn w:val="Point3"/>
    <w:pPr>
      <w:numPr>
        <w:numId w:val="15"/>
      </w:numPr>
    </w:pPr>
  </w:style>
  <w:style w:type="paragraph" w:customStyle="1" w:styleId="Tiret4">
    <w:name w:val="Tiret 4"/>
    <w:basedOn w:val="Point4"/>
    <w:pPr>
      <w:numPr>
        <w:numId w:val="16"/>
      </w:numPr>
    </w:pPr>
  </w:style>
  <w:style w:type="paragraph" w:customStyle="1" w:styleId="Tiret5">
    <w:name w:val="Tiret 5"/>
    <w:basedOn w:val="Point5"/>
    <w:pPr>
      <w:numPr>
        <w:numId w:val="1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0"/>
      </w:numPr>
    </w:pPr>
  </w:style>
  <w:style w:type="paragraph" w:customStyle="1" w:styleId="Point1number">
    <w:name w:val="Point 1 (number)"/>
    <w:basedOn w:val="Normal"/>
    <w:pPr>
      <w:numPr>
        <w:ilvl w:val="2"/>
        <w:numId w:val="20"/>
      </w:numPr>
    </w:pPr>
  </w:style>
  <w:style w:type="paragraph" w:customStyle="1" w:styleId="Point2number">
    <w:name w:val="Point 2 (number)"/>
    <w:basedOn w:val="Normal"/>
    <w:pPr>
      <w:numPr>
        <w:ilvl w:val="4"/>
        <w:numId w:val="20"/>
      </w:numPr>
    </w:pPr>
  </w:style>
  <w:style w:type="paragraph" w:customStyle="1" w:styleId="Point3number">
    <w:name w:val="Point 3 (number)"/>
    <w:basedOn w:val="Normal"/>
    <w:pPr>
      <w:numPr>
        <w:ilvl w:val="6"/>
        <w:numId w:val="20"/>
      </w:numPr>
    </w:pPr>
  </w:style>
  <w:style w:type="paragraph" w:customStyle="1" w:styleId="Point0letter">
    <w:name w:val="Point 0 (letter)"/>
    <w:basedOn w:val="Normal"/>
    <w:pPr>
      <w:numPr>
        <w:ilvl w:val="1"/>
        <w:numId w:val="20"/>
      </w:numPr>
    </w:pPr>
  </w:style>
  <w:style w:type="paragraph" w:customStyle="1" w:styleId="Point1letter">
    <w:name w:val="Point 1 (letter)"/>
    <w:basedOn w:val="Normal"/>
    <w:pPr>
      <w:numPr>
        <w:ilvl w:val="3"/>
        <w:numId w:val="20"/>
      </w:numPr>
    </w:pPr>
  </w:style>
  <w:style w:type="paragraph" w:customStyle="1" w:styleId="Point2letter">
    <w:name w:val="Point 2 (letter)"/>
    <w:basedOn w:val="Normal"/>
    <w:pPr>
      <w:numPr>
        <w:ilvl w:val="5"/>
        <w:numId w:val="20"/>
      </w:numPr>
    </w:pPr>
  </w:style>
  <w:style w:type="paragraph" w:customStyle="1" w:styleId="Point3letter">
    <w:name w:val="Point 3 (letter)"/>
    <w:basedOn w:val="Normal"/>
    <w:pPr>
      <w:numPr>
        <w:ilvl w:val="7"/>
        <w:numId w:val="20"/>
      </w:numPr>
    </w:pPr>
  </w:style>
  <w:style w:type="paragraph" w:customStyle="1" w:styleId="Point4letter">
    <w:name w:val="Point 4 (letter)"/>
    <w:basedOn w:val="Normal"/>
    <w:pPr>
      <w:numPr>
        <w:ilvl w:val="8"/>
        <w:numId w:val="20"/>
      </w:numPr>
    </w:pPr>
  </w:style>
  <w:style w:type="paragraph" w:customStyle="1" w:styleId="Bullet0">
    <w:name w:val="Bullet 0"/>
    <w:basedOn w:val="Normal"/>
    <w:pPr>
      <w:numPr>
        <w:numId w:val="21"/>
      </w:numPr>
    </w:pPr>
  </w:style>
  <w:style w:type="paragraph" w:customStyle="1" w:styleId="Bullet1">
    <w:name w:val="Bullet 1"/>
    <w:basedOn w:val="Normal"/>
    <w:pPr>
      <w:numPr>
        <w:numId w:val="22"/>
      </w:numPr>
    </w:pPr>
  </w:style>
  <w:style w:type="paragraph" w:customStyle="1" w:styleId="Bullet2">
    <w:name w:val="Bullet 2"/>
    <w:basedOn w:val="Normal"/>
    <w:pPr>
      <w:numPr>
        <w:numId w:val="23"/>
      </w:numPr>
    </w:pPr>
  </w:style>
  <w:style w:type="paragraph" w:customStyle="1" w:styleId="Bullet3">
    <w:name w:val="Bullet 3"/>
    <w:basedOn w:val="Normal"/>
    <w:pPr>
      <w:numPr>
        <w:numId w:val="24"/>
      </w:numPr>
    </w:pPr>
  </w:style>
  <w:style w:type="paragraph" w:customStyle="1" w:styleId="Bullet4">
    <w:name w:val="Bullet 4"/>
    <w:basedOn w:val="Normal"/>
    <w:pPr>
      <w:numPr>
        <w:numId w:val="2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27E00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127E00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127E0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127E0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s://www.leforem.be/a-propos/reconversions-collectives.html" TargetMode="External"/><Relationship Id="rId3" Type="http://schemas.openxmlformats.org/officeDocument/2006/relationships/hyperlink" Target="https://statbel.fgov.be/fr/themes/emploi-formation/marche-du-travail/emploi-et-chomage" TargetMode="External"/><Relationship Id="rId7" Type="http://schemas.openxmlformats.org/officeDocument/2006/relationships/hyperlink" Target="https://eur-lex.europa.eu/legal-content/EN/TXT/?uri=celex%3A52013DC0882" TargetMode="External"/><Relationship Id="rId2" Type="http://schemas.openxmlformats.org/officeDocument/2006/relationships/hyperlink" Target="https://statbel.fgov.be/fr/themes/emploi-formation/marche-du-travail/emploi-et-chomage" TargetMode="External"/><Relationship Id="rId1" Type="http://schemas.openxmlformats.org/officeDocument/2006/relationships/hyperlink" Target="https://memorandum.comeos.be/" TargetMode="External"/><Relationship Id="rId6" Type="http://schemas.openxmlformats.org/officeDocument/2006/relationships/hyperlink" Target="https://statbel.fgov.be/fr/themes/emploi-formation/marche-du-travail/emploi-et-chomage" TargetMode="External"/><Relationship Id="rId5" Type="http://schemas.openxmlformats.org/officeDocument/2006/relationships/hyperlink" Target="https://statbel.fgov.be/fr/themes/emploi-formation/marche-du-travail/emploi-et-chomage" TargetMode="External"/><Relationship Id="rId4" Type="http://schemas.openxmlformats.org/officeDocument/2006/relationships/hyperlink" Target="https://ec.europa.eu/eurostat/statistics-explained/index.php?title=EU_labour_market_-_quarterly_statistics" TargetMode="External"/><Relationship Id="rId9" Type="http://schemas.openxmlformats.org/officeDocument/2006/relationships/hyperlink" Target="https://www.leforem.be/a-propos/reconversions-collectives.html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100471E0E84FDE40A394C615C9CF850C" ma:contentTypeVersion="0" ma:contentTypeDescription="Create a new document in this library." ma:contentTypeScope="" ma:versionID="ec3f874474660a385341d0a3ef868793">
  <xsd:schema xmlns:xsd="http://www.w3.org/2001/XMLSchema" xmlns:xs="http://www.w3.org/2001/XMLSchema" xmlns:p="http://schemas.microsoft.com/office/2006/metadata/properties" xmlns:ns2="http://schemas.microsoft.com/sharepoint/v3/fields" xmlns:ns3="e8bbf505-73b7-42a7-9437-c7a2be47f6a1" targetNamespace="http://schemas.microsoft.com/office/2006/metadata/properties" ma:root="true" ma:fieldsID="8000eaa638cf87e4708861a8efc484ca" ns2:_="" ns3:_="">
    <xsd:import namespace="http://schemas.microsoft.com/sharepoint/v3/fields"/>
    <xsd:import namespace="e8bbf505-73b7-42a7-9437-c7a2be47f6a1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f505-73b7-42a7-9437-c7a2be47f6a1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DocumentLanguage xmlns="e8bbf505-73b7-42a7-9437-c7a2be47f6a1">EN</EC_Collab_DocumentLanguage>
    <EC_Collab_Status xmlns="e8bbf505-73b7-42a7-9437-c7a2be47f6a1">Not Started</EC_Collab_Status>
    <EC_Collab_Reference xmlns="e8bbf505-73b7-42a7-9437-c7a2be47f6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1063-5954-4263-BE23-3059D35B0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D2B8F-D28B-4626-BAEF-C96BF6AF8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8bbf505-73b7-42a7-9437-c7a2be47f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19991-B6ED-45CD-B1F2-4B56ACA9E57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8bbf505-73b7-42a7-9437-c7a2be47f6a1"/>
  </ds:schemaRefs>
</ds:datastoreItem>
</file>

<file path=customXml/itemProps4.xml><?xml version="1.0" encoding="utf-8"?>
<ds:datastoreItem xmlns:ds="http://schemas.openxmlformats.org/officeDocument/2006/customXml" ds:itemID="{1950C08D-C244-4E7B-ACA3-910C5EBC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20</TotalTime>
  <Pages>10</Pages>
  <Words>4502</Words>
  <Characters>25667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27</cp:revision>
  <dcterms:created xsi:type="dcterms:W3CDTF">2024-08-18T16:13:00Z</dcterms:created>
  <dcterms:modified xsi:type="dcterms:W3CDTF">2024-09-13T07:56:00Z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6.0.1.0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6.0, Build 20171009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SJ-026</vt:lpwstr>
  </property>
  <property fmtid="{D5CDD505-2E9C-101B-9397-08002B2CF9AE}" pid="10" name="ContentTypeId">
    <vt:lpwstr>0x010100258AA79CEB83498886A3A0868112325000100471E0E84FDE40A394C615C9CF850C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2023-07-19T15:09:50Z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4044ce7e-d272-479d-8704-10b5761674c5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DQCStatus">
    <vt:lpwstr>Green (DQC version 03)</vt:lpwstr>
  </property>
  <property name="OP_sanitized" fmtid="{D5CDD505-2E9C-101B-9397-08002B2CF9AE}" pid="19">
    <vt:lpwstr>True</vt:lpwstr>
  </property>
</Properties>
</file>