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E2378" w14:textId="75FF2EB2" w:rsidR="005F4EDC" w:rsidRPr="004D53CF" w:rsidRDefault="009C6845" w:rsidP="009C6845">
      <w:pPr>
        <w:pStyle w:val="Pagedecouverture"/>
        <w:rPr>
          <w:noProof/>
        </w:rPr>
      </w:pPr>
      <w:bookmarkStart w:id="0" w:name="LW_BM_COVERPAGE"/>
      <w:r>
        <w:rPr>
          <w:noProof/>
        </w:rPr>
        <w:pict w14:anchorId="40896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5CAE1D0-BB25-46D1-B3E0-17A0AFAA8643" style="width:455.25pt;height:296.25pt">
            <v:imagedata r:id="rId8" o:title=""/>
          </v:shape>
        </w:pict>
      </w:r>
    </w:p>
    <w:bookmarkEnd w:id="0"/>
    <w:p w14:paraId="39B73C1F" w14:textId="77777777" w:rsidR="005F4EDC" w:rsidRPr="004D53CF" w:rsidRDefault="005F4EDC" w:rsidP="005F4EDC">
      <w:pPr>
        <w:rPr>
          <w:rFonts w:ascii="Times New Roman" w:hAnsi="Times New Roman" w:cs="Times New Roman"/>
          <w:noProof/>
          <w:sz w:val="24"/>
          <w:szCs w:val="24"/>
        </w:rPr>
        <w:sectPr w:rsidR="005F4EDC" w:rsidRPr="004D53CF" w:rsidSect="009C684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255ED8A" w14:textId="77777777" w:rsidR="00A70417" w:rsidRPr="004D53CF" w:rsidRDefault="00A70417" w:rsidP="00D61044">
      <w:pPr>
        <w:pStyle w:val="ListParagraph"/>
        <w:numPr>
          <w:ilvl w:val="0"/>
          <w:numId w:val="1"/>
        </w:numPr>
        <w:spacing w:after="120" w:line="240" w:lineRule="auto"/>
        <w:rPr>
          <w:rFonts w:ascii="Times New Roman" w:hAnsi="Times New Roman" w:cs="Times New Roman"/>
          <w:noProof/>
          <w:sz w:val="24"/>
          <w:szCs w:val="24"/>
          <w:u w:val="single"/>
        </w:rPr>
      </w:pPr>
      <w:bookmarkStart w:id="1" w:name="_Hlk138074336"/>
      <w:bookmarkStart w:id="2" w:name="_GoBack"/>
      <w:bookmarkEnd w:id="2"/>
      <w:r>
        <w:rPr>
          <w:rFonts w:ascii="Times New Roman" w:hAnsi="Times New Roman"/>
          <w:b/>
          <w:noProof/>
          <w:sz w:val="24"/>
          <w:u w:val="single"/>
        </w:rPr>
        <w:lastRenderedPageBreak/>
        <w:t>Bevezetés</w:t>
      </w:r>
    </w:p>
    <w:p w14:paraId="24452DFD" w14:textId="341BE5E0" w:rsidR="00E944E2" w:rsidRDefault="00A70417" w:rsidP="003A3563">
      <w:pPr>
        <w:spacing w:after="120" w:line="240" w:lineRule="auto"/>
        <w:jc w:val="both"/>
        <w:rPr>
          <w:rFonts w:ascii="Times New Roman" w:hAnsi="Times New Roman" w:cs="Times New Roman"/>
          <w:noProof/>
          <w:sz w:val="24"/>
          <w:szCs w:val="24"/>
        </w:rPr>
      </w:pPr>
      <w:r>
        <w:rPr>
          <w:rFonts w:ascii="Times New Roman" w:hAnsi="Times New Roman"/>
          <w:noProof/>
          <w:sz w:val="24"/>
        </w:rPr>
        <w:t>Az adóalap-erózióval és a nyereségátcsoportosítással foglalkozó inkluzív keret (IF-BEPS) 2021. októberi nyilatkozatának</w:t>
      </w:r>
      <w:r>
        <w:rPr>
          <w:rStyle w:val="FootnoteReference"/>
          <w:rFonts w:ascii="Times New Roman" w:hAnsi="Times New Roman" w:cs="Times New Roman"/>
          <w:noProof/>
          <w:sz w:val="24"/>
          <w:szCs w:val="24"/>
          <w:lang w:val="en-IE"/>
        </w:rPr>
        <w:footnoteReference w:id="1"/>
      </w:r>
      <w:r>
        <w:rPr>
          <w:rFonts w:ascii="Times New Roman" w:hAnsi="Times New Roman"/>
          <w:noProof/>
          <w:sz w:val="24"/>
        </w:rPr>
        <w:t xml:space="preserve"> második pillérével kapcsolatban kidolgozott, a globális adóalap-erózió elleni (GloBE) mintaszabályokat a Gazdasági Együttműködési és Fejlesztési Szervezet (OECD) 2021. december 14-én jóváhagyta, majd 2021. december 20-án közzétette</w:t>
      </w:r>
      <w:r>
        <w:rPr>
          <w:rStyle w:val="FootnoteReference"/>
          <w:rFonts w:ascii="Times New Roman" w:hAnsi="Times New Roman" w:cs="Times New Roman"/>
          <w:noProof/>
          <w:sz w:val="24"/>
          <w:szCs w:val="24"/>
          <w:lang w:val="en-IE"/>
        </w:rPr>
        <w:footnoteReference w:id="2"/>
      </w:r>
      <w:r>
        <w:rPr>
          <w:rFonts w:ascii="Times New Roman" w:hAnsi="Times New Roman"/>
          <w:noProof/>
          <w:sz w:val="24"/>
        </w:rPr>
        <w:t xml:space="preserve">. Az OECD jelenleg véglegesíti a hatósági iránymutatás egyes vonatkozásaival kapcsolatos szakértői munkát, és 2023 júliusáig tervezi lezárni az egyeztetéseket, amelyek többek között olyan témákat érintenek, mint az elismert belföldi kiegészítő adó minimális mértékével kapcsolatos mentesítés, az aluladóztatott nyereségek szabályával kapcsolatos átmeneti mentesítés és a GloBE-vel kapcsolatos adatszolgáltatás. </w:t>
      </w:r>
    </w:p>
    <w:p w14:paraId="5A1E6612" w14:textId="2FF60A17" w:rsidR="00F173FE" w:rsidRDefault="00A70417" w:rsidP="00D61044">
      <w:pPr>
        <w:spacing w:after="120" w:line="240" w:lineRule="auto"/>
        <w:jc w:val="both"/>
        <w:rPr>
          <w:rFonts w:ascii="Times New Roman" w:hAnsi="Times New Roman" w:cs="Times New Roman"/>
          <w:noProof/>
          <w:sz w:val="24"/>
          <w:szCs w:val="24"/>
        </w:rPr>
      </w:pPr>
      <w:r>
        <w:rPr>
          <w:rFonts w:ascii="Times New Roman" w:hAnsi="Times New Roman"/>
          <w:noProof/>
          <w:sz w:val="24"/>
        </w:rPr>
        <w:t>A második pillérre vonatkozó GloBE-modellszabályokat az Unióban a multinacionális vállalatcsoportokra és a nagy volumenű belföldi vállalatcsoportokra vonatkozó globális minimum-adószint biztosításáról szóló, 2022. december 15-i irányelv</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(más néven: a második pillérről szóló irányelv) ültette át az uniós jogba. A második pillérről szóló irányelv 57. cikke előírja, hogy a Bizottság 2023. június 30-ig nyújtson be jelentést a Tanácsnak a 2021. októberi nyilatkozat első pillérének végrehajtásáról. Ez a jelentés röviden áttekinti az OECD keretében az első pillérről folytatott tárgyalások aktuális állását. Mivel az első pillérrel kapcsolatos munka az OECD szintjén még folyamatban van, ez a jelentés annak értékelésére irányul, hogy megírásának időpontjában hogyan áll az első pillér végrehajtása.</w:t>
      </w:r>
    </w:p>
    <w:p w14:paraId="3926B519" w14:textId="77777777" w:rsidR="00882246" w:rsidRPr="003E5E29" w:rsidRDefault="00882246" w:rsidP="00D61044">
      <w:pPr>
        <w:spacing w:after="120" w:line="240" w:lineRule="auto"/>
        <w:contextualSpacing/>
        <w:jc w:val="both"/>
        <w:rPr>
          <w:rFonts w:ascii="Times New Roman" w:hAnsi="Times New Roman" w:cs="Times New Roman"/>
          <w:noProof/>
          <w:sz w:val="24"/>
          <w:szCs w:val="24"/>
          <w:lang w:val="en-IE"/>
        </w:rPr>
      </w:pPr>
    </w:p>
    <w:bookmarkEnd w:id="1"/>
    <w:p w14:paraId="30EF2438" w14:textId="77777777" w:rsidR="004D53CF" w:rsidRPr="004D53CF" w:rsidRDefault="004D53CF" w:rsidP="00D61044">
      <w:pPr>
        <w:pStyle w:val="ListParagraph"/>
        <w:numPr>
          <w:ilvl w:val="0"/>
          <w:numId w:val="1"/>
        </w:numPr>
        <w:spacing w:after="120" w:line="240" w:lineRule="auto"/>
        <w:rPr>
          <w:rFonts w:ascii="Times New Roman" w:hAnsi="Times New Roman" w:cs="Times New Roman"/>
          <w:b/>
          <w:bCs/>
          <w:noProof/>
          <w:sz w:val="24"/>
          <w:szCs w:val="24"/>
          <w:u w:val="single"/>
        </w:rPr>
      </w:pPr>
      <w:r>
        <w:rPr>
          <w:rFonts w:ascii="Times New Roman" w:hAnsi="Times New Roman"/>
          <w:b/>
          <w:noProof/>
          <w:sz w:val="24"/>
          <w:u w:val="single"/>
        </w:rPr>
        <w:t>Az első pillér végrehajtásának értékelése</w:t>
      </w:r>
    </w:p>
    <w:p w14:paraId="28F5C999" w14:textId="1BE3BFBD" w:rsidR="00EE7E30" w:rsidRDefault="00882246" w:rsidP="00D61044">
      <w:pPr>
        <w:spacing w:after="120" w:line="240" w:lineRule="auto"/>
        <w:jc w:val="both"/>
        <w:rPr>
          <w:rFonts w:ascii="Times New Roman" w:hAnsi="Times New Roman" w:cs="Times New Roman"/>
          <w:noProof/>
          <w:sz w:val="24"/>
          <w:szCs w:val="24"/>
        </w:rPr>
      </w:pPr>
      <w:r>
        <w:rPr>
          <w:rFonts w:ascii="Times New Roman" w:hAnsi="Times New Roman"/>
          <w:noProof/>
          <w:sz w:val="24"/>
        </w:rPr>
        <w:t>Az első pillér két fő összetevőből áll</w:t>
      </w:r>
      <w:r>
        <w:rPr>
          <w:rFonts w:ascii="Times New Roman" w:hAnsi="Times New Roman" w:cs="Times New Roman"/>
          <w:noProof/>
          <w:sz w:val="24"/>
          <w:szCs w:val="24"/>
          <w:vertAlign w:val="superscript"/>
          <w:lang w:val="en-IE"/>
        </w:rPr>
        <w:footnoteReference w:id="4"/>
      </w:r>
      <w:r>
        <w:rPr>
          <w:rFonts w:ascii="Times New Roman" w:hAnsi="Times New Roman"/>
          <w:noProof/>
          <w:sz w:val="24"/>
        </w:rPr>
        <w:t>. Az „Amount A” új adóztatási jogot teremt, amely szerint a világ legnagyobb és legnyereségesebb multinacionális vállalatai reziduális nyereségének egy részét</w:t>
      </w:r>
      <w:r>
        <w:rPr>
          <w:rStyle w:val="FootnoteReference"/>
          <w:rFonts w:ascii="Times New Roman" w:hAnsi="Times New Roman" w:cs="Times New Roman"/>
          <w:noProof/>
          <w:sz w:val="24"/>
          <w:szCs w:val="24"/>
          <w:lang w:val="en-IE"/>
        </w:rPr>
        <w:footnoteReference w:id="5"/>
      </w:r>
      <w:r>
        <w:rPr>
          <w:rFonts w:ascii="Times New Roman" w:hAnsi="Times New Roman"/>
          <w:noProof/>
          <w:sz w:val="24"/>
        </w:rPr>
        <w:t xml:space="preserve"> visszajuttatják a piaci joghatóságokhoz. Az „Amount B” pedig arra irányul, hogy egyszerűsítse és korszerűsítse a szokásos piaci ár elvének az országon belüli alapvető marketing- és forgalmazási tevékenységekre való alkalmazását</w:t>
      </w:r>
      <w:r>
        <w:rPr>
          <w:rStyle w:val="FootnoteReference"/>
          <w:rFonts w:ascii="Times New Roman" w:hAnsi="Times New Roman" w:cs="Times New Roman"/>
          <w:noProof/>
          <w:sz w:val="24"/>
          <w:szCs w:val="24"/>
          <w:lang w:val="en-IE"/>
        </w:rPr>
        <w:footnoteReference w:id="6"/>
      </w:r>
      <w:r>
        <w:rPr>
          <w:rFonts w:ascii="Times New Roman" w:hAnsi="Times New Roman"/>
          <w:noProof/>
          <w:sz w:val="24"/>
        </w:rPr>
        <w:t xml:space="preserve">. </w:t>
      </w:r>
    </w:p>
    <w:p w14:paraId="38B3DA92" w14:textId="29A9E4EF" w:rsidR="004D53CF" w:rsidRPr="004D53CF" w:rsidRDefault="00A70417" w:rsidP="00882246">
      <w:pPr>
        <w:spacing w:after="120" w:line="240" w:lineRule="auto"/>
        <w:jc w:val="both"/>
        <w:rPr>
          <w:rFonts w:ascii="Times New Roman" w:hAnsi="Times New Roman" w:cs="Times New Roman"/>
          <w:noProof/>
          <w:sz w:val="24"/>
          <w:szCs w:val="24"/>
        </w:rPr>
      </w:pPr>
      <w:r>
        <w:rPr>
          <w:rFonts w:ascii="Times New Roman" w:hAnsi="Times New Roman"/>
          <w:noProof/>
          <w:sz w:val="24"/>
        </w:rPr>
        <w:t>Az „Amount A” alapelemeiről szóló megállapodásra nagyban hatott az adóalap-erózióval és nyereségátcsoportosítással foglalkozó inkluzív keret (IF-BEPS), amint azt a 2021. októberi nyilatkozat is tükrözi. Az IF-BEPS megbízta a digitális gazdasággal foglalkozó munkacsoportot (TFDE) a szakértői munka folytatásával. Az első pillér „Amount A” összetevőjéről szóló 2022. júliusi eredményjelentés</w:t>
      </w:r>
      <w:r>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az „Amount A” következő alapelemeit határozta meg: </w:t>
      </w:r>
    </w:p>
    <w:p w14:paraId="66D4F3C5" w14:textId="0B602241"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az alkalmazási körre vonatkozó szabályok, amelyek küszöbértékei biztosítják, hogy az „Amount A” csak a nagy és rendkívül nyereséges csoportokra vonatkozzon. Ezek a szabályok kizárják az „Amount A” alkalmazási köréből azokat a bevételeket és nyereségeket, amelyek nyersanyag-kitermelő tevékenységekből és szabályozott pénzügyi szolgáltatásokból származnak;</w:t>
      </w:r>
    </w:p>
    <w:p w14:paraId="1298B984" w14:textId="730F53C8"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egy, a különleges célú nexusokra vonatkozó szabály, amely azonosítja az „Amount A” tekintetében jogosult joghatóságokat, valamint részletes bevételi szabályok, amelyek módszertant biztosítanak annak meghatározására, hogy a csoport bevételei hol keletkeznek;</w:t>
      </w:r>
    </w:p>
    <w:p w14:paraId="0811B47B" w14:textId="67187FA0"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az adóalap megállapítására vonatkozó szabályok, amelyek meghatározzák az adott csoport azon nyereségének (vagy veszteségének) kiszámítására szolgáló lépéseket, amelyet az „Amount A” kiszámításakor figyelembe vesznek;</w:t>
      </w:r>
    </w:p>
    <w:p w14:paraId="2A4576A7" w14:textId="411F6EB2"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olyan képleten alapuló nyereségfelosztási szabályok, amely a csoport árbevétel-arányos eredményének 10 %-át meghaladó nyereségének 25 %-át a jogosult piaci joghatóságokhoz rendeli, miközben figyelembe veszi azt is, ha a csoport reziduális nyeresége tekintetében adóztatási joggal rendelkező piaci joghatóságokra marketing- és forgalmazási nyereségekkel kapcsolatos mentesítési szabály vonatkozik;</w:t>
      </w:r>
    </w:p>
    <w:p w14:paraId="45E59F56" w14:textId="042981CE"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 xml:space="preserve">szabályok a kettős adóztatás elkerülésére, amely az „Amount A” és a meglévő nyereségfelosztási rendszer együttes alkalmazásából eredhet; </w:t>
      </w:r>
    </w:p>
    <w:p w14:paraId="151E88B3" w14:textId="4765741B" w:rsidR="004D53CF" w:rsidRPr="004D53CF" w:rsidRDefault="00465B50" w:rsidP="00D61044">
      <w:pPr>
        <w:pStyle w:val="ListParagraph"/>
        <w:numPr>
          <w:ilvl w:val="0"/>
          <w:numId w:val="2"/>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 xml:space="preserve">valamint az adórendszer kiszámíthatóságának biztosítása az „Amount A” összetevőre vonatkozó új szabályok és a kapcsolódó kérdések összefüggésében. </w:t>
      </w:r>
    </w:p>
    <w:p w14:paraId="4F6F086D" w14:textId="0679F818" w:rsidR="004D53CF" w:rsidRPr="004D53CF" w:rsidRDefault="004D53CF" w:rsidP="0088224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Jelenleg zajlik az a munka, amelynek során az „Amount A” összetevőre vonatkozó, a TFDE tagjai számára már elfogadhatónak tűnő szabályokat olyan rendelkezések formájában fogalmazzák meg, amelyeket egy többoldalú egyezménybe, valamint az OECD titkárság által kiadott indokolásba fognak beilleszteni. A többoldalú egyezmény megállapítja a feleknek az „Amount A” összehangolt és következetes végrehajtásával kapcsolatos jogi kötelezettségeit. Az indokolás magyarázatokat és értelmezéseket is tartalmazni fog a többoldalú egyezmény szabályaival kapcsolatban. </w:t>
      </w:r>
    </w:p>
    <w:p w14:paraId="71A32FC9" w14:textId="4DF49321" w:rsidR="004D53CF" w:rsidRPr="004D53CF" w:rsidRDefault="004D53CF" w:rsidP="0088224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 TFDE-n belüli szakértői egyeztetések még nem fejeződtek be. Az elkövetkező hetekben több ülésre is sor fog kerülni. A többoldalú egyezmény még tárgyalás alatt álló elemei közé tartoznak a következők: a kettős adóztatás megszüntetése, a marketing- és forgalmazási nyereséggel kapcsolatos mentesítési szabály, a forrásadók kezelése, a digitális szolgáltatásokra kivetett adók és más hasonló egyoldalú intézkedések felfüggesztése és leépítése, az önálló belföldi vállalkozások mentesítése és a védelmi bevételekre vonatkozó kivételszabály, valamint a hatálybalépésre vonatkozó feltétel. </w:t>
      </w:r>
    </w:p>
    <w:p w14:paraId="1CDB37E6" w14:textId="4A26CF7D" w:rsidR="006B121A" w:rsidRDefault="004D53CF" w:rsidP="0088224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Az OECD Titkárságának célja, hogy 2023. július 10–12-ig lezárja a szakértői munkát, és előterjessze az egyezményből és az indokolásból álló csomagot. Mivel a joghatóságoknak a tagállami eljárások okán több időre van szükségük a többoldalú egyezmény aláírása előtt, az aláírási szertartásra várhatóan 2023 végén kerül sor. </w:t>
      </w:r>
    </w:p>
    <w:p w14:paraId="2C7F2BF6" w14:textId="6562D55C" w:rsidR="00AC45C7" w:rsidRDefault="0099225C" w:rsidP="000863FE">
      <w:pPr>
        <w:pStyle w:val="ListParagraph"/>
        <w:spacing w:after="60" w:line="240" w:lineRule="auto"/>
        <w:ind w:left="0"/>
        <w:contextualSpacing w:val="0"/>
        <w:jc w:val="both"/>
        <w:rPr>
          <w:rFonts w:ascii="Times New Roman" w:hAnsi="Times New Roman" w:cs="Times New Roman"/>
          <w:noProof/>
          <w:sz w:val="24"/>
          <w:szCs w:val="24"/>
        </w:rPr>
      </w:pPr>
      <w:r>
        <w:rPr>
          <w:rFonts w:ascii="Times New Roman" w:hAnsi="Times New Roman"/>
          <w:noProof/>
          <w:sz w:val="24"/>
        </w:rPr>
        <w:t>Az OECD Titkársága azt is tervezi, hogy júliusban előzetes megállapodást köt az „Amount B” fő elemeiről, amelyeket azután 2023 végére lezárandó validálási folyamatnak vetnek alá. Az OECD különösen az „Amount B” alábbi elemeiről kíván megállapodásra jutni:</w:t>
      </w:r>
    </w:p>
    <w:p w14:paraId="25C63970" w14:textId="5AE8EE77" w:rsidR="00AC45C7" w:rsidRPr="00AC45C7" w:rsidRDefault="007B5DBD" w:rsidP="00D61044">
      <w:pPr>
        <w:pStyle w:val="ListParagraph"/>
        <w:numPr>
          <w:ilvl w:val="0"/>
          <w:numId w:val="3"/>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az alkalmazási kör, amellyel kapcsolatban az év végéig további munkára van szükség a kizárt tevékenységek listájának és a digitális termékekre vonatkozó árképzési módszertan megfelelőségének pontosabb meghatározása érdekében;</w:t>
      </w:r>
    </w:p>
    <w:p w14:paraId="40963296" w14:textId="35112F8F" w:rsidR="00AC45C7" w:rsidRPr="00AC45C7" w:rsidRDefault="00465B50" w:rsidP="00D61044">
      <w:pPr>
        <w:pStyle w:val="ListParagraph"/>
        <w:numPr>
          <w:ilvl w:val="0"/>
          <w:numId w:val="3"/>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az árképzési keret validálási szakaszának megnyitása, amely az év végéig tart, és amely új nyilvános konzultáció elindítását fogja maga után vonni;</w:t>
      </w:r>
    </w:p>
    <w:p w14:paraId="5D1F8779" w14:textId="6F5A631A" w:rsidR="00AC45C7" w:rsidRPr="00AC45C7" w:rsidRDefault="0076465D" w:rsidP="00D61044">
      <w:pPr>
        <w:pStyle w:val="ListParagraph"/>
        <w:numPr>
          <w:ilvl w:val="0"/>
          <w:numId w:val="3"/>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egy olyan végrehajtási keret, amelyben elismerést nyer, hogy az „Amount B” 2024 januárjában beépül az OECD transzferár-irányelveibe, és a végrehajtás három évét követően felülvizsgálatra kerül.</w:t>
      </w:r>
    </w:p>
    <w:p w14:paraId="0F9099FE" w14:textId="77777777" w:rsidR="00882246" w:rsidRPr="00D61044" w:rsidRDefault="00882246" w:rsidP="00D61044">
      <w:pPr>
        <w:spacing w:after="120" w:line="240" w:lineRule="auto"/>
        <w:rPr>
          <w:rFonts w:ascii="Times New Roman" w:hAnsi="Times New Roman" w:cs="Times New Roman"/>
          <w:noProof/>
          <w:sz w:val="24"/>
          <w:szCs w:val="24"/>
          <w:lang w:val="en-IE"/>
        </w:rPr>
      </w:pPr>
    </w:p>
    <w:p w14:paraId="39E0E28F" w14:textId="77777777" w:rsidR="004D53CF" w:rsidRPr="004D53CF" w:rsidRDefault="004D53CF" w:rsidP="00D61044">
      <w:pPr>
        <w:pStyle w:val="ListParagraph"/>
        <w:numPr>
          <w:ilvl w:val="0"/>
          <w:numId w:val="1"/>
        </w:numPr>
        <w:spacing w:after="120" w:line="240" w:lineRule="auto"/>
        <w:rPr>
          <w:rFonts w:ascii="Times New Roman" w:hAnsi="Times New Roman" w:cs="Times New Roman"/>
          <w:b/>
          <w:bCs/>
          <w:noProof/>
          <w:sz w:val="24"/>
          <w:szCs w:val="24"/>
          <w:u w:val="single"/>
        </w:rPr>
      </w:pPr>
      <w:r>
        <w:rPr>
          <w:rFonts w:ascii="Times New Roman" w:hAnsi="Times New Roman"/>
          <w:b/>
          <w:noProof/>
          <w:sz w:val="24"/>
          <w:u w:val="single"/>
        </w:rPr>
        <w:t xml:space="preserve">Következtetés </w:t>
      </w:r>
    </w:p>
    <w:p w14:paraId="053884A1" w14:textId="23E6F698" w:rsidR="004D53CF" w:rsidRPr="004D53CF" w:rsidRDefault="004D53CF" w:rsidP="00D61044">
      <w:pPr>
        <w:spacing w:after="120" w:line="240" w:lineRule="auto"/>
        <w:contextualSpacing/>
        <w:jc w:val="both"/>
        <w:rPr>
          <w:rFonts w:ascii="Times New Roman" w:hAnsi="Times New Roman" w:cs="Times New Roman"/>
          <w:noProof/>
          <w:sz w:val="24"/>
          <w:szCs w:val="24"/>
        </w:rPr>
      </w:pPr>
      <w:r>
        <w:rPr>
          <w:rFonts w:ascii="Times New Roman" w:hAnsi="Times New Roman"/>
          <w:noProof/>
          <w:sz w:val="24"/>
        </w:rPr>
        <w:t>A Bizottság üdvözli az eddig tett jelentős erőfeszítéseket és eredményeket, és az összes résztvevőt arra kéri, hogy tegyenek meg mindent azért, hogy az első pillér végrehajtása érdekében megállapodás szülessen a többoldalú egyezményről. A Bizottság határozottan támogatja az OECD Titkárságának azon szándékát, hogy véglegesítse a többoldalú egyezmény és az indokolás szövegét, és 2023 júliusában előterjessze a csomagot annak érdekében, hogy az egyezményt a lehető leghamarabb aláírhassák. Ez kiváló lehetőség arra, hogy történelmi megállapodás jöhessen létre a nemzetközi adózás területén, és lezárhassuk a 2021. októberi nyilatkozat kétpilléres megoldásával kapcsolatban zajló munkát. A Bizottság minden tőle telhetőt megtesz azért, hogy uniós szinten biztosítsa az első pillér időben történő és következetes végrehajtását.</w:t>
      </w:r>
    </w:p>
    <w:sectPr w:rsidR="004D53CF" w:rsidRPr="004D53CF" w:rsidSect="005F4ED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6FEEB" w14:textId="77777777" w:rsidR="000B2AD8" w:rsidRDefault="000B2AD8" w:rsidP="005F4EDC">
      <w:pPr>
        <w:spacing w:after="0" w:line="240" w:lineRule="auto"/>
      </w:pPr>
      <w:r>
        <w:separator/>
      </w:r>
    </w:p>
  </w:endnote>
  <w:endnote w:type="continuationSeparator" w:id="0">
    <w:p w14:paraId="2251F10A" w14:textId="77777777" w:rsidR="000B2AD8" w:rsidRDefault="000B2AD8" w:rsidP="005F4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88A3F" w14:textId="77777777" w:rsidR="009C6845" w:rsidRPr="009C6845" w:rsidRDefault="009C6845" w:rsidP="009C6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E0E3C" w14:textId="1777ECCB" w:rsidR="00B970EA" w:rsidRPr="009C6845" w:rsidRDefault="009C6845" w:rsidP="009C6845">
    <w:pPr>
      <w:pStyle w:val="FooterCoverPage"/>
      <w:rPr>
        <w:rFonts w:ascii="Arial" w:hAnsi="Arial" w:cs="Arial"/>
        <w:b/>
        <w:sz w:val="48"/>
      </w:rPr>
    </w:pPr>
    <w:r w:rsidRPr="009C6845">
      <w:rPr>
        <w:rFonts w:ascii="Arial" w:hAnsi="Arial" w:cs="Arial"/>
        <w:b/>
        <w:sz w:val="48"/>
      </w:rPr>
      <w:t>HU</w:t>
    </w:r>
    <w:r w:rsidRPr="009C6845">
      <w:rPr>
        <w:rFonts w:ascii="Arial" w:hAnsi="Arial" w:cs="Arial"/>
        <w:b/>
        <w:sz w:val="48"/>
      </w:rPr>
      <w:tab/>
    </w:r>
    <w:r w:rsidRPr="009C6845">
      <w:rPr>
        <w:rFonts w:ascii="Arial" w:hAnsi="Arial" w:cs="Arial"/>
        <w:b/>
        <w:sz w:val="48"/>
      </w:rPr>
      <w:tab/>
    </w:r>
    <w:r w:rsidRPr="009C6845">
      <w:tab/>
    </w:r>
    <w:r w:rsidRPr="009C6845">
      <w:rPr>
        <w:rFonts w:ascii="Arial" w:hAnsi="Arial" w:cs="Arial"/>
        <w:b/>
        <w:sz w:val="48"/>
      </w:rPr>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C8B45" w14:textId="77777777" w:rsidR="009C6845" w:rsidRPr="009C6845" w:rsidRDefault="009C6845" w:rsidP="009C684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510B0" w14:textId="77777777" w:rsidR="005F4EDC" w:rsidRDefault="005F4E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243496"/>
      <w:docPartObj>
        <w:docPartGallery w:val="Page Numbers (Bottom of Page)"/>
        <w:docPartUnique/>
      </w:docPartObj>
    </w:sdtPr>
    <w:sdtEndPr>
      <w:rPr>
        <w:noProof/>
      </w:rPr>
    </w:sdtEndPr>
    <w:sdtContent>
      <w:p w14:paraId="7C8FE55B" w14:textId="063101B2" w:rsidR="008D716F" w:rsidRDefault="008D716F">
        <w:pPr>
          <w:pStyle w:val="Footer"/>
          <w:jc w:val="center"/>
        </w:pPr>
        <w:r>
          <w:fldChar w:fldCharType="begin"/>
        </w:r>
        <w:r>
          <w:instrText xml:space="preserve"> PAGE   \* MERGEFORMAT </w:instrText>
        </w:r>
        <w:r>
          <w:fldChar w:fldCharType="separate"/>
        </w:r>
        <w:r w:rsidR="009C6845">
          <w:rPr>
            <w:noProof/>
          </w:rPr>
          <w:t>1</w:t>
        </w:r>
        <w:r>
          <w:fldChar w:fldCharType="end"/>
        </w:r>
      </w:p>
    </w:sdtContent>
  </w:sdt>
  <w:p w14:paraId="35FBBFAC" w14:textId="77777777" w:rsidR="005F4EDC" w:rsidRDefault="005F4E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A08F8" w14:textId="77777777" w:rsidR="005F4EDC" w:rsidRDefault="005F4E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BE7B0" w14:textId="77777777" w:rsidR="000B2AD8" w:rsidRDefault="000B2AD8" w:rsidP="005F4EDC">
      <w:pPr>
        <w:spacing w:after="0" w:line="240" w:lineRule="auto"/>
      </w:pPr>
      <w:r>
        <w:separator/>
      </w:r>
    </w:p>
  </w:footnote>
  <w:footnote w:type="continuationSeparator" w:id="0">
    <w:p w14:paraId="2FF17FFC" w14:textId="77777777" w:rsidR="000B2AD8" w:rsidRDefault="000B2AD8" w:rsidP="005F4EDC">
      <w:pPr>
        <w:spacing w:after="0" w:line="240" w:lineRule="auto"/>
      </w:pPr>
      <w:r>
        <w:continuationSeparator/>
      </w:r>
    </w:p>
  </w:footnote>
  <w:footnote w:id="1">
    <w:p w14:paraId="2A9FA5FC" w14:textId="08D07D9F" w:rsidR="003A3563" w:rsidRPr="00D45AF0" w:rsidRDefault="003A3563">
      <w:pPr>
        <w:pStyle w:val="FootnoteText"/>
      </w:pPr>
      <w:r>
        <w:rPr>
          <w:rStyle w:val="FootnoteReference"/>
        </w:rPr>
        <w:footnoteRef/>
      </w:r>
      <w:r>
        <w:t xml:space="preserve"> </w:t>
      </w:r>
      <w:r>
        <w:rPr>
          <w:rFonts w:ascii="Times New Roman" w:hAnsi="Times New Roman"/>
        </w:rPr>
        <w:t>https://www.oecd.org/tax/beps/statement-on-a-two-pillar-solution-to-address-the-tax-challenges-arising-from-the-digitalisation-of-the-economy-october-2021.htm</w:t>
      </w:r>
    </w:p>
  </w:footnote>
  <w:footnote w:id="2">
    <w:p w14:paraId="08832328" w14:textId="77777777" w:rsidR="00A70417" w:rsidRPr="00D45AF0" w:rsidRDefault="00A70417" w:rsidP="00A7041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https://www.oecd-ilibrary.org/docserver/782bac33-en.pdf?expires=1686754557&amp;id=id&amp;accname=oid031827&amp;checksum=CA2158A15A6D3578CA5F47F381F39C5D</w:t>
      </w:r>
    </w:p>
  </w:footnote>
  <w:footnote w:id="3">
    <w:p w14:paraId="29E8779F" w14:textId="1F33C1B3" w:rsidR="00A70417" w:rsidRPr="00EE7E30" w:rsidRDefault="00A70417" w:rsidP="00EE7E30">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A Tanács (EU) 2022/2523 irányelve (2022. december 15.) az Unióban a multinacionális vállalatcsoportokra és a nagy volumenű belföldi vállalatcsoportokra vonatkozó globális minimum-adószint biztosításáról (HL L 328., 2022.12.22., 1. o.).</w:t>
      </w:r>
    </w:p>
  </w:footnote>
  <w:footnote w:id="4">
    <w:p w14:paraId="7843B26B" w14:textId="5ED30354" w:rsidR="00EE7E30" w:rsidRPr="00EE7E30" w:rsidRDefault="00EE7E30" w:rsidP="00EE7E3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További részletek az első pillérre vonatkozó tervben: https://www.oecd-ilibrary.org/docserver/beba0634-en.pdf?expires=1686754864&amp;id=id&amp;accname=oid031827&amp;checksum=514DF17DC29D8C2C6CFFDE643BFC3A6D</w:t>
      </w:r>
    </w:p>
  </w:footnote>
  <w:footnote w:id="5">
    <w:p w14:paraId="5820A9C8" w14:textId="2A3649DC" w:rsidR="00EE7E30" w:rsidRPr="00D61044" w:rsidRDefault="00EE7E30" w:rsidP="00D6104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Az „Amount A” alkalmazásában a csoport reziduális nyeresége az a nyereség, amely meghaladja a csoport árbevétel-arányos eredményének 10 %-os jövedelmezőségi küszöbét.</w:t>
      </w:r>
    </w:p>
  </w:footnote>
  <w:footnote w:id="6">
    <w:p w14:paraId="781E41AF" w14:textId="7FBC55A2" w:rsidR="00EE7E30" w:rsidRDefault="00EE7E30" w:rsidP="00D61044">
      <w:pPr>
        <w:pStyle w:val="FootnoteText"/>
        <w:jc w:val="both"/>
      </w:pPr>
      <w:r>
        <w:rPr>
          <w:rStyle w:val="FootnoteReference"/>
          <w:rFonts w:ascii="Times New Roman" w:hAnsi="Times New Roman" w:cs="Times New Roman"/>
        </w:rPr>
        <w:footnoteRef/>
      </w:r>
      <w:r>
        <w:t xml:space="preserve"> </w:t>
      </w:r>
      <w:r>
        <w:rPr>
          <w:rFonts w:ascii="Times New Roman" w:hAnsi="Times New Roman"/>
        </w:rPr>
        <w:t>A szokásos piaci ár elve az a nemzetközi szabvány, amelyet az OECD tagországai megállapodásuk szerint a transzferárak adózási célú meghatározására használnak.</w:t>
      </w:r>
    </w:p>
  </w:footnote>
  <w:footnote w:id="7">
    <w:p w14:paraId="59508F25" w14:textId="77777777" w:rsidR="004D53CF" w:rsidRPr="004D53CF" w:rsidRDefault="004D53CF" w:rsidP="004D53C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https://www.oecd.org/tax/beps/progress-report-on-amount-a-of-pillar-one-july-2022.pdf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C853" w14:textId="77777777" w:rsidR="009C6845" w:rsidRPr="009C6845" w:rsidRDefault="009C6845" w:rsidP="009C68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62A7E" w14:textId="77777777" w:rsidR="009C6845" w:rsidRPr="009C6845" w:rsidRDefault="009C6845" w:rsidP="009C684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72A49" w14:textId="77777777" w:rsidR="009C6845" w:rsidRPr="009C6845" w:rsidRDefault="009C6845" w:rsidP="009C684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2FA2C" w14:textId="77777777" w:rsidR="005F4EDC" w:rsidRDefault="005F4E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A233D" w14:textId="77777777" w:rsidR="005F4EDC" w:rsidRDefault="005F4ED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8BD38" w14:textId="77777777" w:rsidR="005F4EDC" w:rsidRDefault="005F4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0334D2"/>
    <w:multiLevelType w:val="hybridMultilevel"/>
    <w:tmpl w:val="71E039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70C45864"/>
    <w:multiLevelType w:val="hybridMultilevel"/>
    <w:tmpl w:val="6E40F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72742B39"/>
    <w:multiLevelType w:val="hybridMultilevel"/>
    <w:tmpl w:val="CE7E72D0"/>
    <w:lvl w:ilvl="0" w:tplc="229886F4">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5CAE1D0-BB25-46D1-B3E0-17A0AFAA8643"/>
    <w:docVar w:name="LW_COVERPAGE_TYPE" w:val="1"/>
    <w:docVar w:name="LW_CROSSREFERENCE" w:val="&lt;UNUSED&gt;"/>
    <w:docVar w:name="LW_DocType" w:val="NORMAL"/>
    <w:docVar w:name="LW_EMISSION" w:val="2023.6.30."/>
    <w:docVar w:name="LW_EMISSION_ISODATE" w:val="2023-06-30"/>
    <w:docVar w:name="LW_EMISSION_LOCATION" w:val="BRX"/>
    <w:docVar w:name="LW_EMISSION_PREFIX" w:val="Brüsszel, "/>
    <w:docVar w:name="LW_EMISSION_SUFFIX" w:val=" "/>
    <w:docVar w:name="LW_ID_DOCTYPE_NONLW" w:val="CP-004"/>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23) 3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z első pillérrel kapcsolatban elért eredményekről szóló jelentés"/>
    <w:docVar w:name="LW_TYPE.DOC.CP" w:val="A BIZOTTSÁG JELENTÉSE A TANÁCSNAK"/>
    <w:docVar w:name="LwApiVersions" w:val="LW4CoDe 1.23.2.0; LW 8.0, Build 20211117"/>
  </w:docVars>
  <w:rsids>
    <w:rsidRoot w:val="005F4EDC"/>
    <w:rsid w:val="00013458"/>
    <w:rsid w:val="00015AA2"/>
    <w:rsid w:val="000456A5"/>
    <w:rsid w:val="000475D9"/>
    <w:rsid w:val="000863FE"/>
    <w:rsid w:val="000871E7"/>
    <w:rsid w:val="00090A54"/>
    <w:rsid w:val="00091231"/>
    <w:rsid w:val="00096B08"/>
    <w:rsid w:val="000A2472"/>
    <w:rsid w:val="000B018D"/>
    <w:rsid w:val="000B2AD8"/>
    <w:rsid w:val="000C67A0"/>
    <w:rsid w:val="000D27CB"/>
    <w:rsid w:val="000D7DA3"/>
    <w:rsid w:val="001125EE"/>
    <w:rsid w:val="00125152"/>
    <w:rsid w:val="001352CF"/>
    <w:rsid w:val="00150AAC"/>
    <w:rsid w:val="00154630"/>
    <w:rsid w:val="00157A95"/>
    <w:rsid w:val="00186E79"/>
    <w:rsid w:val="001952F8"/>
    <w:rsid w:val="00197B3F"/>
    <w:rsid w:val="00245995"/>
    <w:rsid w:val="002515C8"/>
    <w:rsid w:val="0026582E"/>
    <w:rsid w:val="002B5C53"/>
    <w:rsid w:val="002F7861"/>
    <w:rsid w:val="00302B15"/>
    <w:rsid w:val="00311264"/>
    <w:rsid w:val="00313DAD"/>
    <w:rsid w:val="00336DFC"/>
    <w:rsid w:val="003456D7"/>
    <w:rsid w:val="00356554"/>
    <w:rsid w:val="0037330B"/>
    <w:rsid w:val="00376CBA"/>
    <w:rsid w:val="003774C9"/>
    <w:rsid w:val="00377708"/>
    <w:rsid w:val="003A3563"/>
    <w:rsid w:val="003A4FD3"/>
    <w:rsid w:val="003C7E8A"/>
    <w:rsid w:val="003E14EB"/>
    <w:rsid w:val="003E5E29"/>
    <w:rsid w:val="003F70CF"/>
    <w:rsid w:val="004160E1"/>
    <w:rsid w:val="004555DE"/>
    <w:rsid w:val="00465B50"/>
    <w:rsid w:val="00473C77"/>
    <w:rsid w:val="004D00F5"/>
    <w:rsid w:val="004D53CF"/>
    <w:rsid w:val="00513685"/>
    <w:rsid w:val="00532AA2"/>
    <w:rsid w:val="005711BB"/>
    <w:rsid w:val="00595248"/>
    <w:rsid w:val="005A61C1"/>
    <w:rsid w:val="005F4EDC"/>
    <w:rsid w:val="00601FF2"/>
    <w:rsid w:val="00634CC5"/>
    <w:rsid w:val="00653985"/>
    <w:rsid w:val="006564F2"/>
    <w:rsid w:val="00665A76"/>
    <w:rsid w:val="00671C60"/>
    <w:rsid w:val="006B121A"/>
    <w:rsid w:val="006B37BA"/>
    <w:rsid w:val="006D142B"/>
    <w:rsid w:val="00707582"/>
    <w:rsid w:val="00715C44"/>
    <w:rsid w:val="0076465D"/>
    <w:rsid w:val="00782A7A"/>
    <w:rsid w:val="007A3D87"/>
    <w:rsid w:val="007B5DBD"/>
    <w:rsid w:val="007F2DF9"/>
    <w:rsid w:val="008215C1"/>
    <w:rsid w:val="008725EA"/>
    <w:rsid w:val="00882246"/>
    <w:rsid w:val="008A1707"/>
    <w:rsid w:val="008D716F"/>
    <w:rsid w:val="00945F87"/>
    <w:rsid w:val="00966E42"/>
    <w:rsid w:val="00990C31"/>
    <w:rsid w:val="0099225C"/>
    <w:rsid w:val="00997D8B"/>
    <w:rsid w:val="009A7700"/>
    <w:rsid w:val="009C4B93"/>
    <w:rsid w:val="009C6845"/>
    <w:rsid w:val="009D54C5"/>
    <w:rsid w:val="00A172E4"/>
    <w:rsid w:val="00A63C3E"/>
    <w:rsid w:val="00A64D66"/>
    <w:rsid w:val="00A70417"/>
    <w:rsid w:val="00AC3704"/>
    <w:rsid w:val="00AC45C7"/>
    <w:rsid w:val="00B10448"/>
    <w:rsid w:val="00B20A50"/>
    <w:rsid w:val="00B24435"/>
    <w:rsid w:val="00B36C0F"/>
    <w:rsid w:val="00B4032E"/>
    <w:rsid w:val="00B643A6"/>
    <w:rsid w:val="00B86F68"/>
    <w:rsid w:val="00B92181"/>
    <w:rsid w:val="00B970EA"/>
    <w:rsid w:val="00BA5BDC"/>
    <w:rsid w:val="00BF451B"/>
    <w:rsid w:val="00C0481A"/>
    <w:rsid w:val="00C07749"/>
    <w:rsid w:val="00C37779"/>
    <w:rsid w:val="00C564C3"/>
    <w:rsid w:val="00C566AF"/>
    <w:rsid w:val="00C75955"/>
    <w:rsid w:val="00CD29F6"/>
    <w:rsid w:val="00CD36CE"/>
    <w:rsid w:val="00CE36F4"/>
    <w:rsid w:val="00D022EB"/>
    <w:rsid w:val="00D45AF0"/>
    <w:rsid w:val="00D61044"/>
    <w:rsid w:val="00D65A7B"/>
    <w:rsid w:val="00D67F3D"/>
    <w:rsid w:val="00D856A7"/>
    <w:rsid w:val="00DA015A"/>
    <w:rsid w:val="00DF1261"/>
    <w:rsid w:val="00DF19B1"/>
    <w:rsid w:val="00E65F48"/>
    <w:rsid w:val="00E944E2"/>
    <w:rsid w:val="00EA632B"/>
    <w:rsid w:val="00EB3D9B"/>
    <w:rsid w:val="00EC7C14"/>
    <w:rsid w:val="00ED088F"/>
    <w:rsid w:val="00EE5060"/>
    <w:rsid w:val="00EE7E30"/>
    <w:rsid w:val="00EF0EEB"/>
    <w:rsid w:val="00F02DDC"/>
    <w:rsid w:val="00F173FE"/>
    <w:rsid w:val="00F177AD"/>
    <w:rsid w:val="00F20B90"/>
    <w:rsid w:val="00F404BE"/>
    <w:rsid w:val="00F60582"/>
    <w:rsid w:val="00F63AF4"/>
    <w:rsid w:val="00F65BCF"/>
    <w:rsid w:val="00F74769"/>
    <w:rsid w:val="00F94B6C"/>
    <w:rsid w:val="00FB47FA"/>
    <w:rsid w:val="00FB59E1"/>
    <w:rsid w:val="00FD1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69967E"/>
  <w15:chartTrackingRefBased/>
  <w15:docId w15:val="{F911F10B-10EE-44B1-AB40-EE031619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5F4EDC"/>
    <w:rPr>
      <w:color w:val="0000FF"/>
      <w:shd w:val="clear" w:color="auto" w:fill="auto"/>
    </w:rPr>
  </w:style>
  <w:style w:type="paragraph" w:styleId="Header">
    <w:name w:val="header"/>
    <w:basedOn w:val="Normal"/>
    <w:link w:val="HeaderChar"/>
    <w:uiPriority w:val="99"/>
    <w:unhideWhenUsed/>
    <w:rsid w:val="005F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EDC"/>
  </w:style>
  <w:style w:type="paragraph" w:styleId="Footer">
    <w:name w:val="footer"/>
    <w:basedOn w:val="Normal"/>
    <w:link w:val="FooterChar"/>
    <w:uiPriority w:val="99"/>
    <w:unhideWhenUsed/>
    <w:rsid w:val="005F4E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EDC"/>
  </w:style>
  <w:style w:type="paragraph" w:customStyle="1" w:styleId="Pagedecouverture">
    <w:name w:val="Page de couverture"/>
    <w:basedOn w:val="Normal"/>
    <w:next w:val="Normal"/>
    <w:rsid w:val="005F4ED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5F4ED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F4EDC"/>
    <w:rPr>
      <w:rFonts w:ascii="Times New Roman" w:hAnsi="Times New Roman" w:cs="Times New Roman"/>
      <w:sz w:val="24"/>
    </w:rPr>
  </w:style>
  <w:style w:type="paragraph" w:customStyle="1" w:styleId="FooterSensitivity">
    <w:name w:val="Footer Sensitivity"/>
    <w:basedOn w:val="Normal"/>
    <w:link w:val="FooterSensitivityChar"/>
    <w:rsid w:val="005F4ED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F4EDC"/>
    <w:rPr>
      <w:rFonts w:ascii="Times New Roman" w:hAnsi="Times New Roman" w:cs="Times New Roman"/>
      <w:b/>
      <w:sz w:val="32"/>
    </w:rPr>
  </w:style>
  <w:style w:type="paragraph" w:customStyle="1" w:styleId="HeaderCoverPage">
    <w:name w:val="Header Cover Page"/>
    <w:basedOn w:val="Normal"/>
    <w:link w:val="HeaderCoverPageChar"/>
    <w:rsid w:val="005F4ED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F4EDC"/>
    <w:rPr>
      <w:rFonts w:ascii="Times New Roman" w:hAnsi="Times New Roman" w:cs="Times New Roman"/>
      <w:sz w:val="24"/>
    </w:rPr>
  </w:style>
  <w:style w:type="paragraph" w:customStyle="1" w:styleId="HeaderSensitivity">
    <w:name w:val="Header Sensitivity"/>
    <w:basedOn w:val="Normal"/>
    <w:link w:val="HeaderSensitivityChar"/>
    <w:rsid w:val="005F4ED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F4EDC"/>
    <w:rPr>
      <w:rFonts w:ascii="Times New Roman" w:hAnsi="Times New Roman" w:cs="Times New Roman"/>
      <w:b/>
      <w:sz w:val="32"/>
    </w:rPr>
  </w:style>
  <w:style w:type="paragraph" w:customStyle="1" w:styleId="HeaderSensitivityRight">
    <w:name w:val="Header Sensitivity Right"/>
    <w:basedOn w:val="Normal"/>
    <w:link w:val="HeaderSensitivityRightChar"/>
    <w:rsid w:val="005F4ED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F4EDC"/>
    <w:rPr>
      <w:rFonts w:ascii="Times New Roman" w:hAnsi="Times New Roman" w:cs="Times New Roman"/>
      <w:sz w:val="28"/>
    </w:rPr>
  </w:style>
  <w:style w:type="paragraph" w:styleId="CommentText">
    <w:name w:val="annotation text"/>
    <w:basedOn w:val="Normal"/>
    <w:link w:val="CommentTextChar"/>
    <w:uiPriority w:val="99"/>
    <w:semiHidden/>
    <w:unhideWhenUsed/>
    <w:rsid w:val="004D53CF"/>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4D53CF"/>
    <w:rPr>
      <w:sz w:val="20"/>
      <w:szCs w:val="20"/>
      <w:lang w:val="hu-HU"/>
    </w:rPr>
  </w:style>
  <w:style w:type="paragraph" w:styleId="ListParagraph">
    <w:name w:val="List Paragraph"/>
    <w:basedOn w:val="Normal"/>
    <w:uiPriority w:val="34"/>
    <w:qFormat/>
    <w:rsid w:val="004D53CF"/>
    <w:pPr>
      <w:spacing w:after="160" w:line="259" w:lineRule="auto"/>
      <w:ind w:left="720"/>
      <w:contextualSpacing/>
    </w:pPr>
  </w:style>
  <w:style w:type="paragraph" w:styleId="FootnoteText">
    <w:name w:val="footnote text"/>
    <w:basedOn w:val="Normal"/>
    <w:link w:val="FootnoteTextChar"/>
    <w:uiPriority w:val="99"/>
    <w:semiHidden/>
    <w:unhideWhenUsed/>
    <w:rsid w:val="004D53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53CF"/>
    <w:rPr>
      <w:sz w:val="20"/>
      <w:szCs w:val="20"/>
      <w:lang w:val="hu-HU"/>
    </w:rPr>
  </w:style>
  <w:style w:type="character" w:styleId="FootnoteReference">
    <w:name w:val="footnote reference"/>
    <w:basedOn w:val="DefaultParagraphFont"/>
    <w:uiPriority w:val="99"/>
    <w:semiHidden/>
    <w:unhideWhenUsed/>
    <w:rsid w:val="004D53CF"/>
    <w:rPr>
      <w:vertAlign w:val="superscript"/>
    </w:rPr>
  </w:style>
  <w:style w:type="character" w:styleId="CommentReference">
    <w:name w:val="annotation reference"/>
    <w:basedOn w:val="DefaultParagraphFont"/>
    <w:uiPriority w:val="99"/>
    <w:semiHidden/>
    <w:unhideWhenUsed/>
    <w:rsid w:val="00B24435"/>
    <w:rPr>
      <w:sz w:val="16"/>
      <w:szCs w:val="16"/>
    </w:rPr>
  </w:style>
  <w:style w:type="paragraph" w:styleId="CommentSubject">
    <w:name w:val="annotation subject"/>
    <w:basedOn w:val="CommentText"/>
    <w:next w:val="CommentText"/>
    <w:link w:val="CommentSubjectChar"/>
    <w:uiPriority w:val="99"/>
    <w:semiHidden/>
    <w:unhideWhenUsed/>
    <w:rsid w:val="00B24435"/>
    <w:pPr>
      <w:spacing w:after="200"/>
    </w:pPr>
    <w:rPr>
      <w:b/>
      <w:bCs/>
    </w:rPr>
  </w:style>
  <w:style w:type="character" w:customStyle="1" w:styleId="CommentSubjectChar">
    <w:name w:val="Comment Subject Char"/>
    <w:basedOn w:val="CommentTextChar"/>
    <w:link w:val="CommentSubject"/>
    <w:uiPriority w:val="99"/>
    <w:semiHidden/>
    <w:rsid w:val="00B24435"/>
    <w:rPr>
      <w:b/>
      <w:bCs/>
      <w:sz w:val="20"/>
      <w:szCs w:val="20"/>
      <w:lang w:val="hu-HU"/>
    </w:rPr>
  </w:style>
  <w:style w:type="paragraph" w:styleId="Revision">
    <w:name w:val="Revision"/>
    <w:hidden/>
    <w:uiPriority w:val="99"/>
    <w:semiHidden/>
    <w:rsid w:val="00EE50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8634">
      <w:bodyDiv w:val="1"/>
      <w:marLeft w:val="0"/>
      <w:marRight w:val="0"/>
      <w:marTop w:val="0"/>
      <w:marBottom w:val="0"/>
      <w:divBdr>
        <w:top w:val="none" w:sz="0" w:space="0" w:color="auto"/>
        <w:left w:val="none" w:sz="0" w:space="0" w:color="auto"/>
        <w:bottom w:val="none" w:sz="0" w:space="0" w:color="auto"/>
        <w:right w:val="none" w:sz="0" w:space="0" w:color="auto"/>
      </w:divBdr>
    </w:div>
    <w:div w:id="199776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898BE-279D-42F9-BF57-AF20A3EA9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891</Words>
  <Characters>6249</Characters>
  <Application>Microsoft Office Word</Application>
  <DocSecurity>0</DocSecurity>
  <Lines>96</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29</cp:revision>
  <dcterms:created xsi:type="dcterms:W3CDTF">2023-06-27T13:15:00Z</dcterms:created>
  <dcterms:modified xsi:type="dcterms:W3CDTF">2023-06-30T04:25:00Z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2023-06-14T15:23:09Z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7b09caf3-d394-4fa2-9f81-f7cacc3e4f2d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CP-004</vt:lpwstr>
  </property>
  <property fmtid="{D5CDD505-2E9C-101B-9397-08002B2CF9AE}" pid="14" name="Last edited using">
    <vt:lpwstr>LW 8.1, Build 20230124</vt:lpwstr>
  </property>
  <property fmtid="{D5CDD505-2E9C-101B-9397-08002B2CF9AE}" pid="15" name="Created using">
    <vt:lpwstr>LW 9.0, Build 20230317</vt:lpwstr>
  </property>
  <property name="OP_sanitized" fmtid="{D5CDD505-2E9C-101B-9397-08002B2CF9AE}" pid="16">
    <vt:lpwstr>True</vt:lpwstr>
  </property>
</Properties>
</file>