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DB" w:rsidRDefault="001D0A9B" w:rsidP="001D0A9B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D8D22FB3-0375-4F36-B18D-B6304432060F" style="width:455.25pt;height:426.75pt">
            <v:imagedata r:id="rId6" o:title=""/>
          </v:shape>
        </w:pict>
      </w:r>
    </w:p>
    <w:bookmarkEnd w:id="0"/>
    <w:p w:rsidR="005545DB" w:rsidRDefault="005545DB" w:rsidP="005545DB">
      <w:pPr>
        <w:rPr>
          <w:noProof/>
        </w:rPr>
        <w:sectPr w:rsidR="005545DB" w:rsidSect="001D0A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lastRenderedPageBreak/>
              <w:t>Vezetői összefoglaló</w:t>
            </w:r>
          </w:p>
        </w:tc>
      </w:tr>
      <w:tr w:rsidR="00FB60AA" w:rsidRPr="00FB60AA" w:rsidTr="005134E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>A fenntartható vállalatirányításról szóló irányelvre vonatkozó javaslat hatásvizsgálata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A. A fellépés szükségessége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0E0E0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Mi a probléma lényege, és miért jelent problémát uniós szinten?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 fő kezelendő probléma szerint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meg kell erősíteni a vállalatirányítás és a vállalatirányítási rendszerek fenntarthatóságát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; ennek két dimenziója van: 1.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az érdekelt felek érdekei és az érdekelt felekkel kapcsolatos, a vállalatot érintő (fenntarthatósági) kockázatok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nem kapnak kellő figyelmet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 vállalati kockázatkezelési rendszerekben és a kapcsolódó döntések során; 2. a vállalatok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nem enyhítik kellő mértékben a káros emberi jogi és környezeti hatásaikat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, és nem rendelkeznek megfelelő irányítással, irányítási rendszerekkel és intézkedésekkel a káros hatásaik mérséklésére. </w:t>
            </w:r>
            <w:r>
              <w:rPr>
                <w:rFonts w:ascii="Times New Roman" w:hAnsi="Times New Roman"/>
                <w:bCs/>
                <w:noProof/>
                <w:sz w:val="24"/>
                <w:szCs w:val="20"/>
              </w:rPr>
              <w:t>A problémák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0"/>
              </w:rPr>
              <w:t xml:space="preserve"> kiváltó okai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között a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0"/>
              </w:rPr>
              <w:t>piaci hiányosságok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– így például az, hogy a vállalatok és az igazgatók a rövid távú célokat helyezik előtérbe –, valamint az eltérő és nem egyértelmű nemzeti szabályokból (ideértve a kidolgozás alatt álló szabályokat is) és a nem hatékony, önkéntes alapon működő keretrendszerekből eredő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0"/>
              </w:rPr>
              <w:t>szabályozási hiányosságok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említhetők. A probléma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uniós léptékű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, mivel a vállalatok és a befektetők határokon átnyúlóan működnek, az ellátási láncok transznacionálisak, az azonosított piaci hiányosságok pedig rendszerszintűek. A probléma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idővel várhatóan súlyosbodni fog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: a kockázatok azonosítása és a tudatosság várhatóan javulni fog, a változás azonban valószínűleg nem lesz kellően gyors, egyenletes, rendszerszintű és széles körű.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Mit kellene elérni?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Az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általános célkitűzés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az, hogy a fenntartható gazdaságra való átállás elősegítése érdekében hatékonyabban kiaknázzuk az egységes piacban rejlő lehetőségeket, valamint hogy előmozdítsuk a fenntartható értékteremtést, és hosszú távon javítsuk az uniós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vállalatok teljesítményét és rezilienciáját. Az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egyedi célkitűzések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>a következők: tisztázni kell, hogy az igazgatóknak milyen elvárásoknak kell megfelelniük ahhoz, hogy eleget tegyenek a vállalat érdekében történő eljárással kapcsolatos kötelezettségüknek; elő kell segíteni a fenntarthatósági kockázatok és hatások vállalati kockázatkezelésbe való integrálását; növelni kell a kedvezőtlen hatások azonosításával, megelőzésével és enyhítésével kapcsolatos elszámoltathatóságot, az értékláncokban is; javítani kell a jogorvoslathoz való hozzáférést; javítani kell a vállalatirányítási gyakorlatokat annak érdekében, hogy a fenntarthatóság hatékonyabban integrálásra kerüljön az igazgatók és a vállalatok döntéshozatalába.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Milyen többletértéket képvisel az uniós szintű fellépés (szubszidiaritás)?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 probléma uniós/globális dimenziója miatt a tagállamok egyéni fellépése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nem valósítaná meg kielégítően a célkitűzéseket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>. Az uniós szabályoknak nagyobb esélyük van arra, hogy enyhítsék a vállalatokra nehezedő rövid távú nyomást. Az új uniós szabályok a meglévő uniós vállalatirányítási keretre épülnének. Az uniós beavatkozással biztosítható az EU határozott globális fellépése.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B. Megoldások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Milyen alternatívák kínálkoznak a célok elérésére?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Van-e előnyben részesített alternatíva? Amennyiben nincs, miért nincs?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Elsősorban a vállalati átvilágítási kötelezettség és az igazgatók kötelezettségei tekintetében került sor az alternatívák mérlegelésére. A nem szabályozási jellegű lehetőségeket elvetették, mivel azok nem bizonyultak hatékonynak és eredményesnek. Az átvilágítással kapcsolatban néhány szabályozási lehetőséget is elvetettek (például azt, hogy a kötelezettségek vagy a felelősség az értéklánc első szintjére korlátozódjon), mert azok nem voltak hatékonyak. A megtartott lehetőségek az általános megközelítés (ágazati – horizontális) és a személyi hatály tekintetében eltérőek. 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javaslat az előnyben részesített, egymást kiegészítő alternatívák csomagját tartalmazza.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Ami 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vállalati átvilágítást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illeti, a nagyobb korlátolt felelősségű tőkeegyesítő társaságok esetében horizontális átvilágítási kötelezettség bevezetésére kerülne sor (melyet a munkavállalók létszámára és az árbevételre vonatkozó két lehetséges alternatív feltételrendszer alapján határoznának meg), továbbá egy olyan egyszerűsített rendszer is létrejönne, amely a középvállalkozások és a közepes piaci tőkeértékű korlátolt felelősségű tőkeegyesítő vállalatok szempontjából kiemelt jelentőségű kérdéseket helyezné a középpontba azokban az ágazatokban, amelyekben nagyobb valószínűséggel jelentkeznek káros környezeti és emberi jogi hatások (nagy hatású ágazatok). Ezt a polgári jogi felelősségre és a közigazgatási végrehajtásra vonatkozó harmonizált uniós szabályok támogatnák. A rendszerbe EU-ban jelentős forgalmat bonyolító harmadik országbeli vállalatok is bevonásra kerülnek.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Az igazgatók kötelezettségei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tekintetében az előnyben részesített alternatíva valamennyi korlátolt felelősségű tőkeegyesítő társaságra vonatkozóan harmonizált módon (a nemzeti társasági jogban szabályozva) pontosítaná az igazgatók azon </w:t>
            </w:r>
            <w:r>
              <w:rPr>
                <w:rFonts w:ascii="Times New Roman" w:hAnsi="Times New Roman"/>
                <w:bCs/>
                <w:noProof/>
                <w:sz w:val="24"/>
                <w:szCs w:val="20"/>
              </w:rPr>
              <w:t>általános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kötelezettségét, hogy a vállalat érdekeit szem előtt tartva járjanak el. Ennek alapját a nagyvállalatok esetében néhány egyedi igazgatói kötelezettség jelentené (például a kockázatkezeléssel vagy az érdekelt felek bevonásával kapcsolatban), a nagy hatású középvállalkozások és a tőzsdén jegyzett kkv-k esetében pedig fokozatosan vezetnék be. A vállalati átvilágítási kötelezettséghez kapcsolódó igazgatói kötelezettségek ugyanarra a vállalatra vonatkoznak, mint az említett kötelezettség. Az 1 000 főnél több alkalmazottat foglalkoztató nagyvállalatokra további egyedi igazgatói kötelezettségek vonatkoznának a tudományosan megalapozott célkitűzéseket tartalmazó stratégiák meghatározásával kapcsolatban. Ezt kiegészítené egy olyan általános rendelkezés, amely szerint 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javadalmazásnak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lehetőleg elő kell segítenie az új szabályoknak való megfelelést, azonban azt semmilyen esetben nem akadályozhatja. </w:t>
            </w:r>
          </w:p>
        </w:tc>
      </w:tr>
      <w:tr w:rsidR="00FB60AA" w:rsidRPr="00FB60AA" w:rsidTr="005134E6">
        <w:tc>
          <w:tcPr>
            <w:tcW w:w="10490" w:type="dxa"/>
            <w:shd w:val="clear" w:color="auto" w:fill="CCCCCC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Mi az egyes érdekelt felek álláspontja? Ki melyik alternatívát támogatja? </w:t>
            </w:r>
          </w:p>
        </w:tc>
      </w:tr>
      <w:tr w:rsidR="00FB60AA" w:rsidRPr="00FB60AA" w:rsidTr="005134E6">
        <w:tc>
          <w:tcPr>
            <w:tcW w:w="10490" w:type="dxa"/>
            <w:shd w:val="clear" w:color="auto" w:fill="auto"/>
          </w:tcPr>
          <w:p w:rsidR="00FB60AA" w:rsidRPr="00FB60AA" w:rsidRDefault="00FB60AA" w:rsidP="00FB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 konzultációs tevékenységekből, különösen a nyilvános konzultáció során beérkezett közel félmillió válaszból az derült ki, hogy az uniós fellépés és a javasolt intézkedések többsége általánosságban támogatást élvez. Az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igazgatók kötelezettségeivel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kapcsolatban a legtöbb válaszadó az érdekelt felek valamennyi csoportjában elismerte, hogy a vállalatoknak és az igazgatóknak a vállalati döntések során figyelembe kell venniük az érdekelt felek érdekeit, különösen a fenntarthatóság vállalati stratégiába való integrálásával kapcsolatban; ezt leginkább a nem kormányzati szervezetek támogatták, őket pedig egyes vállalatok és a vállalkozói szövetségek követték. Utóbbiak aggodalmukat fejezték ki a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mérhető célok meghatározásával és az érdekelt felek érdekei közötti egyensúly megteremtésével kapcsolatban.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vállalati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átvilágítással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kapcsolatban a túlnyomó többség az érdekeltek valamennyi csoportjában megerősítette, hogy olyan horizontális uniós jogi keretre van szükség, amely biztosítja a harmonizációt, az egyenlő versenyfeltételeket és a jogbiztonságot. Az átvilágítási kötelezettség tartalmát illetően általános támogatottságot élvez annak ambiciózus megközelítése, az előnyben részesített alternatívával összhangban. </w:t>
            </w:r>
            <w:bookmarkStart w:id="2" w:name="_Hlk64890212"/>
            <w:r>
              <w:rPr>
                <w:rFonts w:ascii="Times New Roman" w:hAnsi="Times New Roman"/>
                <w:noProof/>
                <w:sz w:val="24"/>
                <w:szCs w:val="20"/>
              </w:rPr>
              <w:t>A kkv-k terheinek csökkentését illetően a válaszadók az olyan intézkedéseket tekintették hatékonynak, mint az eszköztárak, a nemzeti információs szolgálatok, a kapacitásépítés támogatása – a finanszírozást is beleértve – és a nem kötelező erejű iránymutatások</w:t>
            </w:r>
            <w:bookmarkEnd w:id="2"/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. Úgy tűnik, hogy a válaszadók elismerték 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javadalmazás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kiegészítő jellegét, a válaszok azonban némileg korlátozottak voltak ebben a tekintetben.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C. Az előnyben részesített alternatíva hatásai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Melyek az előnyben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részesített alternatíva (ha nincs ilyen, akkor a főbb alternatívák) előnyei?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                                  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Az előnyben részesített alternatívák csomagja lehetővé tenné a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vállalatok</w:t>
            </w:r>
            <w:r>
              <w:rPr>
                <w:rFonts w:ascii="Times New Roman" w:hAnsi="Times New Roman"/>
                <w:i/>
                <w:noProof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számára, hogy különböző tényezők mentén – például a hatékonyabb kockázatkezelés, a jobb működési hatékonyság, a költségmegtakarítások, a nagyobb reziliencia és több innováció révén – javítsák a pénzügyi teljesítményüket. Nem minden előny fog azonnal jelentkezni – lehetséges, hogy néhány csak közép- és hosszú távon válik majd nyilvánvalóvá –, és a fellépés hatálya alá tartozó vállalatok nem egyformán fogják megtapasztalni a szóban forgó előnyöket.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Az emberi jogok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– köztük a munkavállalói jogok –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és a környezet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tekintetében pozitív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hatások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várhatók, azokban a harmadik országokban is, amelyekben az ellátási láncok találhatók. Az előnyben részesített csomag hatékonyan szolgálná ezen előnyök elérését.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Milyen költségekkel jár az előnyben részesített alternatíva (ha nincs ilyen, akkor milyen költségekkel járnak a főbb alternatívák)?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                                 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EC210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>A vállalatok jogszabályi megfelelési költségei az átvilágítási folyamatok és eljárások kialakításának és működtetésének a költségeiből, valamint az átállási költségekből, azaz a vállalat saját műveleteinek és értékláncainak a kedvezőtlen hatások mérséklése érdekében történő megváltoztatásához szükséges kiadásokból és beruházásokból állnak. A nyilvános jelentéstétel többletköltségeivel csak a nagy hatású, tőzsdén nem jegyzett középvállalkozásoknak kell számolniuk, mivel rájuk nem terjed ki a fenntarthatósággal kapcsolatos vállalati beszámolásról szóló irányelvre vonatkozó bizottsági javaslat hatálya. Az érintett vállalatok számát figyelembe véve a megfelelés közvetlen költségei mintegy 500–680 millió EUR egyszeri költségre, valamint 1,72–2,37 milliárd EUR rendszeres (éves) költségre tehetők (attól függően, hogy a munkavállalói létszám/árbevétel tekintetében milyen feltételek kerülnek kiválasztásra a teljes körű átvilágítási szabályok hatálya alá tartozó nagyvállalatok meghatározásához). A kezdeményezés hatálya alá nem tartozó egyes vállalatoknál (leányvállalatoknál, értéklánc-partnereknél) – a magasabb szintekről továbbgyűrűző – közvetett költségek jelentkeznének. Az igazgatói kötelezettségek 445 millió EUR egyszeri költséggel járnak, a javadalmazással kapcsolatos költséghatás pedig elenyésző.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Milyen hatást gyakorol a fellépés a kkv-kra és a versenyképességre?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Az előnyben részesített csomag szerint a kis- és mikrovállalkozások nem tartoznak az átvilágítási intézkedések hatálya alá; a középvállalkozások és a közepes piaci tőkeértékű vállalatok csak akkor tartoznak a hatálya alá, ha különösen nagy hatású gazdasági ágazatokban működnek – esetükben a kötelezettségek célzottabbak lennének, valamint fokozatosan kerülne sor a bevezetésükre. A fent említettek szerint az értékláncok részét képező valamennyi vállalat tekintetében közvetett hatás várható; az előnyben részesített csomag ezért olyan intézkedéseket is tartalmaz, amelyek megakadályozzák, hogy a megfeleléssel kapcsolatos terhek a kkv-k formájában működő értéklánc-partnerekre háruljanak, és emellett további támogatási intézkedések is segítenek majd a kkv-k költségeinek minimalizálásában. Az előnyben részesített alternatíva összességében várhatóan javítani fogja a vállalatok rezilienciáját és hosszú távú teljesítményét (lásd az „Előnyök” című részt) – különösen közép- és hosszú távon –, és hasonló előnyökkel jár majd a gazdaság szintjén is. Mivel a költséghatás a vállalatok bevételéhez képest viszonylag alacsony, az uniós vállalatok világpiaci versenyképességét illetően nem várható jelentős negatív torzulás, és a versenyképességre gyakorolt közép- és hosszú távú hatások várhatóan pozitívak lesznek. 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Jelentős lesz-e a tagállamok költségvetésére és közigazgatására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gyakorolt hatás?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</w:p>
        </w:tc>
      </w:tr>
      <w:tr w:rsidR="00FB60AA" w:rsidRPr="00FB60AA" w:rsidTr="005134E6">
        <w:tc>
          <w:tcPr>
            <w:tcW w:w="10490" w:type="dxa"/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Az előnyben részesített alternatíva szerint a közigazgatás teljes felügyeleti költsége minden tagállamban 0,13 millió EUR egyszeri költséget és 7,86–11,2 millió EUR rendszeres éves költséget jelentene (attól függően, hogy a munkavállalói létszám/árbevétel tekintetében milyen feltételek kerülnek kiválasztásra a teljes körű átvilágítási szabályok hatálya alá tartozó nagyvállalatok meghatározásához). Ezek a számítások az átvilágítással kapcsolatos megfelelés tekintetében elvégzendő kockázatalapú felügyeleti felülvizsgálatra vonatkoznak. Az igazgatók kötelezettségei és javadalmazása tekintetében nem várhatóak további felügyeleti költségek. Ezenkívül a peres eljárásokkal kapcsolatban a tagállamoknak korlátozott mértékben további végrehajtási költségei is felmerülhetnek.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Lesznek-e egyéb jelentős hatások?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>Az értékláncok miatt a fellépés globális dimenzióval rendelkezik, ezért harmadik országok vállalataira és gazdaságaira is hatással lesz. Az emberi jogok és a környezet, valamint a helyi közösségek tekintetében pozitív hatások várhatók az érdekelt felek tudatosságának növelése, a fenntarthatósággal kapcsolatos gyakorlatok javítása, a nemzetközi szabványok fejlődő országokban történő fokozottabb elfogadása, az áldozatok jogorvoslathoz való hatékonyabb hozzáférése és a fenntartható beruházások révén. A következő negatív hatások jelentkezhetnek: a harmadik országbeli vállalatoknál megfelelési költségek merülhetnek fel, ezt követően pedig a termelők az érintett harmadik országokból ellenőrizetlen termékpiacokra költözhetnek; annak kockázata, hogy a vállalatok kevésbé kockázatos beszállítókra váltanak. Ismertetünk néhány kockázatcsökkentő intézkedést.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Arányosság?</w: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w:t xml:space="preserve">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>A javasolt intézkedések nem lépik túl a kiváltó okok kezeléséhez és a kezdeményezés célkitűzéseinek az eléréséhez szükséges mértéket. A megfelelési költségekből eredően a vállalatokra nehezedő terheket az adott vállalat méretéhez és a rendelkezésére álló erőforrásokhoz, valamint a kockázati profilhoz igazították (lásd még a kkv-kra gyakorolt, fent ismertetett hatásokat).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>D. További lépések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</w:rPr>
              <w:t xml:space="preserve">Mikor kerül sor a szakpolitikai fellépés felülvizsgálatára? </w:t>
            </w:r>
          </w:p>
        </w:tc>
      </w:tr>
      <w:tr w:rsidR="00FB60AA" w:rsidRPr="00FB60AA" w:rsidTr="005134E6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B60AA" w:rsidRPr="00FB60AA" w:rsidRDefault="00FB60AA" w:rsidP="00FB60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t>Az átültetést követő 5 év elteltével, figyelembe véve a szabályok alkalmazásához és az adatgyűjtéshez szükséges időt.</w:t>
            </w:r>
          </w:p>
        </w:tc>
      </w:tr>
    </w:tbl>
    <w:p w:rsidR="00425084" w:rsidRDefault="00425084">
      <w:pPr>
        <w:rPr>
          <w:noProof/>
        </w:rPr>
      </w:pPr>
    </w:p>
    <w:sectPr w:rsidR="00425084" w:rsidSect="005545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DB" w:rsidRDefault="005545DB" w:rsidP="005545DB">
      <w:pPr>
        <w:spacing w:after="0" w:line="240" w:lineRule="auto"/>
      </w:pPr>
      <w:r>
        <w:separator/>
      </w:r>
    </w:p>
  </w:endnote>
  <w:endnote w:type="continuationSeparator" w:id="0">
    <w:p w:rsidR="005545DB" w:rsidRDefault="005545DB" w:rsidP="0055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9B" w:rsidRPr="001D0A9B" w:rsidRDefault="001D0A9B" w:rsidP="001D0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06D" w:rsidRPr="001D0A9B" w:rsidRDefault="001D0A9B" w:rsidP="001D0A9B">
    <w:pPr>
      <w:pStyle w:val="FooterCoverPage"/>
      <w:rPr>
        <w:rFonts w:ascii="Arial" w:hAnsi="Arial" w:cs="Arial"/>
        <w:b/>
        <w:sz w:val="48"/>
      </w:rPr>
    </w:pPr>
    <w:r w:rsidRPr="001D0A9B">
      <w:rPr>
        <w:rFonts w:ascii="Arial" w:hAnsi="Arial" w:cs="Arial"/>
        <w:b/>
        <w:sz w:val="48"/>
      </w:rPr>
      <w:t>HU</w:t>
    </w:r>
    <w:r w:rsidRPr="001D0A9B">
      <w:rPr>
        <w:rFonts w:ascii="Arial" w:hAnsi="Arial" w:cs="Arial"/>
        <w:b/>
        <w:sz w:val="48"/>
      </w:rPr>
      <w:tab/>
    </w:r>
    <w:r w:rsidRPr="001D0A9B">
      <w:rPr>
        <w:rFonts w:ascii="Arial" w:hAnsi="Arial" w:cs="Arial"/>
        <w:b/>
        <w:sz w:val="48"/>
      </w:rPr>
      <w:tab/>
    </w:r>
    <w:r w:rsidRPr="001D0A9B">
      <w:tab/>
    </w:r>
    <w:r w:rsidRPr="001D0A9B"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9B" w:rsidRPr="001D0A9B" w:rsidRDefault="001D0A9B" w:rsidP="001D0A9B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DB" w:rsidRDefault="005545D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DB" w:rsidRDefault="005545D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DB" w:rsidRDefault="00554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DB" w:rsidRDefault="005545DB" w:rsidP="005545DB">
      <w:pPr>
        <w:spacing w:after="0" w:line="240" w:lineRule="auto"/>
      </w:pPr>
      <w:r>
        <w:separator/>
      </w:r>
    </w:p>
  </w:footnote>
  <w:footnote w:type="continuationSeparator" w:id="0">
    <w:p w:rsidR="005545DB" w:rsidRDefault="005545DB" w:rsidP="0055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9B" w:rsidRPr="001D0A9B" w:rsidRDefault="001D0A9B" w:rsidP="001D0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9B" w:rsidRPr="001D0A9B" w:rsidRDefault="001D0A9B" w:rsidP="001D0A9B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9B" w:rsidRPr="001D0A9B" w:rsidRDefault="001D0A9B" w:rsidP="001D0A9B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DB" w:rsidRDefault="005545D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DB" w:rsidRDefault="005545D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DB" w:rsidRDefault="00554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amely a következő dokumentumot kíséri"/>
    <w:docVar w:name="LW_CORRIGENDUM" w:val="&lt;UNUSED&gt;"/>
    <w:docVar w:name="LW_COVERPAGE_EXISTS" w:val="True"/>
    <w:docVar w:name="LW_COVERPAGE_GUID" w:val="D8D22FB3-0375-4F36-B18D-B6304432060F"/>
    <w:docVar w:name="LW_COVERPAGE_TYPE" w:val="1"/>
    <w:docVar w:name="LW_CROSSREFERENCE" w:val="{COM(2022) 71 final} - {SEC(2022) 95 final} - {SWD(2022) 38 final} - {SWD(2022) 39 final} - {SWD(2022) 42 final}"/>
    <w:docVar w:name="LW_DocType" w:val="NORMAL"/>
    <w:docVar w:name="LW_EMISSION" w:val="2022.2.23."/>
    <w:docVar w:name="LW_EMISSION_ISODATE" w:val="2022-02-23"/>
    <w:docVar w:name="LW_EMISSION_LOCATION" w:val="BRX"/>
    <w:docVar w:name="LW_EMISSION_PREFIX" w:val="Brüsszel, "/>
    <w:docVar w:name="LW_EMISSION_SUFFIX" w:val=" "/>
    <w:docVar w:name="LW_ID_DOCTYPE_NONLW" w:val="CP-027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OBJETACTEPRINCIPAL.CP" w:val="a fenntarthatósággal kapcsolatos vállalati átvilágításról és az (EU) 2019/1937 irányelv módosításáról"/>
    <w:docVar w:name="LW_PART_NBR" w:val="1"/>
    <w:docVar w:name="LW_PART_NBR_TOTAL" w:val="1"/>
    <w:docVar w:name="LW_REF.INST.NEW" w:val="SWD"/>
    <w:docVar w:name="LW_REF.INST.NEW_ADOPTED" w:val="final"/>
    <w:docVar w:name="LW_REF.INST.NEW_TEXT" w:val="(2022) 4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BIZOTTSÁGI SZOLGÁLATI MUNKADOKUMENTUM_x000b__x000b_A HATÁSVIZSGÁLATI JELENTÉS VEZETŐI ÖSSZEFOGLALÓJA_x000b_"/>
    <w:docVar w:name="LW_TYPEACTEPRINCIPAL.CP" w:val="Javaslat_x000b_AZ EURÓPAI PARLAMENT ÉS A TANÁCS IRÁNYELVE"/>
    <w:docVar w:name="LwApiVersions" w:val="LW4CoDe 1.23.2.0; LW 8.0, Build 20211117"/>
  </w:docVars>
  <w:rsids>
    <w:rsidRoot w:val="005545DB"/>
    <w:rsid w:val="0000550C"/>
    <w:rsid w:val="00007009"/>
    <w:rsid w:val="0002268C"/>
    <w:rsid w:val="000245FE"/>
    <w:rsid w:val="00036381"/>
    <w:rsid w:val="00036FA2"/>
    <w:rsid w:val="0004021B"/>
    <w:rsid w:val="00040618"/>
    <w:rsid w:val="000541C0"/>
    <w:rsid w:val="0007458C"/>
    <w:rsid w:val="00095400"/>
    <w:rsid w:val="000979A2"/>
    <w:rsid w:val="000A4040"/>
    <w:rsid w:val="000A7CBA"/>
    <w:rsid w:val="000B484B"/>
    <w:rsid w:val="000C5A29"/>
    <w:rsid w:val="000E5697"/>
    <w:rsid w:val="000E6674"/>
    <w:rsid w:val="000F1326"/>
    <w:rsid w:val="00106356"/>
    <w:rsid w:val="00111F46"/>
    <w:rsid w:val="001147F8"/>
    <w:rsid w:val="00114804"/>
    <w:rsid w:val="001154FA"/>
    <w:rsid w:val="00120C30"/>
    <w:rsid w:val="00136825"/>
    <w:rsid w:val="001472BC"/>
    <w:rsid w:val="00156867"/>
    <w:rsid w:val="001570B3"/>
    <w:rsid w:val="00171738"/>
    <w:rsid w:val="001750C7"/>
    <w:rsid w:val="00185BE7"/>
    <w:rsid w:val="00187E0E"/>
    <w:rsid w:val="00197229"/>
    <w:rsid w:val="001A0937"/>
    <w:rsid w:val="001A6096"/>
    <w:rsid w:val="001A6FC2"/>
    <w:rsid w:val="001B76B6"/>
    <w:rsid w:val="001C45F7"/>
    <w:rsid w:val="001C7BD2"/>
    <w:rsid w:val="001D0A9B"/>
    <w:rsid w:val="001D0D3B"/>
    <w:rsid w:val="001D4CB4"/>
    <w:rsid w:val="001D587B"/>
    <w:rsid w:val="001F147B"/>
    <w:rsid w:val="001F6829"/>
    <w:rsid w:val="00202620"/>
    <w:rsid w:val="00204844"/>
    <w:rsid w:val="00204CA8"/>
    <w:rsid w:val="002064FC"/>
    <w:rsid w:val="00207075"/>
    <w:rsid w:val="0021127C"/>
    <w:rsid w:val="00216D04"/>
    <w:rsid w:val="00235AA2"/>
    <w:rsid w:val="00235AE9"/>
    <w:rsid w:val="002378DF"/>
    <w:rsid w:val="002404FA"/>
    <w:rsid w:val="0024541A"/>
    <w:rsid w:val="0025656C"/>
    <w:rsid w:val="002672B1"/>
    <w:rsid w:val="00272432"/>
    <w:rsid w:val="00274322"/>
    <w:rsid w:val="00280466"/>
    <w:rsid w:val="0028061E"/>
    <w:rsid w:val="00284C99"/>
    <w:rsid w:val="00286DD2"/>
    <w:rsid w:val="00287469"/>
    <w:rsid w:val="0029344B"/>
    <w:rsid w:val="002944A1"/>
    <w:rsid w:val="002947D2"/>
    <w:rsid w:val="002A724D"/>
    <w:rsid w:val="002A74E9"/>
    <w:rsid w:val="002B1E0E"/>
    <w:rsid w:val="002B4AC8"/>
    <w:rsid w:val="002B774F"/>
    <w:rsid w:val="002C0275"/>
    <w:rsid w:val="002C5CB2"/>
    <w:rsid w:val="002C6B69"/>
    <w:rsid w:val="002C72E9"/>
    <w:rsid w:val="002D768F"/>
    <w:rsid w:val="002E1751"/>
    <w:rsid w:val="002E1A59"/>
    <w:rsid w:val="0030391D"/>
    <w:rsid w:val="0030551F"/>
    <w:rsid w:val="0031025A"/>
    <w:rsid w:val="00312EDC"/>
    <w:rsid w:val="0032091E"/>
    <w:rsid w:val="00320A7E"/>
    <w:rsid w:val="00322D4C"/>
    <w:rsid w:val="00326A59"/>
    <w:rsid w:val="00332488"/>
    <w:rsid w:val="00336FF4"/>
    <w:rsid w:val="00337B07"/>
    <w:rsid w:val="003418E8"/>
    <w:rsid w:val="00351746"/>
    <w:rsid w:val="00357901"/>
    <w:rsid w:val="00370798"/>
    <w:rsid w:val="00377ABB"/>
    <w:rsid w:val="00381CE4"/>
    <w:rsid w:val="003821CF"/>
    <w:rsid w:val="00386E81"/>
    <w:rsid w:val="0039408B"/>
    <w:rsid w:val="003944F7"/>
    <w:rsid w:val="003A16BF"/>
    <w:rsid w:val="003B7B5A"/>
    <w:rsid w:val="003C12BF"/>
    <w:rsid w:val="003C3B3D"/>
    <w:rsid w:val="003C7790"/>
    <w:rsid w:val="003D073C"/>
    <w:rsid w:val="003E1EDF"/>
    <w:rsid w:val="003E7CEE"/>
    <w:rsid w:val="003F2748"/>
    <w:rsid w:val="003F695E"/>
    <w:rsid w:val="004023BC"/>
    <w:rsid w:val="00404C1E"/>
    <w:rsid w:val="00413507"/>
    <w:rsid w:val="0042162F"/>
    <w:rsid w:val="00425084"/>
    <w:rsid w:val="00426EAF"/>
    <w:rsid w:val="00427F7F"/>
    <w:rsid w:val="004301B2"/>
    <w:rsid w:val="0043224C"/>
    <w:rsid w:val="0044180A"/>
    <w:rsid w:val="0044628D"/>
    <w:rsid w:val="004511C4"/>
    <w:rsid w:val="004528A2"/>
    <w:rsid w:val="004649B7"/>
    <w:rsid w:val="0047333B"/>
    <w:rsid w:val="00483C08"/>
    <w:rsid w:val="0048444F"/>
    <w:rsid w:val="00486128"/>
    <w:rsid w:val="0049098E"/>
    <w:rsid w:val="00492B2D"/>
    <w:rsid w:val="00493C40"/>
    <w:rsid w:val="004A240E"/>
    <w:rsid w:val="004A4BEF"/>
    <w:rsid w:val="004A710D"/>
    <w:rsid w:val="004B1D2E"/>
    <w:rsid w:val="004C0390"/>
    <w:rsid w:val="004C37FE"/>
    <w:rsid w:val="004D44DD"/>
    <w:rsid w:val="004D628D"/>
    <w:rsid w:val="004F3091"/>
    <w:rsid w:val="004F641B"/>
    <w:rsid w:val="00501404"/>
    <w:rsid w:val="00504CAD"/>
    <w:rsid w:val="005076F3"/>
    <w:rsid w:val="00507FF5"/>
    <w:rsid w:val="0052081E"/>
    <w:rsid w:val="00522A30"/>
    <w:rsid w:val="005235E6"/>
    <w:rsid w:val="00527B83"/>
    <w:rsid w:val="00531B79"/>
    <w:rsid w:val="00533B5B"/>
    <w:rsid w:val="005343AF"/>
    <w:rsid w:val="00535C6C"/>
    <w:rsid w:val="0054762F"/>
    <w:rsid w:val="005545DB"/>
    <w:rsid w:val="00561AB0"/>
    <w:rsid w:val="00561BB2"/>
    <w:rsid w:val="005636E1"/>
    <w:rsid w:val="005658C0"/>
    <w:rsid w:val="005818E1"/>
    <w:rsid w:val="0058367B"/>
    <w:rsid w:val="00592585"/>
    <w:rsid w:val="00593AD9"/>
    <w:rsid w:val="00593FAA"/>
    <w:rsid w:val="005950C9"/>
    <w:rsid w:val="00597659"/>
    <w:rsid w:val="005A7C9C"/>
    <w:rsid w:val="005B6899"/>
    <w:rsid w:val="005C4F7F"/>
    <w:rsid w:val="005D53F6"/>
    <w:rsid w:val="005E5176"/>
    <w:rsid w:val="005E634B"/>
    <w:rsid w:val="005E681C"/>
    <w:rsid w:val="00606CCF"/>
    <w:rsid w:val="006166F8"/>
    <w:rsid w:val="00620BD5"/>
    <w:rsid w:val="00624E9E"/>
    <w:rsid w:val="006279DA"/>
    <w:rsid w:val="00631C6A"/>
    <w:rsid w:val="006330A7"/>
    <w:rsid w:val="00633655"/>
    <w:rsid w:val="00633D35"/>
    <w:rsid w:val="00635469"/>
    <w:rsid w:val="0063748E"/>
    <w:rsid w:val="0064622E"/>
    <w:rsid w:val="00653368"/>
    <w:rsid w:val="0066249D"/>
    <w:rsid w:val="00663E73"/>
    <w:rsid w:val="0066453F"/>
    <w:rsid w:val="00672192"/>
    <w:rsid w:val="00677A13"/>
    <w:rsid w:val="00680B3A"/>
    <w:rsid w:val="00681EA6"/>
    <w:rsid w:val="0068319A"/>
    <w:rsid w:val="0068336A"/>
    <w:rsid w:val="00683FCD"/>
    <w:rsid w:val="006A00C1"/>
    <w:rsid w:val="006A0A2C"/>
    <w:rsid w:val="006A0EF9"/>
    <w:rsid w:val="006A2567"/>
    <w:rsid w:val="006A2FAE"/>
    <w:rsid w:val="006B094E"/>
    <w:rsid w:val="006B1B35"/>
    <w:rsid w:val="006B2A8A"/>
    <w:rsid w:val="006B2F01"/>
    <w:rsid w:val="006C1C0F"/>
    <w:rsid w:val="006C370D"/>
    <w:rsid w:val="006D18C8"/>
    <w:rsid w:val="006D6B5B"/>
    <w:rsid w:val="006D6CF7"/>
    <w:rsid w:val="006D7278"/>
    <w:rsid w:val="006D7753"/>
    <w:rsid w:val="006E6BB1"/>
    <w:rsid w:val="006F11D8"/>
    <w:rsid w:val="006F19D3"/>
    <w:rsid w:val="006F5B7F"/>
    <w:rsid w:val="006F5BE0"/>
    <w:rsid w:val="00700817"/>
    <w:rsid w:val="0070588E"/>
    <w:rsid w:val="00711A65"/>
    <w:rsid w:val="0071668C"/>
    <w:rsid w:val="00723B99"/>
    <w:rsid w:val="007326A5"/>
    <w:rsid w:val="007344CB"/>
    <w:rsid w:val="00740D56"/>
    <w:rsid w:val="00746482"/>
    <w:rsid w:val="00746CB3"/>
    <w:rsid w:val="00752576"/>
    <w:rsid w:val="00752794"/>
    <w:rsid w:val="007558F3"/>
    <w:rsid w:val="00761B01"/>
    <w:rsid w:val="00761F35"/>
    <w:rsid w:val="00772DC1"/>
    <w:rsid w:val="00781C82"/>
    <w:rsid w:val="0078224F"/>
    <w:rsid w:val="0078395C"/>
    <w:rsid w:val="00784380"/>
    <w:rsid w:val="007850C1"/>
    <w:rsid w:val="007868FB"/>
    <w:rsid w:val="00787776"/>
    <w:rsid w:val="0079061A"/>
    <w:rsid w:val="0079231F"/>
    <w:rsid w:val="0079319F"/>
    <w:rsid w:val="00794E8D"/>
    <w:rsid w:val="007953AE"/>
    <w:rsid w:val="007971B0"/>
    <w:rsid w:val="007A4BD3"/>
    <w:rsid w:val="007B0006"/>
    <w:rsid w:val="007B0B77"/>
    <w:rsid w:val="007B5176"/>
    <w:rsid w:val="007C0F15"/>
    <w:rsid w:val="007C3B66"/>
    <w:rsid w:val="007C4F9E"/>
    <w:rsid w:val="007D150E"/>
    <w:rsid w:val="007D3A53"/>
    <w:rsid w:val="007D4DAF"/>
    <w:rsid w:val="007E1593"/>
    <w:rsid w:val="007F0EAF"/>
    <w:rsid w:val="007F4C22"/>
    <w:rsid w:val="007F73B9"/>
    <w:rsid w:val="00802AE9"/>
    <w:rsid w:val="00810B08"/>
    <w:rsid w:val="00814A82"/>
    <w:rsid w:val="0083538C"/>
    <w:rsid w:val="00847190"/>
    <w:rsid w:val="00856001"/>
    <w:rsid w:val="00860FDC"/>
    <w:rsid w:val="00875F09"/>
    <w:rsid w:val="00882C7D"/>
    <w:rsid w:val="00884787"/>
    <w:rsid w:val="00885239"/>
    <w:rsid w:val="00897B0E"/>
    <w:rsid w:val="008A566D"/>
    <w:rsid w:val="008B2BB1"/>
    <w:rsid w:val="008B57B3"/>
    <w:rsid w:val="008C0993"/>
    <w:rsid w:val="008D36A7"/>
    <w:rsid w:val="008E28E5"/>
    <w:rsid w:val="008E2DC7"/>
    <w:rsid w:val="008F114B"/>
    <w:rsid w:val="008F1805"/>
    <w:rsid w:val="008F5585"/>
    <w:rsid w:val="008F5EE7"/>
    <w:rsid w:val="008F7E56"/>
    <w:rsid w:val="00903408"/>
    <w:rsid w:val="00924428"/>
    <w:rsid w:val="00930870"/>
    <w:rsid w:val="0093391A"/>
    <w:rsid w:val="00933DC3"/>
    <w:rsid w:val="00940BB0"/>
    <w:rsid w:val="00946AA5"/>
    <w:rsid w:val="00946EE5"/>
    <w:rsid w:val="00967DB3"/>
    <w:rsid w:val="00994336"/>
    <w:rsid w:val="009A0CC8"/>
    <w:rsid w:val="009A49E9"/>
    <w:rsid w:val="009B35EB"/>
    <w:rsid w:val="009B375C"/>
    <w:rsid w:val="009B4791"/>
    <w:rsid w:val="009B6480"/>
    <w:rsid w:val="009B7B2F"/>
    <w:rsid w:val="009C551D"/>
    <w:rsid w:val="009C6CB2"/>
    <w:rsid w:val="009D15C4"/>
    <w:rsid w:val="009E0968"/>
    <w:rsid w:val="009E4F3A"/>
    <w:rsid w:val="009E6532"/>
    <w:rsid w:val="009F2366"/>
    <w:rsid w:val="00A05848"/>
    <w:rsid w:val="00A05A2F"/>
    <w:rsid w:val="00A07148"/>
    <w:rsid w:val="00A12A8C"/>
    <w:rsid w:val="00A30E94"/>
    <w:rsid w:val="00A35C34"/>
    <w:rsid w:val="00A4638A"/>
    <w:rsid w:val="00A47701"/>
    <w:rsid w:val="00A55873"/>
    <w:rsid w:val="00A55EF8"/>
    <w:rsid w:val="00A64DE4"/>
    <w:rsid w:val="00A802AC"/>
    <w:rsid w:val="00A83B50"/>
    <w:rsid w:val="00A85653"/>
    <w:rsid w:val="00A905F5"/>
    <w:rsid w:val="00A9374B"/>
    <w:rsid w:val="00AC5B1F"/>
    <w:rsid w:val="00AD2ACC"/>
    <w:rsid w:val="00AD5324"/>
    <w:rsid w:val="00AD7FC2"/>
    <w:rsid w:val="00AE240B"/>
    <w:rsid w:val="00AE29A4"/>
    <w:rsid w:val="00AE4D33"/>
    <w:rsid w:val="00AE5ECE"/>
    <w:rsid w:val="00AE665F"/>
    <w:rsid w:val="00B0159E"/>
    <w:rsid w:val="00B017E5"/>
    <w:rsid w:val="00B03A4A"/>
    <w:rsid w:val="00B04C63"/>
    <w:rsid w:val="00B10872"/>
    <w:rsid w:val="00B10E38"/>
    <w:rsid w:val="00B15F3E"/>
    <w:rsid w:val="00B1770C"/>
    <w:rsid w:val="00B2081E"/>
    <w:rsid w:val="00B2110C"/>
    <w:rsid w:val="00B31757"/>
    <w:rsid w:val="00B32E32"/>
    <w:rsid w:val="00B40D51"/>
    <w:rsid w:val="00B40E9F"/>
    <w:rsid w:val="00B54AA3"/>
    <w:rsid w:val="00B607DE"/>
    <w:rsid w:val="00B62BBE"/>
    <w:rsid w:val="00B64B4D"/>
    <w:rsid w:val="00B7003F"/>
    <w:rsid w:val="00B7026A"/>
    <w:rsid w:val="00B70FB1"/>
    <w:rsid w:val="00B74485"/>
    <w:rsid w:val="00B76065"/>
    <w:rsid w:val="00B900B4"/>
    <w:rsid w:val="00B948FC"/>
    <w:rsid w:val="00B95C05"/>
    <w:rsid w:val="00BA25AC"/>
    <w:rsid w:val="00BA5B1B"/>
    <w:rsid w:val="00BB7795"/>
    <w:rsid w:val="00BC2071"/>
    <w:rsid w:val="00BC7DB8"/>
    <w:rsid w:val="00BD1B46"/>
    <w:rsid w:val="00BD49CE"/>
    <w:rsid w:val="00BD7E50"/>
    <w:rsid w:val="00BE37A2"/>
    <w:rsid w:val="00BF1001"/>
    <w:rsid w:val="00BF1275"/>
    <w:rsid w:val="00BF1E77"/>
    <w:rsid w:val="00BF37C5"/>
    <w:rsid w:val="00BF726E"/>
    <w:rsid w:val="00C00D17"/>
    <w:rsid w:val="00C00E86"/>
    <w:rsid w:val="00C01E80"/>
    <w:rsid w:val="00C0344D"/>
    <w:rsid w:val="00C0348D"/>
    <w:rsid w:val="00C03FE0"/>
    <w:rsid w:val="00C0526B"/>
    <w:rsid w:val="00C11C66"/>
    <w:rsid w:val="00C11D82"/>
    <w:rsid w:val="00C136C7"/>
    <w:rsid w:val="00C13EE2"/>
    <w:rsid w:val="00C166B4"/>
    <w:rsid w:val="00C17271"/>
    <w:rsid w:val="00C201C1"/>
    <w:rsid w:val="00C201FA"/>
    <w:rsid w:val="00C24783"/>
    <w:rsid w:val="00C25973"/>
    <w:rsid w:val="00C25A26"/>
    <w:rsid w:val="00C26B2E"/>
    <w:rsid w:val="00C27AA7"/>
    <w:rsid w:val="00C3451B"/>
    <w:rsid w:val="00C34520"/>
    <w:rsid w:val="00C379D6"/>
    <w:rsid w:val="00C37A7B"/>
    <w:rsid w:val="00C5106E"/>
    <w:rsid w:val="00C54DF2"/>
    <w:rsid w:val="00C62D86"/>
    <w:rsid w:val="00C645D5"/>
    <w:rsid w:val="00C75BA4"/>
    <w:rsid w:val="00C770B6"/>
    <w:rsid w:val="00C8015D"/>
    <w:rsid w:val="00C82E86"/>
    <w:rsid w:val="00C8614E"/>
    <w:rsid w:val="00CA0E18"/>
    <w:rsid w:val="00CA64A2"/>
    <w:rsid w:val="00CB05A3"/>
    <w:rsid w:val="00CB3407"/>
    <w:rsid w:val="00CC1F6C"/>
    <w:rsid w:val="00CC259D"/>
    <w:rsid w:val="00CC53D1"/>
    <w:rsid w:val="00CD2F60"/>
    <w:rsid w:val="00CD3075"/>
    <w:rsid w:val="00CE2831"/>
    <w:rsid w:val="00CE3007"/>
    <w:rsid w:val="00CE4ADB"/>
    <w:rsid w:val="00CE6951"/>
    <w:rsid w:val="00CF206D"/>
    <w:rsid w:val="00D15520"/>
    <w:rsid w:val="00D15CFD"/>
    <w:rsid w:val="00D35B60"/>
    <w:rsid w:val="00D376F1"/>
    <w:rsid w:val="00D37B87"/>
    <w:rsid w:val="00D42862"/>
    <w:rsid w:val="00D4435B"/>
    <w:rsid w:val="00D47412"/>
    <w:rsid w:val="00D55310"/>
    <w:rsid w:val="00D61D5E"/>
    <w:rsid w:val="00D65720"/>
    <w:rsid w:val="00D70E47"/>
    <w:rsid w:val="00D8090B"/>
    <w:rsid w:val="00D809F7"/>
    <w:rsid w:val="00D82524"/>
    <w:rsid w:val="00D84544"/>
    <w:rsid w:val="00D86961"/>
    <w:rsid w:val="00D92FDD"/>
    <w:rsid w:val="00D9417F"/>
    <w:rsid w:val="00D943C7"/>
    <w:rsid w:val="00D953DE"/>
    <w:rsid w:val="00D965BC"/>
    <w:rsid w:val="00DA21BD"/>
    <w:rsid w:val="00DA3CA0"/>
    <w:rsid w:val="00DA4343"/>
    <w:rsid w:val="00DA6624"/>
    <w:rsid w:val="00DA7CEB"/>
    <w:rsid w:val="00DB0A54"/>
    <w:rsid w:val="00DB2AB2"/>
    <w:rsid w:val="00DB3BBC"/>
    <w:rsid w:val="00DB4A99"/>
    <w:rsid w:val="00DB7DA7"/>
    <w:rsid w:val="00DC107B"/>
    <w:rsid w:val="00DC21FC"/>
    <w:rsid w:val="00DC5548"/>
    <w:rsid w:val="00DC656C"/>
    <w:rsid w:val="00DC7634"/>
    <w:rsid w:val="00DD2CCC"/>
    <w:rsid w:val="00DD7D4E"/>
    <w:rsid w:val="00E04A8F"/>
    <w:rsid w:val="00E077C0"/>
    <w:rsid w:val="00E111BC"/>
    <w:rsid w:val="00E11D03"/>
    <w:rsid w:val="00E127F0"/>
    <w:rsid w:val="00E16F62"/>
    <w:rsid w:val="00E17E67"/>
    <w:rsid w:val="00E23481"/>
    <w:rsid w:val="00E23C51"/>
    <w:rsid w:val="00E2584A"/>
    <w:rsid w:val="00E274FA"/>
    <w:rsid w:val="00E33993"/>
    <w:rsid w:val="00E34BD0"/>
    <w:rsid w:val="00E351D3"/>
    <w:rsid w:val="00E3657B"/>
    <w:rsid w:val="00E40D49"/>
    <w:rsid w:val="00E5052D"/>
    <w:rsid w:val="00E5440E"/>
    <w:rsid w:val="00E55FF3"/>
    <w:rsid w:val="00E6205A"/>
    <w:rsid w:val="00E803A3"/>
    <w:rsid w:val="00E854B7"/>
    <w:rsid w:val="00E85A79"/>
    <w:rsid w:val="00E92121"/>
    <w:rsid w:val="00E93F1B"/>
    <w:rsid w:val="00E9635A"/>
    <w:rsid w:val="00EA2C92"/>
    <w:rsid w:val="00EA6146"/>
    <w:rsid w:val="00EB0BA7"/>
    <w:rsid w:val="00EB163B"/>
    <w:rsid w:val="00EC2107"/>
    <w:rsid w:val="00EC237A"/>
    <w:rsid w:val="00EC2DB4"/>
    <w:rsid w:val="00EC375D"/>
    <w:rsid w:val="00EC701E"/>
    <w:rsid w:val="00ED3A63"/>
    <w:rsid w:val="00EE0B2A"/>
    <w:rsid w:val="00EE110D"/>
    <w:rsid w:val="00EE11A6"/>
    <w:rsid w:val="00EF225A"/>
    <w:rsid w:val="00F0416B"/>
    <w:rsid w:val="00F11433"/>
    <w:rsid w:val="00F202C1"/>
    <w:rsid w:val="00F26832"/>
    <w:rsid w:val="00F2796F"/>
    <w:rsid w:val="00F318CA"/>
    <w:rsid w:val="00F34BBA"/>
    <w:rsid w:val="00F355C3"/>
    <w:rsid w:val="00F36395"/>
    <w:rsid w:val="00F37113"/>
    <w:rsid w:val="00F412F1"/>
    <w:rsid w:val="00F442DD"/>
    <w:rsid w:val="00F46A21"/>
    <w:rsid w:val="00F51041"/>
    <w:rsid w:val="00F52E05"/>
    <w:rsid w:val="00F575D4"/>
    <w:rsid w:val="00F6286B"/>
    <w:rsid w:val="00F62AC5"/>
    <w:rsid w:val="00F65A9E"/>
    <w:rsid w:val="00F755B3"/>
    <w:rsid w:val="00F83DC9"/>
    <w:rsid w:val="00F92231"/>
    <w:rsid w:val="00F9239A"/>
    <w:rsid w:val="00F929BE"/>
    <w:rsid w:val="00F9319A"/>
    <w:rsid w:val="00F94285"/>
    <w:rsid w:val="00F9702F"/>
    <w:rsid w:val="00FA1CB8"/>
    <w:rsid w:val="00FA6FB6"/>
    <w:rsid w:val="00FA70F0"/>
    <w:rsid w:val="00FB494F"/>
    <w:rsid w:val="00FB60AA"/>
    <w:rsid w:val="00FC3726"/>
    <w:rsid w:val="00FE49D8"/>
    <w:rsid w:val="00FF2D5F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BA29F76-41A3-4C09-A6A1-700BEF1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5545DB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5545DB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54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5DB"/>
  </w:style>
  <w:style w:type="paragraph" w:styleId="Footer">
    <w:name w:val="footer"/>
    <w:basedOn w:val="Normal"/>
    <w:link w:val="FooterChar"/>
    <w:uiPriority w:val="99"/>
    <w:unhideWhenUsed/>
    <w:rsid w:val="00554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5DB"/>
  </w:style>
  <w:style w:type="paragraph" w:customStyle="1" w:styleId="FooterCoverPage">
    <w:name w:val="Footer Cover Page"/>
    <w:basedOn w:val="Normal"/>
    <w:link w:val="FooterCoverPageChar"/>
    <w:rsid w:val="005545DB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5545DB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5545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5545DB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5545DB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5545DB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5545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5545DB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5545DB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5545DB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1645</Words>
  <Characters>12077</Characters>
  <Application>Microsoft Office Word</Application>
  <DocSecurity>0</DocSecurity>
  <Lines>154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37</cp:revision>
  <dcterms:created xsi:type="dcterms:W3CDTF">2022-02-22T09:32:00Z</dcterms:created>
  <dcterms:modified xsi:type="dcterms:W3CDTF">2022-03-28T14:24:00Z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Last edited using">
    <vt:lpwstr>LW 8.0, Build 20220128</vt:lpwstr>
  </property>
  <property fmtid="{D5CDD505-2E9C-101B-9397-08002B2CF9AE}" pid="8" name="Created using">
    <vt:lpwstr>LW 7.0.1, Build 20200226</vt:lpwstr>
  </property>
  <property name="OP_sanitized" fmtid="{D5CDD505-2E9C-101B-9397-08002B2CF9AE}" pid="9">
    <vt:lpwstr>True</vt:lpwstr>
  </property>
</Properties>
</file>