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D32" w:rsidRPr="00B83C33" w:rsidRDefault="00FA4D0F" w:rsidP="00FA4D0F">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E8EA5CB4-3975-4BCD-8CF6-03CF3BF67F5F" style="width:455.25pt;height:383.25pt">
            <v:imagedata r:id="rId7" o:title=""/>
          </v:shape>
        </w:pict>
      </w:r>
    </w:p>
    <w:p w:rsidR="00CD3D32" w:rsidRPr="00B83C33" w:rsidRDefault="00CD3D32" w:rsidP="00CD3D32">
      <w:pPr>
        <w:rPr>
          <w:noProof/>
        </w:rPr>
        <w:sectPr w:rsidR="00CD3D32" w:rsidRPr="00B83C33" w:rsidSect="00FA4D0F">
          <w:footerReference w:type="default" r:id="rId8"/>
          <w:pgSz w:w="11907" w:h="16839"/>
          <w:pgMar w:top="1134" w:right="1417" w:bottom="1134" w:left="1417" w:header="709" w:footer="709" w:gutter="0"/>
          <w:pgNumType w:start="0"/>
          <w:cols w:space="720"/>
          <w:docGrid w:linePitch="360"/>
        </w:sectPr>
      </w:pPr>
    </w:p>
    <w:p w:rsidR="00CD3D32" w:rsidRPr="00B83C33" w:rsidRDefault="00CD3D32" w:rsidP="00BB6B30">
      <w:pPr>
        <w:pStyle w:val="Exposdesmotifstitre"/>
        <w:rPr>
          <w:noProof/>
        </w:rPr>
      </w:pPr>
      <w:bookmarkStart w:id="0" w:name="_GoBack"/>
      <w:bookmarkEnd w:id="0"/>
      <w:r w:rsidRPr="00B83C33">
        <w:rPr>
          <w:noProof/>
        </w:rPr>
        <w:lastRenderedPageBreak/>
        <w:t>INDOKOLÁS</w:t>
      </w:r>
    </w:p>
    <w:p w:rsidR="00CD3D32" w:rsidRPr="00B83C33" w:rsidRDefault="00CD3D32" w:rsidP="00BB6B30">
      <w:pPr>
        <w:pStyle w:val="ManualHeading1"/>
        <w:rPr>
          <w:noProof/>
        </w:rPr>
      </w:pPr>
      <w:r w:rsidRPr="00B83C33">
        <w:rPr>
          <w:noProof/>
        </w:rPr>
        <w:t>1.</w:t>
      </w:r>
      <w:r w:rsidRPr="00B83C33">
        <w:rPr>
          <w:noProof/>
        </w:rPr>
        <w:tab/>
        <w:t>A JAVASLAT HÁTTERE</w:t>
      </w:r>
    </w:p>
    <w:p w:rsidR="00CD3D32" w:rsidRPr="00B83C33" w:rsidRDefault="00CD3D32" w:rsidP="00044058">
      <w:pPr>
        <w:pStyle w:val="ManualHeading2"/>
        <w:rPr>
          <w:rFonts w:eastAsia="Arial Unicode MS"/>
          <w:noProof/>
        </w:rPr>
      </w:pPr>
      <w:r w:rsidRPr="00B83C33">
        <w:rPr>
          <w:noProof/>
          <w:color w:val="000000"/>
          <w:u w:color="000000"/>
          <w:bdr w:val="nil"/>
        </w:rPr>
        <w:t>•</w:t>
      </w:r>
      <w:r w:rsidRPr="00B83C33">
        <w:rPr>
          <w:noProof/>
        </w:rPr>
        <w:tab/>
        <w:t>A javaslat indokai és céljai</w:t>
      </w:r>
    </w:p>
    <w:p w:rsidR="00825D43" w:rsidRPr="00B83C33" w:rsidRDefault="00825D43" w:rsidP="00825D43">
      <w:pPr>
        <w:pBdr>
          <w:top w:val="nil"/>
          <w:left w:val="nil"/>
          <w:bottom w:val="nil"/>
          <w:right w:val="nil"/>
          <w:between w:val="nil"/>
          <w:bar w:val="nil"/>
        </w:pBdr>
        <w:spacing w:after="240"/>
        <w:rPr>
          <w:noProof/>
        </w:rPr>
      </w:pPr>
      <w:r w:rsidRPr="00B83C33">
        <w:rPr>
          <w:noProof/>
        </w:rPr>
        <w:t>Burundiban a 2015. júniusi és júliusi parlamenti, illetve elnökválasztást megelőzően romlott a helyzet, ezért az Európai Unió úgy ítélte meg, hogy a Burundi Köztársaság nem felelt meg az AKCS–EU partnerségi megállapodás</w:t>
      </w:r>
      <w:r w:rsidRPr="00B83C33">
        <w:rPr>
          <w:rStyle w:val="FootnoteReference"/>
          <w:rFonts w:eastAsia="Arial Unicode MS"/>
          <w:noProof/>
          <w:szCs w:val="24"/>
        </w:rPr>
        <w:footnoteReference w:id="1"/>
      </w:r>
      <w:r w:rsidRPr="00B83C33">
        <w:rPr>
          <w:noProof/>
        </w:rPr>
        <w:t xml:space="preserve"> 9. cikkében meghatározott, az emberi jogokkal, a demokráciával és a jogállamisággal </w:t>
      </w:r>
      <w:r w:rsidR="00E053F9">
        <w:rPr>
          <w:noProof/>
        </w:rPr>
        <w:t>kapcsolatos lényeges elemeknek.</w:t>
      </w:r>
    </w:p>
    <w:p w:rsidR="00825D43" w:rsidRPr="00B83C33" w:rsidRDefault="00825D43" w:rsidP="00825D43">
      <w:pPr>
        <w:pBdr>
          <w:top w:val="nil"/>
          <w:left w:val="nil"/>
          <w:bottom w:val="nil"/>
          <w:right w:val="nil"/>
          <w:between w:val="nil"/>
          <w:bar w:val="nil"/>
        </w:pBdr>
        <w:spacing w:after="240"/>
        <w:rPr>
          <w:noProof/>
        </w:rPr>
      </w:pPr>
      <w:r w:rsidRPr="00B83C33">
        <w:rPr>
          <w:noProof/>
        </w:rPr>
        <w:t xml:space="preserve">Az </w:t>
      </w:r>
      <w:r w:rsidRPr="00B83C33">
        <w:rPr>
          <w:noProof/>
          <w:color w:val="000000" w:themeColor="text1"/>
          <w:szCs w:val="24"/>
        </w:rPr>
        <w:t>AKCS–EU partnerségi megállapodás</w:t>
      </w:r>
      <w:r w:rsidRPr="00B83C33">
        <w:rPr>
          <w:noProof/>
        </w:rPr>
        <w:t xml:space="preserve"> 96. cikke alapján 2015. december 8-án Brüsszelben tartott konzultációt követően az Európai Unió tudomásul vette a burundi kormány válaszait, valamint a felmerült kérdések tisztázására és bizonyos bírósági eljárások felgyorsítására vonatkozó kötelezettségvállalását. Az Európai Unió mindazonáltal úgy ítélte meg, hogy a kifejtett álláspontok nem kezelik maradéktalanul a Burundi Köztársasággal fennálló partnerség lényeges elemeinek való meg nem felelés problémáját. Az álláspontok nem adtak kielégítő választ az Afrikai Unió Béke és Biztonsági Tanácsa által 2015. október 17-én és november 13-án hozott határozatokra sem, különös tekintettel az arushai megállapodás tiszteletben tartásán alapuló valódi és inkluzív párbeszéd mielőbbi megvalósításának szükségességére.</w:t>
      </w:r>
    </w:p>
    <w:p w:rsidR="00825D43" w:rsidRPr="00B83C33" w:rsidRDefault="00825D43" w:rsidP="00825D43">
      <w:pPr>
        <w:pBdr>
          <w:top w:val="nil"/>
          <w:left w:val="nil"/>
          <w:bottom w:val="nil"/>
          <w:right w:val="nil"/>
          <w:between w:val="nil"/>
          <w:bar w:val="nil"/>
        </w:pBdr>
        <w:spacing w:after="240"/>
        <w:rPr>
          <w:noProof/>
        </w:rPr>
      </w:pPr>
      <w:r w:rsidRPr="00B83C33">
        <w:rPr>
          <w:noProof/>
        </w:rPr>
        <w:t>2015. november 13-án az (EU) 2016/394 tanácsi határozattal</w:t>
      </w:r>
      <w:r w:rsidRPr="00B83C33">
        <w:rPr>
          <w:rStyle w:val="FootnoteReference"/>
          <w:rFonts w:eastAsia="Arial Unicode MS"/>
          <w:noProof/>
          <w:szCs w:val="24"/>
        </w:rPr>
        <w:footnoteReference w:id="2"/>
      </w:r>
      <w:r w:rsidRPr="00B83C33">
        <w:rPr>
          <w:noProof/>
        </w:rPr>
        <w:t xml:space="preserve"> lezárultak a konzultációk, és az EU meghozta az említett határozat mellékletében meghatározott megfelelő intézkedéseket, többek között felfüggesztette a burundi közigazgatás, illetve intézmények számára közvetlenül nyújtott pénzügyi támogatásokat vagy alapokból nyújtott támogatásokat (beleért</w:t>
      </w:r>
      <w:r w:rsidR="00E053F9">
        <w:rPr>
          <w:noProof/>
        </w:rPr>
        <w:t>ve a költségvetési támogatást).</w:t>
      </w:r>
    </w:p>
    <w:p w:rsidR="00825D43" w:rsidRPr="00B83C33" w:rsidRDefault="00825D43" w:rsidP="00825D43">
      <w:pPr>
        <w:pStyle w:val="ManualHeading2"/>
        <w:tabs>
          <w:tab w:val="clear" w:pos="850"/>
          <w:tab w:val="left" w:pos="0"/>
        </w:tabs>
        <w:ind w:left="0" w:firstLine="0"/>
        <w:rPr>
          <w:noProof/>
        </w:rPr>
      </w:pPr>
      <w:r w:rsidRPr="00B83C33">
        <w:rPr>
          <w:noProof/>
        </w:rPr>
        <w:t>A 2020. évi békés politikai átmenetet követően, amely Ndayishimiye elnök megválasztásához és új kormány kinevezéséhez vezetett, az EU pozitív lendületet tapasztalt, amit az alábbiak is alátámasztanak:</w:t>
      </w:r>
    </w:p>
    <w:p w:rsidR="00825D43" w:rsidRPr="00B83C33" w:rsidRDefault="00825D43" w:rsidP="00C56E1E">
      <w:pPr>
        <w:pStyle w:val="Bullet1"/>
        <w:numPr>
          <w:ilvl w:val="0"/>
          <w:numId w:val="1"/>
        </w:numPr>
        <w:rPr>
          <w:noProof/>
        </w:rPr>
      </w:pPr>
      <w:r w:rsidRPr="00B83C33">
        <w:rPr>
          <w:noProof/>
        </w:rPr>
        <w:t>konstruktív politikai párbeszéd indítása Burundival az AKCS–EU partnerségi</w:t>
      </w:r>
      <w:r w:rsidR="00E053F9">
        <w:rPr>
          <w:noProof/>
        </w:rPr>
        <w:t xml:space="preserve"> megállapodás 8. cikke szerint;</w:t>
      </w:r>
    </w:p>
    <w:p w:rsidR="00825D43" w:rsidRPr="00B83C33" w:rsidRDefault="00825D43" w:rsidP="00825D43">
      <w:pPr>
        <w:pStyle w:val="Bullet1"/>
        <w:rPr>
          <w:noProof/>
        </w:rPr>
      </w:pPr>
      <w:r w:rsidRPr="00B83C33">
        <w:rPr>
          <w:noProof/>
        </w:rPr>
        <w:t>kormányzati erőfeszítések a béke és a stabilitás támogatása, a jó kormányzás előmozdítása és a tömegtájékoztatás szabadsága érdekében; nyilatkozatok az emberi jogokról, a jogállamiságról és a b</w:t>
      </w:r>
      <w:r w:rsidR="00E053F9">
        <w:rPr>
          <w:noProof/>
        </w:rPr>
        <w:t>üntetlenség elleni küzdelemről;</w:t>
      </w:r>
    </w:p>
    <w:p w:rsidR="00825D43" w:rsidRPr="00B83C33" w:rsidRDefault="00825D43" w:rsidP="00825D43">
      <w:pPr>
        <w:pStyle w:val="Bullet1"/>
        <w:rPr>
          <w:noProof/>
        </w:rPr>
      </w:pPr>
      <w:r w:rsidRPr="00B83C33">
        <w:rPr>
          <w:noProof/>
        </w:rPr>
        <w:t>megállapodás egy ütemtervről („Feuille de route”), amely a burundi kormány részéről emberi jogi kötelezettségvállalásokat tartalmaz az (EU) 2016/394 tanácsi határozatra reagálva; igazságszolgáltatás és jogállamiság; a véleménynyilvánítás és a sajtó szabadsága; jó kormányzás; béke, biztonság és demokrácia; üzleti környezet; környezet és biológiai sokféleség;</w:t>
      </w:r>
    </w:p>
    <w:p w:rsidR="00825D43" w:rsidRPr="00B83C33" w:rsidRDefault="00825D43" w:rsidP="00825D43">
      <w:pPr>
        <w:pStyle w:val="Bullet1"/>
        <w:rPr>
          <w:noProof/>
        </w:rPr>
      </w:pPr>
      <w:r w:rsidRPr="00B83C33">
        <w:rPr>
          <w:noProof/>
        </w:rPr>
        <w:t>nagyszámú, Burundiba önként visszatérő menekült;</w:t>
      </w:r>
    </w:p>
    <w:p w:rsidR="00825D43" w:rsidRPr="00B83C33" w:rsidRDefault="00825D43" w:rsidP="00825D43">
      <w:pPr>
        <w:pStyle w:val="Bullet1"/>
        <w:rPr>
          <w:noProof/>
        </w:rPr>
      </w:pPr>
      <w:r w:rsidRPr="00B83C33">
        <w:rPr>
          <w:noProof/>
        </w:rPr>
        <w:t>a nemzetközi közösséggel és a szomszédos országokkal v</w:t>
      </w:r>
      <w:r w:rsidR="00E053F9">
        <w:rPr>
          <w:noProof/>
        </w:rPr>
        <w:t>aló együttműködés újraindítása.</w:t>
      </w:r>
    </w:p>
    <w:p w:rsidR="00825D43" w:rsidRPr="00B83C33" w:rsidRDefault="00825D43" w:rsidP="00825D43">
      <w:pPr>
        <w:pBdr>
          <w:top w:val="nil"/>
          <w:left w:val="nil"/>
          <w:bottom w:val="nil"/>
          <w:right w:val="nil"/>
          <w:between w:val="nil"/>
          <w:bar w:val="nil"/>
        </w:pBdr>
        <w:spacing w:after="240"/>
        <w:rPr>
          <w:noProof/>
        </w:rPr>
      </w:pPr>
      <w:r w:rsidRPr="00B83C33">
        <w:rPr>
          <w:noProof/>
        </w:rPr>
        <w:t xml:space="preserve">Tekintettel ezekre az eredményekre és kötelezettségvállalásokra, a misszióvezetők 2021. május 19-i jelentésükben kifejtették, hogy az (EU) 2016/394 tanácsi határozat mellékletében szereplő megfelelő intézkedések már nem relevánsak, ezért </w:t>
      </w:r>
      <w:r w:rsidR="00E053F9">
        <w:rPr>
          <w:noProof/>
        </w:rPr>
        <w:t>javasolták azok megszüntetését.</w:t>
      </w:r>
    </w:p>
    <w:p w:rsidR="00825D43" w:rsidRPr="00B83C33" w:rsidRDefault="00825D43" w:rsidP="00825D43">
      <w:pPr>
        <w:pBdr>
          <w:top w:val="nil"/>
          <w:left w:val="nil"/>
          <w:bottom w:val="nil"/>
          <w:right w:val="nil"/>
          <w:between w:val="nil"/>
          <w:bar w:val="nil"/>
        </w:pBdr>
        <w:spacing w:after="240"/>
        <w:rPr>
          <w:noProof/>
        </w:rPr>
      </w:pPr>
      <w:r w:rsidRPr="00B83C33">
        <w:rPr>
          <w:noProof/>
        </w:rPr>
        <w:t xml:space="preserve">Mindazonáltal az </w:t>
      </w:r>
      <w:r w:rsidRPr="00B83C33">
        <w:rPr>
          <w:noProof/>
          <w:color w:val="000000" w:themeColor="text1"/>
          <w:szCs w:val="24"/>
        </w:rPr>
        <w:t>AKCS–EU partnerségi megállapodás</w:t>
      </w:r>
      <w:r w:rsidRPr="00B83C33">
        <w:rPr>
          <w:noProof/>
        </w:rPr>
        <w:t xml:space="preserve"> 8. cikke alapján Burundival kialakított politikai párbeszéd keretében továbbra is napirenden kell tartani a következő kérdéseket:</w:t>
      </w:r>
    </w:p>
    <w:p w:rsidR="00825D43" w:rsidRPr="00B83C33" w:rsidRDefault="00825D43" w:rsidP="00825D43">
      <w:pPr>
        <w:pStyle w:val="Bullet1"/>
        <w:rPr>
          <w:noProof/>
        </w:rPr>
      </w:pPr>
      <w:r w:rsidRPr="00B83C33">
        <w:rPr>
          <w:noProof/>
        </w:rPr>
        <w:t>a jó kormányzás, a jogállamiság, az emberi jogok és az üzleti környezet javítása, ami a fenntartható fej</w:t>
      </w:r>
      <w:r w:rsidR="00E053F9">
        <w:rPr>
          <w:noProof/>
        </w:rPr>
        <w:t>lődés szükséges alapját képezi;</w:t>
      </w:r>
    </w:p>
    <w:p w:rsidR="00825D43" w:rsidRPr="00B83C33" w:rsidRDefault="00825D43" w:rsidP="00825D43">
      <w:pPr>
        <w:pStyle w:val="Bullet1"/>
        <w:rPr>
          <w:noProof/>
        </w:rPr>
      </w:pPr>
      <w:r w:rsidRPr="00B83C33">
        <w:rPr>
          <w:noProof/>
        </w:rPr>
        <w:t xml:space="preserve">a politikai foglyok szabadon bocsátása, az ellenzék tagjainak és a civil társadalom képviselőinek a visszatérése; a politikai tér megnyitása és az ellentétek lecsillapítása </w:t>
      </w:r>
      <w:r w:rsidR="00E053F9">
        <w:rPr>
          <w:noProof/>
        </w:rPr>
        <w:t>a megbékélés elérése érdekében;</w:t>
      </w:r>
    </w:p>
    <w:p w:rsidR="00825D43" w:rsidRPr="00B83C33" w:rsidRDefault="00825D43" w:rsidP="00825D43">
      <w:pPr>
        <w:pStyle w:val="Bullet1"/>
        <w:rPr>
          <w:noProof/>
        </w:rPr>
      </w:pPr>
      <w:r w:rsidRPr="00B83C33">
        <w:rPr>
          <w:noProof/>
        </w:rPr>
        <w:t>folyamatos erőfeszítések a tömegtájékoztatás szabadságának megerősítésére;</w:t>
      </w:r>
    </w:p>
    <w:p w:rsidR="00825D43" w:rsidRPr="00B83C33" w:rsidRDefault="00825D43" w:rsidP="00825D43">
      <w:pPr>
        <w:pStyle w:val="Bullet1"/>
        <w:rPr>
          <w:noProof/>
        </w:rPr>
      </w:pPr>
      <w:r w:rsidRPr="00B83C33">
        <w:rPr>
          <w:noProof/>
        </w:rPr>
        <w:t>az önkényes letartóztatások számának csökkentése; a politikai kötődésű erőszakos csoportok („Imbonerakure”) illetékes hatóságok általi jobb ellenőrzése, valamint a Nemzeti Hírszerző Szolgálat (SNR) bizonyos tevékenységeinek fokozott elszámoltathatósága és átláthatósága; az igazságszolgáltatás reformja, az állam és a párt szétválasztása;</w:t>
      </w:r>
    </w:p>
    <w:p w:rsidR="00825D43" w:rsidRPr="00B83C33" w:rsidRDefault="00825D43" w:rsidP="00825D43">
      <w:pPr>
        <w:pStyle w:val="Bullet1"/>
        <w:rPr>
          <w:noProof/>
        </w:rPr>
      </w:pPr>
      <w:r w:rsidRPr="00B83C33">
        <w:rPr>
          <w:noProof/>
        </w:rPr>
        <w:t>a civil társadalom/nem kormányzati szervezetek függetlenségének tiszteletben tartása.</w:t>
      </w:r>
    </w:p>
    <w:p w:rsidR="00825D43" w:rsidRPr="00B83C33" w:rsidRDefault="00825D43" w:rsidP="00825D43">
      <w:pPr>
        <w:pBdr>
          <w:top w:val="nil"/>
          <w:left w:val="nil"/>
          <w:bottom w:val="nil"/>
          <w:right w:val="nil"/>
          <w:between w:val="nil"/>
          <w:bar w:val="nil"/>
        </w:pBdr>
        <w:spacing w:after="240"/>
        <w:rPr>
          <w:noProof/>
        </w:rPr>
      </w:pPr>
      <w:r w:rsidRPr="00B83C33">
        <w:rPr>
          <w:noProof/>
        </w:rPr>
        <w:t xml:space="preserve">E javaslat célja ezért az (EU) 2016/394 tanácsi határozat hatályon kívül helyezése, ami az </w:t>
      </w:r>
      <w:r w:rsidRPr="00B83C33">
        <w:rPr>
          <w:noProof/>
          <w:color w:val="000000" w:themeColor="text1"/>
          <w:szCs w:val="24"/>
        </w:rPr>
        <w:t>AKCS–EU partnerségi megállapodás</w:t>
      </w:r>
      <w:r w:rsidRPr="00B83C33">
        <w:rPr>
          <w:noProof/>
        </w:rPr>
        <w:t xml:space="preserve"> 96. cikke szerinti konzultációk következtetéseiben meghatározott megfelelő intézkedé</w:t>
      </w:r>
      <w:r w:rsidR="00E053F9">
        <w:rPr>
          <w:noProof/>
        </w:rPr>
        <w:t>sek megszüntetését eredményezi.</w:t>
      </w:r>
    </w:p>
    <w:p w:rsidR="00825D43" w:rsidRPr="00B83C33" w:rsidRDefault="00825D43" w:rsidP="00825D43">
      <w:pPr>
        <w:pStyle w:val="ManualHeading2"/>
        <w:rPr>
          <w:rFonts w:eastAsia="Arial Unicode MS"/>
          <w:noProof/>
          <w:color w:val="000000" w:themeColor="text1"/>
          <w:szCs w:val="24"/>
          <w:u w:color="000000"/>
          <w:bdr w:val="nil"/>
        </w:rPr>
      </w:pPr>
      <w:r w:rsidRPr="00B83C33">
        <w:rPr>
          <w:noProof/>
          <w:color w:val="000000" w:themeColor="text1"/>
          <w:szCs w:val="24"/>
          <w:u w:color="000000"/>
          <w:bdr w:val="nil"/>
        </w:rPr>
        <w:t>•</w:t>
      </w:r>
      <w:r w:rsidRPr="00B83C33">
        <w:rPr>
          <w:noProof/>
        </w:rPr>
        <w:tab/>
      </w:r>
      <w:r w:rsidRPr="00B83C33">
        <w:rPr>
          <w:noProof/>
          <w:color w:val="000000" w:themeColor="text1"/>
          <w:szCs w:val="24"/>
        </w:rPr>
        <w:t>Összhang a szabályozási terület jelenlegi rendelkezéseivel</w:t>
      </w:r>
    </w:p>
    <w:p w:rsidR="00825D43" w:rsidRPr="00B83C33" w:rsidRDefault="00825D43" w:rsidP="00825D43">
      <w:pPr>
        <w:pBdr>
          <w:top w:val="nil"/>
          <w:left w:val="nil"/>
          <w:bottom w:val="nil"/>
          <w:right w:val="nil"/>
          <w:between w:val="nil"/>
          <w:bar w:val="nil"/>
        </w:pBdr>
        <w:spacing w:after="240"/>
        <w:rPr>
          <w:noProof/>
        </w:rPr>
      </w:pPr>
      <w:r w:rsidRPr="00B83C33">
        <w:rPr>
          <w:noProof/>
        </w:rPr>
        <w:t>Ez a javaslat összhangban áll a szabályozási terület jelenlegi rendelkezéseivel, nevezetesen a következőkkel:</w:t>
      </w:r>
    </w:p>
    <w:p w:rsidR="00825D43" w:rsidRPr="00B83C33" w:rsidRDefault="00825D43" w:rsidP="00825D43">
      <w:pPr>
        <w:pStyle w:val="Bullet1"/>
        <w:rPr>
          <w:noProof/>
        </w:rPr>
      </w:pPr>
      <w:r w:rsidRPr="00B83C33">
        <w:rPr>
          <w:noProof/>
        </w:rPr>
        <w:t xml:space="preserve">Új európai konszenzus a fejlesztési politikáról: „A mi világunk, </w:t>
      </w:r>
      <w:r w:rsidR="00B83C33">
        <w:rPr>
          <w:noProof/>
        </w:rPr>
        <w:t>a mi méltóságunk, a mi jövőnk” (</w:t>
      </w:r>
      <w:r w:rsidRPr="00B83C33">
        <w:rPr>
          <w:noProof/>
        </w:rPr>
        <w:t>2017. június 8.</w:t>
      </w:r>
      <w:r w:rsidR="00B83C33">
        <w:rPr>
          <w:noProof/>
        </w:rPr>
        <w:t>)</w:t>
      </w:r>
      <w:r w:rsidRPr="00B83C33">
        <w:rPr>
          <w:rStyle w:val="FootnoteReference"/>
          <w:rFonts w:eastAsia="Arial Unicode MS"/>
          <w:noProof/>
          <w:szCs w:val="24"/>
        </w:rPr>
        <w:footnoteReference w:id="3"/>
      </w:r>
    </w:p>
    <w:p w:rsidR="00825D43" w:rsidRPr="00B83C33" w:rsidRDefault="00825D43" w:rsidP="00825D43">
      <w:pPr>
        <w:pStyle w:val="Bullet1"/>
        <w:rPr>
          <w:noProof/>
        </w:rPr>
      </w:pPr>
      <w:r w:rsidRPr="00B83C33">
        <w:rPr>
          <w:noProof/>
        </w:rPr>
        <w:t>Az EU kül- és biztonságpolitikára vonatkozó globális stratégiája</w:t>
      </w:r>
    </w:p>
    <w:p w:rsidR="00825D43" w:rsidRPr="00B83C33" w:rsidRDefault="00825D43" w:rsidP="00825D43">
      <w:pPr>
        <w:pStyle w:val="Bullet1"/>
        <w:rPr>
          <w:noProof/>
        </w:rPr>
      </w:pPr>
      <w:r w:rsidRPr="00B83C33">
        <w:rPr>
          <w:noProof/>
        </w:rPr>
        <w:t>Közös közlemény az Európai Parlamentnek és a Tanácsnak: Az Afrikával kap</w:t>
      </w:r>
      <w:r w:rsidR="00B83C33">
        <w:rPr>
          <w:noProof/>
        </w:rPr>
        <w:t>csolatos átfogó stratégia felé (</w:t>
      </w:r>
      <w:r w:rsidRPr="00B83C33">
        <w:rPr>
          <w:noProof/>
        </w:rPr>
        <w:t>2020. március 9.</w:t>
      </w:r>
      <w:r w:rsidR="00B83C33">
        <w:rPr>
          <w:noProof/>
        </w:rPr>
        <w:t>)</w:t>
      </w:r>
      <w:r w:rsidRPr="00B83C33">
        <w:rPr>
          <w:rStyle w:val="FootnoteReference"/>
          <w:rFonts w:eastAsia="Arial Unicode MS"/>
          <w:noProof/>
          <w:szCs w:val="24"/>
        </w:rPr>
        <w:footnoteReference w:id="4"/>
      </w:r>
    </w:p>
    <w:p w:rsidR="00825D43" w:rsidRPr="00B83C33" w:rsidRDefault="00825D43" w:rsidP="00825D43">
      <w:pPr>
        <w:pStyle w:val="Bullet1"/>
        <w:rPr>
          <w:noProof/>
        </w:rPr>
      </w:pPr>
      <w:r w:rsidRPr="00B83C33">
        <w:rPr>
          <w:noProof/>
        </w:rPr>
        <w:t>Az emberi jogokra és a demokráciára vonatkozó uniós cselekvési terv (2020–2024)</w:t>
      </w:r>
      <w:r w:rsidRPr="00B83C33">
        <w:rPr>
          <w:rStyle w:val="FootnoteReference"/>
          <w:rFonts w:eastAsia="Arial Unicode MS"/>
          <w:noProof/>
          <w:szCs w:val="24"/>
        </w:rPr>
        <w:footnoteReference w:id="5"/>
      </w:r>
    </w:p>
    <w:p w:rsidR="00825D43" w:rsidRPr="00B83C33" w:rsidRDefault="00825D43" w:rsidP="00825D43">
      <w:pPr>
        <w:pStyle w:val="Bullet1"/>
        <w:rPr>
          <w:noProof/>
        </w:rPr>
      </w:pPr>
      <w:r w:rsidRPr="00B83C33">
        <w:rPr>
          <w:noProof/>
        </w:rPr>
        <w:t>Az emberi jogokra és a demokráciára vonatkozó uniós stratégiai keret (2012)</w:t>
      </w:r>
      <w:r w:rsidRPr="00B83C33">
        <w:rPr>
          <w:rStyle w:val="FootnoteReference"/>
          <w:rFonts w:eastAsia="Arial Unicode MS"/>
          <w:noProof/>
          <w:szCs w:val="24"/>
        </w:rPr>
        <w:footnoteReference w:id="6"/>
      </w:r>
    </w:p>
    <w:p w:rsidR="00825D43" w:rsidRPr="00B83C33" w:rsidRDefault="00825D43" w:rsidP="00825D43">
      <w:pPr>
        <w:pStyle w:val="Bullet1"/>
        <w:rPr>
          <w:noProof/>
        </w:rPr>
      </w:pPr>
      <w:r w:rsidRPr="00B83C33">
        <w:rPr>
          <w:noProof/>
        </w:rPr>
        <w:t>A nemek közötti egyenlőségre vonatkozó III. uniós cselekvési terv (2020. november 25.)</w:t>
      </w:r>
      <w:r w:rsidRPr="00B83C33">
        <w:rPr>
          <w:rStyle w:val="FootnoteReference"/>
          <w:rFonts w:eastAsia="Arial Unicode MS"/>
          <w:noProof/>
          <w:szCs w:val="24"/>
        </w:rPr>
        <w:footnoteReference w:id="7"/>
      </w:r>
    </w:p>
    <w:p w:rsidR="00825D43" w:rsidRPr="00B83C33" w:rsidRDefault="00825D43" w:rsidP="00825D43">
      <w:pPr>
        <w:pBdr>
          <w:top w:val="nil"/>
          <w:left w:val="nil"/>
          <w:bottom w:val="nil"/>
          <w:right w:val="nil"/>
          <w:between w:val="nil"/>
          <w:bar w:val="nil"/>
        </w:pBdr>
        <w:spacing w:after="240"/>
        <w:rPr>
          <w:noProof/>
        </w:rPr>
      </w:pPr>
      <w:r w:rsidRPr="00B83C33">
        <w:rPr>
          <w:noProof/>
        </w:rPr>
        <w:t>Az uniós együttműködés a 2030-ig tartó időszakra szóló menetrenden és a fenntartható fejlődési célokon, a Párizsi Megállapodáson, valamint az addisz-abebai cselekvési programon alapul.</w:t>
      </w:r>
    </w:p>
    <w:p w:rsidR="00825D43" w:rsidRPr="00B83C33" w:rsidRDefault="00825D43" w:rsidP="00825D43">
      <w:pPr>
        <w:pBdr>
          <w:top w:val="nil"/>
          <w:left w:val="nil"/>
          <w:bottom w:val="nil"/>
          <w:right w:val="nil"/>
          <w:between w:val="nil"/>
          <w:bar w:val="nil"/>
        </w:pBdr>
        <w:spacing w:after="240"/>
        <w:rPr>
          <w:noProof/>
          <w:color w:val="000000" w:themeColor="text1"/>
        </w:rPr>
      </w:pPr>
      <w:r w:rsidRPr="00B83C33">
        <w:rPr>
          <w:noProof/>
        </w:rPr>
        <w:t>A javaslat lehetővé teszi e rendelkezések teljes körű végrehajtását, mivel teret enged a burundi kormánnyal való együttműködésnek, miközben az újraindított állandó politikai párbeszéd keretében folytatódik az agg</w:t>
      </w:r>
      <w:r w:rsidR="00E053F9">
        <w:rPr>
          <w:noProof/>
        </w:rPr>
        <w:t>ályos kérdések nyomon követése.</w:t>
      </w:r>
    </w:p>
    <w:p w:rsidR="00825D43" w:rsidRPr="00B83C33" w:rsidRDefault="00825D43" w:rsidP="00825D43">
      <w:pPr>
        <w:pStyle w:val="ManualHeading2"/>
        <w:rPr>
          <w:rFonts w:eastAsia="Arial Unicode MS"/>
          <w:noProof/>
          <w:color w:val="000000" w:themeColor="text1"/>
          <w:szCs w:val="24"/>
        </w:rPr>
      </w:pPr>
      <w:r w:rsidRPr="00B83C33">
        <w:rPr>
          <w:noProof/>
        </w:rPr>
        <w:t xml:space="preserve"> </w:t>
      </w:r>
      <w:r w:rsidRPr="00B83C33">
        <w:rPr>
          <w:noProof/>
          <w:color w:val="000000" w:themeColor="text1"/>
          <w:szCs w:val="24"/>
          <w:u w:color="000000"/>
          <w:bdr w:val="nil"/>
        </w:rPr>
        <w:t>•</w:t>
      </w:r>
      <w:r w:rsidRPr="00B83C33">
        <w:rPr>
          <w:noProof/>
        </w:rPr>
        <w:tab/>
      </w:r>
      <w:r w:rsidRPr="00B83C33">
        <w:rPr>
          <w:noProof/>
          <w:color w:val="000000" w:themeColor="text1"/>
          <w:szCs w:val="24"/>
        </w:rPr>
        <w:t>Összhang az Unió egyéb szakpolitikáival</w:t>
      </w:r>
    </w:p>
    <w:p w:rsidR="00825D43" w:rsidRPr="00B83C33" w:rsidRDefault="00825D43" w:rsidP="00825D43">
      <w:pPr>
        <w:pBdr>
          <w:top w:val="nil"/>
          <w:left w:val="nil"/>
          <w:bottom w:val="nil"/>
          <w:right w:val="nil"/>
          <w:between w:val="nil"/>
          <w:bar w:val="nil"/>
        </w:pBdr>
        <w:spacing w:after="240"/>
        <w:rPr>
          <w:rFonts w:eastAsia="Arial Unicode MS"/>
          <w:noProof/>
          <w:color w:val="000000" w:themeColor="text1"/>
          <w:szCs w:val="24"/>
        </w:rPr>
      </w:pPr>
      <w:r w:rsidRPr="00B83C33">
        <w:rPr>
          <w:noProof/>
        </w:rPr>
        <w:t>A javaslat összhangban van a Bizottság 2019–2024-es időszakra vonatkozó prioritásaival, amennyiben azok a külső fellépésekre is alkalmazandók. Ezek a prioritások a következők: zöld megállapodás, digitális átalakulás és adattechnológiák, szövetségek a fenntartható növekedésért és a tisztességes munkahelyekért, a migráció jobb kezelése és irányítása, migrációs partnerségek, valamint kormányzás, béke és biztonság. A javaslat szintén összhangban van az Európai Unió kül- és biztonságpolitikára vonatkozó 2016. évi globális stratégiájával.</w:t>
      </w:r>
    </w:p>
    <w:p w:rsidR="00825D43" w:rsidRPr="00B83C33" w:rsidRDefault="00825D43" w:rsidP="00825D43">
      <w:pPr>
        <w:pStyle w:val="ManualHeading1"/>
        <w:rPr>
          <w:noProof/>
          <w:color w:val="000000" w:themeColor="text1"/>
          <w:szCs w:val="24"/>
        </w:rPr>
      </w:pPr>
      <w:r w:rsidRPr="00B83C33">
        <w:rPr>
          <w:noProof/>
          <w:color w:val="000000" w:themeColor="text1"/>
          <w:szCs w:val="24"/>
        </w:rPr>
        <w:t>2.</w:t>
      </w:r>
      <w:r w:rsidRPr="00B83C33">
        <w:rPr>
          <w:noProof/>
        </w:rPr>
        <w:tab/>
      </w:r>
      <w:r w:rsidRPr="00B83C33">
        <w:rPr>
          <w:noProof/>
          <w:color w:val="000000" w:themeColor="text1"/>
          <w:szCs w:val="24"/>
        </w:rPr>
        <w:t>JOGALAP, SZUBSZIDIARITÁS ÉS ARÁNYOSSÁG</w:t>
      </w:r>
    </w:p>
    <w:p w:rsidR="00825D43" w:rsidRPr="00B83C33" w:rsidRDefault="00825D43" w:rsidP="00825D43">
      <w:pPr>
        <w:pStyle w:val="ManualHeading2"/>
        <w:rPr>
          <w:rFonts w:eastAsia="Arial Unicode MS"/>
          <w:noProof/>
          <w:color w:val="000000" w:themeColor="text1"/>
          <w:szCs w:val="24"/>
          <w:u w:color="000000"/>
          <w:bdr w:val="nil"/>
        </w:rPr>
      </w:pPr>
      <w:r w:rsidRPr="00B83C33">
        <w:rPr>
          <w:noProof/>
          <w:color w:val="000000" w:themeColor="text1"/>
          <w:szCs w:val="24"/>
          <w:u w:color="000000"/>
          <w:bdr w:val="nil"/>
        </w:rPr>
        <w:t>•</w:t>
      </w:r>
      <w:r w:rsidRPr="00B83C33">
        <w:rPr>
          <w:noProof/>
        </w:rPr>
        <w:tab/>
      </w:r>
      <w:r w:rsidRPr="00B83C33">
        <w:rPr>
          <w:noProof/>
          <w:color w:val="000000" w:themeColor="text1"/>
          <w:szCs w:val="24"/>
          <w:u w:color="000000"/>
          <w:bdr w:val="nil"/>
        </w:rPr>
        <w:t>Jogalap</w:t>
      </w:r>
    </w:p>
    <w:p w:rsidR="00825D43" w:rsidRPr="00B83C33" w:rsidRDefault="00825D43" w:rsidP="00825D43">
      <w:pPr>
        <w:pBdr>
          <w:top w:val="nil"/>
          <w:left w:val="nil"/>
          <w:bottom w:val="nil"/>
          <w:right w:val="nil"/>
          <w:between w:val="nil"/>
          <w:bar w:val="nil"/>
        </w:pBdr>
        <w:spacing w:after="240"/>
        <w:rPr>
          <w:noProof/>
        </w:rPr>
      </w:pPr>
      <w:r w:rsidRPr="00B83C33">
        <w:rPr>
          <w:noProof/>
        </w:rPr>
        <w:t>A tagállamok kormányainak a Tanács keretében ülésező képviselői között létrejött, az AKCS–EK partnerségi megállapodás végrehajtása során hozandó intézkedésekről és követendő eljárásokról szóló belső megállapodás</w:t>
      </w:r>
      <w:r w:rsidRPr="00B83C33">
        <w:rPr>
          <w:rStyle w:val="FootnoteReference"/>
          <w:rFonts w:eastAsia="Arial Unicode MS"/>
          <w:noProof/>
          <w:szCs w:val="24"/>
        </w:rPr>
        <w:footnoteReference w:id="8"/>
      </w:r>
      <w:r w:rsidRPr="00B83C33">
        <w:rPr>
          <w:noProof/>
        </w:rPr>
        <w:t xml:space="preserve"> mellékletének 3. cikke, valamint a felülvizsgált Cotonoui Megállapodás</w:t>
      </w:r>
      <w:r w:rsidRPr="00B83C33">
        <w:rPr>
          <w:rStyle w:val="FootnoteReference"/>
          <w:rFonts w:eastAsia="Arial Unicode MS"/>
          <w:noProof/>
          <w:szCs w:val="24"/>
        </w:rPr>
        <w:footnoteReference w:id="9"/>
      </w:r>
      <w:r w:rsidRPr="00B83C33">
        <w:rPr>
          <w:noProof/>
        </w:rPr>
        <w:t xml:space="preserve"> 96. cikke.</w:t>
      </w:r>
    </w:p>
    <w:p w:rsidR="00825D43" w:rsidRPr="00B83C33" w:rsidRDefault="00825D43" w:rsidP="00825D43">
      <w:pPr>
        <w:pStyle w:val="ManualHeading2"/>
        <w:rPr>
          <w:rFonts w:eastAsia="Arial Unicode MS"/>
          <w:noProof/>
          <w:color w:val="000000" w:themeColor="text1"/>
          <w:szCs w:val="24"/>
          <w:u w:color="000000"/>
          <w:bdr w:val="nil"/>
        </w:rPr>
      </w:pPr>
      <w:r w:rsidRPr="00B83C33">
        <w:rPr>
          <w:noProof/>
          <w:color w:val="000000" w:themeColor="text1"/>
          <w:szCs w:val="24"/>
          <w:u w:color="000000"/>
          <w:bdr w:val="nil"/>
        </w:rPr>
        <w:t>•</w:t>
      </w:r>
      <w:r w:rsidRPr="00B83C33">
        <w:rPr>
          <w:noProof/>
        </w:rPr>
        <w:tab/>
      </w:r>
      <w:r w:rsidRPr="00B83C33">
        <w:rPr>
          <w:noProof/>
          <w:color w:val="000000" w:themeColor="text1"/>
          <w:szCs w:val="24"/>
          <w:u w:color="000000"/>
          <w:bdr w:val="nil"/>
        </w:rPr>
        <w:t>Szubszidiaritás</w:t>
      </w:r>
    </w:p>
    <w:p w:rsidR="00825D43" w:rsidRPr="00B83C33" w:rsidRDefault="00825D43" w:rsidP="00825D43">
      <w:pPr>
        <w:pBdr>
          <w:top w:val="nil"/>
          <w:left w:val="nil"/>
          <w:bottom w:val="nil"/>
          <w:right w:val="nil"/>
          <w:between w:val="nil"/>
          <w:bar w:val="nil"/>
        </w:pBdr>
        <w:spacing w:after="240"/>
        <w:rPr>
          <w:rFonts w:eastAsia="Arial Unicode MS"/>
          <w:noProof/>
          <w:color w:val="000000" w:themeColor="text1"/>
          <w:szCs w:val="24"/>
        </w:rPr>
      </w:pPr>
      <w:r w:rsidRPr="00B83C33">
        <w:rPr>
          <w:noProof/>
        </w:rPr>
        <w:t>E javaslat célkitűzéseit a tagállamok nem tudják kielégítően megvalósítani, az Unió szintjén azonban terjedelmük és hatásaik miatt e célok jobban megvalósíthatók.</w:t>
      </w:r>
    </w:p>
    <w:p w:rsidR="00825D43" w:rsidRPr="00B83C33" w:rsidRDefault="00825D43" w:rsidP="00825D43">
      <w:pPr>
        <w:pStyle w:val="ManualHeading2"/>
        <w:rPr>
          <w:rFonts w:eastAsia="Arial Unicode MS"/>
          <w:noProof/>
          <w:color w:val="000000" w:themeColor="text1"/>
          <w:szCs w:val="24"/>
          <w:u w:color="000000"/>
          <w:bdr w:val="nil"/>
        </w:rPr>
      </w:pPr>
      <w:r w:rsidRPr="00B83C33">
        <w:rPr>
          <w:noProof/>
          <w:color w:val="000000" w:themeColor="text1"/>
          <w:szCs w:val="24"/>
          <w:u w:color="000000"/>
          <w:bdr w:val="nil"/>
        </w:rPr>
        <w:t>•</w:t>
      </w:r>
      <w:r w:rsidRPr="00B83C33">
        <w:rPr>
          <w:noProof/>
        </w:rPr>
        <w:tab/>
      </w:r>
      <w:r w:rsidRPr="00B83C33">
        <w:rPr>
          <w:noProof/>
          <w:color w:val="000000" w:themeColor="text1"/>
          <w:szCs w:val="24"/>
          <w:u w:color="000000"/>
          <w:bdr w:val="nil"/>
        </w:rPr>
        <w:t>Arányosság</w:t>
      </w:r>
    </w:p>
    <w:p w:rsidR="00825D43" w:rsidRPr="00B83C33" w:rsidRDefault="00825D43" w:rsidP="00825D43">
      <w:pPr>
        <w:pBdr>
          <w:top w:val="nil"/>
          <w:left w:val="nil"/>
          <w:bottom w:val="nil"/>
          <w:right w:val="nil"/>
          <w:between w:val="nil"/>
          <w:bar w:val="nil"/>
        </w:pBdr>
        <w:spacing w:after="240"/>
        <w:rPr>
          <w:rFonts w:eastAsia="Arial Unicode MS"/>
          <w:noProof/>
          <w:color w:val="000000" w:themeColor="text1"/>
          <w:szCs w:val="24"/>
        </w:rPr>
      </w:pPr>
      <w:r w:rsidRPr="00B83C33">
        <w:rPr>
          <w:noProof/>
          <w:color w:val="000000" w:themeColor="text1"/>
          <w:szCs w:val="24"/>
        </w:rPr>
        <w:t>Ez a kezdeményezés a külső tevékenységgel kapcsolatos uniós célokat szolgálja, továbbá hozzájárul az EU globális szerepének megerősítésére vonatkozó politikai prioritáshoz. Összhangban van mind a szakpolitikai területre vonatkozó uniós szakpolitikai rendelkezésekkel, mind az egyéb vonatkozó uniós szakpolitikákkal. Az említett határozat hatályon kívül helyezése lehetővé teszi az EU és Burundi közötti rendes kapcsolatok helyreállítását, és az EU a rendelkezésére álló partnerségi eszközök teljes tárházának felhasználásával, más nemzetközi partnerekkel együtt támogatni fogja a burundi kormány folyamatos erőfeszítéseit a demokratikus intézmények stabilizálása és megszilárdítása, az emberi jogok, a jó kormányzás és a jogállamiság előmozdítása, valamint az ütemtervben („Feuille de route”) foglalt, e területek továbbfejlesztésére irányuló kötelezettségvállalások teljesítése érdekében, miközben politikai párbeszédet folytat, ezáltal előmozdítva a kölcsönös elszámoltathatóságot.</w:t>
      </w:r>
    </w:p>
    <w:p w:rsidR="00825D43" w:rsidRPr="00B83C33" w:rsidRDefault="00825D43" w:rsidP="00825D43">
      <w:pPr>
        <w:pStyle w:val="ManualHeading2"/>
        <w:rPr>
          <w:rFonts w:eastAsia="Arial Unicode MS"/>
          <w:noProof/>
          <w:color w:val="000000" w:themeColor="text1"/>
          <w:szCs w:val="24"/>
          <w:u w:color="000000"/>
          <w:bdr w:val="nil"/>
        </w:rPr>
      </w:pPr>
      <w:r w:rsidRPr="00B83C33">
        <w:rPr>
          <w:noProof/>
          <w:color w:val="000000" w:themeColor="text1"/>
          <w:szCs w:val="24"/>
          <w:u w:color="000000"/>
          <w:bdr w:val="nil"/>
        </w:rPr>
        <w:t>•</w:t>
      </w:r>
      <w:r w:rsidRPr="00B83C33">
        <w:rPr>
          <w:noProof/>
        </w:rPr>
        <w:tab/>
      </w:r>
      <w:r w:rsidRPr="00B83C33">
        <w:rPr>
          <w:noProof/>
          <w:color w:val="000000" w:themeColor="text1"/>
          <w:szCs w:val="24"/>
          <w:u w:color="000000"/>
          <w:bdr w:val="nil"/>
        </w:rPr>
        <w:t>A jogi aktus típusának megválasztása</w:t>
      </w:r>
    </w:p>
    <w:p w:rsidR="00825D43" w:rsidRPr="00B83C33" w:rsidRDefault="00825D43" w:rsidP="00825D43">
      <w:pPr>
        <w:pBdr>
          <w:top w:val="nil"/>
          <w:left w:val="nil"/>
          <w:bottom w:val="nil"/>
          <w:right w:val="nil"/>
          <w:between w:val="nil"/>
          <w:bar w:val="nil"/>
        </w:pBdr>
        <w:spacing w:after="240"/>
        <w:rPr>
          <w:rFonts w:eastAsia="Arial Unicode MS"/>
          <w:noProof/>
          <w:color w:val="000000" w:themeColor="text1"/>
          <w:szCs w:val="24"/>
        </w:rPr>
      </w:pPr>
      <w:r w:rsidRPr="00B83C33">
        <w:rPr>
          <w:noProof/>
          <w:color w:val="000000" w:themeColor="text1"/>
          <w:szCs w:val="24"/>
        </w:rPr>
        <w:t>A javaslatot a Bizottság terjeszti elő az Unió külügyi és biztonságpolitikai főképviselőjével egyetértésben, az (EU) 2016/394 tanácsi határozat mellékletében foglalt megfelelő intézkedések elfogadásához választott eljárást követve. Nincs más olyan jogi eszköz, amely által megvalósíthatók lennének a javaslatban megfogalmazott célkitűzések.</w:t>
      </w:r>
    </w:p>
    <w:p w:rsidR="00825D43" w:rsidRPr="00B83C33" w:rsidRDefault="00825D43" w:rsidP="00825D43">
      <w:pPr>
        <w:pStyle w:val="ManualHeading1"/>
        <w:rPr>
          <w:noProof/>
          <w:color w:val="000000" w:themeColor="text1"/>
          <w:szCs w:val="24"/>
        </w:rPr>
      </w:pPr>
      <w:r w:rsidRPr="00B83C33">
        <w:rPr>
          <w:noProof/>
          <w:color w:val="000000" w:themeColor="text1"/>
          <w:szCs w:val="24"/>
        </w:rPr>
        <w:t>3.</w:t>
      </w:r>
      <w:r w:rsidRPr="00B83C33">
        <w:rPr>
          <w:noProof/>
        </w:rPr>
        <w:tab/>
      </w:r>
      <w:r w:rsidRPr="00B83C33">
        <w:rPr>
          <w:noProof/>
          <w:color w:val="000000" w:themeColor="text1"/>
          <w:szCs w:val="24"/>
        </w:rPr>
        <w:t>AZ UTÓLAGOS ÉRTÉKELÉSEK, AZ ÉRDEKELT FELEKKEL FOLYTATOTT KONZULTÁCIÓK ÉS A HATÁSVIZSGÁLATOK EREDMÉNYEI</w:t>
      </w:r>
    </w:p>
    <w:p w:rsidR="00825D43" w:rsidRPr="00B83C33" w:rsidRDefault="00825D43" w:rsidP="00825D43">
      <w:pPr>
        <w:pStyle w:val="ManualHeading2"/>
        <w:rPr>
          <w:rFonts w:eastAsia="Arial Unicode MS"/>
          <w:noProof/>
          <w:color w:val="000000" w:themeColor="text1"/>
          <w:szCs w:val="24"/>
          <w:u w:color="000000"/>
          <w:bdr w:val="nil"/>
        </w:rPr>
      </w:pPr>
      <w:r w:rsidRPr="00B83C33">
        <w:rPr>
          <w:noProof/>
          <w:color w:val="000000" w:themeColor="text1"/>
          <w:szCs w:val="24"/>
          <w:u w:color="000000"/>
          <w:bdr w:val="nil"/>
        </w:rPr>
        <w:t>•</w:t>
      </w:r>
      <w:r w:rsidRPr="00B83C33">
        <w:rPr>
          <w:noProof/>
        </w:rPr>
        <w:tab/>
      </w:r>
      <w:r w:rsidRPr="00B83C33">
        <w:rPr>
          <w:noProof/>
          <w:color w:val="000000" w:themeColor="text1"/>
          <w:szCs w:val="24"/>
          <w:u w:color="000000"/>
          <w:bdr w:val="nil"/>
        </w:rPr>
        <w:t>A jelenleg hatályban lévő jogszabályok utólagos értékelése / célravezetőségi vizsgálata</w:t>
      </w:r>
    </w:p>
    <w:p w:rsidR="00825D43" w:rsidRPr="00B83C33" w:rsidRDefault="00825D43" w:rsidP="00825D43">
      <w:pPr>
        <w:pBdr>
          <w:top w:val="nil"/>
          <w:left w:val="nil"/>
          <w:bottom w:val="nil"/>
          <w:right w:val="nil"/>
          <w:between w:val="nil"/>
          <w:bar w:val="nil"/>
        </w:pBdr>
        <w:spacing w:after="240"/>
        <w:rPr>
          <w:rFonts w:eastAsia="Arial Unicode MS"/>
          <w:noProof/>
          <w:color w:val="000000" w:themeColor="text1"/>
          <w:szCs w:val="24"/>
        </w:rPr>
      </w:pPr>
      <w:r w:rsidRPr="00B83C33">
        <w:rPr>
          <w:noProof/>
        </w:rPr>
        <w:t>Tárgytalan.</w:t>
      </w:r>
    </w:p>
    <w:p w:rsidR="00825D43" w:rsidRPr="00B83C33" w:rsidRDefault="00825D43" w:rsidP="00825D43">
      <w:pPr>
        <w:pStyle w:val="ManualHeading2"/>
        <w:rPr>
          <w:noProof/>
        </w:rPr>
      </w:pPr>
      <w:r w:rsidRPr="00B83C33">
        <w:rPr>
          <w:noProof/>
          <w:color w:val="000000" w:themeColor="text1"/>
          <w:szCs w:val="24"/>
          <w:u w:color="000000"/>
          <w:bdr w:val="nil"/>
        </w:rPr>
        <w:t>•</w:t>
      </w:r>
      <w:r w:rsidRPr="00B83C33">
        <w:rPr>
          <w:noProof/>
        </w:rPr>
        <w:tab/>
      </w:r>
      <w:r w:rsidRPr="00B83C33">
        <w:rPr>
          <w:noProof/>
          <w:color w:val="000000" w:themeColor="text1"/>
          <w:szCs w:val="24"/>
          <w:u w:color="000000"/>
          <w:bdr w:val="nil"/>
        </w:rPr>
        <w:t>Az érdekelt felekkel folytatott konzultációk</w:t>
      </w:r>
    </w:p>
    <w:p w:rsidR="00825D43" w:rsidRPr="00B83C33" w:rsidRDefault="00825D43" w:rsidP="00825D43">
      <w:pPr>
        <w:pBdr>
          <w:top w:val="nil"/>
          <w:left w:val="nil"/>
          <w:bottom w:val="nil"/>
          <w:right w:val="nil"/>
          <w:between w:val="nil"/>
          <w:bar w:val="nil"/>
        </w:pBdr>
        <w:spacing w:after="240"/>
        <w:rPr>
          <w:noProof/>
        </w:rPr>
      </w:pPr>
      <w:r w:rsidRPr="00B83C33">
        <w:rPr>
          <w:noProof/>
        </w:rPr>
        <w:t>E javaslat a Burundiban működő uniós missziók vezetői által készített, fent említett jelentés figyelembevételével került kidolgozásra. A jelentésről az Afrika-munkacsoport (COAFR-munkacsoport) 2021. május 25-én, az afrikai, karibi és csendes-óceáni államokkal foglalkozó munkacsoport (AKCS-munkacsoport) pedig 2021. május 28-án tárgyalt. A COAFR-munkacsoport tagjai elismerték a pozitív fejleményeket, és támogatták a megfelelő intézkedések visszavonását, ugyanakkor hangsúlyozták, hogy változatlanul fontos további előrelépésre ösztönözni a burundi kormányt az emberi jogok, a jogállamiság és a kormányzás terén. Az AKCS-munkacsoport tagjai támogatásukat fejezték ki a COAFR-munkacsoport keretében folytatott megbeszélések eredményeivel kapcsolatban, és kiemelték annak jelentőségét, hogy a további előrelépés elősegítése érdekében fenntartsák az érintett személyekre vonatkozó korlátozó intézkedéseket</w:t>
      </w:r>
      <w:r w:rsidRPr="00B83C33">
        <w:rPr>
          <w:rStyle w:val="FootnoteReference"/>
          <w:rFonts w:eastAsia="Arial Unicode MS"/>
          <w:noProof/>
          <w:szCs w:val="24"/>
        </w:rPr>
        <w:footnoteReference w:id="10"/>
      </w:r>
      <w:r w:rsidRPr="00B83C33">
        <w:rPr>
          <w:noProof/>
        </w:rPr>
        <w:t>.</w:t>
      </w:r>
    </w:p>
    <w:p w:rsidR="00825D43" w:rsidRPr="00B83C33" w:rsidRDefault="00825D43" w:rsidP="00825D43">
      <w:pPr>
        <w:pStyle w:val="ManualHeading2"/>
        <w:rPr>
          <w:rFonts w:eastAsia="Arial Unicode MS"/>
          <w:noProof/>
          <w:color w:val="000000" w:themeColor="text1"/>
          <w:szCs w:val="24"/>
          <w:u w:color="000000"/>
          <w:bdr w:val="nil"/>
        </w:rPr>
      </w:pPr>
      <w:r w:rsidRPr="00B83C33">
        <w:rPr>
          <w:noProof/>
          <w:color w:val="000000" w:themeColor="text1"/>
          <w:szCs w:val="24"/>
          <w:u w:color="000000"/>
          <w:bdr w:val="nil"/>
        </w:rPr>
        <w:t>•</w:t>
      </w:r>
      <w:r w:rsidRPr="00B83C33">
        <w:rPr>
          <w:noProof/>
        </w:rPr>
        <w:tab/>
      </w:r>
      <w:r w:rsidRPr="00B83C33">
        <w:rPr>
          <w:noProof/>
          <w:color w:val="000000" w:themeColor="text1"/>
          <w:szCs w:val="24"/>
          <w:u w:color="000000"/>
          <w:bdr w:val="nil"/>
        </w:rPr>
        <w:t>Hatásvizsgálat</w:t>
      </w:r>
    </w:p>
    <w:p w:rsidR="00825D43" w:rsidRPr="00B83C33" w:rsidRDefault="00825D43" w:rsidP="00825D43">
      <w:pPr>
        <w:pBdr>
          <w:top w:val="nil"/>
          <w:left w:val="nil"/>
          <w:bottom w:val="nil"/>
          <w:right w:val="nil"/>
          <w:between w:val="nil"/>
          <w:bar w:val="nil"/>
        </w:pBdr>
        <w:spacing w:after="240"/>
        <w:rPr>
          <w:noProof/>
          <w:color w:val="000000" w:themeColor="text1"/>
        </w:rPr>
      </w:pPr>
      <w:r w:rsidRPr="00B83C33">
        <w:rPr>
          <w:noProof/>
        </w:rPr>
        <w:t>A megfelelő intézkedések visszavonása a várakozások szerint bizalmat teremt majd az EU és Burundi között és normalizálja a kapcsolatokat, hozzájárulhat a pozitív erők megerősítéséhez a burundi hatalmi struktúrákon belül, lehetővé teszi a politikai párbeszédet az érzékeny kérdésekről, fokozza az EU befolyását, valamint megerősíti az EU pozícióját Burundiban más globáli</w:t>
      </w:r>
      <w:r w:rsidR="00E053F9">
        <w:rPr>
          <w:noProof/>
        </w:rPr>
        <w:t>s szereplőkhöz képest.</w:t>
      </w:r>
    </w:p>
    <w:p w:rsidR="00825D43" w:rsidRPr="00B83C33" w:rsidRDefault="00825D43" w:rsidP="00825D43">
      <w:pPr>
        <w:pBdr>
          <w:top w:val="nil"/>
          <w:left w:val="nil"/>
          <w:bottom w:val="nil"/>
          <w:right w:val="nil"/>
          <w:between w:val="nil"/>
          <w:bar w:val="nil"/>
        </w:pBdr>
        <w:spacing w:after="240"/>
        <w:rPr>
          <w:noProof/>
        </w:rPr>
      </w:pPr>
      <w:r w:rsidRPr="00B83C33">
        <w:rPr>
          <w:noProof/>
        </w:rPr>
        <w:t>A megfelelő intézkedések megszüntetése lehetővé teszi, hogy a 2021 és 2027 közötti időszakra vonatkozó többéves indikatív programozást az emberi jogok, a jogállamiság és a kormányzás javításána</w:t>
      </w:r>
      <w:r w:rsidR="00E053F9">
        <w:rPr>
          <w:noProof/>
        </w:rPr>
        <w:t>k ösztönzésére használják fel.</w:t>
      </w:r>
    </w:p>
    <w:p w:rsidR="00825D43" w:rsidRPr="00B83C33" w:rsidRDefault="00825D43" w:rsidP="00825D43">
      <w:pPr>
        <w:pStyle w:val="ManualHeading2"/>
        <w:rPr>
          <w:rFonts w:eastAsia="Arial Unicode MS"/>
          <w:noProof/>
          <w:color w:val="000000" w:themeColor="text1"/>
          <w:szCs w:val="24"/>
          <w:u w:color="000000"/>
          <w:bdr w:val="nil"/>
        </w:rPr>
      </w:pPr>
      <w:r w:rsidRPr="00B83C33">
        <w:rPr>
          <w:noProof/>
          <w:color w:val="000000" w:themeColor="text1"/>
          <w:szCs w:val="24"/>
          <w:u w:color="000000"/>
          <w:bdr w:val="nil"/>
        </w:rPr>
        <w:t>•</w:t>
      </w:r>
      <w:r w:rsidRPr="00B83C33">
        <w:rPr>
          <w:noProof/>
        </w:rPr>
        <w:tab/>
      </w:r>
      <w:r w:rsidRPr="00B83C33">
        <w:rPr>
          <w:noProof/>
          <w:color w:val="000000" w:themeColor="text1"/>
          <w:szCs w:val="24"/>
          <w:u w:color="000000"/>
          <w:bdr w:val="nil"/>
        </w:rPr>
        <w:t>Alapjogok</w:t>
      </w:r>
    </w:p>
    <w:p w:rsidR="00825D43" w:rsidRPr="00B83C33" w:rsidRDefault="00825D43" w:rsidP="00825D43">
      <w:pPr>
        <w:autoSpaceDE w:val="0"/>
        <w:autoSpaceDN w:val="0"/>
        <w:adjustRightInd w:val="0"/>
        <w:spacing w:after="14"/>
        <w:rPr>
          <w:noProof/>
        </w:rPr>
      </w:pPr>
      <w:r w:rsidRPr="00B83C33">
        <w:rPr>
          <w:noProof/>
        </w:rPr>
        <w:t>Emellett hatályban maradnak az (EU) 2015/1763 tanácsi határozat</w:t>
      </w:r>
      <w:r w:rsidRPr="00B83C33">
        <w:rPr>
          <w:rStyle w:val="FootnoteReference"/>
          <w:rFonts w:eastAsia="Arial Unicode MS"/>
          <w:noProof/>
          <w:szCs w:val="24"/>
        </w:rPr>
        <w:footnoteReference w:id="11"/>
      </w:r>
      <w:r w:rsidRPr="00B83C33">
        <w:rPr>
          <w:noProof/>
        </w:rPr>
        <w:t xml:space="preserve"> szerinti korlátozó intézkedések a burundi demokráciát aláásó vagy a politikai megoldást akadályozó személyekkel, szerveze</w:t>
      </w:r>
      <w:r w:rsidR="00E053F9">
        <w:rPr>
          <w:noProof/>
        </w:rPr>
        <w:t>tekkel vagy szervekkel szemben.</w:t>
      </w:r>
    </w:p>
    <w:p w:rsidR="00825D43" w:rsidRPr="00B83C33" w:rsidRDefault="00825D43" w:rsidP="00825D43">
      <w:pPr>
        <w:pStyle w:val="ManualHeading1"/>
        <w:rPr>
          <w:noProof/>
          <w:color w:val="000000" w:themeColor="text1"/>
          <w:szCs w:val="24"/>
        </w:rPr>
      </w:pPr>
      <w:r w:rsidRPr="00B83C33">
        <w:rPr>
          <w:noProof/>
          <w:color w:val="000000" w:themeColor="text1"/>
          <w:szCs w:val="24"/>
        </w:rPr>
        <w:t>4.</w:t>
      </w:r>
      <w:r w:rsidRPr="00B83C33">
        <w:rPr>
          <w:noProof/>
        </w:rPr>
        <w:tab/>
      </w:r>
      <w:r w:rsidRPr="00B83C33">
        <w:rPr>
          <w:noProof/>
          <w:color w:val="000000" w:themeColor="text1"/>
          <w:szCs w:val="24"/>
        </w:rPr>
        <w:t>KÖLTSÉGVETÉSI VONZATOK</w:t>
      </w:r>
    </w:p>
    <w:p w:rsidR="00825D43" w:rsidRPr="00B83C33" w:rsidRDefault="00825D43" w:rsidP="00825D43">
      <w:pPr>
        <w:pBdr>
          <w:top w:val="nil"/>
          <w:left w:val="nil"/>
          <w:bottom w:val="nil"/>
          <w:right w:val="nil"/>
          <w:between w:val="nil"/>
          <w:bar w:val="nil"/>
        </w:pBdr>
        <w:spacing w:after="240"/>
        <w:rPr>
          <w:noProof/>
        </w:rPr>
      </w:pPr>
      <w:r w:rsidRPr="00B83C33">
        <w:rPr>
          <w:noProof/>
        </w:rPr>
        <w:t>A javaslatnak nincsenek költségvetési vonzatai.</w:t>
      </w:r>
    </w:p>
    <w:p w:rsidR="00825D43" w:rsidRPr="00B83C33" w:rsidRDefault="00825D43" w:rsidP="00825D43">
      <w:pPr>
        <w:pStyle w:val="ManualHeading1"/>
        <w:rPr>
          <w:noProof/>
          <w:color w:val="000000" w:themeColor="text1"/>
          <w:szCs w:val="24"/>
        </w:rPr>
      </w:pPr>
      <w:r w:rsidRPr="00B83C33">
        <w:rPr>
          <w:noProof/>
          <w:color w:val="000000" w:themeColor="text1"/>
          <w:szCs w:val="24"/>
        </w:rPr>
        <w:t>5.</w:t>
      </w:r>
      <w:r w:rsidRPr="00B83C33">
        <w:rPr>
          <w:noProof/>
        </w:rPr>
        <w:tab/>
      </w:r>
      <w:r w:rsidRPr="00B83C33">
        <w:rPr>
          <w:noProof/>
          <w:color w:val="000000" w:themeColor="text1"/>
          <w:szCs w:val="24"/>
        </w:rPr>
        <w:t>EGYÉB ELEMEK</w:t>
      </w:r>
    </w:p>
    <w:p w:rsidR="00825D43" w:rsidRPr="00B83C33" w:rsidRDefault="00825D43" w:rsidP="00825D43">
      <w:pPr>
        <w:pBdr>
          <w:top w:val="nil"/>
          <w:left w:val="nil"/>
          <w:bottom w:val="nil"/>
          <w:right w:val="nil"/>
          <w:between w:val="nil"/>
          <w:bar w:val="nil"/>
        </w:pBdr>
        <w:spacing w:after="240"/>
        <w:rPr>
          <w:noProof/>
        </w:rPr>
      </w:pPr>
      <w:r w:rsidRPr="00B83C33">
        <w:rPr>
          <w:noProof/>
        </w:rPr>
        <w:t>Bár ez a javaslat az (EU) 2016/394 tanácsi határozat mellékletében felsorolt megfelelő intézkedések megszüntetését irányozza elő, az (EU) 2015/1763 tanácsi határozat szerinti korlátozó intézkedések továbbra is hatályban maradnak, és azokat adott esetben az említett határozatban el</w:t>
      </w:r>
      <w:r w:rsidR="00E053F9">
        <w:rPr>
          <w:noProof/>
        </w:rPr>
        <w:t>őírtak szerint felülvizsgálják.</w:t>
      </w:r>
    </w:p>
    <w:p w:rsidR="00825D43" w:rsidRPr="00B83C33" w:rsidRDefault="00825D43" w:rsidP="00825D43">
      <w:pPr>
        <w:pBdr>
          <w:top w:val="nil"/>
          <w:left w:val="nil"/>
          <w:bottom w:val="nil"/>
          <w:right w:val="nil"/>
          <w:between w:val="nil"/>
          <w:bar w:val="nil"/>
        </w:pBdr>
        <w:spacing w:after="240"/>
        <w:rPr>
          <w:noProof/>
        </w:rPr>
      </w:pPr>
      <w:r w:rsidRPr="00B83C33">
        <w:rPr>
          <w:noProof/>
        </w:rPr>
        <w:t>A COAFR-munkacsoport tagjai sürgették az ENSZ Burundival foglalkozó vizsgálóbizottságának jövőjéről szóló egyeztetést. Az egyeztetést követően az ENSZ Emberi Jogi Tanácsa az EU által kezdeményezett határozat</w:t>
      </w:r>
      <w:r w:rsidRPr="00B83C33">
        <w:rPr>
          <w:rStyle w:val="FootnoteReference"/>
          <w:rFonts w:eastAsia="Arial Unicode MS"/>
          <w:noProof/>
          <w:szCs w:val="24"/>
        </w:rPr>
        <w:footnoteReference w:id="12"/>
      </w:r>
      <w:r w:rsidRPr="00B83C33">
        <w:rPr>
          <w:noProof/>
        </w:rPr>
        <w:t xml:space="preserve"> alapján úgy döntött, hogy a burundi emberi jogi helyzettel foglalkozó, újonnan kinevezett különleges előadó fog országspecifikus nyomon követést végezni a vizsgálóbizottság munkájára építve.</w:t>
      </w:r>
    </w:p>
    <w:p w:rsidR="00CD3D32" w:rsidRPr="00B83C33" w:rsidRDefault="00CD3D32" w:rsidP="00FD40BA">
      <w:pPr>
        <w:rPr>
          <w:noProof/>
        </w:rPr>
        <w:sectPr w:rsidR="00CD3D32" w:rsidRPr="00B83C33" w:rsidSect="00FA4D0F">
          <w:footerReference w:type="default" r:id="rId9"/>
          <w:footerReference w:type="first" r:id="rId10"/>
          <w:pgSz w:w="11907" w:h="16839"/>
          <w:pgMar w:top="1134" w:right="1417" w:bottom="1134" w:left="1417" w:header="709" w:footer="709" w:gutter="0"/>
          <w:cols w:space="708"/>
          <w:docGrid w:linePitch="360"/>
        </w:sectPr>
      </w:pPr>
    </w:p>
    <w:p w:rsidR="00EB0156" w:rsidRDefault="00EB0156" w:rsidP="00EB0156">
      <w:pPr>
        <w:pStyle w:val="Rfrenceinterinstitutionnelle"/>
        <w:rPr>
          <w:noProof/>
        </w:rPr>
      </w:pPr>
      <w:r w:rsidRPr="00EB0156">
        <w:t>2021/0439 (NLE)</w:t>
      </w:r>
    </w:p>
    <w:p w:rsidR="00CD3D32" w:rsidRPr="00B83C33" w:rsidRDefault="00C51A57" w:rsidP="00C51A57">
      <w:pPr>
        <w:pStyle w:val="Statut"/>
        <w:rPr>
          <w:noProof/>
        </w:rPr>
      </w:pPr>
      <w:r w:rsidRPr="00C51A57">
        <w:rPr>
          <w:noProof/>
        </w:rPr>
        <w:t>Javaslat</w:t>
      </w:r>
    </w:p>
    <w:p w:rsidR="00CD3D32" w:rsidRPr="00B83C33" w:rsidRDefault="00C51A57" w:rsidP="00C51A57">
      <w:pPr>
        <w:pStyle w:val="Typedudocument"/>
        <w:rPr>
          <w:noProof/>
        </w:rPr>
      </w:pPr>
      <w:r w:rsidRPr="00C51A57">
        <w:rPr>
          <w:noProof/>
        </w:rPr>
        <w:t>A TANÁCS HATÁROZATA</w:t>
      </w:r>
    </w:p>
    <w:p w:rsidR="00CD3D32" w:rsidRPr="00B83C33" w:rsidRDefault="00C51A57" w:rsidP="00C51A57">
      <w:pPr>
        <w:pStyle w:val="Titreobjet"/>
        <w:rPr>
          <w:noProof/>
        </w:rPr>
      </w:pPr>
      <w:r w:rsidRPr="00C51A57">
        <w:rPr>
          <w:noProof/>
        </w:rPr>
        <w:t>a Burundi Köztársasággal az egyrészről az afrikai, karibi és csendes-óceáni államok, másrészről az Európai Közösség és tagállamai közötti partnerségi megállapodás 96. cikke alapján folytatott konzultációs eljárás lezárásáról szóló (EU) 2016/394 tanácsi határozatnak az Unió nevében történő hatályon kívül helyezéséről</w:t>
      </w:r>
    </w:p>
    <w:p w:rsidR="00CD3D32" w:rsidRPr="00B83C33" w:rsidRDefault="00CD3D32" w:rsidP="00197315">
      <w:pPr>
        <w:pStyle w:val="Institutionquiagit"/>
        <w:rPr>
          <w:noProof/>
        </w:rPr>
      </w:pPr>
      <w:r w:rsidRPr="00B83C33">
        <w:rPr>
          <w:noProof/>
        </w:rPr>
        <w:t>AZ EURÓPAI UNIÓ TANÁCSA,</w:t>
      </w:r>
    </w:p>
    <w:p w:rsidR="00825D43" w:rsidRPr="00B83C33" w:rsidRDefault="00825D43" w:rsidP="00825D43">
      <w:pPr>
        <w:rPr>
          <w:noProof/>
        </w:rPr>
      </w:pPr>
      <w:r w:rsidRPr="00B83C33">
        <w:rPr>
          <w:noProof/>
        </w:rPr>
        <w:t>tekintettel az Európai Unióról szóló szerződésre,</w:t>
      </w:r>
    </w:p>
    <w:p w:rsidR="00825D43" w:rsidRPr="00B83C33" w:rsidRDefault="00825D43" w:rsidP="00825D43">
      <w:pPr>
        <w:rPr>
          <w:noProof/>
        </w:rPr>
      </w:pPr>
      <w:r w:rsidRPr="00B83C33">
        <w:rPr>
          <w:noProof/>
        </w:rPr>
        <w:t>tekintettel az Európai Unió</w:t>
      </w:r>
      <w:r w:rsidR="00E053F9">
        <w:rPr>
          <w:noProof/>
        </w:rPr>
        <w:t xml:space="preserve"> működéséről szóló szerződésre,</w:t>
      </w:r>
    </w:p>
    <w:p w:rsidR="00825D43" w:rsidRPr="00B83C33" w:rsidRDefault="00825D43" w:rsidP="00825D43">
      <w:pPr>
        <w:rPr>
          <w:noProof/>
        </w:rPr>
      </w:pPr>
      <w:r w:rsidRPr="00B83C33">
        <w:rPr>
          <w:noProof/>
        </w:rPr>
        <w:t>tekintettel az egyrészről az afrikai, karibi és csendes-óceáni államok, másrészről az Európai Közösség és tagállamai közötti, 2000. június 23-án Cotonou-ban aláírt partnerségi megállapodásra</w:t>
      </w:r>
      <w:r w:rsidRPr="00B83C33">
        <w:rPr>
          <w:rStyle w:val="FootnoteReference"/>
          <w:noProof/>
        </w:rPr>
        <w:footnoteReference w:id="13"/>
      </w:r>
      <w:r w:rsidRPr="00B83C33">
        <w:rPr>
          <w:noProof/>
        </w:rPr>
        <w:t xml:space="preserve"> (a továbbiakban: Cotonoui Megállapodás) és különösen annak 96. cikke (2) bekezdése a) pontjának negyedik albekezdésére,</w:t>
      </w:r>
    </w:p>
    <w:p w:rsidR="00825D43" w:rsidRPr="00B83C33" w:rsidRDefault="00825D43" w:rsidP="00825D43">
      <w:pPr>
        <w:rPr>
          <w:noProof/>
        </w:rPr>
      </w:pPr>
      <w:r w:rsidRPr="00B83C33">
        <w:rPr>
          <w:noProof/>
        </w:rPr>
        <w:t>tekintettel a tagállamok kormányainak a Tanács keretében ülésező képviselői között létrejött, a Cotonoui Megállapodás végrehajtása során hozandó intézkedésekről és követendő eljárásokról szóló belső megállapodásra</w:t>
      </w:r>
      <w:r w:rsidRPr="00B83C33">
        <w:rPr>
          <w:rStyle w:val="FootnoteReference"/>
          <w:noProof/>
        </w:rPr>
        <w:footnoteReference w:id="14"/>
      </w:r>
      <w:r w:rsidRPr="00B83C33">
        <w:rPr>
          <w:noProof/>
        </w:rPr>
        <w:t xml:space="preserve"> és különösen annak 3. cikkére,</w:t>
      </w:r>
    </w:p>
    <w:p w:rsidR="00825D43" w:rsidRPr="00B83C33" w:rsidRDefault="00825D43" w:rsidP="00825D43">
      <w:pPr>
        <w:rPr>
          <w:noProof/>
        </w:rPr>
      </w:pPr>
      <w:r w:rsidRPr="00B83C33">
        <w:rPr>
          <w:noProof/>
        </w:rPr>
        <w:t>tekintettel a Bizottság javaslatára,</w:t>
      </w:r>
    </w:p>
    <w:p w:rsidR="00825D43" w:rsidRPr="00B83C33" w:rsidRDefault="00825D43" w:rsidP="00825D43">
      <w:pPr>
        <w:rPr>
          <w:noProof/>
        </w:rPr>
      </w:pPr>
      <w:r w:rsidRPr="00B83C33">
        <w:rPr>
          <w:noProof/>
        </w:rPr>
        <w:t>mivel:</w:t>
      </w:r>
    </w:p>
    <w:p w:rsidR="00825D43" w:rsidRPr="00B83C33" w:rsidRDefault="00AE6F19" w:rsidP="00AE6F19">
      <w:pPr>
        <w:pStyle w:val="ManualConsidrant"/>
        <w:rPr>
          <w:noProof/>
        </w:rPr>
      </w:pPr>
      <w:r w:rsidRPr="00AE6F19">
        <w:t>(1)</w:t>
      </w:r>
      <w:r w:rsidRPr="00AE6F19">
        <w:tab/>
      </w:r>
      <w:r w:rsidR="00825D43" w:rsidRPr="00B83C33">
        <w:rPr>
          <w:noProof/>
        </w:rPr>
        <w:t>Az egyrészről az afrikai, karibi és csendes-óceáni államok, másrészről az Európai Közösség és tagállamai közötti, 2000. június 23-án Cotonou-ban aláírt, majd módosított</w:t>
      </w:r>
      <w:r w:rsidR="00825D43" w:rsidRPr="00B83C33">
        <w:rPr>
          <w:rStyle w:val="FootnoteReference"/>
          <w:noProof/>
        </w:rPr>
        <w:footnoteReference w:id="15"/>
      </w:r>
      <w:r w:rsidR="00825D43" w:rsidRPr="00B83C33">
        <w:rPr>
          <w:noProof/>
        </w:rPr>
        <w:t xml:space="preserve"> és meghosszabbított</w:t>
      </w:r>
      <w:r w:rsidR="00825D43" w:rsidRPr="00B83C33">
        <w:rPr>
          <w:rStyle w:val="FootnoteReference"/>
          <w:noProof/>
        </w:rPr>
        <w:footnoteReference w:id="16"/>
      </w:r>
      <w:r w:rsidR="00825D43" w:rsidRPr="00B83C33">
        <w:rPr>
          <w:noProof/>
        </w:rPr>
        <w:t xml:space="preserve"> partnerségi megállapodás 96. cikke alapján a Burundi Köztársasággal folytatott konzultációs eljárás az (EU) 2016/394 tanácsi határozattal</w:t>
      </w:r>
      <w:r w:rsidR="00825D43" w:rsidRPr="00B83C33">
        <w:rPr>
          <w:rStyle w:val="FootnoteReference"/>
          <w:noProof/>
        </w:rPr>
        <w:footnoteReference w:id="17"/>
      </w:r>
      <w:r w:rsidR="00825D43" w:rsidRPr="00B83C33">
        <w:rPr>
          <w:noProof/>
        </w:rPr>
        <w:t xml:space="preserve"> lezárult, és a Bizottságnak az Unió külügyi és biztonságpolitikai főképviselőjével egyetértésben tett javaslata nyomán meghozták az említett határozat mellékletében meghatározott megfelelő intézkedéseket.</w:t>
      </w:r>
    </w:p>
    <w:p w:rsidR="00825D43" w:rsidRPr="00B83C33" w:rsidRDefault="00AE6F19" w:rsidP="00AE6F19">
      <w:pPr>
        <w:pStyle w:val="ManualConsidrant"/>
        <w:rPr>
          <w:noProof/>
        </w:rPr>
      </w:pPr>
      <w:r w:rsidRPr="00AE6F19">
        <w:t>(2)</w:t>
      </w:r>
      <w:r w:rsidRPr="00AE6F19">
        <w:tab/>
      </w:r>
      <w:r w:rsidR="00825D43" w:rsidRPr="00B83C33">
        <w:rPr>
          <w:noProof/>
        </w:rPr>
        <w:t>Összességében a 2020. májusi általános választások által lehetővé tett békés politikai átmenet új reményt keltett a lakosságban, és új lehetőségeket teremtett Burundi, illetve a partnerei</w:t>
      </w:r>
      <w:r w:rsidR="00C51A57">
        <w:rPr>
          <w:noProof/>
        </w:rPr>
        <w:t>hez fűződő kapcsolatai számára.</w:t>
      </w:r>
    </w:p>
    <w:p w:rsidR="00825D43" w:rsidRPr="00B83C33" w:rsidRDefault="00AE6F19" w:rsidP="00AE6F19">
      <w:pPr>
        <w:pStyle w:val="ManualConsidrant"/>
        <w:rPr>
          <w:noProof/>
        </w:rPr>
      </w:pPr>
      <w:r w:rsidRPr="00AE6F19">
        <w:t>(3)</w:t>
      </w:r>
      <w:r w:rsidRPr="00AE6F19">
        <w:tab/>
      </w:r>
      <w:r w:rsidR="00825D43" w:rsidRPr="00B83C33">
        <w:rPr>
          <w:noProof/>
        </w:rPr>
        <w:t>Az Unió azóta elismerte a burundi kormány által az emberi jogok, a jó kormányzás és a jogállamiság terén felmutatott pozitív eredményeket, valamint az ütemtervében („Feuille de route”) foglalt, e területek továbbfejlesztésére vonatkozó kötelezettségvállalásokat.</w:t>
      </w:r>
    </w:p>
    <w:p w:rsidR="00825D43" w:rsidRPr="00B83C33" w:rsidRDefault="00AE6F19" w:rsidP="00AE6F19">
      <w:pPr>
        <w:pStyle w:val="ManualConsidrant"/>
        <w:rPr>
          <w:noProof/>
        </w:rPr>
      </w:pPr>
      <w:r w:rsidRPr="00AE6F19">
        <w:t>(4)</w:t>
      </w:r>
      <w:r w:rsidRPr="00AE6F19">
        <w:tab/>
      </w:r>
      <w:r w:rsidR="00825D43" w:rsidRPr="00B83C33">
        <w:rPr>
          <w:noProof/>
        </w:rPr>
        <w:t>Az ország fejlődéséhez és stabilitásához szükséges reformok végrehajtása mellett elkötelezett kormány alakult, és biztató előrelépés történt az (EU) 2016/394 tanácsi határozatban foglalt kötelezettségvállalások végrehajtása tekintetében.</w:t>
      </w:r>
    </w:p>
    <w:p w:rsidR="00825D43" w:rsidRPr="00B83C33" w:rsidRDefault="00AE6F19" w:rsidP="00AE6F19">
      <w:pPr>
        <w:pStyle w:val="ManualConsidrant"/>
        <w:rPr>
          <w:noProof/>
        </w:rPr>
      </w:pPr>
      <w:r w:rsidRPr="00AE6F19">
        <w:t>(5)</w:t>
      </w:r>
      <w:r w:rsidRPr="00AE6F19">
        <w:tab/>
      </w:r>
      <w:r w:rsidR="00825D43" w:rsidRPr="00B83C33">
        <w:rPr>
          <w:noProof/>
        </w:rPr>
        <w:t>A Bizottságnak az Unió külügyi és biztonságpolitikai főképviselőjével egyetértésben elfogadott értékelése szerint az (EU) 2016/394 határozat elfogadásának az említett határozatban foglalt indokai már nem állnak fenn. Ezért ezt a határozatot az Unió nevében hatályon kívül kell helyezni.</w:t>
      </w:r>
    </w:p>
    <w:p w:rsidR="00825D43" w:rsidRPr="00B83C33" w:rsidRDefault="00AE6F19" w:rsidP="00AE6F19">
      <w:pPr>
        <w:pStyle w:val="ManualConsidrant"/>
        <w:rPr>
          <w:noProof/>
        </w:rPr>
      </w:pPr>
      <w:r w:rsidRPr="00AE6F19">
        <w:t>(6)</w:t>
      </w:r>
      <w:r w:rsidRPr="00AE6F19">
        <w:tab/>
      </w:r>
      <w:r w:rsidR="00825D43" w:rsidRPr="00B83C33">
        <w:rPr>
          <w:noProof/>
        </w:rPr>
        <w:t>Az emberi jogok, a jó kormányzás és a jogállamiság területén változatlanul kihívások állnak fenn, és a burundi hatóságok részéről további előrelépésre van szükség, többek között az ütemterv végrehajtása révén, valamint a folyamatban lévő EU–Burundi politikai párbeszéd keretében.</w:t>
      </w:r>
    </w:p>
    <w:p w:rsidR="00825D43" w:rsidRPr="00B83C33" w:rsidRDefault="00AE6F19" w:rsidP="00AE6F19">
      <w:pPr>
        <w:pStyle w:val="ManualConsidrant"/>
        <w:rPr>
          <w:noProof/>
        </w:rPr>
      </w:pPr>
      <w:r w:rsidRPr="00AE6F19">
        <w:t>(7)</w:t>
      </w:r>
      <w:r w:rsidRPr="00AE6F19">
        <w:tab/>
      </w:r>
      <w:r w:rsidR="00825D43" w:rsidRPr="00B83C33">
        <w:rPr>
          <w:noProof/>
        </w:rPr>
        <w:t>Burundi még mindig instabil, és a megválasztott hatóságoknak a nemzetközi partnerek támogatására van szükségük az ország reform- és fejlesztési programjának végrehajtásához.</w:t>
      </w:r>
    </w:p>
    <w:p w:rsidR="00825D43" w:rsidRPr="00B83C33" w:rsidRDefault="00AE6F19" w:rsidP="00AE6F19">
      <w:pPr>
        <w:pStyle w:val="ManualConsidrant"/>
        <w:rPr>
          <w:noProof/>
        </w:rPr>
      </w:pPr>
      <w:r w:rsidRPr="00AE6F19">
        <w:t>(8)</w:t>
      </w:r>
      <w:r w:rsidRPr="00AE6F19">
        <w:tab/>
      </w:r>
      <w:r w:rsidR="00825D43" w:rsidRPr="00B83C33">
        <w:rPr>
          <w:noProof/>
        </w:rPr>
        <w:t>Az Európai Uniónak a többi nemzetközi partnerrel együtt támogatnia kell a nemzeti hatóságoknak a demokratikus intézmények stabilizálására és megszilárdítására, az emberi jogok, a jó kormányzás és a jogállamiság előmozdítására, valamint az ütemtervben foglalt, e területek továbbfejlesztésére vonatkozó kötelezettségvállalások végrehajtására irányuló, folyamatban lévő erőfeszítéseit,</w:t>
      </w:r>
    </w:p>
    <w:p w:rsidR="00825D43" w:rsidRPr="00B83C33" w:rsidRDefault="00825D43" w:rsidP="00825D43">
      <w:pPr>
        <w:pStyle w:val="Formuledadoption"/>
        <w:rPr>
          <w:noProof/>
        </w:rPr>
      </w:pPr>
      <w:r w:rsidRPr="00B83C33">
        <w:rPr>
          <w:noProof/>
        </w:rPr>
        <w:t>ELFOGADTA EZT A HATÁROZATOT</w:t>
      </w:r>
      <w:r w:rsidR="00C51A57">
        <w:rPr>
          <w:noProof/>
        </w:rPr>
        <w:t>:</w:t>
      </w:r>
    </w:p>
    <w:p w:rsidR="00825D43" w:rsidRPr="00B83C33" w:rsidRDefault="00825D43" w:rsidP="00825D43">
      <w:pPr>
        <w:pStyle w:val="Titrearticle"/>
        <w:rPr>
          <w:noProof/>
        </w:rPr>
      </w:pPr>
      <w:r w:rsidRPr="00B83C33">
        <w:rPr>
          <w:noProof/>
        </w:rPr>
        <w:t>1. cikk</w:t>
      </w:r>
    </w:p>
    <w:p w:rsidR="00825D43" w:rsidRPr="00B83C33" w:rsidRDefault="00825D43" w:rsidP="00825D43">
      <w:pPr>
        <w:rPr>
          <w:noProof/>
        </w:rPr>
      </w:pPr>
      <w:r w:rsidRPr="00B83C33">
        <w:rPr>
          <w:noProof/>
        </w:rPr>
        <w:t>Az (EU) 2016/394 határozat az Unió nevében hatályát veszti.</w:t>
      </w:r>
    </w:p>
    <w:p w:rsidR="00825D43" w:rsidRPr="00B83C33" w:rsidRDefault="00825D43" w:rsidP="00DA7E2A">
      <w:pPr>
        <w:pStyle w:val="Titrearticle"/>
        <w:rPr>
          <w:noProof/>
        </w:rPr>
      </w:pPr>
      <w:r w:rsidRPr="00B83C33">
        <w:rPr>
          <w:noProof/>
        </w:rPr>
        <w:t>2. cikk</w:t>
      </w:r>
    </w:p>
    <w:p w:rsidR="00825D43" w:rsidRPr="00C51A57" w:rsidRDefault="00825D43" w:rsidP="00DA7E2A">
      <w:pPr>
        <w:keepNext/>
        <w:keepLines/>
        <w:rPr>
          <w:noProof/>
        </w:rPr>
      </w:pPr>
      <w:r w:rsidRPr="00B83C33">
        <w:rPr>
          <w:noProof/>
        </w:rPr>
        <w:t>Ez a határozat az elfogadásának napján lép hatályba</w:t>
      </w:r>
    </w:p>
    <w:p w:rsidR="00CD3D32" w:rsidRPr="00B83C33" w:rsidRDefault="00480DFD" w:rsidP="00DA7E2A">
      <w:pPr>
        <w:pStyle w:val="Fait"/>
        <w:rPr>
          <w:noProof/>
        </w:rPr>
      </w:pPr>
      <w:r w:rsidRPr="00480DFD">
        <w:t>Kelt Brüsszelben, -án/-én.</w:t>
      </w:r>
    </w:p>
    <w:p w:rsidR="00CD3D32" w:rsidRPr="00B83C33" w:rsidRDefault="00CD3D32" w:rsidP="00DA7E2A">
      <w:pPr>
        <w:pStyle w:val="Institutionquisigne"/>
        <w:rPr>
          <w:noProof/>
        </w:rPr>
      </w:pPr>
      <w:r w:rsidRPr="00B83C33">
        <w:rPr>
          <w:noProof/>
        </w:rPr>
        <w:tab/>
        <w:t>a Tanács részéről</w:t>
      </w:r>
    </w:p>
    <w:p w:rsidR="00CD3D32" w:rsidRPr="00B83C33" w:rsidRDefault="00CD3D32" w:rsidP="00CD3D32">
      <w:pPr>
        <w:pStyle w:val="Personnequisigne"/>
        <w:rPr>
          <w:noProof/>
        </w:rPr>
      </w:pPr>
      <w:r w:rsidRPr="00B83C33">
        <w:rPr>
          <w:noProof/>
        </w:rPr>
        <w:tab/>
        <w:t>az elnök</w:t>
      </w:r>
    </w:p>
    <w:sectPr w:rsidR="00CD3D32" w:rsidRPr="00B83C33" w:rsidSect="00FA4D0F">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1ED9" w:rsidRDefault="009D1ED9" w:rsidP="00CD3D32">
      <w:pPr>
        <w:spacing w:before="0" w:after="0"/>
      </w:pPr>
      <w:r>
        <w:separator/>
      </w:r>
    </w:p>
  </w:endnote>
  <w:endnote w:type="continuationSeparator" w:id="0">
    <w:p w:rsidR="009D1ED9" w:rsidRDefault="009D1ED9" w:rsidP="00CD3D3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A57" w:rsidRPr="00FA4D0F" w:rsidRDefault="00FA4D0F" w:rsidP="00FA4D0F">
    <w:pPr>
      <w:pStyle w:val="Footer"/>
      <w:rPr>
        <w:rFonts w:ascii="Arial" w:hAnsi="Arial" w:cs="Arial"/>
        <w:b/>
        <w:sz w:val="48"/>
      </w:rPr>
    </w:pPr>
    <w:r w:rsidRPr="00FA4D0F">
      <w:rPr>
        <w:rFonts w:ascii="Arial" w:hAnsi="Arial" w:cs="Arial"/>
        <w:b/>
        <w:sz w:val="48"/>
      </w:rPr>
      <w:t>HU</w:t>
    </w:r>
    <w:r w:rsidRPr="00FA4D0F">
      <w:rPr>
        <w:rFonts w:ascii="Arial" w:hAnsi="Arial" w:cs="Arial"/>
        <w:b/>
        <w:sz w:val="48"/>
      </w:rPr>
      <w:tab/>
    </w:r>
    <w:r w:rsidRPr="00FA4D0F">
      <w:rPr>
        <w:rFonts w:ascii="Arial" w:hAnsi="Arial" w:cs="Arial"/>
        <w:b/>
        <w:sz w:val="48"/>
      </w:rPr>
      <w:tab/>
    </w:r>
    <w:r w:rsidRPr="00FA4D0F">
      <w:tab/>
    </w:r>
    <w:r w:rsidRPr="00FA4D0F">
      <w:rPr>
        <w:rFonts w:ascii="Arial" w:hAnsi="Arial" w:cs="Arial"/>
        <w:b/>
        <w:sz w:val="48"/>
      </w:rPr>
      <w:t>HU</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D0F" w:rsidRPr="00FA4D0F" w:rsidRDefault="00FA4D0F" w:rsidP="00FA4D0F">
    <w:pPr>
      <w:pStyle w:val="Footer"/>
      <w:rPr>
        <w:rFonts w:ascii="Arial" w:hAnsi="Arial" w:cs="Arial"/>
        <w:b/>
        <w:sz w:val="48"/>
      </w:rPr>
    </w:pPr>
    <w:r w:rsidRPr="00FA4D0F">
      <w:rPr>
        <w:rFonts w:ascii="Arial" w:hAnsi="Arial" w:cs="Arial"/>
        <w:b/>
        <w:sz w:val="48"/>
      </w:rPr>
      <w:t>HU</w:t>
    </w:r>
    <w:r w:rsidRPr="00FA4D0F">
      <w:rPr>
        <w:rFonts w:ascii="Arial" w:hAnsi="Arial" w:cs="Arial"/>
        <w:b/>
        <w:sz w:val="48"/>
      </w:rPr>
      <w:tab/>
    </w:r>
    <w:r>
      <w:fldChar w:fldCharType="begin"/>
    </w:r>
    <w:r>
      <w:instrText xml:space="preserve"> PAGE  \* MERGEFORMAT </w:instrText>
    </w:r>
    <w:r>
      <w:fldChar w:fldCharType="separate"/>
    </w:r>
    <w:r w:rsidR="00DA7E2A">
      <w:rPr>
        <w:noProof/>
      </w:rPr>
      <w:t>8</w:t>
    </w:r>
    <w:r>
      <w:fldChar w:fldCharType="end"/>
    </w:r>
    <w:r>
      <w:tab/>
    </w:r>
    <w:r w:rsidRPr="00FA4D0F">
      <w:tab/>
    </w:r>
    <w:r w:rsidRPr="00FA4D0F">
      <w:rPr>
        <w:rFonts w:ascii="Arial" w:hAnsi="Arial" w:cs="Arial"/>
        <w:b/>
        <w:sz w:val="48"/>
      </w:rPr>
      <w:t>HU</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D0F" w:rsidRPr="00FA4D0F" w:rsidRDefault="00FA4D0F" w:rsidP="00FA4D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1ED9" w:rsidRDefault="009D1ED9" w:rsidP="00CD3D32">
      <w:pPr>
        <w:spacing w:before="0" w:after="0"/>
      </w:pPr>
      <w:r>
        <w:separator/>
      </w:r>
    </w:p>
  </w:footnote>
  <w:footnote w:type="continuationSeparator" w:id="0">
    <w:p w:rsidR="009D1ED9" w:rsidRDefault="009D1ED9" w:rsidP="00CD3D32">
      <w:pPr>
        <w:spacing w:before="0" w:after="0"/>
      </w:pPr>
      <w:r>
        <w:continuationSeparator/>
      </w:r>
    </w:p>
  </w:footnote>
  <w:footnote w:id="1">
    <w:p w:rsidR="00825D43" w:rsidRDefault="00825D43" w:rsidP="00825D43">
      <w:pPr>
        <w:pStyle w:val="FootnoteText"/>
        <w:ind w:left="142" w:hanging="153"/>
      </w:pPr>
      <w:r>
        <w:rPr>
          <w:rStyle w:val="FootnoteReference"/>
        </w:rPr>
        <w:footnoteRef/>
      </w:r>
      <w:r>
        <w:tab/>
        <w:t>A Cotonouban 2000. június 23-án aláírt partnerségi megállapodás egyrészről az afrikai, karibi és csendes-óceáni államok, másrészről az Európai Közösség és tagállamai között (HL L 317., 2000.12.15., 3. o.). Az AKCS–EU partnerségi megállapodás a 2005. június 25-én Luxembourgban aláírt megállapodással (</w:t>
      </w:r>
      <w:hyperlink r:id="rId1" w:history="1">
        <w:r>
          <w:rPr>
            <w:rStyle w:val="Hyperlink"/>
          </w:rPr>
          <w:t>HL L 209., 2005.8.11., 27. o.</w:t>
        </w:r>
      </w:hyperlink>
      <w:r>
        <w:t>) és a 2010. június 22-én Ouagadougouban aláírt megállapodással (HL L 287., 2010.11.4., 3. o.) módosult. Az AKCS–EU Nagykövetek Bizottságának az AKCS–EU Nagykövetek Bizottsága 2020. december 4-i 2/2020 határozatával (HL L 420., 2020.12.14., 32. o.) és az AKCS–EU Nagykövetek Bizottsága 2021. november 26-i 3/2021 határozatával (HL L 441., 2021.12.9., 3. o.) módosított, az AKCS–EU partnerségi megállapodás 95. cikkének (4) bekezdése szerinti átmeneti intézkedések elfogadásáról szóló, 2019. december 17-i 3/2019 határozata (HL L 001., 2020.1.3., 3. o.) meghosszabbította az AKCS–EU partnerségi megállapodás alkalmazását 2022. június 30-ig vagy az új AKCS–EU partnerségi megállapodás hatálybalépéséig vagy ideiglenes alkalmazásának kezdetéig, attól függően, hogy melyik a legkorábbi időpont.</w:t>
      </w:r>
    </w:p>
  </w:footnote>
  <w:footnote w:id="2">
    <w:p w:rsidR="00825D43" w:rsidRPr="00B276F0" w:rsidRDefault="00825D43" w:rsidP="00825D43">
      <w:pPr>
        <w:pStyle w:val="FootnoteText"/>
        <w:ind w:left="142" w:hanging="153"/>
      </w:pPr>
      <w:r>
        <w:rPr>
          <w:rStyle w:val="FootnoteReference"/>
        </w:rPr>
        <w:footnoteRef/>
      </w:r>
      <w:r>
        <w:tab/>
        <w:t>A Tanács (EU) 2016/394 határozata (2016. március 14.) a Burundi Köztársasággal az egyrészről az afrikai, karibi és csendes-óceáni államok, másrészről az Európai Közösség és tagállamai közötti partnerségi megállapodás 96. cikke alapján folytatott konzultációs eljárás lezárásáról (HL L 73., 2016.3.18., 90. o.).</w:t>
      </w:r>
    </w:p>
  </w:footnote>
  <w:footnote w:id="3">
    <w:p w:rsidR="00825D43" w:rsidRDefault="00825D43" w:rsidP="00825D43">
      <w:pPr>
        <w:pStyle w:val="FootnoteText"/>
        <w:ind w:left="142" w:hanging="153"/>
      </w:pPr>
      <w:r>
        <w:rPr>
          <w:rStyle w:val="FootnoteReference"/>
        </w:rPr>
        <w:footnoteRef/>
      </w:r>
      <w:r>
        <w:tab/>
        <w:t>A Tanács és a tagállamok kormányainak a Tanács keretében ülésező képviselői, az Európai Parlament és a Bizottság által elfogadott együttes nyilatkozat az Európai Unió fejlesztési politikájáról: A mi világunk, a mi méltóságunk, a mi jövőnk (HL C 210., 2017.6.30., 1. o.).</w:t>
      </w:r>
    </w:p>
  </w:footnote>
  <w:footnote w:id="4">
    <w:p w:rsidR="00825D43" w:rsidRDefault="00825D43" w:rsidP="00825D43">
      <w:pPr>
        <w:pStyle w:val="FootnoteText"/>
        <w:ind w:left="142" w:hanging="153"/>
      </w:pPr>
      <w:r>
        <w:rPr>
          <w:rStyle w:val="FootnoteReference"/>
        </w:rPr>
        <w:footnoteRef/>
      </w:r>
      <w:r>
        <w:tab/>
        <w:t>Közös közlemény az Európai Parlamentnek és a Tanácsnak: Az Afrikával kapcsolatos átfogó stratégia felé (JOIN(2020) 4 final).</w:t>
      </w:r>
    </w:p>
  </w:footnote>
  <w:footnote w:id="5">
    <w:p w:rsidR="00825D43" w:rsidRPr="00E8799D" w:rsidRDefault="00825D43" w:rsidP="00C51A57">
      <w:pPr>
        <w:pStyle w:val="FootnoteText"/>
        <w:ind w:left="142" w:hanging="153"/>
      </w:pPr>
      <w:r>
        <w:rPr>
          <w:rStyle w:val="FootnoteReference"/>
        </w:rPr>
        <w:footnoteRef/>
      </w:r>
      <w:r>
        <w:tab/>
        <w:t>Közös közlemény az Európai Parlamentnek és a Tanácsnak: Az emberi jogokra és a demokráciára vonatkozó uniós cselekvési terv (JOIN(2020) 5 final).</w:t>
      </w:r>
    </w:p>
  </w:footnote>
  <w:footnote w:id="6">
    <w:p w:rsidR="00825D43" w:rsidRPr="00E8799D" w:rsidRDefault="00825D43" w:rsidP="00C51A57">
      <w:pPr>
        <w:pStyle w:val="FootnoteText"/>
        <w:ind w:left="142" w:hanging="153"/>
      </w:pPr>
      <w:r>
        <w:rPr>
          <w:rStyle w:val="FootnoteReference"/>
        </w:rPr>
        <w:footnoteRef/>
      </w:r>
      <w:r>
        <w:tab/>
        <w:t>Uniós stratégiai keret és cselekvési terv (11855/12. sz. tanácsi dokumentum).</w:t>
      </w:r>
    </w:p>
  </w:footnote>
  <w:footnote w:id="7">
    <w:p w:rsidR="00825D43" w:rsidRPr="00F4382B" w:rsidRDefault="00825D43" w:rsidP="00C51A57">
      <w:pPr>
        <w:pStyle w:val="FootnoteText"/>
        <w:ind w:left="142" w:hanging="153"/>
      </w:pPr>
      <w:r>
        <w:rPr>
          <w:rStyle w:val="FootnoteReference"/>
        </w:rPr>
        <w:footnoteRef/>
      </w:r>
      <w:r>
        <w:tab/>
        <w:t>Közös közlemény az Európai Parlamentnek és a Tanácsnak: A nemek közötti egyenlőségre vonatkozó III. uniós cselekvési terv (GAP) – Az EU külső tevékenységeiben a nemek közötti egyenlőség biztosítását és a nők szerepének megerősítését célzó ambiciózus program (JOIN(2020 17 final).</w:t>
      </w:r>
    </w:p>
  </w:footnote>
  <w:footnote w:id="8">
    <w:p w:rsidR="00825D43" w:rsidRDefault="00825D43" w:rsidP="00C51A57">
      <w:pPr>
        <w:pStyle w:val="FootnoteText"/>
        <w:ind w:left="142" w:hanging="153"/>
      </w:pPr>
      <w:r>
        <w:rPr>
          <w:rStyle w:val="FootnoteReference"/>
        </w:rPr>
        <w:footnoteRef/>
      </w:r>
      <w:r>
        <w:tab/>
        <w:t>Belső megállapodás a tagállamok kormányainak a Tanács keretében ülésező képviselői között az AKCS–EK partnerségi megállapodás végrehajtása során hozandó intézkedésekről és követendő eljárásokról (HL L 317., 2000.12.15., 376. o.).</w:t>
      </w:r>
    </w:p>
  </w:footnote>
  <w:footnote w:id="9">
    <w:p w:rsidR="00825D43" w:rsidRPr="008F265C" w:rsidRDefault="00825D43" w:rsidP="00C51A57">
      <w:pPr>
        <w:pStyle w:val="FootnoteText"/>
        <w:ind w:left="142" w:hanging="153"/>
      </w:pPr>
      <w:r>
        <w:rPr>
          <w:rStyle w:val="FootnoteReference"/>
        </w:rPr>
        <w:footnoteRef/>
      </w:r>
      <w:r>
        <w:tab/>
        <w:t>A Cotonouban 2000. június 23-án aláírt partnerségi megállapodás egyrészről az afrikai, karibi és csendes-óceáni államok, másrészről az Európai Közösség és tagállamai között (HL L 317., 2000.12.15., 3. o.). Az AKCS–EU partnerségi megállapodás a 2005. június 25-én Luxembourgban aláírt megállapodással (HL L 209., 2005.8.11., 27. o.) és a 2010. június 22-én Ouagadougouban aláírt megállapodással (HL L 287., 2010.11.4., 3. o.) módosult. Az AKCS–EU Nagykövetek Bizottságának az AKCS–EU Nagykövetek Bizottsága 2020. december 4-i 2/2020 határozatával (HL L 420., 2020.12.14., 32. o.) és az AKCS–EU Nagykövetek Bizottsága 2021. november 26-i 3/2021 határozatával (HL L 441., 2021.12.9., 3. o.) módosított, az AKCS–EU partnerségi megállapodás 95. cikkének (4) bekezdése szerinti átmeneti intézkedések elfogadásáról szóló, 2019. december 17-i 3/2019 határozata (HL L 001., 2020.1.3., 3. o.) meghosszabbította az AKCS–EU partnerségi megállapodás alkalmazását 2022. június 30-ig vagy az új AKCS–EU partnerségi megállapodás hatálybalépéséig vagy ideiglenes alkalmazásának kezdetéig, attól függően, hogy melyik a legkorábbi időpont.</w:t>
      </w:r>
    </w:p>
  </w:footnote>
  <w:footnote w:id="10">
    <w:p w:rsidR="00825D43" w:rsidRDefault="00825D43" w:rsidP="00825D43">
      <w:pPr>
        <w:pStyle w:val="FootnoteText"/>
        <w:ind w:left="142" w:hanging="153"/>
      </w:pPr>
      <w:r>
        <w:rPr>
          <w:rStyle w:val="FootnoteReference"/>
        </w:rPr>
        <w:footnoteRef/>
      </w:r>
      <w:r w:rsidR="00C51A57">
        <w:tab/>
      </w:r>
      <w:r>
        <w:t>A Tanács (KKBP) 2015/1763 határozata (2015. október 1.) a burundi helyzetre tekintettel hozott korlátozó intézkedésekről (HL L 257., 2015.10.2., 37. o.).</w:t>
      </w:r>
    </w:p>
  </w:footnote>
  <w:footnote w:id="11">
    <w:p w:rsidR="00825D43" w:rsidRDefault="00825D43" w:rsidP="00825D43">
      <w:pPr>
        <w:pStyle w:val="FootnoteText"/>
        <w:ind w:left="142" w:hanging="153"/>
      </w:pPr>
      <w:r>
        <w:rPr>
          <w:rStyle w:val="FootnoteReference"/>
        </w:rPr>
        <w:footnoteRef/>
      </w:r>
      <w:r>
        <w:tab/>
        <w:t>A Tanács (KKBP) 2015/1763 határozata (2015. október 1.) a burundi helyzetre tekintettel hozott korlátozó intézkedésekről (HL L 257., 2015.10.2., 37. o.).</w:t>
      </w:r>
    </w:p>
  </w:footnote>
  <w:footnote w:id="12">
    <w:p w:rsidR="00825D43" w:rsidRPr="00E8799D" w:rsidRDefault="00825D43" w:rsidP="00C51A57">
      <w:pPr>
        <w:pStyle w:val="FootnoteText"/>
        <w:ind w:left="142" w:hanging="153"/>
      </w:pPr>
      <w:r>
        <w:rPr>
          <w:rStyle w:val="FootnoteReference"/>
        </w:rPr>
        <w:footnoteRef/>
      </w:r>
      <w:r>
        <w:tab/>
        <w:t>Emberi Jogi Tanács: Az emberi jogok helyzete Burundiban, A/HRC/48/16.</w:t>
      </w:r>
    </w:p>
  </w:footnote>
  <w:footnote w:id="13">
    <w:p w:rsidR="00825D43" w:rsidRDefault="00825D43" w:rsidP="00C51A57">
      <w:pPr>
        <w:pStyle w:val="FootnoteText"/>
        <w:ind w:left="142" w:hanging="142"/>
      </w:pPr>
      <w:r>
        <w:rPr>
          <w:rStyle w:val="FootnoteReference"/>
        </w:rPr>
        <w:footnoteRef/>
      </w:r>
      <w:r>
        <w:tab/>
        <w:t>A Cotonouban 2000. június 23-án aláírt partnerségi megállapodás egyrészről az afrikai, karibi és csendes-óceáni államok, másrészről az Európai Közösség és tagállamai között (HL L 317., 2000.12.15., 3. o.). Az AKCS–EU partnerségi megállapodás a 2005. június 25-én Luxembourgban aláírt megállapodással (</w:t>
      </w:r>
      <w:hyperlink r:id="rId2" w:history="1">
        <w:r>
          <w:rPr>
            <w:rStyle w:val="Hyperlink"/>
          </w:rPr>
          <w:t>HL L 209., 2005.8.11., 27. o.</w:t>
        </w:r>
      </w:hyperlink>
      <w:r>
        <w:t>) és a 2010. június 22-én Ouagadougouban aláírt megállapodással (HL L 287., 2010.11.4., 3. o.) módosult. Az AKCS–EU Nagykövetek Bizottságának az AKCS–EU Nagykövetek Bizottsága 2020. december 4-i 2/2020 határozatával (HL L 420., 2020.12.14., 32. o.) és az AKCS–EU Nagykövetek Bizottsága 2021. november 26-i 3/2021 határozatával (HL L 441., 2021.12.9., 3. o.) módosított, az AKCS–EU partnerségi megállapodás 95. cikkének (4) bekezdése szerinti átmeneti intézkedések elfogadásáról szóló, 2019. december 17-i 3/2019 határozata (HL L 001., 2020.1.3., 3. o.) meghosszabbította az AKCS–EU partnerségi megállapodás alkalmazását.</w:t>
      </w:r>
    </w:p>
  </w:footnote>
  <w:footnote w:id="14">
    <w:p w:rsidR="00825D43" w:rsidRDefault="00825D43" w:rsidP="00C51A57">
      <w:pPr>
        <w:pStyle w:val="FootnoteText"/>
        <w:ind w:left="142" w:hanging="142"/>
      </w:pPr>
      <w:r>
        <w:rPr>
          <w:rStyle w:val="FootnoteReference"/>
        </w:rPr>
        <w:footnoteRef/>
      </w:r>
      <w:r>
        <w:tab/>
        <w:t>Belső megállapodás a tagállamok kormányainak a Tanács keretében ülésező képviselői között az AKCS–EK partnerségi megállapodás végrehajtása során hozandó intézkedésekről és követendő eljárásokról (HL L 317., 2000.12.15., 376. o.).</w:t>
      </w:r>
    </w:p>
  </w:footnote>
  <w:footnote w:id="15">
    <w:p w:rsidR="00825D43" w:rsidRDefault="00825D43" w:rsidP="00825D43">
      <w:pPr>
        <w:pStyle w:val="FootnoteText"/>
        <w:ind w:left="142" w:hanging="142"/>
      </w:pPr>
      <w:r>
        <w:rPr>
          <w:rStyle w:val="FootnoteReference"/>
        </w:rPr>
        <w:footnoteRef/>
      </w:r>
      <w:r>
        <w:tab/>
        <w:t>Megállapodás a Cotonouban 2000. június 23-án, egyrészről az afrikai, karibi és csendes-óceáni államok csoportjának tagjai, másrészről az Európai Közösség és tagállamai között aláírt és Luxembourgban 2005. június 25-én első alkalommal módosított partnerségi megállapodás második alkalommal történő módosításáról (HL L 287., 2010.11.4., 3. o.).</w:t>
      </w:r>
    </w:p>
  </w:footnote>
  <w:footnote w:id="16">
    <w:p w:rsidR="00825D43" w:rsidRDefault="00825D43" w:rsidP="00825D43">
      <w:pPr>
        <w:pStyle w:val="FootnoteText"/>
        <w:ind w:left="142" w:hanging="142"/>
      </w:pPr>
      <w:r>
        <w:rPr>
          <w:rStyle w:val="FootnoteReference"/>
        </w:rPr>
        <w:footnoteRef/>
      </w:r>
      <w:r>
        <w:tab/>
        <w:t>Az AKCS–EU Nagykövetek Bizottságának az AKCS–EU Nagykövetek Bizottsága 3/2019 határozatának az AKCS–EU partnerségi megállapodás 95. cikkének (4) bekezdése szerinti átmeneti intézkedések elfogadása céljából történő módosításáról szóló, 2020. december 4-i 2/2020 határozatával [2020/2052] (HL L 420., 2020.12.14., 32. o.) módosított, az AKCS–EU Nagykövetek Bizottságának 3/2019 határozata (2019. december 17.) az AKCS–EU partnerségi megállapodás 95. cikkének (4) bekezdése szerinti átmeneti intézkedések elfogadásáról [2020/2] (HL L 1., 2020.1.3., 3. o.), valamint az AKCS–EK Nagykövetek Bizottságának 3/2021 határozata (2021. november 26.) az AKCS–EU Nagykövetek Bizottsága 3/2019 határozatának az AKCS–EU partnerségi megállapodás 95. cikkének (4) bekezdése szerinti átmeneti intézkedések elfogadása céljából történő módosításáról [2021/2175] (HL L 441., 2021.12.9., 3. o.).</w:t>
      </w:r>
    </w:p>
  </w:footnote>
  <w:footnote w:id="17">
    <w:p w:rsidR="00825D43" w:rsidRDefault="00825D43" w:rsidP="00825D43">
      <w:pPr>
        <w:pStyle w:val="FootnoteText"/>
        <w:ind w:left="142" w:hanging="142"/>
      </w:pPr>
      <w:r>
        <w:rPr>
          <w:rStyle w:val="FootnoteReference"/>
        </w:rPr>
        <w:footnoteRef/>
      </w:r>
      <w:r>
        <w:tab/>
        <w:t>A Tanács (EU) 2016/394 határozata (2016. március 14.) a Burundi Köztársasággal az egyrészről az afrikai, karibi és csendes-óceáni államok, másrészről az Európai Közösség és tagállamai közötti partnerségi megállapodás 96. cikke alapján folytatott konzultációs eljárás lezárásáról (HL L 73., 2016.3.18., 90. 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8A64C974"/>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3646806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F50A2900"/>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0E1A559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FDF2B17E"/>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B2E602C"/>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A29CCF1C"/>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D88E3EBC"/>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7"/>
    <w:lvlOverride w:ilvl="0">
      <w:startOverride w:val="1"/>
    </w:lvlOverride>
  </w:num>
  <w:num w:numId="2">
    <w:abstractNumId w:val="22"/>
    <w:lvlOverride w:ilvl="0">
      <w:startOverride w:val="1"/>
    </w:lvlOverride>
  </w:num>
  <w:num w:numId="3">
    <w:abstractNumId w:val="7"/>
  </w:num>
  <w:num w:numId="4">
    <w:abstractNumId w:val="5"/>
  </w:num>
  <w:num w:numId="5">
    <w:abstractNumId w:val="4"/>
  </w:num>
  <w:num w:numId="6">
    <w:abstractNumId w:val="3"/>
  </w:num>
  <w:num w:numId="7">
    <w:abstractNumId w:val="6"/>
  </w:num>
  <w:num w:numId="8">
    <w:abstractNumId w:val="2"/>
  </w:num>
  <w:num w:numId="9">
    <w:abstractNumId w:val="1"/>
  </w:num>
  <w:num w:numId="10">
    <w:abstractNumId w:val="0"/>
  </w:num>
  <w:num w:numId="11">
    <w:abstractNumId w:val="19"/>
  </w:num>
  <w:num w:numId="12">
    <w:abstractNumId w:val="12"/>
  </w:num>
  <w:num w:numId="13">
    <w:abstractNumId w:val="21"/>
  </w:num>
  <w:num w:numId="14">
    <w:abstractNumId w:val="11"/>
  </w:num>
  <w:num w:numId="15">
    <w:abstractNumId w:val="13"/>
  </w:num>
  <w:num w:numId="16">
    <w:abstractNumId w:val="9"/>
  </w:num>
  <w:num w:numId="17">
    <w:abstractNumId w:val="20"/>
  </w:num>
  <w:num w:numId="18">
    <w:abstractNumId w:val="8"/>
  </w:num>
  <w:num w:numId="19">
    <w:abstractNumId w:val="15"/>
  </w:num>
  <w:num w:numId="20">
    <w:abstractNumId w:val="17"/>
  </w:num>
  <w:num w:numId="21">
    <w:abstractNumId w:val="18"/>
  </w:num>
  <w:num w:numId="22">
    <w:abstractNumId w:val="10"/>
  </w:num>
  <w:num w:numId="23">
    <w:abstractNumId w:val="16"/>
  </w:num>
  <w:num w:numId="24">
    <w:abstractNumId w:val="22"/>
  </w:num>
  <w:num w:numId="25">
    <w:abstractNumId w:val="19"/>
  </w:num>
  <w:num w:numId="26">
    <w:abstractNumId w:val="12"/>
  </w:num>
  <w:num w:numId="27">
    <w:abstractNumId w:val="21"/>
  </w:num>
  <w:num w:numId="28">
    <w:abstractNumId w:val="11"/>
  </w:num>
  <w:num w:numId="29">
    <w:abstractNumId w:val="13"/>
  </w:num>
  <w:num w:numId="30">
    <w:abstractNumId w:val="9"/>
  </w:num>
  <w:num w:numId="31">
    <w:abstractNumId w:val="20"/>
  </w:num>
  <w:num w:numId="32">
    <w:abstractNumId w:val="8"/>
  </w:num>
  <w:num w:numId="33">
    <w:abstractNumId w:val="15"/>
  </w:num>
  <w:num w:numId="34">
    <w:abstractNumId w:val="17"/>
  </w:num>
  <w:num w:numId="35">
    <w:abstractNumId w:val="18"/>
  </w:num>
  <w:num w:numId="36">
    <w:abstractNumId w:val="10"/>
  </w:num>
  <w:num w:numId="37">
    <w:abstractNumId w:val="16"/>
  </w:num>
  <w:num w:numId="38">
    <w:abstractNumId w:val="22"/>
  </w:num>
  <w:num w:numId="39">
    <w:abstractNumId w:val="20"/>
  </w:num>
  <w:num w:numId="40">
    <w:abstractNumId w:val="20"/>
  </w:num>
  <w:num w:numId="41">
    <w:abstractNumId w:val="20"/>
  </w:num>
  <w:num w:numId="42">
    <w:abstractNumId w:val="14"/>
  </w:num>
  <w:num w:numId="43">
    <w:abstractNumId w:val="9"/>
  </w:num>
  <w:num w:numId="44">
    <w:abstractNumId w:val="9"/>
  </w:num>
  <w:num w:numId="45">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2-01-17 09:03:11"/>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18"/>
    <w:docVar w:name="DQCResult_ModifiedMarkers" w:val="0;0"/>
    <w:docVar w:name="DQCResult_ModifiedNumbering" w:val="0;0"/>
    <w:docVar w:name="DQCResult_Objects" w:val="0;0"/>
    <w:docVar w:name="DQCResult_Sections" w:val="0;0"/>
    <w:docVar w:name="DQCResult_StructureCheck" w:val="0;0"/>
    <w:docVar w:name="DQCResult_SuperfluousWhitespace" w:val="0;1"/>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E8EA5CB4-3975-4BCD-8CF6-03CF3BF67F5F"/>
    <w:docVar w:name="LW_COVERPAGE_TYPE" w:val="1"/>
    <w:docVar w:name="LW_CROSSREFERENCE" w:val="&lt;UNUSED&gt;"/>
    <w:docVar w:name="LW_DocType" w:val="COM"/>
    <w:docVar w:name="LW_EMISSION" w:val="2021.12.22."/>
    <w:docVar w:name="LW_EMISSION_ISODATE" w:val="2021-12-22"/>
    <w:docVar w:name="LW_EMISSION_LOCATION" w:val="BRX"/>
    <w:docVar w:name="LW_EMISSION_PREFIX" w:val="Brüsszel, "/>
    <w:docVar w:name="LW_EMISSION_SUFFIX" w:val=" "/>
    <w:docVar w:name="LW_ID_DOCMODEL" w:val="SJ-019"/>
    <w:docVar w:name="LW_ID_DOCSIGNATURE" w:val="SJ-019"/>
    <w:docVar w:name="LW_ID_DOCSTRUCTURE" w:val="COM/PL/ORG"/>
    <w:docVar w:name="LW_ID_DOCTYPE" w:val="SJ-019"/>
    <w:docVar w:name="LW_ID_EXP.MOTIFS.NEW" w:val="EM_PL_"/>
    <w:docVar w:name="LW_ID_STATUT" w:val="SJ-019"/>
    <w:docVar w:name="LW_INTERETEEE.CP" w:val="&lt;UNUSED&gt;"/>
    <w:docVar w:name="LW_LANGUE" w:val="HU"/>
    <w:docVar w:name="LW_LEVEL_OF_SENSITIVITY" w:val="Standard treatment"/>
    <w:docVar w:name="LW_NOM.INST" w:val="EURÓPAI BIZOTTSÁG"/>
    <w:docVar w:name="LW_NOM.INST_JOINTDOC" w:val="&lt;EMPTY&gt;"/>
    <w:docVar w:name="LW_PART_NBR" w:val="1"/>
    <w:docVar w:name="LW_PART_NBR_TOTAL" w:val="1"/>
    <w:docVar w:name="LW_REF.II.NEW.CP" w:val="NLE"/>
    <w:docVar w:name="LW_REF.II.NEW.CP_NUMBER" w:val="0439"/>
    <w:docVar w:name="LW_REF.II.NEW.CP_YEAR" w:val="2021"/>
    <w:docVar w:name="LW_REF.INST.NEW" w:val="COM"/>
    <w:docVar w:name="LW_REF.INST.NEW_ADOPTED" w:val="final"/>
    <w:docVar w:name="LW_REF.INST.NEW_TEXT" w:val="(2021) 83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Javaslat"/>
    <w:docVar w:name="LW_SUPERTITRE" w:val="&lt;UNUSED&gt;"/>
    <w:docVar w:name="LW_TITRE.OBJ.CP" w:val="a Burundi Köztársasággal az egyrészről az afrikai, karibi és csendes-óceáni államok, másrészről az Európai Közösség és tagállamai közötti partnerségi megállapodás 96. cikke alapján folytatott konzultációs eljárás lezárásáról szóló (EU) 2016/394 tanácsi határozatnak az Unió nevében történő hatályon kívül helyezéséről"/>
    <w:docVar w:name="LW_TYPE.DOC.CP" w:val="A TANÁCS HATÁROZATA"/>
    <w:docVar w:name="LwApiVersions" w:val="LW4CoDe 1.23.2.0; LW 8.0, Build 20211117"/>
  </w:docVars>
  <w:rsids>
    <w:rsidRoot w:val="00CD3D32"/>
    <w:rsid w:val="000408CC"/>
    <w:rsid w:val="00051841"/>
    <w:rsid w:val="00060546"/>
    <w:rsid w:val="0007708C"/>
    <w:rsid w:val="000A7517"/>
    <w:rsid w:val="000C0BB8"/>
    <w:rsid w:val="000E198E"/>
    <w:rsid w:val="000E7FD8"/>
    <w:rsid w:val="000F1A39"/>
    <w:rsid w:val="00134EA8"/>
    <w:rsid w:val="001C0310"/>
    <w:rsid w:val="001C2816"/>
    <w:rsid w:val="001D5B15"/>
    <w:rsid w:val="00217264"/>
    <w:rsid w:val="00232E98"/>
    <w:rsid w:val="00252FFE"/>
    <w:rsid w:val="00261480"/>
    <w:rsid w:val="00275E36"/>
    <w:rsid w:val="002E07BA"/>
    <w:rsid w:val="002E2C00"/>
    <w:rsid w:val="00350D46"/>
    <w:rsid w:val="00367061"/>
    <w:rsid w:val="003813AD"/>
    <w:rsid w:val="003B78B3"/>
    <w:rsid w:val="00480DFD"/>
    <w:rsid w:val="004C61E4"/>
    <w:rsid w:val="005027CB"/>
    <w:rsid w:val="005601C1"/>
    <w:rsid w:val="0059105B"/>
    <w:rsid w:val="005B3481"/>
    <w:rsid w:val="00637894"/>
    <w:rsid w:val="0069302E"/>
    <w:rsid w:val="006A6B7A"/>
    <w:rsid w:val="0070128F"/>
    <w:rsid w:val="00722A0C"/>
    <w:rsid w:val="007813A3"/>
    <w:rsid w:val="007C06F6"/>
    <w:rsid w:val="00825D43"/>
    <w:rsid w:val="00900020"/>
    <w:rsid w:val="009076C0"/>
    <w:rsid w:val="0092273F"/>
    <w:rsid w:val="00955D7C"/>
    <w:rsid w:val="009842CF"/>
    <w:rsid w:val="00986B33"/>
    <w:rsid w:val="00987AD5"/>
    <w:rsid w:val="009B7138"/>
    <w:rsid w:val="009D1E6F"/>
    <w:rsid w:val="009D1ED9"/>
    <w:rsid w:val="009E0A2A"/>
    <w:rsid w:val="009F0CD1"/>
    <w:rsid w:val="00A7600E"/>
    <w:rsid w:val="00AE6F19"/>
    <w:rsid w:val="00B532A1"/>
    <w:rsid w:val="00B83C33"/>
    <w:rsid w:val="00BE246D"/>
    <w:rsid w:val="00BF17AA"/>
    <w:rsid w:val="00C17440"/>
    <w:rsid w:val="00C24556"/>
    <w:rsid w:val="00C2507D"/>
    <w:rsid w:val="00C51A57"/>
    <w:rsid w:val="00C5245F"/>
    <w:rsid w:val="00C56E1E"/>
    <w:rsid w:val="00CA1117"/>
    <w:rsid w:val="00CD3D32"/>
    <w:rsid w:val="00D40F23"/>
    <w:rsid w:val="00DA7E2A"/>
    <w:rsid w:val="00DC17A1"/>
    <w:rsid w:val="00DF2ADE"/>
    <w:rsid w:val="00E052FD"/>
    <w:rsid w:val="00E053F9"/>
    <w:rsid w:val="00E205F9"/>
    <w:rsid w:val="00EB0156"/>
    <w:rsid w:val="00EF57D8"/>
    <w:rsid w:val="00F20062"/>
    <w:rsid w:val="00FA4D0F"/>
    <w:rsid w:val="00FD0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4E710C7C-F45E-4F35-9DED-9DBE23EF2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hu-HU"/>
    </w:rPr>
  </w:style>
  <w:style w:type="paragraph" w:styleId="Heading1">
    <w:name w:val="heading 1"/>
    <w:basedOn w:val="Normal"/>
    <w:next w:val="Text1"/>
    <w:link w:val="Heading1Char"/>
    <w:uiPriority w:val="9"/>
    <w:qFormat/>
    <w:rsid w:val="009B7138"/>
    <w:pPr>
      <w:keepNext/>
      <w:numPr>
        <w:numId w:val="4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9B7138"/>
    <w:pPr>
      <w:keepNext/>
      <w:numPr>
        <w:ilvl w:val="1"/>
        <w:numId w:val="4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9B7138"/>
    <w:pPr>
      <w:keepNext/>
      <w:numPr>
        <w:ilvl w:val="2"/>
        <w:numId w:val="41"/>
      </w:numPr>
      <w:outlineLvl w:val="2"/>
    </w:pPr>
    <w:rPr>
      <w:rFonts w:eastAsiaTheme="majorEastAsia"/>
      <w:bCs/>
      <w:i/>
    </w:rPr>
  </w:style>
  <w:style w:type="paragraph" w:styleId="Heading4">
    <w:name w:val="heading 4"/>
    <w:basedOn w:val="Normal"/>
    <w:next w:val="Text1"/>
    <w:link w:val="Heading4Char"/>
    <w:uiPriority w:val="9"/>
    <w:semiHidden/>
    <w:unhideWhenUsed/>
    <w:qFormat/>
    <w:rsid w:val="009B7138"/>
    <w:pPr>
      <w:keepNext/>
      <w:numPr>
        <w:ilvl w:val="3"/>
        <w:numId w:val="41"/>
      </w:numPr>
      <w:outlineLvl w:val="3"/>
    </w:pPr>
    <w:rPr>
      <w:rFonts w:eastAsiaTheme="majorEastAsia"/>
      <w:bCs/>
      <w:iCs/>
    </w:rPr>
  </w:style>
  <w:style w:type="paragraph" w:styleId="Heading5">
    <w:name w:val="heading 5"/>
    <w:basedOn w:val="Normal"/>
    <w:next w:val="Text2"/>
    <w:link w:val="Heading5Char"/>
    <w:uiPriority w:val="9"/>
    <w:semiHidden/>
    <w:unhideWhenUsed/>
    <w:qFormat/>
    <w:rsid w:val="00275E36"/>
    <w:pPr>
      <w:keepNext/>
      <w:numPr>
        <w:ilvl w:val="4"/>
        <w:numId w:val="41"/>
      </w:numPr>
      <w:outlineLvl w:val="4"/>
    </w:pPr>
    <w:rPr>
      <w:rFonts w:eastAsiaTheme="majorEastAsia"/>
    </w:rPr>
  </w:style>
  <w:style w:type="paragraph" w:styleId="Heading6">
    <w:name w:val="heading 6"/>
    <w:basedOn w:val="Normal"/>
    <w:next w:val="Text2"/>
    <w:link w:val="Heading6Char"/>
    <w:uiPriority w:val="9"/>
    <w:semiHidden/>
    <w:unhideWhenUsed/>
    <w:qFormat/>
    <w:rsid w:val="00275E36"/>
    <w:pPr>
      <w:keepNext/>
      <w:numPr>
        <w:ilvl w:val="5"/>
        <w:numId w:val="41"/>
      </w:numPr>
      <w:outlineLvl w:val="5"/>
    </w:pPr>
    <w:rPr>
      <w:rFonts w:eastAsiaTheme="majorEastAsia"/>
      <w:iCs/>
    </w:rPr>
  </w:style>
  <w:style w:type="paragraph" w:styleId="Heading7">
    <w:name w:val="heading 7"/>
    <w:basedOn w:val="Normal"/>
    <w:next w:val="Text2"/>
    <w:link w:val="Heading7Char"/>
    <w:uiPriority w:val="9"/>
    <w:semiHidden/>
    <w:unhideWhenUsed/>
    <w:qFormat/>
    <w:rsid w:val="00275E36"/>
    <w:pPr>
      <w:keepNext/>
      <w:numPr>
        <w:ilvl w:val="6"/>
        <w:numId w:val="41"/>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3D32"/>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3D32"/>
    <w:rPr>
      <w:rFonts w:ascii="Segoe UI" w:hAnsi="Segoe UI" w:cs="Segoe UI"/>
      <w:sz w:val="18"/>
      <w:szCs w:val="18"/>
      <w:lang w:val="hu-HU"/>
    </w:rPr>
  </w:style>
  <w:style w:type="character" w:styleId="Hyperlink">
    <w:name w:val="Hyperlink"/>
    <w:basedOn w:val="DefaultParagraphFont"/>
    <w:uiPriority w:val="99"/>
    <w:unhideWhenUsed/>
    <w:rsid w:val="00825D43"/>
    <w:rPr>
      <w:color w:val="0000FF" w:themeColor="hyperlink"/>
      <w:u w:val="single"/>
    </w:rPr>
  </w:style>
  <w:style w:type="paragraph" w:styleId="Caption">
    <w:name w:val="caption"/>
    <w:basedOn w:val="Normal"/>
    <w:next w:val="Normal"/>
    <w:uiPriority w:val="35"/>
    <w:semiHidden/>
    <w:unhideWhenUsed/>
    <w:qFormat/>
    <w:rsid w:val="002E07BA"/>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2E07BA"/>
    <w:pPr>
      <w:spacing w:after="0"/>
    </w:pPr>
  </w:style>
  <w:style w:type="paragraph" w:styleId="ListBullet">
    <w:name w:val="List Bullet"/>
    <w:basedOn w:val="Normal"/>
    <w:uiPriority w:val="99"/>
    <w:semiHidden/>
    <w:unhideWhenUsed/>
    <w:rsid w:val="002E07BA"/>
    <w:pPr>
      <w:numPr>
        <w:numId w:val="3"/>
      </w:numPr>
      <w:contextualSpacing/>
    </w:pPr>
  </w:style>
  <w:style w:type="paragraph" w:styleId="ListBullet2">
    <w:name w:val="List Bullet 2"/>
    <w:basedOn w:val="Normal"/>
    <w:uiPriority w:val="99"/>
    <w:semiHidden/>
    <w:unhideWhenUsed/>
    <w:rsid w:val="002E07BA"/>
    <w:pPr>
      <w:numPr>
        <w:numId w:val="4"/>
      </w:numPr>
      <w:contextualSpacing/>
    </w:pPr>
  </w:style>
  <w:style w:type="paragraph" w:styleId="ListBullet3">
    <w:name w:val="List Bullet 3"/>
    <w:basedOn w:val="Normal"/>
    <w:uiPriority w:val="99"/>
    <w:semiHidden/>
    <w:unhideWhenUsed/>
    <w:rsid w:val="002E07BA"/>
    <w:pPr>
      <w:numPr>
        <w:numId w:val="5"/>
      </w:numPr>
      <w:contextualSpacing/>
    </w:pPr>
  </w:style>
  <w:style w:type="paragraph" w:styleId="ListBullet4">
    <w:name w:val="List Bullet 4"/>
    <w:basedOn w:val="Normal"/>
    <w:uiPriority w:val="99"/>
    <w:semiHidden/>
    <w:unhideWhenUsed/>
    <w:rsid w:val="002E07BA"/>
    <w:pPr>
      <w:numPr>
        <w:numId w:val="6"/>
      </w:numPr>
      <w:contextualSpacing/>
    </w:pPr>
  </w:style>
  <w:style w:type="paragraph" w:styleId="ListNumber">
    <w:name w:val="List Number"/>
    <w:basedOn w:val="Normal"/>
    <w:uiPriority w:val="99"/>
    <w:semiHidden/>
    <w:unhideWhenUsed/>
    <w:rsid w:val="002E07BA"/>
    <w:pPr>
      <w:numPr>
        <w:numId w:val="7"/>
      </w:numPr>
      <w:contextualSpacing/>
    </w:pPr>
  </w:style>
  <w:style w:type="paragraph" w:styleId="ListNumber2">
    <w:name w:val="List Number 2"/>
    <w:basedOn w:val="Normal"/>
    <w:uiPriority w:val="99"/>
    <w:semiHidden/>
    <w:unhideWhenUsed/>
    <w:rsid w:val="002E07BA"/>
    <w:pPr>
      <w:numPr>
        <w:numId w:val="8"/>
      </w:numPr>
      <w:contextualSpacing/>
    </w:pPr>
  </w:style>
  <w:style w:type="paragraph" w:styleId="ListNumber3">
    <w:name w:val="List Number 3"/>
    <w:basedOn w:val="Normal"/>
    <w:uiPriority w:val="99"/>
    <w:semiHidden/>
    <w:unhideWhenUsed/>
    <w:rsid w:val="002E07BA"/>
    <w:pPr>
      <w:numPr>
        <w:numId w:val="9"/>
      </w:numPr>
      <w:contextualSpacing/>
    </w:pPr>
  </w:style>
  <w:style w:type="paragraph" w:styleId="ListNumber4">
    <w:name w:val="List Number 4"/>
    <w:basedOn w:val="Normal"/>
    <w:uiPriority w:val="99"/>
    <w:semiHidden/>
    <w:unhideWhenUsed/>
    <w:rsid w:val="002E07BA"/>
    <w:pPr>
      <w:numPr>
        <w:numId w:val="10"/>
      </w:numPr>
      <w:contextualSpacing/>
    </w:pPr>
  </w:style>
  <w:style w:type="character" w:styleId="CommentReference">
    <w:name w:val="annotation reference"/>
    <w:basedOn w:val="DefaultParagraphFont"/>
    <w:uiPriority w:val="99"/>
    <w:semiHidden/>
    <w:unhideWhenUsed/>
    <w:rsid w:val="00B532A1"/>
    <w:rPr>
      <w:sz w:val="16"/>
      <w:szCs w:val="16"/>
    </w:rPr>
  </w:style>
  <w:style w:type="paragraph" w:styleId="CommentText">
    <w:name w:val="annotation text"/>
    <w:basedOn w:val="Normal"/>
    <w:link w:val="CommentTextChar"/>
    <w:uiPriority w:val="99"/>
    <w:semiHidden/>
    <w:unhideWhenUsed/>
    <w:rsid w:val="00B532A1"/>
    <w:rPr>
      <w:sz w:val="20"/>
      <w:szCs w:val="20"/>
    </w:rPr>
  </w:style>
  <w:style w:type="character" w:customStyle="1" w:styleId="CommentTextChar">
    <w:name w:val="Comment Text Char"/>
    <w:basedOn w:val="DefaultParagraphFont"/>
    <w:link w:val="CommentText"/>
    <w:uiPriority w:val="99"/>
    <w:semiHidden/>
    <w:rsid w:val="00B532A1"/>
    <w:rPr>
      <w:rFonts w:ascii="Times New Roman" w:hAnsi="Times New Roman" w:cs="Times New Roman"/>
      <w:sz w:val="20"/>
      <w:szCs w:val="20"/>
      <w:lang w:val="hu-HU"/>
    </w:rPr>
  </w:style>
  <w:style w:type="paragraph" w:styleId="CommentSubject">
    <w:name w:val="annotation subject"/>
    <w:basedOn w:val="CommentText"/>
    <w:next w:val="CommentText"/>
    <w:link w:val="CommentSubjectChar"/>
    <w:uiPriority w:val="99"/>
    <w:semiHidden/>
    <w:unhideWhenUsed/>
    <w:rsid w:val="00B532A1"/>
    <w:rPr>
      <w:b/>
      <w:bCs/>
    </w:rPr>
  </w:style>
  <w:style w:type="character" w:customStyle="1" w:styleId="CommentSubjectChar">
    <w:name w:val="Comment Subject Char"/>
    <w:basedOn w:val="CommentTextChar"/>
    <w:link w:val="CommentSubject"/>
    <w:uiPriority w:val="99"/>
    <w:semiHidden/>
    <w:rsid w:val="00B532A1"/>
    <w:rPr>
      <w:rFonts w:ascii="Times New Roman" w:hAnsi="Times New Roman" w:cs="Times New Roman"/>
      <w:b/>
      <w:bCs/>
      <w:sz w:val="20"/>
      <w:szCs w:val="20"/>
      <w:lang w:val="hu-HU"/>
    </w:rPr>
  </w:style>
  <w:style w:type="paragraph" w:styleId="Header">
    <w:name w:val="header"/>
    <w:basedOn w:val="Normal"/>
    <w:link w:val="HeaderChar"/>
    <w:uiPriority w:val="99"/>
    <w:unhideWhenUsed/>
    <w:rsid w:val="00FA4D0F"/>
    <w:pPr>
      <w:tabs>
        <w:tab w:val="center" w:pos="4535"/>
        <w:tab w:val="right" w:pos="9071"/>
      </w:tabs>
      <w:spacing w:before="0"/>
    </w:pPr>
  </w:style>
  <w:style w:type="character" w:customStyle="1" w:styleId="HeaderChar">
    <w:name w:val="Header Char"/>
    <w:basedOn w:val="DefaultParagraphFont"/>
    <w:link w:val="Header"/>
    <w:uiPriority w:val="99"/>
    <w:rsid w:val="00FA4D0F"/>
    <w:rPr>
      <w:rFonts w:ascii="Times New Roman" w:hAnsi="Times New Roman" w:cs="Times New Roman"/>
      <w:sz w:val="24"/>
      <w:lang w:val="hu-HU"/>
    </w:rPr>
  </w:style>
  <w:style w:type="paragraph" w:styleId="Footer">
    <w:name w:val="footer"/>
    <w:basedOn w:val="Normal"/>
    <w:link w:val="FooterChar"/>
    <w:uiPriority w:val="99"/>
    <w:unhideWhenUsed/>
    <w:rsid w:val="00FA4D0F"/>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FA4D0F"/>
    <w:rPr>
      <w:rFonts w:ascii="Times New Roman" w:hAnsi="Times New Roman" w:cs="Times New Roman"/>
      <w:sz w:val="24"/>
      <w:lang w:val="hu-HU"/>
    </w:rPr>
  </w:style>
  <w:style w:type="paragraph" w:styleId="FootnoteText">
    <w:name w:val="footnote text"/>
    <w:basedOn w:val="Normal"/>
    <w:link w:val="FootnoteTextChar"/>
    <w:uiPriority w:val="99"/>
    <w:semiHidden/>
    <w:unhideWhenUsed/>
    <w:rsid w:val="009B713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9B7138"/>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9B7138"/>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sid w:val="009B7138"/>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sid w:val="009B7138"/>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sid w:val="009B7138"/>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rsid w:val="009B7138"/>
    <w:pPr>
      <w:spacing w:after="240"/>
      <w:jc w:val="center"/>
    </w:pPr>
    <w:rPr>
      <w:b/>
      <w:sz w:val="28"/>
    </w:rPr>
  </w:style>
  <w:style w:type="paragraph" w:styleId="TOC1">
    <w:name w:val="toc 1"/>
    <w:basedOn w:val="Normal"/>
    <w:next w:val="Normal"/>
    <w:uiPriority w:val="39"/>
    <w:semiHidden/>
    <w:unhideWhenUsed/>
    <w:rsid w:val="009B7138"/>
    <w:pPr>
      <w:tabs>
        <w:tab w:val="right" w:leader="dot" w:pos="9071"/>
      </w:tabs>
      <w:spacing w:before="60"/>
      <w:ind w:left="850" w:hanging="850"/>
      <w:jc w:val="left"/>
    </w:pPr>
  </w:style>
  <w:style w:type="paragraph" w:styleId="TOC2">
    <w:name w:val="toc 2"/>
    <w:basedOn w:val="Normal"/>
    <w:next w:val="Normal"/>
    <w:uiPriority w:val="39"/>
    <w:semiHidden/>
    <w:unhideWhenUsed/>
    <w:rsid w:val="009B7138"/>
    <w:pPr>
      <w:tabs>
        <w:tab w:val="right" w:leader="dot" w:pos="9071"/>
      </w:tabs>
      <w:spacing w:before="60"/>
      <w:ind w:left="850" w:hanging="850"/>
      <w:jc w:val="left"/>
    </w:pPr>
  </w:style>
  <w:style w:type="paragraph" w:styleId="TOC3">
    <w:name w:val="toc 3"/>
    <w:basedOn w:val="Normal"/>
    <w:next w:val="Normal"/>
    <w:uiPriority w:val="39"/>
    <w:semiHidden/>
    <w:unhideWhenUsed/>
    <w:rsid w:val="009B7138"/>
    <w:pPr>
      <w:tabs>
        <w:tab w:val="right" w:leader="dot" w:pos="9071"/>
      </w:tabs>
      <w:spacing w:before="60"/>
      <w:ind w:left="850" w:hanging="850"/>
      <w:jc w:val="left"/>
    </w:pPr>
  </w:style>
  <w:style w:type="paragraph" w:styleId="TOC4">
    <w:name w:val="toc 4"/>
    <w:basedOn w:val="Normal"/>
    <w:next w:val="Normal"/>
    <w:uiPriority w:val="39"/>
    <w:semiHidden/>
    <w:unhideWhenUsed/>
    <w:rsid w:val="009B7138"/>
    <w:pPr>
      <w:tabs>
        <w:tab w:val="right" w:leader="dot" w:pos="9071"/>
      </w:tabs>
      <w:spacing w:before="60"/>
      <w:ind w:left="850" w:hanging="850"/>
      <w:jc w:val="left"/>
    </w:pPr>
  </w:style>
  <w:style w:type="paragraph" w:styleId="TOC5">
    <w:name w:val="toc 5"/>
    <w:basedOn w:val="Normal"/>
    <w:next w:val="Normal"/>
    <w:uiPriority w:val="39"/>
    <w:semiHidden/>
    <w:unhideWhenUsed/>
    <w:rsid w:val="009B7138"/>
    <w:pPr>
      <w:tabs>
        <w:tab w:val="right" w:leader="dot" w:pos="9071"/>
      </w:tabs>
      <w:spacing w:before="300"/>
      <w:jc w:val="left"/>
    </w:pPr>
  </w:style>
  <w:style w:type="paragraph" w:styleId="TOC6">
    <w:name w:val="toc 6"/>
    <w:basedOn w:val="Normal"/>
    <w:next w:val="Normal"/>
    <w:uiPriority w:val="39"/>
    <w:semiHidden/>
    <w:unhideWhenUsed/>
    <w:rsid w:val="009B7138"/>
    <w:pPr>
      <w:tabs>
        <w:tab w:val="right" w:leader="dot" w:pos="9071"/>
      </w:tabs>
      <w:spacing w:before="240"/>
      <w:jc w:val="left"/>
    </w:pPr>
  </w:style>
  <w:style w:type="paragraph" w:styleId="TOC7">
    <w:name w:val="toc 7"/>
    <w:basedOn w:val="Normal"/>
    <w:next w:val="Normal"/>
    <w:uiPriority w:val="39"/>
    <w:semiHidden/>
    <w:unhideWhenUsed/>
    <w:rsid w:val="009B7138"/>
    <w:pPr>
      <w:tabs>
        <w:tab w:val="right" w:leader="dot" w:pos="9071"/>
      </w:tabs>
      <w:spacing w:before="180"/>
      <w:jc w:val="left"/>
    </w:pPr>
  </w:style>
  <w:style w:type="paragraph" w:styleId="TOC8">
    <w:name w:val="toc 8"/>
    <w:basedOn w:val="Normal"/>
    <w:next w:val="Normal"/>
    <w:uiPriority w:val="39"/>
    <w:semiHidden/>
    <w:unhideWhenUsed/>
    <w:rsid w:val="009B7138"/>
    <w:pPr>
      <w:tabs>
        <w:tab w:val="right" w:leader="dot" w:pos="9071"/>
      </w:tabs>
      <w:jc w:val="left"/>
    </w:pPr>
  </w:style>
  <w:style w:type="paragraph" w:styleId="TOC9">
    <w:name w:val="toc 9"/>
    <w:basedOn w:val="Normal"/>
    <w:next w:val="Normal"/>
    <w:uiPriority w:val="39"/>
    <w:semiHidden/>
    <w:unhideWhenUsed/>
    <w:rsid w:val="009B7138"/>
    <w:pPr>
      <w:tabs>
        <w:tab w:val="right" w:leader="dot" w:pos="9071"/>
      </w:tabs>
    </w:pPr>
  </w:style>
  <w:style w:type="paragraph" w:customStyle="1" w:styleId="HeaderLandscape">
    <w:name w:val="HeaderLandscape"/>
    <w:basedOn w:val="Normal"/>
    <w:rsid w:val="00FA4D0F"/>
    <w:pPr>
      <w:tabs>
        <w:tab w:val="center" w:pos="7285"/>
        <w:tab w:val="right" w:pos="14003"/>
      </w:tabs>
      <w:spacing w:before="0"/>
    </w:pPr>
  </w:style>
  <w:style w:type="paragraph" w:customStyle="1" w:styleId="FooterLandscape">
    <w:name w:val="FooterLandscape"/>
    <w:basedOn w:val="Normal"/>
    <w:rsid w:val="00FA4D0F"/>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9B7138"/>
    <w:rPr>
      <w:shd w:val="clear" w:color="auto" w:fill="auto"/>
      <w:vertAlign w:val="superscript"/>
    </w:rPr>
  </w:style>
  <w:style w:type="paragraph" w:customStyle="1" w:styleId="HeaderSensitivity">
    <w:name w:val="Header Sensitivity"/>
    <w:basedOn w:val="Normal"/>
    <w:rsid w:val="00FA4D0F"/>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FA4D0F"/>
    <w:pPr>
      <w:spacing w:before="0"/>
      <w:jc w:val="right"/>
    </w:pPr>
    <w:rPr>
      <w:sz w:val="28"/>
    </w:rPr>
  </w:style>
  <w:style w:type="paragraph" w:customStyle="1" w:styleId="FooterSensitivity">
    <w:name w:val="Footer Sensitivity"/>
    <w:basedOn w:val="Normal"/>
    <w:rsid w:val="00FA4D0F"/>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9B7138"/>
    <w:pPr>
      <w:ind w:left="850"/>
    </w:pPr>
  </w:style>
  <w:style w:type="paragraph" w:customStyle="1" w:styleId="Text2">
    <w:name w:val="Text 2"/>
    <w:basedOn w:val="Normal"/>
    <w:rsid w:val="009B7138"/>
    <w:pPr>
      <w:ind w:left="1417"/>
    </w:pPr>
  </w:style>
  <w:style w:type="paragraph" w:customStyle="1" w:styleId="Text3">
    <w:name w:val="Text 3"/>
    <w:basedOn w:val="Normal"/>
    <w:rsid w:val="009B7138"/>
    <w:pPr>
      <w:ind w:left="1984"/>
    </w:pPr>
  </w:style>
  <w:style w:type="paragraph" w:customStyle="1" w:styleId="Text4">
    <w:name w:val="Text 4"/>
    <w:basedOn w:val="Normal"/>
    <w:rsid w:val="009B7138"/>
    <w:pPr>
      <w:ind w:left="2551"/>
    </w:pPr>
  </w:style>
  <w:style w:type="paragraph" w:customStyle="1" w:styleId="NormalCentered">
    <w:name w:val="Normal Centered"/>
    <w:basedOn w:val="Normal"/>
    <w:rsid w:val="009B7138"/>
    <w:pPr>
      <w:jc w:val="center"/>
    </w:pPr>
  </w:style>
  <w:style w:type="paragraph" w:customStyle="1" w:styleId="NormalLeft">
    <w:name w:val="Normal Left"/>
    <w:basedOn w:val="Normal"/>
    <w:rsid w:val="009B7138"/>
    <w:pPr>
      <w:jc w:val="left"/>
    </w:pPr>
  </w:style>
  <w:style w:type="paragraph" w:customStyle="1" w:styleId="NormalRight">
    <w:name w:val="Normal Right"/>
    <w:basedOn w:val="Normal"/>
    <w:rsid w:val="009B7138"/>
    <w:pPr>
      <w:jc w:val="right"/>
    </w:pPr>
  </w:style>
  <w:style w:type="paragraph" w:customStyle="1" w:styleId="QuotedText">
    <w:name w:val="Quoted Text"/>
    <w:basedOn w:val="Normal"/>
    <w:rsid w:val="009B7138"/>
    <w:pPr>
      <w:ind w:left="1417"/>
    </w:pPr>
  </w:style>
  <w:style w:type="paragraph" w:customStyle="1" w:styleId="Point0">
    <w:name w:val="Point 0"/>
    <w:basedOn w:val="Normal"/>
    <w:rsid w:val="009B7138"/>
    <w:pPr>
      <w:ind w:left="850" w:hanging="850"/>
    </w:pPr>
  </w:style>
  <w:style w:type="paragraph" w:customStyle="1" w:styleId="Point1">
    <w:name w:val="Point 1"/>
    <w:basedOn w:val="Normal"/>
    <w:rsid w:val="009B7138"/>
    <w:pPr>
      <w:ind w:left="1417" w:hanging="567"/>
    </w:pPr>
  </w:style>
  <w:style w:type="paragraph" w:customStyle="1" w:styleId="Point2">
    <w:name w:val="Point 2"/>
    <w:basedOn w:val="Normal"/>
    <w:rsid w:val="009B7138"/>
    <w:pPr>
      <w:ind w:left="1984" w:hanging="567"/>
    </w:pPr>
  </w:style>
  <w:style w:type="paragraph" w:customStyle="1" w:styleId="Point3">
    <w:name w:val="Point 3"/>
    <w:basedOn w:val="Normal"/>
    <w:rsid w:val="009B7138"/>
    <w:pPr>
      <w:ind w:left="2551" w:hanging="567"/>
    </w:pPr>
  </w:style>
  <w:style w:type="paragraph" w:customStyle="1" w:styleId="Point4">
    <w:name w:val="Point 4"/>
    <w:basedOn w:val="Normal"/>
    <w:rsid w:val="009B7138"/>
    <w:pPr>
      <w:ind w:left="3118" w:hanging="567"/>
    </w:pPr>
  </w:style>
  <w:style w:type="paragraph" w:customStyle="1" w:styleId="Tiret0">
    <w:name w:val="Tiret 0"/>
    <w:basedOn w:val="Point0"/>
    <w:rsid w:val="009B7138"/>
    <w:pPr>
      <w:numPr>
        <w:numId w:val="25"/>
      </w:numPr>
    </w:pPr>
  </w:style>
  <w:style w:type="paragraph" w:customStyle="1" w:styleId="Tiret1">
    <w:name w:val="Tiret 1"/>
    <w:basedOn w:val="Point1"/>
    <w:rsid w:val="009B7138"/>
    <w:pPr>
      <w:numPr>
        <w:numId w:val="26"/>
      </w:numPr>
    </w:pPr>
  </w:style>
  <w:style w:type="paragraph" w:customStyle="1" w:styleId="Tiret2">
    <w:name w:val="Tiret 2"/>
    <w:basedOn w:val="Point2"/>
    <w:rsid w:val="009B7138"/>
    <w:pPr>
      <w:numPr>
        <w:numId w:val="27"/>
      </w:numPr>
    </w:pPr>
  </w:style>
  <w:style w:type="paragraph" w:customStyle="1" w:styleId="Tiret3">
    <w:name w:val="Tiret 3"/>
    <w:basedOn w:val="Point3"/>
    <w:rsid w:val="009B7138"/>
    <w:pPr>
      <w:numPr>
        <w:numId w:val="28"/>
      </w:numPr>
    </w:pPr>
  </w:style>
  <w:style w:type="paragraph" w:customStyle="1" w:styleId="Tiret4">
    <w:name w:val="Tiret 4"/>
    <w:basedOn w:val="Point4"/>
    <w:rsid w:val="009B7138"/>
    <w:pPr>
      <w:numPr>
        <w:numId w:val="29"/>
      </w:numPr>
    </w:pPr>
  </w:style>
  <w:style w:type="paragraph" w:customStyle="1" w:styleId="PointDouble0">
    <w:name w:val="PointDouble 0"/>
    <w:basedOn w:val="Normal"/>
    <w:rsid w:val="009B7138"/>
    <w:pPr>
      <w:tabs>
        <w:tab w:val="left" w:pos="850"/>
      </w:tabs>
      <w:ind w:left="1417" w:hanging="1417"/>
    </w:pPr>
  </w:style>
  <w:style w:type="paragraph" w:customStyle="1" w:styleId="PointDouble1">
    <w:name w:val="PointDouble 1"/>
    <w:basedOn w:val="Normal"/>
    <w:rsid w:val="009B7138"/>
    <w:pPr>
      <w:tabs>
        <w:tab w:val="left" w:pos="1417"/>
      </w:tabs>
      <w:ind w:left="1984" w:hanging="1134"/>
    </w:pPr>
  </w:style>
  <w:style w:type="paragraph" w:customStyle="1" w:styleId="PointDouble2">
    <w:name w:val="PointDouble 2"/>
    <w:basedOn w:val="Normal"/>
    <w:rsid w:val="009B7138"/>
    <w:pPr>
      <w:tabs>
        <w:tab w:val="left" w:pos="1984"/>
      </w:tabs>
      <w:ind w:left="2551" w:hanging="1134"/>
    </w:pPr>
  </w:style>
  <w:style w:type="paragraph" w:customStyle="1" w:styleId="PointDouble3">
    <w:name w:val="PointDouble 3"/>
    <w:basedOn w:val="Normal"/>
    <w:rsid w:val="009B7138"/>
    <w:pPr>
      <w:tabs>
        <w:tab w:val="left" w:pos="2551"/>
      </w:tabs>
      <w:ind w:left="3118" w:hanging="1134"/>
    </w:pPr>
  </w:style>
  <w:style w:type="paragraph" w:customStyle="1" w:styleId="PointDouble4">
    <w:name w:val="PointDouble 4"/>
    <w:basedOn w:val="Normal"/>
    <w:rsid w:val="009B7138"/>
    <w:pPr>
      <w:tabs>
        <w:tab w:val="left" w:pos="3118"/>
      </w:tabs>
      <w:ind w:left="3685" w:hanging="1134"/>
    </w:pPr>
  </w:style>
  <w:style w:type="paragraph" w:customStyle="1" w:styleId="PointTriple0">
    <w:name w:val="PointTriple 0"/>
    <w:basedOn w:val="Normal"/>
    <w:rsid w:val="009B7138"/>
    <w:pPr>
      <w:tabs>
        <w:tab w:val="left" w:pos="850"/>
        <w:tab w:val="left" w:pos="1417"/>
      </w:tabs>
      <w:ind w:left="1984" w:hanging="1984"/>
    </w:pPr>
  </w:style>
  <w:style w:type="paragraph" w:customStyle="1" w:styleId="PointTriple1">
    <w:name w:val="PointTriple 1"/>
    <w:basedOn w:val="Normal"/>
    <w:rsid w:val="009B7138"/>
    <w:pPr>
      <w:tabs>
        <w:tab w:val="left" w:pos="1417"/>
        <w:tab w:val="left" w:pos="1984"/>
      </w:tabs>
      <w:ind w:left="2551" w:hanging="1701"/>
    </w:pPr>
  </w:style>
  <w:style w:type="paragraph" w:customStyle="1" w:styleId="PointTriple2">
    <w:name w:val="PointTriple 2"/>
    <w:basedOn w:val="Normal"/>
    <w:rsid w:val="009B7138"/>
    <w:pPr>
      <w:tabs>
        <w:tab w:val="left" w:pos="1984"/>
        <w:tab w:val="left" w:pos="2551"/>
      </w:tabs>
      <w:ind w:left="3118" w:hanging="1701"/>
    </w:pPr>
  </w:style>
  <w:style w:type="paragraph" w:customStyle="1" w:styleId="PointTriple3">
    <w:name w:val="PointTriple 3"/>
    <w:basedOn w:val="Normal"/>
    <w:rsid w:val="009B7138"/>
    <w:pPr>
      <w:tabs>
        <w:tab w:val="left" w:pos="2551"/>
        <w:tab w:val="left" w:pos="3118"/>
      </w:tabs>
      <w:ind w:left="3685" w:hanging="1701"/>
    </w:pPr>
  </w:style>
  <w:style w:type="paragraph" w:customStyle="1" w:styleId="PointTriple4">
    <w:name w:val="PointTriple 4"/>
    <w:basedOn w:val="Normal"/>
    <w:rsid w:val="009B7138"/>
    <w:pPr>
      <w:tabs>
        <w:tab w:val="left" w:pos="3118"/>
        <w:tab w:val="left" w:pos="3685"/>
      </w:tabs>
      <w:ind w:left="4252" w:hanging="1701"/>
    </w:pPr>
  </w:style>
  <w:style w:type="paragraph" w:customStyle="1" w:styleId="NumPar1">
    <w:name w:val="NumPar 1"/>
    <w:basedOn w:val="Normal"/>
    <w:next w:val="Text1"/>
    <w:rsid w:val="009B7138"/>
    <w:pPr>
      <w:numPr>
        <w:numId w:val="45"/>
      </w:numPr>
    </w:pPr>
  </w:style>
  <w:style w:type="paragraph" w:customStyle="1" w:styleId="NumPar2">
    <w:name w:val="NumPar 2"/>
    <w:basedOn w:val="Normal"/>
    <w:next w:val="Text1"/>
    <w:rsid w:val="009B7138"/>
    <w:pPr>
      <w:numPr>
        <w:ilvl w:val="1"/>
        <w:numId w:val="45"/>
      </w:numPr>
    </w:pPr>
  </w:style>
  <w:style w:type="paragraph" w:customStyle="1" w:styleId="NumPar3">
    <w:name w:val="NumPar 3"/>
    <w:basedOn w:val="Normal"/>
    <w:next w:val="Text1"/>
    <w:rsid w:val="009B7138"/>
    <w:pPr>
      <w:numPr>
        <w:ilvl w:val="2"/>
        <w:numId w:val="45"/>
      </w:numPr>
    </w:pPr>
  </w:style>
  <w:style w:type="paragraph" w:customStyle="1" w:styleId="NumPar4">
    <w:name w:val="NumPar 4"/>
    <w:basedOn w:val="Normal"/>
    <w:next w:val="Text1"/>
    <w:rsid w:val="009B7138"/>
    <w:pPr>
      <w:numPr>
        <w:ilvl w:val="3"/>
        <w:numId w:val="45"/>
      </w:numPr>
    </w:pPr>
  </w:style>
  <w:style w:type="paragraph" w:customStyle="1" w:styleId="ManualNumPar1">
    <w:name w:val="Manual NumPar 1"/>
    <w:basedOn w:val="Normal"/>
    <w:next w:val="Text1"/>
    <w:rsid w:val="009B7138"/>
    <w:pPr>
      <w:ind w:left="850" w:hanging="850"/>
    </w:pPr>
  </w:style>
  <w:style w:type="paragraph" w:customStyle="1" w:styleId="ManualNumPar2">
    <w:name w:val="Manual NumPar 2"/>
    <w:basedOn w:val="Normal"/>
    <w:next w:val="Text1"/>
    <w:rsid w:val="009B7138"/>
    <w:pPr>
      <w:ind w:left="850" w:hanging="850"/>
    </w:pPr>
  </w:style>
  <w:style w:type="paragraph" w:customStyle="1" w:styleId="ManualNumPar3">
    <w:name w:val="Manual NumPar 3"/>
    <w:basedOn w:val="Normal"/>
    <w:next w:val="Text1"/>
    <w:rsid w:val="009B7138"/>
    <w:pPr>
      <w:ind w:left="850" w:hanging="850"/>
    </w:pPr>
  </w:style>
  <w:style w:type="paragraph" w:customStyle="1" w:styleId="ManualNumPar4">
    <w:name w:val="Manual NumPar 4"/>
    <w:basedOn w:val="Normal"/>
    <w:next w:val="Text1"/>
    <w:rsid w:val="009B7138"/>
    <w:pPr>
      <w:ind w:left="850" w:hanging="850"/>
    </w:pPr>
  </w:style>
  <w:style w:type="paragraph" w:customStyle="1" w:styleId="QuotedNumPar">
    <w:name w:val="Quoted NumPar"/>
    <w:basedOn w:val="Normal"/>
    <w:rsid w:val="009B7138"/>
    <w:pPr>
      <w:ind w:left="1417" w:hanging="567"/>
    </w:pPr>
  </w:style>
  <w:style w:type="paragraph" w:customStyle="1" w:styleId="ManualHeading1">
    <w:name w:val="Manual Heading 1"/>
    <w:basedOn w:val="Normal"/>
    <w:next w:val="Text1"/>
    <w:rsid w:val="009B713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9B7138"/>
    <w:pPr>
      <w:keepNext/>
      <w:tabs>
        <w:tab w:val="left" w:pos="850"/>
      </w:tabs>
      <w:ind w:left="850" w:hanging="850"/>
      <w:outlineLvl w:val="1"/>
    </w:pPr>
    <w:rPr>
      <w:b/>
    </w:rPr>
  </w:style>
  <w:style w:type="paragraph" w:customStyle="1" w:styleId="ManualHeading3">
    <w:name w:val="Manual Heading 3"/>
    <w:basedOn w:val="Normal"/>
    <w:next w:val="Text1"/>
    <w:rsid w:val="009B7138"/>
    <w:pPr>
      <w:keepNext/>
      <w:tabs>
        <w:tab w:val="left" w:pos="850"/>
      </w:tabs>
      <w:ind w:left="850" w:hanging="850"/>
      <w:outlineLvl w:val="2"/>
    </w:pPr>
    <w:rPr>
      <w:i/>
    </w:rPr>
  </w:style>
  <w:style w:type="paragraph" w:customStyle="1" w:styleId="ManualHeading4">
    <w:name w:val="Manual Heading 4"/>
    <w:basedOn w:val="Normal"/>
    <w:next w:val="Text1"/>
    <w:rsid w:val="009B7138"/>
    <w:pPr>
      <w:keepNext/>
      <w:tabs>
        <w:tab w:val="left" w:pos="850"/>
      </w:tabs>
      <w:ind w:left="850" w:hanging="850"/>
      <w:outlineLvl w:val="3"/>
    </w:pPr>
  </w:style>
  <w:style w:type="paragraph" w:customStyle="1" w:styleId="ChapterTitle">
    <w:name w:val="ChapterTitle"/>
    <w:basedOn w:val="Normal"/>
    <w:next w:val="Normal"/>
    <w:rsid w:val="009B7138"/>
    <w:pPr>
      <w:keepNext/>
      <w:spacing w:after="360"/>
      <w:jc w:val="center"/>
    </w:pPr>
    <w:rPr>
      <w:b/>
      <w:sz w:val="32"/>
    </w:rPr>
  </w:style>
  <w:style w:type="paragraph" w:customStyle="1" w:styleId="PartTitle">
    <w:name w:val="PartTitle"/>
    <w:basedOn w:val="Normal"/>
    <w:next w:val="ChapterTitle"/>
    <w:rsid w:val="009B7138"/>
    <w:pPr>
      <w:keepNext/>
      <w:pageBreakBefore/>
      <w:spacing w:after="360"/>
      <w:jc w:val="center"/>
    </w:pPr>
    <w:rPr>
      <w:b/>
      <w:sz w:val="36"/>
    </w:rPr>
  </w:style>
  <w:style w:type="paragraph" w:customStyle="1" w:styleId="SectionTitle">
    <w:name w:val="SectionTitle"/>
    <w:basedOn w:val="Normal"/>
    <w:next w:val="Heading1"/>
    <w:rsid w:val="009B7138"/>
    <w:pPr>
      <w:keepNext/>
      <w:spacing w:after="360"/>
      <w:jc w:val="center"/>
    </w:pPr>
    <w:rPr>
      <w:b/>
      <w:smallCaps/>
      <w:sz w:val="28"/>
    </w:rPr>
  </w:style>
  <w:style w:type="paragraph" w:customStyle="1" w:styleId="TableTitle">
    <w:name w:val="Table Title"/>
    <w:basedOn w:val="Normal"/>
    <w:next w:val="Normal"/>
    <w:rsid w:val="009B7138"/>
    <w:pPr>
      <w:jc w:val="center"/>
    </w:pPr>
    <w:rPr>
      <w:b/>
    </w:rPr>
  </w:style>
  <w:style w:type="character" w:customStyle="1" w:styleId="Marker">
    <w:name w:val="Marker"/>
    <w:basedOn w:val="DefaultParagraphFont"/>
    <w:rsid w:val="00252FFE"/>
    <w:rPr>
      <w:color w:val="0000FF"/>
      <w:shd w:val="clear" w:color="auto" w:fill="auto"/>
    </w:rPr>
  </w:style>
  <w:style w:type="character" w:customStyle="1" w:styleId="Marker1">
    <w:name w:val="Marker1"/>
    <w:basedOn w:val="DefaultParagraphFont"/>
    <w:rsid w:val="009B7138"/>
    <w:rPr>
      <w:color w:val="008000"/>
      <w:shd w:val="clear" w:color="auto" w:fill="auto"/>
    </w:rPr>
  </w:style>
  <w:style w:type="character" w:customStyle="1" w:styleId="Marker2">
    <w:name w:val="Marker2"/>
    <w:basedOn w:val="DefaultParagraphFont"/>
    <w:rsid w:val="009B7138"/>
    <w:rPr>
      <w:color w:val="FF0000"/>
      <w:shd w:val="clear" w:color="auto" w:fill="auto"/>
    </w:rPr>
  </w:style>
  <w:style w:type="paragraph" w:customStyle="1" w:styleId="Point0number">
    <w:name w:val="Point 0 (number)"/>
    <w:basedOn w:val="Normal"/>
    <w:rsid w:val="009B7138"/>
    <w:pPr>
      <w:numPr>
        <w:numId w:val="32"/>
      </w:numPr>
    </w:pPr>
  </w:style>
  <w:style w:type="paragraph" w:customStyle="1" w:styleId="Point1number">
    <w:name w:val="Point 1 (number)"/>
    <w:basedOn w:val="Normal"/>
    <w:rsid w:val="009B7138"/>
    <w:pPr>
      <w:numPr>
        <w:ilvl w:val="2"/>
        <w:numId w:val="32"/>
      </w:numPr>
    </w:pPr>
  </w:style>
  <w:style w:type="paragraph" w:customStyle="1" w:styleId="Point2number">
    <w:name w:val="Point 2 (number)"/>
    <w:basedOn w:val="Normal"/>
    <w:rsid w:val="009B7138"/>
    <w:pPr>
      <w:numPr>
        <w:ilvl w:val="4"/>
        <w:numId w:val="32"/>
      </w:numPr>
    </w:pPr>
  </w:style>
  <w:style w:type="paragraph" w:customStyle="1" w:styleId="Point3number">
    <w:name w:val="Point 3 (number)"/>
    <w:basedOn w:val="Normal"/>
    <w:rsid w:val="009B7138"/>
    <w:pPr>
      <w:numPr>
        <w:ilvl w:val="6"/>
        <w:numId w:val="32"/>
      </w:numPr>
    </w:pPr>
  </w:style>
  <w:style w:type="paragraph" w:customStyle="1" w:styleId="Point0letter">
    <w:name w:val="Point 0 (letter)"/>
    <w:basedOn w:val="Normal"/>
    <w:rsid w:val="009B7138"/>
    <w:pPr>
      <w:numPr>
        <w:ilvl w:val="1"/>
        <w:numId w:val="32"/>
      </w:numPr>
    </w:pPr>
  </w:style>
  <w:style w:type="paragraph" w:customStyle="1" w:styleId="Point1letter">
    <w:name w:val="Point 1 (letter)"/>
    <w:basedOn w:val="Normal"/>
    <w:rsid w:val="009B7138"/>
    <w:pPr>
      <w:numPr>
        <w:ilvl w:val="3"/>
        <w:numId w:val="32"/>
      </w:numPr>
    </w:pPr>
  </w:style>
  <w:style w:type="paragraph" w:customStyle="1" w:styleId="Point2letter">
    <w:name w:val="Point 2 (letter)"/>
    <w:basedOn w:val="Normal"/>
    <w:rsid w:val="009B7138"/>
    <w:pPr>
      <w:numPr>
        <w:ilvl w:val="5"/>
        <w:numId w:val="32"/>
      </w:numPr>
    </w:pPr>
  </w:style>
  <w:style w:type="paragraph" w:customStyle="1" w:styleId="Point3letter">
    <w:name w:val="Point 3 (letter)"/>
    <w:basedOn w:val="Normal"/>
    <w:rsid w:val="009B7138"/>
    <w:pPr>
      <w:numPr>
        <w:ilvl w:val="7"/>
        <w:numId w:val="32"/>
      </w:numPr>
    </w:pPr>
  </w:style>
  <w:style w:type="paragraph" w:customStyle="1" w:styleId="Point4letter">
    <w:name w:val="Point 4 (letter)"/>
    <w:basedOn w:val="Normal"/>
    <w:rsid w:val="009B7138"/>
    <w:pPr>
      <w:numPr>
        <w:ilvl w:val="8"/>
        <w:numId w:val="32"/>
      </w:numPr>
    </w:pPr>
  </w:style>
  <w:style w:type="paragraph" w:customStyle="1" w:styleId="Bullet0">
    <w:name w:val="Bullet 0"/>
    <w:basedOn w:val="Normal"/>
    <w:rsid w:val="009B7138"/>
    <w:pPr>
      <w:numPr>
        <w:numId w:val="33"/>
      </w:numPr>
    </w:pPr>
  </w:style>
  <w:style w:type="paragraph" w:customStyle="1" w:styleId="Bullet1">
    <w:name w:val="Bullet 1"/>
    <w:basedOn w:val="Normal"/>
    <w:rsid w:val="009B7138"/>
    <w:pPr>
      <w:numPr>
        <w:numId w:val="34"/>
      </w:numPr>
    </w:pPr>
  </w:style>
  <w:style w:type="paragraph" w:customStyle="1" w:styleId="Bullet2">
    <w:name w:val="Bullet 2"/>
    <w:basedOn w:val="Normal"/>
    <w:rsid w:val="009B7138"/>
    <w:pPr>
      <w:numPr>
        <w:numId w:val="35"/>
      </w:numPr>
    </w:pPr>
  </w:style>
  <w:style w:type="paragraph" w:customStyle="1" w:styleId="Bullet3">
    <w:name w:val="Bullet 3"/>
    <w:basedOn w:val="Normal"/>
    <w:rsid w:val="009B7138"/>
    <w:pPr>
      <w:numPr>
        <w:numId w:val="36"/>
      </w:numPr>
    </w:pPr>
  </w:style>
  <w:style w:type="paragraph" w:customStyle="1" w:styleId="Bullet4">
    <w:name w:val="Bullet 4"/>
    <w:basedOn w:val="Normal"/>
    <w:rsid w:val="009B7138"/>
    <w:pPr>
      <w:numPr>
        <w:numId w:val="37"/>
      </w:numPr>
    </w:pPr>
  </w:style>
  <w:style w:type="paragraph" w:customStyle="1" w:styleId="Langue">
    <w:name w:val="Langue"/>
    <w:basedOn w:val="Normal"/>
    <w:next w:val="Rfrenceinterne"/>
    <w:rsid w:val="009B713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9B7138"/>
    <w:pPr>
      <w:spacing w:before="0" w:after="0"/>
      <w:jc w:val="left"/>
    </w:pPr>
    <w:rPr>
      <w:rFonts w:ascii="Arial" w:hAnsi="Arial" w:cs="Arial"/>
    </w:rPr>
  </w:style>
  <w:style w:type="paragraph" w:customStyle="1" w:styleId="Emission">
    <w:name w:val="Emission"/>
    <w:basedOn w:val="Normal"/>
    <w:next w:val="Rfrenceinstitutionnelle"/>
    <w:rsid w:val="009B7138"/>
    <w:pPr>
      <w:spacing w:before="0" w:after="0"/>
      <w:ind w:left="5103"/>
      <w:jc w:val="left"/>
    </w:pPr>
  </w:style>
  <w:style w:type="paragraph" w:customStyle="1" w:styleId="Rfrenceinstitutionnelle">
    <w:name w:val="Référence institutionnelle"/>
    <w:basedOn w:val="Normal"/>
    <w:next w:val="Confidentialit"/>
    <w:rsid w:val="009B7138"/>
    <w:pPr>
      <w:spacing w:before="0" w:after="240"/>
      <w:ind w:left="5103"/>
      <w:jc w:val="left"/>
    </w:pPr>
  </w:style>
  <w:style w:type="paragraph" w:customStyle="1" w:styleId="Pagedecouverture">
    <w:name w:val="Page de couverture"/>
    <w:basedOn w:val="Normal"/>
    <w:next w:val="Normal"/>
    <w:rsid w:val="009B7138"/>
    <w:pPr>
      <w:spacing w:before="0" w:after="0"/>
    </w:pPr>
  </w:style>
  <w:style w:type="paragraph" w:customStyle="1" w:styleId="Declassification">
    <w:name w:val="Declassification"/>
    <w:basedOn w:val="Normal"/>
    <w:next w:val="Normal"/>
    <w:rsid w:val="009B7138"/>
    <w:pPr>
      <w:spacing w:before="0" w:after="0"/>
    </w:pPr>
  </w:style>
  <w:style w:type="paragraph" w:customStyle="1" w:styleId="Disclaimer">
    <w:name w:val="Disclaimer"/>
    <w:basedOn w:val="Normal"/>
    <w:rsid w:val="009B713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9B7138"/>
    <w:pPr>
      <w:spacing w:before="0" w:after="0" w:line="276" w:lineRule="auto"/>
      <w:ind w:left="5103"/>
      <w:jc w:val="left"/>
    </w:pPr>
    <w:rPr>
      <w:sz w:val="28"/>
    </w:rPr>
  </w:style>
  <w:style w:type="paragraph" w:customStyle="1" w:styleId="DateMarking">
    <w:name w:val="DateMarking"/>
    <w:basedOn w:val="Normal"/>
    <w:rsid w:val="009B7138"/>
    <w:pPr>
      <w:spacing w:before="0" w:after="0" w:line="276" w:lineRule="auto"/>
      <w:ind w:left="5103"/>
      <w:jc w:val="left"/>
    </w:pPr>
    <w:rPr>
      <w:i/>
      <w:sz w:val="28"/>
    </w:rPr>
  </w:style>
  <w:style w:type="paragraph" w:customStyle="1" w:styleId="ReleasableTo">
    <w:name w:val="ReleasableTo"/>
    <w:basedOn w:val="Normal"/>
    <w:rsid w:val="009B7138"/>
    <w:pPr>
      <w:spacing w:before="0" w:after="0" w:line="276" w:lineRule="auto"/>
      <w:ind w:left="5103"/>
      <w:jc w:val="left"/>
    </w:pPr>
    <w:rPr>
      <w:i/>
      <w:sz w:val="28"/>
    </w:rPr>
  </w:style>
  <w:style w:type="paragraph" w:customStyle="1" w:styleId="Annexetitreexpos">
    <w:name w:val="Annexe titre (exposé)"/>
    <w:basedOn w:val="Normal"/>
    <w:next w:val="Normal"/>
    <w:rsid w:val="009B7138"/>
    <w:pPr>
      <w:jc w:val="center"/>
    </w:pPr>
    <w:rPr>
      <w:b/>
      <w:u w:val="single"/>
    </w:rPr>
  </w:style>
  <w:style w:type="paragraph" w:customStyle="1" w:styleId="Annexetitre">
    <w:name w:val="Annexe titre"/>
    <w:basedOn w:val="Normal"/>
    <w:next w:val="Normal"/>
    <w:rsid w:val="009B7138"/>
    <w:pPr>
      <w:jc w:val="center"/>
    </w:pPr>
    <w:rPr>
      <w:b/>
      <w:u w:val="single"/>
    </w:rPr>
  </w:style>
  <w:style w:type="paragraph" w:customStyle="1" w:styleId="Annexetitrefichefinancire">
    <w:name w:val="Annexe titre (fiche financière)"/>
    <w:basedOn w:val="Normal"/>
    <w:next w:val="Normal"/>
    <w:rsid w:val="009B7138"/>
    <w:pPr>
      <w:jc w:val="center"/>
    </w:pPr>
    <w:rPr>
      <w:b/>
      <w:u w:val="single"/>
    </w:rPr>
  </w:style>
  <w:style w:type="paragraph" w:customStyle="1" w:styleId="Applicationdirecte">
    <w:name w:val="Application directe"/>
    <w:basedOn w:val="Normal"/>
    <w:next w:val="Fait"/>
    <w:rsid w:val="009B7138"/>
    <w:pPr>
      <w:spacing w:before="480"/>
    </w:pPr>
  </w:style>
  <w:style w:type="paragraph" w:customStyle="1" w:styleId="Avertissementtitre">
    <w:name w:val="Avertissement titre"/>
    <w:basedOn w:val="Normal"/>
    <w:next w:val="Normal"/>
    <w:rsid w:val="009B7138"/>
    <w:pPr>
      <w:keepNext/>
      <w:spacing w:before="480"/>
    </w:pPr>
    <w:rPr>
      <w:u w:val="single"/>
    </w:rPr>
  </w:style>
  <w:style w:type="paragraph" w:customStyle="1" w:styleId="Confidence">
    <w:name w:val="Confidence"/>
    <w:basedOn w:val="Normal"/>
    <w:next w:val="Normal"/>
    <w:rsid w:val="009B7138"/>
    <w:pPr>
      <w:spacing w:before="360"/>
      <w:jc w:val="center"/>
    </w:pPr>
  </w:style>
  <w:style w:type="paragraph" w:customStyle="1" w:styleId="Confidentialit">
    <w:name w:val="Confidentialité"/>
    <w:basedOn w:val="Normal"/>
    <w:next w:val="TypedudocumentPagedecouverture"/>
    <w:rsid w:val="009B7138"/>
    <w:pPr>
      <w:spacing w:before="240" w:after="240"/>
      <w:ind w:left="5103"/>
      <w:jc w:val="left"/>
    </w:pPr>
    <w:rPr>
      <w:i/>
      <w:sz w:val="32"/>
    </w:rPr>
  </w:style>
  <w:style w:type="paragraph" w:customStyle="1" w:styleId="Considrant">
    <w:name w:val="Considérant"/>
    <w:basedOn w:val="Normal"/>
    <w:rsid w:val="009B7138"/>
    <w:pPr>
      <w:numPr>
        <w:numId w:val="38"/>
      </w:numPr>
    </w:pPr>
  </w:style>
  <w:style w:type="paragraph" w:customStyle="1" w:styleId="Corrigendum">
    <w:name w:val="Corrigendum"/>
    <w:basedOn w:val="Normal"/>
    <w:next w:val="Normal"/>
    <w:rsid w:val="009B7138"/>
    <w:pPr>
      <w:spacing w:before="0" w:after="240"/>
      <w:jc w:val="left"/>
    </w:pPr>
  </w:style>
  <w:style w:type="paragraph" w:customStyle="1" w:styleId="Datedadoption">
    <w:name w:val="Date d'adoption"/>
    <w:basedOn w:val="Normal"/>
    <w:next w:val="Titreobjet"/>
    <w:rsid w:val="009B7138"/>
    <w:pPr>
      <w:spacing w:before="360" w:after="0"/>
      <w:jc w:val="center"/>
    </w:pPr>
    <w:rPr>
      <w:b/>
    </w:rPr>
  </w:style>
  <w:style w:type="paragraph" w:customStyle="1" w:styleId="Exposdesmotifstitre">
    <w:name w:val="Exposé des motifs titre"/>
    <w:basedOn w:val="Normal"/>
    <w:next w:val="Normal"/>
    <w:rsid w:val="009B7138"/>
    <w:pPr>
      <w:jc w:val="center"/>
    </w:pPr>
    <w:rPr>
      <w:b/>
      <w:u w:val="single"/>
    </w:rPr>
  </w:style>
  <w:style w:type="paragraph" w:customStyle="1" w:styleId="Fait">
    <w:name w:val="Fait à"/>
    <w:basedOn w:val="Normal"/>
    <w:next w:val="Institutionquisigne"/>
    <w:rsid w:val="009B7138"/>
    <w:pPr>
      <w:keepNext/>
      <w:spacing w:after="0"/>
    </w:pPr>
  </w:style>
  <w:style w:type="paragraph" w:customStyle="1" w:styleId="Formuledadoption">
    <w:name w:val="Formule d'adoption"/>
    <w:basedOn w:val="Normal"/>
    <w:next w:val="Titrearticle"/>
    <w:rsid w:val="009B7138"/>
    <w:pPr>
      <w:keepNext/>
    </w:pPr>
  </w:style>
  <w:style w:type="paragraph" w:customStyle="1" w:styleId="Institutionquiagit">
    <w:name w:val="Institution qui agit"/>
    <w:basedOn w:val="Normal"/>
    <w:next w:val="Normal"/>
    <w:rsid w:val="009B7138"/>
    <w:pPr>
      <w:keepNext/>
      <w:spacing w:before="600"/>
    </w:pPr>
  </w:style>
  <w:style w:type="paragraph" w:customStyle="1" w:styleId="Institutionquisigne">
    <w:name w:val="Institution qui signe"/>
    <w:basedOn w:val="Normal"/>
    <w:next w:val="Personnequisigne"/>
    <w:rsid w:val="009B7138"/>
    <w:pPr>
      <w:keepNext/>
      <w:tabs>
        <w:tab w:val="left" w:pos="4252"/>
      </w:tabs>
      <w:spacing w:before="720" w:after="0"/>
    </w:pPr>
    <w:rPr>
      <w:i/>
    </w:rPr>
  </w:style>
  <w:style w:type="paragraph" w:customStyle="1" w:styleId="ManualConsidrant">
    <w:name w:val="Manual Considérant"/>
    <w:basedOn w:val="Normal"/>
    <w:rsid w:val="009B7138"/>
    <w:pPr>
      <w:ind w:left="709" w:hanging="709"/>
    </w:pPr>
  </w:style>
  <w:style w:type="paragraph" w:customStyle="1" w:styleId="Personnequisigne">
    <w:name w:val="Personne qui signe"/>
    <w:basedOn w:val="Normal"/>
    <w:next w:val="Institutionquisigne"/>
    <w:rsid w:val="009B7138"/>
    <w:pPr>
      <w:tabs>
        <w:tab w:val="left" w:pos="4252"/>
      </w:tabs>
      <w:spacing w:before="0" w:after="0"/>
      <w:jc w:val="left"/>
    </w:pPr>
    <w:rPr>
      <w:i/>
    </w:rPr>
  </w:style>
  <w:style w:type="paragraph" w:customStyle="1" w:styleId="Rfrenceinterinstitutionnelle">
    <w:name w:val="Référence interinstitutionnelle"/>
    <w:basedOn w:val="Normal"/>
    <w:next w:val="Statut"/>
    <w:rsid w:val="009B7138"/>
    <w:pPr>
      <w:spacing w:before="0" w:after="0"/>
      <w:ind w:left="5103"/>
      <w:jc w:val="left"/>
    </w:pPr>
  </w:style>
  <w:style w:type="paragraph" w:customStyle="1" w:styleId="Rfrenceinterne">
    <w:name w:val="Référence interne"/>
    <w:basedOn w:val="Normal"/>
    <w:next w:val="Rfrenceinterinstitutionnelle"/>
    <w:rsid w:val="009B7138"/>
    <w:pPr>
      <w:spacing w:before="0" w:after="0"/>
      <w:ind w:left="5103"/>
      <w:jc w:val="left"/>
    </w:pPr>
  </w:style>
  <w:style w:type="paragraph" w:customStyle="1" w:styleId="Statut">
    <w:name w:val="Statut"/>
    <w:basedOn w:val="Normal"/>
    <w:next w:val="Typedudocument"/>
    <w:rsid w:val="009B7138"/>
    <w:pPr>
      <w:spacing w:before="360" w:after="0"/>
      <w:jc w:val="center"/>
    </w:pPr>
  </w:style>
  <w:style w:type="paragraph" w:customStyle="1" w:styleId="Titrearticle">
    <w:name w:val="Titre article"/>
    <w:basedOn w:val="Normal"/>
    <w:next w:val="Normal"/>
    <w:rsid w:val="009B7138"/>
    <w:pPr>
      <w:keepNext/>
      <w:spacing w:before="360"/>
      <w:jc w:val="center"/>
    </w:pPr>
    <w:rPr>
      <w:i/>
    </w:rPr>
  </w:style>
  <w:style w:type="paragraph" w:customStyle="1" w:styleId="Titreobjet">
    <w:name w:val="Titre objet"/>
    <w:basedOn w:val="Normal"/>
    <w:next w:val="IntrtEEE"/>
    <w:rsid w:val="009B7138"/>
    <w:pPr>
      <w:spacing w:before="360" w:after="360"/>
      <w:jc w:val="center"/>
    </w:pPr>
    <w:rPr>
      <w:b/>
    </w:rPr>
  </w:style>
  <w:style w:type="paragraph" w:customStyle="1" w:styleId="Typedudocument">
    <w:name w:val="Type du document"/>
    <w:basedOn w:val="Normal"/>
    <w:next w:val="Titreobjet"/>
    <w:rsid w:val="009B7138"/>
    <w:pPr>
      <w:spacing w:before="360" w:after="0"/>
      <w:jc w:val="center"/>
    </w:pPr>
    <w:rPr>
      <w:b/>
    </w:rPr>
  </w:style>
  <w:style w:type="character" w:customStyle="1" w:styleId="Added">
    <w:name w:val="Added"/>
    <w:basedOn w:val="DefaultParagraphFont"/>
    <w:rsid w:val="009B7138"/>
    <w:rPr>
      <w:b/>
      <w:u w:val="single"/>
      <w:shd w:val="clear" w:color="auto" w:fill="auto"/>
    </w:rPr>
  </w:style>
  <w:style w:type="character" w:customStyle="1" w:styleId="Deleted">
    <w:name w:val="Deleted"/>
    <w:basedOn w:val="DefaultParagraphFont"/>
    <w:rsid w:val="009B7138"/>
    <w:rPr>
      <w:strike/>
      <w:dstrike w:val="0"/>
      <w:shd w:val="clear" w:color="auto" w:fill="auto"/>
    </w:rPr>
  </w:style>
  <w:style w:type="paragraph" w:customStyle="1" w:styleId="Address">
    <w:name w:val="Address"/>
    <w:basedOn w:val="Normal"/>
    <w:next w:val="Normal"/>
    <w:rsid w:val="009B7138"/>
    <w:pPr>
      <w:keepLines/>
      <w:spacing w:line="360" w:lineRule="auto"/>
      <w:ind w:left="3402"/>
      <w:jc w:val="left"/>
    </w:pPr>
  </w:style>
  <w:style w:type="paragraph" w:customStyle="1" w:styleId="Objetexterne">
    <w:name w:val="Objet externe"/>
    <w:basedOn w:val="Normal"/>
    <w:next w:val="Normal"/>
    <w:rsid w:val="009B7138"/>
    <w:rPr>
      <w:i/>
      <w:caps/>
    </w:rPr>
  </w:style>
  <w:style w:type="paragraph" w:customStyle="1" w:styleId="Supertitre">
    <w:name w:val="Supertitre"/>
    <w:basedOn w:val="Normal"/>
    <w:next w:val="Normal"/>
    <w:rsid w:val="009B7138"/>
    <w:pPr>
      <w:spacing w:before="0" w:after="600"/>
      <w:jc w:val="center"/>
    </w:pPr>
    <w:rPr>
      <w:b/>
    </w:rPr>
  </w:style>
  <w:style w:type="paragraph" w:customStyle="1" w:styleId="Languesfaisantfoi">
    <w:name w:val="Langues faisant foi"/>
    <w:basedOn w:val="Normal"/>
    <w:next w:val="Normal"/>
    <w:rsid w:val="009B7138"/>
    <w:pPr>
      <w:spacing w:before="360" w:after="0"/>
      <w:jc w:val="center"/>
    </w:pPr>
  </w:style>
  <w:style w:type="paragraph" w:customStyle="1" w:styleId="Rfrencecroise">
    <w:name w:val="Référence croisée"/>
    <w:basedOn w:val="Normal"/>
    <w:rsid w:val="009B7138"/>
    <w:pPr>
      <w:spacing w:before="0" w:after="0"/>
      <w:jc w:val="center"/>
    </w:pPr>
  </w:style>
  <w:style w:type="paragraph" w:customStyle="1" w:styleId="Fichefinanciretitre">
    <w:name w:val="Fiche financière titre"/>
    <w:basedOn w:val="Normal"/>
    <w:next w:val="Normal"/>
    <w:rsid w:val="009B7138"/>
    <w:pPr>
      <w:jc w:val="center"/>
    </w:pPr>
    <w:rPr>
      <w:b/>
      <w:u w:val="single"/>
    </w:rPr>
  </w:style>
  <w:style w:type="paragraph" w:customStyle="1" w:styleId="DatedadoptionPagedecouverture">
    <w:name w:val="Date d'adoption (Page de couverture)"/>
    <w:basedOn w:val="Datedadoption"/>
    <w:next w:val="TitreobjetPagedecouverture"/>
    <w:rsid w:val="009B7138"/>
  </w:style>
  <w:style w:type="paragraph" w:customStyle="1" w:styleId="RfrenceinterinstitutionnellePagedecouverture">
    <w:name w:val="Référence interinstitutionnelle (Page de couverture)"/>
    <w:basedOn w:val="Rfrenceinterinstitutionnelle"/>
    <w:next w:val="Confidentialit"/>
    <w:rsid w:val="009B7138"/>
  </w:style>
  <w:style w:type="paragraph" w:customStyle="1" w:styleId="StatutPagedecouverture">
    <w:name w:val="Statut (Page de couverture)"/>
    <w:basedOn w:val="Statut"/>
    <w:next w:val="TypedudocumentPagedecouverture"/>
    <w:rsid w:val="009B7138"/>
  </w:style>
  <w:style w:type="paragraph" w:customStyle="1" w:styleId="TitreobjetPagedecouverture">
    <w:name w:val="Titre objet (Page de couverture)"/>
    <w:basedOn w:val="Titreobjet"/>
    <w:next w:val="IntrtEEEPagedecouverture"/>
    <w:rsid w:val="009B7138"/>
  </w:style>
  <w:style w:type="paragraph" w:customStyle="1" w:styleId="TypedudocumentPagedecouverture">
    <w:name w:val="Type du document (Page de couverture)"/>
    <w:basedOn w:val="Typedudocument"/>
    <w:next w:val="TitreobjetPagedecouverture"/>
    <w:rsid w:val="009B7138"/>
  </w:style>
  <w:style w:type="paragraph" w:customStyle="1" w:styleId="Volume">
    <w:name w:val="Volume"/>
    <w:basedOn w:val="Normal"/>
    <w:next w:val="Confidentialit"/>
    <w:rsid w:val="009B7138"/>
    <w:pPr>
      <w:spacing w:before="0" w:after="240"/>
      <w:ind w:left="5103"/>
      <w:jc w:val="left"/>
    </w:pPr>
  </w:style>
  <w:style w:type="paragraph" w:customStyle="1" w:styleId="IntrtEEE">
    <w:name w:val="Intérêt EEE"/>
    <w:basedOn w:val="Languesfaisantfoi"/>
    <w:next w:val="Normal"/>
    <w:rsid w:val="009B7138"/>
    <w:pPr>
      <w:spacing w:after="240"/>
    </w:pPr>
  </w:style>
  <w:style w:type="paragraph" w:customStyle="1" w:styleId="Accompagnant">
    <w:name w:val="Accompagnant"/>
    <w:basedOn w:val="Normal"/>
    <w:next w:val="Typeacteprincipal"/>
    <w:rsid w:val="009B7138"/>
    <w:pPr>
      <w:spacing w:before="0" w:after="240"/>
      <w:jc w:val="center"/>
    </w:pPr>
    <w:rPr>
      <w:b/>
      <w:i/>
    </w:rPr>
  </w:style>
  <w:style w:type="paragraph" w:customStyle="1" w:styleId="Typeacteprincipal">
    <w:name w:val="Type acte principal"/>
    <w:basedOn w:val="Normal"/>
    <w:next w:val="Objetacteprincipal"/>
    <w:rsid w:val="009B7138"/>
    <w:pPr>
      <w:spacing w:before="0" w:after="240"/>
      <w:jc w:val="center"/>
    </w:pPr>
    <w:rPr>
      <w:b/>
    </w:rPr>
  </w:style>
  <w:style w:type="paragraph" w:customStyle="1" w:styleId="Objetacteprincipal">
    <w:name w:val="Objet acte principal"/>
    <w:basedOn w:val="Normal"/>
    <w:next w:val="Titrearticle"/>
    <w:rsid w:val="009B7138"/>
    <w:pPr>
      <w:spacing w:before="0" w:after="360"/>
      <w:jc w:val="center"/>
    </w:pPr>
    <w:rPr>
      <w:b/>
    </w:rPr>
  </w:style>
  <w:style w:type="paragraph" w:customStyle="1" w:styleId="IntrtEEEPagedecouverture">
    <w:name w:val="Intérêt EEE (Page de couverture)"/>
    <w:basedOn w:val="IntrtEEE"/>
    <w:next w:val="Rfrencecroise"/>
    <w:rsid w:val="009B7138"/>
  </w:style>
  <w:style w:type="paragraph" w:customStyle="1" w:styleId="AccompagnantPagedecouverture">
    <w:name w:val="Accompagnant (Page de couverture)"/>
    <w:basedOn w:val="Accompagnant"/>
    <w:next w:val="TypeacteprincipalPagedecouverture"/>
    <w:rsid w:val="009B7138"/>
  </w:style>
  <w:style w:type="paragraph" w:customStyle="1" w:styleId="TypeacteprincipalPagedecouverture">
    <w:name w:val="Type acte principal (Page de couverture)"/>
    <w:basedOn w:val="Typeacteprincipal"/>
    <w:next w:val="ObjetacteprincipalPagedecouverture"/>
    <w:rsid w:val="009B7138"/>
  </w:style>
  <w:style w:type="paragraph" w:customStyle="1" w:styleId="ObjetacteprincipalPagedecouverture">
    <w:name w:val="Objet acte principal (Page de couverture)"/>
    <w:basedOn w:val="Objetacteprincipal"/>
    <w:next w:val="Rfrencecroise"/>
    <w:rsid w:val="009B7138"/>
  </w:style>
  <w:style w:type="paragraph" w:customStyle="1" w:styleId="LanguesfaisantfoiPagedecouverture">
    <w:name w:val="Langues faisant foi (Page de couverture)"/>
    <w:basedOn w:val="Normal"/>
    <w:next w:val="Normal"/>
    <w:rsid w:val="009B7138"/>
    <w:pPr>
      <w:spacing w:before="360" w:after="0"/>
      <w:jc w:val="center"/>
    </w:pPr>
  </w:style>
  <w:style w:type="character" w:customStyle="1" w:styleId="Heading5Char">
    <w:name w:val="Heading 5 Char"/>
    <w:basedOn w:val="DefaultParagraphFont"/>
    <w:link w:val="Heading5"/>
    <w:uiPriority w:val="9"/>
    <w:semiHidden/>
    <w:rsid w:val="00275E36"/>
    <w:rPr>
      <w:rFonts w:ascii="Times New Roman" w:eastAsiaTheme="majorEastAsia" w:hAnsi="Times New Roman" w:cs="Times New Roman"/>
      <w:sz w:val="24"/>
      <w:lang w:val="hu-HU"/>
    </w:rPr>
  </w:style>
  <w:style w:type="character" w:customStyle="1" w:styleId="Heading6Char">
    <w:name w:val="Heading 6 Char"/>
    <w:basedOn w:val="DefaultParagraphFont"/>
    <w:link w:val="Heading6"/>
    <w:uiPriority w:val="9"/>
    <w:semiHidden/>
    <w:rsid w:val="00275E36"/>
    <w:rPr>
      <w:rFonts w:ascii="Times New Roman" w:eastAsiaTheme="majorEastAsia" w:hAnsi="Times New Roman" w:cs="Times New Roman"/>
      <w:iCs/>
      <w:sz w:val="24"/>
      <w:lang w:val="hu-HU"/>
    </w:rPr>
  </w:style>
  <w:style w:type="character" w:customStyle="1" w:styleId="Heading7Char">
    <w:name w:val="Heading 7 Char"/>
    <w:basedOn w:val="DefaultParagraphFont"/>
    <w:link w:val="Heading7"/>
    <w:uiPriority w:val="9"/>
    <w:semiHidden/>
    <w:rsid w:val="00275E36"/>
    <w:rPr>
      <w:rFonts w:ascii="Times New Roman" w:eastAsiaTheme="majorEastAsia" w:hAnsi="Times New Roman" w:cs="Times New Roman"/>
      <w:iCs/>
      <w:sz w:val="24"/>
      <w:lang w:val="hu-HU"/>
    </w:rPr>
  </w:style>
  <w:style w:type="paragraph" w:customStyle="1" w:styleId="ManualHeading5">
    <w:name w:val="Manual Heading 5"/>
    <w:basedOn w:val="Normal"/>
    <w:next w:val="Text2"/>
    <w:rsid w:val="00275E36"/>
    <w:pPr>
      <w:keepNext/>
      <w:tabs>
        <w:tab w:val="left" w:pos="1417"/>
      </w:tabs>
      <w:ind w:left="1417" w:hanging="1417"/>
      <w:outlineLvl w:val="4"/>
    </w:pPr>
  </w:style>
  <w:style w:type="paragraph" w:customStyle="1" w:styleId="ManualHeading6">
    <w:name w:val="Manual Heading 6"/>
    <w:basedOn w:val="Normal"/>
    <w:next w:val="Text2"/>
    <w:rsid w:val="00275E36"/>
    <w:pPr>
      <w:keepNext/>
      <w:tabs>
        <w:tab w:val="left" w:pos="1417"/>
      </w:tabs>
      <w:ind w:left="1417" w:hanging="1417"/>
      <w:outlineLvl w:val="5"/>
    </w:pPr>
  </w:style>
  <w:style w:type="paragraph" w:customStyle="1" w:styleId="ManualHeading7">
    <w:name w:val="Manual Heading 7"/>
    <w:basedOn w:val="Normal"/>
    <w:next w:val="Text2"/>
    <w:rsid w:val="00275E36"/>
    <w:pPr>
      <w:keepNext/>
      <w:tabs>
        <w:tab w:val="left" w:pos="1417"/>
      </w:tabs>
      <w:ind w:left="1417" w:hanging="1417"/>
      <w:outlineLvl w:val="6"/>
    </w:pPr>
  </w:style>
  <w:style w:type="paragraph" w:customStyle="1" w:styleId="Text5">
    <w:name w:val="Text 5"/>
    <w:basedOn w:val="Normal"/>
    <w:rsid w:val="00275E36"/>
    <w:pPr>
      <w:ind w:left="3118"/>
    </w:pPr>
  </w:style>
  <w:style w:type="paragraph" w:customStyle="1" w:styleId="Text6">
    <w:name w:val="Text 6"/>
    <w:basedOn w:val="Normal"/>
    <w:rsid w:val="00275E36"/>
    <w:pPr>
      <w:ind w:left="3685"/>
    </w:pPr>
  </w:style>
  <w:style w:type="paragraph" w:customStyle="1" w:styleId="Point5">
    <w:name w:val="Point 5"/>
    <w:basedOn w:val="Normal"/>
    <w:rsid w:val="00275E36"/>
    <w:pPr>
      <w:ind w:left="3685" w:hanging="567"/>
    </w:pPr>
  </w:style>
  <w:style w:type="paragraph" w:customStyle="1" w:styleId="Tiret5">
    <w:name w:val="Tiret 5"/>
    <w:basedOn w:val="Point5"/>
    <w:rsid w:val="00275E36"/>
    <w:pPr>
      <w:numPr>
        <w:numId w:val="42"/>
      </w:numPr>
    </w:pPr>
  </w:style>
  <w:style w:type="paragraph" w:customStyle="1" w:styleId="NumPar5">
    <w:name w:val="NumPar 5"/>
    <w:basedOn w:val="Normal"/>
    <w:next w:val="Text2"/>
    <w:rsid w:val="00275E36"/>
    <w:pPr>
      <w:numPr>
        <w:ilvl w:val="4"/>
        <w:numId w:val="45"/>
      </w:numPr>
    </w:pPr>
  </w:style>
  <w:style w:type="paragraph" w:customStyle="1" w:styleId="NumPar6">
    <w:name w:val="NumPar 6"/>
    <w:basedOn w:val="Normal"/>
    <w:next w:val="Text2"/>
    <w:rsid w:val="00275E36"/>
    <w:pPr>
      <w:numPr>
        <w:ilvl w:val="5"/>
        <w:numId w:val="45"/>
      </w:numPr>
    </w:pPr>
  </w:style>
  <w:style w:type="paragraph" w:customStyle="1" w:styleId="NumPar7">
    <w:name w:val="NumPar 7"/>
    <w:basedOn w:val="Normal"/>
    <w:next w:val="Text2"/>
    <w:rsid w:val="00275E36"/>
    <w:pPr>
      <w:numPr>
        <w:ilvl w:val="6"/>
        <w:numId w:val="45"/>
      </w:numPr>
    </w:pPr>
  </w:style>
  <w:style w:type="paragraph" w:customStyle="1" w:styleId="ManualNumPar5">
    <w:name w:val="Manual NumPar 5"/>
    <w:basedOn w:val="Normal"/>
    <w:next w:val="Text2"/>
    <w:rsid w:val="00275E36"/>
    <w:pPr>
      <w:ind w:left="1417" w:hanging="1417"/>
    </w:pPr>
  </w:style>
  <w:style w:type="paragraph" w:customStyle="1" w:styleId="ManualNumPar6">
    <w:name w:val="Manual NumPar 6"/>
    <w:basedOn w:val="Normal"/>
    <w:next w:val="Text2"/>
    <w:rsid w:val="00275E36"/>
    <w:pPr>
      <w:ind w:left="1417" w:hanging="1417"/>
    </w:pPr>
  </w:style>
  <w:style w:type="paragraph" w:customStyle="1" w:styleId="ManualNumPar7">
    <w:name w:val="Manual NumPar 7"/>
    <w:basedOn w:val="Normal"/>
    <w:next w:val="Text2"/>
    <w:rsid w:val="00275E36"/>
    <w:pPr>
      <w:ind w:left="1417" w:hanging="141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HU/AUTO/?uri=OJ:L:2005:209:TOC" TargetMode="External"/><Relationship Id="rId1" Type="http://schemas.openxmlformats.org/officeDocument/2006/relationships/hyperlink" Target="https://eur-lex.europa.eu/legal-content/HU/AUTO/?uri=OJ:L:2005:209:T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COM.dotm</Template>
  <TotalTime>2</TotalTime>
  <Pages>9</Pages>
  <Words>1740</Words>
  <Characters>12600</Characters>
  <Application>Microsoft Office Word</Application>
  <DocSecurity>0</DocSecurity>
  <Lines>221</Lines>
  <Paragraphs>94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35</cp:revision>
  <dcterms:created xsi:type="dcterms:W3CDTF">2022-01-11T10:22:00Z</dcterms:created>
  <dcterms:modified xsi:type="dcterms:W3CDTF">2022-01-17T08:03:00Z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7.0.1, Build 20200226</vt:lpwstr>
  </property>
  <property fmtid="{D5CDD505-2E9C-101B-9397-08002B2CF9AE}" pid="5" name="Created using">
    <vt:lpwstr>LW 7.0.1, Build 20200226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SJ-019</vt:lpwstr>
  </property>
  <property fmtid="{D5CDD505-2E9C-101B-9397-08002B2CF9AE}" pid="10" name="DQCStatus">
    <vt:lpwstr>Green (DQC version 03)</vt:lpwstr>
  </property>
  <property name="OP_sanitized" fmtid="{D5CDD505-2E9C-101B-9397-08002B2CF9AE}" pid="11">
    <vt:lpwstr>True</vt:lpwstr>
  </property>
</Properties>
</file>