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05627" w14:textId="511872B3" w:rsidR="00D96A4B" w:rsidRPr="006601BC" w:rsidRDefault="00EF5D4F" w:rsidP="00EF5D4F">
      <w:pPr>
        <w:pStyle w:val="Pagedecouverture"/>
        <w:rPr>
          <w:noProof/>
        </w:rPr>
      </w:pPr>
      <w:r>
        <w:rPr>
          <w:noProof/>
        </w:rPr>
        <w:pict w14:anchorId="02D02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8509C8BC-ADF6-4359-95D0-94BF72138046" style="width:455.25pt;height:369.75pt">
            <v:imagedata r:id="rId11" o:title=""/>
          </v:shape>
        </w:pict>
      </w:r>
    </w:p>
    <w:p w14:paraId="6926062F" w14:textId="77777777" w:rsidR="00D96A4B" w:rsidRPr="006601BC" w:rsidRDefault="00D96A4B" w:rsidP="00D96A4B">
      <w:pPr>
        <w:rPr>
          <w:noProof/>
        </w:rPr>
        <w:sectPr w:rsidR="00D96A4B" w:rsidRPr="006601BC" w:rsidSect="00EF5D4F">
          <w:footerReference w:type="default" r:id="rId12"/>
          <w:pgSz w:w="11907" w:h="16839"/>
          <w:pgMar w:top="1134" w:right="1417" w:bottom="1134" w:left="1417" w:header="709" w:footer="709" w:gutter="0"/>
          <w:pgNumType w:start="0"/>
          <w:cols w:space="720"/>
          <w:docGrid w:linePitch="360"/>
        </w:sectPr>
      </w:pPr>
    </w:p>
    <w:p w14:paraId="72C8281D" w14:textId="77777777" w:rsidR="00D96A4B" w:rsidRPr="006601BC" w:rsidRDefault="00D96A4B" w:rsidP="00AE34C8">
      <w:pPr>
        <w:pStyle w:val="Exposdesmotifstitre"/>
        <w:rPr>
          <w:noProof/>
        </w:rPr>
      </w:pPr>
      <w:bookmarkStart w:id="0" w:name="_GoBack"/>
      <w:bookmarkEnd w:id="0"/>
      <w:r w:rsidRPr="006601BC">
        <w:rPr>
          <w:noProof/>
        </w:rPr>
        <w:lastRenderedPageBreak/>
        <w:t>INDOKOLÁS</w:t>
      </w:r>
    </w:p>
    <w:p w14:paraId="03B7E816" w14:textId="77777777" w:rsidR="008E7215" w:rsidRPr="006601BC" w:rsidRDefault="008E7215" w:rsidP="008E7215">
      <w:pPr>
        <w:pStyle w:val="ManualHeading1"/>
        <w:rPr>
          <w:noProof/>
        </w:rPr>
      </w:pPr>
      <w:bookmarkStart w:id="1" w:name="_Toc86321131"/>
      <w:r w:rsidRPr="006601BC">
        <w:rPr>
          <w:noProof/>
        </w:rPr>
        <w:t>1.</w:t>
      </w:r>
      <w:r w:rsidRPr="006601BC">
        <w:rPr>
          <w:noProof/>
        </w:rPr>
        <w:tab/>
        <w:t>A JAVASLAT HÁTTERE</w:t>
      </w:r>
      <w:bookmarkEnd w:id="1"/>
    </w:p>
    <w:p w14:paraId="414F37BC" w14:textId="77777777" w:rsidR="008E7215" w:rsidRPr="006601BC" w:rsidRDefault="008E7215" w:rsidP="008E7215">
      <w:pPr>
        <w:pStyle w:val="ManualHeading2"/>
        <w:rPr>
          <w:rFonts w:eastAsia="Arial Unicode MS"/>
          <w:noProof/>
        </w:rPr>
      </w:pPr>
      <w:bookmarkStart w:id="2" w:name="_Toc86321132"/>
      <w:r w:rsidRPr="006601BC">
        <w:rPr>
          <w:noProof/>
          <w:color w:val="000000"/>
          <w:u w:color="000000"/>
          <w:bdr w:val="nil"/>
        </w:rPr>
        <w:t>•</w:t>
      </w:r>
      <w:r w:rsidRPr="006601BC">
        <w:rPr>
          <w:noProof/>
        </w:rPr>
        <w:tab/>
        <w:t>A javaslat indokai és céljai</w:t>
      </w:r>
      <w:bookmarkEnd w:id="2"/>
    </w:p>
    <w:p w14:paraId="1719F36D" w14:textId="2BDD9D45" w:rsidR="001A553A" w:rsidRPr="006601BC" w:rsidRDefault="008E7215" w:rsidP="00F5172B">
      <w:pPr>
        <w:pStyle w:val="Text1"/>
        <w:rPr>
          <w:noProof/>
        </w:rPr>
      </w:pPr>
      <w:r w:rsidRPr="006601BC">
        <w:rPr>
          <w:noProof/>
        </w:rPr>
        <w:t xml:space="preserve">E rendeletjavaslat célja, hogy </w:t>
      </w:r>
      <w:r w:rsidRPr="006601BC">
        <w:rPr>
          <w:b/>
          <w:noProof/>
        </w:rPr>
        <w:t>népegészségügyi szükséghelyzet esetén életbe léptetendő intézkedési keretet</w:t>
      </w:r>
      <w:r w:rsidRPr="006601BC">
        <w:rPr>
          <w:noProof/>
        </w:rPr>
        <w:t xml:space="preserve"> hozzon létre azáltal, hogy lehetővé teszi az Unió számára, hogy megtegye a szükséges intézkedéseket a válság szempontjából releváns egészségügyi ellenintézkedések megfelelő és időben történő rendelkezésre állása és rendelkezésre bocsátása érdekében. </w:t>
      </w:r>
    </w:p>
    <w:p w14:paraId="599C650D" w14:textId="2F983427" w:rsidR="001A553A" w:rsidRPr="006601BC" w:rsidRDefault="00027891" w:rsidP="00F5172B">
      <w:pPr>
        <w:pStyle w:val="Text1"/>
        <w:rPr>
          <w:noProof/>
        </w:rPr>
      </w:pPr>
      <w:r w:rsidRPr="006601BC">
        <w:rPr>
          <w:noProof/>
        </w:rPr>
        <w:t>2021. június 15-én a Bizottság közleményt</w:t>
      </w:r>
      <w:r w:rsidRPr="006601BC">
        <w:rPr>
          <w:rStyle w:val="FootnoteReference"/>
          <w:rFonts w:eastAsia="Times New Roman"/>
          <w:noProof/>
          <w:szCs w:val="24"/>
        </w:rPr>
        <w:footnoteReference w:id="2"/>
      </w:r>
      <w:r w:rsidRPr="006601BC">
        <w:rPr>
          <w:noProof/>
        </w:rPr>
        <w:t xml:space="preserve"> adott ki a Covid19-világjárvány korai tanulságairól, amelyben megállapította, hogy az Uniónak különleges rendelkezésekre van szüksége ahhoz, hogy egészségügyi válságok idején jobban tudjon reagálni. 2020 novemberében a Bizottság javaslatokat terjesztett elő egy erősebb európai egészségügyi unió megteremtésére, és jelenleg egy új </w:t>
      </w:r>
      <w:r w:rsidRPr="006601BC">
        <w:rPr>
          <w:b/>
          <w:noProof/>
        </w:rPr>
        <w:t>Egészségügyi Szükséghelyzet-felkészültségi és -reagálási Hatóságot</w:t>
      </w:r>
      <w:r w:rsidRPr="006601BC">
        <w:rPr>
          <w:noProof/>
        </w:rPr>
        <w:t xml:space="preserve"> (HERA) hoz létre szolgálatain belül. Ez gyors, szilárd és fenntartható egészségbiztonsági struktúrát fog biztosítani az egészségügyi ellenintézkedések elérhetőségének javítása érdekében. Mind a felkészülés során, mind pedig a válsághelyzetek idején működne. </w:t>
      </w:r>
    </w:p>
    <w:p w14:paraId="5FDD965C" w14:textId="5CF707B3" w:rsidR="00EB5EF8" w:rsidRPr="006601BC" w:rsidRDefault="008E7215" w:rsidP="00F5172B">
      <w:pPr>
        <w:pStyle w:val="Text1"/>
        <w:rPr>
          <w:noProof/>
        </w:rPr>
      </w:pPr>
      <w:r w:rsidRPr="006601BC">
        <w:rPr>
          <w:noProof/>
        </w:rPr>
        <w:t xml:space="preserve">A Covid19-világjárvány jelentős sebezhetőségeket tárt fel a népegészségügyi szükséghelyzetekre való európai felkészültség és reagálás terén. Az e rendeletben meghatározott intézkedések a válságreagálás mikéntjére vonatkoznak. Kiegészítik a HERA fejlesztését, amely a határokon átnyúló fenyegetések kezelésére irányuló uniós fellépés új mozgatórugója lesz. </w:t>
      </w:r>
    </w:p>
    <w:p w14:paraId="52DE442D" w14:textId="77777777" w:rsidR="008E7215" w:rsidRPr="006601BC" w:rsidRDefault="00EB5EF8" w:rsidP="00F5172B">
      <w:pPr>
        <w:pStyle w:val="Text1"/>
        <w:rPr>
          <w:noProof/>
          <w:szCs w:val="24"/>
        </w:rPr>
      </w:pPr>
      <w:r w:rsidRPr="006601BC">
        <w:rPr>
          <w:noProof/>
        </w:rPr>
        <w:t>Az uniós struktúrák, a tagállamok és az egészségügyi ellenintézkedések gyártásában részt vevő ipari ágazat nem voltak kellően felkészülve arra, hogy biztosítsák a világjárványra válaszul hozott kulcsfontosságú egészségügyi ellenintézkedések</w:t>
      </w:r>
      <w:r w:rsidRPr="006601BC">
        <w:rPr>
          <w:rStyle w:val="FootnoteReference"/>
          <w:noProof/>
        </w:rPr>
        <w:footnoteReference w:id="3"/>
      </w:r>
      <w:r w:rsidRPr="006601BC">
        <w:rPr>
          <w:noProof/>
        </w:rPr>
        <w:t xml:space="preserve"> hatékony fejlesztését, gyártását, beszerzését és méltányos elosztását. A világjárvány azt is feltárta, hogy Unió-szerte túl sok széttagolt, gyakran meglehetősen korlátozott hatókörű kutatási tevékenység folyik, az egészségügyi ellenintézkedésekhez szükséges gyártási kapacitások korlátozottak, és hogy az ezekhez kapcsolódó globális ellátási láncok sebezhetőek. E korlátoknak tudható be végső soron a késedelmes és nem megfelelő hatékonyságú reagálás, ami emberéleteket követelt és károsította a gazdaságot.</w:t>
      </w:r>
    </w:p>
    <w:p w14:paraId="33EA5CBF" w14:textId="4F89A195" w:rsidR="008E7215" w:rsidRPr="006601BC" w:rsidRDefault="008E7215" w:rsidP="00F5172B">
      <w:pPr>
        <w:pStyle w:val="Text1"/>
        <w:rPr>
          <w:noProof/>
          <w:szCs w:val="24"/>
        </w:rPr>
      </w:pPr>
      <w:r w:rsidRPr="006601BC">
        <w:rPr>
          <w:noProof/>
        </w:rPr>
        <w:t>Különösen az alábbi, a válság szempontjából releváns egészségügyi ellenintézkedésekkel összefüggő problémákat azonosították.</w:t>
      </w:r>
    </w:p>
    <w:p w14:paraId="6E08A545" w14:textId="5E5B65DC" w:rsidR="00F5172B" w:rsidRPr="006601BC" w:rsidRDefault="00F5172B" w:rsidP="00F5172B">
      <w:pPr>
        <w:pStyle w:val="Point1"/>
        <w:rPr>
          <w:noProof/>
        </w:rPr>
      </w:pPr>
      <w:r w:rsidRPr="006601BC">
        <w:rPr>
          <w:noProof/>
        </w:rPr>
        <w:t>●</w:t>
      </w:r>
      <w:r w:rsidRPr="006601BC">
        <w:rPr>
          <w:noProof/>
        </w:rPr>
        <w:tab/>
      </w:r>
      <w:r w:rsidRPr="006601BC">
        <w:rPr>
          <w:b/>
          <w:noProof/>
        </w:rPr>
        <w:t>Elégtelen és szétszórt információgyűjtés és -elemzés</w:t>
      </w:r>
      <w:r w:rsidRPr="006601BC">
        <w:rPr>
          <w:noProof/>
        </w:rPr>
        <w:t>, pedig ezek kulcsfontosságúak a válság szempontjából releváns egészségügyi ellenintézkedésekre vonatkozó készültségi és reagálási tervek alátámasztásához, valamint annak garantálásához, hogy a reagálási beavatkozások megfelelően biztosítsák a válság szempontjából releváns egészségügyi ellenintézkedések rendelkezésre állását és hozzáférhetőségét.</w:t>
      </w:r>
    </w:p>
    <w:p w14:paraId="735F7F50" w14:textId="5E60130F" w:rsidR="00F5172B" w:rsidRPr="006601BC" w:rsidRDefault="00F5172B" w:rsidP="00F5172B">
      <w:pPr>
        <w:pStyle w:val="Point1"/>
        <w:rPr>
          <w:noProof/>
        </w:rPr>
      </w:pPr>
      <w:r w:rsidRPr="006601BC">
        <w:rPr>
          <w:noProof/>
        </w:rPr>
        <w:t>●</w:t>
      </w:r>
      <w:r w:rsidRPr="006601BC">
        <w:rPr>
          <w:noProof/>
        </w:rPr>
        <w:tab/>
      </w:r>
      <w:r w:rsidRPr="006601BC">
        <w:rPr>
          <w:b/>
          <w:noProof/>
        </w:rPr>
        <w:t>Az optimálistól elmaradó beavatkozási eszközök és a teljesen működőképes állami és magánszférabeli ökoszisztémák hiánya</w:t>
      </w:r>
      <w:r w:rsidRPr="006601BC">
        <w:rPr>
          <w:noProof/>
        </w:rPr>
        <w:t>, ami nem tette lehetővé az Unió számára, hogy proaktív megközelítést alkalmazzon az erőforrások mozgósításához és a végső piaci termékre irányuló kutatási folyamat rövid időkereteinek a felgyorsításához szükséges stratégiai és megalapozott beavatkozásokkal.</w:t>
      </w:r>
    </w:p>
    <w:p w14:paraId="26C81678" w14:textId="5CE7811B" w:rsidR="00F5172B" w:rsidRPr="006601BC" w:rsidRDefault="00F5172B" w:rsidP="00F5172B">
      <w:pPr>
        <w:pStyle w:val="Point1"/>
        <w:rPr>
          <w:noProof/>
        </w:rPr>
      </w:pPr>
      <w:r w:rsidRPr="006601BC">
        <w:rPr>
          <w:noProof/>
        </w:rPr>
        <w:t>●</w:t>
      </w:r>
      <w:r w:rsidRPr="006601BC">
        <w:rPr>
          <w:noProof/>
        </w:rPr>
        <w:tab/>
      </w:r>
      <w:r w:rsidRPr="006601BC">
        <w:rPr>
          <w:b/>
          <w:noProof/>
        </w:rPr>
        <w:t>A válság szempontjából releváns egészségügyi ellenintézkedések gyors gyártásának akadályai</w:t>
      </w:r>
      <w:r w:rsidRPr="006601BC">
        <w:rPr>
          <w:noProof/>
        </w:rPr>
        <w:t xml:space="preserve">, amelyek kapcsolódhatnak a gyártási és ellátási láncokon belül tapasztalt sebezhetőséghez és egyéb nehézségekhez, a szükséghelyzeti finanszírozáshoz és a szabályozási keretekhez, valamint a kutatáshoz és az adatmegosztáshoz, továbbá az </w:t>
      </w:r>
      <w:r w:rsidRPr="006601BC">
        <w:rPr>
          <w:b/>
          <w:noProof/>
        </w:rPr>
        <w:t>elégtelen gyártási kapacitásokhoz, különös tekintettel a Covid19-világjárvány kezdetére</w:t>
      </w:r>
      <w:r w:rsidRPr="006601BC">
        <w:rPr>
          <w:noProof/>
        </w:rPr>
        <w:t>.</w:t>
      </w:r>
    </w:p>
    <w:p w14:paraId="71E05CB6" w14:textId="3E916081" w:rsidR="00F5172B" w:rsidRPr="006601BC" w:rsidRDefault="00F5172B" w:rsidP="00F5172B">
      <w:pPr>
        <w:pStyle w:val="Point1"/>
        <w:rPr>
          <w:noProof/>
        </w:rPr>
      </w:pPr>
      <w:r w:rsidRPr="006601BC">
        <w:rPr>
          <w:noProof/>
        </w:rPr>
        <w:t>●</w:t>
      </w:r>
      <w:r w:rsidRPr="006601BC">
        <w:rPr>
          <w:noProof/>
        </w:rPr>
        <w:tab/>
      </w:r>
      <w:r w:rsidRPr="006601BC">
        <w:rPr>
          <w:b/>
          <w:noProof/>
        </w:rPr>
        <w:t>Az uniós és nemzeti szintű erőfeszítések széttagoltsága és elaprózottsága</w:t>
      </w:r>
      <w:r w:rsidRPr="006601BC">
        <w:rPr>
          <w:noProof/>
        </w:rPr>
        <w:t>, súlyosbítva a nem megfelelő koordinációval és információmegosztással, aminek következtében nem lehetett biztosítani a válság szempontjából releváns egészségügyi ellenintézkedések rendelkezésre állását és az azokhoz kellő időben történő hozzáférést.</w:t>
      </w:r>
    </w:p>
    <w:p w14:paraId="761F7FC3" w14:textId="3850DD3F" w:rsidR="008E7215" w:rsidRPr="006601BC" w:rsidRDefault="00083D0F" w:rsidP="00F5172B">
      <w:pPr>
        <w:pStyle w:val="Text1"/>
        <w:rPr>
          <w:noProof/>
          <w:szCs w:val="24"/>
        </w:rPr>
      </w:pPr>
      <w:r w:rsidRPr="006601BC">
        <w:rPr>
          <w:noProof/>
        </w:rPr>
        <w:t>A hiányosságok orvoslására irányuló intézkedések egy része a jobb felkészültség révén valósítható meg. Mások azonban olyan hatásköröket, eszközöket és fellépéseket igényelnek, amelyek csak a határokon átnyúló szükséghelyzetek esetén alkalmasak. Az Unió nem rendelkezett külön szükséghelyzeti megbízatással olyan uniós tevékenységek koordinálására, amelyek valamennyi tagállam számára képesek biztosítani a válság szempontjából releváns egészségügyi ellenintézkedések gyors rendelkezésre állását és hozzáférhetőségét. A tagállamok különböző kapacitásokkal rendelkeztek a válság szempontjából releváns egészségügyi ellenintézkedések előkészítését, a válságkezelés során való felhasználásukat és irányításukat illetően. Sem tagállami, sem uniós szinten nem állt rendelkezésre a megfelelő reagálási kapacitás: a reagálást ezért tökéletlen alapokra építve kellett rögtönözni. Ez a helyzet bármikor megismétlődhet: valószínűleg egyetlen ország sem képes megfelelően kezelni az olyan népegészségügyi szükséghelyzetekhez kapcsolódó valamennyi kihívást, amelyek egy vagy több tagállamot is érinthetnek, mint például a Covid19. A gyorsan változó technológiai és versenykörnyezet még nehezebbé teszi az országspecifikus reagálást. Az összehangolatlan erőfeszítések a már így is összetett piac széttagoltságához és a közfinanszírozás megkettőzéséhez is vezethetnek.</w:t>
      </w:r>
    </w:p>
    <w:p w14:paraId="31755B12" w14:textId="419A192F" w:rsidR="008E7215" w:rsidRPr="006601BC" w:rsidRDefault="008E7215" w:rsidP="00F5172B">
      <w:pPr>
        <w:pStyle w:val="Text1"/>
        <w:rPr>
          <w:noProof/>
        </w:rPr>
      </w:pPr>
      <w:r w:rsidRPr="006601BC">
        <w:rPr>
          <w:noProof/>
        </w:rPr>
        <w:t>Emellett a globalizáció, az éghajlatváltozás, a természeti és az ember okozta katasztrófák, a biológiai sokféleség csökkenése, az élőhelyek elfoglalása, valamint a fegyveres konfliktusok és a terrorizmus világszerte továbbra is komolyan fenyeget a népegészségügyi szükséghelyzetek folytatódásával és újabb megjelenésével, ami szükségessé teszi a válság szempontjából releváns egészségügyi ellenintézkedések gyors rendelkezésre állását és hozzáférhetőségét.</w:t>
      </w:r>
    </w:p>
    <w:p w14:paraId="7E33857F" w14:textId="77777777" w:rsidR="008E7215" w:rsidRPr="006601BC" w:rsidRDefault="008E7215" w:rsidP="008E7215">
      <w:pPr>
        <w:pStyle w:val="ManualHeading2"/>
        <w:rPr>
          <w:rFonts w:eastAsia="Arial Unicode MS"/>
          <w:noProof/>
          <w:color w:val="000000"/>
          <w:u w:color="000000"/>
          <w:bdr w:val="nil"/>
        </w:rPr>
      </w:pPr>
      <w:bookmarkStart w:id="3" w:name="_Toc86321133"/>
      <w:r w:rsidRPr="006601BC">
        <w:rPr>
          <w:noProof/>
          <w:color w:val="000000"/>
          <w:u w:color="000000"/>
          <w:bdr w:val="nil"/>
        </w:rPr>
        <w:t>•</w:t>
      </w:r>
      <w:r w:rsidRPr="006601BC">
        <w:rPr>
          <w:noProof/>
        </w:rPr>
        <w:tab/>
        <w:t>Összhang a szabályozási terület jelenlegi rendelkezéseivel</w:t>
      </w:r>
      <w:bookmarkEnd w:id="3"/>
    </w:p>
    <w:p w14:paraId="19954FAD" w14:textId="27B4D879" w:rsidR="008E7215" w:rsidRPr="006601BC" w:rsidRDefault="008E7215" w:rsidP="00F5172B">
      <w:pPr>
        <w:pStyle w:val="Text1"/>
        <w:rPr>
          <w:rFonts w:eastAsia="Arial Unicode MS"/>
          <w:noProof/>
        </w:rPr>
      </w:pPr>
      <w:r w:rsidRPr="006601BC">
        <w:rPr>
          <w:noProof/>
        </w:rPr>
        <w:t>Ez a rendeletjavaslat az európai egészségügyi unió egyik fő pillérét képezi azáltal, hogy megerősíti az Unió azon képességét, hogy népegészségügyi szükséghelyzet esetén támogassa a válság szempontjából releváns egészségügyi ellenintézkedések időben történő rendelkezésre állását és hozzáférhetőségét. Előterjesztésére a Bizottság által 2020 novemberében előterjesztett következő javaslatokkal együtt kerül sor: a határokon át terjedő súlyos egészségügyi veszélyekről szóló rendeletjavaslat</w:t>
      </w:r>
      <w:r w:rsidRPr="006601BC">
        <w:rPr>
          <w:rStyle w:val="FootnoteReference"/>
          <w:rFonts w:eastAsia="Arial Unicode MS"/>
          <w:noProof/>
        </w:rPr>
        <w:footnoteReference w:id="4"/>
      </w:r>
      <w:r w:rsidRPr="006601BC">
        <w:rPr>
          <w:noProof/>
        </w:rPr>
        <w:t>, valamint az Európai Betegségmegelőzési és Járványvédelmi Központ (ECDC)</w:t>
      </w:r>
      <w:r w:rsidRPr="006601BC">
        <w:rPr>
          <w:rStyle w:val="FootnoteReference"/>
          <w:rFonts w:eastAsia="Arial Unicode MS"/>
          <w:noProof/>
        </w:rPr>
        <w:footnoteReference w:id="5"/>
      </w:r>
      <w:r w:rsidRPr="006601BC">
        <w:rPr>
          <w:noProof/>
        </w:rPr>
        <w:t>, illetve az Európai Gyógyszerügynökség (EMA)</w:t>
      </w:r>
      <w:r w:rsidRPr="006601BC">
        <w:rPr>
          <w:rStyle w:val="FootnoteReference"/>
          <w:rFonts w:eastAsia="Arial Unicode MS"/>
          <w:noProof/>
        </w:rPr>
        <w:footnoteReference w:id="6"/>
      </w:r>
      <w:r w:rsidRPr="006601BC">
        <w:rPr>
          <w:noProof/>
        </w:rPr>
        <w:t xml:space="preserve"> kibővített megbízatásáról szóló rendeletjavaslat. Összességében megerősíti az Unió válságkezelési keretét. Ami az EMA megbízatásának meghosszabbítására irányuló javaslatot illeti, szoros kapcsolat lesz a Bizottság és az EMA között a következetesség biztosítása és a válság szempontjából releváns egészségügyi ellenintézkedésekre vonatkozó bizottsági döntéshozatal elősegítése érdekében. Ez a szoros kapcsolat kifejezetten a gyógyszerekkel foglalkozó irányítócsoport általi tájékoztatásra és annak ajánlásaira vonatkozik, valamint a Bizottság azon szerepére, hogy intézkedéseket hozzon a kritikus fontosságú gyógyszerek jegyzékén szereplő gyógyszerek potenciális vagy tényleges hiányának enyhítése érdekében, és hogy mérlegelje az egészségügyi ellenintézkedések szükségességét, összhangban </w:t>
      </w:r>
      <w:r w:rsidRPr="006601BC">
        <w:rPr>
          <w:noProof/>
          <w:color w:val="444444"/>
          <w:szCs w:val="24"/>
          <w:shd w:val="clear" w:color="auto" w:fill="FFFFFF"/>
        </w:rPr>
        <w:t>az Európai Gyógyszerügynökség által a gyógyszerek és orvostechnikai eszközök tekintetében a válsághelyzetekre való felkészültség és a válságkezelés terén</w:t>
      </w:r>
      <w:r w:rsidRPr="006601BC">
        <w:rPr>
          <w:rStyle w:val="FootnoteReference"/>
          <w:noProof/>
          <w:szCs w:val="24"/>
        </w:rPr>
        <w:footnoteReference w:id="7"/>
      </w:r>
      <w:r w:rsidRPr="006601BC">
        <w:rPr>
          <w:noProof/>
        </w:rPr>
        <w:t xml:space="preserve"> betöltött szerep megerősítéséről szóló európai parlamenti és tanácsi rendeletre irányuló javaslat 12. és 26. cikkével.</w:t>
      </w:r>
    </w:p>
    <w:p w14:paraId="101E611D" w14:textId="77777777" w:rsidR="008E7215" w:rsidRPr="006601BC" w:rsidRDefault="008E7215" w:rsidP="00F5172B">
      <w:pPr>
        <w:pStyle w:val="Text1"/>
        <w:rPr>
          <w:noProof/>
          <w:szCs w:val="24"/>
        </w:rPr>
      </w:pPr>
      <w:r w:rsidRPr="006601BC">
        <w:rPr>
          <w:noProof/>
        </w:rPr>
        <w:t>A javasolt intézkedések az alábbi jelenlegi uniós intézkedéseket egészítik ki a válsághelyzetekre való reagálás és az egészségügy területén:</w:t>
      </w:r>
    </w:p>
    <w:p w14:paraId="78805106" w14:textId="6E9D671E" w:rsidR="008E7215" w:rsidRPr="006601BC" w:rsidRDefault="007F43A3" w:rsidP="002F2439">
      <w:pPr>
        <w:pStyle w:val="Tiret1"/>
        <w:numPr>
          <w:ilvl w:val="0"/>
          <w:numId w:val="6"/>
        </w:numPr>
        <w:rPr>
          <w:noProof/>
        </w:rPr>
      </w:pPr>
      <w:r>
        <w:rPr>
          <w:noProof/>
        </w:rPr>
        <w:t>a</w:t>
      </w:r>
      <w:r w:rsidR="008E7215" w:rsidRPr="006601BC">
        <w:rPr>
          <w:noProof/>
        </w:rPr>
        <w:t>z Európai Parlament és a Tanács (EU) 2021/522 rendelete (2021. március 24.) a 2021–2027-es időszakra szóló uniós egészségügyi cselekvési program (az „EU az egészségért program”) létrehozásáról és a 282/2014/EU rendelet hatályon kívül helyezéséről</w:t>
      </w:r>
      <w:r w:rsidR="008E7215" w:rsidRPr="006601BC">
        <w:rPr>
          <w:rStyle w:val="FootnoteReference"/>
          <w:noProof/>
        </w:rPr>
        <w:footnoteReference w:id="8"/>
      </w:r>
      <w:r w:rsidR="008E7215" w:rsidRPr="006601BC">
        <w:rPr>
          <w:noProof/>
        </w:rPr>
        <w:t xml:space="preserve">; </w:t>
      </w:r>
    </w:p>
    <w:p w14:paraId="6DB15BEC" w14:textId="77777777" w:rsidR="008E7215" w:rsidRPr="006601BC" w:rsidRDefault="008E7215" w:rsidP="00F5172B">
      <w:pPr>
        <w:pStyle w:val="Tiret1"/>
        <w:rPr>
          <w:noProof/>
        </w:rPr>
      </w:pPr>
      <w:r w:rsidRPr="006601BC">
        <w:rPr>
          <w:noProof/>
        </w:rPr>
        <w:t>az uniós polgári védelmi mechanizmusról szóló 1313/2013/EU európai parlamenti és tanácsi határozatban</w:t>
      </w:r>
      <w:r w:rsidRPr="006601BC">
        <w:rPr>
          <w:rStyle w:val="FootnoteReference"/>
          <w:noProof/>
        </w:rPr>
        <w:footnoteReference w:id="9"/>
      </w:r>
      <w:r w:rsidRPr="006601BC">
        <w:rPr>
          <w:noProof/>
        </w:rPr>
        <w:t xml:space="preserve"> előirányzott egészségügyi reagálás;</w:t>
      </w:r>
    </w:p>
    <w:p w14:paraId="4820599B" w14:textId="77777777" w:rsidR="008E7215" w:rsidRPr="006601BC" w:rsidRDefault="008E7215" w:rsidP="00F5172B">
      <w:pPr>
        <w:pStyle w:val="Tiret1"/>
        <w:rPr>
          <w:noProof/>
        </w:rPr>
      </w:pPr>
      <w:r w:rsidRPr="006601BC">
        <w:rPr>
          <w:noProof/>
        </w:rPr>
        <w:t>az Unión belüli szükséghelyzeti támogatásnyújtás eszköze (az Unión belül szükséghelyzeti támogatás nyújtásáról szóló (EU) 2016/369 tanácsi rendelet</w:t>
      </w:r>
      <w:r w:rsidRPr="006601BC">
        <w:rPr>
          <w:rStyle w:val="FootnoteReference"/>
          <w:noProof/>
        </w:rPr>
        <w:footnoteReference w:id="10"/>
      </w:r>
      <w:r w:rsidRPr="006601BC">
        <w:rPr>
          <w:noProof/>
        </w:rPr>
        <w:t>); és</w:t>
      </w:r>
    </w:p>
    <w:p w14:paraId="1C1A664E" w14:textId="77777777" w:rsidR="008E7215" w:rsidRPr="006601BC" w:rsidRDefault="008E7215" w:rsidP="00F5172B">
      <w:pPr>
        <w:pStyle w:val="Tiret1"/>
        <w:rPr>
          <w:noProof/>
        </w:rPr>
      </w:pPr>
      <w:r w:rsidRPr="006601BC">
        <w:rPr>
          <w:noProof/>
        </w:rPr>
        <w:t>a javasolt európai gyógyszerstratégia</w:t>
      </w:r>
      <w:r w:rsidRPr="006601BC">
        <w:rPr>
          <w:rStyle w:val="FootnoteReference"/>
          <w:rFonts w:eastAsia="Arial Unicode MS"/>
          <w:noProof/>
        </w:rPr>
        <w:footnoteReference w:id="11"/>
      </w:r>
      <w:r w:rsidRPr="006601BC">
        <w:rPr>
          <w:noProof/>
        </w:rPr>
        <w:t xml:space="preserve">. </w:t>
      </w:r>
    </w:p>
    <w:p w14:paraId="3BD36D64" w14:textId="77777777" w:rsidR="008E7215" w:rsidRPr="006601BC" w:rsidRDefault="008E7215" w:rsidP="00F5172B">
      <w:pPr>
        <w:pStyle w:val="Text1"/>
        <w:rPr>
          <w:rFonts w:eastAsia="Arial Unicode MS"/>
          <w:noProof/>
        </w:rPr>
      </w:pPr>
      <w:r w:rsidRPr="006601BC">
        <w:rPr>
          <w:noProof/>
        </w:rPr>
        <w:t>A javasolt intézkedések emellett kiegészítik az európai zöld megállapodás</w:t>
      </w:r>
      <w:r w:rsidRPr="006601BC">
        <w:rPr>
          <w:rStyle w:val="FootnoteReference"/>
          <w:rFonts w:eastAsia="Arial Unicode MS"/>
          <w:noProof/>
        </w:rPr>
        <w:footnoteReference w:id="12"/>
      </w:r>
      <w:r w:rsidRPr="006601BC">
        <w:rPr>
          <w:noProof/>
        </w:rPr>
        <w:t xml:space="preserve"> keretében az éghajlatváltozás és a környezetvédelem terén végrehajtott egyéb politikákat és fellépéseket is, amelyek támogatják a környezeti egészség javítását, a betegségmegelőzést és a reziliencia fokozását.</w:t>
      </w:r>
    </w:p>
    <w:p w14:paraId="391871DE" w14:textId="6EBFE41B" w:rsidR="008E7215" w:rsidRPr="006601BC" w:rsidRDefault="008E7215" w:rsidP="00F5172B">
      <w:pPr>
        <w:pStyle w:val="Text1"/>
        <w:rPr>
          <w:rFonts w:eastAsia="Arial Unicode MS"/>
          <w:noProof/>
        </w:rPr>
      </w:pPr>
      <w:r w:rsidRPr="006601BC">
        <w:rPr>
          <w:noProof/>
        </w:rPr>
        <w:t xml:space="preserve">Ezek az intézkedések támogatják a tagállamokat, biztosítva az együttműködést a válság szempontjából releváns egészségügyi ellenintézkedések és nyersanyagok rendelkezésre állása és rendelkezésre bocsátása terén. A Bizottság, az Európai Parlament és a Tanács határozottan megerősítette az Unió elkötelezettségét a globális egészségügyi szükséghelyzetekre való felkészültség fokozása iránt. </w:t>
      </w:r>
    </w:p>
    <w:p w14:paraId="79D511A2" w14:textId="77777777" w:rsidR="008E7215" w:rsidRPr="006601BC" w:rsidRDefault="008E7215" w:rsidP="008E7215">
      <w:pPr>
        <w:pStyle w:val="ManualHeading2"/>
        <w:rPr>
          <w:rFonts w:eastAsia="Arial Unicode MS"/>
          <w:noProof/>
        </w:rPr>
      </w:pPr>
      <w:bookmarkStart w:id="4" w:name="_Toc86321134"/>
      <w:r w:rsidRPr="006601BC">
        <w:rPr>
          <w:noProof/>
          <w:color w:val="000000"/>
          <w:u w:color="000000"/>
          <w:bdr w:val="nil"/>
        </w:rPr>
        <w:t>•</w:t>
      </w:r>
      <w:r w:rsidRPr="006601BC">
        <w:rPr>
          <w:noProof/>
        </w:rPr>
        <w:tab/>
        <w:t>Összhang az Unió egyéb szakpolitikáival</w:t>
      </w:r>
      <w:bookmarkEnd w:id="4"/>
    </w:p>
    <w:p w14:paraId="7E1278B2" w14:textId="41EB84B9" w:rsidR="008E7215" w:rsidRPr="006601BC" w:rsidRDefault="008E7215" w:rsidP="00F5172B">
      <w:pPr>
        <w:pStyle w:val="Text1"/>
        <w:rPr>
          <w:noProof/>
        </w:rPr>
      </w:pPr>
      <w:r w:rsidRPr="006601BC">
        <w:rPr>
          <w:noProof/>
        </w:rPr>
        <w:t>A javasolt intézkedések összhangban vannak az Unió átfogó célkitűzéseivel. Ezek közé tartozik egy erősebb európai egészségügyi unió, a belső piac zökkenőmentes működése, a fenntartható egészségügyi rendszerek előmozdítása, többek között a regionális hatóságok közegészségügyi beruházásait támogató kohéziós politika révén, valamint a határokon átnyúló együttműködés támogatása – különösen a szomszédos régiókban –, a globális egészségbiztonsági felkészültség, a felkészültség javítása a munkavállalók védelme érdekében</w:t>
      </w:r>
      <w:r w:rsidRPr="006601BC">
        <w:rPr>
          <w:rStyle w:val="FootnoteReference"/>
          <w:noProof/>
        </w:rPr>
        <w:footnoteReference w:id="13"/>
      </w:r>
      <w:r w:rsidRPr="006601BC">
        <w:rPr>
          <w:noProof/>
        </w:rPr>
        <w:t>, valamint egy ambiciózus kutatási és innovációs menetrend. A javaslat szinergiákat teremt az Unió digitális egységes piaci menetrendjével és a jövőbeli európai egészségügyi adattérrel azáltal, hogy ösztönzi az innovációt és a kutatást, megkönnyíti az információk és adatok (többek között a valós körülmények között szerzett bizonyítékok) megosztását, valamint támogatja az egészségügyi ellenintézkedések nyomon követésére szolgáló uniós szintű informatikai infrastruktúra fejlesztését.</w:t>
      </w:r>
    </w:p>
    <w:p w14:paraId="25AD46D1" w14:textId="52170A37" w:rsidR="008E7215" w:rsidRPr="006601BC" w:rsidRDefault="008E7215" w:rsidP="00F5172B">
      <w:pPr>
        <w:pStyle w:val="Text1"/>
        <w:rPr>
          <w:noProof/>
        </w:rPr>
      </w:pPr>
      <w:r w:rsidRPr="006601BC">
        <w:rPr>
          <w:noProof/>
        </w:rPr>
        <w:t>Az intézkedések emellett a koordinált „Egy az egészség” koncepció alapján uniós szinten tovább fogják erősíteni a biológiai, vegyi vagy ismeretlen eredetű veszélyekkel kapcsolatos felkészültség és reagálás keretét, valamint az emberi, állati és környezeti egészséget. Ez a keret magában foglalja az antimikrobiális rezisztencia leküzdésére irányuló cselekvési tervet</w:t>
      </w:r>
      <w:r w:rsidRPr="006601BC">
        <w:rPr>
          <w:rStyle w:val="FootnoteReference"/>
          <w:rFonts w:eastAsia="Arial Unicode MS"/>
          <w:noProof/>
        </w:rPr>
        <w:footnoteReference w:id="14"/>
      </w:r>
      <w:r w:rsidRPr="006601BC">
        <w:rPr>
          <w:noProof/>
        </w:rPr>
        <w:t>, valamint a vegyi, biológiai, radiológiai, illetve nukleáris biztonsági kockázatokkal szembeni felkészültség fokozását célzó uniós cselekvési tervet</w:t>
      </w:r>
      <w:r w:rsidRPr="006601BC">
        <w:rPr>
          <w:rStyle w:val="FootnoteReference"/>
          <w:noProof/>
        </w:rPr>
        <w:footnoteReference w:id="15"/>
      </w:r>
      <w:r w:rsidRPr="006601BC">
        <w:rPr>
          <w:noProof/>
        </w:rPr>
        <w:t xml:space="preserve"> is. </w:t>
      </w:r>
    </w:p>
    <w:p w14:paraId="03828709" w14:textId="77777777" w:rsidR="00083D0F" w:rsidRPr="006601BC" w:rsidRDefault="00083D0F" w:rsidP="00F5172B">
      <w:pPr>
        <w:pStyle w:val="Text1"/>
        <w:rPr>
          <w:noProof/>
        </w:rPr>
      </w:pPr>
      <w:r w:rsidRPr="006601BC">
        <w:rPr>
          <w:noProof/>
        </w:rPr>
        <w:t>Az Unió most számos szakpolitikai területen levonja a válság tanulságait, köztük azt, hogy válság esetén készen kell állnia a bevezethető, célzott intézkedéseknek.</w:t>
      </w:r>
    </w:p>
    <w:p w14:paraId="5F5D9319" w14:textId="77777777" w:rsidR="008E7215" w:rsidRPr="006601BC" w:rsidRDefault="008E7215" w:rsidP="008E7215">
      <w:pPr>
        <w:pStyle w:val="ManualHeading1"/>
        <w:rPr>
          <w:noProof/>
        </w:rPr>
      </w:pPr>
      <w:bookmarkStart w:id="5" w:name="_Toc86321135"/>
      <w:r w:rsidRPr="006601BC">
        <w:rPr>
          <w:noProof/>
        </w:rPr>
        <w:t>2.</w:t>
      </w:r>
      <w:r w:rsidRPr="006601BC">
        <w:rPr>
          <w:noProof/>
        </w:rPr>
        <w:tab/>
        <w:t>JOGALAP, SZUBSZIDIARITÁS ÉS ARÁNYOSSÁG</w:t>
      </w:r>
      <w:bookmarkEnd w:id="5"/>
    </w:p>
    <w:p w14:paraId="23E109BD" w14:textId="77777777" w:rsidR="008E7215" w:rsidRPr="006601BC" w:rsidRDefault="008E7215" w:rsidP="008E7215">
      <w:pPr>
        <w:pStyle w:val="ManualHeading2"/>
        <w:rPr>
          <w:rFonts w:eastAsia="Arial Unicode MS"/>
          <w:noProof/>
          <w:u w:color="000000"/>
          <w:bdr w:val="nil"/>
        </w:rPr>
      </w:pPr>
      <w:bookmarkStart w:id="6" w:name="_Toc86321136"/>
      <w:r w:rsidRPr="006601BC">
        <w:rPr>
          <w:noProof/>
          <w:u w:color="000000"/>
          <w:bdr w:val="nil"/>
        </w:rPr>
        <w:t>•</w:t>
      </w:r>
      <w:r w:rsidRPr="006601BC">
        <w:rPr>
          <w:noProof/>
        </w:rPr>
        <w:tab/>
      </w:r>
      <w:r w:rsidRPr="006601BC">
        <w:rPr>
          <w:noProof/>
          <w:u w:color="000000"/>
          <w:bdr w:val="nil"/>
        </w:rPr>
        <w:t>Jogalap</w:t>
      </w:r>
      <w:bookmarkEnd w:id="6"/>
    </w:p>
    <w:p w14:paraId="0B3F6178" w14:textId="6393AD6F" w:rsidR="008E7215" w:rsidRPr="006601BC" w:rsidRDefault="008E7215" w:rsidP="00F5172B">
      <w:pPr>
        <w:pStyle w:val="Text1"/>
        <w:rPr>
          <w:noProof/>
        </w:rPr>
      </w:pPr>
      <w:r w:rsidRPr="006601BC">
        <w:rPr>
          <w:noProof/>
        </w:rPr>
        <w:t>E rendeletjavaslat az Európai Unió működéséről szóló szerződés (EUMSZ) 122. cikkének (1) bekezdésén alapul, mivel célja a népegészségügyi szükséghelyzetek által okozott gazdasági hatások kezelésére szolgáló, a válság szempontjából releváns egészségügyi ellenintézkedések rendelkezésre állásának és időben történő rendelkezésre bocsátásának és hozzáférhetőségének a biztosítása. Az EUMSZ 122. cikkének (1) bekezdése alapján a Tanács a gazdasági helyzetet megfelelően kezelő intézkedéseket fogadhat el, különösen ha egyes termékekkel való ellátásban súlyos nehézségek merülnek fel.</w:t>
      </w:r>
    </w:p>
    <w:p w14:paraId="198AE8DA" w14:textId="77777777" w:rsidR="008E7215" w:rsidRPr="006601BC" w:rsidRDefault="008E7215" w:rsidP="008E7215">
      <w:pPr>
        <w:pStyle w:val="ManualHeading2"/>
        <w:rPr>
          <w:rFonts w:eastAsia="Arial Unicode MS"/>
          <w:noProof/>
          <w:u w:color="000000"/>
          <w:bdr w:val="nil"/>
        </w:rPr>
      </w:pPr>
      <w:bookmarkStart w:id="7" w:name="_Toc86321137"/>
      <w:r w:rsidRPr="006601BC">
        <w:rPr>
          <w:noProof/>
          <w:u w:color="000000"/>
          <w:bdr w:val="nil"/>
        </w:rPr>
        <w:t>•</w:t>
      </w:r>
      <w:r w:rsidRPr="006601BC">
        <w:rPr>
          <w:noProof/>
        </w:rPr>
        <w:tab/>
      </w:r>
      <w:r w:rsidRPr="006601BC">
        <w:rPr>
          <w:noProof/>
          <w:u w:color="000000"/>
          <w:bdr w:val="nil"/>
        </w:rPr>
        <w:t>Szubszidiaritás (nem kizárólagos hatáskör esetén)</w:t>
      </w:r>
      <w:bookmarkEnd w:id="7"/>
      <w:r w:rsidRPr="006601BC">
        <w:rPr>
          <w:noProof/>
          <w:u w:color="000000"/>
          <w:bdr w:val="nil"/>
        </w:rPr>
        <w:t xml:space="preserve"> </w:t>
      </w:r>
    </w:p>
    <w:p w14:paraId="0113A5C7" w14:textId="1F21CF51" w:rsidR="008E7215" w:rsidRPr="006601BC" w:rsidRDefault="008E7215" w:rsidP="00F5172B">
      <w:pPr>
        <w:pStyle w:val="Text1"/>
        <w:rPr>
          <w:noProof/>
          <w:szCs w:val="24"/>
        </w:rPr>
      </w:pPr>
      <w:r w:rsidRPr="006601BC">
        <w:rPr>
          <w:noProof/>
        </w:rPr>
        <w:t>A Covid19-világjárványhoz fogható nagyságrendű népegészségügyi szükséghelyzetek valamennyi tagállamra hatással vannak. Az egyes tagállamok intézkedései az ilyen szükséghelyzetből eredő kihívásokat nem tudnák kezelni, és önmagukban nem is képesek megfelelő választ adni. A válság szempontjából releváns egészségügyi ellenintézkedések elegendő mennyiségű és időben történő rendelkezésre állásának és rendelkezésre bocsátásának a biztosítását célzó tagállami kezdeményezéseken keresztül megvalósuló egyoldalú fellépés a belső verseny fokozódásának és az optimálistól elmaradó uniós szintű reagálásnak a kockázatát hordozza magában. Az ilyen egyoldalú fellépés végső soron jelentős gazdasági következményekkel járhat, és hatással lehet az uniós polgárok egészségére.</w:t>
      </w:r>
    </w:p>
    <w:p w14:paraId="69CB67B5" w14:textId="49C86AA7" w:rsidR="008E7215" w:rsidRPr="006601BC" w:rsidRDefault="008E7215" w:rsidP="00F5172B">
      <w:pPr>
        <w:pStyle w:val="Text1"/>
        <w:rPr>
          <w:noProof/>
        </w:rPr>
      </w:pPr>
      <w:r w:rsidRPr="006601BC">
        <w:rPr>
          <w:noProof/>
        </w:rPr>
        <w:t xml:space="preserve">Különösen egy ilyen nagy mértékben összekapcsolt és kölcsönös függőségekkel átszőtt világban, ahol az emberek és az áruk határokon átnyúlóan mozognak, a kórokozók és a szennyezett termékek világszerte gyorsan elterjedhetnek. A nemzeti szintű népegészségügyi intézkedéseknek ezért a határokon átnyúlóan és a válság szempontjából releváns egészségügyi ellenintézkedések terén is összehangoltnak kell lenniük annak érdekében, hogy ezáltal megfékezhető legyen az ilyen veszélyek továbbterjedése, és minimálisra lehessen csökkenteni azok következményeit. Egy, a </w:t>
      </w:r>
      <w:r w:rsidRPr="006601BC">
        <w:rPr>
          <w:noProof/>
          <w:color w:val="000000" w:themeColor="text1"/>
          <w:szCs w:val="24"/>
        </w:rPr>
        <w:t>gazdasági helyzetnek megfelelő</w:t>
      </w:r>
      <w:r w:rsidRPr="006601BC">
        <w:rPr>
          <w:noProof/>
        </w:rPr>
        <w:t xml:space="preserve">, a válság szempontjából releváns egészségügyi ellenintézkedések rendelkezésre állását és hozzáférhetőségét biztosító összehangolt, uniós szintű reagálás segíthet elkerülni a tagállamok összehangolatlan beruházásait. </w:t>
      </w:r>
    </w:p>
    <w:p w14:paraId="3B566F3C" w14:textId="77777777" w:rsidR="008E7215" w:rsidRPr="006601BC" w:rsidRDefault="008E7215" w:rsidP="008E7215">
      <w:pPr>
        <w:pStyle w:val="ManualHeading2"/>
        <w:rPr>
          <w:rFonts w:eastAsia="Arial Unicode MS"/>
          <w:noProof/>
          <w:u w:color="000000"/>
          <w:bdr w:val="nil"/>
        </w:rPr>
      </w:pPr>
      <w:bookmarkStart w:id="8" w:name="_Toc86321138"/>
      <w:r w:rsidRPr="006601BC">
        <w:rPr>
          <w:noProof/>
          <w:u w:color="000000"/>
          <w:bdr w:val="nil"/>
        </w:rPr>
        <w:t>•</w:t>
      </w:r>
      <w:r w:rsidRPr="006601BC">
        <w:rPr>
          <w:noProof/>
        </w:rPr>
        <w:tab/>
      </w:r>
      <w:r w:rsidRPr="006601BC">
        <w:rPr>
          <w:noProof/>
          <w:u w:color="000000"/>
          <w:bdr w:val="nil"/>
        </w:rPr>
        <w:t>Arányosság</w:t>
      </w:r>
      <w:bookmarkEnd w:id="8"/>
    </w:p>
    <w:p w14:paraId="7DF625FD" w14:textId="505DCCC2" w:rsidR="008E7215" w:rsidRPr="006601BC" w:rsidRDefault="008E7215" w:rsidP="00F5172B">
      <w:pPr>
        <w:pStyle w:val="Text1"/>
        <w:rPr>
          <w:noProof/>
        </w:rPr>
      </w:pPr>
      <w:r w:rsidRPr="006601BC">
        <w:rPr>
          <w:noProof/>
        </w:rPr>
        <w:t xml:space="preserve">A javaslat arányos választ jelent az 1. pontban leírt problémák kezelésére, különösen azáltal, hogy olyan keretet hoz létre, amely lehetővé teszi az Unió számára, hogy meghozza a szükséges intézkedéseket annak érdekében, hogy uniós szintű népegészségügyi szükséghelyzet esetén biztosítsa a válság szempontjából releváns egészségügyi ellenintézkedések kellő mennyiségben és kellő időben történő rendelkezésre állát és rendelkezésre bocsátását, amennyiben ez megfelel a gazdasági helyzetnek. </w:t>
      </w:r>
    </w:p>
    <w:p w14:paraId="671C48E7" w14:textId="77777777" w:rsidR="008E7215" w:rsidRPr="006601BC" w:rsidRDefault="008E7215" w:rsidP="00F5172B">
      <w:pPr>
        <w:pStyle w:val="Text1"/>
        <w:rPr>
          <w:rFonts w:eastAsia="Arial Unicode MS"/>
          <w:noProof/>
        </w:rPr>
      </w:pPr>
      <w:r w:rsidRPr="006601BC">
        <w:rPr>
          <w:noProof/>
        </w:rPr>
        <w:t>Az Európai Unióról szóló szerződés 5. cikkében foglalt arányosság elvével összhangban ez a javaslat és a javasolt intézkedések nem lépik túl az említett célok eléréséhez szükséges mértéket.</w:t>
      </w:r>
    </w:p>
    <w:p w14:paraId="4325B8A2" w14:textId="77777777" w:rsidR="008E7215" w:rsidRPr="006601BC" w:rsidRDefault="008E7215" w:rsidP="008E7215">
      <w:pPr>
        <w:pStyle w:val="ManualHeading2"/>
        <w:rPr>
          <w:rFonts w:eastAsia="Arial Unicode MS"/>
          <w:noProof/>
          <w:u w:color="000000"/>
          <w:bdr w:val="nil"/>
        </w:rPr>
      </w:pPr>
      <w:bookmarkStart w:id="9" w:name="_Toc86321139"/>
      <w:r w:rsidRPr="006601BC">
        <w:rPr>
          <w:noProof/>
          <w:u w:color="000000"/>
          <w:bdr w:val="nil"/>
        </w:rPr>
        <w:t>•</w:t>
      </w:r>
      <w:r w:rsidRPr="006601BC">
        <w:rPr>
          <w:noProof/>
        </w:rPr>
        <w:tab/>
      </w:r>
      <w:r w:rsidRPr="006601BC">
        <w:rPr>
          <w:noProof/>
          <w:u w:color="000000"/>
          <w:bdr w:val="nil"/>
        </w:rPr>
        <w:t>A jogi aktus típusának megválasztása</w:t>
      </w:r>
      <w:bookmarkEnd w:id="9"/>
    </w:p>
    <w:p w14:paraId="1928FC37" w14:textId="39850D30" w:rsidR="008E7215" w:rsidRPr="006601BC" w:rsidRDefault="008E7215" w:rsidP="00F5172B">
      <w:pPr>
        <w:pStyle w:val="Text1"/>
        <w:rPr>
          <w:noProof/>
        </w:rPr>
      </w:pPr>
      <w:r w:rsidRPr="006601BC">
        <w:rPr>
          <w:noProof/>
        </w:rPr>
        <w:t>A javaslat tanácsi rendelet formáját ölti. Ez a legmegfelelőbb eszköz, mivel a javaslat kulcsfontosságú eleme a határokon átívelő egészségügyi szükséghelyzetekre való reagálásra összpontosító közös uniós szintű munkával kapcsolatos együttműködési eljárások és struktúrák létrehozása. Az intézkedések nem igénylik nemzeti intézkedések végrehajtását, és közvetlenül alkalmazhatók.</w:t>
      </w:r>
    </w:p>
    <w:p w14:paraId="546089E5" w14:textId="77777777" w:rsidR="008E7215" w:rsidRPr="006601BC" w:rsidRDefault="008E7215" w:rsidP="008E7215">
      <w:pPr>
        <w:pStyle w:val="ManualHeading1"/>
        <w:rPr>
          <w:noProof/>
        </w:rPr>
      </w:pPr>
      <w:bookmarkStart w:id="10" w:name="_Toc86321140"/>
      <w:r w:rsidRPr="006601BC">
        <w:rPr>
          <w:noProof/>
        </w:rPr>
        <w:t>3.</w:t>
      </w:r>
      <w:r w:rsidRPr="006601BC">
        <w:rPr>
          <w:noProof/>
        </w:rPr>
        <w:tab/>
        <w:t>AZ UTÓLAGOS ÉRTÉKELÉSEK, AZ ÉRDEKELT FELEKKEL FOLYTATOTT KONZULTÁCIÓK ÉS A HATÁSVIZSGÁLATOK EREDMÉNYEI</w:t>
      </w:r>
      <w:bookmarkEnd w:id="10"/>
    </w:p>
    <w:p w14:paraId="64FE188B" w14:textId="77777777" w:rsidR="008E7215" w:rsidRPr="006601BC" w:rsidRDefault="008E7215" w:rsidP="008E7215">
      <w:pPr>
        <w:pStyle w:val="ManualHeading2"/>
        <w:rPr>
          <w:rFonts w:eastAsia="Arial Unicode MS"/>
          <w:noProof/>
          <w:u w:color="000000"/>
          <w:bdr w:val="nil"/>
        </w:rPr>
      </w:pPr>
      <w:bookmarkStart w:id="11" w:name="_Toc86321141"/>
      <w:r w:rsidRPr="006601BC">
        <w:rPr>
          <w:noProof/>
          <w:u w:color="000000"/>
          <w:bdr w:val="nil"/>
        </w:rPr>
        <w:t>•</w:t>
      </w:r>
      <w:r w:rsidRPr="006601BC">
        <w:rPr>
          <w:noProof/>
        </w:rPr>
        <w:tab/>
      </w:r>
      <w:r w:rsidRPr="006601BC">
        <w:rPr>
          <w:noProof/>
          <w:u w:color="000000"/>
          <w:bdr w:val="nil"/>
        </w:rPr>
        <w:t>Érdekelt felekkel folytatott konzultáció</w:t>
      </w:r>
      <w:bookmarkEnd w:id="11"/>
    </w:p>
    <w:p w14:paraId="0300757A" w14:textId="54335C57" w:rsidR="008E7215" w:rsidRPr="006601BC" w:rsidRDefault="00C415B4" w:rsidP="00F5172B">
      <w:pPr>
        <w:pStyle w:val="Text1"/>
        <w:rPr>
          <w:noProof/>
        </w:rPr>
      </w:pPr>
      <w:r w:rsidRPr="006601BC">
        <w:rPr>
          <w:noProof/>
        </w:rPr>
        <w:t>A népegészségügyi szükséghelyzet esetén történő reagálás megerősítése érdekében életbe léptetendő intézkedések kerete önmagában nem képezte konzultáció tárgyát, de az érintett érdekelt csoportokkal alapos konzultációra került sor a HERA létrehozásáról annak biztosítása érdekében, hogy véleményüket megismerjék és figyelembe vegyék a politikai döntéshozatali folyamatban. Ez a visszajelzés betekintést adott a hatékony reagáláshoz szükségesnek ítélt vészhelyzeti intézkedésekbe, és hozzájárult az e rendeletre irányuló javaslathoz.</w:t>
      </w:r>
    </w:p>
    <w:p w14:paraId="43A768CA" w14:textId="195A8C86" w:rsidR="008E7215" w:rsidRPr="006601BC" w:rsidRDefault="008E7215" w:rsidP="00F5172B">
      <w:pPr>
        <w:pStyle w:val="Text1"/>
        <w:rPr>
          <w:noProof/>
          <w:szCs w:val="24"/>
        </w:rPr>
      </w:pPr>
      <w:r w:rsidRPr="006601BC">
        <w:rPr>
          <w:noProof/>
        </w:rPr>
        <w:t xml:space="preserve">Konkrétabban a következő konzultációs tevékenységekre került sor: </w:t>
      </w:r>
    </w:p>
    <w:p w14:paraId="41CDAC53" w14:textId="28B06C2D" w:rsidR="00F5172B" w:rsidRPr="006601BC" w:rsidRDefault="00F5172B" w:rsidP="00F5172B">
      <w:pPr>
        <w:pStyle w:val="Point1"/>
        <w:rPr>
          <w:rFonts w:eastAsia="Arial Unicode MS"/>
          <w:noProof/>
        </w:rPr>
      </w:pPr>
      <w:r w:rsidRPr="006601BC">
        <w:rPr>
          <w:noProof/>
        </w:rPr>
        <w:t>●</w:t>
      </w:r>
      <w:r w:rsidRPr="006601BC">
        <w:rPr>
          <w:noProof/>
        </w:rPr>
        <w:tab/>
        <w:t>a bevezető hatásvizsgálat négyhetes visszajelzési időszaka (2021. január 27. és február 24. között);</w:t>
      </w:r>
    </w:p>
    <w:p w14:paraId="1FE4C54B" w14:textId="1A92DCC6" w:rsidR="00F5172B" w:rsidRPr="006601BC" w:rsidRDefault="00F5172B" w:rsidP="00F5172B">
      <w:pPr>
        <w:pStyle w:val="Point1"/>
        <w:rPr>
          <w:rFonts w:eastAsia="Arial Unicode MS"/>
          <w:noProof/>
        </w:rPr>
      </w:pPr>
      <w:r w:rsidRPr="006601BC">
        <w:rPr>
          <w:noProof/>
        </w:rPr>
        <w:t>●</w:t>
      </w:r>
      <w:r w:rsidRPr="006601BC">
        <w:rPr>
          <w:noProof/>
        </w:rPr>
        <w:tab/>
        <w:t>egy 6 hetes nyilvános online konzultáció</w:t>
      </w:r>
      <w:r w:rsidRPr="006601BC">
        <w:rPr>
          <w:rStyle w:val="FootnoteReference"/>
          <w:noProof/>
        </w:rPr>
        <w:footnoteReference w:id="16"/>
      </w:r>
      <w:r w:rsidRPr="006601BC">
        <w:rPr>
          <w:noProof/>
        </w:rPr>
        <w:t xml:space="preserve"> (2021. március 31. és május 12. között), amely során 135 érdekelt féltől érkezett észrevétel; és</w:t>
      </w:r>
    </w:p>
    <w:p w14:paraId="0F2C687B" w14:textId="46C17151" w:rsidR="00F5172B" w:rsidRPr="006601BC" w:rsidRDefault="0098147A" w:rsidP="00F5172B">
      <w:pPr>
        <w:pStyle w:val="Point1"/>
        <w:rPr>
          <w:noProof/>
        </w:rPr>
      </w:pPr>
      <w:r w:rsidRPr="006601BC">
        <w:rPr>
          <w:noProof/>
        </w:rPr>
        <w:t>●</w:t>
      </w:r>
      <w:r w:rsidRPr="006601BC">
        <w:rPr>
          <w:noProof/>
        </w:rPr>
        <w:tab/>
        <w:t>célzott konzultációk az érdekelt felekkel egy magas szintű munkacsoport létrehozása révén együttesen a tagállamokkal, egy „serpacsoport” létrehozása az ipari ágazattal, valamint kétoldalú találkozók a tagállamokkal, a nemzetközi szereplőkkel és az Európai Parlamenttel.</w:t>
      </w:r>
    </w:p>
    <w:p w14:paraId="3377A228" w14:textId="77777777" w:rsidR="008E7215" w:rsidRPr="006601BC" w:rsidRDefault="008E7215" w:rsidP="0098147A">
      <w:pPr>
        <w:pStyle w:val="Text1"/>
        <w:rPr>
          <w:noProof/>
        </w:rPr>
      </w:pPr>
      <w:r w:rsidRPr="006601BC">
        <w:rPr>
          <w:noProof/>
        </w:rPr>
        <w:t>Összességében a Bizottság támogatást kapott a HERA létrehozásához, és az érdekelt felek megjegyezték, hogy a kezdeményezés egyértelmű hozzáadott értéket képvisel, valamint hogy az Uniónak fokoznia kell a felkészültséghez és a válságkezeléshez szükséges, a válság szempontjából releváns egészségügyi ellenintézkedéseket illető tevékenységeit. Tekintettel arra a széles körben elfogadott álláspontra, hogy uniós szinten gyors és hatékony reagálásra van szükség, a Bizottság egy sor olyan vészhelyzeti intézkedést javasol, amelyek egészségügyi szükséghelyzetek esetén alkalmazhatók egy ilyen gyors és hatékony reagálás biztosítása érdekében.</w:t>
      </w:r>
    </w:p>
    <w:p w14:paraId="0F94B419" w14:textId="77777777" w:rsidR="008E7215" w:rsidRPr="006601BC" w:rsidRDefault="008E7215" w:rsidP="008E7215">
      <w:pPr>
        <w:pBdr>
          <w:top w:val="nil"/>
          <w:left w:val="nil"/>
          <w:bottom w:val="nil"/>
          <w:right w:val="nil"/>
          <w:between w:val="nil"/>
          <w:bar w:val="nil"/>
        </w:pBdr>
        <w:spacing w:before="0" w:after="240"/>
        <w:rPr>
          <w:rFonts w:eastAsia="Arial Unicode MS"/>
          <w:b/>
          <w:noProof/>
          <w:u w:color="000000"/>
          <w:bdr w:val="nil"/>
        </w:rPr>
      </w:pPr>
      <w:r w:rsidRPr="006601BC">
        <w:rPr>
          <w:b/>
          <w:noProof/>
          <w:u w:color="000000"/>
          <w:bdr w:val="nil"/>
        </w:rPr>
        <w:t>•</w:t>
      </w:r>
      <w:r w:rsidRPr="006601BC">
        <w:rPr>
          <w:noProof/>
        </w:rPr>
        <w:tab/>
      </w:r>
      <w:r w:rsidRPr="006601BC">
        <w:rPr>
          <w:b/>
          <w:noProof/>
          <w:u w:color="000000"/>
          <w:bdr w:val="nil"/>
        </w:rPr>
        <w:t>Szakértői vélemények beszerzése és felhasználása</w:t>
      </w:r>
    </w:p>
    <w:p w14:paraId="56CDE0B6" w14:textId="77777777" w:rsidR="008E7215" w:rsidRPr="006601BC" w:rsidRDefault="008E7215" w:rsidP="0098147A">
      <w:pPr>
        <w:pStyle w:val="Text1"/>
        <w:rPr>
          <w:rFonts w:eastAsia="Arial Unicode MS"/>
          <w:noProof/>
        </w:rPr>
      </w:pPr>
      <w:r w:rsidRPr="006601BC">
        <w:rPr>
          <w:noProof/>
        </w:rPr>
        <w:t>Tárgytalan</w:t>
      </w:r>
    </w:p>
    <w:p w14:paraId="33327C19" w14:textId="77777777" w:rsidR="008E7215" w:rsidRPr="006601BC" w:rsidRDefault="008E7215" w:rsidP="008E7215">
      <w:pPr>
        <w:pStyle w:val="ManualHeading2"/>
        <w:rPr>
          <w:rFonts w:eastAsia="Arial Unicode MS"/>
          <w:noProof/>
          <w:u w:color="000000"/>
          <w:bdr w:val="nil"/>
        </w:rPr>
      </w:pPr>
      <w:bookmarkStart w:id="12" w:name="_Toc86321142"/>
      <w:r w:rsidRPr="006601BC">
        <w:rPr>
          <w:noProof/>
          <w:u w:color="000000"/>
          <w:bdr w:val="nil"/>
        </w:rPr>
        <w:t>•</w:t>
      </w:r>
      <w:r w:rsidRPr="006601BC">
        <w:rPr>
          <w:noProof/>
        </w:rPr>
        <w:tab/>
      </w:r>
      <w:r w:rsidRPr="006601BC">
        <w:rPr>
          <w:noProof/>
          <w:u w:color="000000"/>
          <w:bdr w:val="nil"/>
        </w:rPr>
        <w:t>Hatásvizsgálat</w:t>
      </w:r>
      <w:bookmarkEnd w:id="12"/>
    </w:p>
    <w:p w14:paraId="32CFA24D" w14:textId="77777777" w:rsidR="008E7215" w:rsidRPr="006601BC" w:rsidRDefault="008E7215" w:rsidP="0098147A">
      <w:pPr>
        <w:pStyle w:val="Text1"/>
        <w:rPr>
          <w:rFonts w:eastAsia="Arial Unicode MS"/>
          <w:noProof/>
        </w:rPr>
      </w:pPr>
      <w:r w:rsidRPr="006601BC">
        <w:rPr>
          <w:noProof/>
        </w:rPr>
        <w:t xml:space="preserve">Mivel sürgősen meg kell erősíteni a jövőbeli népegészségügyi szükséghelyzetekre való felkészülésre vonatkozó szükséghelyzeti keretet, ezt a javaslatot nem kíséri hivatalos hatásvizsgálat, mert azt a javaslat elfogadását megelőzően rendelkezésre álló időkereten belül nem lehetett volna megvalósítani. Az orvostechnikai eszközök és az </w:t>
      </w:r>
      <w:r w:rsidRPr="006601BC">
        <w:rPr>
          <w:i/>
          <w:iCs/>
          <w:noProof/>
        </w:rPr>
        <w:t>in vitro</w:t>
      </w:r>
      <w:r w:rsidRPr="006601BC">
        <w:rPr>
          <w:noProof/>
        </w:rPr>
        <w:t xml:space="preserve"> diagnosztikai orvostechnikai eszközök tekintetében azonban a javaslat figyelembe veszi az (EU) 2017/745 európai parlamenti és tanácsi rendelet</w:t>
      </w:r>
      <w:r w:rsidRPr="006601BC">
        <w:rPr>
          <w:rStyle w:val="FootnoteReference"/>
          <w:noProof/>
        </w:rPr>
        <w:footnoteReference w:id="17"/>
      </w:r>
      <w:r w:rsidRPr="006601BC">
        <w:rPr>
          <w:noProof/>
        </w:rPr>
        <w:t xml:space="preserve"> és az (EU) 2017/746 európai parlamenti és tanácsi rendelet</w:t>
      </w:r>
      <w:r w:rsidRPr="006601BC">
        <w:rPr>
          <w:rStyle w:val="FootnoteReference"/>
          <w:noProof/>
        </w:rPr>
        <w:footnoteReference w:id="18"/>
      </w:r>
      <w:r w:rsidRPr="006601BC">
        <w:rPr>
          <w:noProof/>
        </w:rPr>
        <w:t xml:space="preserve"> elfogadásának előkészítése során végzett hatásvizsgálatot. A javaslat emellett a tudományos főtanácsadók csoportjának (GCSA)</w:t>
      </w:r>
      <w:r w:rsidRPr="006601BC">
        <w:rPr>
          <w:rStyle w:val="FootnoteReference"/>
          <w:noProof/>
        </w:rPr>
        <w:footnoteReference w:id="19"/>
      </w:r>
      <w:r w:rsidRPr="006601BC">
        <w:rPr>
          <w:noProof/>
        </w:rPr>
        <w:t>, a tudomány és az új technológiák etikai kérdéseit vizsgáló európai csoportnak (EGE) és az Európai Bizottság elnöke Covid19-járvány ellen tett válaszintézkedésekkel foglalkozó különleges tanácsadójának „A világjárványokra való felkészültség és a járványkezelés javítása” című közös szakvéleményében foglalt ajánlásokra is támaszkodik.</w:t>
      </w:r>
    </w:p>
    <w:p w14:paraId="629227EE" w14:textId="77777777" w:rsidR="008E7215" w:rsidRPr="006601BC" w:rsidRDefault="008E7215" w:rsidP="008E7215">
      <w:pPr>
        <w:pStyle w:val="ManualHeading2"/>
        <w:rPr>
          <w:rFonts w:eastAsia="Arial Unicode MS"/>
          <w:noProof/>
          <w:u w:color="000000"/>
          <w:bdr w:val="nil"/>
        </w:rPr>
      </w:pPr>
      <w:bookmarkStart w:id="13" w:name="_Toc86321143"/>
      <w:r w:rsidRPr="006601BC">
        <w:rPr>
          <w:noProof/>
          <w:u w:color="000000"/>
          <w:bdr w:val="nil"/>
        </w:rPr>
        <w:t>•</w:t>
      </w:r>
      <w:r w:rsidRPr="006601BC">
        <w:rPr>
          <w:noProof/>
        </w:rPr>
        <w:tab/>
      </w:r>
      <w:r w:rsidRPr="006601BC">
        <w:rPr>
          <w:noProof/>
          <w:u w:color="000000"/>
          <w:bdr w:val="nil"/>
        </w:rPr>
        <w:t>Alapjogok</w:t>
      </w:r>
      <w:bookmarkEnd w:id="13"/>
    </w:p>
    <w:p w14:paraId="1C12CC00" w14:textId="1B853AD8" w:rsidR="0039291C" w:rsidRPr="006601BC" w:rsidRDefault="008E7215" w:rsidP="0098147A">
      <w:pPr>
        <w:pStyle w:val="Text1"/>
        <w:rPr>
          <w:noProof/>
        </w:rPr>
      </w:pPr>
      <w:r w:rsidRPr="006601BC">
        <w:rPr>
          <w:noProof/>
        </w:rPr>
        <w:t>A javaslat hozzájárul az emberi egészség magas szintű védelmének megvalósításához, valamint az egészségügyi válságok idején az emberi jogok és a polgári szabadságjogok legmagasabb fokú védelméhez az Európai Unió Alapjogi Chartájában (a továbbiakban: a Charta) foglaltaknak megfelelően. Az e rendelet szerinti intézkedések korlátozhatják a vállalkozás szabadságát és a szerződési szabadságot, amelyeket a Charta 16. cikke véd, valamint a tulajdonhoz való jogot, amelyet a Charta 17. cikke véd. E jogok bármilyen korlátozását a Charta 52. cikkének (1) bekezdése értelmében csak törvény írhatja elő, e jogok és szabadságok lényeges tartalmának tiszteletben tartásával, valamint az arányosság elvére figyelemmel.</w:t>
      </w:r>
    </w:p>
    <w:p w14:paraId="1828DD1E" w14:textId="77777777" w:rsidR="0039291C" w:rsidRPr="006601BC" w:rsidRDefault="0010042F" w:rsidP="0098147A">
      <w:pPr>
        <w:pStyle w:val="Text1"/>
        <w:rPr>
          <w:rFonts w:eastAsia="Arial Unicode MS"/>
          <w:noProof/>
        </w:rPr>
      </w:pPr>
      <w:r w:rsidRPr="006601BC">
        <w:rPr>
          <w:noProof/>
        </w:rPr>
        <w:t>Amennyiben az e rendelet alapján végrehajtandó tevékenységek személyes adatok kezelésével járnak, az adatkezelés jogszerűsége a feladataikat a különböző érintett szereplőkre ruházó jogi aktusokon, nem pedig e rendeleten alapul. Bármely ilyen adatkezelésnek meg kell felelnie a személyes adatok védelmére vonatkozó uniós jogszabályoknak, nevezetesen az (EU) 2018/1725 európai parlamenti és tanácsi rendeletnek</w:t>
      </w:r>
      <w:r w:rsidRPr="006601BC">
        <w:rPr>
          <w:rStyle w:val="FootnoteReference"/>
          <w:noProof/>
        </w:rPr>
        <w:footnoteReference w:id="20"/>
      </w:r>
      <w:r w:rsidRPr="006601BC">
        <w:rPr>
          <w:noProof/>
        </w:rPr>
        <w:t xml:space="preserve"> és az (EU) 2016/679 európai parlamenti és tanácsi rendeletnek</w:t>
      </w:r>
      <w:r w:rsidRPr="006601BC">
        <w:rPr>
          <w:rStyle w:val="FootnoteReference"/>
          <w:noProof/>
        </w:rPr>
        <w:footnoteReference w:id="21"/>
      </w:r>
      <w:r w:rsidRPr="006601BC">
        <w:rPr>
          <w:noProof/>
        </w:rPr>
        <w:t>.</w:t>
      </w:r>
    </w:p>
    <w:p w14:paraId="72B77574" w14:textId="77777777" w:rsidR="008E7215" w:rsidRPr="006601BC" w:rsidRDefault="008E7215" w:rsidP="008E7215">
      <w:pPr>
        <w:pStyle w:val="ManualHeading1"/>
        <w:rPr>
          <w:noProof/>
        </w:rPr>
      </w:pPr>
      <w:bookmarkStart w:id="14" w:name="_Toc86321144"/>
      <w:r w:rsidRPr="006601BC">
        <w:rPr>
          <w:noProof/>
        </w:rPr>
        <w:t>4.</w:t>
      </w:r>
      <w:r w:rsidRPr="006601BC">
        <w:rPr>
          <w:noProof/>
        </w:rPr>
        <w:tab/>
        <w:t>KÖLTSÉGVETÉSI VONZATOK</w:t>
      </w:r>
      <w:bookmarkEnd w:id="14"/>
    </w:p>
    <w:p w14:paraId="422CADF6" w14:textId="04B48328" w:rsidR="004E204C" w:rsidRPr="006601BC" w:rsidRDefault="004E204C" w:rsidP="00902C3C">
      <w:pPr>
        <w:pStyle w:val="Text1"/>
        <w:rPr>
          <w:noProof/>
        </w:rPr>
      </w:pPr>
      <w:r w:rsidRPr="006601BC">
        <w:rPr>
          <w:noProof/>
        </w:rPr>
        <w:t>Uniós szintű népegészségügyi szükséghelyzet esetén a végrehajtás szükséges rugalmasságának és gyorsaságának biztosítása érdekében a Tanács a Szükséghelyzeti Támogatási Eszközön</w:t>
      </w:r>
      <w:r w:rsidRPr="006601BC">
        <w:rPr>
          <w:rStyle w:val="FootnoteReference"/>
          <w:noProof/>
          <w:szCs w:val="24"/>
        </w:rPr>
        <w:footnoteReference w:id="22"/>
      </w:r>
      <w:r w:rsidRPr="006601BC">
        <w:rPr>
          <w:noProof/>
        </w:rPr>
        <w:t xml:space="preserve"> keresztül is kezdeményezhetne finanszírozást. Mivel a Szükséghelyzeti Támogatási Eszköz nem rendelkezik éves külön költségvetéssel, aktiválásakor a Bizottság elemezni fogja, hogy szükség van-e a meglévő programokból származó források átcsoportosítására vagy speciális eszközök igénybevételére. Az (EU) 2016/369 tanácsi rendelet 4. cikke értelmében a hozzájárulásokat a tagállamok (és más köz- vagy magánszektorbeli támogatók külső címzett bevétel formájában) az (EU, Euratom) 2018/1046 európai parlamenti és tanácsi rendelet</w:t>
      </w:r>
      <w:r w:rsidRPr="006601BC">
        <w:rPr>
          <w:rStyle w:val="FootnoteReference"/>
          <w:noProof/>
        </w:rPr>
        <w:footnoteReference w:id="23"/>
      </w:r>
      <w:r w:rsidRPr="006601BC">
        <w:rPr>
          <w:noProof/>
        </w:rPr>
        <w:t xml:space="preserve"> 21. cikkének (5) bekezdésével összhangban nyújthatják.</w:t>
      </w:r>
    </w:p>
    <w:p w14:paraId="42DF9DF6" w14:textId="77777777" w:rsidR="008E7215" w:rsidRPr="006601BC" w:rsidRDefault="008E7215" w:rsidP="008E7215">
      <w:pPr>
        <w:pStyle w:val="ManualHeading1"/>
        <w:rPr>
          <w:noProof/>
        </w:rPr>
      </w:pPr>
      <w:bookmarkStart w:id="15" w:name="_Toc86321145"/>
      <w:r w:rsidRPr="006601BC">
        <w:rPr>
          <w:noProof/>
        </w:rPr>
        <w:t>5.</w:t>
      </w:r>
      <w:r w:rsidRPr="006601BC">
        <w:rPr>
          <w:noProof/>
        </w:rPr>
        <w:tab/>
        <w:t>EGYÉB ELEMEK</w:t>
      </w:r>
      <w:bookmarkEnd w:id="15"/>
    </w:p>
    <w:p w14:paraId="17BBC455" w14:textId="77777777" w:rsidR="008E7215" w:rsidRPr="006601BC" w:rsidRDefault="008E7215" w:rsidP="008E7215">
      <w:pPr>
        <w:pStyle w:val="ManualHeading2"/>
        <w:rPr>
          <w:rFonts w:eastAsia="Arial Unicode MS"/>
          <w:noProof/>
          <w:u w:color="000000"/>
          <w:bdr w:val="nil"/>
        </w:rPr>
      </w:pPr>
      <w:bookmarkStart w:id="16" w:name="_Toc86321146"/>
      <w:r w:rsidRPr="006601BC">
        <w:rPr>
          <w:noProof/>
          <w:u w:color="000000"/>
          <w:bdr w:val="nil"/>
        </w:rPr>
        <w:t>•</w:t>
      </w:r>
      <w:r w:rsidRPr="006601BC">
        <w:rPr>
          <w:noProof/>
        </w:rPr>
        <w:tab/>
      </w:r>
      <w:r w:rsidRPr="006601BC">
        <w:rPr>
          <w:noProof/>
          <w:u w:color="000000"/>
          <w:bdr w:val="nil"/>
        </w:rPr>
        <w:t>Végrehajtási tervek, valamint a nyomon követés, az értékelés és a jelentéstétel szabályai</w:t>
      </w:r>
      <w:bookmarkEnd w:id="16"/>
    </w:p>
    <w:p w14:paraId="1967B2D2" w14:textId="77777777" w:rsidR="008E7215" w:rsidRPr="006601BC" w:rsidRDefault="008E7215" w:rsidP="0098147A">
      <w:pPr>
        <w:pStyle w:val="Text1"/>
        <w:rPr>
          <w:noProof/>
        </w:rPr>
      </w:pPr>
      <w:r w:rsidRPr="006601BC">
        <w:rPr>
          <w:noProof/>
        </w:rPr>
        <w:t>A Bizottság 2025-ben, de legkésőbb a vészhelyzeti intézkedések első aktiválását követően felül kívánja vizsgálni a népegészségügyi szükséghelyzet esetén hozott egészségügyi ellenintézkedésekre vonatkozó intézkedések keretét. Az értékelés főbb megállapításait jelentés formájában terjesztik majd az Európai Parlament és a Tanács elé.</w:t>
      </w:r>
    </w:p>
    <w:p w14:paraId="3A43CFC5" w14:textId="77777777" w:rsidR="008E7215" w:rsidRPr="006601BC" w:rsidRDefault="008E7215" w:rsidP="008E7215">
      <w:pPr>
        <w:pStyle w:val="ManualHeading2"/>
        <w:rPr>
          <w:rFonts w:eastAsia="Arial Unicode MS"/>
          <w:noProof/>
          <w:u w:color="000000"/>
          <w:bdr w:val="nil"/>
        </w:rPr>
      </w:pPr>
      <w:bookmarkStart w:id="17" w:name="_Toc86321147"/>
      <w:r w:rsidRPr="006601BC">
        <w:rPr>
          <w:noProof/>
          <w:u w:color="000000"/>
          <w:bdr w:val="nil"/>
        </w:rPr>
        <w:t>•</w:t>
      </w:r>
      <w:r w:rsidRPr="006601BC">
        <w:rPr>
          <w:noProof/>
        </w:rPr>
        <w:tab/>
      </w:r>
      <w:r w:rsidRPr="006601BC">
        <w:rPr>
          <w:noProof/>
          <w:u w:color="000000"/>
          <w:bdr w:val="nil"/>
        </w:rPr>
        <w:t>A javaslat egyes rendelkezéseinek részletes magyarázata</w:t>
      </w:r>
      <w:bookmarkEnd w:id="17"/>
    </w:p>
    <w:p w14:paraId="56869C38" w14:textId="64726DA5" w:rsidR="008E7215" w:rsidRPr="006601BC" w:rsidRDefault="008E7215" w:rsidP="0098147A">
      <w:pPr>
        <w:pStyle w:val="Text1"/>
        <w:rPr>
          <w:noProof/>
        </w:rPr>
      </w:pPr>
      <w:r w:rsidRPr="006601BC">
        <w:rPr>
          <w:noProof/>
        </w:rPr>
        <w:t>Az egészségügyi ellenintézkedések népegészségügyi szükséghelyzet esetén történő biztosításának keretére vonatkozó javaslat a következő kulcsfontosságú intézkedéseket tartalmazza:</w:t>
      </w:r>
    </w:p>
    <w:p w14:paraId="2CD837F2" w14:textId="4B48CDA8" w:rsidR="0098147A" w:rsidRPr="006601BC" w:rsidRDefault="0098147A" w:rsidP="0098147A">
      <w:pPr>
        <w:pStyle w:val="Point1"/>
        <w:rPr>
          <w:rFonts w:eastAsia="Times New Roman"/>
          <w:noProof/>
          <w:szCs w:val="24"/>
        </w:rPr>
      </w:pPr>
      <w:r w:rsidRPr="006601BC">
        <w:rPr>
          <w:noProof/>
        </w:rPr>
        <w:t>●</w:t>
      </w:r>
      <w:r w:rsidRPr="006601BC">
        <w:rPr>
          <w:noProof/>
        </w:rPr>
        <w:tab/>
        <w:t>egészségügyi válságtanács létrehozása annak biztosítására, hogy népegészségügyi szükséghelyzet esetén uniós szinten összehangolt és integrált megközelítést alkalmazzanak a válság szempontjából releváns egészségügyi ellenintézkedésekre vonatkozóan;</w:t>
      </w:r>
    </w:p>
    <w:p w14:paraId="43068A49" w14:textId="4A719248" w:rsidR="0098147A" w:rsidRPr="006601BC" w:rsidRDefault="0098147A" w:rsidP="0098147A">
      <w:pPr>
        <w:pStyle w:val="Point1"/>
        <w:rPr>
          <w:noProof/>
          <w:szCs w:val="24"/>
        </w:rPr>
      </w:pPr>
      <w:r w:rsidRPr="006601BC">
        <w:rPr>
          <w:noProof/>
        </w:rPr>
        <w:t>●</w:t>
      </w:r>
      <w:r w:rsidRPr="006601BC">
        <w:rPr>
          <w:noProof/>
        </w:rPr>
        <w:tab/>
        <w:t>a monitoringra, a vészhelyzeti finanszírozás aktiválására, a válság szempontjából releváns egészségügyi ellenintézkedések és nyersanyagok beszerzésére és megvásárlására szolgáló mechanizmusok létrehozása, beleértve az ellátási láncok és a gyártók gyártási kapacitásának gyors és megbízható értékelését, lehetőség szerint az előzetes beszerzési megállapodás vagy innovációs partnerség megkötését megelőző helyszíni látogatások révén is;</w:t>
      </w:r>
    </w:p>
    <w:p w14:paraId="0205AE73" w14:textId="338A5AD8" w:rsidR="0098147A" w:rsidRPr="006601BC" w:rsidRDefault="0098147A" w:rsidP="0098147A">
      <w:pPr>
        <w:pStyle w:val="Point1"/>
        <w:rPr>
          <w:rFonts w:eastAsia="Times New Roman"/>
          <w:noProof/>
          <w:szCs w:val="24"/>
        </w:rPr>
      </w:pPr>
      <w:r w:rsidRPr="006601BC">
        <w:rPr>
          <w:noProof/>
        </w:rPr>
        <w:t>●</w:t>
      </w:r>
      <w:r w:rsidRPr="006601BC">
        <w:rPr>
          <w:noProof/>
        </w:rPr>
        <w:tab/>
        <w:t>az EU FAB létesítményhálózat aktiválása annak érdekében, hogy rendelkezésre bocsássák a szükséghelyzetekre tartalékolt sürgős gyártási kapacitásokat a válság szempontjából releváns egészségügyi ellenintézkedések és nyersanyagok biztosítására;</w:t>
      </w:r>
    </w:p>
    <w:p w14:paraId="1326A0E3" w14:textId="19F8B953" w:rsidR="0098147A" w:rsidRPr="006601BC" w:rsidRDefault="0098147A" w:rsidP="0098147A">
      <w:pPr>
        <w:pStyle w:val="Point1"/>
        <w:rPr>
          <w:rFonts w:eastAsia="Times New Roman"/>
          <w:noProof/>
          <w:szCs w:val="24"/>
        </w:rPr>
      </w:pPr>
      <w:r w:rsidRPr="006601BC">
        <w:rPr>
          <w:noProof/>
        </w:rPr>
        <w:t>●</w:t>
      </w:r>
      <w:r w:rsidRPr="006601BC">
        <w:rPr>
          <w:noProof/>
        </w:rPr>
        <w:tab/>
        <w:t>szükséghelyzeti kutatási és innovációs tervek aktiválása a tagállamokkal folytatott párbeszédek nyomán, valamint az egész Unióra kiterjedő klinikai vizsgálati hálózatok, és az adatok gyors megosztását szolgáló rendelkezések és platformok használata; és</w:t>
      </w:r>
    </w:p>
    <w:p w14:paraId="48234F91" w14:textId="0A3A1C62" w:rsidR="005A2BD3" w:rsidRPr="006601BC" w:rsidRDefault="0098147A" w:rsidP="0098147A">
      <w:pPr>
        <w:pStyle w:val="Point1"/>
        <w:rPr>
          <w:rFonts w:eastAsia="Times New Roman"/>
          <w:noProof/>
          <w:szCs w:val="24"/>
        </w:rPr>
      </w:pPr>
      <w:r w:rsidRPr="006601BC">
        <w:rPr>
          <w:noProof/>
        </w:rPr>
        <w:t>●</w:t>
      </w:r>
      <w:r w:rsidRPr="006601BC">
        <w:rPr>
          <w:noProof/>
        </w:rPr>
        <w:tab/>
        <w:t>a válság szempontjából releváns egészségügyi ellenintézkedések gyártására vonatkozó intézkedések, beleértve a válság szempontjából releváns egészségügyi ellenintézkedések gyártására és a gyártóüzemekre, a nyersanyagokra, a fogyóeszközökre, az eszközökre és berendezésekre, valamint az infrastruktúrára vonatkozó nyilvántartás összeállítását, továbbá az ilyen ellenintézkedések EU-n belüli gyártásának a növelését célzó intézkedéseket is.</w:t>
      </w:r>
    </w:p>
    <w:p w14:paraId="295DB01D" w14:textId="55E04369" w:rsidR="0098147A" w:rsidRPr="006601BC" w:rsidRDefault="005A2BD3" w:rsidP="0098147A">
      <w:pPr>
        <w:pStyle w:val="Point1"/>
        <w:rPr>
          <w:noProof/>
        </w:rPr>
      </w:pPr>
      <w:r w:rsidRPr="006601BC">
        <w:rPr>
          <w:noProof/>
        </w:rPr>
        <w:br w:type="page"/>
      </w:r>
    </w:p>
    <w:p w14:paraId="4B050B49" w14:textId="58F8C7D8" w:rsidR="00A714E7" w:rsidRDefault="00A714E7" w:rsidP="00A714E7">
      <w:pPr>
        <w:pStyle w:val="Rfrenceinterinstitutionnelle"/>
        <w:rPr>
          <w:noProof/>
        </w:rPr>
      </w:pPr>
      <w:r w:rsidRPr="00A714E7">
        <w:t>2021/0294 (NLE)</w:t>
      </w:r>
    </w:p>
    <w:p w14:paraId="59E62F58" w14:textId="0112D86A" w:rsidR="00D96A4B" w:rsidRPr="006601BC" w:rsidRDefault="006601BC" w:rsidP="006601BC">
      <w:pPr>
        <w:pStyle w:val="Statut"/>
        <w:rPr>
          <w:noProof/>
        </w:rPr>
      </w:pPr>
      <w:r w:rsidRPr="006601BC">
        <w:rPr>
          <w:noProof/>
        </w:rPr>
        <w:t>Javaslat</w:t>
      </w:r>
    </w:p>
    <w:p w14:paraId="6EB333BC" w14:textId="35409F80" w:rsidR="00241DB6" w:rsidRPr="006601BC" w:rsidRDefault="006601BC" w:rsidP="006601BC">
      <w:pPr>
        <w:pStyle w:val="Typedudocument"/>
        <w:rPr>
          <w:noProof/>
        </w:rPr>
      </w:pPr>
      <w:r w:rsidRPr="006601BC">
        <w:rPr>
          <w:noProof/>
        </w:rPr>
        <w:t>A TANÁCS RENDELETE</w:t>
      </w:r>
    </w:p>
    <w:p w14:paraId="6BD49B4C" w14:textId="279C6FB6" w:rsidR="00D96A4B" w:rsidRPr="006601BC" w:rsidRDefault="006601BC" w:rsidP="006601BC">
      <w:pPr>
        <w:pStyle w:val="Titreobjet"/>
        <w:rPr>
          <w:noProof/>
        </w:rPr>
      </w:pPr>
      <w:r w:rsidRPr="006601BC">
        <w:rPr>
          <w:noProof/>
        </w:rPr>
        <w:t>az uniós szintű népegészségügyi szükséghelyzet esetén a válság szempontjából releváns egészségügyi ellenintézkedésekkel való ellátás biztosítását szolgáló intézkedések keretéről</w:t>
      </w:r>
    </w:p>
    <w:p w14:paraId="565690F1" w14:textId="77777777" w:rsidR="008E7215" w:rsidRPr="006601BC" w:rsidRDefault="008E7215" w:rsidP="008E7215">
      <w:pPr>
        <w:pStyle w:val="Institutionquiagit"/>
        <w:rPr>
          <w:noProof/>
        </w:rPr>
      </w:pPr>
      <w:r w:rsidRPr="006601BC">
        <w:rPr>
          <w:noProof/>
        </w:rPr>
        <w:t>AZ EURÓPAI UNIÓ TANÁCSA,</w:t>
      </w:r>
    </w:p>
    <w:p w14:paraId="520361C4" w14:textId="77777777" w:rsidR="008E7215" w:rsidRPr="006601BC" w:rsidRDefault="008E7215" w:rsidP="008E7215">
      <w:pPr>
        <w:rPr>
          <w:noProof/>
        </w:rPr>
      </w:pPr>
      <w:r w:rsidRPr="006601BC">
        <w:rPr>
          <w:noProof/>
        </w:rPr>
        <w:t>tekintettel az Európai Unió működéséről szóló szerződésre és különösen annak 122. cikke (1) bekezdésére,</w:t>
      </w:r>
    </w:p>
    <w:p w14:paraId="66CA6B7A" w14:textId="77777777" w:rsidR="008E7215" w:rsidRPr="006601BC" w:rsidRDefault="008E7215" w:rsidP="008E7215">
      <w:pPr>
        <w:rPr>
          <w:noProof/>
        </w:rPr>
      </w:pPr>
      <w:r w:rsidRPr="006601BC">
        <w:rPr>
          <w:noProof/>
        </w:rPr>
        <w:t>tekintettel az Európai Bizottság javaslatára,</w:t>
      </w:r>
    </w:p>
    <w:p w14:paraId="7E8A07E6" w14:textId="51040DFC" w:rsidR="008E7215" w:rsidRPr="006601BC" w:rsidRDefault="00136C11" w:rsidP="008E7215">
      <w:pPr>
        <w:rPr>
          <w:noProof/>
        </w:rPr>
      </w:pPr>
      <w:r w:rsidRPr="006601BC">
        <w:rPr>
          <w:noProof/>
        </w:rPr>
        <w:t xml:space="preserve">mivel: </w:t>
      </w:r>
    </w:p>
    <w:p w14:paraId="105E07EE" w14:textId="68DA7065" w:rsidR="008E7215" w:rsidRPr="006601BC" w:rsidRDefault="00BB68C4" w:rsidP="00BB68C4">
      <w:pPr>
        <w:pStyle w:val="ManualConsidrant"/>
        <w:rPr>
          <w:noProof/>
        </w:rPr>
      </w:pPr>
      <w:r w:rsidRPr="00BB68C4">
        <w:t>(1)</w:t>
      </w:r>
      <w:r w:rsidRPr="00BB68C4">
        <w:tab/>
      </w:r>
      <w:r w:rsidR="00CA47B4" w:rsidRPr="006601BC">
        <w:rPr>
          <w:noProof/>
        </w:rPr>
        <w:t xml:space="preserve">A Bizottság az adott helyzetre reagáló, eseti intézkedéseket hozott a Covid19-világjárvány terjedésének korlátozása érdekében, és az Unió különösen a Covid19-világjárvány korai szakaszában nem volt kellően felkészülve arra, hogy biztosítsa a válság szempontjából releváns egészségügyi ellenintézkedések hatékony fejlesztését, gyártását, beszerzését és elosztását. A világjárvány rávilágított arra is, hogy a kutatási tevékenységek és a gyártási kapacitások felügyelete nem megfelelő, és hogy a globális ellátási láncok sebezhetőek. </w:t>
      </w:r>
    </w:p>
    <w:p w14:paraId="0262F53B" w14:textId="0B5C23EA" w:rsidR="00DF2018" w:rsidRPr="006601BC" w:rsidRDefault="00BB68C4" w:rsidP="00BB68C4">
      <w:pPr>
        <w:pStyle w:val="ManualConsidrant"/>
        <w:rPr>
          <w:rStyle w:val="Aucun"/>
          <w:noProof/>
        </w:rPr>
      </w:pPr>
      <w:r w:rsidRPr="00BB68C4">
        <w:rPr>
          <w:rStyle w:val="Aucun"/>
        </w:rPr>
        <w:t>(2)</w:t>
      </w:r>
      <w:r w:rsidRPr="00BB68C4">
        <w:rPr>
          <w:rStyle w:val="Aucun"/>
        </w:rPr>
        <w:tab/>
      </w:r>
      <w:r w:rsidR="006B424F" w:rsidRPr="006601BC">
        <w:rPr>
          <w:noProof/>
        </w:rPr>
        <w:t>Mindazonáltal a szerzett tapasztalatok azt mutatták, hogy szükség van</w:t>
      </w:r>
      <w:r w:rsidR="006B424F" w:rsidRPr="006601BC">
        <w:rPr>
          <w:rStyle w:val="Aucun"/>
          <w:noProof/>
        </w:rPr>
        <w:t xml:space="preserve"> </w:t>
      </w:r>
      <w:r w:rsidR="006B424F" w:rsidRPr="006601BC">
        <w:rPr>
          <w:noProof/>
        </w:rPr>
        <w:t xml:space="preserve">egy olyan keretre, amellyel népegészségügyi szükséghelyzet esetén biztosítható az intézkedésekhez szükséges, a válság szempontjából releváns egészségügyi ellenintézkedésekkel való ellátás annak érdekében, </w:t>
      </w:r>
      <w:r w:rsidR="006B424F" w:rsidRPr="006601BC">
        <w:rPr>
          <w:rStyle w:val="Aucun"/>
          <w:noProof/>
        </w:rPr>
        <w:t>hogy az Unió a gazdasági helyzetnek megfelelően meghozhassa</w:t>
      </w:r>
      <w:r w:rsidR="006B424F" w:rsidRPr="006601BC">
        <w:rPr>
          <w:noProof/>
        </w:rPr>
        <w:t xml:space="preserve"> azokat a szükséges intézkedéseket, amelyekkel népegészségügyi szükséghelyzet esetén biztosíthatja a válság szempontjából releváns egészségügyi ellenintézkedések kellő mennyiségben és kellő időben történő rendelkezésre állását és rendelkezésre bocsátását.</w:t>
      </w:r>
    </w:p>
    <w:p w14:paraId="29667BA7" w14:textId="0341B8D3" w:rsidR="008E7215" w:rsidRPr="006601BC" w:rsidRDefault="00BB68C4" w:rsidP="00BB68C4">
      <w:pPr>
        <w:pStyle w:val="ManualConsidrant"/>
        <w:rPr>
          <w:noProof/>
        </w:rPr>
      </w:pPr>
      <w:r w:rsidRPr="00BB68C4">
        <w:t>(3)</w:t>
      </w:r>
      <w:r w:rsidRPr="00BB68C4">
        <w:tab/>
      </w:r>
      <w:r w:rsidR="008E7215" w:rsidRPr="006601BC">
        <w:rPr>
          <w:noProof/>
        </w:rPr>
        <w:t xml:space="preserve">Népegészségügyi szükséghelyzet uniós szintű elismerése esetén a Tanács a Bizottság javaslatára dönthet úgy, hogy aktiválja az intézkedési keretet, amennyiben ezek az intézkedések megfelelnek a gazdasági helyzetnek. Az ez kereten belüli intézkedések alkalmazását 6 hónapra kell korlátozni, amely időszakot követően az intézkedések a helyzetre tekintettel meghosszabbíthatók. </w:t>
      </w:r>
    </w:p>
    <w:p w14:paraId="5BA27762" w14:textId="4CF58D7C" w:rsidR="00DF2018" w:rsidRPr="006601BC" w:rsidRDefault="00BB68C4" w:rsidP="00BB68C4">
      <w:pPr>
        <w:pStyle w:val="ManualConsidrant"/>
        <w:rPr>
          <w:noProof/>
        </w:rPr>
      </w:pPr>
      <w:r w:rsidRPr="00BB68C4">
        <w:t>(4)</w:t>
      </w:r>
      <w:r w:rsidRPr="00BB68C4">
        <w:tab/>
      </w:r>
      <w:r w:rsidR="001D5A6C" w:rsidRPr="006601BC">
        <w:rPr>
          <w:noProof/>
        </w:rPr>
        <w:t xml:space="preserve">Az intézkedési keretnek magában kell foglalnia a válság szempontjából releváns egészségügyi ellenintézkedésekkel foglalkozó egészségügyi válságtanács létrehozását a megközelítések uniós szintű összehangolásának és integrációjának biztosítása érdekében. Ez különösen fontos, tekintettel a felelősségi köröknek a nemzeti és uniós szint közötti megoszlására. Az egészségügyi válságtanács támogatása érdekében a Bizottságot fel kell jogosítani arra, hogy alcsoportokat állítson fel, szükség esetén az ipari aspektusok tekintetében is. </w:t>
      </w:r>
    </w:p>
    <w:p w14:paraId="02CAC08C" w14:textId="0DB0A6A4" w:rsidR="008E7215" w:rsidRPr="006601BC" w:rsidRDefault="00BB68C4" w:rsidP="00BB68C4">
      <w:pPr>
        <w:pStyle w:val="ManualConsidrant"/>
        <w:rPr>
          <w:noProof/>
        </w:rPr>
      </w:pPr>
      <w:r w:rsidRPr="00BB68C4">
        <w:t>(5)</w:t>
      </w:r>
      <w:r w:rsidRPr="00BB68C4">
        <w:tab/>
      </w:r>
      <w:r w:rsidR="001A2690" w:rsidRPr="006601BC">
        <w:rPr>
          <w:rStyle w:val="Aucun"/>
          <w:noProof/>
        </w:rPr>
        <w:t>A Bizottságnak gondoskodnia kell a válság szempontjából releváns egészségügyi ellenintézkedések és nyersanyagok jegyzékének összeállításáról, valamint azok</w:t>
      </w:r>
      <w:r w:rsidR="001A2690" w:rsidRPr="006601BC">
        <w:rPr>
          <w:noProof/>
        </w:rPr>
        <w:t xml:space="preserve"> kínálatának és keresletének nyomon követéséről. Ez átfogó képet biztosít a válság szempontjából releváns, szükséges egészségügyi ellenintézkedésekről, továbbá arról, hogy népegészségügyi szükséghelyzetek esetén az Unió mennyire képes kielégíteni a felmerülő igényeket, valamint iránymutatást nyújt a vonatkozó döntéshozatalhoz. </w:t>
      </w:r>
    </w:p>
    <w:p w14:paraId="37497B73" w14:textId="5B2AA2B3" w:rsidR="003F610D" w:rsidRPr="006601BC" w:rsidRDefault="00BB68C4" w:rsidP="00BB68C4">
      <w:pPr>
        <w:pStyle w:val="ManualConsidrant"/>
        <w:rPr>
          <w:noProof/>
        </w:rPr>
      </w:pPr>
      <w:r w:rsidRPr="00BB68C4">
        <w:t>(6)</w:t>
      </w:r>
      <w:r w:rsidRPr="00BB68C4">
        <w:tab/>
      </w:r>
      <w:r w:rsidR="003F610D" w:rsidRPr="006601BC">
        <w:rPr>
          <w:noProof/>
        </w:rPr>
        <w:t xml:space="preserve">Tekintettel az Európai Gyógyszerügynökség (EMA) megbízatására és a gyógyszerek, orvostechnikai eszközök és </w:t>
      </w:r>
      <w:r w:rsidR="003F610D" w:rsidRPr="006601BC">
        <w:rPr>
          <w:i/>
          <w:iCs/>
          <w:noProof/>
        </w:rPr>
        <w:t>in vitro</w:t>
      </w:r>
      <w:r w:rsidR="003F610D" w:rsidRPr="006601BC">
        <w:rPr>
          <w:noProof/>
        </w:rPr>
        <w:t xml:space="preserve"> diagnosztikai orvostechnikai eszközök potenciális és tényleges hiányának nyomon követésében és enyhítésében betöltött szerepére – beleértve a kritikus fontosságú gyógyszerek és orvostechnikai eszközök jegyzékének összeállítását az (EU) .../... európai parlamenti és tanácsi rendelet [EMA-rendelet (COM(2020)725)]</w:t>
      </w:r>
      <w:r w:rsidR="003F610D" w:rsidRPr="006601BC">
        <w:rPr>
          <w:rStyle w:val="FootnoteReference"/>
          <w:noProof/>
        </w:rPr>
        <w:footnoteReference w:id="24"/>
      </w:r>
      <w:r w:rsidR="003F610D" w:rsidRPr="006601BC">
        <w:rPr>
          <w:noProof/>
        </w:rPr>
        <w:t xml:space="preserve"> alapján –, az e rendeletben előírt intézkedések végrehajtása érdekében biztosítani kell a Bizottság és az EMA közötti szoros együttműködést és koordinációt. Amennyiben népegészségügyi szükséghelyzet esetén élnek az egészségügyi válságtanács felállításának lehetőségével, az </w:t>
      </w:r>
      <w:r w:rsidR="003F610D" w:rsidRPr="006601BC">
        <w:rPr>
          <w:noProof/>
          <w:color w:val="1F497D"/>
        </w:rPr>
        <w:t>(EU) .../... rendelet [EMA-rendelet]</w:t>
      </w:r>
      <w:r w:rsidR="003F610D" w:rsidRPr="006601BC">
        <w:rPr>
          <w:noProof/>
        </w:rPr>
        <w:t xml:space="preserve"> alapján létrehozott egészségügyi válságtanácsba megfigyelőként meg kell hívni az orvostechnikai eszközök hiányával foglalkozó ügyvezető irányítócsoport egy képviselőjét, a szükséghelyzeti munkacsoport egy képviselőjét, valamint a gyógyszerhiánnyal és gyógyszerbiztonsággal foglalkozó ügyvezető irányítócsoport egy képviselőjét</w:t>
      </w:r>
      <w:r w:rsidR="003F610D" w:rsidRPr="006601BC">
        <w:rPr>
          <w:i/>
          <w:noProof/>
        </w:rPr>
        <w:t>.</w:t>
      </w:r>
      <w:r w:rsidR="003F610D" w:rsidRPr="006601BC">
        <w:rPr>
          <w:noProof/>
        </w:rPr>
        <w:t xml:space="preserve"> Ennek ki kell egészítenie az adatok és információk zökkenőmentes uniós szintű továbbítását népegészségügyi szükséghelyzetek esetén, többek között integrált informatikai rendszereken keresztül.</w:t>
      </w:r>
    </w:p>
    <w:p w14:paraId="1911B449" w14:textId="2695C81C" w:rsidR="001F3C4F" w:rsidRPr="006601BC" w:rsidRDefault="00BB68C4" w:rsidP="00BB68C4">
      <w:pPr>
        <w:pStyle w:val="ManualConsidrant"/>
        <w:rPr>
          <w:noProof/>
        </w:rPr>
      </w:pPr>
      <w:r w:rsidRPr="00BB68C4">
        <w:t>(7)</w:t>
      </w:r>
      <w:r w:rsidRPr="00BB68C4">
        <w:tab/>
      </w:r>
      <w:r w:rsidR="001F3C4F" w:rsidRPr="006601BC">
        <w:rPr>
          <w:noProof/>
        </w:rPr>
        <w:t>Az intézkedéseknek figyelembe kell venniük a határokon át terjedő súlyos egészségügyi veszélyekről és az ECDC kibővített megbízatásáról szóló uniós jogi aktusok – az (EU) .../... európai parlamenti és tanácsi rendelet [SCBTH-rendelet (COM(2020)727)]</w:t>
      </w:r>
      <w:r w:rsidR="001F3C4F" w:rsidRPr="006601BC">
        <w:rPr>
          <w:rStyle w:val="FootnoteReference"/>
          <w:noProof/>
        </w:rPr>
        <w:footnoteReference w:id="25"/>
      </w:r>
      <w:r w:rsidR="001F3C4F" w:rsidRPr="006601BC">
        <w:rPr>
          <w:noProof/>
        </w:rPr>
        <w:t>, illetve az (EU) .../... európai parlamenti és tanácsi rendelet [ECDC-rendelet (COM(2020)726)]</w:t>
      </w:r>
      <w:r w:rsidR="001F3C4F" w:rsidRPr="006601BC">
        <w:rPr>
          <w:rStyle w:val="FootnoteReference"/>
          <w:noProof/>
        </w:rPr>
        <w:footnoteReference w:id="26"/>
      </w:r>
      <w:r w:rsidR="001F3C4F" w:rsidRPr="006601BC">
        <w:rPr>
          <w:noProof/>
        </w:rPr>
        <w:t xml:space="preserve"> – által létrehozott struktúrákat és mechanizmusokat is annak érdekében, hogy biztosítsák az Egészségügyi Biztonsági Bizottságon és a népegészségügyi szükséghelyzetekkel foglalkozó tanácsadó bizottságon belüli reagálási koordinációt, figyelembe véve az ECDC járványügyi felügyelettel és monitoringgal kapcsolatos észrevételeit. Az egészségügyi válságtanács üléseire meg kell hívni az Európai Betegségmegelőzési és Járványvédelmi Központ igazgatóját és az</w:t>
      </w:r>
      <w:r w:rsidR="001F3C4F" w:rsidRPr="006601BC">
        <w:rPr>
          <w:i/>
          <w:noProof/>
        </w:rPr>
        <w:t xml:space="preserve"> </w:t>
      </w:r>
      <w:r w:rsidR="001F3C4F" w:rsidRPr="006601BC">
        <w:rPr>
          <w:noProof/>
          <w:color w:val="1F497D"/>
        </w:rPr>
        <w:t>(EU) .../... rendelet [SCBTH-rendelet]</w:t>
      </w:r>
      <w:r w:rsidR="001F3C4F" w:rsidRPr="006601BC">
        <w:rPr>
          <w:noProof/>
        </w:rPr>
        <w:t xml:space="preserve"> alapján létrehozott, a népegészségügyi szükséghelyzetekkel foglalkozó tanácsadó bizottság egy-egy képviselőjét. Az Egészségügyi Biztonsági Bizottság egy tagját megfigyelőként meg kell hívni az egészségügyi válságtanácsba. </w:t>
      </w:r>
    </w:p>
    <w:p w14:paraId="573E2644" w14:textId="4765C726" w:rsidR="008E7215" w:rsidRPr="006601BC" w:rsidRDefault="00BB68C4" w:rsidP="00BB68C4">
      <w:pPr>
        <w:pStyle w:val="ManualConsidrant"/>
        <w:rPr>
          <w:noProof/>
        </w:rPr>
      </w:pPr>
      <w:r w:rsidRPr="00BB68C4">
        <w:t>(8)</w:t>
      </w:r>
      <w:r w:rsidRPr="00BB68C4">
        <w:tab/>
      </w:r>
      <w:r w:rsidR="008336DD" w:rsidRPr="006601BC">
        <w:rPr>
          <w:noProof/>
        </w:rPr>
        <w:t xml:space="preserve">A válság szempontjából releváns egészségügyi ellenintézkedések fejlesztési szakaszában bekövetkező késedelmek csökkentése érdekében biztosítani kell a szükséghelyzeti kutatási és innovációs tervek aktiválását, valamint a klinikai vizsgálati hálózatok rendeltetésének módosítását és aktiválását, továbbá klinikai vizsgálatok elvégzését. A kutatási és innovációs tevékenységekhez igénybe lehet venni az európai egészségügyi adattér digitális infrastruktúráját, valamint az európai nyílt tudományosadat-felhő és más hozzáférhető uniós digitális platformok keretében működő platformokat, hogy gyors elemzés céljából hozzá lehessen férni a – valós körülmények között szerzett – adatokhoz. Gondoskodni kell arról, hogy a Bizottság szorosan együttműködjön az ECDC-vel és az EMA-val – mint az új és az újrapozicionált gyógyszerekkel kapcsolatos tudományos tanácsadásért és tudományos értékelésért felelős ügynökséggel – egyrészt e kérdéseket, valamint a gyógyszerek engedélyezésével kapcsolatos szabályozási szempontokat illetően is, ideértve az engedélyezett gyógyszerek új gyártási helyszíneinek a létrehozását, másrészt a klinikai vizsgálatok és az általuk az új vagy újrapozicionált gyógyszerek engedélyezéséhez szerzett bizonyítékok elfogadhatóságának biztosítása érdekében. Ennek eredményeképpen lehetővé kellene válnia a kulcsfontosságú szereplők és az érintett infrastruktúra számára, hogy népegészségügyi szükséghelyzetek idején azonnal működőképesek legyenek, csökkentve ezáltal a késedelmeket. </w:t>
      </w:r>
    </w:p>
    <w:p w14:paraId="6967A445" w14:textId="387A5042" w:rsidR="000D00D5" w:rsidRPr="006601BC" w:rsidRDefault="00BB68C4" w:rsidP="00BB68C4">
      <w:pPr>
        <w:pStyle w:val="ManualConsidrant"/>
        <w:rPr>
          <w:noProof/>
        </w:rPr>
      </w:pPr>
      <w:r w:rsidRPr="00BB68C4">
        <w:t>(9)</w:t>
      </w:r>
      <w:r w:rsidRPr="00BB68C4">
        <w:tab/>
      </w:r>
      <w:r w:rsidR="00EB7E2E" w:rsidRPr="006601BC">
        <w:rPr>
          <w:noProof/>
        </w:rPr>
        <w:t>A válság szempontjából releváns egészségügyi ellenintézkedésekre és nyersanyagokra vonatkozóan hatékony közbeszerzési eljárásokat kell biztosítani, és a Bizottságot fel kell hatalmazni arra, hogy az (EU, Euratom) 2018/1046 európai parlamenti és tanácsi rendelet</w:t>
      </w:r>
      <w:r w:rsidR="00EB7E2E" w:rsidRPr="006601BC">
        <w:rPr>
          <w:rStyle w:val="FootnoteReference"/>
          <w:noProof/>
        </w:rPr>
        <w:footnoteReference w:id="27"/>
      </w:r>
      <w:r w:rsidR="00EB7E2E" w:rsidRPr="006601BC">
        <w:rPr>
          <w:noProof/>
        </w:rPr>
        <w:t xml:space="preserve"> és az (EU) 2016/369 tanácsi rendelet</w:t>
      </w:r>
      <w:r w:rsidR="00EB7E2E" w:rsidRPr="006601BC">
        <w:rPr>
          <w:rStyle w:val="FootnoteReference"/>
          <w:noProof/>
        </w:rPr>
        <w:footnoteReference w:id="28"/>
      </w:r>
      <w:r w:rsidR="00EB7E2E" w:rsidRPr="006601BC">
        <w:rPr>
          <w:noProof/>
        </w:rPr>
        <w:t xml:space="preserve"> szerinti szabályok és eljárások alkalmazásával a tagállamok nevében központi közbeszerzési szerveként járjon el. </w:t>
      </w:r>
    </w:p>
    <w:p w14:paraId="064EDF11" w14:textId="2D4E8613" w:rsidR="008E7215" w:rsidRPr="006601BC" w:rsidRDefault="00BB68C4" w:rsidP="00BB68C4">
      <w:pPr>
        <w:pStyle w:val="ManualConsidrant"/>
        <w:rPr>
          <w:noProof/>
        </w:rPr>
      </w:pPr>
      <w:r w:rsidRPr="00BB68C4">
        <w:t>(10)</w:t>
      </w:r>
      <w:r w:rsidRPr="00BB68C4">
        <w:tab/>
      </w:r>
      <w:r w:rsidR="00AE653E" w:rsidRPr="006601BC">
        <w:rPr>
          <w:noProof/>
        </w:rPr>
        <w:t xml:space="preserve">Ezeket a szabályokat és eljárásokat bármely szükséges előkészítő intézkedés támogathatja, ideértve a válság szempontjából releváns egészségügyi ellenintézkedések gyártóüzemeinek telephelyén tett helyszíni látogatásokat is. Ennek lehetővé kell tennie a válság szempontjából releváns egészségügyi ellenintézkedések gyors beszerzését és megvásárlását az EU egészében, és elő kell mozdítania a hozzáférhetőséget a tagállamokban azzal az elsődleges céllal, hogy az ellenintézkedéseket a szükséges mennyiségben és minden szükséges garanciával a lehető leggyorsabban biztosítsák.  </w:t>
      </w:r>
    </w:p>
    <w:p w14:paraId="1AD032EB" w14:textId="401629CD" w:rsidR="008E7215" w:rsidRPr="006601BC" w:rsidRDefault="00BB68C4" w:rsidP="00BB68C4">
      <w:pPr>
        <w:pStyle w:val="ManualConsidrant"/>
        <w:rPr>
          <w:noProof/>
        </w:rPr>
      </w:pPr>
      <w:r w:rsidRPr="00BB68C4">
        <w:t>(11)</w:t>
      </w:r>
      <w:r w:rsidRPr="00BB68C4">
        <w:tab/>
      </w:r>
      <w:r w:rsidR="00870295" w:rsidRPr="006601BC">
        <w:rPr>
          <w:noProof/>
        </w:rPr>
        <w:t xml:space="preserve">Uniós szintű népegészségügyi szükséghelyzet idején a válság szempontjából releváns egészségügyi ellenintézkedések iránti kereslet nagyobb lehet, mint a kínálat. Ilyen helyzetben alapvető fontosságú a válság szempontjából releváns egészségügyi ellenintézkedések gyártásának gyors felfuttatása, és a Bizottságot meg kell bízni azzal, hogy aktiválja a válság szempontjából releváns egészségügyi ellenintézkedések előállításához szükséges uniós gyártási pluszkapacitásokat, ideértve az „EU FAB” keretében a szükséges nyersanyagok és kiegészítő eszközök reziliens ellátási láncainak a biztosítását is. Amint azt a Bizottság a </w:t>
      </w:r>
      <w:r w:rsidR="00870295" w:rsidRPr="006601BC">
        <w:rPr>
          <w:noProof/>
          <w:color w:val="444444"/>
          <w:szCs w:val="24"/>
        </w:rPr>
        <w:t>„HERA Inkubátor: közös felkészülés a Covid19 variánsainak fenyegetésére”</w:t>
      </w:r>
      <w:r w:rsidR="00870295" w:rsidRPr="006601BC">
        <w:rPr>
          <w:noProof/>
        </w:rPr>
        <w:t xml:space="preserve"> című közleményében</w:t>
      </w:r>
      <w:r w:rsidR="00870295" w:rsidRPr="006601BC">
        <w:rPr>
          <w:rStyle w:val="FootnoteReference"/>
          <w:noProof/>
        </w:rPr>
        <w:footnoteReference w:id="29"/>
      </w:r>
      <w:r w:rsidR="00870295" w:rsidRPr="006601BC">
        <w:rPr>
          <w:noProof/>
        </w:rPr>
        <w:t xml:space="preserve"> is felvázolta, az „EU FAB” projekt az oltóanyag- és gyógyszergyártás európai szintű, egyetlen és/vagy többfelhasználós, egyetlen és/vagy több technológiát alkalmazó gyártási kapacitásainak hálózata.</w:t>
      </w:r>
    </w:p>
    <w:p w14:paraId="403E2D80" w14:textId="0D48E216" w:rsidR="00615E6D" w:rsidRPr="006601BC" w:rsidRDefault="00BB68C4" w:rsidP="00BB68C4">
      <w:pPr>
        <w:pStyle w:val="ManualConsidrant"/>
        <w:rPr>
          <w:noProof/>
        </w:rPr>
      </w:pPr>
      <w:r w:rsidRPr="00BB68C4">
        <w:t>(12)</w:t>
      </w:r>
      <w:r w:rsidRPr="00BB68C4">
        <w:tab/>
      </w:r>
      <w:r w:rsidR="008E7215" w:rsidRPr="006601BC">
        <w:rPr>
          <w:noProof/>
        </w:rPr>
        <w:t>Megfelelő szellemi tulajdonjogi eszközökre van szükség annak a kockázatnak a csökkentése érdekében, hogy népegészségügyi szükséghelyzet idején a gyártók felhagyjanak a fejlesztési erőfeszítésekkel vagy a válság szempontjából releváns egészségügyi ellenintézkedésekkel való ellátásban zavar lépjen fel, különösen akkor, ha a hatóságok pénzügyi támogatást nyújtottak az ilyen ellenintézkedések fejlesztéséhez és gyártásához. A Bizottságnak ezért képesnek kell lennie arra, hogy megkövetelje a válság szempontjából releváns egészségügyi ellenintézkedésekhez fűződő azon szellemitulajdon-jogok és know-how hasznosításának a tisztességes és észszerű feltételek melletti engedélyezését, amelyek fejlesztését és gyártását a Bizottság indokolt és kivételes esetekben biztonsági hálóként és ösztönző elemként finanszírozta.</w:t>
      </w:r>
    </w:p>
    <w:p w14:paraId="2C644FF5" w14:textId="69A22A97" w:rsidR="00615E6D" w:rsidRPr="006601BC" w:rsidRDefault="00BB68C4" w:rsidP="00BB68C4">
      <w:pPr>
        <w:pStyle w:val="ManualConsidrant"/>
        <w:rPr>
          <w:noProof/>
        </w:rPr>
      </w:pPr>
      <w:r w:rsidRPr="00BB68C4">
        <w:t>(13)</w:t>
      </w:r>
      <w:r w:rsidRPr="00BB68C4">
        <w:tab/>
      </w:r>
      <w:r w:rsidR="00615E6D" w:rsidRPr="006601BC">
        <w:rPr>
          <w:noProof/>
        </w:rPr>
        <w:t>Az (EU) 2016/369 tanácsi rendelet</w:t>
      </w:r>
      <w:r w:rsidR="00615E6D" w:rsidRPr="006601BC">
        <w:rPr>
          <w:rStyle w:val="FootnoteReference"/>
          <w:noProof/>
        </w:rPr>
        <w:footnoteReference w:id="30"/>
      </w:r>
      <w:r w:rsidR="00615E6D" w:rsidRPr="006601BC">
        <w:rPr>
          <w:noProof/>
        </w:rPr>
        <w:t xml:space="preserve"> rugalmas keretet biztosít a szükséghelyzeti pénzügyi támogatáshoz. Lehetővé teszi olyan támogatás nyújtását, amely nem valósítható meg a meglévő kiadási programokon keresztül. Ennek az eszköznek elérhetővé kell válnia, ha uniós szinten népegészségügyi szükséghelyzetet ismernek el, és olyan mértékűnek kell lennie, amely megfelel a gazdasági helyzetnek. </w:t>
      </w:r>
    </w:p>
    <w:p w14:paraId="1F5C3649" w14:textId="57F83F53" w:rsidR="008E7215" w:rsidRPr="006601BC" w:rsidRDefault="00BB68C4" w:rsidP="00BB68C4">
      <w:pPr>
        <w:pStyle w:val="ManualConsidrant"/>
        <w:rPr>
          <w:noProof/>
        </w:rPr>
      </w:pPr>
      <w:r w:rsidRPr="00BB68C4">
        <w:t>(14)</w:t>
      </w:r>
      <w:r w:rsidRPr="00BB68C4">
        <w:tab/>
      </w:r>
      <w:r w:rsidR="001854B1" w:rsidRPr="006601BC">
        <w:rPr>
          <w:noProof/>
        </w:rPr>
        <w:t xml:space="preserve">Népegészségügyi szükséghelyzet idején a válságok szempontjából releváns egészségügyi ellenintézkedések jelenlegi és rövid távú jövőbeli uniós gyártási kapacitásainak a részletes átlátása a kereslet- és kínálatkezelés szerves részét képezi. Ezért az érintett gazdasági szereplők általi kötelező információtovábbítás alapján össze kell állítani és rendszeresen frissíteni kell a válság szempontjából releváns egészségügyi ellenintézkedések gyártóüzemeinek a nyilvántartását. </w:t>
      </w:r>
    </w:p>
    <w:p w14:paraId="2F9B3E8D" w14:textId="7D7DA38C" w:rsidR="008E7215" w:rsidRPr="006601BC" w:rsidRDefault="00BB68C4" w:rsidP="00BB68C4">
      <w:pPr>
        <w:pStyle w:val="ManualConsidrant"/>
        <w:rPr>
          <w:noProof/>
        </w:rPr>
      </w:pPr>
      <w:r w:rsidRPr="00BB68C4">
        <w:t>(15)</w:t>
      </w:r>
      <w:r w:rsidRPr="00BB68C4">
        <w:tab/>
      </w:r>
      <w:r w:rsidR="00F2772A" w:rsidRPr="006601BC">
        <w:rPr>
          <w:noProof/>
        </w:rPr>
        <w:t>A nyersanyagok, fogyóeszközök, eszközök, berendezések vagy az infrastruktúra ellátási hiánya hatással lehet a válság szempontjából releváns egészségügyi ellenintézkedések gyártására. Ellátási hiány vagy a hiány kockázatának azonosítása esetén a nyilvántartásnak ezekre az elemekre is ki kell terjednie. Ez kiegészíti az Unió jelenlegi és közeljövőbeli termelési kapacitásainak részletes áttekintését annak érdekében, lehetővé téve a gyártási kapacitásokat esetlegesen befolyásoló ellátási elemek figyelembevételét, valamint válság szempontjából releváns egészségügyi ellenintézkedések kereslet- és kínálatszabályozásának a javítását.</w:t>
      </w:r>
    </w:p>
    <w:p w14:paraId="71BB6B41" w14:textId="27E4542A" w:rsidR="008E7215" w:rsidRPr="006601BC" w:rsidRDefault="00BB68C4" w:rsidP="00BB68C4">
      <w:pPr>
        <w:pStyle w:val="ManualConsidrant"/>
        <w:rPr>
          <w:noProof/>
        </w:rPr>
      </w:pPr>
      <w:r w:rsidRPr="00BB68C4">
        <w:t>(16)</w:t>
      </w:r>
      <w:r w:rsidRPr="00BB68C4">
        <w:tab/>
      </w:r>
      <w:r w:rsidR="007A74C3" w:rsidRPr="006601BC">
        <w:rPr>
          <w:noProof/>
        </w:rPr>
        <w:t xml:space="preserve">A termelési kapacitások, nyersanyagok, fogyóeszközök, eszközök, berendezések és az infrastruktúra részletes áttekintése alapján további intézkedésekre lehet szükség az ellátási láncok és a gyártási kapacitások megerősítése érdekében. Amennyiben a piac nem biztosítja vagy nem tudja biztosítani a válság szempontjából releváns egészségügyi ellenintézkedésekkel való megfelelő ellátást, a Bizottságnak ezért képesnek kell lennie arra, hogy e területeken a válság szempontjából releváns egészségügyi ellenintézkedések és nyersanyagok rendelkezésre állásának és hozzáférhetőségének a növelését szolgálják. </w:t>
      </w:r>
    </w:p>
    <w:p w14:paraId="7AC7B645" w14:textId="77777777" w:rsidR="00241DB6" w:rsidRPr="006601BC" w:rsidRDefault="00241DB6" w:rsidP="00241DB6">
      <w:pPr>
        <w:pStyle w:val="Formuledadoption"/>
        <w:rPr>
          <w:noProof/>
        </w:rPr>
      </w:pPr>
      <w:r w:rsidRPr="006601BC">
        <w:rPr>
          <w:noProof/>
        </w:rPr>
        <w:t>ELFOGADTA EZT A RENDELETET:</w:t>
      </w:r>
    </w:p>
    <w:p w14:paraId="5AA87352" w14:textId="77777777" w:rsidR="00241DB6" w:rsidRPr="006601BC" w:rsidRDefault="00241DB6" w:rsidP="00241DB6">
      <w:pPr>
        <w:pStyle w:val="Titrearticle"/>
        <w:spacing w:after="0"/>
        <w:rPr>
          <w:noProof/>
        </w:rPr>
      </w:pPr>
      <w:r w:rsidRPr="006601BC">
        <w:rPr>
          <w:noProof/>
        </w:rPr>
        <w:t>1. cikk</w:t>
      </w:r>
    </w:p>
    <w:p w14:paraId="0B5CED2E" w14:textId="77777777" w:rsidR="00241DB6" w:rsidRPr="006601BC" w:rsidRDefault="00C96BE4" w:rsidP="0098147A">
      <w:pPr>
        <w:jc w:val="center"/>
        <w:rPr>
          <w:b/>
          <w:i/>
          <w:noProof/>
        </w:rPr>
      </w:pPr>
      <w:r w:rsidRPr="006601BC">
        <w:rPr>
          <w:b/>
          <w:noProof/>
        </w:rPr>
        <w:t>Tárgy és hatály</w:t>
      </w:r>
    </w:p>
    <w:p w14:paraId="0703AFC4" w14:textId="1343205E" w:rsidR="00C96BE4" w:rsidRPr="006601BC" w:rsidRDefault="0098147A" w:rsidP="0098147A">
      <w:pPr>
        <w:pStyle w:val="Point0"/>
        <w:rPr>
          <w:noProof/>
        </w:rPr>
      </w:pPr>
      <w:r w:rsidRPr="006601BC">
        <w:rPr>
          <w:noProof/>
        </w:rPr>
        <w:t>(1)</w:t>
      </w:r>
      <w:r w:rsidRPr="006601BC">
        <w:rPr>
          <w:noProof/>
        </w:rPr>
        <w:tab/>
        <w:t xml:space="preserve">Ez a rendelet </w:t>
      </w:r>
      <w:r w:rsidRPr="006601BC">
        <w:rPr>
          <w:rStyle w:val="Aucun"/>
          <w:noProof/>
        </w:rPr>
        <w:t>keretet hoz létre</w:t>
      </w:r>
      <w:r w:rsidRPr="006601BC">
        <w:rPr>
          <w:noProof/>
        </w:rPr>
        <w:t xml:space="preserve"> a válság szempontjából releváns egészségügyi ellenintézkedésekkel való </w:t>
      </w:r>
      <w:r w:rsidRPr="006601BC">
        <w:rPr>
          <w:rStyle w:val="Aucun"/>
          <w:noProof/>
        </w:rPr>
        <w:t xml:space="preserve">ellátás biztosítására </w:t>
      </w:r>
      <w:r w:rsidRPr="006601BC">
        <w:rPr>
          <w:noProof/>
        </w:rPr>
        <w:t>népegészségügyi szükséghelyzet esetén (a továbbiakban: szükséghelyzeti keret).</w:t>
      </w:r>
      <w:r w:rsidRPr="006601BC">
        <w:rPr>
          <w:i/>
          <w:noProof/>
        </w:rPr>
        <w:t xml:space="preserve"> </w:t>
      </w:r>
    </w:p>
    <w:p w14:paraId="337AB291" w14:textId="26F92163" w:rsidR="00C96BE4" w:rsidRPr="006601BC" w:rsidRDefault="0098147A" w:rsidP="0098147A">
      <w:pPr>
        <w:pStyle w:val="Point0"/>
        <w:rPr>
          <w:rFonts w:eastAsia="Times New Roman"/>
          <w:noProof/>
          <w:szCs w:val="24"/>
        </w:rPr>
      </w:pPr>
      <w:r w:rsidRPr="006601BC">
        <w:rPr>
          <w:noProof/>
        </w:rPr>
        <w:t>(2)</w:t>
      </w:r>
      <w:r w:rsidRPr="006601BC">
        <w:rPr>
          <w:noProof/>
        </w:rPr>
        <w:tab/>
        <w:t>Az (1) bekezdésben említett intézkedések:</w:t>
      </w:r>
    </w:p>
    <w:p w14:paraId="05213FA5" w14:textId="64630B4E" w:rsidR="00241DB6" w:rsidRPr="006601BC" w:rsidRDefault="00241DB6" w:rsidP="0098147A">
      <w:pPr>
        <w:pStyle w:val="Point1"/>
        <w:rPr>
          <w:noProof/>
        </w:rPr>
      </w:pPr>
      <w:r w:rsidRPr="006601BC">
        <w:rPr>
          <w:noProof/>
        </w:rPr>
        <w:t>a)</w:t>
      </w:r>
      <w:r w:rsidRPr="006601BC">
        <w:rPr>
          <w:noProof/>
        </w:rPr>
        <w:tab/>
        <w:t>egészségügyi válságtanács létrehozása;</w:t>
      </w:r>
    </w:p>
    <w:p w14:paraId="67933DAF" w14:textId="622977AA" w:rsidR="00241DB6" w:rsidRPr="006601BC" w:rsidRDefault="00413CC5" w:rsidP="0098147A">
      <w:pPr>
        <w:pStyle w:val="Point1"/>
        <w:rPr>
          <w:rFonts w:eastAsia="Times New Roman"/>
          <w:noProof/>
          <w:szCs w:val="24"/>
        </w:rPr>
      </w:pPr>
      <w:r w:rsidRPr="006601BC">
        <w:rPr>
          <w:noProof/>
        </w:rPr>
        <w:t>b)</w:t>
      </w:r>
      <w:r w:rsidRPr="006601BC">
        <w:rPr>
          <w:noProof/>
        </w:rPr>
        <w:tab/>
        <w:t>a válság szempontjából releváns egészségügyi ellenintézkedések és a válság szempontjából releváns nyersanyagok nyomon követése, beszerzése és megvásárlása;</w:t>
      </w:r>
    </w:p>
    <w:p w14:paraId="16B24AE1" w14:textId="4C33AF0B" w:rsidR="00241DB6" w:rsidRPr="006601BC" w:rsidRDefault="00413CC5" w:rsidP="0098147A">
      <w:pPr>
        <w:pStyle w:val="Point1"/>
        <w:rPr>
          <w:rFonts w:eastAsia="Times New Roman"/>
          <w:noProof/>
          <w:szCs w:val="24"/>
        </w:rPr>
      </w:pPr>
      <w:r w:rsidRPr="006601BC">
        <w:rPr>
          <w:noProof/>
        </w:rPr>
        <w:t>c)</w:t>
      </w:r>
      <w:r w:rsidRPr="006601BC">
        <w:rPr>
          <w:noProof/>
        </w:rPr>
        <w:tab/>
        <w:t>szükséghelyzeti kutatási és innovációs tervek aktiválása, beleértve az egész Unióra kiterjedő klinikai vizsgálati hálózatok és adatmegosztó platformok használatát;</w:t>
      </w:r>
    </w:p>
    <w:p w14:paraId="50EF4738" w14:textId="68823916" w:rsidR="008D37B6" w:rsidRPr="006601BC" w:rsidRDefault="0098147A" w:rsidP="0098147A">
      <w:pPr>
        <w:pStyle w:val="Point1"/>
        <w:rPr>
          <w:rFonts w:eastAsia="Times New Roman"/>
          <w:noProof/>
          <w:szCs w:val="24"/>
        </w:rPr>
      </w:pPr>
      <w:r w:rsidRPr="006601BC">
        <w:rPr>
          <w:noProof/>
        </w:rPr>
        <w:t>d)</w:t>
      </w:r>
      <w:r w:rsidRPr="006601BC">
        <w:rPr>
          <w:noProof/>
        </w:rPr>
        <w:tab/>
        <w:t>szükséghelyzeti támogatás és finanszírozás;</w:t>
      </w:r>
    </w:p>
    <w:p w14:paraId="068C1301" w14:textId="60E49FC4" w:rsidR="00241DB6" w:rsidRPr="006601BC" w:rsidRDefault="00413CC5" w:rsidP="0098147A">
      <w:pPr>
        <w:pStyle w:val="Point1"/>
        <w:rPr>
          <w:rFonts w:eastAsia="Times New Roman"/>
          <w:noProof/>
          <w:szCs w:val="24"/>
        </w:rPr>
      </w:pPr>
      <w:r w:rsidRPr="006601BC">
        <w:rPr>
          <w:noProof/>
        </w:rPr>
        <w:t>e)</w:t>
      </w:r>
      <w:r w:rsidRPr="006601BC">
        <w:rPr>
          <w:noProof/>
        </w:rPr>
        <w:tab/>
        <w:t xml:space="preserve">a válság szempontjából releváns egészségügyi ellenintézkedések gyártására, rendelkezésre állására, valamint rendelkezésre bocsátására vonatkozó intézkedések, beleértve a válság szempontjából releváns gyártásra és gyártóüzemekre, a nyersanyagokra, fogyóeszközökre, berendezésekre, valamint infrastruktúrára vonatkozó nyilvántartás összeállítását, továbbá az ilyen ellenintézkedések Unión belüli gyártásának a növelését célzó intézkedéseket is.  </w:t>
      </w:r>
    </w:p>
    <w:p w14:paraId="46C1B0CE" w14:textId="6843C220" w:rsidR="00241DB6" w:rsidRPr="006601BC" w:rsidRDefault="0098147A" w:rsidP="0098147A">
      <w:pPr>
        <w:pStyle w:val="Point0"/>
        <w:rPr>
          <w:noProof/>
        </w:rPr>
      </w:pPr>
      <w:r w:rsidRPr="006601BC">
        <w:rPr>
          <w:noProof/>
        </w:rPr>
        <w:t>(3)</w:t>
      </w:r>
      <w:r w:rsidRPr="006601BC">
        <w:rPr>
          <w:noProof/>
        </w:rPr>
        <w:tab/>
        <w:t>Az (1) bekezdésben említett intézkedések csak a gazdasági helyzetnek megfelelő mértékben aktiválhatók.</w:t>
      </w:r>
    </w:p>
    <w:p w14:paraId="0FA8A575" w14:textId="77777777" w:rsidR="00241DB6" w:rsidRPr="006601BC" w:rsidRDefault="00241DB6" w:rsidP="00241DB6">
      <w:pPr>
        <w:pStyle w:val="Titrearticle"/>
        <w:spacing w:after="0"/>
        <w:rPr>
          <w:rFonts w:eastAsia="Calibri"/>
          <w:noProof/>
        </w:rPr>
      </w:pPr>
      <w:r w:rsidRPr="006601BC">
        <w:rPr>
          <w:rStyle w:val="Aucun"/>
          <w:noProof/>
        </w:rPr>
        <w:t>2. cikk</w:t>
      </w:r>
    </w:p>
    <w:p w14:paraId="53E02C14" w14:textId="77777777" w:rsidR="00241DB6" w:rsidRPr="006601BC" w:rsidRDefault="00241DB6" w:rsidP="0098147A">
      <w:pPr>
        <w:jc w:val="center"/>
        <w:rPr>
          <w:b/>
          <w:i/>
          <w:noProof/>
        </w:rPr>
      </w:pPr>
      <w:r w:rsidRPr="006601BC">
        <w:rPr>
          <w:b/>
          <w:noProof/>
        </w:rPr>
        <w:t>Fogalommeghatározások</w:t>
      </w:r>
    </w:p>
    <w:p w14:paraId="5A07EC68" w14:textId="77777777" w:rsidR="00241DB6" w:rsidRPr="006601BC" w:rsidRDefault="00241DB6" w:rsidP="00241DB6">
      <w:pPr>
        <w:rPr>
          <w:noProof/>
        </w:rPr>
      </w:pPr>
      <w:r w:rsidRPr="006601BC">
        <w:rPr>
          <w:noProof/>
        </w:rPr>
        <w:t>E rendelet alkalmazásában:</w:t>
      </w:r>
    </w:p>
    <w:p w14:paraId="7D053642" w14:textId="6002047E" w:rsidR="00241DB6" w:rsidRPr="006601BC" w:rsidRDefault="00241DB6" w:rsidP="004334C5">
      <w:pPr>
        <w:pStyle w:val="Point0"/>
        <w:rPr>
          <w:noProof/>
        </w:rPr>
      </w:pPr>
      <w:r w:rsidRPr="006601BC">
        <w:rPr>
          <w:noProof/>
        </w:rPr>
        <w:t>1.</w:t>
      </w:r>
      <w:r w:rsidRPr="006601BC">
        <w:rPr>
          <w:noProof/>
        </w:rPr>
        <w:tab/>
        <w:t xml:space="preserve">„monitoring”: az </w:t>
      </w:r>
      <w:r w:rsidRPr="006601BC">
        <w:rPr>
          <w:noProof/>
          <w:color w:val="1F497D"/>
        </w:rPr>
        <w:t>(EU) .../... rendelet [SCBTH-rendelet]</w:t>
      </w:r>
      <w:r w:rsidRPr="006601BC">
        <w:rPr>
          <w:noProof/>
        </w:rPr>
        <w:t xml:space="preserve"> 3. cikkének 5. pontja szerinti monitoring;</w:t>
      </w:r>
    </w:p>
    <w:p w14:paraId="4BFF7212" w14:textId="0BF96A8F" w:rsidR="00241DB6" w:rsidRPr="006601BC" w:rsidRDefault="00241DB6" w:rsidP="004334C5">
      <w:pPr>
        <w:pStyle w:val="Point0"/>
        <w:rPr>
          <w:noProof/>
        </w:rPr>
      </w:pPr>
      <w:r w:rsidRPr="006601BC">
        <w:rPr>
          <w:noProof/>
        </w:rPr>
        <w:t>2.</w:t>
      </w:r>
      <w:r w:rsidRPr="006601BC">
        <w:rPr>
          <w:noProof/>
        </w:rPr>
        <w:tab/>
        <w:t xml:space="preserve">„népegészségügyi szükséghelyzet”: az Európai Bizottság által az </w:t>
      </w:r>
      <w:r w:rsidRPr="006601BC">
        <w:rPr>
          <w:noProof/>
          <w:color w:val="1F497D"/>
        </w:rPr>
        <w:t>(EU) .../... rendelet [SCBTH-rendelet]</w:t>
      </w:r>
      <w:r w:rsidRPr="006601BC">
        <w:rPr>
          <w:noProof/>
        </w:rPr>
        <w:t xml:space="preserve"> 23. cikkének megfelelően elismert uniós szintű népegészségügyi szükséghelyzet;</w:t>
      </w:r>
    </w:p>
    <w:p w14:paraId="21C7EC31" w14:textId="7BB6921C" w:rsidR="00F66EBD" w:rsidRPr="006601BC" w:rsidRDefault="00241DB6" w:rsidP="00F66EBD">
      <w:pPr>
        <w:pStyle w:val="Point0"/>
        <w:rPr>
          <w:noProof/>
        </w:rPr>
      </w:pPr>
      <w:r w:rsidRPr="006601BC">
        <w:rPr>
          <w:noProof/>
        </w:rPr>
        <w:t>3.</w:t>
      </w:r>
      <w:r w:rsidRPr="006601BC">
        <w:rPr>
          <w:noProof/>
        </w:rPr>
        <w:tab/>
        <w:t>„egészségügyi ellenintézkedések”: az (EU).../... rendelet [SCBTH-rendelet] 3. cikkének 8. pontja szerinti egészségügyi ellenintézkedések az egyéni védőeszközök és az emberi eredetű anyagok mellett;</w:t>
      </w:r>
    </w:p>
    <w:p w14:paraId="0DBCCA80" w14:textId="551A60F4" w:rsidR="00B635FC" w:rsidRPr="006601BC" w:rsidRDefault="0098147A" w:rsidP="00F66EBD">
      <w:pPr>
        <w:pStyle w:val="Point0"/>
        <w:rPr>
          <w:noProof/>
        </w:rPr>
      </w:pPr>
      <w:r w:rsidRPr="006601BC">
        <w:rPr>
          <w:noProof/>
        </w:rPr>
        <w:t>4.</w:t>
      </w:r>
      <w:r w:rsidRPr="006601BC">
        <w:rPr>
          <w:noProof/>
        </w:rPr>
        <w:tab/>
        <w:t xml:space="preserve">„nyersanyagok”: a válság szempontjából releváns egészségügyi ellenintézkedések kellő mennyiségének gyártásához szükséges anyagok; </w:t>
      </w:r>
    </w:p>
    <w:p w14:paraId="14F937EC" w14:textId="33D26A9A" w:rsidR="00241DB6" w:rsidRPr="006601BC" w:rsidRDefault="00B635FC" w:rsidP="00614818">
      <w:pPr>
        <w:pStyle w:val="Point0"/>
        <w:rPr>
          <w:noProof/>
        </w:rPr>
      </w:pPr>
      <w:r w:rsidRPr="006601BC">
        <w:rPr>
          <w:noProof/>
        </w:rPr>
        <w:t>5.</w:t>
      </w:r>
      <w:r w:rsidRPr="006601BC">
        <w:rPr>
          <w:noProof/>
        </w:rPr>
        <w:tab/>
        <w:t xml:space="preserve">„valós adatok”: a betegek egészségi állapotára vagy az egészségügyi ellátásra vonatkozó, a klinikai vizsgálatoktól eltérő forrásokból származó adatok. </w:t>
      </w:r>
    </w:p>
    <w:p w14:paraId="1D04BD88" w14:textId="77777777" w:rsidR="00241DB6" w:rsidRPr="006601BC" w:rsidRDefault="00241DB6" w:rsidP="0098147A">
      <w:pPr>
        <w:pStyle w:val="Titrearticle"/>
        <w:spacing w:after="0"/>
        <w:rPr>
          <w:noProof/>
        </w:rPr>
      </w:pPr>
      <w:r w:rsidRPr="006601BC">
        <w:rPr>
          <w:noProof/>
        </w:rPr>
        <w:t>3. cikk</w:t>
      </w:r>
    </w:p>
    <w:p w14:paraId="59E7D2B6" w14:textId="77777777" w:rsidR="00241DB6" w:rsidRPr="006601BC" w:rsidRDefault="00241DB6" w:rsidP="0098147A">
      <w:pPr>
        <w:jc w:val="center"/>
        <w:rPr>
          <w:b/>
          <w:noProof/>
        </w:rPr>
      </w:pPr>
      <w:r w:rsidRPr="006601BC">
        <w:rPr>
          <w:b/>
          <w:noProof/>
        </w:rPr>
        <w:t xml:space="preserve">A szükséghelyzeti keret aktiválása </w:t>
      </w:r>
    </w:p>
    <w:p w14:paraId="5A0D7AEC" w14:textId="0980A91C" w:rsidR="00143FBE" w:rsidRPr="006601BC" w:rsidRDefault="00BB68C4" w:rsidP="00BB68C4">
      <w:pPr>
        <w:pStyle w:val="Point0"/>
        <w:rPr>
          <w:noProof/>
        </w:rPr>
      </w:pPr>
      <w:r w:rsidRPr="00BB68C4">
        <w:t>(1)</w:t>
      </w:r>
      <w:r w:rsidRPr="00BB68C4">
        <w:tab/>
      </w:r>
      <w:r w:rsidR="00614818" w:rsidRPr="006601BC">
        <w:rPr>
          <w:noProof/>
        </w:rPr>
        <w:t xml:space="preserve">Népegészségügyi szükséghelyzet uniós szintű elismerése esetén a Tanács a Bizottság javaslatára az intézkedési keret aktiválására rendeletet fogadhat el, amennyiben ez megfelel a gazdasági helyzetnek. </w:t>
      </w:r>
    </w:p>
    <w:p w14:paraId="59015F38" w14:textId="50312C63" w:rsidR="00143FBE" w:rsidRPr="006601BC" w:rsidRDefault="00BB68C4" w:rsidP="00BB68C4">
      <w:pPr>
        <w:pStyle w:val="Point0"/>
        <w:rPr>
          <w:noProof/>
        </w:rPr>
      </w:pPr>
      <w:r w:rsidRPr="00BB68C4">
        <w:t>(2)</w:t>
      </w:r>
      <w:r w:rsidRPr="00BB68C4">
        <w:tab/>
      </w:r>
      <w:r w:rsidR="00841C76" w:rsidRPr="006601BC">
        <w:rPr>
          <w:noProof/>
        </w:rPr>
        <w:t>A Tanács a szükséghelyzeti keret aktiválásáról szóló rendeletben meghatározza, hogy az 5–11. és az 13. cikkben meghatározott intézkedések közül melyik felel meg a gazdasági helyzetnek, és ezért milyen intézkedéseket kell aktiválni.</w:t>
      </w:r>
    </w:p>
    <w:p w14:paraId="24AEDE42" w14:textId="7A48A6BA" w:rsidR="00143FBE" w:rsidRPr="006601BC" w:rsidRDefault="00BB68C4" w:rsidP="00BB68C4">
      <w:pPr>
        <w:pStyle w:val="Point0"/>
        <w:rPr>
          <w:noProof/>
        </w:rPr>
      </w:pPr>
      <w:r w:rsidRPr="00BB68C4">
        <w:t>(3)</w:t>
      </w:r>
      <w:r w:rsidRPr="00BB68C4">
        <w:tab/>
      </w:r>
      <w:r w:rsidR="00DC298A" w:rsidRPr="006601BC">
        <w:rPr>
          <w:noProof/>
        </w:rPr>
        <w:t xml:space="preserve">Az aktiválás időtartama 6 hónap, amely a 4. cikkben meghatározott eljárással összhangban meghosszabbítható. </w:t>
      </w:r>
    </w:p>
    <w:p w14:paraId="63914791" w14:textId="1D2D9F65" w:rsidR="00B816D0" w:rsidRPr="006601BC" w:rsidRDefault="00BB68C4" w:rsidP="00BB68C4">
      <w:pPr>
        <w:pStyle w:val="Point0"/>
        <w:rPr>
          <w:noProof/>
        </w:rPr>
      </w:pPr>
      <w:r w:rsidRPr="00BB68C4">
        <w:t>(4)</w:t>
      </w:r>
      <w:r w:rsidRPr="00BB68C4">
        <w:tab/>
      </w:r>
      <w:r w:rsidR="00503041" w:rsidRPr="006601BC">
        <w:rPr>
          <w:noProof/>
        </w:rPr>
        <w:t>A szükséghelyzeti keret aktiválásáról szóló rendelet nem érinti az 1313/2013/EU európai parlamenti és tanácsi határozatot</w:t>
      </w:r>
      <w:r w:rsidR="00503041" w:rsidRPr="006601BC">
        <w:rPr>
          <w:rStyle w:val="FootnoteReference"/>
          <w:noProof/>
        </w:rPr>
        <w:footnoteReference w:id="31"/>
      </w:r>
      <w:r w:rsidR="00503041" w:rsidRPr="006601BC">
        <w:rPr>
          <w:noProof/>
        </w:rPr>
        <w:t>, valamint a Veszélyhelyzet-reagálási Koordinációs Központnak az uniós polgári védelmi mechanizmus keretében betöltött általános koordinációs szerepét.</w:t>
      </w:r>
    </w:p>
    <w:p w14:paraId="01EA4832" w14:textId="77777777" w:rsidR="00241DB6" w:rsidRPr="006601BC" w:rsidRDefault="00241DB6" w:rsidP="0034447D">
      <w:pPr>
        <w:pStyle w:val="Titrearticle"/>
        <w:spacing w:after="0"/>
        <w:rPr>
          <w:noProof/>
        </w:rPr>
      </w:pPr>
      <w:r w:rsidRPr="006601BC">
        <w:rPr>
          <w:noProof/>
        </w:rPr>
        <w:t>4. cikk</w:t>
      </w:r>
    </w:p>
    <w:p w14:paraId="13E05A3E" w14:textId="77777777" w:rsidR="00241DB6" w:rsidRPr="006601BC" w:rsidRDefault="0072297F" w:rsidP="0098147A">
      <w:pPr>
        <w:jc w:val="center"/>
        <w:rPr>
          <w:b/>
          <w:i/>
          <w:noProof/>
        </w:rPr>
      </w:pPr>
      <w:r w:rsidRPr="006601BC">
        <w:rPr>
          <w:b/>
          <w:noProof/>
        </w:rPr>
        <w:t xml:space="preserve">A szükséghelyzeti keret aktiválásának meghosszabbítása és lejárta </w:t>
      </w:r>
    </w:p>
    <w:p w14:paraId="20F2B938" w14:textId="0157B7AA" w:rsidR="0072297F" w:rsidRPr="006601BC" w:rsidRDefault="00BB68C4" w:rsidP="00BB68C4">
      <w:pPr>
        <w:pStyle w:val="Point0"/>
        <w:rPr>
          <w:noProof/>
        </w:rPr>
      </w:pPr>
      <w:r w:rsidRPr="00BB68C4">
        <w:t>(1)</w:t>
      </w:r>
      <w:r w:rsidRPr="00BB68C4">
        <w:tab/>
      </w:r>
      <w:r w:rsidR="0072297F" w:rsidRPr="006601BC">
        <w:rPr>
          <w:noProof/>
        </w:rPr>
        <w:t xml:space="preserve">A Bizottság legkésőbb egy héttel a szükséghelyzeti keret aktiválási időszakának lejárta előtt jelentést nyújt be a Tanácsnak, amelyben értékeli, hogy meg kell-e hosszabbítani a szükséghelyzeti keret aktiválását. A jelentés mindenekelőtt a népegészségügyi helyzetet és a népegészségügyi válság gazdasági következményeit elemzi az Unió egészét és a tagállamokat illetően. </w:t>
      </w:r>
    </w:p>
    <w:p w14:paraId="1AB868C5" w14:textId="563D1B93" w:rsidR="00841C76" w:rsidRPr="006601BC" w:rsidRDefault="00BB68C4" w:rsidP="00BB68C4">
      <w:pPr>
        <w:pStyle w:val="Point0"/>
        <w:rPr>
          <w:noProof/>
        </w:rPr>
      </w:pPr>
      <w:r w:rsidRPr="00BB68C4">
        <w:t>(2)</w:t>
      </w:r>
      <w:r w:rsidRPr="00BB68C4">
        <w:tab/>
      </w:r>
      <w:r w:rsidR="00841C76" w:rsidRPr="006601BC">
        <w:rPr>
          <w:noProof/>
        </w:rPr>
        <w:t xml:space="preserve">Amennyiben az értékelés arra a következtetésre jut, hogy helyénvaló meghosszabbítani a szükséghelyzeti keret aktiválását, a Bizottság javaslatot tehet a Tanács számára a meghosszabbításra. A meghosszabbítás időtartama nem haladhatja meg a 6 hónapot. A Tanács ismételten határozhat a szükséghelyzeti keret aktiválásának meghosszabbításáról, amennyiben az a gazdasági helyzetnek megfelel. </w:t>
      </w:r>
    </w:p>
    <w:p w14:paraId="2F9815B9" w14:textId="1A3DF718" w:rsidR="00841C76" w:rsidRPr="006601BC" w:rsidRDefault="00BB68C4" w:rsidP="00BB68C4">
      <w:pPr>
        <w:pStyle w:val="Point0"/>
        <w:rPr>
          <w:noProof/>
        </w:rPr>
      </w:pPr>
      <w:r w:rsidRPr="00BB68C4">
        <w:t>(3)</w:t>
      </w:r>
      <w:r w:rsidRPr="00BB68C4">
        <w:tab/>
      </w:r>
      <w:r w:rsidR="00841C76" w:rsidRPr="006601BC">
        <w:rPr>
          <w:noProof/>
        </w:rPr>
        <w:t xml:space="preserve">A Bizottság javasolhatja a Tanácsnak, hogy fogadjon el rendeletet az 5–11. és a 13. cikkben meghatározott kiegészítő intézkedések aktiválásáról azon intézkedéseken túlmenően, amelyeket már aktivált, amennyiben ez a gazdasági helyzetnek megfelel. </w:t>
      </w:r>
    </w:p>
    <w:p w14:paraId="788630F9" w14:textId="6AECD1EA" w:rsidR="0072297F" w:rsidRPr="006601BC" w:rsidRDefault="00BB68C4" w:rsidP="00BB68C4">
      <w:pPr>
        <w:pStyle w:val="Point0"/>
        <w:rPr>
          <w:noProof/>
        </w:rPr>
      </w:pPr>
      <w:r w:rsidRPr="00BB68C4">
        <w:t>(4)</w:t>
      </w:r>
      <w:r w:rsidRPr="00BB68C4">
        <w:tab/>
      </w:r>
      <w:r w:rsidR="0072297F" w:rsidRPr="006601BC">
        <w:rPr>
          <w:noProof/>
        </w:rPr>
        <w:t>A szükséghelyzeti keret aktiválására vonatkozó időszak lejártakor az 5–11. és a 13. cikkel összhangban hozott intézkedések alkalmazása megszűnik, amennyiben azokat a Tanács aktiválta.</w:t>
      </w:r>
    </w:p>
    <w:p w14:paraId="734D50DA" w14:textId="77777777" w:rsidR="00241DB6" w:rsidRPr="006601BC" w:rsidRDefault="00241DB6" w:rsidP="0034447D">
      <w:pPr>
        <w:pStyle w:val="Titrearticle"/>
        <w:spacing w:after="0"/>
        <w:rPr>
          <w:i w:val="0"/>
          <w:noProof/>
        </w:rPr>
      </w:pPr>
      <w:r w:rsidRPr="006601BC">
        <w:rPr>
          <w:noProof/>
        </w:rPr>
        <w:t xml:space="preserve">5. cikk </w:t>
      </w:r>
    </w:p>
    <w:p w14:paraId="7823A763" w14:textId="77777777" w:rsidR="00241DB6" w:rsidRPr="006601BC" w:rsidRDefault="00241DB6" w:rsidP="0098147A">
      <w:pPr>
        <w:jc w:val="center"/>
        <w:rPr>
          <w:b/>
          <w:i/>
          <w:noProof/>
        </w:rPr>
      </w:pPr>
      <w:r w:rsidRPr="006601BC">
        <w:rPr>
          <w:b/>
          <w:noProof/>
        </w:rPr>
        <w:t xml:space="preserve">Az egészségügyi válságtanács létrehozása </w:t>
      </w:r>
    </w:p>
    <w:p w14:paraId="56E68D3A" w14:textId="3C60DC36" w:rsidR="002C51D9" w:rsidRPr="006601BC" w:rsidRDefault="00BB68C4" w:rsidP="00BB68C4">
      <w:pPr>
        <w:pStyle w:val="Point0"/>
        <w:rPr>
          <w:noProof/>
        </w:rPr>
      </w:pPr>
      <w:r w:rsidRPr="00BB68C4">
        <w:t>(1)</w:t>
      </w:r>
      <w:r w:rsidRPr="00BB68C4">
        <w:tab/>
      </w:r>
      <w:r w:rsidR="00D03501" w:rsidRPr="006601BC">
        <w:rPr>
          <w:noProof/>
        </w:rPr>
        <w:t>Ezen intézkedés aktiválása esetén létre kell hozni az egészségügyi válságtanácsot. A válságtanács biztosítja a Tanács, a Bizottság, az érintett uniós ügynökségek és szervek, valamint a tagállamok fellépéseinek koordinálását az egészségügyi ellenintézkedések rendelkezésre állásának és hozzáférhetőségének biztosítása érdekében.</w:t>
      </w:r>
    </w:p>
    <w:p w14:paraId="65C4CE53" w14:textId="6E868F7B" w:rsidR="002D674B" w:rsidRPr="006601BC" w:rsidRDefault="006E2EB4" w:rsidP="0098147A">
      <w:pPr>
        <w:pStyle w:val="Text1"/>
        <w:rPr>
          <w:noProof/>
        </w:rPr>
      </w:pPr>
      <w:r w:rsidRPr="006601BC">
        <w:rPr>
          <w:noProof/>
        </w:rPr>
        <w:t xml:space="preserve">A koordináció célja mindenekelőtt a Bizottság támogatása a 6–11. és a 13. cikk alapján meghozandó intézkedések előkészítésében. </w:t>
      </w:r>
    </w:p>
    <w:p w14:paraId="4A2C2157" w14:textId="1F91EDEA" w:rsidR="004F66C1" w:rsidRPr="006601BC" w:rsidRDefault="00BB68C4" w:rsidP="00BB68C4">
      <w:pPr>
        <w:pStyle w:val="Point0"/>
        <w:rPr>
          <w:noProof/>
        </w:rPr>
      </w:pPr>
      <w:r w:rsidRPr="00BB68C4">
        <w:t>(2)</w:t>
      </w:r>
      <w:r w:rsidRPr="00BB68C4">
        <w:tab/>
      </w:r>
      <w:r w:rsidR="003C0884" w:rsidRPr="00247BDC">
        <w:rPr>
          <w:noProof/>
        </w:rPr>
        <w:t>Az egészségügyi válságtanácsot a Bizottság és a tagállamok egy-egy képviselője alkotja. A Bizottságot a Bizottság elnöke, a Bizottság egészségügyért felelős tagja és adott eset</w:t>
      </w:r>
      <w:r w:rsidR="003C0884" w:rsidRPr="006601BC">
        <w:rPr>
          <w:noProof/>
        </w:rPr>
        <w:t xml:space="preserve">ben a Bizottság más tagjai képviselik. </w:t>
      </w:r>
    </w:p>
    <w:p w14:paraId="1A07E29F" w14:textId="0EEB255D" w:rsidR="004F66C1" w:rsidRPr="006601BC" w:rsidRDefault="00EC07CD" w:rsidP="0098147A">
      <w:pPr>
        <w:pStyle w:val="Text1"/>
        <w:rPr>
          <w:i/>
          <w:noProof/>
        </w:rPr>
      </w:pPr>
      <w:r w:rsidRPr="006601BC">
        <w:rPr>
          <w:noProof/>
        </w:rPr>
        <w:t>A Bizottság biztosítja valamennyi érintett uniós intézmény és szerv, köztük az Európai Gyógyszerügynökség, az Európai Betegségmegelőzési és Járványvédelmi Kö</w:t>
      </w:r>
      <w:r w:rsidR="00271E10">
        <w:rPr>
          <w:noProof/>
        </w:rPr>
        <w:t xml:space="preserve">zpont, valamint az (EU) .../... </w:t>
      </w:r>
      <w:r w:rsidRPr="006601BC">
        <w:rPr>
          <w:noProof/>
        </w:rPr>
        <w:t>rendelettel [SCBTH-rendelet] létrehozott, a népegészségügyi szükséghelyzetekkel foglalkozó tanácsadó bizottság megfigyelőként való részvételét az egészségügyi válságtanácsban</w:t>
      </w:r>
      <w:r w:rsidRPr="006601BC">
        <w:rPr>
          <w:i/>
          <w:noProof/>
        </w:rPr>
        <w:t xml:space="preserve">. </w:t>
      </w:r>
      <w:r w:rsidRPr="006601BC">
        <w:rPr>
          <w:noProof/>
        </w:rPr>
        <w:t>A Bizottság megfigyelőként meghívja az Európai Parlament egy képviselőjét és az Egészségügyi Biztonsági Bizottság egy tagját az egészségügyi válságtanácsba.</w:t>
      </w:r>
      <w:r w:rsidRPr="006601BC">
        <w:rPr>
          <w:i/>
          <w:noProof/>
        </w:rPr>
        <w:t xml:space="preserve"> </w:t>
      </w:r>
    </w:p>
    <w:p w14:paraId="3B8DA356" w14:textId="31AEFCEB" w:rsidR="006A044C" w:rsidRPr="006601BC" w:rsidRDefault="003F610D" w:rsidP="0098147A">
      <w:pPr>
        <w:pStyle w:val="Text1"/>
        <w:rPr>
          <w:noProof/>
        </w:rPr>
      </w:pPr>
      <w:r w:rsidRPr="006601BC">
        <w:rPr>
          <w:noProof/>
        </w:rPr>
        <w:t xml:space="preserve">Minden tagállam kinevez egy vezető képviselőt és egy helyettes képviselőt az egészségügyi válságanácsba. </w:t>
      </w:r>
    </w:p>
    <w:p w14:paraId="43BFEF36" w14:textId="5294551C" w:rsidR="002C140B" w:rsidRPr="006601BC" w:rsidRDefault="00BB68C4" w:rsidP="00BB68C4">
      <w:pPr>
        <w:pStyle w:val="Point0"/>
        <w:rPr>
          <w:noProof/>
        </w:rPr>
      </w:pPr>
      <w:r w:rsidRPr="00BB68C4">
        <w:t>(3)</w:t>
      </w:r>
      <w:r w:rsidRPr="00BB68C4">
        <w:tab/>
      </w:r>
      <w:r w:rsidR="00241DB6" w:rsidRPr="006601BC">
        <w:rPr>
          <w:noProof/>
        </w:rPr>
        <w:t>Az egészségügyi válságtanács biztosítja az alábbiak keretében létrehozott struktúrákkal való koordinációt és az információcserét:</w:t>
      </w:r>
    </w:p>
    <w:p w14:paraId="3548C3B5" w14:textId="100D8435" w:rsidR="002C140B" w:rsidRPr="006601BC" w:rsidRDefault="0098147A" w:rsidP="0098147A">
      <w:pPr>
        <w:pStyle w:val="Point1"/>
        <w:rPr>
          <w:noProof/>
        </w:rPr>
      </w:pPr>
      <w:r w:rsidRPr="006601BC">
        <w:rPr>
          <w:noProof/>
        </w:rPr>
        <w:t>a)</w:t>
      </w:r>
      <w:r w:rsidRPr="006601BC">
        <w:rPr>
          <w:noProof/>
        </w:rPr>
        <w:tab/>
        <w:t xml:space="preserve">az (EU) .../... rendelet [EMA-rendelet] a népegészségügyi szükséghelyzet időszakában, a gyógyszerek és az orvostechnikai eszközök vonatkozásában; </w:t>
      </w:r>
    </w:p>
    <w:p w14:paraId="4388CF78" w14:textId="0E4C4B64" w:rsidR="002C140B" w:rsidRPr="006601BC" w:rsidRDefault="0098147A" w:rsidP="0098147A">
      <w:pPr>
        <w:pStyle w:val="Point1"/>
        <w:rPr>
          <w:noProof/>
        </w:rPr>
      </w:pPr>
      <w:r w:rsidRPr="006601BC">
        <w:rPr>
          <w:noProof/>
        </w:rPr>
        <w:t>b)</w:t>
      </w:r>
      <w:r w:rsidRPr="006601BC">
        <w:rPr>
          <w:noProof/>
        </w:rPr>
        <w:tab/>
        <w:t>az (EU) .../... rendelet [SCBTH rendelet];</w:t>
      </w:r>
      <w:r w:rsidRPr="006601BC">
        <w:rPr>
          <w:i/>
          <w:noProof/>
        </w:rPr>
        <w:t xml:space="preserve"> </w:t>
      </w:r>
    </w:p>
    <w:p w14:paraId="728C0AD4" w14:textId="239AA68B" w:rsidR="002C140B" w:rsidRPr="006601BC" w:rsidRDefault="0098147A" w:rsidP="0098147A">
      <w:pPr>
        <w:pStyle w:val="Point1"/>
        <w:rPr>
          <w:noProof/>
        </w:rPr>
      </w:pPr>
      <w:r w:rsidRPr="006601BC">
        <w:rPr>
          <w:noProof/>
        </w:rPr>
        <w:t>c)</w:t>
      </w:r>
      <w:r w:rsidRPr="006601BC">
        <w:rPr>
          <w:noProof/>
        </w:rPr>
        <w:tab/>
        <w:t>az 1313/2013/EU határozat, és különösen a Veszélyhelyzet-reagálási Koordinációs Központtal azzal a céllal, hogy áthidalja az egészségügyi ellenintézkedésekhez és nyersanyagokhoz való hozzáférés operatív hiányosságait, és szükség esetén biztosítsa a megfelelő helyszíni nyomonkövetési és koordinációs feladatokat.</w:t>
      </w:r>
    </w:p>
    <w:p w14:paraId="018857DD" w14:textId="6F8B6AFD" w:rsidR="002C140B" w:rsidRPr="006601BC" w:rsidRDefault="00BB68C4" w:rsidP="00BB68C4">
      <w:pPr>
        <w:pStyle w:val="Point0"/>
        <w:rPr>
          <w:noProof/>
        </w:rPr>
      </w:pPr>
      <w:r w:rsidRPr="00BB68C4">
        <w:t>(4)</w:t>
      </w:r>
      <w:r w:rsidRPr="00BB68C4">
        <w:tab/>
      </w:r>
      <w:r w:rsidR="000821AA" w:rsidRPr="006601BC">
        <w:rPr>
          <w:noProof/>
        </w:rPr>
        <w:t xml:space="preserve">A Bizottság a napirenden szereplő témák tekintetében különleges szakértelemmel rendelkező szakértőket, többek között uniós ügynökségek és szervek, nemzeti hatóságok, köztük központi beszerző szervek és egészségügyi szervezetek vagy egyesületek, nemzetközi szervezetek képviselőit, a magánszektor szakértőit és más érdekelt feleket is meghívhat, hogy eseti alapon vegyenek részt az egészségügyi válságtanács vagy alcsoportok munkájában. </w:t>
      </w:r>
    </w:p>
    <w:p w14:paraId="0A8CE401" w14:textId="26463C7E" w:rsidR="00930B30" w:rsidRPr="006601BC" w:rsidRDefault="00BB68C4" w:rsidP="00BB68C4">
      <w:pPr>
        <w:pStyle w:val="Point0"/>
        <w:rPr>
          <w:noProof/>
        </w:rPr>
      </w:pPr>
      <w:r w:rsidRPr="00BB68C4">
        <w:t>(5)</w:t>
      </w:r>
      <w:r w:rsidRPr="00BB68C4">
        <w:tab/>
      </w:r>
      <w:r w:rsidR="0098147A" w:rsidRPr="006601BC">
        <w:rPr>
          <w:noProof/>
        </w:rPr>
        <w:t>Az egészségügyi válságtanács indokolt esetben a Bizottság vagy valamely tagállam kérésére tartja üléseit.</w:t>
      </w:r>
    </w:p>
    <w:p w14:paraId="5A13A55F" w14:textId="2222A5FA" w:rsidR="002C140B" w:rsidRPr="006601BC" w:rsidRDefault="00BB68C4" w:rsidP="00BB68C4">
      <w:pPr>
        <w:pStyle w:val="Point0"/>
        <w:rPr>
          <w:noProof/>
        </w:rPr>
      </w:pPr>
      <w:r w:rsidRPr="00BB68C4">
        <w:t>(6)</w:t>
      </w:r>
      <w:r w:rsidRPr="00BB68C4">
        <w:tab/>
      </w:r>
      <w:r w:rsidR="00913960" w:rsidRPr="006601BC">
        <w:rPr>
          <w:noProof/>
        </w:rPr>
        <w:t xml:space="preserve">Az egészségügyi válságtanács elnöke a Bizottság képviselője. </w:t>
      </w:r>
    </w:p>
    <w:p w14:paraId="3EBC1164" w14:textId="5B6739D6" w:rsidR="002C140B" w:rsidRPr="006601BC" w:rsidRDefault="00BB68C4" w:rsidP="00BB68C4">
      <w:pPr>
        <w:pStyle w:val="Point0"/>
        <w:rPr>
          <w:noProof/>
        </w:rPr>
      </w:pPr>
      <w:r w:rsidRPr="00BB68C4">
        <w:t>(7)</w:t>
      </w:r>
      <w:r w:rsidRPr="00BB68C4">
        <w:tab/>
      </w:r>
      <w:r w:rsidR="00913960" w:rsidRPr="006601BC">
        <w:rPr>
          <w:noProof/>
        </w:rPr>
        <w:t>Az egészségügyi válságtanács titkársági feladatainak ellátását a Bizottság biztosítja.</w:t>
      </w:r>
    </w:p>
    <w:p w14:paraId="4FF40809" w14:textId="04235B03" w:rsidR="002C140B" w:rsidRPr="006601BC" w:rsidRDefault="00BB68C4" w:rsidP="00BB68C4">
      <w:pPr>
        <w:pStyle w:val="Point0"/>
        <w:rPr>
          <w:noProof/>
        </w:rPr>
      </w:pPr>
      <w:r w:rsidRPr="00BB68C4">
        <w:t>(8)</w:t>
      </w:r>
      <w:r w:rsidRPr="00BB68C4">
        <w:tab/>
      </w:r>
      <w:r w:rsidR="004D0F00" w:rsidRPr="006601BC">
        <w:rPr>
          <w:noProof/>
        </w:rPr>
        <w:t>A Bizottság munkacsoportokat hozhat létre, hogy az (1) bekezdésben megállapított feladatok alapján meghatározott konkrét kérdések megvizsgálására vonatkozóan támogassák az egészségügyi válságtanács munkáját.</w:t>
      </w:r>
    </w:p>
    <w:p w14:paraId="76B7AB87" w14:textId="77777777" w:rsidR="00241DB6" w:rsidRPr="006601BC" w:rsidRDefault="00241DB6" w:rsidP="0034447D">
      <w:pPr>
        <w:pStyle w:val="Titrearticle"/>
        <w:spacing w:after="0"/>
        <w:rPr>
          <w:i w:val="0"/>
          <w:noProof/>
        </w:rPr>
      </w:pPr>
      <w:r w:rsidRPr="006601BC">
        <w:rPr>
          <w:noProof/>
        </w:rPr>
        <w:t>6. cikk</w:t>
      </w:r>
    </w:p>
    <w:p w14:paraId="4587E0DD" w14:textId="77777777" w:rsidR="00241DB6" w:rsidRPr="006601BC" w:rsidRDefault="00241DB6" w:rsidP="0098147A">
      <w:pPr>
        <w:jc w:val="center"/>
        <w:rPr>
          <w:b/>
          <w:noProof/>
          <w:szCs w:val="24"/>
        </w:rPr>
      </w:pPr>
      <w:r w:rsidRPr="006601BC">
        <w:rPr>
          <w:b/>
          <w:noProof/>
          <w:szCs w:val="24"/>
        </w:rPr>
        <w:t>A válság szempontjából releváns egészségügyi ellenintézkedések monitoringjára szolgáló mechanizmus</w:t>
      </w:r>
    </w:p>
    <w:p w14:paraId="551F5B3F" w14:textId="35DA1740" w:rsidR="00B55744" w:rsidRPr="006601BC" w:rsidRDefault="0098147A" w:rsidP="0098147A">
      <w:pPr>
        <w:pStyle w:val="Point0"/>
        <w:rPr>
          <w:noProof/>
        </w:rPr>
      </w:pPr>
      <w:r w:rsidRPr="006601BC">
        <w:rPr>
          <w:noProof/>
        </w:rPr>
        <w:t>(1)</w:t>
      </w:r>
      <w:r w:rsidRPr="006601BC">
        <w:rPr>
          <w:noProof/>
        </w:rPr>
        <w:tab/>
        <w:t xml:space="preserve">Ezen intézkedés aktiválása esetén a Bizottság – azt követően, hogy kikérte az egészségügyi válságtanács véleményét – összeállítja és rendszeresen frissíti a válság szempontjából releváns egészségügyi ellenintézkedések és nyersanyagok jegyzékét, valamint egy a kereslet és a kínálat nyomon követésére szolgáló űrlapot, beleértve a termelési kapacitást, a készleteket, illetve az ellátási láncokkal és beszerzési megállapodásokkal kapcsolatos zavarok tekintetében felmerülő lehetséges kritikus szempontokat vagy kockázatokat. </w:t>
      </w:r>
    </w:p>
    <w:p w14:paraId="2EFC5708" w14:textId="0ABABFA8" w:rsidR="00241DB6" w:rsidRPr="006601BC" w:rsidRDefault="0098147A" w:rsidP="0098147A">
      <w:pPr>
        <w:pStyle w:val="Point0"/>
        <w:rPr>
          <w:noProof/>
        </w:rPr>
      </w:pPr>
      <w:r w:rsidRPr="006601BC">
        <w:rPr>
          <w:noProof/>
        </w:rPr>
        <w:t>(2)</w:t>
      </w:r>
      <w:r w:rsidRPr="006601BC">
        <w:rPr>
          <w:noProof/>
        </w:rPr>
        <w:tab/>
        <w:t xml:space="preserve">Az (1) bekezdésben említett jegyzék tartalmazza az e cikkel, valamint a 7–11. és a 13. cikkel összhangban meghozandó intézkedések előkészítéséhez szükséges, válság szempontjából releváns egészségügyi ellenintézkedések és nyersanyagok szűkített jegyzékét, figyelembe véve az alábbiak alapján szerzett információkat: </w:t>
      </w:r>
    </w:p>
    <w:p w14:paraId="21A38AE6" w14:textId="25ED8C74" w:rsidR="005D2C50" w:rsidRPr="006601BC" w:rsidRDefault="005D2C50" w:rsidP="0098147A">
      <w:pPr>
        <w:pStyle w:val="Point1"/>
        <w:rPr>
          <w:rFonts w:eastAsia="Times New Roman"/>
          <w:noProof/>
          <w:szCs w:val="24"/>
        </w:rPr>
      </w:pPr>
      <w:r w:rsidRPr="006601BC">
        <w:rPr>
          <w:noProof/>
        </w:rPr>
        <w:t>a)</w:t>
      </w:r>
      <w:r w:rsidRPr="006601BC">
        <w:rPr>
          <w:noProof/>
        </w:rPr>
        <w:tab/>
        <w:t xml:space="preserve">az (EU) .../... rendelet [EMA-rendelet] és különösen annak a kritikus fontosságú gyógyszerek, orvostechnikai eszközök és </w:t>
      </w:r>
      <w:r w:rsidRPr="006601BC">
        <w:rPr>
          <w:i/>
          <w:iCs/>
          <w:noProof/>
        </w:rPr>
        <w:t>in vitro</w:t>
      </w:r>
      <w:r w:rsidRPr="006601BC">
        <w:rPr>
          <w:noProof/>
        </w:rPr>
        <w:t xml:space="preserve"> diagnosztikai orvostechnikai eszközök hiányának nyomon követéséről és enyhítéséről szóló XX. cikke </w:t>
      </w:r>
      <w:r w:rsidRPr="006601BC">
        <w:rPr>
          <w:i/>
          <w:noProof/>
        </w:rPr>
        <w:t>[a cikk száma elfogadás után megerősítendő]</w:t>
      </w:r>
      <w:r w:rsidRPr="006601BC">
        <w:rPr>
          <w:noProof/>
        </w:rPr>
        <w:t xml:space="preserve">; </w:t>
      </w:r>
    </w:p>
    <w:p w14:paraId="1A146DDA" w14:textId="70C81409" w:rsidR="005D2C50" w:rsidRPr="006601BC" w:rsidRDefault="005D2C50" w:rsidP="0098147A">
      <w:pPr>
        <w:pStyle w:val="Point1"/>
        <w:rPr>
          <w:noProof/>
        </w:rPr>
      </w:pPr>
      <w:r w:rsidRPr="006601BC">
        <w:rPr>
          <w:noProof/>
        </w:rPr>
        <w:t>b)</w:t>
      </w:r>
      <w:r w:rsidRPr="006601BC">
        <w:rPr>
          <w:noProof/>
        </w:rPr>
        <w:tab/>
        <w:t>az (EU) .../... rendelet [ECDC-rendelet] és különösen annak 3. cikke (2) bekezdésének e) pontja a fertőző betegségek által jelentett veszélyek kezeléséhez és az azokra való reagáláshoz szükséges egészségügyi szolgáltatásokkal kapcsolatos tagállami kapacitások rendelkezésre álló mutatóit illetően.</w:t>
      </w:r>
    </w:p>
    <w:p w14:paraId="1CC704F0" w14:textId="6659B017" w:rsidR="00241DB6" w:rsidRPr="006601BC" w:rsidRDefault="00641659" w:rsidP="0098147A">
      <w:pPr>
        <w:pStyle w:val="Point0"/>
        <w:rPr>
          <w:noProof/>
          <w:szCs w:val="24"/>
        </w:rPr>
      </w:pPr>
      <w:r w:rsidRPr="006601BC">
        <w:rPr>
          <w:noProof/>
        </w:rPr>
        <w:t>(3)</w:t>
      </w:r>
      <w:r w:rsidRPr="006601BC">
        <w:rPr>
          <w:noProof/>
        </w:rPr>
        <w:tab/>
        <w:t xml:space="preserve">A tagállamok az (1) bekezdésben említett nyomonkövetési űrlap alapján tájékoztatást nyújtanak a Bizottságnak. </w:t>
      </w:r>
    </w:p>
    <w:p w14:paraId="1A151C45" w14:textId="4817B2C2" w:rsidR="00A501E0" w:rsidRPr="006601BC" w:rsidRDefault="00641659" w:rsidP="0098147A">
      <w:pPr>
        <w:pStyle w:val="Point0"/>
        <w:rPr>
          <w:noProof/>
        </w:rPr>
      </w:pPr>
      <w:r w:rsidRPr="006601BC">
        <w:rPr>
          <w:noProof/>
        </w:rPr>
        <w:t>(4)</w:t>
      </w:r>
      <w:r w:rsidRPr="006601BC">
        <w:rPr>
          <w:noProof/>
        </w:rPr>
        <w:tab/>
        <w:t>Amennyiben egy tagállam a válság szempontjából releváns egészségügyi ellenintézkedések vagy nyersanyagok beszerzésére, megvásárlására vagy gyártására irányuló intézkedéseket kíván elfogadni, erről tájékoztatja az egészségügyi válságtanácsot, és konzultál vele.</w:t>
      </w:r>
    </w:p>
    <w:p w14:paraId="36EA3592" w14:textId="3068E50B" w:rsidR="00241DB6" w:rsidRPr="006601BC" w:rsidRDefault="00641659" w:rsidP="0098147A">
      <w:pPr>
        <w:pStyle w:val="Point0"/>
        <w:rPr>
          <w:i/>
          <w:noProof/>
        </w:rPr>
      </w:pPr>
      <w:r w:rsidRPr="006601BC">
        <w:rPr>
          <w:noProof/>
        </w:rPr>
        <w:t>(5)</w:t>
      </w:r>
      <w:r w:rsidRPr="006601BC">
        <w:rPr>
          <w:noProof/>
        </w:rPr>
        <w:tab/>
        <w:t xml:space="preserve">A Bizottság kérésére az EMA az (EU) .../... rendelet [EMA-rendelet] XX. cikkével </w:t>
      </w:r>
      <w:r w:rsidRPr="006601BC">
        <w:rPr>
          <w:i/>
          <w:noProof/>
        </w:rPr>
        <w:t>[a cikk száma elfogadás után megerősítendő]</w:t>
      </w:r>
      <w:r w:rsidRPr="006601BC">
        <w:rPr>
          <w:noProof/>
        </w:rPr>
        <w:t xml:space="preserve"> összhangban tájékoztatást nyújt a gyógyszerek, orvostechnikai eszközök és </w:t>
      </w:r>
      <w:r w:rsidRPr="006601BC">
        <w:rPr>
          <w:i/>
          <w:iCs/>
          <w:noProof/>
        </w:rPr>
        <w:t>in vitro</w:t>
      </w:r>
      <w:r w:rsidRPr="006601BC">
        <w:rPr>
          <w:noProof/>
        </w:rPr>
        <w:t xml:space="preserve"> diagnosztikai orvostechnikai eszközök nyomon követésére vonatkozóan, beleértve az azok iránti keresletet és a rendelkezésre álló kínálatot is.</w:t>
      </w:r>
    </w:p>
    <w:p w14:paraId="5215E5D9" w14:textId="5471E2FA" w:rsidR="009C11A5" w:rsidRPr="006601BC" w:rsidRDefault="00641659" w:rsidP="0098147A">
      <w:pPr>
        <w:pStyle w:val="Point0"/>
        <w:rPr>
          <w:i/>
          <w:noProof/>
        </w:rPr>
      </w:pPr>
      <w:r w:rsidRPr="006601BC">
        <w:rPr>
          <w:noProof/>
        </w:rPr>
        <w:t>(6)</w:t>
      </w:r>
      <w:r w:rsidRPr="006601BC">
        <w:rPr>
          <w:noProof/>
        </w:rPr>
        <w:tab/>
        <w:t xml:space="preserve">A Bizottság egy biztonságos informatikai rendszeren keresztül információkat gyűjt, és nyomon követi a válság szempontjából releváns egészségügyi ellenintézkedések és nyersanyagok Unión belüli és kívüli kínálatára és keresletére vonatkozó valamennyi lényeges információt. Az informatikai rendszer és az EMA által az (EU) .../... rendelet [EMA-rendelet] 9. cikke (1) bekezdése c) pontjának </w:t>
      </w:r>
      <w:r w:rsidRPr="006601BC">
        <w:rPr>
          <w:i/>
          <w:noProof/>
        </w:rPr>
        <w:t>[a cikk száma elfogadás után megerősítendő]</w:t>
      </w:r>
      <w:r w:rsidRPr="006601BC">
        <w:rPr>
          <w:noProof/>
        </w:rPr>
        <w:t xml:space="preserve"> megfelelően kifejlesztett elektronikus nyomonkövetési és jelentési rendszerekkel való interoperabilitást szükség esetén a Bizottság biztosítja.</w:t>
      </w:r>
      <w:r w:rsidRPr="006601BC">
        <w:rPr>
          <w:i/>
          <w:noProof/>
        </w:rPr>
        <w:t xml:space="preserve"> </w:t>
      </w:r>
    </w:p>
    <w:p w14:paraId="2D1F9E6F" w14:textId="0A620CDB" w:rsidR="009C11A5" w:rsidRPr="006601BC" w:rsidRDefault="00641659" w:rsidP="0098147A">
      <w:pPr>
        <w:pStyle w:val="Point0"/>
        <w:rPr>
          <w:noProof/>
          <w:szCs w:val="24"/>
        </w:rPr>
      </w:pPr>
      <w:r w:rsidRPr="006601BC">
        <w:rPr>
          <w:noProof/>
        </w:rPr>
        <w:t>(7)</w:t>
      </w:r>
      <w:r w:rsidRPr="006601BC">
        <w:rPr>
          <w:noProof/>
        </w:rPr>
        <w:tab/>
        <w:t>A Bizottság az (EU) 2018/1993 tanácsi végrehajtási határozatban</w:t>
      </w:r>
      <w:r w:rsidRPr="006601BC">
        <w:rPr>
          <w:rStyle w:val="FootnoteReference"/>
          <w:noProof/>
          <w:szCs w:val="24"/>
        </w:rPr>
        <w:footnoteReference w:id="32"/>
      </w:r>
      <w:r w:rsidRPr="006601BC">
        <w:rPr>
          <w:noProof/>
        </w:rPr>
        <w:t xml:space="preserve"> előírt, politikai szintű integrált válságreagálási mechanizmuson keresztül tájékoztatást nyújt az Európai Parlamentnek és a Tanácsnak a válság szempontjából releváns egészségügyi ellenintézkedések és nyersanyagok monitoringjának eredményeiről.</w:t>
      </w:r>
    </w:p>
    <w:p w14:paraId="310DD1AE" w14:textId="77777777" w:rsidR="009C11A5" w:rsidRPr="006601BC" w:rsidRDefault="009C11A5" w:rsidP="0098147A">
      <w:pPr>
        <w:pStyle w:val="Text1"/>
        <w:rPr>
          <w:noProof/>
        </w:rPr>
      </w:pPr>
      <w:r w:rsidRPr="006601BC">
        <w:rPr>
          <w:noProof/>
        </w:rPr>
        <w:t xml:space="preserve">A Bizottság a politikai szintű integrált válságreagálási mechanizmuson keresztül – adott esetben az érintett uniós ügynökségek támogatásával – az Európai Parlament és a Tanács rendelkezésére bocsátja a válság szempontjából releváns egészségügyi ellenintézkedések és nyersanyagok iránti igényre vonatkozó modellezést és előrejelzéseket. </w:t>
      </w:r>
    </w:p>
    <w:p w14:paraId="7A31D361" w14:textId="77777777" w:rsidR="00241DB6" w:rsidRPr="006601BC" w:rsidRDefault="00241DB6" w:rsidP="00241DB6">
      <w:pPr>
        <w:pStyle w:val="Titrearticle"/>
        <w:spacing w:after="0"/>
        <w:rPr>
          <w:noProof/>
        </w:rPr>
      </w:pPr>
      <w:r w:rsidRPr="006601BC">
        <w:rPr>
          <w:noProof/>
        </w:rPr>
        <w:t>7. cikk</w:t>
      </w:r>
    </w:p>
    <w:p w14:paraId="648721E7" w14:textId="77777777" w:rsidR="00241DB6" w:rsidRPr="006601BC" w:rsidRDefault="007813F3" w:rsidP="0098147A">
      <w:pPr>
        <w:jc w:val="center"/>
        <w:rPr>
          <w:b/>
          <w:i/>
          <w:noProof/>
        </w:rPr>
      </w:pPr>
      <w:r w:rsidRPr="006601BC">
        <w:rPr>
          <w:b/>
          <w:noProof/>
        </w:rPr>
        <w:t xml:space="preserve">A válság szempontjából releváns egészségügyi ellenintézkedések és nyersanyagok beszerzése, megvásárlása és gyártása </w:t>
      </w:r>
    </w:p>
    <w:p w14:paraId="0ABE5CCB" w14:textId="0A8ED057" w:rsidR="003A1E44" w:rsidRPr="006601BC" w:rsidRDefault="005B7B17" w:rsidP="0098147A">
      <w:pPr>
        <w:pStyle w:val="Point0"/>
        <w:rPr>
          <w:noProof/>
          <w:szCs w:val="24"/>
        </w:rPr>
      </w:pPr>
      <w:r w:rsidRPr="006601BC">
        <w:rPr>
          <w:noProof/>
        </w:rPr>
        <w:t>(1)</w:t>
      </w:r>
      <w:r w:rsidRPr="006601BC">
        <w:rPr>
          <w:noProof/>
        </w:rPr>
        <w:tab/>
        <w:t>Ezen intézkedés aktiválása esetén a Bizottság azon tagállamok (a továbbiakban: részt vevő tagállamok) nevében, amelyek azt kívánják, hogy a Bizottság képviselje őket, tárgyalási megbízást hoz létre, hogy a válság szempontjából releváns egészségügyi ellenintézkedések tekintetében központi beszerző szervként járjon el a meglévő szerződések aktiválása vagy új szerződések megkötése révén, amihez az összes olyan rendelkezésre álló eszközt felhasználhatja, mint például az (EU) 2016/369 rendelet 4. cikke, az (EU) .../... rendelet [SCBTH rendelet] 12. cikkében említett közös közbeszerzési eljárás vagy az európai innovációs partnerségek.</w:t>
      </w:r>
    </w:p>
    <w:p w14:paraId="123E185D" w14:textId="23DB51BB" w:rsidR="00505E8F" w:rsidRPr="006601BC" w:rsidRDefault="00C30418" w:rsidP="00D2774E">
      <w:pPr>
        <w:pStyle w:val="Point0"/>
        <w:rPr>
          <w:noProof/>
        </w:rPr>
      </w:pPr>
      <w:r w:rsidRPr="006601BC">
        <w:rPr>
          <w:noProof/>
        </w:rPr>
        <w:t>(2)</w:t>
      </w:r>
      <w:r w:rsidRPr="006601BC">
        <w:rPr>
          <w:noProof/>
        </w:rPr>
        <w:tab/>
        <w:t>A fenti (1) bekezdés sérelme nélkül az e rendelet szerinti beszerzéseket a Bizottság az (EU, Euratom) 2018/1046 európai parlamenti és tanácsi rendeletben</w:t>
      </w:r>
      <w:r w:rsidRPr="006601BC">
        <w:rPr>
          <w:rStyle w:val="FootnoteReference"/>
          <w:noProof/>
        </w:rPr>
        <w:footnoteReference w:id="33"/>
      </w:r>
      <w:r w:rsidRPr="006601BC">
        <w:rPr>
          <w:noProof/>
        </w:rPr>
        <w:t xml:space="preserve"> a saját beszerzései tekintetében meghatározott szabályoknak megfelelően hajtja végre. A közbeszerzési eljárások tekintetében a következő egyszerűsítések alkalmazhatók:</w:t>
      </w:r>
    </w:p>
    <w:p w14:paraId="73396C91" w14:textId="39E3C5C6" w:rsidR="00310A79" w:rsidRPr="006601BC" w:rsidRDefault="0098147A" w:rsidP="0098147A">
      <w:pPr>
        <w:pStyle w:val="Point1"/>
        <w:rPr>
          <w:noProof/>
        </w:rPr>
      </w:pPr>
      <w:r w:rsidRPr="006601BC">
        <w:rPr>
          <w:noProof/>
        </w:rPr>
        <w:t>a)</w:t>
      </w:r>
      <w:r w:rsidRPr="006601BC">
        <w:rPr>
          <w:noProof/>
        </w:rPr>
        <w:tab/>
        <w:t xml:space="preserve">az (EU, Euratom) 2018/1046 rendelet 137. cikkétől eltérve annak a lehetősége, hogy a szerződés aláírását követően nyújtsanak be bizonyítékot a kizárási és kiválasztási kritériumokra vonatkozóan, feltéve, hogy az odaítélés előtt e tekintetben nyilatkozatot nyújtottak be; </w:t>
      </w:r>
    </w:p>
    <w:p w14:paraId="7D06ED22" w14:textId="41CC9E3F" w:rsidR="00505E8F" w:rsidRPr="006601BC" w:rsidRDefault="0098147A" w:rsidP="0098147A">
      <w:pPr>
        <w:pStyle w:val="Point1"/>
        <w:rPr>
          <w:noProof/>
        </w:rPr>
      </w:pPr>
      <w:r w:rsidRPr="006601BC">
        <w:rPr>
          <w:noProof/>
        </w:rPr>
        <w:t>b)</w:t>
      </w:r>
      <w:r w:rsidRPr="006601BC">
        <w:rPr>
          <w:noProof/>
        </w:rPr>
        <w:tab/>
        <w:t>az (EU, Euratom) 2018/1046 rendelet 172. cikkének (2) bekezdésétől eltérve a Bizottság a népegészségügyi szükséghelyzet alakulásához való alkalmazkodás érdekében szükség szerint módosíthatja a szerződést;</w:t>
      </w:r>
    </w:p>
    <w:p w14:paraId="0DC4384D" w14:textId="189F3D03" w:rsidR="00505E8F" w:rsidRPr="006601BC" w:rsidRDefault="00505E8F" w:rsidP="0098147A">
      <w:pPr>
        <w:pStyle w:val="Point1"/>
        <w:rPr>
          <w:noProof/>
          <w:szCs w:val="24"/>
        </w:rPr>
      </w:pPr>
      <w:r w:rsidRPr="006601BC">
        <w:rPr>
          <w:noProof/>
        </w:rPr>
        <w:t>c)</w:t>
      </w:r>
      <w:r w:rsidRPr="006601BC">
        <w:rPr>
          <w:noProof/>
        </w:rPr>
        <w:tab/>
        <w:t>az (EU, Euratom) 2018/1046 rendelet 165. cikkétől eltérve annak a lehetősége, hogy a szerződés aláírását követően a közbeszerzési dokumentumokban nem szereplő ajánlatkérő szerveket vonjanak be;</w:t>
      </w:r>
    </w:p>
    <w:p w14:paraId="3BB09AB2" w14:textId="61DFB525" w:rsidR="00505E8F" w:rsidRPr="006601BC" w:rsidRDefault="0098147A" w:rsidP="0098147A">
      <w:pPr>
        <w:pStyle w:val="Point1"/>
        <w:rPr>
          <w:noProof/>
        </w:rPr>
      </w:pPr>
      <w:r w:rsidRPr="006601BC">
        <w:rPr>
          <w:noProof/>
        </w:rPr>
        <w:t>d)</w:t>
      </w:r>
      <w:r w:rsidRPr="006601BC">
        <w:rPr>
          <w:noProof/>
        </w:rPr>
        <w:tab/>
        <w:t>az (EU, Euratom) 2018/1046 rendelet 172. cikkének (1) bekezdésétől eltérve, az ajánlatkérő szervek az e rendelet alkalmazása céljából végrehajtott közbeszerzések eredményeként létrejött szerződéstervezetek megküldésének időpontjától, de legkésőbb az odaítéléstől számított 24 órán belül jogosultak kérni az áruk és szolgáltatások leszállítását.</w:t>
      </w:r>
    </w:p>
    <w:p w14:paraId="012B6567" w14:textId="77777777" w:rsidR="00206F69" w:rsidRPr="006601BC" w:rsidRDefault="005B7B17" w:rsidP="0098147A">
      <w:pPr>
        <w:pStyle w:val="Point0"/>
        <w:rPr>
          <w:noProof/>
        </w:rPr>
      </w:pPr>
      <w:r w:rsidRPr="006601BC">
        <w:rPr>
          <w:noProof/>
        </w:rPr>
        <w:t>(3)</w:t>
      </w:r>
      <w:r w:rsidRPr="006601BC">
        <w:rPr>
          <w:noProof/>
        </w:rPr>
        <w:tab/>
        <w:t xml:space="preserve">A Bizottságnak adott tárgyalási megbízással összhangban a Bizottság az összes részt vevő tagállam nevében jogosult és felelős lehet a tekintetben, hogy az eredményhez való jog ellenében beszerzési megállapodásokat kössön a gazdasági szereplőkkel, beleértve a válság szempontjából releváns egészségügyi ellenintézkedések egyes gyártóit is, az ilyen ellenintézkedések megvásárlására vagy a gyártás előzetes finanszírozására vagy az ilyen ellenintézkedések fejlesztésére vonatkozóan. </w:t>
      </w:r>
    </w:p>
    <w:p w14:paraId="78DDBF83" w14:textId="77777777" w:rsidR="005B7B17" w:rsidRPr="006601BC" w:rsidRDefault="00AE653E" w:rsidP="0098147A">
      <w:pPr>
        <w:pStyle w:val="Text1"/>
        <w:rPr>
          <w:noProof/>
        </w:rPr>
      </w:pPr>
      <w:r w:rsidRPr="006601BC">
        <w:rPr>
          <w:noProof/>
        </w:rPr>
        <w:t>Az ilyen feladatok elvégzésének előkészítése érdekében a Bizottság képviselői vagy a Bizottság által kijelölt szakértők helyszíni látogatásokat tehetnek a válság szempontjából releváns egészségügyi ellenintézkedések gyártóüzemeinek helyszínein.</w:t>
      </w:r>
    </w:p>
    <w:p w14:paraId="6E08ED0A" w14:textId="5E35399C" w:rsidR="005B7B17" w:rsidRPr="006601BC" w:rsidRDefault="0098147A" w:rsidP="0098147A">
      <w:pPr>
        <w:pStyle w:val="Point0"/>
        <w:rPr>
          <w:noProof/>
        </w:rPr>
      </w:pPr>
      <w:r w:rsidRPr="006601BC">
        <w:rPr>
          <w:noProof/>
        </w:rPr>
        <w:t>(4)</w:t>
      </w:r>
      <w:r w:rsidRPr="006601BC">
        <w:rPr>
          <w:noProof/>
        </w:rPr>
        <w:tab/>
        <w:t xml:space="preserve">A Bizottság képes arra és felelős a tekintetben, hogy aktiválja az EU FAB létesítményhálózatokat annak érdekében, hogy a válság szempontjából releváns egészségügyi ellenintézkedések és nyersanyagok biztosítása céljából a szükséghelyzetre tartalékolt gyártási kapacitásokat bocsásson rendelkezésre, a megállapodás szerinti mennyiségeknek megfelelően és az EU FAB-szerződések ütemezésének megfelelően. A válság szempontjából releváns egészségügyi ellenintézkedések megállapodás szerinti mennyiségeire vonatkozóan egyedi közbeszerzési eljárásokat kell lefolytatni. </w:t>
      </w:r>
    </w:p>
    <w:p w14:paraId="677A85F3" w14:textId="7C7DDD63" w:rsidR="005B7B17" w:rsidRPr="006601BC" w:rsidRDefault="0098147A" w:rsidP="0098147A">
      <w:pPr>
        <w:pStyle w:val="Point0"/>
        <w:rPr>
          <w:noProof/>
        </w:rPr>
      </w:pPr>
      <w:r w:rsidRPr="006601BC">
        <w:rPr>
          <w:noProof/>
        </w:rPr>
        <w:t>(5)</w:t>
      </w:r>
      <w:r w:rsidRPr="006601BC">
        <w:rPr>
          <w:noProof/>
        </w:rPr>
        <w:tab/>
        <w:t>Amennyiben a Bizottság finanszírozást biztosít a válság szempontjából releváns egészségügyi ellenintézkedések gyártásához és/vagy fejlesztéséhez, a Bizottságnak jogában áll megkövetelni az ilyen ellenintézkedésekhez kapcsolódó szellemi tulajdon és know-how méltányos és észszerű feltételek melletti engedélyezését, amennyiben egy gazdasági szereplő felhagy a fejlesztési erőfeszítéseivel, vagy nem tudja biztosítani a megkötött megállapodás feltételei szerinti elegendő mennyiségű és időben történő teljesítést. Az e jog gyakorlására vonatkozó további feltételeket és eljárásokat a gazdasági szereplőkkel kötött egyedi megállapodásokban lehet meghatározni.</w:t>
      </w:r>
    </w:p>
    <w:p w14:paraId="6271BC14" w14:textId="78A7D4A9" w:rsidR="00241DB6" w:rsidRPr="006601BC" w:rsidRDefault="0098147A" w:rsidP="0098147A">
      <w:pPr>
        <w:pStyle w:val="Point0"/>
        <w:rPr>
          <w:noProof/>
        </w:rPr>
      </w:pPr>
      <w:r w:rsidRPr="006601BC">
        <w:rPr>
          <w:noProof/>
        </w:rPr>
        <w:t>(6)</w:t>
      </w:r>
      <w:r w:rsidRPr="006601BC">
        <w:rPr>
          <w:noProof/>
        </w:rPr>
        <w:tab/>
        <w:t xml:space="preserve">A Bizottság lefolytatja a közbeszerzési eljárásokat, és az ennek eredményeként létrejövő megállapodásokat a részt vevő tagállamok nevében megköti a gazdasági szereplőkkel. A Bizottság felkéri az 5. cikkben említett egészségügyi válságtanácsban részt vevő tagállamokat, hogy jelöljenek ki képviselőket a beszerzési eljárások előkészítésében és a beszerzési megállapodások tárgyalásában való részvételre. A válság szempontjából releváns egészségügyi ellenintézkedések bevezetése és alkalmazása továbbra is a részt vevő tagállamok felelőssége. </w:t>
      </w:r>
    </w:p>
    <w:p w14:paraId="40492E52" w14:textId="0FE6690D" w:rsidR="00241DB6" w:rsidRPr="006601BC" w:rsidRDefault="0098147A" w:rsidP="00E615B5">
      <w:pPr>
        <w:pStyle w:val="Titrearticle"/>
        <w:spacing w:after="0"/>
        <w:rPr>
          <w:noProof/>
        </w:rPr>
      </w:pPr>
      <w:r w:rsidRPr="006601BC">
        <w:rPr>
          <w:noProof/>
        </w:rPr>
        <w:t>8. cikk</w:t>
      </w:r>
    </w:p>
    <w:p w14:paraId="5282DE93" w14:textId="3BA0FAB9" w:rsidR="00241DB6" w:rsidRPr="006601BC" w:rsidRDefault="00B47148" w:rsidP="00E615B5">
      <w:pPr>
        <w:jc w:val="center"/>
        <w:rPr>
          <w:b/>
          <w:i/>
          <w:noProof/>
        </w:rPr>
      </w:pPr>
      <w:r w:rsidRPr="006601BC">
        <w:rPr>
          <w:b/>
          <w:noProof/>
        </w:rPr>
        <w:t>A szükséghelyzeti kutatási és innovációs tervek aktiválása és az egész Unióra kiterjedő klinikai vizsgálati hálózatok és adatmegosztó platformok használata</w:t>
      </w:r>
    </w:p>
    <w:p w14:paraId="01A17EA1" w14:textId="473894AE" w:rsidR="00615E6D" w:rsidRPr="006601BC" w:rsidRDefault="00615E6D" w:rsidP="00E615B5">
      <w:pPr>
        <w:pStyle w:val="Point0"/>
        <w:rPr>
          <w:noProof/>
        </w:rPr>
      </w:pPr>
      <w:r w:rsidRPr="006601BC">
        <w:rPr>
          <w:noProof/>
        </w:rPr>
        <w:t>(1)</w:t>
      </w:r>
      <w:r w:rsidRPr="006601BC">
        <w:rPr>
          <w:noProof/>
        </w:rPr>
        <w:tab/>
        <w:t>Ezen intézkedés aktiválása esetén a Bizottság és a tagállamok aktiválják az (EU) .../... rendeletben [SCBTH-rendelet] említett uniós készültségi és reagálási terv szükséghelyzeti és innovációs vonatkozásait.</w:t>
      </w:r>
    </w:p>
    <w:p w14:paraId="2B839612" w14:textId="751BF7D0" w:rsidR="00615E6D" w:rsidRPr="006601BC" w:rsidRDefault="00615E6D" w:rsidP="00E615B5">
      <w:pPr>
        <w:pStyle w:val="Point0"/>
        <w:rPr>
          <w:noProof/>
        </w:rPr>
      </w:pPr>
      <w:r w:rsidRPr="006601BC">
        <w:rPr>
          <w:noProof/>
        </w:rPr>
        <w:t>(2)</w:t>
      </w:r>
      <w:r w:rsidRPr="006601BC">
        <w:rPr>
          <w:noProof/>
        </w:rPr>
        <w:tab/>
        <w:t xml:space="preserve">A Bizottság támogatja a klinikai vizsgálatokból származó releváns adatokhoz, valamint a valós adatokhoz való hozzáférést. Amennyiben lehetséges, a Bizottság a meglévő felkészültségi kutatási kezdeményezésekre, például a klinikai vizsgálatok és megfigyelő vizsgálatok uniós szintű hálózataira vagy a digitális platformok és infrastruktúrák – például a nagy teljesítményű számítástechnika – által támogatott stratégiai kohortokra támaszkodik, amelyek lehetővé teszik a megtalálható, hozzáférhető, interoperábilis és újrafelhasználható adatok nyílt megosztását, valamint az illetékes nemzeti szervek azon tevékenységeire, amelyek támogatják az adatok, köztük az egészségügyi adatok rendelkezésre állását és az azokhoz való hozzáférést. </w:t>
      </w:r>
    </w:p>
    <w:p w14:paraId="42A87143" w14:textId="1DB87FC0" w:rsidR="00615E6D" w:rsidRPr="006601BC" w:rsidRDefault="008633AE" w:rsidP="00E615B5">
      <w:pPr>
        <w:pStyle w:val="Point0"/>
        <w:rPr>
          <w:noProof/>
        </w:rPr>
      </w:pPr>
      <w:r w:rsidRPr="006601BC">
        <w:rPr>
          <w:noProof/>
        </w:rPr>
        <w:t>(3)</w:t>
      </w:r>
      <w:r w:rsidRPr="006601BC">
        <w:rPr>
          <w:noProof/>
        </w:rPr>
        <w:tab/>
        <w:t>A klinikai vizsgálatokra vonatkozó intézkedések meghatározásába a Bizottság bevonja az (EU) .../... rendelettel [az EMA-rendelet] létrehozott EMA szükséghelyzeti munkacsoportot, valamint biztosítja az ECDC-vel való koordinációt.</w:t>
      </w:r>
    </w:p>
    <w:p w14:paraId="530DE15E" w14:textId="4CFED9CD" w:rsidR="00615E6D" w:rsidRPr="006601BC" w:rsidRDefault="008633AE" w:rsidP="00E615B5">
      <w:pPr>
        <w:pStyle w:val="Point0"/>
        <w:rPr>
          <w:noProof/>
        </w:rPr>
      </w:pPr>
      <w:r w:rsidRPr="006601BC">
        <w:rPr>
          <w:noProof/>
        </w:rPr>
        <w:t>(4)</w:t>
      </w:r>
      <w:r w:rsidRPr="006601BC">
        <w:rPr>
          <w:noProof/>
        </w:rPr>
        <w:tab/>
        <w:t xml:space="preserve">Az Uniónak a tagállamokkal közös uniós készültségi és reagálási terv veszélyhelyzeti kutatási és innovációs vonatkozásait illető részvétele és hozzájárulása összhangban kell, hogy legyen a különböző többéves pénzügyi keretprogramok szabályaival és eljárásaival. </w:t>
      </w:r>
    </w:p>
    <w:p w14:paraId="4A1E9910" w14:textId="77777777" w:rsidR="00241DB6" w:rsidRPr="006601BC" w:rsidRDefault="006B7BE1" w:rsidP="00E615B5">
      <w:pPr>
        <w:pStyle w:val="Titrearticle"/>
        <w:spacing w:after="0"/>
        <w:rPr>
          <w:noProof/>
        </w:rPr>
      </w:pPr>
      <w:r w:rsidRPr="006601BC">
        <w:rPr>
          <w:noProof/>
        </w:rPr>
        <w:t>9. cikk</w:t>
      </w:r>
    </w:p>
    <w:p w14:paraId="12E2C6B8" w14:textId="77777777" w:rsidR="00241DB6" w:rsidRPr="006601BC" w:rsidRDefault="00CE4B25" w:rsidP="00E615B5">
      <w:pPr>
        <w:jc w:val="center"/>
        <w:rPr>
          <w:b/>
          <w:noProof/>
        </w:rPr>
      </w:pPr>
      <w:r w:rsidRPr="006601BC">
        <w:rPr>
          <w:b/>
          <w:noProof/>
        </w:rPr>
        <w:t xml:space="preserve">A válság szempontjából releváns egészségügyi ellenintézkedések gyártásának és gyártóüzemeinek a nyilvántartása </w:t>
      </w:r>
    </w:p>
    <w:p w14:paraId="20EE3466" w14:textId="7502A16B" w:rsidR="00E7278C" w:rsidRPr="006601BC" w:rsidRDefault="00E7278C" w:rsidP="00E615B5">
      <w:pPr>
        <w:pStyle w:val="Point0"/>
        <w:rPr>
          <w:noProof/>
        </w:rPr>
      </w:pPr>
      <w:r w:rsidRPr="006601BC">
        <w:rPr>
          <w:noProof/>
        </w:rPr>
        <w:t>(1)</w:t>
      </w:r>
      <w:r w:rsidRPr="006601BC">
        <w:rPr>
          <w:noProof/>
        </w:rPr>
        <w:tab/>
        <w:t xml:space="preserve">Ezen intézkedés aktiválása esetén a Bizottság – az egészségügyi válságtanáccsal folytatott konzultációt követően – nyilvántartást készíthet, és e célból felkérheti a válság szempontjából releváns egészségügyi ellenintézkedések gyártóit, hogy 5 napon belül tájékoztassák a Bizottságot a válság szempontjából releváns egészségügyi ellenintézkedések és azok összetevőinek tényleges teljes gyártási kapacitásairól és lehetséges meglévő készleteiről az általuk üzemeltetett vagy velük szerződésben lévő, illetve őket ellátó uniós gyártóüzemekben és harmadik országbeli üzemekben, és hogy minden egyes uniós gyártóüzem tekintetében juttassanak el a Bizottsághoz egy, a következő három hónapra várható gyártási teljesítményre vonatkozó ütemtervet. </w:t>
      </w:r>
    </w:p>
    <w:p w14:paraId="6D5CDF54" w14:textId="07B0EA75" w:rsidR="00E7278C" w:rsidRPr="006601BC" w:rsidRDefault="00E7278C" w:rsidP="00E615B5">
      <w:pPr>
        <w:pStyle w:val="Point0"/>
        <w:rPr>
          <w:noProof/>
        </w:rPr>
      </w:pPr>
      <w:r w:rsidRPr="006601BC">
        <w:rPr>
          <w:noProof/>
        </w:rPr>
        <w:t>(2)</w:t>
      </w:r>
      <w:r w:rsidRPr="006601BC">
        <w:rPr>
          <w:noProof/>
        </w:rPr>
        <w:tab/>
        <w:t xml:space="preserve">A Bizottság felkérésére a válság szempontjából releváns egészségügyi ellenintézkedések minden gyártója legfeljebb 5 napon belül tájékoztatja a Bizottságot az általa üzemeltetett, a válság szempontjából releváns egészségügyi ellenintézkedéseket gyártó uniós üzemről, beleértve – rendszeres frissítések útján – a válság szempontjából releváns egészségügyi ellenintézkedéseket illető termelési kapacitására vonatkozó információkat is. Gyógyszerek esetében ez az információ magában foglalja mind a késztermékekkel, mind pedig a gyógyszerhatóanyagokkal kapcsolatos létesítményeket is. </w:t>
      </w:r>
    </w:p>
    <w:p w14:paraId="1EF09526" w14:textId="78C99C1F" w:rsidR="00241DB6" w:rsidRPr="006601BC" w:rsidRDefault="00E7278C" w:rsidP="00E615B5">
      <w:pPr>
        <w:pStyle w:val="Point0"/>
        <w:rPr>
          <w:noProof/>
        </w:rPr>
      </w:pPr>
      <w:r w:rsidRPr="006601BC">
        <w:rPr>
          <w:noProof/>
        </w:rPr>
        <w:t>(3)</w:t>
      </w:r>
      <w:r w:rsidRPr="006601BC">
        <w:rPr>
          <w:noProof/>
        </w:rPr>
        <w:tab/>
        <w:t xml:space="preserve">A Bizottság rendszeresen tájékoztatja az Európai Parlamentet és a Tanácsot a válság szempontjából releváns egészségügyi ellenintézkedések gyártásáról és az Unión belül várható gyártási mennyiségről, valamint a harmadik országbeli gyártóüzemekből származó ellenintézkedésekről – legyen szó akár késztermékekről, köztes termékekről vagy egyéb összetevőkről –, továbbá a válság szempontjából releváns egészségügyi ellenintézkedések uniós és harmadik országbeli gyártóüzemeinek a kapacitásáról, a gyártók bizalmas üzleti adatainak megfelelő védelme mellett. </w:t>
      </w:r>
    </w:p>
    <w:p w14:paraId="7F75AEFF" w14:textId="77777777" w:rsidR="00E615B5" w:rsidRPr="006601BC" w:rsidRDefault="006B7BE1" w:rsidP="00E615B5">
      <w:pPr>
        <w:pStyle w:val="Titrearticle"/>
        <w:spacing w:after="0"/>
        <w:rPr>
          <w:noProof/>
        </w:rPr>
      </w:pPr>
      <w:r w:rsidRPr="006601BC">
        <w:rPr>
          <w:noProof/>
        </w:rPr>
        <w:t>10. cikk</w:t>
      </w:r>
    </w:p>
    <w:p w14:paraId="0E96A18F" w14:textId="69774AA5" w:rsidR="00241DB6" w:rsidRPr="006601BC" w:rsidRDefault="00CE4B25" w:rsidP="00E615B5">
      <w:pPr>
        <w:jc w:val="center"/>
        <w:rPr>
          <w:rStyle w:val="Aucun"/>
          <w:i/>
          <w:noProof/>
        </w:rPr>
      </w:pPr>
      <w:r w:rsidRPr="006601BC">
        <w:rPr>
          <w:rStyle w:val="Aucun"/>
          <w:b/>
          <w:noProof/>
        </w:rPr>
        <w:t>A válság szempontjából releváns</w:t>
      </w:r>
      <w:r w:rsidRPr="006601BC">
        <w:rPr>
          <w:b/>
          <w:noProof/>
        </w:rPr>
        <w:t xml:space="preserve"> nyersanyagok, fogyóeszközök, eszközök, berendezések és infrastruktúra nyilvántartása </w:t>
      </w:r>
    </w:p>
    <w:p w14:paraId="73B82345" w14:textId="53F1986B" w:rsidR="00241DB6" w:rsidRPr="006601BC" w:rsidRDefault="0075324F" w:rsidP="00B00015">
      <w:pPr>
        <w:rPr>
          <w:noProof/>
        </w:rPr>
      </w:pPr>
      <w:r w:rsidRPr="006601BC">
        <w:rPr>
          <w:noProof/>
        </w:rPr>
        <w:t xml:space="preserve">Ezen intézkedés aktiválása esetén a Bizottság kiterjeszti a 9. cikkben előírt nyilvántartást a válság szempontjából releváns nyersanyagokra, fogyóeszközökre, eszközökre, berendezésekre és infrastruktúrára, amennyiben úgy ítéli meg, hogy a válság szempontjából releváns nyersanyagokkal, fogyóeszközökkel, eszközökkel és berendezésekkel vagy az infrastruktúrával való </w:t>
      </w:r>
      <w:r w:rsidRPr="006601BC">
        <w:rPr>
          <w:rStyle w:val="Aucun"/>
          <w:noProof/>
        </w:rPr>
        <w:t>ellátást illetően a hiány kockázata áll fenn</w:t>
      </w:r>
      <w:r w:rsidRPr="006601BC">
        <w:rPr>
          <w:noProof/>
        </w:rPr>
        <w:t>.</w:t>
      </w:r>
    </w:p>
    <w:p w14:paraId="4EFDB39B" w14:textId="3CEB699A" w:rsidR="00241DB6" w:rsidRPr="006601BC" w:rsidRDefault="006B7BE1" w:rsidP="00E615B5">
      <w:pPr>
        <w:pStyle w:val="Titrearticle"/>
        <w:spacing w:after="0"/>
        <w:rPr>
          <w:noProof/>
        </w:rPr>
      </w:pPr>
      <w:r w:rsidRPr="006601BC">
        <w:rPr>
          <w:noProof/>
        </w:rPr>
        <w:t>11. cikk</w:t>
      </w:r>
    </w:p>
    <w:p w14:paraId="75E024CF" w14:textId="77777777" w:rsidR="00241DB6" w:rsidRPr="006601BC" w:rsidRDefault="009F617A" w:rsidP="00E615B5">
      <w:pPr>
        <w:jc w:val="center"/>
        <w:rPr>
          <w:b/>
          <w:noProof/>
        </w:rPr>
      </w:pPr>
      <w:r w:rsidRPr="006601BC">
        <w:rPr>
          <w:b/>
          <w:noProof/>
        </w:rPr>
        <w:t>A válság szempontjából releváns egészségügyi ellenintézkedések rendelkezésre állását és rendelkezésre bocsátását biztosító intézkedések</w:t>
      </w:r>
    </w:p>
    <w:p w14:paraId="32F121CB" w14:textId="4508F81D" w:rsidR="00241DB6" w:rsidRPr="006601BC" w:rsidRDefault="00BB68C4" w:rsidP="00BB68C4">
      <w:pPr>
        <w:pStyle w:val="Point0"/>
        <w:rPr>
          <w:noProof/>
        </w:rPr>
      </w:pPr>
      <w:r w:rsidRPr="00BB68C4">
        <w:t>(1)</w:t>
      </w:r>
      <w:r w:rsidRPr="00BB68C4">
        <w:tab/>
      </w:r>
      <w:r w:rsidR="0075324F" w:rsidRPr="006601BC">
        <w:rPr>
          <w:noProof/>
        </w:rPr>
        <w:t xml:space="preserve">Ezen intézkedés aktiválása esetén a Bizottság, amennyiben úgy ítéli meg, hogy fennáll a válság szempontjából releváns nyersanyagok, fogyóeszközök, eszközök, berendezések és infrastruktúra hiányának kockázata, az érintett tagállamokkal együtt a lehető leggyorsabban egyedi intézkedéseket hajt végre az ellátási láncok és a gyártósorok hatékony átszervezésének biztosítása érdekében, és felhasználja a meglévő készleteket a válság szempontjából releváns egészségügyi ellenintézkedések rendelkezésre állásának és kínálatának növelése érdekében. </w:t>
      </w:r>
    </w:p>
    <w:p w14:paraId="67AA47AE" w14:textId="7601FB0C" w:rsidR="00241DB6" w:rsidRPr="006601BC" w:rsidRDefault="00BB68C4" w:rsidP="00BB68C4">
      <w:pPr>
        <w:pStyle w:val="Point0"/>
        <w:rPr>
          <w:noProof/>
        </w:rPr>
      </w:pPr>
      <w:r w:rsidRPr="00BB68C4">
        <w:t>(2)</w:t>
      </w:r>
      <w:r w:rsidRPr="00BB68C4">
        <w:tab/>
      </w:r>
      <w:r w:rsidR="00241DB6" w:rsidRPr="006601BC">
        <w:rPr>
          <w:noProof/>
        </w:rPr>
        <w:t>Az (1) bekezdésben említett intézkedések különösen az alábbiakat foglalják magukban:</w:t>
      </w:r>
    </w:p>
    <w:p w14:paraId="0A8CBD60" w14:textId="6AE4440A" w:rsidR="00241DB6" w:rsidRPr="006601BC" w:rsidRDefault="00E615B5" w:rsidP="00E615B5">
      <w:pPr>
        <w:pStyle w:val="Point1"/>
        <w:rPr>
          <w:noProof/>
        </w:rPr>
      </w:pPr>
      <w:r w:rsidRPr="006601BC">
        <w:rPr>
          <w:noProof/>
        </w:rPr>
        <w:t>a)</w:t>
      </w:r>
      <w:r w:rsidRPr="006601BC">
        <w:rPr>
          <w:noProof/>
        </w:rPr>
        <w:tab/>
        <w:t>a válság szempontjából releváns egészségügyi ellenintézkedésekhez szükséges meglévő gyártási kapacitások bővítésének vagy újrapozicionálásának, illetve új gyártási kapacitások létrehozásának az elősegítése;</w:t>
      </w:r>
    </w:p>
    <w:p w14:paraId="5449B336" w14:textId="511D5EE3" w:rsidR="00241DB6" w:rsidRPr="006601BC" w:rsidRDefault="00E615B5" w:rsidP="00E615B5">
      <w:pPr>
        <w:pStyle w:val="Point1"/>
        <w:rPr>
          <w:noProof/>
        </w:rPr>
      </w:pPr>
      <w:r w:rsidRPr="006601BC">
        <w:rPr>
          <w:noProof/>
        </w:rPr>
        <w:t>b)</w:t>
      </w:r>
      <w:r w:rsidRPr="006601BC">
        <w:rPr>
          <w:noProof/>
        </w:rPr>
        <w:tab/>
        <w:t>a tevékenységekhez kapcsolódó meglévő kapacitások bővítésének vagy új kapacitások létrehozásának az elősegítése, szabályozási rugalmasságot biztosító intézkedések bevezetése, amelyek célja a válság szempontjából releváns egészségügyi ellenintézkedések gyártásának és forgalomba hozatalának a támogatása;</w:t>
      </w:r>
    </w:p>
    <w:p w14:paraId="2A6D0652" w14:textId="1370AC18" w:rsidR="00241DB6" w:rsidRPr="006601BC" w:rsidRDefault="00E615B5" w:rsidP="00E615B5">
      <w:pPr>
        <w:pStyle w:val="Point1"/>
        <w:rPr>
          <w:noProof/>
          <w:szCs w:val="24"/>
        </w:rPr>
      </w:pPr>
      <w:r w:rsidRPr="006601BC">
        <w:rPr>
          <w:noProof/>
        </w:rPr>
        <w:t>c)</w:t>
      </w:r>
      <w:r w:rsidRPr="006601BC">
        <w:rPr>
          <w:noProof/>
        </w:rPr>
        <w:tab/>
        <w:t>közbeszerzési kezdeményezések végrehajtása, készletek és gyártási kapacitások fenntartása a megközelítések összehangolása érdekében, valamint a kritikus ellátás, szolgáltatások és erőforrások biztosítása a válság szempontjából releváns egészségügyi ellenintézkedésekhez;</w:t>
      </w:r>
    </w:p>
    <w:p w14:paraId="33983A40" w14:textId="482763DE" w:rsidR="00241DB6" w:rsidRPr="006601BC" w:rsidRDefault="005D5FFE" w:rsidP="00E615B5">
      <w:pPr>
        <w:pStyle w:val="Point1"/>
        <w:rPr>
          <w:noProof/>
        </w:rPr>
      </w:pPr>
      <w:r w:rsidRPr="006601BC">
        <w:rPr>
          <w:noProof/>
        </w:rPr>
        <w:t>d)</w:t>
      </w:r>
      <w:r w:rsidRPr="006601BC">
        <w:rPr>
          <w:noProof/>
        </w:rPr>
        <w:tab/>
        <w:t>az érintett vállalkozások közös ágazati erőfeszítések keretében történő együttműködésének elősegítése, a válság szempontjából releváns egészségügyi ellenintézkedések rendelkezésre állásának és kínálatának biztosítása érdekében; és</w:t>
      </w:r>
    </w:p>
    <w:p w14:paraId="71FF8782" w14:textId="61B81271" w:rsidR="00AF48BC" w:rsidRPr="006601BC" w:rsidRDefault="005D5FFE" w:rsidP="00E615B5">
      <w:pPr>
        <w:pStyle w:val="Point1"/>
        <w:rPr>
          <w:noProof/>
        </w:rPr>
      </w:pPr>
      <w:r w:rsidRPr="006601BC">
        <w:rPr>
          <w:noProof/>
        </w:rPr>
        <w:t>e)</w:t>
      </w:r>
      <w:r w:rsidRPr="006601BC">
        <w:rPr>
          <w:noProof/>
        </w:rPr>
        <w:tab/>
        <w:t>a válság szempontjából releváns egészségügyi ellenintézkedésekhez fűződő szellemi tulajdon és know-how engedélyezésének megkönnyítése.</w:t>
      </w:r>
    </w:p>
    <w:p w14:paraId="72FE7365" w14:textId="77777777" w:rsidR="00241DB6" w:rsidRPr="006601BC" w:rsidRDefault="00F61029" w:rsidP="00E615B5">
      <w:pPr>
        <w:pStyle w:val="Point0"/>
        <w:rPr>
          <w:noProof/>
        </w:rPr>
      </w:pPr>
      <w:r w:rsidRPr="006601BC">
        <w:rPr>
          <w:noProof/>
        </w:rPr>
        <w:t>(3)</w:t>
      </w:r>
      <w:r w:rsidRPr="006601BC">
        <w:rPr>
          <w:noProof/>
        </w:rPr>
        <w:tab/>
        <w:t xml:space="preserve">A Bizottság a (2) bekezdésben említett intézkedések gyors végrehajtásának biztosításához szükség szerint pénzügyi ösztönzőket biztosíthat. </w:t>
      </w:r>
    </w:p>
    <w:p w14:paraId="11231EF6" w14:textId="77777777" w:rsidR="00F61029" w:rsidRPr="006601BC" w:rsidRDefault="00F61029" w:rsidP="00E615B5">
      <w:pPr>
        <w:pStyle w:val="Titrearticle"/>
        <w:spacing w:after="0"/>
        <w:rPr>
          <w:noProof/>
        </w:rPr>
      </w:pPr>
      <w:r w:rsidRPr="006601BC">
        <w:rPr>
          <w:noProof/>
        </w:rPr>
        <w:t>12. cikk</w:t>
      </w:r>
    </w:p>
    <w:p w14:paraId="0B678203" w14:textId="77777777" w:rsidR="00F61029" w:rsidRPr="006601BC" w:rsidRDefault="00F61029" w:rsidP="00E615B5">
      <w:pPr>
        <w:jc w:val="center"/>
        <w:rPr>
          <w:b/>
          <w:i/>
          <w:noProof/>
        </w:rPr>
      </w:pPr>
      <w:r w:rsidRPr="006601BC">
        <w:rPr>
          <w:b/>
          <w:noProof/>
        </w:rPr>
        <w:t xml:space="preserve">Felülvizsgálat </w:t>
      </w:r>
    </w:p>
    <w:p w14:paraId="1CF35AE0" w14:textId="13481083" w:rsidR="00D16D3E" w:rsidRPr="006601BC" w:rsidRDefault="00E615B5" w:rsidP="00E615B5">
      <w:pPr>
        <w:rPr>
          <w:i/>
          <w:noProof/>
        </w:rPr>
      </w:pPr>
      <w:r w:rsidRPr="006601BC">
        <w:rPr>
          <w:noProof/>
        </w:rPr>
        <w:t xml:space="preserve">A Bizottság legkésőbb 2025-ig, majd azt követően ötévente elvégzi e rendelet értékelését, és a főbb megállapításokról jelentést nyújt be az Európai Parlamentnek és a Tanácsnak. </w:t>
      </w:r>
    </w:p>
    <w:p w14:paraId="3EF1F62D" w14:textId="77777777" w:rsidR="00D16D3E" w:rsidRPr="006601BC" w:rsidRDefault="00D16D3E" w:rsidP="00E615B5">
      <w:pPr>
        <w:pStyle w:val="Titrearticle"/>
        <w:spacing w:after="0"/>
        <w:rPr>
          <w:noProof/>
        </w:rPr>
      </w:pPr>
      <w:r w:rsidRPr="006601BC">
        <w:rPr>
          <w:noProof/>
        </w:rPr>
        <w:t>13. cikk</w:t>
      </w:r>
    </w:p>
    <w:p w14:paraId="637DFC07" w14:textId="77777777" w:rsidR="00D16D3E" w:rsidRPr="006601BC" w:rsidRDefault="00D16D3E" w:rsidP="00D16D3E">
      <w:pPr>
        <w:jc w:val="center"/>
        <w:rPr>
          <w:b/>
          <w:noProof/>
        </w:rPr>
      </w:pPr>
      <w:r w:rsidRPr="006601BC">
        <w:rPr>
          <w:b/>
          <w:noProof/>
        </w:rPr>
        <w:t xml:space="preserve">A szükséghelyzeti finanszírozás aktiválása </w:t>
      </w:r>
    </w:p>
    <w:p w14:paraId="29C08C09" w14:textId="1D0D67C5" w:rsidR="00D16D3E" w:rsidRPr="006601BC" w:rsidRDefault="00D16D3E" w:rsidP="0034447D">
      <w:pPr>
        <w:pStyle w:val="Point0"/>
        <w:ind w:left="0" w:firstLine="0"/>
        <w:rPr>
          <w:noProof/>
        </w:rPr>
      </w:pPr>
      <w:r w:rsidRPr="006601BC">
        <w:rPr>
          <w:noProof/>
        </w:rPr>
        <w:t xml:space="preserve">Ezen intézkedés aktiválása esetén az (EU) 2016/369 rendelet szerinti szükséghelyzeti támogatást aktiválják a népegészségügyi szükséghelyzet kezeléséhez szükséges kiadások e rendelettel összhangban történő finanszírozására. </w:t>
      </w:r>
    </w:p>
    <w:p w14:paraId="7BD2EC08" w14:textId="77777777" w:rsidR="00241DB6" w:rsidRPr="006601BC" w:rsidRDefault="00F61029" w:rsidP="00E615B5">
      <w:pPr>
        <w:pStyle w:val="Titrearticle"/>
        <w:spacing w:after="0"/>
        <w:rPr>
          <w:noProof/>
        </w:rPr>
      </w:pPr>
      <w:r w:rsidRPr="006601BC">
        <w:rPr>
          <w:noProof/>
        </w:rPr>
        <w:t>14. cikk</w:t>
      </w:r>
    </w:p>
    <w:p w14:paraId="65B5EF42" w14:textId="77777777" w:rsidR="00241DB6" w:rsidRPr="006601BC" w:rsidRDefault="00241DB6" w:rsidP="00E615B5">
      <w:pPr>
        <w:jc w:val="center"/>
        <w:rPr>
          <w:b/>
          <w:i/>
          <w:noProof/>
        </w:rPr>
      </w:pPr>
      <w:r w:rsidRPr="006601BC">
        <w:rPr>
          <w:b/>
          <w:noProof/>
        </w:rPr>
        <w:t xml:space="preserve">Hatálybalépés </w:t>
      </w:r>
    </w:p>
    <w:p w14:paraId="0FA896AA" w14:textId="77777777" w:rsidR="00241DB6" w:rsidRPr="006601BC" w:rsidRDefault="00241DB6" w:rsidP="00241DB6">
      <w:pPr>
        <w:rPr>
          <w:rFonts w:eastAsia="Times New Roman"/>
          <w:noProof/>
          <w:szCs w:val="24"/>
        </w:rPr>
      </w:pPr>
      <w:r w:rsidRPr="006601BC">
        <w:rPr>
          <w:noProof/>
        </w:rPr>
        <w:t xml:space="preserve">Ez a rendelet az </w:t>
      </w:r>
      <w:r w:rsidRPr="006601BC">
        <w:rPr>
          <w:i/>
          <w:noProof/>
        </w:rPr>
        <w:t>Európai Unió Hivatalos Lapjában</w:t>
      </w:r>
      <w:r w:rsidRPr="006601BC">
        <w:rPr>
          <w:noProof/>
        </w:rPr>
        <w:t xml:space="preserve"> való kihirdetését követő huszadik napon lép hatályba.</w:t>
      </w:r>
    </w:p>
    <w:p w14:paraId="51A8A982" w14:textId="77777777" w:rsidR="00241DB6" w:rsidRPr="006601BC" w:rsidRDefault="00241DB6" w:rsidP="00F54AB5">
      <w:pPr>
        <w:pStyle w:val="Applicationdirecte"/>
        <w:keepNext/>
        <w:keepLines/>
        <w:rPr>
          <w:rFonts w:eastAsia="Calibri"/>
          <w:noProof/>
        </w:rPr>
      </w:pPr>
      <w:r w:rsidRPr="006601BC">
        <w:rPr>
          <w:noProof/>
        </w:rPr>
        <w:t>Ez a rendelet teljes egészében kötelező és közvetlenül alkalmazandó valamennyi tagállamban.</w:t>
      </w:r>
    </w:p>
    <w:p w14:paraId="7F1EC77F" w14:textId="3DF05CE6" w:rsidR="00241DB6" w:rsidRPr="006601BC" w:rsidRDefault="00146077" w:rsidP="00F54AB5">
      <w:pPr>
        <w:pStyle w:val="Fait"/>
        <w:rPr>
          <w:noProof/>
        </w:rPr>
      </w:pPr>
      <w:r w:rsidRPr="00146077">
        <w:t>Kelt Brüsszelben, -án/-én.</w:t>
      </w:r>
    </w:p>
    <w:p w14:paraId="5AD83F1B" w14:textId="77777777" w:rsidR="00241DB6" w:rsidRPr="006601BC" w:rsidRDefault="00241DB6" w:rsidP="00F54AB5">
      <w:pPr>
        <w:pStyle w:val="Institutionquisigne"/>
        <w:rPr>
          <w:noProof/>
        </w:rPr>
      </w:pPr>
      <w:r w:rsidRPr="006601BC">
        <w:rPr>
          <w:noProof/>
        </w:rPr>
        <w:tab/>
        <w:t>a Tanács részéről</w:t>
      </w:r>
    </w:p>
    <w:p w14:paraId="2F365D7D" w14:textId="77777777" w:rsidR="00BC3EBC" w:rsidRPr="006601BC" w:rsidRDefault="00E615B5" w:rsidP="00E615B5">
      <w:pPr>
        <w:pStyle w:val="Personnequisigne"/>
        <w:rPr>
          <w:noProof/>
        </w:rPr>
      </w:pPr>
      <w:r w:rsidRPr="006601BC">
        <w:rPr>
          <w:noProof/>
        </w:rPr>
        <w:tab/>
        <w:t>az elnök</w:t>
      </w:r>
    </w:p>
    <w:p w14:paraId="3F5D8C0C" w14:textId="77777777" w:rsidR="00BC3EBC" w:rsidRPr="006601BC" w:rsidRDefault="00BC3EBC" w:rsidP="00BC3EBC">
      <w:pPr>
        <w:rPr>
          <w:noProof/>
        </w:rPr>
        <w:sectPr w:rsidR="00BC3EBC" w:rsidRPr="006601BC" w:rsidSect="00EF5D4F">
          <w:footerReference w:type="default" r:id="rId13"/>
          <w:footerReference w:type="first" r:id="rId14"/>
          <w:pgSz w:w="11907" w:h="16839"/>
          <w:pgMar w:top="1134" w:right="1417" w:bottom="1134" w:left="1417" w:header="709" w:footer="709" w:gutter="0"/>
          <w:cols w:space="708"/>
          <w:docGrid w:linePitch="360"/>
        </w:sectPr>
      </w:pPr>
    </w:p>
    <w:p w14:paraId="3CB869C9" w14:textId="77777777" w:rsidR="00BC3EBC" w:rsidRPr="006601BC" w:rsidRDefault="00BC3EBC" w:rsidP="002D5864">
      <w:pPr>
        <w:pStyle w:val="Fichefinanciretitre"/>
        <w:keepNext/>
        <w:rPr>
          <w:noProof/>
        </w:rPr>
      </w:pPr>
      <w:r w:rsidRPr="006601BC">
        <w:rPr>
          <w:noProof/>
        </w:rPr>
        <w:t>PÉNZÜGYI KIMUTATÁS</w:t>
      </w:r>
    </w:p>
    <w:p w14:paraId="6E11F00C" w14:textId="50389084" w:rsidR="006B6CB2" w:rsidRDefault="007D7104">
      <w:pPr>
        <w:pStyle w:val="TOC1"/>
        <w:rPr>
          <w:rFonts w:asciiTheme="minorHAnsi" w:eastAsiaTheme="minorEastAsia" w:hAnsiTheme="minorHAnsi" w:cstheme="minorBidi"/>
          <w:noProof/>
          <w:sz w:val="22"/>
          <w:lang w:val="en-US"/>
        </w:rPr>
      </w:pPr>
      <w:r w:rsidRPr="006601BC">
        <w:rPr>
          <w:b/>
          <w:bCs/>
          <w:noProof/>
        </w:rPr>
        <w:fldChar w:fldCharType="begin"/>
      </w:r>
      <w:r w:rsidRPr="006601BC">
        <w:rPr>
          <w:b/>
          <w:bCs/>
          <w:noProof/>
        </w:rPr>
        <w:instrText xml:space="preserve"> TOC \o "1-3" \h \z \u </w:instrText>
      </w:r>
      <w:r w:rsidRPr="006601BC">
        <w:rPr>
          <w:b/>
          <w:bCs/>
          <w:noProof/>
        </w:rPr>
        <w:fldChar w:fldCharType="separate"/>
      </w:r>
      <w:hyperlink w:anchor="_Toc86321131" w:history="1">
        <w:r w:rsidR="006B6CB2" w:rsidRPr="00DA1B77">
          <w:rPr>
            <w:rStyle w:val="Hyperlink"/>
            <w:noProof/>
          </w:rPr>
          <w:t>1.</w:t>
        </w:r>
        <w:r w:rsidR="006B6CB2">
          <w:rPr>
            <w:rFonts w:asciiTheme="minorHAnsi" w:eastAsiaTheme="minorEastAsia" w:hAnsiTheme="minorHAnsi" w:cstheme="minorBidi"/>
            <w:noProof/>
            <w:sz w:val="22"/>
            <w:lang w:val="en-US"/>
          </w:rPr>
          <w:tab/>
        </w:r>
        <w:r w:rsidR="006B6CB2" w:rsidRPr="00DA1B77">
          <w:rPr>
            <w:rStyle w:val="Hyperlink"/>
            <w:noProof/>
          </w:rPr>
          <w:t>A JAVASLAT HÁTTERE</w:t>
        </w:r>
        <w:r w:rsidR="006B6CB2">
          <w:rPr>
            <w:noProof/>
            <w:webHidden/>
          </w:rPr>
          <w:tab/>
        </w:r>
        <w:r w:rsidR="006B6CB2">
          <w:rPr>
            <w:noProof/>
            <w:webHidden/>
          </w:rPr>
          <w:fldChar w:fldCharType="begin"/>
        </w:r>
        <w:r w:rsidR="006B6CB2">
          <w:rPr>
            <w:noProof/>
            <w:webHidden/>
          </w:rPr>
          <w:instrText xml:space="preserve"> PAGEREF _Toc86321131 \h </w:instrText>
        </w:r>
        <w:r w:rsidR="006B6CB2">
          <w:rPr>
            <w:noProof/>
            <w:webHidden/>
          </w:rPr>
        </w:r>
        <w:r w:rsidR="006B6CB2">
          <w:rPr>
            <w:noProof/>
            <w:webHidden/>
          </w:rPr>
          <w:fldChar w:fldCharType="separate"/>
        </w:r>
        <w:r w:rsidR="006B6CB2">
          <w:rPr>
            <w:noProof/>
            <w:webHidden/>
          </w:rPr>
          <w:t>1</w:t>
        </w:r>
        <w:r w:rsidR="006B6CB2">
          <w:rPr>
            <w:noProof/>
            <w:webHidden/>
          </w:rPr>
          <w:fldChar w:fldCharType="end"/>
        </w:r>
      </w:hyperlink>
    </w:p>
    <w:p w14:paraId="4132E14A" w14:textId="59F42619" w:rsidR="006B6CB2" w:rsidRDefault="002C2222">
      <w:pPr>
        <w:pStyle w:val="TOC2"/>
        <w:rPr>
          <w:rFonts w:asciiTheme="minorHAnsi" w:eastAsiaTheme="minorEastAsia" w:hAnsiTheme="minorHAnsi" w:cstheme="minorBidi"/>
          <w:noProof/>
          <w:sz w:val="22"/>
          <w:lang w:val="en-US"/>
        </w:rPr>
      </w:pPr>
      <w:hyperlink w:anchor="_Toc86321132" w:history="1">
        <w:r w:rsidR="006B6CB2" w:rsidRPr="00DA1B77">
          <w:rPr>
            <w:rStyle w:val="Hyperlink"/>
            <w:noProof/>
            <w:u w:color="000000"/>
            <w:bdr w:val="nil"/>
          </w:rPr>
          <w:t>•</w:t>
        </w:r>
        <w:r w:rsidR="006B6CB2">
          <w:rPr>
            <w:rFonts w:asciiTheme="minorHAnsi" w:eastAsiaTheme="minorEastAsia" w:hAnsiTheme="minorHAnsi" w:cstheme="minorBidi"/>
            <w:noProof/>
            <w:sz w:val="22"/>
            <w:lang w:val="en-US"/>
          </w:rPr>
          <w:tab/>
        </w:r>
        <w:r w:rsidR="006B6CB2" w:rsidRPr="00DA1B77">
          <w:rPr>
            <w:rStyle w:val="Hyperlink"/>
            <w:noProof/>
          </w:rPr>
          <w:t>A javaslat indokai és céljai</w:t>
        </w:r>
        <w:r w:rsidR="006B6CB2">
          <w:rPr>
            <w:noProof/>
            <w:webHidden/>
          </w:rPr>
          <w:tab/>
        </w:r>
        <w:r w:rsidR="006B6CB2">
          <w:rPr>
            <w:noProof/>
            <w:webHidden/>
          </w:rPr>
          <w:fldChar w:fldCharType="begin"/>
        </w:r>
        <w:r w:rsidR="006B6CB2">
          <w:rPr>
            <w:noProof/>
            <w:webHidden/>
          </w:rPr>
          <w:instrText xml:space="preserve"> PAGEREF _Toc86321132 \h </w:instrText>
        </w:r>
        <w:r w:rsidR="006B6CB2">
          <w:rPr>
            <w:noProof/>
            <w:webHidden/>
          </w:rPr>
        </w:r>
        <w:r w:rsidR="006B6CB2">
          <w:rPr>
            <w:noProof/>
            <w:webHidden/>
          </w:rPr>
          <w:fldChar w:fldCharType="separate"/>
        </w:r>
        <w:r w:rsidR="006B6CB2">
          <w:rPr>
            <w:noProof/>
            <w:webHidden/>
          </w:rPr>
          <w:t>1</w:t>
        </w:r>
        <w:r w:rsidR="006B6CB2">
          <w:rPr>
            <w:noProof/>
            <w:webHidden/>
          </w:rPr>
          <w:fldChar w:fldCharType="end"/>
        </w:r>
      </w:hyperlink>
    </w:p>
    <w:p w14:paraId="57F9A122" w14:textId="297DEC64" w:rsidR="006B6CB2" w:rsidRDefault="002C2222">
      <w:pPr>
        <w:pStyle w:val="TOC2"/>
        <w:rPr>
          <w:rFonts w:asciiTheme="minorHAnsi" w:eastAsiaTheme="minorEastAsia" w:hAnsiTheme="minorHAnsi" w:cstheme="minorBidi"/>
          <w:noProof/>
          <w:sz w:val="22"/>
          <w:lang w:val="en-US"/>
        </w:rPr>
      </w:pPr>
      <w:hyperlink w:anchor="_Toc86321133" w:history="1">
        <w:r w:rsidR="006B6CB2" w:rsidRPr="00DA1B77">
          <w:rPr>
            <w:rStyle w:val="Hyperlink"/>
            <w:noProof/>
            <w:u w:color="000000"/>
            <w:bdr w:val="nil"/>
          </w:rPr>
          <w:t>•</w:t>
        </w:r>
        <w:r w:rsidR="006B6CB2">
          <w:rPr>
            <w:rFonts w:asciiTheme="minorHAnsi" w:eastAsiaTheme="minorEastAsia" w:hAnsiTheme="minorHAnsi" w:cstheme="minorBidi"/>
            <w:noProof/>
            <w:sz w:val="22"/>
            <w:lang w:val="en-US"/>
          </w:rPr>
          <w:tab/>
        </w:r>
        <w:r w:rsidR="006B6CB2" w:rsidRPr="00DA1B77">
          <w:rPr>
            <w:rStyle w:val="Hyperlink"/>
            <w:noProof/>
          </w:rPr>
          <w:t>Összhang a szabályozási terület jelenlegi rendelkezéseivel</w:t>
        </w:r>
        <w:r w:rsidR="006B6CB2">
          <w:rPr>
            <w:noProof/>
            <w:webHidden/>
          </w:rPr>
          <w:tab/>
        </w:r>
        <w:r w:rsidR="006B6CB2">
          <w:rPr>
            <w:noProof/>
            <w:webHidden/>
          </w:rPr>
          <w:fldChar w:fldCharType="begin"/>
        </w:r>
        <w:r w:rsidR="006B6CB2">
          <w:rPr>
            <w:noProof/>
            <w:webHidden/>
          </w:rPr>
          <w:instrText xml:space="preserve"> PAGEREF _Toc86321133 \h </w:instrText>
        </w:r>
        <w:r w:rsidR="006B6CB2">
          <w:rPr>
            <w:noProof/>
            <w:webHidden/>
          </w:rPr>
        </w:r>
        <w:r w:rsidR="006B6CB2">
          <w:rPr>
            <w:noProof/>
            <w:webHidden/>
          </w:rPr>
          <w:fldChar w:fldCharType="separate"/>
        </w:r>
        <w:r w:rsidR="006B6CB2">
          <w:rPr>
            <w:noProof/>
            <w:webHidden/>
          </w:rPr>
          <w:t>2</w:t>
        </w:r>
        <w:r w:rsidR="006B6CB2">
          <w:rPr>
            <w:noProof/>
            <w:webHidden/>
          </w:rPr>
          <w:fldChar w:fldCharType="end"/>
        </w:r>
      </w:hyperlink>
    </w:p>
    <w:p w14:paraId="1EA7799C" w14:textId="61BEFF6D" w:rsidR="006B6CB2" w:rsidRDefault="002C2222">
      <w:pPr>
        <w:pStyle w:val="TOC2"/>
        <w:rPr>
          <w:rFonts w:asciiTheme="minorHAnsi" w:eastAsiaTheme="minorEastAsia" w:hAnsiTheme="minorHAnsi" w:cstheme="minorBidi"/>
          <w:noProof/>
          <w:sz w:val="22"/>
          <w:lang w:val="en-US"/>
        </w:rPr>
      </w:pPr>
      <w:hyperlink w:anchor="_Toc86321134" w:history="1">
        <w:r w:rsidR="006B6CB2" w:rsidRPr="00DA1B77">
          <w:rPr>
            <w:rStyle w:val="Hyperlink"/>
            <w:noProof/>
            <w:u w:color="000000"/>
            <w:bdr w:val="nil"/>
          </w:rPr>
          <w:t>•</w:t>
        </w:r>
        <w:r w:rsidR="006B6CB2">
          <w:rPr>
            <w:rFonts w:asciiTheme="minorHAnsi" w:eastAsiaTheme="minorEastAsia" w:hAnsiTheme="minorHAnsi" w:cstheme="minorBidi"/>
            <w:noProof/>
            <w:sz w:val="22"/>
            <w:lang w:val="en-US"/>
          </w:rPr>
          <w:tab/>
        </w:r>
        <w:r w:rsidR="006B6CB2" w:rsidRPr="00DA1B77">
          <w:rPr>
            <w:rStyle w:val="Hyperlink"/>
            <w:noProof/>
          </w:rPr>
          <w:t>Összhang az Unió egyéb szakpolitikáival</w:t>
        </w:r>
        <w:r w:rsidR="006B6CB2">
          <w:rPr>
            <w:noProof/>
            <w:webHidden/>
          </w:rPr>
          <w:tab/>
        </w:r>
        <w:r w:rsidR="006B6CB2">
          <w:rPr>
            <w:noProof/>
            <w:webHidden/>
          </w:rPr>
          <w:fldChar w:fldCharType="begin"/>
        </w:r>
        <w:r w:rsidR="006B6CB2">
          <w:rPr>
            <w:noProof/>
            <w:webHidden/>
          </w:rPr>
          <w:instrText xml:space="preserve"> PAGEREF _Toc86321134 \h </w:instrText>
        </w:r>
        <w:r w:rsidR="006B6CB2">
          <w:rPr>
            <w:noProof/>
            <w:webHidden/>
          </w:rPr>
        </w:r>
        <w:r w:rsidR="006B6CB2">
          <w:rPr>
            <w:noProof/>
            <w:webHidden/>
          </w:rPr>
          <w:fldChar w:fldCharType="separate"/>
        </w:r>
        <w:r w:rsidR="006B6CB2">
          <w:rPr>
            <w:noProof/>
            <w:webHidden/>
          </w:rPr>
          <w:t>4</w:t>
        </w:r>
        <w:r w:rsidR="006B6CB2">
          <w:rPr>
            <w:noProof/>
            <w:webHidden/>
          </w:rPr>
          <w:fldChar w:fldCharType="end"/>
        </w:r>
      </w:hyperlink>
    </w:p>
    <w:p w14:paraId="19F10A80" w14:textId="6BE88B89" w:rsidR="006B6CB2" w:rsidRDefault="002C2222">
      <w:pPr>
        <w:pStyle w:val="TOC1"/>
        <w:rPr>
          <w:rFonts w:asciiTheme="minorHAnsi" w:eastAsiaTheme="minorEastAsia" w:hAnsiTheme="minorHAnsi" w:cstheme="minorBidi"/>
          <w:noProof/>
          <w:sz w:val="22"/>
          <w:lang w:val="en-US"/>
        </w:rPr>
      </w:pPr>
      <w:hyperlink w:anchor="_Toc86321135" w:history="1">
        <w:r w:rsidR="006B6CB2" w:rsidRPr="00DA1B77">
          <w:rPr>
            <w:rStyle w:val="Hyperlink"/>
            <w:noProof/>
          </w:rPr>
          <w:t>2.</w:t>
        </w:r>
        <w:r w:rsidR="006B6CB2">
          <w:rPr>
            <w:rFonts w:asciiTheme="minorHAnsi" w:eastAsiaTheme="minorEastAsia" w:hAnsiTheme="minorHAnsi" w:cstheme="minorBidi"/>
            <w:noProof/>
            <w:sz w:val="22"/>
            <w:lang w:val="en-US"/>
          </w:rPr>
          <w:tab/>
        </w:r>
        <w:r w:rsidR="006B6CB2" w:rsidRPr="00DA1B77">
          <w:rPr>
            <w:rStyle w:val="Hyperlink"/>
            <w:noProof/>
          </w:rPr>
          <w:t>JOGALAP, SZUBSZIDIARITÁS ÉS ARÁNYOSSÁG</w:t>
        </w:r>
        <w:r w:rsidR="006B6CB2">
          <w:rPr>
            <w:noProof/>
            <w:webHidden/>
          </w:rPr>
          <w:tab/>
        </w:r>
        <w:r w:rsidR="006B6CB2">
          <w:rPr>
            <w:noProof/>
            <w:webHidden/>
          </w:rPr>
          <w:fldChar w:fldCharType="begin"/>
        </w:r>
        <w:r w:rsidR="006B6CB2">
          <w:rPr>
            <w:noProof/>
            <w:webHidden/>
          </w:rPr>
          <w:instrText xml:space="preserve"> PAGEREF _Toc86321135 \h </w:instrText>
        </w:r>
        <w:r w:rsidR="006B6CB2">
          <w:rPr>
            <w:noProof/>
            <w:webHidden/>
          </w:rPr>
        </w:r>
        <w:r w:rsidR="006B6CB2">
          <w:rPr>
            <w:noProof/>
            <w:webHidden/>
          </w:rPr>
          <w:fldChar w:fldCharType="separate"/>
        </w:r>
        <w:r w:rsidR="006B6CB2">
          <w:rPr>
            <w:noProof/>
            <w:webHidden/>
          </w:rPr>
          <w:t>4</w:t>
        </w:r>
        <w:r w:rsidR="006B6CB2">
          <w:rPr>
            <w:noProof/>
            <w:webHidden/>
          </w:rPr>
          <w:fldChar w:fldCharType="end"/>
        </w:r>
      </w:hyperlink>
    </w:p>
    <w:p w14:paraId="4F2C8626" w14:textId="58E1557F" w:rsidR="006B6CB2" w:rsidRDefault="002C2222">
      <w:pPr>
        <w:pStyle w:val="TOC2"/>
        <w:rPr>
          <w:rFonts w:asciiTheme="minorHAnsi" w:eastAsiaTheme="minorEastAsia" w:hAnsiTheme="minorHAnsi" w:cstheme="minorBidi"/>
          <w:noProof/>
          <w:sz w:val="22"/>
          <w:lang w:val="en-US"/>
        </w:rPr>
      </w:pPr>
      <w:hyperlink w:anchor="_Toc86321136" w:history="1">
        <w:r w:rsidR="006B6CB2" w:rsidRPr="00DA1B77">
          <w:rPr>
            <w:rStyle w:val="Hyperlink"/>
            <w:noProof/>
            <w:u w:color="000000"/>
            <w:bdr w:val="nil"/>
          </w:rPr>
          <w:t>•</w:t>
        </w:r>
        <w:r w:rsidR="006B6CB2">
          <w:rPr>
            <w:rFonts w:asciiTheme="minorHAnsi" w:eastAsiaTheme="minorEastAsia" w:hAnsiTheme="minorHAnsi" w:cstheme="minorBidi"/>
            <w:noProof/>
            <w:sz w:val="22"/>
            <w:lang w:val="en-US"/>
          </w:rPr>
          <w:tab/>
        </w:r>
        <w:r w:rsidR="006B6CB2" w:rsidRPr="00DA1B77">
          <w:rPr>
            <w:rStyle w:val="Hyperlink"/>
            <w:noProof/>
            <w:u w:color="000000"/>
            <w:bdr w:val="nil"/>
          </w:rPr>
          <w:t>Jogalap</w:t>
        </w:r>
        <w:r w:rsidR="006B6CB2">
          <w:rPr>
            <w:noProof/>
            <w:webHidden/>
          </w:rPr>
          <w:tab/>
        </w:r>
        <w:r w:rsidR="006B6CB2">
          <w:rPr>
            <w:noProof/>
            <w:webHidden/>
          </w:rPr>
          <w:fldChar w:fldCharType="begin"/>
        </w:r>
        <w:r w:rsidR="006B6CB2">
          <w:rPr>
            <w:noProof/>
            <w:webHidden/>
          </w:rPr>
          <w:instrText xml:space="preserve"> PAGEREF _Toc86321136 \h </w:instrText>
        </w:r>
        <w:r w:rsidR="006B6CB2">
          <w:rPr>
            <w:noProof/>
            <w:webHidden/>
          </w:rPr>
        </w:r>
        <w:r w:rsidR="006B6CB2">
          <w:rPr>
            <w:noProof/>
            <w:webHidden/>
          </w:rPr>
          <w:fldChar w:fldCharType="separate"/>
        </w:r>
        <w:r w:rsidR="006B6CB2">
          <w:rPr>
            <w:noProof/>
            <w:webHidden/>
          </w:rPr>
          <w:t>4</w:t>
        </w:r>
        <w:r w:rsidR="006B6CB2">
          <w:rPr>
            <w:noProof/>
            <w:webHidden/>
          </w:rPr>
          <w:fldChar w:fldCharType="end"/>
        </w:r>
      </w:hyperlink>
    </w:p>
    <w:p w14:paraId="7A233BBD" w14:textId="3C4BC548" w:rsidR="006B6CB2" w:rsidRDefault="002C2222">
      <w:pPr>
        <w:pStyle w:val="TOC2"/>
        <w:rPr>
          <w:rFonts w:asciiTheme="minorHAnsi" w:eastAsiaTheme="minorEastAsia" w:hAnsiTheme="minorHAnsi" w:cstheme="minorBidi"/>
          <w:noProof/>
          <w:sz w:val="22"/>
          <w:lang w:val="en-US"/>
        </w:rPr>
      </w:pPr>
      <w:hyperlink w:anchor="_Toc86321137" w:history="1">
        <w:r w:rsidR="006B6CB2" w:rsidRPr="00DA1B77">
          <w:rPr>
            <w:rStyle w:val="Hyperlink"/>
            <w:noProof/>
            <w:u w:color="000000"/>
            <w:bdr w:val="nil"/>
          </w:rPr>
          <w:t>•</w:t>
        </w:r>
        <w:r w:rsidR="006B6CB2">
          <w:rPr>
            <w:rFonts w:asciiTheme="minorHAnsi" w:eastAsiaTheme="minorEastAsia" w:hAnsiTheme="minorHAnsi" w:cstheme="minorBidi"/>
            <w:noProof/>
            <w:sz w:val="22"/>
            <w:lang w:val="en-US"/>
          </w:rPr>
          <w:tab/>
        </w:r>
        <w:r w:rsidR="006B6CB2" w:rsidRPr="00DA1B77">
          <w:rPr>
            <w:rStyle w:val="Hyperlink"/>
            <w:noProof/>
            <w:u w:color="000000"/>
            <w:bdr w:val="nil"/>
          </w:rPr>
          <w:t>Szubszidiaritás (nem kizárólagos hatáskör esetén)</w:t>
        </w:r>
        <w:r w:rsidR="006B6CB2">
          <w:rPr>
            <w:noProof/>
            <w:webHidden/>
          </w:rPr>
          <w:tab/>
        </w:r>
        <w:r w:rsidR="006B6CB2">
          <w:rPr>
            <w:noProof/>
            <w:webHidden/>
          </w:rPr>
          <w:fldChar w:fldCharType="begin"/>
        </w:r>
        <w:r w:rsidR="006B6CB2">
          <w:rPr>
            <w:noProof/>
            <w:webHidden/>
          </w:rPr>
          <w:instrText xml:space="preserve"> PAGEREF _Toc86321137 \h </w:instrText>
        </w:r>
        <w:r w:rsidR="006B6CB2">
          <w:rPr>
            <w:noProof/>
            <w:webHidden/>
          </w:rPr>
        </w:r>
        <w:r w:rsidR="006B6CB2">
          <w:rPr>
            <w:noProof/>
            <w:webHidden/>
          </w:rPr>
          <w:fldChar w:fldCharType="separate"/>
        </w:r>
        <w:r w:rsidR="006B6CB2">
          <w:rPr>
            <w:noProof/>
            <w:webHidden/>
          </w:rPr>
          <w:t>4</w:t>
        </w:r>
        <w:r w:rsidR="006B6CB2">
          <w:rPr>
            <w:noProof/>
            <w:webHidden/>
          </w:rPr>
          <w:fldChar w:fldCharType="end"/>
        </w:r>
      </w:hyperlink>
    </w:p>
    <w:p w14:paraId="34B7BCFE" w14:textId="518512B6" w:rsidR="006B6CB2" w:rsidRDefault="002C2222">
      <w:pPr>
        <w:pStyle w:val="TOC2"/>
        <w:rPr>
          <w:rFonts w:asciiTheme="minorHAnsi" w:eastAsiaTheme="minorEastAsia" w:hAnsiTheme="minorHAnsi" w:cstheme="minorBidi"/>
          <w:noProof/>
          <w:sz w:val="22"/>
          <w:lang w:val="en-US"/>
        </w:rPr>
      </w:pPr>
      <w:hyperlink w:anchor="_Toc86321138" w:history="1">
        <w:r w:rsidR="006B6CB2" w:rsidRPr="00DA1B77">
          <w:rPr>
            <w:rStyle w:val="Hyperlink"/>
            <w:noProof/>
            <w:u w:color="000000"/>
            <w:bdr w:val="nil"/>
          </w:rPr>
          <w:t>•</w:t>
        </w:r>
        <w:r w:rsidR="006B6CB2">
          <w:rPr>
            <w:rFonts w:asciiTheme="minorHAnsi" w:eastAsiaTheme="minorEastAsia" w:hAnsiTheme="minorHAnsi" w:cstheme="minorBidi"/>
            <w:noProof/>
            <w:sz w:val="22"/>
            <w:lang w:val="en-US"/>
          </w:rPr>
          <w:tab/>
        </w:r>
        <w:r w:rsidR="006B6CB2" w:rsidRPr="00DA1B77">
          <w:rPr>
            <w:rStyle w:val="Hyperlink"/>
            <w:noProof/>
            <w:u w:color="000000"/>
            <w:bdr w:val="nil"/>
          </w:rPr>
          <w:t>Arányosság</w:t>
        </w:r>
        <w:r w:rsidR="006B6CB2">
          <w:rPr>
            <w:noProof/>
            <w:webHidden/>
          </w:rPr>
          <w:tab/>
        </w:r>
        <w:r w:rsidR="006B6CB2">
          <w:rPr>
            <w:noProof/>
            <w:webHidden/>
          </w:rPr>
          <w:fldChar w:fldCharType="begin"/>
        </w:r>
        <w:r w:rsidR="006B6CB2">
          <w:rPr>
            <w:noProof/>
            <w:webHidden/>
          </w:rPr>
          <w:instrText xml:space="preserve"> PAGEREF _Toc86321138 \h </w:instrText>
        </w:r>
        <w:r w:rsidR="006B6CB2">
          <w:rPr>
            <w:noProof/>
            <w:webHidden/>
          </w:rPr>
        </w:r>
        <w:r w:rsidR="006B6CB2">
          <w:rPr>
            <w:noProof/>
            <w:webHidden/>
          </w:rPr>
          <w:fldChar w:fldCharType="separate"/>
        </w:r>
        <w:r w:rsidR="006B6CB2">
          <w:rPr>
            <w:noProof/>
            <w:webHidden/>
          </w:rPr>
          <w:t>5</w:t>
        </w:r>
        <w:r w:rsidR="006B6CB2">
          <w:rPr>
            <w:noProof/>
            <w:webHidden/>
          </w:rPr>
          <w:fldChar w:fldCharType="end"/>
        </w:r>
      </w:hyperlink>
    </w:p>
    <w:p w14:paraId="07DA3584" w14:textId="3BBD11A1" w:rsidR="006B6CB2" w:rsidRDefault="002C2222">
      <w:pPr>
        <w:pStyle w:val="TOC2"/>
        <w:rPr>
          <w:rFonts w:asciiTheme="minorHAnsi" w:eastAsiaTheme="minorEastAsia" w:hAnsiTheme="minorHAnsi" w:cstheme="minorBidi"/>
          <w:noProof/>
          <w:sz w:val="22"/>
          <w:lang w:val="en-US"/>
        </w:rPr>
      </w:pPr>
      <w:hyperlink w:anchor="_Toc86321139" w:history="1">
        <w:r w:rsidR="006B6CB2" w:rsidRPr="00DA1B77">
          <w:rPr>
            <w:rStyle w:val="Hyperlink"/>
            <w:noProof/>
            <w:u w:color="000000"/>
            <w:bdr w:val="nil"/>
          </w:rPr>
          <w:t>•</w:t>
        </w:r>
        <w:r w:rsidR="006B6CB2">
          <w:rPr>
            <w:rFonts w:asciiTheme="minorHAnsi" w:eastAsiaTheme="minorEastAsia" w:hAnsiTheme="minorHAnsi" w:cstheme="minorBidi"/>
            <w:noProof/>
            <w:sz w:val="22"/>
            <w:lang w:val="en-US"/>
          </w:rPr>
          <w:tab/>
        </w:r>
        <w:r w:rsidR="006B6CB2" w:rsidRPr="00DA1B77">
          <w:rPr>
            <w:rStyle w:val="Hyperlink"/>
            <w:noProof/>
            <w:u w:color="000000"/>
            <w:bdr w:val="nil"/>
          </w:rPr>
          <w:t>A jogi aktus típusának megválasztása</w:t>
        </w:r>
        <w:r w:rsidR="006B6CB2">
          <w:rPr>
            <w:noProof/>
            <w:webHidden/>
          </w:rPr>
          <w:tab/>
        </w:r>
        <w:r w:rsidR="006B6CB2">
          <w:rPr>
            <w:noProof/>
            <w:webHidden/>
          </w:rPr>
          <w:fldChar w:fldCharType="begin"/>
        </w:r>
        <w:r w:rsidR="006B6CB2">
          <w:rPr>
            <w:noProof/>
            <w:webHidden/>
          </w:rPr>
          <w:instrText xml:space="preserve"> PAGEREF _Toc86321139 \h </w:instrText>
        </w:r>
        <w:r w:rsidR="006B6CB2">
          <w:rPr>
            <w:noProof/>
            <w:webHidden/>
          </w:rPr>
        </w:r>
        <w:r w:rsidR="006B6CB2">
          <w:rPr>
            <w:noProof/>
            <w:webHidden/>
          </w:rPr>
          <w:fldChar w:fldCharType="separate"/>
        </w:r>
        <w:r w:rsidR="006B6CB2">
          <w:rPr>
            <w:noProof/>
            <w:webHidden/>
          </w:rPr>
          <w:t>5</w:t>
        </w:r>
        <w:r w:rsidR="006B6CB2">
          <w:rPr>
            <w:noProof/>
            <w:webHidden/>
          </w:rPr>
          <w:fldChar w:fldCharType="end"/>
        </w:r>
      </w:hyperlink>
    </w:p>
    <w:p w14:paraId="5943C93E" w14:textId="745B32C7" w:rsidR="006B6CB2" w:rsidRDefault="002C2222">
      <w:pPr>
        <w:pStyle w:val="TOC1"/>
        <w:rPr>
          <w:rFonts w:asciiTheme="minorHAnsi" w:eastAsiaTheme="minorEastAsia" w:hAnsiTheme="minorHAnsi" w:cstheme="minorBidi"/>
          <w:noProof/>
          <w:sz w:val="22"/>
          <w:lang w:val="en-US"/>
        </w:rPr>
      </w:pPr>
      <w:hyperlink w:anchor="_Toc86321140" w:history="1">
        <w:r w:rsidR="006B6CB2" w:rsidRPr="00DA1B77">
          <w:rPr>
            <w:rStyle w:val="Hyperlink"/>
            <w:noProof/>
          </w:rPr>
          <w:t>3.</w:t>
        </w:r>
        <w:r w:rsidR="006B6CB2">
          <w:rPr>
            <w:rFonts w:asciiTheme="minorHAnsi" w:eastAsiaTheme="minorEastAsia" w:hAnsiTheme="minorHAnsi" w:cstheme="minorBidi"/>
            <w:noProof/>
            <w:sz w:val="22"/>
            <w:lang w:val="en-US"/>
          </w:rPr>
          <w:tab/>
        </w:r>
        <w:r w:rsidR="006B6CB2" w:rsidRPr="00DA1B77">
          <w:rPr>
            <w:rStyle w:val="Hyperlink"/>
            <w:noProof/>
          </w:rPr>
          <w:t>AZ UTÓLAGOS ÉRTÉKELÉSEK, AZ ÉRDEKELT FELEKKEL FOLYTATOTT KONZULTÁCIÓK ÉS A HATÁSVIZSGÁLATOK EREDMÉNYEI</w:t>
        </w:r>
        <w:r w:rsidR="006B6CB2">
          <w:rPr>
            <w:noProof/>
            <w:webHidden/>
          </w:rPr>
          <w:tab/>
        </w:r>
        <w:r w:rsidR="006B6CB2">
          <w:rPr>
            <w:noProof/>
            <w:webHidden/>
          </w:rPr>
          <w:fldChar w:fldCharType="begin"/>
        </w:r>
        <w:r w:rsidR="006B6CB2">
          <w:rPr>
            <w:noProof/>
            <w:webHidden/>
          </w:rPr>
          <w:instrText xml:space="preserve"> PAGEREF _Toc86321140 \h </w:instrText>
        </w:r>
        <w:r w:rsidR="006B6CB2">
          <w:rPr>
            <w:noProof/>
            <w:webHidden/>
          </w:rPr>
        </w:r>
        <w:r w:rsidR="006B6CB2">
          <w:rPr>
            <w:noProof/>
            <w:webHidden/>
          </w:rPr>
          <w:fldChar w:fldCharType="separate"/>
        </w:r>
        <w:r w:rsidR="006B6CB2">
          <w:rPr>
            <w:noProof/>
            <w:webHidden/>
          </w:rPr>
          <w:t>5</w:t>
        </w:r>
        <w:r w:rsidR="006B6CB2">
          <w:rPr>
            <w:noProof/>
            <w:webHidden/>
          </w:rPr>
          <w:fldChar w:fldCharType="end"/>
        </w:r>
      </w:hyperlink>
    </w:p>
    <w:p w14:paraId="188C2385" w14:textId="7AE489D3" w:rsidR="006B6CB2" w:rsidRDefault="002C2222">
      <w:pPr>
        <w:pStyle w:val="TOC2"/>
        <w:rPr>
          <w:rFonts w:asciiTheme="minorHAnsi" w:eastAsiaTheme="minorEastAsia" w:hAnsiTheme="minorHAnsi" w:cstheme="minorBidi"/>
          <w:noProof/>
          <w:sz w:val="22"/>
          <w:lang w:val="en-US"/>
        </w:rPr>
      </w:pPr>
      <w:hyperlink w:anchor="_Toc86321141" w:history="1">
        <w:r w:rsidR="006B6CB2" w:rsidRPr="00DA1B77">
          <w:rPr>
            <w:rStyle w:val="Hyperlink"/>
            <w:noProof/>
            <w:u w:color="000000"/>
            <w:bdr w:val="nil"/>
          </w:rPr>
          <w:t>•</w:t>
        </w:r>
        <w:r w:rsidR="006B6CB2">
          <w:rPr>
            <w:rFonts w:asciiTheme="minorHAnsi" w:eastAsiaTheme="minorEastAsia" w:hAnsiTheme="minorHAnsi" w:cstheme="minorBidi"/>
            <w:noProof/>
            <w:sz w:val="22"/>
            <w:lang w:val="en-US"/>
          </w:rPr>
          <w:tab/>
        </w:r>
        <w:r w:rsidR="006B6CB2" w:rsidRPr="00DA1B77">
          <w:rPr>
            <w:rStyle w:val="Hyperlink"/>
            <w:noProof/>
            <w:u w:color="000000"/>
            <w:bdr w:val="nil"/>
          </w:rPr>
          <w:t>Érdekelt felekkel folytatott konzultáció</w:t>
        </w:r>
        <w:r w:rsidR="006B6CB2">
          <w:rPr>
            <w:noProof/>
            <w:webHidden/>
          </w:rPr>
          <w:tab/>
        </w:r>
        <w:r w:rsidR="006B6CB2">
          <w:rPr>
            <w:noProof/>
            <w:webHidden/>
          </w:rPr>
          <w:fldChar w:fldCharType="begin"/>
        </w:r>
        <w:r w:rsidR="006B6CB2">
          <w:rPr>
            <w:noProof/>
            <w:webHidden/>
          </w:rPr>
          <w:instrText xml:space="preserve"> PAGEREF _Toc86321141 \h </w:instrText>
        </w:r>
        <w:r w:rsidR="006B6CB2">
          <w:rPr>
            <w:noProof/>
            <w:webHidden/>
          </w:rPr>
        </w:r>
        <w:r w:rsidR="006B6CB2">
          <w:rPr>
            <w:noProof/>
            <w:webHidden/>
          </w:rPr>
          <w:fldChar w:fldCharType="separate"/>
        </w:r>
        <w:r w:rsidR="006B6CB2">
          <w:rPr>
            <w:noProof/>
            <w:webHidden/>
          </w:rPr>
          <w:t>5</w:t>
        </w:r>
        <w:r w:rsidR="006B6CB2">
          <w:rPr>
            <w:noProof/>
            <w:webHidden/>
          </w:rPr>
          <w:fldChar w:fldCharType="end"/>
        </w:r>
      </w:hyperlink>
    </w:p>
    <w:p w14:paraId="533B708B" w14:textId="47C731BD" w:rsidR="006B6CB2" w:rsidRDefault="002C2222">
      <w:pPr>
        <w:pStyle w:val="TOC2"/>
        <w:rPr>
          <w:rFonts w:asciiTheme="minorHAnsi" w:eastAsiaTheme="minorEastAsia" w:hAnsiTheme="minorHAnsi" w:cstheme="minorBidi"/>
          <w:noProof/>
          <w:sz w:val="22"/>
          <w:lang w:val="en-US"/>
        </w:rPr>
      </w:pPr>
      <w:hyperlink w:anchor="_Toc86321142" w:history="1">
        <w:r w:rsidR="006B6CB2" w:rsidRPr="00DA1B77">
          <w:rPr>
            <w:rStyle w:val="Hyperlink"/>
            <w:noProof/>
            <w:u w:color="000000"/>
            <w:bdr w:val="nil"/>
          </w:rPr>
          <w:t>•</w:t>
        </w:r>
        <w:r w:rsidR="006B6CB2">
          <w:rPr>
            <w:rFonts w:asciiTheme="minorHAnsi" w:eastAsiaTheme="minorEastAsia" w:hAnsiTheme="minorHAnsi" w:cstheme="minorBidi"/>
            <w:noProof/>
            <w:sz w:val="22"/>
            <w:lang w:val="en-US"/>
          </w:rPr>
          <w:tab/>
        </w:r>
        <w:r w:rsidR="006B6CB2" w:rsidRPr="00DA1B77">
          <w:rPr>
            <w:rStyle w:val="Hyperlink"/>
            <w:noProof/>
            <w:u w:color="000000"/>
            <w:bdr w:val="nil"/>
          </w:rPr>
          <w:t>Hatásvizsgálat</w:t>
        </w:r>
        <w:r w:rsidR="006B6CB2">
          <w:rPr>
            <w:noProof/>
            <w:webHidden/>
          </w:rPr>
          <w:tab/>
        </w:r>
        <w:r w:rsidR="006B6CB2">
          <w:rPr>
            <w:noProof/>
            <w:webHidden/>
          </w:rPr>
          <w:fldChar w:fldCharType="begin"/>
        </w:r>
        <w:r w:rsidR="006B6CB2">
          <w:rPr>
            <w:noProof/>
            <w:webHidden/>
          </w:rPr>
          <w:instrText xml:space="preserve"> PAGEREF _Toc86321142 \h </w:instrText>
        </w:r>
        <w:r w:rsidR="006B6CB2">
          <w:rPr>
            <w:noProof/>
            <w:webHidden/>
          </w:rPr>
        </w:r>
        <w:r w:rsidR="006B6CB2">
          <w:rPr>
            <w:noProof/>
            <w:webHidden/>
          </w:rPr>
          <w:fldChar w:fldCharType="separate"/>
        </w:r>
        <w:r w:rsidR="006B6CB2">
          <w:rPr>
            <w:noProof/>
            <w:webHidden/>
          </w:rPr>
          <w:t>6</w:t>
        </w:r>
        <w:r w:rsidR="006B6CB2">
          <w:rPr>
            <w:noProof/>
            <w:webHidden/>
          </w:rPr>
          <w:fldChar w:fldCharType="end"/>
        </w:r>
      </w:hyperlink>
    </w:p>
    <w:p w14:paraId="2A596C6C" w14:textId="0A29FED3" w:rsidR="006B6CB2" w:rsidRDefault="002C2222">
      <w:pPr>
        <w:pStyle w:val="TOC2"/>
        <w:rPr>
          <w:rFonts w:asciiTheme="minorHAnsi" w:eastAsiaTheme="minorEastAsia" w:hAnsiTheme="minorHAnsi" w:cstheme="minorBidi"/>
          <w:noProof/>
          <w:sz w:val="22"/>
          <w:lang w:val="en-US"/>
        </w:rPr>
      </w:pPr>
      <w:hyperlink w:anchor="_Toc86321143" w:history="1">
        <w:r w:rsidR="006B6CB2" w:rsidRPr="00DA1B77">
          <w:rPr>
            <w:rStyle w:val="Hyperlink"/>
            <w:noProof/>
            <w:u w:color="000000"/>
            <w:bdr w:val="nil"/>
          </w:rPr>
          <w:t>•</w:t>
        </w:r>
        <w:r w:rsidR="006B6CB2">
          <w:rPr>
            <w:rFonts w:asciiTheme="minorHAnsi" w:eastAsiaTheme="minorEastAsia" w:hAnsiTheme="minorHAnsi" w:cstheme="minorBidi"/>
            <w:noProof/>
            <w:sz w:val="22"/>
            <w:lang w:val="en-US"/>
          </w:rPr>
          <w:tab/>
        </w:r>
        <w:r w:rsidR="006B6CB2" w:rsidRPr="00DA1B77">
          <w:rPr>
            <w:rStyle w:val="Hyperlink"/>
            <w:noProof/>
            <w:u w:color="000000"/>
            <w:bdr w:val="nil"/>
          </w:rPr>
          <w:t>Alapjogok</w:t>
        </w:r>
        <w:r w:rsidR="006B6CB2">
          <w:rPr>
            <w:noProof/>
            <w:webHidden/>
          </w:rPr>
          <w:tab/>
        </w:r>
        <w:r w:rsidR="006B6CB2">
          <w:rPr>
            <w:noProof/>
            <w:webHidden/>
          </w:rPr>
          <w:fldChar w:fldCharType="begin"/>
        </w:r>
        <w:r w:rsidR="006B6CB2">
          <w:rPr>
            <w:noProof/>
            <w:webHidden/>
          </w:rPr>
          <w:instrText xml:space="preserve"> PAGEREF _Toc86321143 \h </w:instrText>
        </w:r>
        <w:r w:rsidR="006B6CB2">
          <w:rPr>
            <w:noProof/>
            <w:webHidden/>
          </w:rPr>
        </w:r>
        <w:r w:rsidR="006B6CB2">
          <w:rPr>
            <w:noProof/>
            <w:webHidden/>
          </w:rPr>
          <w:fldChar w:fldCharType="separate"/>
        </w:r>
        <w:r w:rsidR="006B6CB2">
          <w:rPr>
            <w:noProof/>
            <w:webHidden/>
          </w:rPr>
          <w:t>7</w:t>
        </w:r>
        <w:r w:rsidR="006B6CB2">
          <w:rPr>
            <w:noProof/>
            <w:webHidden/>
          </w:rPr>
          <w:fldChar w:fldCharType="end"/>
        </w:r>
      </w:hyperlink>
    </w:p>
    <w:p w14:paraId="43A1429A" w14:textId="2DBD8B92" w:rsidR="006B6CB2" w:rsidRDefault="002C2222">
      <w:pPr>
        <w:pStyle w:val="TOC1"/>
        <w:rPr>
          <w:rFonts w:asciiTheme="minorHAnsi" w:eastAsiaTheme="minorEastAsia" w:hAnsiTheme="minorHAnsi" w:cstheme="minorBidi"/>
          <w:noProof/>
          <w:sz w:val="22"/>
          <w:lang w:val="en-US"/>
        </w:rPr>
      </w:pPr>
      <w:hyperlink w:anchor="_Toc86321144" w:history="1">
        <w:r w:rsidR="006B6CB2" w:rsidRPr="00DA1B77">
          <w:rPr>
            <w:rStyle w:val="Hyperlink"/>
            <w:noProof/>
          </w:rPr>
          <w:t>4.</w:t>
        </w:r>
        <w:r w:rsidR="006B6CB2">
          <w:rPr>
            <w:rFonts w:asciiTheme="minorHAnsi" w:eastAsiaTheme="minorEastAsia" w:hAnsiTheme="minorHAnsi" w:cstheme="minorBidi"/>
            <w:noProof/>
            <w:sz w:val="22"/>
            <w:lang w:val="en-US"/>
          </w:rPr>
          <w:tab/>
        </w:r>
        <w:r w:rsidR="006B6CB2" w:rsidRPr="00DA1B77">
          <w:rPr>
            <w:rStyle w:val="Hyperlink"/>
            <w:noProof/>
          </w:rPr>
          <w:t>KÖLTSÉGVETÉSI VONZATOK</w:t>
        </w:r>
        <w:r w:rsidR="006B6CB2">
          <w:rPr>
            <w:noProof/>
            <w:webHidden/>
          </w:rPr>
          <w:tab/>
        </w:r>
        <w:r w:rsidR="006B6CB2">
          <w:rPr>
            <w:noProof/>
            <w:webHidden/>
          </w:rPr>
          <w:fldChar w:fldCharType="begin"/>
        </w:r>
        <w:r w:rsidR="006B6CB2">
          <w:rPr>
            <w:noProof/>
            <w:webHidden/>
          </w:rPr>
          <w:instrText xml:space="preserve"> PAGEREF _Toc86321144 \h </w:instrText>
        </w:r>
        <w:r w:rsidR="006B6CB2">
          <w:rPr>
            <w:noProof/>
            <w:webHidden/>
          </w:rPr>
        </w:r>
        <w:r w:rsidR="006B6CB2">
          <w:rPr>
            <w:noProof/>
            <w:webHidden/>
          </w:rPr>
          <w:fldChar w:fldCharType="separate"/>
        </w:r>
        <w:r w:rsidR="006B6CB2">
          <w:rPr>
            <w:noProof/>
            <w:webHidden/>
          </w:rPr>
          <w:t>7</w:t>
        </w:r>
        <w:r w:rsidR="006B6CB2">
          <w:rPr>
            <w:noProof/>
            <w:webHidden/>
          </w:rPr>
          <w:fldChar w:fldCharType="end"/>
        </w:r>
      </w:hyperlink>
    </w:p>
    <w:p w14:paraId="1C84DFD8" w14:textId="60423E9A" w:rsidR="006B6CB2" w:rsidRDefault="002C2222">
      <w:pPr>
        <w:pStyle w:val="TOC1"/>
        <w:rPr>
          <w:rFonts w:asciiTheme="minorHAnsi" w:eastAsiaTheme="minorEastAsia" w:hAnsiTheme="minorHAnsi" w:cstheme="minorBidi"/>
          <w:noProof/>
          <w:sz w:val="22"/>
          <w:lang w:val="en-US"/>
        </w:rPr>
      </w:pPr>
      <w:hyperlink w:anchor="_Toc86321145" w:history="1">
        <w:r w:rsidR="006B6CB2" w:rsidRPr="00DA1B77">
          <w:rPr>
            <w:rStyle w:val="Hyperlink"/>
            <w:noProof/>
          </w:rPr>
          <w:t>5.</w:t>
        </w:r>
        <w:r w:rsidR="006B6CB2">
          <w:rPr>
            <w:rFonts w:asciiTheme="minorHAnsi" w:eastAsiaTheme="minorEastAsia" w:hAnsiTheme="minorHAnsi" w:cstheme="minorBidi"/>
            <w:noProof/>
            <w:sz w:val="22"/>
            <w:lang w:val="en-US"/>
          </w:rPr>
          <w:tab/>
        </w:r>
        <w:r w:rsidR="006B6CB2" w:rsidRPr="00DA1B77">
          <w:rPr>
            <w:rStyle w:val="Hyperlink"/>
            <w:noProof/>
          </w:rPr>
          <w:t>EGYÉB ELEMEK</w:t>
        </w:r>
        <w:r w:rsidR="006B6CB2">
          <w:rPr>
            <w:noProof/>
            <w:webHidden/>
          </w:rPr>
          <w:tab/>
        </w:r>
        <w:r w:rsidR="006B6CB2">
          <w:rPr>
            <w:noProof/>
            <w:webHidden/>
          </w:rPr>
          <w:fldChar w:fldCharType="begin"/>
        </w:r>
        <w:r w:rsidR="006B6CB2">
          <w:rPr>
            <w:noProof/>
            <w:webHidden/>
          </w:rPr>
          <w:instrText xml:space="preserve"> PAGEREF _Toc86321145 \h </w:instrText>
        </w:r>
        <w:r w:rsidR="006B6CB2">
          <w:rPr>
            <w:noProof/>
            <w:webHidden/>
          </w:rPr>
        </w:r>
        <w:r w:rsidR="006B6CB2">
          <w:rPr>
            <w:noProof/>
            <w:webHidden/>
          </w:rPr>
          <w:fldChar w:fldCharType="separate"/>
        </w:r>
        <w:r w:rsidR="006B6CB2">
          <w:rPr>
            <w:noProof/>
            <w:webHidden/>
          </w:rPr>
          <w:t>8</w:t>
        </w:r>
        <w:r w:rsidR="006B6CB2">
          <w:rPr>
            <w:noProof/>
            <w:webHidden/>
          </w:rPr>
          <w:fldChar w:fldCharType="end"/>
        </w:r>
      </w:hyperlink>
    </w:p>
    <w:p w14:paraId="308C2967" w14:textId="111FD997" w:rsidR="006B6CB2" w:rsidRDefault="002C2222">
      <w:pPr>
        <w:pStyle w:val="TOC2"/>
        <w:rPr>
          <w:rFonts w:asciiTheme="minorHAnsi" w:eastAsiaTheme="minorEastAsia" w:hAnsiTheme="minorHAnsi" w:cstheme="minorBidi"/>
          <w:noProof/>
          <w:sz w:val="22"/>
          <w:lang w:val="en-US"/>
        </w:rPr>
      </w:pPr>
      <w:hyperlink w:anchor="_Toc86321146" w:history="1">
        <w:r w:rsidR="006B6CB2" w:rsidRPr="00DA1B77">
          <w:rPr>
            <w:rStyle w:val="Hyperlink"/>
            <w:noProof/>
            <w:u w:color="000000"/>
            <w:bdr w:val="nil"/>
          </w:rPr>
          <w:t>•</w:t>
        </w:r>
        <w:r w:rsidR="006B6CB2">
          <w:rPr>
            <w:rFonts w:asciiTheme="minorHAnsi" w:eastAsiaTheme="minorEastAsia" w:hAnsiTheme="minorHAnsi" w:cstheme="minorBidi"/>
            <w:noProof/>
            <w:sz w:val="22"/>
            <w:lang w:val="en-US"/>
          </w:rPr>
          <w:tab/>
        </w:r>
        <w:r w:rsidR="006B6CB2" w:rsidRPr="00DA1B77">
          <w:rPr>
            <w:rStyle w:val="Hyperlink"/>
            <w:noProof/>
            <w:u w:color="000000"/>
            <w:bdr w:val="nil"/>
          </w:rPr>
          <w:t>Végrehajtási tervek, valamint a nyomon követés, az értékelés és a jelentéstétel szabályai</w:t>
        </w:r>
        <w:r w:rsidR="006B6CB2">
          <w:rPr>
            <w:noProof/>
            <w:webHidden/>
          </w:rPr>
          <w:tab/>
        </w:r>
        <w:r w:rsidR="006B6CB2">
          <w:rPr>
            <w:noProof/>
            <w:webHidden/>
          </w:rPr>
          <w:fldChar w:fldCharType="begin"/>
        </w:r>
        <w:r w:rsidR="006B6CB2">
          <w:rPr>
            <w:noProof/>
            <w:webHidden/>
          </w:rPr>
          <w:instrText xml:space="preserve"> PAGEREF _Toc86321146 \h </w:instrText>
        </w:r>
        <w:r w:rsidR="006B6CB2">
          <w:rPr>
            <w:noProof/>
            <w:webHidden/>
          </w:rPr>
        </w:r>
        <w:r w:rsidR="006B6CB2">
          <w:rPr>
            <w:noProof/>
            <w:webHidden/>
          </w:rPr>
          <w:fldChar w:fldCharType="separate"/>
        </w:r>
        <w:r w:rsidR="006B6CB2">
          <w:rPr>
            <w:noProof/>
            <w:webHidden/>
          </w:rPr>
          <w:t>8</w:t>
        </w:r>
        <w:r w:rsidR="006B6CB2">
          <w:rPr>
            <w:noProof/>
            <w:webHidden/>
          </w:rPr>
          <w:fldChar w:fldCharType="end"/>
        </w:r>
      </w:hyperlink>
    </w:p>
    <w:p w14:paraId="0C1D1649" w14:textId="55821C31" w:rsidR="006B6CB2" w:rsidRDefault="002C2222">
      <w:pPr>
        <w:pStyle w:val="TOC2"/>
        <w:rPr>
          <w:rFonts w:asciiTheme="minorHAnsi" w:eastAsiaTheme="minorEastAsia" w:hAnsiTheme="minorHAnsi" w:cstheme="minorBidi"/>
          <w:noProof/>
          <w:sz w:val="22"/>
          <w:lang w:val="en-US"/>
        </w:rPr>
      </w:pPr>
      <w:hyperlink w:anchor="_Toc86321147" w:history="1">
        <w:r w:rsidR="006B6CB2" w:rsidRPr="00DA1B77">
          <w:rPr>
            <w:rStyle w:val="Hyperlink"/>
            <w:noProof/>
            <w:u w:color="000000"/>
            <w:bdr w:val="nil"/>
          </w:rPr>
          <w:t>•</w:t>
        </w:r>
        <w:r w:rsidR="006B6CB2">
          <w:rPr>
            <w:rFonts w:asciiTheme="minorHAnsi" w:eastAsiaTheme="minorEastAsia" w:hAnsiTheme="minorHAnsi" w:cstheme="minorBidi"/>
            <w:noProof/>
            <w:sz w:val="22"/>
            <w:lang w:val="en-US"/>
          </w:rPr>
          <w:tab/>
        </w:r>
        <w:r w:rsidR="006B6CB2" w:rsidRPr="00DA1B77">
          <w:rPr>
            <w:rStyle w:val="Hyperlink"/>
            <w:noProof/>
            <w:u w:color="000000"/>
            <w:bdr w:val="nil"/>
          </w:rPr>
          <w:t>A javaslat egyes rendelkezéseinek részletes magyarázata</w:t>
        </w:r>
        <w:r w:rsidR="006B6CB2">
          <w:rPr>
            <w:noProof/>
            <w:webHidden/>
          </w:rPr>
          <w:tab/>
        </w:r>
        <w:r w:rsidR="006B6CB2">
          <w:rPr>
            <w:noProof/>
            <w:webHidden/>
          </w:rPr>
          <w:fldChar w:fldCharType="begin"/>
        </w:r>
        <w:r w:rsidR="006B6CB2">
          <w:rPr>
            <w:noProof/>
            <w:webHidden/>
          </w:rPr>
          <w:instrText xml:space="preserve"> PAGEREF _Toc86321147 \h </w:instrText>
        </w:r>
        <w:r w:rsidR="006B6CB2">
          <w:rPr>
            <w:noProof/>
            <w:webHidden/>
          </w:rPr>
        </w:r>
        <w:r w:rsidR="006B6CB2">
          <w:rPr>
            <w:noProof/>
            <w:webHidden/>
          </w:rPr>
          <w:fldChar w:fldCharType="separate"/>
        </w:r>
        <w:r w:rsidR="006B6CB2">
          <w:rPr>
            <w:noProof/>
            <w:webHidden/>
          </w:rPr>
          <w:t>8</w:t>
        </w:r>
        <w:r w:rsidR="006B6CB2">
          <w:rPr>
            <w:noProof/>
            <w:webHidden/>
          </w:rPr>
          <w:fldChar w:fldCharType="end"/>
        </w:r>
      </w:hyperlink>
    </w:p>
    <w:p w14:paraId="52EC9508" w14:textId="41B490A0" w:rsidR="006B6CB2" w:rsidRDefault="002C2222">
      <w:pPr>
        <w:pStyle w:val="TOC1"/>
        <w:rPr>
          <w:rFonts w:asciiTheme="minorHAnsi" w:eastAsiaTheme="minorEastAsia" w:hAnsiTheme="minorHAnsi" w:cstheme="minorBidi"/>
          <w:noProof/>
          <w:sz w:val="22"/>
          <w:lang w:val="en-US"/>
        </w:rPr>
      </w:pPr>
      <w:hyperlink w:anchor="_Toc86321148" w:history="1">
        <w:r w:rsidR="006B6CB2" w:rsidRPr="00DA1B77">
          <w:rPr>
            <w:rStyle w:val="Hyperlink"/>
            <w:noProof/>
          </w:rPr>
          <w:t>1.</w:t>
        </w:r>
        <w:r w:rsidR="006B6CB2">
          <w:rPr>
            <w:rFonts w:asciiTheme="minorHAnsi" w:eastAsiaTheme="minorEastAsia" w:hAnsiTheme="minorHAnsi" w:cstheme="minorBidi"/>
            <w:noProof/>
            <w:sz w:val="22"/>
            <w:lang w:val="en-US"/>
          </w:rPr>
          <w:tab/>
        </w:r>
        <w:r w:rsidR="006B6CB2" w:rsidRPr="00DA1B77">
          <w:rPr>
            <w:rStyle w:val="Hyperlink"/>
            <w:noProof/>
          </w:rPr>
          <w:t>A JAVASLAT/KEZDEMÉNYEZÉS FŐBB ADATAI</w:t>
        </w:r>
        <w:r w:rsidR="006B6CB2">
          <w:rPr>
            <w:noProof/>
            <w:webHidden/>
          </w:rPr>
          <w:tab/>
        </w:r>
        <w:r w:rsidR="006B6CB2">
          <w:rPr>
            <w:noProof/>
            <w:webHidden/>
          </w:rPr>
          <w:fldChar w:fldCharType="begin"/>
        </w:r>
        <w:r w:rsidR="006B6CB2">
          <w:rPr>
            <w:noProof/>
            <w:webHidden/>
          </w:rPr>
          <w:instrText xml:space="preserve"> PAGEREF _Toc86321148 \h </w:instrText>
        </w:r>
        <w:r w:rsidR="006B6CB2">
          <w:rPr>
            <w:noProof/>
            <w:webHidden/>
          </w:rPr>
        </w:r>
        <w:r w:rsidR="006B6CB2">
          <w:rPr>
            <w:noProof/>
            <w:webHidden/>
          </w:rPr>
          <w:fldChar w:fldCharType="separate"/>
        </w:r>
        <w:r w:rsidR="006B6CB2">
          <w:rPr>
            <w:noProof/>
            <w:webHidden/>
          </w:rPr>
          <w:t>3</w:t>
        </w:r>
        <w:r w:rsidR="006B6CB2">
          <w:rPr>
            <w:noProof/>
            <w:webHidden/>
          </w:rPr>
          <w:fldChar w:fldCharType="end"/>
        </w:r>
      </w:hyperlink>
    </w:p>
    <w:p w14:paraId="591E3BAE" w14:textId="303B492D" w:rsidR="006B6CB2" w:rsidRDefault="002C2222">
      <w:pPr>
        <w:pStyle w:val="TOC2"/>
        <w:rPr>
          <w:rFonts w:asciiTheme="minorHAnsi" w:eastAsiaTheme="minorEastAsia" w:hAnsiTheme="minorHAnsi" w:cstheme="minorBidi"/>
          <w:noProof/>
          <w:sz w:val="22"/>
          <w:lang w:val="en-US"/>
        </w:rPr>
      </w:pPr>
      <w:hyperlink w:anchor="_Toc86321149" w:history="1">
        <w:r w:rsidR="006B6CB2" w:rsidRPr="00DA1B77">
          <w:rPr>
            <w:rStyle w:val="Hyperlink"/>
            <w:noProof/>
          </w:rPr>
          <w:t>1.1.</w:t>
        </w:r>
        <w:r w:rsidR="006B6CB2">
          <w:rPr>
            <w:rFonts w:asciiTheme="minorHAnsi" w:eastAsiaTheme="minorEastAsia" w:hAnsiTheme="minorHAnsi" w:cstheme="minorBidi"/>
            <w:noProof/>
            <w:sz w:val="22"/>
            <w:lang w:val="en-US"/>
          </w:rPr>
          <w:tab/>
        </w:r>
        <w:r w:rsidR="006B6CB2" w:rsidRPr="00DA1B77">
          <w:rPr>
            <w:rStyle w:val="Hyperlink"/>
            <w:noProof/>
          </w:rPr>
          <w:t>A javaslat/kezdeményezés címe</w:t>
        </w:r>
        <w:r w:rsidR="006B6CB2">
          <w:rPr>
            <w:noProof/>
            <w:webHidden/>
          </w:rPr>
          <w:tab/>
        </w:r>
        <w:r w:rsidR="006B6CB2">
          <w:rPr>
            <w:noProof/>
            <w:webHidden/>
          </w:rPr>
          <w:fldChar w:fldCharType="begin"/>
        </w:r>
        <w:r w:rsidR="006B6CB2">
          <w:rPr>
            <w:noProof/>
            <w:webHidden/>
          </w:rPr>
          <w:instrText xml:space="preserve"> PAGEREF _Toc86321149 \h </w:instrText>
        </w:r>
        <w:r w:rsidR="006B6CB2">
          <w:rPr>
            <w:noProof/>
            <w:webHidden/>
          </w:rPr>
        </w:r>
        <w:r w:rsidR="006B6CB2">
          <w:rPr>
            <w:noProof/>
            <w:webHidden/>
          </w:rPr>
          <w:fldChar w:fldCharType="separate"/>
        </w:r>
        <w:r w:rsidR="006B6CB2">
          <w:rPr>
            <w:noProof/>
            <w:webHidden/>
          </w:rPr>
          <w:t>3</w:t>
        </w:r>
        <w:r w:rsidR="006B6CB2">
          <w:rPr>
            <w:noProof/>
            <w:webHidden/>
          </w:rPr>
          <w:fldChar w:fldCharType="end"/>
        </w:r>
      </w:hyperlink>
    </w:p>
    <w:p w14:paraId="77E47200" w14:textId="193E1077" w:rsidR="006B6CB2" w:rsidRDefault="002C2222">
      <w:pPr>
        <w:pStyle w:val="TOC2"/>
        <w:rPr>
          <w:rFonts w:asciiTheme="minorHAnsi" w:eastAsiaTheme="minorEastAsia" w:hAnsiTheme="minorHAnsi" w:cstheme="minorBidi"/>
          <w:noProof/>
          <w:sz w:val="22"/>
          <w:lang w:val="en-US"/>
        </w:rPr>
      </w:pPr>
      <w:hyperlink w:anchor="_Toc86321150" w:history="1">
        <w:r w:rsidR="006B6CB2" w:rsidRPr="00DA1B77">
          <w:rPr>
            <w:rStyle w:val="Hyperlink"/>
            <w:i/>
            <w:noProof/>
          </w:rPr>
          <w:t>1.2.</w:t>
        </w:r>
        <w:r w:rsidR="006B6CB2">
          <w:rPr>
            <w:rFonts w:asciiTheme="minorHAnsi" w:eastAsiaTheme="minorEastAsia" w:hAnsiTheme="minorHAnsi" w:cstheme="minorBidi"/>
            <w:noProof/>
            <w:sz w:val="22"/>
            <w:lang w:val="en-US"/>
          </w:rPr>
          <w:tab/>
        </w:r>
        <w:r w:rsidR="006B6CB2" w:rsidRPr="00DA1B77">
          <w:rPr>
            <w:rStyle w:val="Hyperlink"/>
            <w:noProof/>
          </w:rPr>
          <w:t>Érintett szakpolitikai terület(ek)</w:t>
        </w:r>
        <w:r w:rsidR="006B6CB2">
          <w:rPr>
            <w:noProof/>
            <w:webHidden/>
          </w:rPr>
          <w:tab/>
        </w:r>
        <w:r w:rsidR="006B6CB2">
          <w:rPr>
            <w:noProof/>
            <w:webHidden/>
          </w:rPr>
          <w:fldChar w:fldCharType="begin"/>
        </w:r>
        <w:r w:rsidR="006B6CB2">
          <w:rPr>
            <w:noProof/>
            <w:webHidden/>
          </w:rPr>
          <w:instrText xml:space="preserve"> PAGEREF _Toc86321150 \h </w:instrText>
        </w:r>
        <w:r w:rsidR="006B6CB2">
          <w:rPr>
            <w:noProof/>
            <w:webHidden/>
          </w:rPr>
        </w:r>
        <w:r w:rsidR="006B6CB2">
          <w:rPr>
            <w:noProof/>
            <w:webHidden/>
          </w:rPr>
          <w:fldChar w:fldCharType="separate"/>
        </w:r>
        <w:r w:rsidR="006B6CB2">
          <w:rPr>
            <w:noProof/>
            <w:webHidden/>
          </w:rPr>
          <w:t>3</w:t>
        </w:r>
        <w:r w:rsidR="006B6CB2">
          <w:rPr>
            <w:noProof/>
            <w:webHidden/>
          </w:rPr>
          <w:fldChar w:fldCharType="end"/>
        </w:r>
      </w:hyperlink>
    </w:p>
    <w:p w14:paraId="11F66A81" w14:textId="1EE67249" w:rsidR="006B6CB2" w:rsidRDefault="002C2222">
      <w:pPr>
        <w:pStyle w:val="TOC2"/>
        <w:rPr>
          <w:rFonts w:asciiTheme="minorHAnsi" w:eastAsiaTheme="minorEastAsia" w:hAnsiTheme="minorHAnsi" w:cstheme="minorBidi"/>
          <w:noProof/>
          <w:sz w:val="22"/>
          <w:lang w:val="en-US"/>
        </w:rPr>
      </w:pPr>
      <w:hyperlink w:anchor="_Toc86321151" w:history="1">
        <w:r w:rsidR="006B6CB2" w:rsidRPr="00DA1B77">
          <w:rPr>
            <w:rStyle w:val="Hyperlink"/>
            <w:noProof/>
          </w:rPr>
          <w:t>1.3.</w:t>
        </w:r>
        <w:r w:rsidR="006B6CB2">
          <w:rPr>
            <w:rFonts w:asciiTheme="minorHAnsi" w:eastAsiaTheme="minorEastAsia" w:hAnsiTheme="minorHAnsi" w:cstheme="minorBidi"/>
            <w:noProof/>
            <w:sz w:val="22"/>
            <w:lang w:val="en-US"/>
          </w:rPr>
          <w:tab/>
        </w:r>
        <w:r w:rsidR="006B6CB2" w:rsidRPr="00DA1B77">
          <w:rPr>
            <w:rStyle w:val="Hyperlink"/>
            <w:noProof/>
          </w:rPr>
          <w:t>A javaslat/kezdeményezés a következőre irányul:</w:t>
        </w:r>
        <w:r w:rsidR="006B6CB2">
          <w:rPr>
            <w:noProof/>
            <w:webHidden/>
          </w:rPr>
          <w:tab/>
        </w:r>
        <w:r w:rsidR="006B6CB2">
          <w:rPr>
            <w:noProof/>
            <w:webHidden/>
          </w:rPr>
          <w:fldChar w:fldCharType="begin"/>
        </w:r>
        <w:r w:rsidR="006B6CB2">
          <w:rPr>
            <w:noProof/>
            <w:webHidden/>
          </w:rPr>
          <w:instrText xml:space="preserve"> PAGEREF _Toc86321151 \h </w:instrText>
        </w:r>
        <w:r w:rsidR="006B6CB2">
          <w:rPr>
            <w:noProof/>
            <w:webHidden/>
          </w:rPr>
        </w:r>
        <w:r w:rsidR="006B6CB2">
          <w:rPr>
            <w:noProof/>
            <w:webHidden/>
          </w:rPr>
          <w:fldChar w:fldCharType="separate"/>
        </w:r>
        <w:r w:rsidR="006B6CB2">
          <w:rPr>
            <w:noProof/>
            <w:webHidden/>
          </w:rPr>
          <w:t>3</w:t>
        </w:r>
        <w:r w:rsidR="006B6CB2">
          <w:rPr>
            <w:noProof/>
            <w:webHidden/>
          </w:rPr>
          <w:fldChar w:fldCharType="end"/>
        </w:r>
      </w:hyperlink>
    </w:p>
    <w:p w14:paraId="35609E1F" w14:textId="1FDB0DE1" w:rsidR="006B6CB2" w:rsidRDefault="002C2222">
      <w:pPr>
        <w:pStyle w:val="TOC2"/>
        <w:rPr>
          <w:rFonts w:asciiTheme="minorHAnsi" w:eastAsiaTheme="minorEastAsia" w:hAnsiTheme="minorHAnsi" w:cstheme="minorBidi"/>
          <w:noProof/>
          <w:sz w:val="22"/>
          <w:lang w:val="en-US"/>
        </w:rPr>
      </w:pPr>
      <w:hyperlink w:anchor="_Toc86321152" w:history="1">
        <w:r w:rsidR="006B6CB2" w:rsidRPr="00DA1B77">
          <w:rPr>
            <w:rStyle w:val="Hyperlink"/>
            <w:noProof/>
          </w:rPr>
          <w:t>1.4.</w:t>
        </w:r>
        <w:r w:rsidR="006B6CB2">
          <w:rPr>
            <w:rFonts w:asciiTheme="minorHAnsi" w:eastAsiaTheme="minorEastAsia" w:hAnsiTheme="minorHAnsi" w:cstheme="minorBidi"/>
            <w:noProof/>
            <w:sz w:val="22"/>
            <w:lang w:val="en-US"/>
          </w:rPr>
          <w:tab/>
        </w:r>
        <w:r w:rsidR="006B6CB2" w:rsidRPr="00DA1B77">
          <w:rPr>
            <w:rStyle w:val="Hyperlink"/>
            <w:noProof/>
          </w:rPr>
          <w:t>Célkitűzés(ek)</w:t>
        </w:r>
        <w:r w:rsidR="006B6CB2">
          <w:rPr>
            <w:noProof/>
            <w:webHidden/>
          </w:rPr>
          <w:tab/>
        </w:r>
        <w:r w:rsidR="006B6CB2">
          <w:rPr>
            <w:noProof/>
            <w:webHidden/>
          </w:rPr>
          <w:fldChar w:fldCharType="begin"/>
        </w:r>
        <w:r w:rsidR="006B6CB2">
          <w:rPr>
            <w:noProof/>
            <w:webHidden/>
          </w:rPr>
          <w:instrText xml:space="preserve"> PAGEREF _Toc86321152 \h </w:instrText>
        </w:r>
        <w:r w:rsidR="006B6CB2">
          <w:rPr>
            <w:noProof/>
            <w:webHidden/>
          </w:rPr>
        </w:r>
        <w:r w:rsidR="006B6CB2">
          <w:rPr>
            <w:noProof/>
            <w:webHidden/>
          </w:rPr>
          <w:fldChar w:fldCharType="separate"/>
        </w:r>
        <w:r w:rsidR="006B6CB2">
          <w:rPr>
            <w:noProof/>
            <w:webHidden/>
          </w:rPr>
          <w:t>3</w:t>
        </w:r>
        <w:r w:rsidR="006B6CB2">
          <w:rPr>
            <w:noProof/>
            <w:webHidden/>
          </w:rPr>
          <w:fldChar w:fldCharType="end"/>
        </w:r>
      </w:hyperlink>
    </w:p>
    <w:p w14:paraId="569EDB22" w14:textId="47370651" w:rsidR="006B6CB2" w:rsidRDefault="002C2222">
      <w:pPr>
        <w:pStyle w:val="TOC3"/>
        <w:rPr>
          <w:rFonts w:asciiTheme="minorHAnsi" w:eastAsiaTheme="minorEastAsia" w:hAnsiTheme="minorHAnsi" w:cstheme="minorBidi"/>
          <w:noProof/>
          <w:sz w:val="22"/>
          <w:lang w:val="en-US"/>
        </w:rPr>
      </w:pPr>
      <w:hyperlink w:anchor="_Toc86321153" w:history="1">
        <w:r w:rsidR="006B6CB2" w:rsidRPr="00DA1B77">
          <w:rPr>
            <w:rStyle w:val="Hyperlink"/>
            <w:noProof/>
          </w:rPr>
          <w:t>1.4.1.</w:t>
        </w:r>
        <w:r w:rsidR="006B6CB2">
          <w:rPr>
            <w:rFonts w:asciiTheme="minorHAnsi" w:eastAsiaTheme="minorEastAsia" w:hAnsiTheme="minorHAnsi" w:cstheme="minorBidi"/>
            <w:noProof/>
            <w:sz w:val="22"/>
            <w:lang w:val="en-US"/>
          </w:rPr>
          <w:tab/>
        </w:r>
        <w:r w:rsidR="006B6CB2" w:rsidRPr="00DA1B77">
          <w:rPr>
            <w:rStyle w:val="Hyperlink"/>
            <w:noProof/>
          </w:rPr>
          <w:t>Általános célkitűzés(ek)</w:t>
        </w:r>
        <w:r w:rsidR="006B6CB2">
          <w:rPr>
            <w:noProof/>
            <w:webHidden/>
          </w:rPr>
          <w:tab/>
        </w:r>
        <w:r w:rsidR="006B6CB2">
          <w:rPr>
            <w:noProof/>
            <w:webHidden/>
          </w:rPr>
          <w:fldChar w:fldCharType="begin"/>
        </w:r>
        <w:r w:rsidR="006B6CB2">
          <w:rPr>
            <w:noProof/>
            <w:webHidden/>
          </w:rPr>
          <w:instrText xml:space="preserve"> PAGEREF _Toc86321153 \h </w:instrText>
        </w:r>
        <w:r w:rsidR="006B6CB2">
          <w:rPr>
            <w:noProof/>
            <w:webHidden/>
          </w:rPr>
        </w:r>
        <w:r w:rsidR="006B6CB2">
          <w:rPr>
            <w:noProof/>
            <w:webHidden/>
          </w:rPr>
          <w:fldChar w:fldCharType="separate"/>
        </w:r>
        <w:r w:rsidR="006B6CB2">
          <w:rPr>
            <w:noProof/>
            <w:webHidden/>
          </w:rPr>
          <w:t>3</w:t>
        </w:r>
        <w:r w:rsidR="006B6CB2">
          <w:rPr>
            <w:noProof/>
            <w:webHidden/>
          </w:rPr>
          <w:fldChar w:fldCharType="end"/>
        </w:r>
      </w:hyperlink>
    </w:p>
    <w:p w14:paraId="27499952" w14:textId="1990BC3B" w:rsidR="006B6CB2" w:rsidRDefault="002C2222">
      <w:pPr>
        <w:pStyle w:val="TOC3"/>
        <w:rPr>
          <w:rFonts w:asciiTheme="minorHAnsi" w:eastAsiaTheme="minorEastAsia" w:hAnsiTheme="minorHAnsi" w:cstheme="minorBidi"/>
          <w:noProof/>
          <w:sz w:val="22"/>
          <w:lang w:val="en-US"/>
        </w:rPr>
      </w:pPr>
      <w:hyperlink w:anchor="_Toc86321154" w:history="1">
        <w:r w:rsidR="006B6CB2" w:rsidRPr="00DA1B77">
          <w:rPr>
            <w:rStyle w:val="Hyperlink"/>
            <w:noProof/>
          </w:rPr>
          <w:t>1.4.2.</w:t>
        </w:r>
        <w:r w:rsidR="006B6CB2">
          <w:rPr>
            <w:rFonts w:asciiTheme="minorHAnsi" w:eastAsiaTheme="minorEastAsia" w:hAnsiTheme="minorHAnsi" w:cstheme="minorBidi"/>
            <w:noProof/>
            <w:sz w:val="22"/>
            <w:lang w:val="en-US"/>
          </w:rPr>
          <w:tab/>
        </w:r>
        <w:r w:rsidR="006B6CB2" w:rsidRPr="00DA1B77">
          <w:rPr>
            <w:rStyle w:val="Hyperlink"/>
            <w:noProof/>
          </w:rPr>
          <w:t>Konkrét célkitűzés(ek)</w:t>
        </w:r>
        <w:r w:rsidR="006B6CB2">
          <w:rPr>
            <w:noProof/>
            <w:webHidden/>
          </w:rPr>
          <w:tab/>
        </w:r>
        <w:r w:rsidR="006B6CB2">
          <w:rPr>
            <w:noProof/>
            <w:webHidden/>
          </w:rPr>
          <w:fldChar w:fldCharType="begin"/>
        </w:r>
        <w:r w:rsidR="006B6CB2">
          <w:rPr>
            <w:noProof/>
            <w:webHidden/>
          </w:rPr>
          <w:instrText xml:space="preserve"> PAGEREF _Toc86321154 \h </w:instrText>
        </w:r>
        <w:r w:rsidR="006B6CB2">
          <w:rPr>
            <w:noProof/>
            <w:webHidden/>
          </w:rPr>
        </w:r>
        <w:r w:rsidR="006B6CB2">
          <w:rPr>
            <w:noProof/>
            <w:webHidden/>
          </w:rPr>
          <w:fldChar w:fldCharType="separate"/>
        </w:r>
        <w:r w:rsidR="006B6CB2">
          <w:rPr>
            <w:noProof/>
            <w:webHidden/>
          </w:rPr>
          <w:t>3</w:t>
        </w:r>
        <w:r w:rsidR="006B6CB2">
          <w:rPr>
            <w:noProof/>
            <w:webHidden/>
          </w:rPr>
          <w:fldChar w:fldCharType="end"/>
        </w:r>
      </w:hyperlink>
    </w:p>
    <w:p w14:paraId="4D8B9CD4" w14:textId="76D64E8E" w:rsidR="006B6CB2" w:rsidRDefault="002C2222">
      <w:pPr>
        <w:pStyle w:val="TOC3"/>
        <w:rPr>
          <w:rFonts w:asciiTheme="minorHAnsi" w:eastAsiaTheme="minorEastAsia" w:hAnsiTheme="minorHAnsi" w:cstheme="minorBidi"/>
          <w:noProof/>
          <w:sz w:val="22"/>
          <w:lang w:val="en-US"/>
        </w:rPr>
      </w:pPr>
      <w:hyperlink w:anchor="_Toc86321155" w:history="1">
        <w:r w:rsidR="006B6CB2" w:rsidRPr="00DA1B77">
          <w:rPr>
            <w:rStyle w:val="Hyperlink"/>
            <w:noProof/>
          </w:rPr>
          <w:t>1.4.3.</w:t>
        </w:r>
        <w:r w:rsidR="006B6CB2">
          <w:rPr>
            <w:rFonts w:asciiTheme="minorHAnsi" w:eastAsiaTheme="minorEastAsia" w:hAnsiTheme="minorHAnsi" w:cstheme="minorBidi"/>
            <w:noProof/>
            <w:sz w:val="22"/>
            <w:lang w:val="en-US"/>
          </w:rPr>
          <w:tab/>
        </w:r>
        <w:r w:rsidR="006B6CB2" w:rsidRPr="00DA1B77">
          <w:rPr>
            <w:rStyle w:val="Hyperlink"/>
            <w:noProof/>
          </w:rPr>
          <w:t>Várható eredmény(ek) és hatás(ok)</w:t>
        </w:r>
        <w:r w:rsidR="006B6CB2">
          <w:rPr>
            <w:noProof/>
            <w:webHidden/>
          </w:rPr>
          <w:tab/>
        </w:r>
        <w:r w:rsidR="006B6CB2">
          <w:rPr>
            <w:noProof/>
            <w:webHidden/>
          </w:rPr>
          <w:fldChar w:fldCharType="begin"/>
        </w:r>
        <w:r w:rsidR="006B6CB2">
          <w:rPr>
            <w:noProof/>
            <w:webHidden/>
          </w:rPr>
          <w:instrText xml:space="preserve"> PAGEREF _Toc86321155 \h </w:instrText>
        </w:r>
        <w:r w:rsidR="006B6CB2">
          <w:rPr>
            <w:noProof/>
            <w:webHidden/>
          </w:rPr>
        </w:r>
        <w:r w:rsidR="006B6CB2">
          <w:rPr>
            <w:noProof/>
            <w:webHidden/>
          </w:rPr>
          <w:fldChar w:fldCharType="separate"/>
        </w:r>
        <w:r w:rsidR="006B6CB2">
          <w:rPr>
            <w:noProof/>
            <w:webHidden/>
          </w:rPr>
          <w:t>3</w:t>
        </w:r>
        <w:r w:rsidR="006B6CB2">
          <w:rPr>
            <w:noProof/>
            <w:webHidden/>
          </w:rPr>
          <w:fldChar w:fldCharType="end"/>
        </w:r>
      </w:hyperlink>
    </w:p>
    <w:p w14:paraId="000C5A25" w14:textId="7B3ED9F9" w:rsidR="006B6CB2" w:rsidRDefault="002C2222">
      <w:pPr>
        <w:pStyle w:val="TOC3"/>
        <w:rPr>
          <w:rFonts w:asciiTheme="minorHAnsi" w:eastAsiaTheme="minorEastAsia" w:hAnsiTheme="minorHAnsi" w:cstheme="minorBidi"/>
          <w:noProof/>
          <w:sz w:val="22"/>
          <w:lang w:val="en-US"/>
        </w:rPr>
      </w:pPr>
      <w:hyperlink w:anchor="_Toc86321156" w:history="1">
        <w:r w:rsidR="006B6CB2" w:rsidRPr="00DA1B77">
          <w:rPr>
            <w:rStyle w:val="Hyperlink"/>
            <w:noProof/>
          </w:rPr>
          <w:t>1.4.4.</w:t>
        </w:r>
        <w:r w:rsidR="006B6CB2">
          <w:rPr>
            <w:rFonts w:asciiTheme="minorHAnsi" w:eastAsiaTheme="minorEastAsia" w:hAnsiTheme="minorHAnsi" w:cstheme="minorBidi"/>
            <w:noProof/>
            <w:sz w:val="22"/>
            <w:lang w:val="en-US"/>
          </w:rPr>
          <w:tab/>
        </w:r>
        <w:r w:rsidR="006B6CB2" w:rsidRPr="00DA1B77">
          <w:rPr>
            <w:rStyle w:val="Hyperlink"/>
            <w:noProof/>
          </w:rPr>
          <w:t>Teljesítménymutatók</w:t>
        </w:r>
        <w:r w:rsidR="006B6CB2">
          <w:rPr>
            <w:noProof/>
            <w:webHidden/>
          </w:rPr>
          <w:tab/>
        </w:r>
        <w:r w:rsidR="006B6CB2">
          <w:rPr>
            <w:noProof/>
            <w:webHidden/>
          </w:rPr>
          <w:fldChar w:fldCharType="begin"/>
        </w:r>
        <w:r w:rsidR="006B6CB2">
          <w:rPr>
            <w:noProof/>
            <w:webHidden/>
          </w:rPr>
          <w:instrText xml:space="preserve"> PAGEREF _Toc86321156 \h </w:instrText>
        </w:r>
        <w:r w:rsidR="006B6CB2">
          <w:rPr>
            <w:noProof/>
            <w:webHidden/>
          </w:rPr>
        </w:r>
        <w:r w:rsidR="006B6CB2">
          <w:rPr>
            <w:noProof/>
            <w:webHidden/>
          </w:rPr>
          <w:fldChar w:fldCharType="separate"/>
        </w:r>
        <w:r w:rsidR="006B6CB2">
          <w:rPr>
            <w:noProof/>
            <w:webHidden/>
          </w:rPr>
          <w:t>4</w:t>
        </w:r>
        <w:r w:rsidR="006B6CB2">
          <w:rPr>
            <w:noProof/>
            <w:webHidden/>
          </w:rPr>
          <w:fldChar w:fldCharType="end"/>
        </w:r>
      </w:hyperlink>
    </w:p>
    <w:p w14:paraId="74EAEAD8" w14:textId="582AFB29" w:rsidR="006B6CB2" w:rsidRDefault="002C2222">
      <w:pPr>
        <w:pStyle w:val="TOC2"/>
        <w:rPr>
          <w:rFonts w:asciiTheme="minorHAnsi" w:eastAsiaTheme="minorEastAsia" w:hAnsiTheme="minorHAnsi" w:cstheme="minorBidi"/>
          <w:noProof/>
          <w:sz w:val="22"/>
          <w:lang w:val="en-US"/>
        </w:rPr>
      </w:pPr>
      <w:hyperlink w:anchor="_Toc86321157" w:history="1">
        <w:r w:rsidR="006B6CB2" w:rsidRPr="00DA1B77">
          <w:rPr>
            <w:rStyle w:val="Hyperlink"/>
            <w:noProof/>
          </w:rPr>
          <w:t>1.5.</w:t>
        </w:r>
        <w:r w:rsidR="006B6CB2">
          <w:rPr>
            <w:rFonts w:asciiTheme="minorHAnsi" w:eastAsiaTheme="minorEastAsia" w:hAnsiTheme="minorHAnsi" w:cstheme="minorBidi"/>
            <w:noProof/>
            <w:sz w:val="22"/>
            <w:lang w:val="en-US"/>
          </w:rPr>
          <w:tab/>
        </w:r>
        <w:r w:rsidR="006B6CB2" w:rsidRPr="00DA1B77">
          <w:rPr>
            <w:rStyle w:val="Hyperlink"/>
            <w:noProof/>
          </w:rPr>
          <w:t>A javaslat/kezdeményezés indoklása</w:t>
        </w:r>
        <w:r w:rsidR="006B6CB2">
          <w:rPr>
            <w:noProof/>
            <w:webHidden/>
          </w:rPr>
          <w:tab/>
        </w:r>
        <w:r w:rsidR="006B6CB2">
          <w:rPr>
            <w:noProof/>
            <w:webHidden/>
          </w:rPr>
          <w:fldChar w:fldCharType="begin"/>
        </w:r>
        <w:r w:rsidR="006B6CB2">
          <w:rPr>
            <w:noProof/>
            <w:webHidden/>
          </w:rPr>
          <w:instrText xml:space="preserve"> PAGEREF _Toc86321157 \h </w:instrText>
        </w:r>
        <w:r w:rsidR="006B6CB2">
          <w:rPr>
            <w:noProof/>
            <w:webHidden/>
          </w:rPr>
        </w:r>
        <w:r w:rsidR="006B6CB2">
          <w:rPr>
            <w:noProof/>
            <w:webHidden/>
          </w:rPr>
          <w:fldChar w:fldCharType="separate"/>
        </w:r>
        <w:r w:rsidR="006B6CB2">
          <w:rPr>
            <w:noProof/>
            <w:webHidden/>
          </w:rPr>
          <w:t>5</w:t>
        </w:r>
        <w:r w:rsidR="006B6CB2">
          <w:rPr>
            <w:noProof/>
            <w:webHidden/>
          </w:rPr>
          <w:fldChar w:fldCharType="end"/>
        </w:r>
      </w:hyperlink>
    </w:p>
    <w:p w14:paraId="73406384" w14:textId="55413976" w:rsidR="006B6CB2" w:rsidRDefault="002C2222">
      <w:pPr>
        <w:pStyle w:val="TOC3"/>
        <w:rPr>
          <w:rFonts w:asciiTheme="minorHAnsi" w:eastAsiaTheme="minorEastAsia" w:hAnsiTheme="minorHAnsi" w:cstheme="minorBidi"/>
          <w:noProof/>
          <w:sz w:val="22"/>
          <w:lang w:val="en-US"/>
        </w:rPr>
      </w:pPr>
      <w:hyperlink w:anchor="_Toc86321158" w:history="1">
        <w:r w:rsidR="006B6CB2" w:rsidRPr="00DA1B77">
          <w:rPr>
            <w:rStyle w:val="Hyperlink"/>
            <w:noProof/>
          </w:rPr>
          <w:t>1.5.1.</w:t>
        </w:r>
        <w:r w:rsidR="006B6CB2">
          <w:rPr>
            <w:rFonts w:asciiTheme="minorHAnsi" w:eastAsiaTheme="minorEastAsia" w:hAnsiTheme="minorHAnsi" w:cstheme="minorBidi"/>
            <w:noProof/>
            <w:sz w:val="22"/>
            <w:lang w:val="en-US"/>
          </w:rPr>
          <w:tab/>
        </w:r>
        <w:r w:rsidR="006B6CB2" w:rsidRPr="00DA1B77">
          <w:rPr>
            <w:rStyle w:val="Hyperlink"/>
            <w:noProof/>
          </w:rPr>
          <w:t>Rövid vagy hosszú távon kielégítendő szükséglet(ek) a kezdeményezés végrehajtásának részletes ütemtervével</w:t>
        </w:r>
        <w:r w:rsidR="006B6CB2">
          <w:rPr>
            <w:noProof/>
            <w:webHidden/>
          </w:rPr>
          <w:tab/>
        </w:r>
        <w:r w:rsidR="006B6CB2">
          <w:rPr>
            <w:noProof/>
            <w:webHidden/>
          </w:rPr>
          <w:fldChar w:fldCharType="begin"/>
        </w:r>
        <w:r w:rsidR="006B6CB2">
          <w:rPr>
            <w:noProof/>
            <w:webHidden/>
          </w:rPr>
          <w:instrText xml:space="preserve"> PAGEREF _Toc86321158 \h </w:instrText>
        </w:r>
        <w:r w:rsidR="006B6CB2">
          <w:rPr>
            <w:noProof/>
            <w:webHidden/>
          </w:rPr>
        </w:r>
        <w:r w:rsidR="006B6CB2">
          <w:rPr>
            <w:noProof/>
            <w:webHidden/>
          </w:rPr>
          <w:fldChar w:fldCharType="separate"/>
        </w:r>
        <w:r w:rsidR="006B6CB2">
          <w:rPr>
            <w:noProof/>
            <w:webHidden/>
          </w:rPr>
          <w:t>5</w:t>
        </w:r>
        <w:r w:rsidR="006B6CB2">
          <w:rPr>
            <w:noProof/>
            <w:webHidden/>
          </w:rPr>
          <w:fldChar w:fldCharType="end"/>
        </w:r>
      </w:hyperlink>
    </w:p>
    <w:p w14:paraId="0836C0F5" w14:textId="662F773D" w:rsidR="006B6CB2" w:rsidRDefault="002C2222">
      <w:pPr>
        <w:pStyle w:val="TOC3"/>
        <w:rPr>
          <w:rFonts w:asciiTheme="minorHAnsi" w:eastAsiaTheme="minorEastAsia" w:hAnsiTheme="minorHAnsi" w:cstheme="minorBidi"/>
          <w:noProof/>
          <w:sz w:val="22"/>
          <w:lang w:val="en-US"/>
        </w:rPr>
      </w:pPr>
      <w:hyperlink w:anchor="_Toc86321159" w:history="1">
        <w:r w:rsidR="006B6CB2" w:rsidRPr="00DA1B77">
          <w:rPr>
            <w:rStyle w:val="Hyperlink"/>
            <w:noProof/>
          </w:rPr>
          <w:t>1.5.2.</w:t>
        </w:r>
        <w:r w:rsidR="006B6CB2">
          <w:rPr>
            <w:rFonts w:asciiTheme="minorHAnsi" w:eastAsiaTheme="minorEastAsia" w:hAnsiTheme="minorHAnsi" w:cstheme="minorBidi"/>
            <w:noProof/>
            <w:sz w:val="22"/>
            <w:lang w:val="en-US"/>
          </w:rPr>
          <w:tab/>
        </w:r>
        <w:r w:rsidR="006B6CB2" w:rsidRPr="00DA1B77">
          <w:rPr>
            <w:rStyle w:val="Hyperlink"/>
            <w:noProof/>
          </w:rPr>
          <w:t>Az uniós részvételből származó hozzáadott érték (ez különböző tényezőkből származhat, például a koordináció jelentette előnyökből, a jogbiztonságból, a fokozott hatékonyságból vagy a kiegészítő jellegből). E pontban „az Unió részvételéből származó hozzáadott érték” azt az uniós részvételből adódó értéket jelenti, amely többletként jelentkezik ahhoz az értékhez képest, amely a tagállamok egyedüli fellépése esetén jött volna létre.</w:t>
        </w:r>
        <w:r w:rsidR="006B6CB2">
          <w:rPr>
            <w:noProof/>
            <w:webHidden/>
          </w:rPr>
          <w:tab/>
        </w:r>
        <w:r w:rsidR="006B6CB2">
          <w:rPr>
            <w:noProof/>
            <w:webHidden/>
          </w:rPr>
          <w:fldChar w:fldCharType="begin"/>
        </w:r>
        <w:r w:rsidR="006B6CB2">
          <w:rPr>
            <w:noProof/>
            <w:webHidden/>
          </w:rPr>
          <w:instrText xml:space="preserve"> PAGEREF _Toc86321159 \h </w:instrText>
        </w:r>
        <w:r w:rsidR="006B6CB2">
          <w:rPr>
            <w:noProof/>
            <w:webHidden/>
          </w:rPr>
        </w:r>
        <w:r w:rsidR="006B6CB2">
          <w:rPr>
            <w:noProof/>
            <w:webHidden/>
          </w:rPr>
          <w:fldChar w:fldCharType="separate"/>
        </w:r>
        <w:r w:rsidR="006B6CB2">
          <w:rPr>
            <w:noProof/>
            <w:webHidden/>
          </w:rPr>
          <w:t>5</w:t>
        </w:r>
        <w:r w:rsidR="006B6CB2">
          <w:rPr>
            <w:noProof/>
            <w:webHidden/>
          </w:rPr>
          <w:fldChar w:fldCharType="end"/>
        </w:r>
      </w:hyperlink>
    </w:p>
    <w:p w14:paraId="3795302D" w14:textId="6FCB6B14" w:rsidR="006B6CB2" w:rsidRDefault="002C2222">
      <w:pPr>
        <w:pStyle w:val="TOC3"/>
        <w:rPr>
          <w:rFonts w:asciiTheme="minorHAnsi" w:eastAsiaTheme="minorEastAsia" w:hAnsiTheme="minorHAnsi" w:cstheme="minorBidi"/>
          <w:noProof/>
          <w:sz w:val="22"/>
          <w:lang w:val="en-US"/>
        </w:rPr>
      </w:pPr>
      <w:hyperlink w:anchor="_Toc86321160" w:history="1">
        <w:r w:rsidR="006B6CB2" w:rsidRPr="00DA1B77">
          <w:rPr>
            <w:rStyle w:val="Hyperlink"/>
            <w:noProof/>
          </w:rPr>
          <w:t>1.5.3.</w:t>
        </w:r>
        <w:r w:rsidR="006B6CB2">
          <w:rPr>
            <w:rFonts w:asciiTheme="minorHAnsi" w:eastAsiaTheme="minorEastAsia" w:hAnsiTheme="minorHAnsi" w:cstheme="minorBidi"/>
            <w:noProof/>
            <w:sz w:val="22"/>
            <w:lang w:val="en-US"/>
          </w:rPr>
          <w:tab/>
        </w:r>
        <w:r w:rsidR="006B6CB2" w:rsidRPr="00DA1B77">
          <w:rPr>
            <w:rStyle w:val="Hyperlink"/>
            <w:noProof/>
          </w:rPr>
          <w:t>Hasonló korábbi tapasztalatok tanulsága</w:t>
        </w:r>
        <w:r w:rsidR="006B6CB2">
          <w:rPr>
            <w:noProof/>
            <w:webHidden/>
          </w:rPr>
          <w:tab/>
        </w:r>
        <w:r w:rsidR="006B6CB2">
          <w:rPr>
            <w:noProof/>
            <w:webHidden/>
          </w:rPr>
          <w:fldChar w:fldCharType="begin"/>
        </w:r>
        <w:r w:rsidR="006B6CB2">
          <w:rPr>
            <w:noProof/>
            <w:webHidden/>
          </w:rPr>
          <w:instrText xml:space="preserve"> PAGEREF _Toc86321160 \h </w:instrText>
        </w:r>
        <w:r w:rsidR="006B6CB2">
          <w:rPr>
            <w:noProof/>
            <w:webHidden/>
          </w:rPr>
        </w:r>
        <w:r w:rsidR="006B6CB2">
          <w:rPr>
            <w:noProof/>
            <w:webHidden/>
          </w:rPr>
          <w:fldChar w:fldCharType="separate"/>
        </w:r>
        <w:r w:rsidR="006B6CB2">
          <w:rPr>
            <w:noProof/>
            <w:webHidden/>
          </w:rPr>
          <w:t>5</w:t>
        </w:r>
        <w:r w:rsidR="006B6CB2">
          <w:rPr>
            <w:noProof/>
            <w:webHidden/>
          </w:rPr>
          <w:fldChar w:fldCharType="end"/>
        </w:r>
      </w:hyperlink>
    </w:p>
    <w:p w14:paraId="7165F886" w14:textId="5795E4AA" w:rsidR="006B6CB2" w:rsidRDefault="002C2222">
      <w:pPr>
        <w:pStyle w:val="TOC3"/>
        <w:rPr>
          <w:rFonts w:asciiTheme="minorHAnsi" w:eastAsiaTheme="minorEastAsia" w:hAnsiTheme="minorHAnsi" w:cstheme="minorBidi"/>
          <w:noProof/>
          <w:sz w:val="22"/>
          <w:lang w:val="en-US"/>
        </w:rPr>
      </w:pPr>
      <w:hyperlink w:anchor="_Toc86321161" w:history="1">
        <w:r w:rsidR="006B6CB2" w:rsidRPr="00DA1B77">
          <w:rPr>
            <w:rStyle w:val="Hyperlink"/>
            <w:noProof/>
          </w:rPr>
          <w:t>1.5.4.</w:t>
        </w:r>
        <w:r w:rsidR="006B6CB2">
          <w:rPr>
            <w:rFonts w:asciiTheme="minorHAnsi" w:eastAsiaTheme="minorEastAsia" w:hAnsiTheme="minorHAnsi" w:cstheme="minorBidi"/>
            <w:noProof/>
            <w:sz w:val="22"/>
            <w:lang w:val="en-US"/>
          </w:rPr>
          <w:tab/>
        </w:r>
        <w:r w:rsidR="006B6CB2" w:rsidRPr="00DA1B77">
          <w:rPr>
            <w:rStyle w:val="Hyperlink"/>
            <w:noProof/>
          </w:rPr>
          <w:t>A többéves pénzügyi kerettel való összeegyeztethetőség és egyéb megfelelő eszközökkel való lehetséges szinergiák</w:t>
        </w:r>
        <w:r w:rsidR="006B6CB2">
          <w:rPr>
            <w:noProof/>
            <w:webHidden/>
          </w:rPr>
          <w:tab/>
        </w:r>
        <w:r w:rsidR="006B6CB2">
          <w:rPr>
            <w:noProof/>
            <w:webHidden/>
          </w:rPr>
          <w:fldChar w:fldCharType="begin"/>
        </w:r>
        <w:r w:rsidR="006B6CB2">
          <w:rPr>
            <w:noProof/>
            <w:webHidden/>
          </w:rPr>
          <w:instrText xml:space="preserve"> PAGEREF _Toc86321161 \h </w:instrText>
        </w:r>
        <w:r w:rsidR="006B6CB2">
          <w:rPr>
            <w:noProof/>
            <w:webHidden/>
          </w:rPr>
        </w:r>
        <w:r w:rsidR="006B6CB2">
          <w:rPr>
            <w:noProof/>
            <w:webHidden/>
          </w:rPr>
          <w:fldChar w:fldCharType="separate"/>
        </w:r>
        <w:r w:rsidR="006B6CB2">
          <w:rPr>
            <w:noProof/>
            <w:webHidden/>
          </w:rPr>
          <w:t>6</w:t>
        </w:r>
        <w:r w:rsidR="006B6CB2">
          <w:rPr>
            <w:noProof/>
            <w:webHidden/>
          </w:rPr>
          <w:fldChar w:fldCharType="end"/>
        </w:r>
      </w:hyperlink>
    </w:p>
    <w:p w14:paraId="6FFC2623" w14:textId="7836D85D" w:rsidR="006B6CB2" w:rsidRDefault="002C2222">
      <w:pPr>
        <w:pStyle w:val="TOC3"/>
        <w:rPr>
          <w:rFonts w:asciiTheme="minorHAnsi" w:eastAsiaTheme="minorEastAsia" w:hAnsiTheme="minorHAnsi" w:cstheme="minorBidi"/>
          <w:noProof/>
          <w:sz w:val="22"/>
          <w:lang w:val="en-US"/>
        </w:rPr>
      </w:pPr>
      <w:hyperlink w:anchor="_Toc86321162" w:history="1">
        <w:r w:rsidR="006B6CB2" w:rsidRPr="00DA1B77">
          <w:rPr>
            <w:rStyle w:val="Hyperlink"/>
            <w:noProof/>
          </w:rPr>
          <w:t>1.5.5.</w:t>
        </w:r>
        <w:r w:rsidR="006B6CB2">
          <w:rPr>
            <w:rFonts w:asciiTheme="minorHAnsi" w:eastAsiaTheme="minorEastAsia" w:hAnsiTheme="minorHAnsi" w:cstheme="minorBidi"/>
            <w:noProof/>
            <w:sz w:val="22"/>
            <w:lang w:val="en-US"/>
          </w:rPr>
          <w:tab/>
        </w:r>
        <w:r w:rsidR="006B6CB2" w:rsidRPr="00DA1B77">
          <w:rPr>
            <w:rStyle w:val="Hyperlink"/>
            <w:noProof/>
          </w:rPr>
          <w:t>A rendelkezésre álló különböző finanszírozási lehetőségek értékelése, ideértve az átcsoportosítási lehetőségeket is</w:t>
        </w:r>
        <w:r w:rsidR="006B6CB2">
          <w:rPr>
            <w:noProof/>
            <w:webHidden/>
          </w:rPr>
          <w:tab/>
        </w:r>
        <w:r w:rsidR="006B6CB2">
          <w:rPr>
            <w:noProof/>
            <w:webHidden/>
          </w:rPr>
          <w:fldChar w:fldCharType="begin"/>
        </w:r>
        <w:r w:rsidR="006B6CB2">
          <w:rPr>
            <w:noProof/>
            <w:webHidden/>
          </w:rPr>
          <w:instrText xml:space="preserve"> PAGEREF _Toc86321162 \h </w:instrText>
        </w:r>
        <w:r w:rsidR="006B6CB2">
          <w:rPr>
            <w:noProof/>
            <w:webHidden/>
          </w:rPr>
        </w:r>
        <w:r w:rsidR="006B6CB2">
          <w:rPr>
            <w:noProof/>
            <w:webHidden/>
          </w:rPr>
          <w:fldChar w:fldCharType="separate"/>
        </w:r>
        <w:r w:rsidR="006B6CB2">
          <w:rPr>
            <w:noProof/>
            <w:webHidden/>
          </w:rPr>
          <w:t>6</w:t>
        </w:r>
        <w:r w:rsidR="006B6CB2">
          <w:rPr>
            <w:noProof/>
            <w:webHidden/>
          </w:rPr>
          <w:fldChar w:fldCharType="end"/>
        </w:r>
      </w:hyperlink>
    </w:p>
    <w:p w14:paraId="374FF77D" w14:textId="2FEB5F91" w:rsidR="006B6CB2" w:rsidRDefault="002C2222">
      <w:pPr>
        <w:pStyle w:val="TOC2"/>
        <w:rPr>
          <w:rFonts w:asciiTheme="minorHAnsi" w:eastAsiaTheme="minorEastAsia" w:hAnsiTheme="minorHAnsi" w:cstheme="minorBidi"/>
          <w:noProof/>
          <w:sz w:val="22"/>
          <w:lang w:val="en-US"/>
        </w:rPr>
      </w:pPr>
      <w:hyperlink w:anchor="_Toc86321163" w:history="1">
        <w:r w:rsidR="006B6CB2" w:rsidRPr="00DA1B77">
          <w:rPr>
            <w:rStyle w:val="Hyperlink"/>
            <w:noProof/>
          </w:rPr>
          <w:t>1.6.</w:t>
        </w:r>
        <w:r w:rsidR="006B6CB2">
          <w:rPr>
            <w:rFonts w:asciiTheme="minorHAnsi" w:eastAsiaTheme="minorEastAsia" w:hAnsiTheme="minorHAnsi" w:cstheme="minorBidi"/>
            <w:noProof/>
            <w:sz w:val="22"/>
            <w:lang w:val="en-US"/>
          </w:rPr>
          <w:tab/>
        </w:r>
        <w:r w:rsidR="006B6CB2" w:rsidRPr="00DA1B77">
          <w:rPr>
            <w:rStyle w:val="Hyperlink"/>
            <w:noProof/>
          </w:rPr>
          <w:t>A javaslat/kezdeményezés időtartama és pénzügyi hatása</w:t>
        </w:r>
        <w:r w:rsidR="006B6CB2">
          <w:rPr>
            <w:noProof/>
            <w:webHidden/>
          </w:rPr>
          <w:tab/>
        </w:r>
        <w:r w:rsidR="006B6CB2">
          <w:rPr>
            <w:noProof/>
            <w:webHidden/>
          </w:rPr>
          <w:fldChar w:fldCharType="begin"/>
        </w:r>
        <w:r w:rsidR="006B6CB2">
          <w:rPr>
            <w:noProof/>
            <w:webHidden/>
          </w:rPr>
          <w:instrText xml:space="preserve"> PAGEREF _Toc86321163 \h </w:instrText>
        </w:r>
        <w:r w:rsidR="006B6CB2">
          <w:rPr>
            <w:noProof/>
            <w:webHidden/>
          </w:rPr>
        </w:r>
        <w:r w:rsidR="006B6CB2">
          <w:rPr>
            <w:noProof/>
            <w:webHidden/>
          </w:rPr>
          <w:fldChar w:fldCharType="separate"/>
        </w:r>
        <w:r w:rsidR="006B6CB2">
          <w:rPr>
            <w:noProof/>
            <w:webHidden/>
          </w:rPr>
          <w:t>7</w:t>
        </w:r>
        <w:r w:rsidR="006B6CB2">
          <w:rPr>
            <w:noProof/>
            <w:webHidden/>
          </w:rPr>
          <w:fldChar w:fldCharType="end"/>
        </w:r>
      </w:hyperlink>
    </w:p>
    <w:p w14:paraId="11D64A1C" w14:textId="309BA571" w:rsidR="006B6CB2" w:rsidRDefault="002C2222">
      <w:pPr>
        <w:pStyle w:val="TOC2"/>
        <w:rPr>
          <w:rFonts w:asciiTheme="minorHAnsi" w:eastAsiaTheme="minorEastAsia" w:hAnsiTheme="minorHAnsi" w:cstheme="minorBidi"/>
          <w:noProof/>
          <w:sz w:val="22"/>
          <w:lang w:val="en-US"/>
        </w:rPr>
      </w:pPr>
      <w:hyperlink w:anchor="_Toc86321164" w:history="1">
        <w:r w:rsidR="006B6CB2" w:rsidRPr="00DA1B77">
          <w:rPr>
            <w:rStyle w:val="Hyperlink"/>
            <w:noProof/>
          </w:rPr>
          <w:t>1.7.</w:t>
        </w:r>
        <w:r w:rsidR="006B6CB2">
          <w:rPr>
            <w:rFonts w:asciiTheme="minorHAnsi" w:eastAsiaTheme="minorEastAsia" w:hAnsiTheme="minorHAnsi" w:cstheme="minorBidi"/>
            <w:noProof/>
            <w:sz w:val="22"/>
            <w:lang w:val="en-US"/>
          </w:rPr>
          <w:tab/>
        </w:r>
        <w:r w:rsidR="006B6CB2" w:rsidRPr="00DA1B77">
          <w:rPr>
            <w:rStyle w:val="Hyperlink"/>
            <w:noProof/>
          </w:rPr>
          <w:t>Tervezett irányítási módszer(ek)</w:t>
        </w:r>
        <w:r w:rsidR="006B6CB2">
          <w:rPr>
            <w:noProof/>
            <w:webHidden/>
          </w:rPr>
          <w:tab/>
        </w:r>
        <w:r w:rsidR="006B6CB2">
          <w:rPr>
            <w:noProof/>
            <w:webHidden/>
          </w:rPr>
          <w:fldChar w:fldCharType="begin"/>
        </w:r>
        <w:r w:rsidR="006B6CB2">
          <w:rPr>
            <w:noProof/>
            <w:webHidden/>
          </w:rPr>
          <w:instrText xml:space="preserve"> PAGEREF _Toc86321164 \h </w:instrText>
        </w:r>
        <w:r w:rsidR="006B6CB2">
          <w:rPr>
            <w:noProof/>
            <w:webHidden/>
          </w:rPr>
        </w:r>
        <w:r w:rsidR="006B6CB2">
          <w:rPr>
            <w:noProof/>
            <w:webHidden/>
          </w:rPr>
          <w:fldChar w:fldCharType="separate"/>
        </w:r>
        <w:r w:rsidR="006B6CB2">
          <w:rPr>
            <w:noProof/>
            <w:webHidden/>
          </w:rPr>
          <w:t>7</w:t>
        </w:r>
        <w:r w:rsidR="006B6CB2">
          <w:rPr>
            <w:noProof/>
            <w:webHidden/>
          </w:rPr>
          <w:fldChar w:fldCharType="end"/>
        </w:r>
      </w:hyperlink>
    </w:p>
    <w:p w14:paraId="64E5C386" w14:textId="46F1D610" w:rsidR="006B6CB2" w:rsidRDefault="002C2222">
      <w:pPr>
        <w:pStyle w:val="TOC1"/>
        <w:rPr>
          <w:rFonts w:asciiTheme="minorHAnsi" w:eastAsiaTheme="minorEastAsia" w:hAnsiTheme="minorHAnsi" w:cstheme="minorBidi"/>
          <w:noProof/>
          <w:sz w:val="22"/>
          <w:lang w:val="en-US"/>
        </w:rPr>
      </w:pPr>
      <w:hyperlink w:anchor="_Toc86321165" w:history="1">
        <w:r w:rsidR="006B6CB2" w:rsidRPr="00DA1B77">
          <w:rPr>
            <w:rStyle w:val="Hyperlink"/>
            <w:noProof/>
          </w:rPr>
          <w:t>2.</w:t>
        </w:r>
        <w:r w:rsidR="006B6CB2">
          <w:rPr>
            <w:rFonts w:asciiTheme="minorHAnsi" w:eastAsiaTheme="minorEastAsia" w:hAnsiTheme="minorHAnsi" w:cstheme="minorBidi"/>
            <w:noProof/>
            <w:sz w:val="22"/>
            <w:lang w:val="en-US"/>
          </w:rPr>
          <w:tab/>
        </w:r>
        <w:r w:rsidR="006B6CB2" w:rsidRPr="00DA1B77">
          <w:rPr>
            <w:rStyle w:val="Hyperlink"/>
            <w:noProof/>
          </w:rPr>
          <w:t>IRÁNYÍTÁSI INTÉZKEDÉSEK</w:t>
        </w:r>
        <w:r w:rsidR="006B6CB2">
          <w:rPr>
            <w:noProof/>
            <w:webHidden/>
          </w:rPr>
          <w:tab/>
        </w:r>
        <w:r w:rsidR="006B6CB2">
          <w:rPr>
            <w:noProof/>
            <w:webHidden/>
          </w:rPr>
          <w:fldChar w:fldCharType="begin"/>
        </w:r>
        <w:r w:rsidR="006B6CB2">
          <w:rPr>
            <w:noProof/>
            <w:webHidden/>
          </w:rPr>
          <w:instrText xml:space="preserve"> PAGEREF _Toc86321165 \h </w:instrText>
        </w:r>
        <w:r w:rsidR="006B6CB2">
          <w:rPr>
            <w:noProof/>
            <w:webHidden/>
          </w:rPr>
        </w:r>
        <w:r w:rsidR="006B6CB2">
          <w:rPr>
            <w:noProof/>
            <w:webHidden/>
          </w:rPr>
          <w:fldChar w:fldCharType="separate"/>
        </w:r>
        <w:r w:rsidR="006B6CB2">
          <w:rPr>
            <w:noProof/>
            <w:webHidden/>
          </w:rPr>
          <w:t>8</w:t>
        </w:r>
        <w:r w:rsidR="006B6CB2">
          <w:rPr>
            <w:noProof/>
            <w:webHidden/>
          </w:rPr>
          <w:fldChar w:fldCharType="end"/>
        </w:r>
      </w:hyperlink>
    </w:p>
    <w:p w14:paraId="5D8AE417" w14:textId="51A970E3" w:rsidR="006B6CB2" w:rsidRDefault="002C2222">
      <w:pPr>
        <w:pStyle w:val="TOC2"/>
        <w:rPr>
          <w:rFonts w:asciiTheme="minorHAnsi" w:eastAsiaTheme="minorEastAsia" w:hAnsiTheme="minorHAnsi" w:cstheme="minorBidi"/>
          <w:noProof/>
          <w:sz w:val="22"/>
          <w:lang w:val="en-US"/>
        </w:rPr>
      </w:pPr>
      <w:hyperlink w:anchor="_Toc86321166" w:history="1">
        <w:r w:rsidR="006B6CB2" w:rsidRPr="00DA1B77">
          <w:rPr>
            <w:rStyle w:val="Hyperlink"/>
            <w:noProof/>
          </w:rPr>
          <w:t>2.1.</w:t>
        </w:r>
        <w:r w:rsidR="006B6CB2">
          <w:rPr>
            <w:rFonts w:asciiTheme="minorHAnsi" w:eastAsiaTheme="minorEastAsia" w:hAnsiTheme="minorHAnsi" w:cstheme="minorBidi"/>
            <w:noProof/>
            <w:sz w:val="22"/>
            <w:lang w:val="en-US"/>
          </w:rPr>
          <w:tab/>
        </w:r>
        <w:r w:rsidR="006B6CB2" w:rsidRPr="00DA1B77">
          <w:rPr>
            <w:rStyle w:val="Hyperlink"/>
            <w:noProof/>
          </w:rPr>
          <w:t>A nyomon követésre és a jelentéstételre vonatkozó rendelkezések</w:t>
        </w:r>
        <w:r w:rsidR="006B6CB2">
          <w:rPr>
            <w:noProof/>
            <w:webHidden/>
          </w:rPr>
          <w:tab/>
        </w:r>
        <w:r w:rsidR="006B6CB2">
          <w:rPr>
            <w:noProof/>
            <w:webHidden/>
          </w:rPr>
          <w:fldChar w:fldCharType="begin"/>
        </w:r>
        <w:r w:rsidR="006B6CB2">
          <w:rPr>
            <w:noProof/>
            <w:webHidden/>
          </w:rPr>
          <w:instrText xml:space="preserve"> PAGEREF _Toc86321166 \h </w:instrText>
        </w:r>
        <w:r w:rsidR="006B6CB2">
          <w:rPr>
            <w:noProof/>
            <w:webHidden/>
          </w:rPr>
        </w:r>
        <w:r w:rsidR="006B6CB2">
          <w:rPr>
            <w:noProof/>
            <w:webHidden/>
          </w:rPr>
          <w:fldChar w:fldCharType="separate"/>
        </w:r>
        <w:r w:rsidR="006B6CB2">
          <w:rPr>
            <w:noProof/>
            <w:webHidden/>
          </w:rPr>
          <w:t>8</w:t>
        </w:r>
        <w:r w:rsidR="006B6CB2">
          <w:rPr>
            <w:noProof/>
            <w:webHidden/>
          </w:rPr>
          <w:fldChar w:fldCharType="end"/>
        </w:r>
      </w:hyperlink>
    </w:p>
    <w:p w14:paraId="345D1C39" w14:textId="560345B7" w:rsidR="006B6CB2" w:rsidRDefault="002C2222">
      <w:pPr>
        <w:pStyle w:val="TOC2"/>
        <w:rPr>
          <w:rFonts w:asciiTheme="minorHAnsi" w:eastAsiaTheme="minorEastAsia" w:hAnsiTheme="minorHAnsi" w:cstheme="minorBidi"/>
          <w:noProof/>
          <w:sz w:val="22"/>
          <w:lang w:val="en-US"/>
        </w:rPr>
      </w:pPr>
      <w:hyperlink w:anchor="_Toc86321167" w:history="1">
        <w:r w:rsidR="006B6CB2" w:rsidRPr="00DA1B77">
          <w:rPr>
            <w:rStyle w:val="Hyperlink"/>
            <w:noProof/>
          </w:rPr>
          <w:t>2.2.</w:t>
        </w:r>
        <w:r w:rsidR="006B6CB2">
          <w:rPr>
            <w:rFonts w:asciiTheme="minorHAnsi" w:eastAsiaTheme="minorEastAsia" w:hAnsiTheme="minorHAnsi" w:cstheme="minorBidi"/>
            <w:noProof/>
            <w:sz w:val="22"/>
            <w:lang w:val="en-US"/>
          </w:rPr>
          <w:tab/>
        </w:r>
        <w:r w:rsidR="006B6CB2" w:rsidRPr="00DA1B77">
          <w:rPr>
            <w:rStyle w:val="Hyperlink"/>
            <w:noProof/>
          </w:rPr>
          <w:t>Irányítási és kontrollrendszer(ek)</w:t>
        </w:r>
        <w:r w:rsidR="006B6CB2">
          <w:rPr>
            <w:noProof/>
            <w:webHidden/>
          </w:rPr>
          <w:tab/>
        </w:r>
        <w:r w:rsidR="006B6CB2">
          <w:rPr>
            <w:noProof/>
            <w:webHidden/>
          </w:rPr>
          <w:fldChar w:fldCharType="begin"/>
        </w:r>
        <w:r w:rsidR="006B6CB2">
          <w:rPr>
            <w:noProof/>
            <w:webHidden/>
          </w:rPr>
          <w:instrText xml:space="preserve"> PAGEREF _Toc86321167 \h </w:instrText>
        </w:r>
        <w:r w:rsidR="006B6CB2">
          <w:rPr>
            <w:noProof/>
            <w:webHidden/>
          </w:rPr>
        </w:r>
        <w:r w:rsidR="006B6CB2">
          <w:rPr>
            <w:noProof/>
            <w:webHidden/>
          </w:rPr>
          <w:fldChar w:fldCharType="separate"/>
        </w:r>
        <w:r w:rsidR="006B6CB2">
          <w:rPr>
            <w:noProof/>
            <w:webHidden/>
          </w:rPr>
          <w:t>8</w:t>
        </w:r>
        <w:r w:rsidR="006B6CB2">
          <w:rPr>
            <w:noProof/>
            <w:webHidden/>
          </w:rPr>
          <w:fldChar w:fldCharType="end"/>
        </w:r>
      </w:hyperlink>
    </w:p>
    <w:p w14:paraId="731096B0" w14:textId="2CD88AED" w:rsidR="006B6CB2" w:rsidRDefault="002C2222">
      <w:pPr>
        <w:pStyle w:val="TOC3"/>
        <w:rPr>
          <w:rFonts w:asciiTheme="minorHAnsi" w:eastAsiaTheme="minorEastAsia" w:hAnsiTheme="minorHAnsi" w:cstheme="minorBidi"/>
          <w:noProof/>
          <w:sz w:val="22"/>
          <w:lang w:val="en-US"/>
        </w:rPr>
      </w:pPr>
      <w:hyperlink w:anchor="_Toc86321168" w:history="1">
        <w:r w:rsidR="006B6CB2" w:rsidRPr="00DA1B77">
          <w:rPr>
            <w:rStyle w:val="Hyperlink"/>
            <w:noProof/>
          </w:rPr>
          <w:t>2.2.1.</w:t>
        </w:r>
        <w:r w:rsidR="006B6CB2">
          <w:rPr>
            <w:rFonts w:asciiTheme="minorHAnsi" w:eastAsiaTheme="minorEastAsia" w:hAnsiTheme="minorHAnsi" w:cstheme="minorBidi"/>
            <w:noProof/>
            <w:sz w:val="22"/>
            <w:lang w:val="en-US"/>
          </w:rPr>
          <w:tab/>
        </w:r>
        <w:r w:rsidR="006B6CB2" w:rsidRPr="00DA1B77">
          <w:rPr>
            <w:rStyle w:val="Hyperlink"/>
            <w:noProof/>
          </w:rPr>
          <w:t>Az irányítási módszer(ek), a finanszírozás végrehajtási mechanizmusai, a kifizetési módok és a javasolt kontrollstratégia indokolása</w:t>
        </w:r>
        <w:r w:rsidR="006B6CB2">
          <w:rPr>
            <w:noProof/>
            <w:webHidden/>
          </w:rPr>
          <w:tab/>
        </w:r>
        <w:r w:rsidR="006B6CB2">
          <w:rPr>
            <w:noProof/>
            <w:webHidden/>
          </w:rPr>
          <w:fldChar w:fldCharType="begin"/>
        </w:r>
        <w:r w:rsidR="006B6CB2">
          <w:rPr>
            <w:noProof/>
            <w:webHidden/>
          </w:rPr>
          <w:instrText xml:space="preserve"> PAGEREF _Toc86321168 \h </w:instrText>
        </w:r>
        <w:r w:rsidR="006B6CB2">
          <w:rPr>
            <w:noProof/>
            <w:webHidden/>
          </w:rPr>
        </w:r>
        <w:r w:rsidR="006B6CB2">
          <w:rPr>
            <w:noProof/>
            <w:webHidden/>
          </w:rPr>
          <w:fldChar w:fldCharType="separate"/>
        </w:r>
        <w:r w:rsidR="006B6CB2">
          <w:rPr>
            <w:noProof/>
            <w:webHidden/>
          </w:rPr>
          <w:t>8</w:t>
        </w:r>
        <w:r w:rsidR="006B6CB2">
          <w:rPr>
            <w:noProof/>
            <w:webHidden/>
          </w:rPr>
          <w:fldChar w:fldCharType="end"/>
        </w:r>
      </w:hyperlink>
    </w:p>
    <w:p w14:paraId="5E71D1ED" w14:textId="086D80C5" w:rsidR="006B6CB2" w:rsidRDefault="002C2222">
      <w:pPr>
        <w:pStyle w:val="TOC3"/>
        <w:rPr>
          <w:rFonts w:asciiTheme="minorHAnsi" w:eastAsiaTheme="minorEastAsia" w:hAnsiTheme="minorHAnsi" w:cstheme="minorBidi"/>
          <w:noProof/>
          <w:sz w:val="22"/>
          <w:lang w:val="en-US"/>
        </w:rPr>
      </w:pPr>
      <w:hyperlink w:anchor="_Toc86321169" w:history="1">
        <w:r w:rsidR="006B6CB2" w:rsidRPr="00DA1B77">
          <w:rPr>
            <w:rStyle w:val="Hyperlink"/>
            <w:noProof/>
          </w:rPr>
          <w:t>2.2.2.</w:t>
        </w:r>
        <w:r w:rsidR="006B6CB2">
          <w:rPr>
            <w:rFonts w:asciiTheme="minorHAnsi" w:eastAsiaTheme="minorEastAsia" w:hAnsiTheme="minorHAnsi" w:cstheme="minorBidi"/>
            <w:noProof/>
            <w:sz w:val="22"/>
            <w:lang w:val="en-US"/>
          </w:rPr>
          <w:tab/>
        </w:r>
        <w:r w:rsidR="006B6CB2" w:rsidRPr="00DA1B77">
          <w:rPr>
            <w:rStyle w:val="Hyperlink"/>
            <w:noProof/>
          </w:rPr>
          <w:t>A felismert kockázatokkal és a csökkentésükre létrehozott belső kontrollrendszerekkel kapcsolatos információk</w:t>
        </w:r>
        <w:r w:rsidR="006B6CB2">
          <w:rPr>
            <w:noProof/>
            <w:webHidden/>
          </w:rPr>
          <w:tab/>
        </w:r>
        <w:r w:rsidR="006B6CB2">
          <w:rPr>
            <w:noProof/>
            <w:webHidden/>
          </w:rPr>
          <w:fldChar w:fldCharType="begin"/>
        </w:r>
        <w:r w:rsidR="006B6CB2">
          <w:rPr>
            <w:noProof/>
            <w:webHidden/>
          </w:rPr>
          <w:instrText xml:space="preserve"> PAGEREF _Toc86321169 \h </w:instrText>
        </w:r>
        <w:r w:rsidR="006B6CB2">
          <w:rPr>
            <w:noProof/>
            <w:webHidden/>
          </w:rPr>
        </w:r>
        <w:r w:rsidR="006B6CB2">
          <w:rPr>
            <w:noProof/>
            <w:webHidden/>
          </w:rPr>
          <w:fldChar w:fldCharType="separate"/>
        </w:r>
        <w:r w:rsidR="006B6CB2">
          <w:rPr>
            <w:noProof/>
            <w:webHidden/>
          </w:rPr>
          <w:t>8</w:t>
        </w:r>
        <w:r w:rsidR="006B6CB2">
          <w:rPr>
            <w:noProof/>
            <w:webHidden/>
          </w:rPr>
          <w:fldChar w:fldCharType="end"/>
        </w:r>
      </w:hyperlink>
    </w:p>
    <w:p w14:paraId="4F8F51D4" w14:textId="7A67BD22" w:rsidR="006B6CB2" w:rsidRDefault="002C2222">
      <w:pPr>
        <w:pStyle w:val="TOC3"/>
        <w:rPr>
          <w:rFonts w:asciiTheme="minorHAnsi" w:eastAsiaTheme="minorEastAsia" w:hAnsiTheme="minorHAnsi" w:cstheme="minorBidi"/>
          <w:noProof/>
          <w:sz w:val="22"/>
          <w:lang w:val="en-US"/>
        </w:rPr>
      </w:pPr>
      <w:hyperlink w:anchor="_Toc86321170" w:history="1">
        <w:r w:rsidR="006B6CB2" w:rsidRPr="00DA1B77">
          <w:rPr>
            <w:rStyle w:val="Hyperlink"/>
            <w:noProof/>
          </w:rPr>
          <w:t>2.2.3.</w:t>
        </w:r>
        <w:r w:rsidR="006B6CB2">
          <w:rPr>
            <w:rFonts w:asciiTheme="minorHAnsi" w:eastAsiaTheme="minorEastAsia" w:hAnsiTheme="minorHAnsi" w:cstheme="minorBidi"/>
            <w:noProof/>
            <w:sz w:val="22"/>
            <w:lang w:val="en-US"/>
          </w:rPr>
          <w:tab/>
        </w:r>
        <w:r w:rsidR="006B6CB2" w:rsidRPr="00DA1B77">
          <w:rPr>
            <w:rStyle w:val="Hyperlink"/>
            <w:noProof/>
          </w:rPr>
          <w:t>A kontroll költséghatékonyságának becslése és indokolása (a „kontroll költségei ÷ a kezelt kapcsolódó források értéke” hányados) és a hibakockázat várható szintjeinek értékelése (kifizetéskor és záráskor)</w:t>
        </w:r>
        <w:r w:rsidR="006B6CB2">
          <w:rPr>
            <w:noProof/>
            <w:webHidden/>
          </w:rPr>
          <w:tab/>
        </w:r>
        <w:r w:rsidR="006B6CB2">
          <w:rPr>
            <w:noProof/>
            <w:webHidden/>
          </w:rPr>
          <w:fldChar w:fldCharType="begin"/>
        </w:r>
        <w:r w:rsidR="006B6CB2">
          <w:rPr>
            <w:noProof/>
            <w:webHidden/>
          </w:rPr>
          <w:instrText xml:space="preserve"> PAGEREF _Toc86321170 \h </w:instrText>
        </w:r>
        <w:r w:rsidR="006B6CB2">
          <w:rPr>
            <w:noProof/>
            <w:webHidden/>
          </w:rPr>
        </w:r>
        <w:r w:rsidR="006B6CB2">
          <w:rPr>
            <w:noProof/>
            <w:webHidden/>
          </w:rPr>
          <w:fldChar w:fldCharType="separate"/>
        </w:r>
        <w:r w:rsidR="006B6CB2">
          <w:rPr>
            <w:noProof/>
            <w:webHidden/>
          </w:rPr>
          <w:t>10</w:t>
        </w:r>
        <w:r w:rsidR="006B6CB2">
          <w:rPr>
            <w:noProof/>
            <w:webHidden/>
          </w:rPr>
          <w:fldChar w:fldCharType="end"/>
        </w:r>
      </w:hyperlink>
    </w:p>
    <w:p w14:paraId="48431EF6" w14:textId="27DA6D9B" w:rsidR="006B6CB2" w:rsidRDefault="002C2222">
      <w:pPr>
        <w:pStyle w:val="TOC2"/>
        <w:rPr>
          <w:rFonts w:asciiTheme="minorHAnsi" w:eastAsiaTheme="minorEastAsia" w:hAnsiTheme="minorHAnsi" w:cstheme="minorBidi"/>
          <w:noProof/>
          <w:sz w:val="22"/>
          <w:lang w:val="en-US"/>
        </w:rPr>
      </w:pPr>
      <w:hyperlink w:anchor="_Toc86321171" w:history="1">
        <w:r w:rsidR="006B6CB2" w:rsidRPr="00DA1B77">
          <w:rPr>
            <w:rStyle w:val="Hyperlink"/>
            <w:noProof/>
          </w:rPr>
          <w:t>2.3.</w:t>
        </w:r>
        <w:r w:rsidR="006B6CB2">
          <w:rPr>
            <w:rFonts w:asciiTheme="minorHAnsi" w:eastAsiaTheme="minorEastAsia" w:hAnsiTheme="minorHAnsi" w:cstheme="minorBidi"/>
            <w:noProof/>
            <w:sz w:val="22"/>
            <w:lang w:val="en-US"/>
          </w:rPr>
          <w:tab/>
        </w:r>
        <w:r w:rsidR="006B6CB2" w:rsidRPr="00DA1B77">
          <w:rPr>
            <w:rStyle w:val="Hyperlink"/>
            <w:noProof/>
          </w:rPr>
          <w:t>A csalások és a szabálytalanságok megelőzésére vonatkozó intézkedések</w:t>
        </w:r>
        <w:r w:rsidR="006B6CB2">
          <w:rPr>
            <w:noProof/>
            <w:webHidden/>
          </w:rPr>
          <w:tab/>
        </w:r>
        <w:r w:rsidR="006B6CB2">
          <w:rPr>
            <w:noProof/>
            <w:webHidden/>
          </w:rPr>
          <w:fldChar w:fldCharType="begin"/>
        </w:r>
        <w:r w:rsidR="006B6CB2">
          <w:rPr>
            <w:noProof/>
            <w:webHidden/>
          </w:rPr>
          <w:instrText xml:space="preserve"> PAGEREF _Toc86321171 \h </w:instrText>
        </w:r>
        <w:r w:rsidR="006B6CB2">
          <w:rPr>
            <w:noProof/>
            <w:webHidden/>
          </w:rPr>
        </w:r>
        <w:r w:rsidR="006B6CB2">
          <w:rPr>
            <w:noProof/>
            <w:webHidden/>
          </w:rPr>
          <w:fldChar w:fldCharType="separate"/>
        </w:r>
        <w:r w:rsidR="006B6CB2">
          <w:rPr>
            <w:noProof/>
            <w:webHidden/>
          </w:rPr>
          <w:t>10</w:t>
        </w:r>
        <w:r w:rsidR="006B6CB2">
          <w:rPr>
            <w:noProof/>
            <w:webHidden/>
          </w:rPr>
          <w:fldChar w:fldCharType="end"/>
        </w:r>
      </w:hyperlink>
    </w:p>
    <w:p w14:paraId="5207A140" w14:textId="078B5799" w:rsidR="006B6CB2" w:rsidRDefault="002C2222">
      <w:pPr>
        <w:pStyle w:val="TOC1"/>
        <w:rPr>
          <w:rFonts w:asciiTheme="minorHAnsi" w:eastAsiaTheme="minorEastAsia" w:hAnsiTheme="minorHAnsi" w:cstheme="minorBidi"/>
          <w:noProof/>
          <w:sz w:val="22"/>
          <w:lang w:val="en-US"/>
        </w:rPr>
      </w:pPr>
      <w:hyperlink w:anchor="_Toc86321172" w:history="1">
        <w:r w:rsidR="006B6CB2" w:rsidRPr="00DA1B77">
          <w:rPr>
            <w:rStyle w:val="Hyperlink"/>
            <w:noProof/>
          </w:rPr>
          <w:t>3.</w:t>
        </w:r>
        <w:r w:rsidR="006B6CB2">
          <w:rPr>
            <w:rFonts w:asciiTheme="minorHAnsi" w:eastAsiaTheme="minorEastAsia" w:hAnsiTheme="minorHAnsi" w:cstheme="minorBidi"/>
            <w:noProof/>
            <w:sz w:val="22"/>
            <w:lang w:val="en-US"/>
          </w:rPr>
          <w:tab/>
        </w:r>
        <w:r w:rsidR="006B6CB2" w:rsidRPr="00DA1B77">
          <w:rPr>
            <w:rStyle w:val="Hyperlink"/>
            <w:noProof/>
          </w:rPr>
          <w:t>A JAVASLAT/KEZDEMÉNYEZÉS BECSÜLT PÉNZÜGYI HATÁSA</w:t>
        </w:r>
        <w:r w:rsidR="006B6CB2">
          <w:rPr>
            <w:noProof/>
            <w:webHidden/>
          </w:rPr>
          <w:tab/>
        </w:r>
        <w:r w:rsidR="006B6CB2">
          <w:rPr>
            <w:noProof/>
            <w:webHidden/>
          </w:rPr>
          <w:fldChar w:fldCharType="begin"/>
        </w:r>
        <w:r w:rsidR="006B6CB2">
          <w:rPr>
            <w:noProof/>
            <w:webHidden/>
          </w:rPr>
          <w:instrText xml:space="preserve"> PAGEREF _Toc86321172 \h </w:instrText>
        </w:r>
        <w:r w:rsidR="006B6CB2">
          <w:rPr>
            <w:noProof/>
            <w:webHidden/>
          </w:rPr>
        </w:r>
        <w:r w:rsidR="006B6CB2">
          <w:rPr>
            <w:noProof/>
            <w:webHidden/>
          </w:rPr>
          <w:fldChar w:fldCharType="separate"/>
        </w:r>
        <w:r w:rsidR="006B6CB2">
          <w:rPr>
            <w:noProof/>
            <w:webHidden/>
          </w:rPr>
          <w:t>11</w:t>
        </w:r>
        <w:r w:rsidR="006B6CB2">
          <w:rPr>
            <w:noProof/>
            <w:webHidden/>
          </w:rPr>
          <w:fldChar w:fldCharType="end"/>
        </w:r>
      </w:hyperlink>
    </w:p>
    <w:p w14:paraId="09C204F2" w14:textId="26C9D51C" w:rsidR="006B6CB2" w:rsidRDefault="002C2222">
      <w:pPr>
        <w:pStyle w:val="TOC2"/>
        <w:rPr>
          <w:rFonts w:asciiTheme="minorHAnsi" w:eastAsiaTheme="minorEastAsia" w:hAnsiTheme="minorHAnsi" w:cstheme="minorBidi"/>
          <w:noProof/>
          <w:sz w:val="22"/>
          <w:lang w:val="en-US"/>
        </w:rPr>
      </w:pPr>
      <w:hyperlink w:anchor="_Toc86321173" w:history="1">
        <w:r w:rsidR="006B6CB2" w:rsidRPr="00DA1B77">
          <w:rPr>
            <w:rStyle w:val="Hyperlink"/>
            <w:noProof/>
          </w:rPr>
          <w:t>3.1.</w:t>
        </w:r>
        <w:r w:rsidR="006B6CB2">
          <w:rPr>
            <w:rFonts w:asciiTheme="minorHAnsi" w:eastAsiaTheme="minorEastAsia" w:hAnsiTheme="minorHAnsi" w:cstheme="minorBidi"/>
            <w:noProof/>
            <w:sz w:val="22"/>
            <w:lang w:val="en-US"/>
          </w:rPr>
          <w:tab/>
        </w:r>
        <w:r w:rsidR="006B6CB2" w:rsidRPr="00DA1B77">
          <w:rPr>
            <w:rStyle w:val="Hyperlink"/>
            <w:noProof/>
          </w:rPr>
          <w:t>A többéves pénzügyi keret érintett fejezete/fejezetei és a költségvetés érintett kiadási sora/sorai</w:t>
        </w:r>
        <w:r w:rsidR="006B6CB2">
          <w:rPr>
            <w:noProof/>
            <w:webHidden/>
          </w:rPr>
          <w:tab/>
        </w:r>
        <w:r w:rsidR="006B6CB2">
          <w:rPr>
            <w:noProof/>
            <w:webHidden/>
          </w:rPr>
          <w:fldChar w:fldCharType="begin"/>
        </w:r>
        <w:r w:rsidR="006B6CB2">
          <w:rPr>
            <w:noProof/>
            <w:webHidden/>
          </w:rPr>
          <w:instrText xml:space="preserve"> PAGEREF _Toc86321173 \h </w:instrText>
        </w:r>
        <w:r w:rsidR="006B6CB2">
          <w:rPr>
            <w:noProof/>
            <w:webHidden/>
          </w:rPr>
        </w:r>
        <w:r w:rsidR="006B6CB2">
          <w:rPr>
            <w:noProof/>
            <w:webHidden/>
          </w:rPr>
          <w:fldChar w:fldCharType="separate"/>
        </w:r>
        <w:r w:rsidR="006B6CB2">
          <w:rPr>
            <w:noProof/>
            <w:webHidden/>
          </w:rPr>
          <w:t>11</w:t>
        </w:r>
        <w:r w:rsidR="006B6CB2">
          <w:rPr>
            <w:noProof/>
            <w:webHidden/>
          </w:rPr>
          <w:fldChar w:fldCharType="end"/>
        </w:r>
      </w:hyperlink>
    </w:p>
    <w:p w14:paraId="73447295" w14:textId="6C3C61C0" w:rsidR="006B6CB2" w:rsidRDefault="002C2222">
      <w:pPr>
        <w:pStyle w:val="TOC2"/>
        <w:rPr>
          <w:rFonts w:asciiTheme="minorHAnsi" w:eastAsiaTheme="minorEastAsia" w:hAnsiTheme="minorHAnsi" w:cstheme="minorBidi"/>
          <w:noProof/>
          <w:sz w:val="22"/>
          <w:lang w:val="en-US"/>
        </w:rPr>
      </w:pPr>
      <w:hyperlink w:anchor="_Toc86321174" w:history="1">
        <w:r w:rsidR="006B6CB2" w:rsidRPr="00DA1B77">
          <w:rPr>
            <w:rStyle w:val="Hyperlink"/>
            <w:noProof/>
          </w:rPr>
          <w:t>3.2.</w:t>
        </w:r>
        <w:r w:rsidR="006B6CB2">
          <w:rPr>
            <w:rFonts w:asciiTheme="minorHAnsi" w:eastAsiaTheme="minorEastAsia" w:hAnsiTheme="minorHAnsi" w:cstheme="minorBidi"/>
            <w:noProof/>
            <w:sz w:val="22"/>
            <w:lang w:val="en-US"/>
          </w:rPr>
          <w:tab/>
        </w:r>
        <w:r w:rsidR="006B6CB2" w:rsidRPr="00DA1B77">
          <w:rPr>
            <w:rStyle w:val="Hyperlink"/>
            <w:noProof/>
          </w:rPr>
          <w:t>A javaslat előirányzatokra gyakorolt becsült pénzügyi hatása</w:t>
        </w:r>
        <w:r w:rsidR="006B6CB2">
          <w:rPr>
            <w:noProof/>
            <w:webHidden/>
          </w:rPr>
          <w:tab/>
        </w:r>
        <w:r w:rsidR="006B6CB2">
          <w:rPr>
            <w:noProof/>
            <w:webHidden/>
          </w:rPr>
          <w:fldChar w:fldCharType="begin"/>
        </w:r>
        <w:r w:rsidR="006B6CB2">
          <w:rPr>
            <w:noProof/>
            <w:webHidden/>
          </w:rPr>
          <w:instrText xml:space="preserve"> PAGEREF _Toc86321174 \h </w:instrText>
        </w:r>
        <w:r w:rsidR="006B6CB2">
          <w:rPr>
            <w:noProof/>
            <w:webHidden/>
          </w:rPr>
        </w:r>
        <w:r w:rsidR="006B6CB2">
          <w:rPr>
            <w:noProof/>
            <w:webHidden/>
          </w:rPr>
          <w:fldChar w:fldCharType="separate"/>
        </w:r>
        <w:r w:rsidR="006B6CB2">
          <w:rPr>
            <w:noProof/>
            <w:webHidden/>
          </w:rPr>
          <w:t>13</w:t>
        </w:r>
        <w:r w:rsidR="006B6CB2">
          <w:rPr>
            <w:noProof/>
            <w:webHidden/>
          </w:rPr>
          <w:fldChar w:fldCharType="end"/>
        </w:r>
      </w:hyperlink>
    </w:p>
    <w:p w14:paraId="23ECA096" w14:textId="03E0D3B4" w:rsidR="006B6CB2" w:rsidRDefault="002C2222">
      <w:pPr>
        <w:pStyle w:val="TOC3"/>
        <w:rPr>
          <w:rFonts w:asciiTheme="minorHAnsi" w:eastAsiaTheme="minorEastAsia" w:hAnsiTheme="minorHAnsi" w:cstheme="minorBidi"/>
          <w:noProof/>
          <w:sz w:val="22"/>
          <w:lang w:val="en-US"/>
        </w:rPr>
      </w:pPr>
      <w:hyperlink w:anchor="_Toc86321175" w:history="1">
        <w:r w:rsidR="006B6CB2" w:rsidRPr="00DA1B77">
          <w:rPr>
            <w:rStyle w:val="Hyperlink"/>
            <w:noProof/>
          </w:rPr>
          <w:t>3.2.1.</w:t>
        </w:r>
        <w:r w:rsidR="006B6CB2">
          <w:rPr>
            <w:rFonts w:asciiTheme="minorHAnsi" w:eastAsiaTheme="minorEastAsia" w:hAnsiTheme="minorHAnsi" w:cstheme="minorBidi"/>
            <w:noProof/>
            <w:sz w:val="22"/>
            <w:lang w:val="en-US"/>
          </w:rPr>
          <w:tab/>
        </w:r>
        <w:r w:rsidR="006B6CB2" w:rsidRPr="00DA1B77">
          <w:rPr>
            <w:rStyle w:val="Hyperlink"/>
            <w:noProof/>
          </w:rPr>
          <w:t>Az operatív előirányzatokra gyakorolt becsült hatás összefoglalása</w:t>
        </w:r>
        <w:r w:rsidR="006B6CB2">
          <w:rPr>
            <w:noProof/>
            <w:webHidden/>
          </w:rPr>
          <w:tab/>
        </w:r>
        <w:r w:rsidR="006B6CB2">
          <w:rPr>
            <w:noProof/>
            <w:webHidden/>
          </w:rPr>
          <w:fldChar w:fldCharType="begin"/>
        </w:r>
        <w:r w:rsidR="006B6CB2">
          <w:rPr>
            <w:noProof/>
            <w:webHidden/>
          </w:rPr>
          <w:instrText xml:space="preserve"> PAGEREF _Toc86321175 \h </w:instrText>
        </w:r>
        <w:r w:rsidR="006B6CB2">
          <w:rPr>
            <w:noProof/>
            <w:webHidden/>
          </w:rPr>
        </w:r>
        <w:r w:rsidR="006B6CB2">
          <w:rPr>
            <w:noProof/>
            <w:webHidden/>
          </w:rPr>
          <w:fldChar w:fldCharType="separate"/>
        </w:r>
        <w:r w:rsidR="006B6CB2">
          <w:rPr>
            <w:noProof/>
            <w:webHidden/>
          </w:rPr>
          <w:t>13</w:t>
        </w:r>
        <w:r w:rsidR="006B6CB2">
          <w:rPr>
            <w:noProof/>
            <w:webHidden/>
          </w:rPr>
          <w:fldChar w:fldCharType="end"/>
        </w:r>
      </w:hyperlink>
    </w:p>
    <w:p w14:paraId="47D9680B" w14:textId="2A890800" w:rsidR="006B6CB2" w:rsidRDefault="002C2222">
      <w:pPr>
        <w:pStyle w:val="TOC3"/>
        <w:rPr>
          <w:rFonts w:asciiTheme="minorHAnsi" w:eastAsiaTheme="minorEastAsia" w:hAnsiTheme="minorHAnsi" w:cstheme="minorBidi"/>
          <w:noProof/>
          <w:sz w:val="22"/>
          <w:lang w:val="en-US"/>
        </w:rPr>
      </w:pPr>
      <w:hyperlink w:anchor="_Toc86321176" w:history="1">
        <w:r w:rsidR="006B6CB2" w:rsidRPr="00DA1B77">
          <w:rPr>
            <w:rStyle w:val="Hyperlink"/>
            <w:noProof/>
          </w:rPr>
          <w:t>3.2.2.</w:t>
        </w:r>
        <w:r w:rsidR="006B6CB2">
          <w:rPr>
            <w:rFonts w:asciiTheme="minorHAnsi" w:eastAsiaTheme="minorEastAsia" w:hAnsiTheme="minorHAnsi" w:cstheme="minorBidi"/>
            <w:noProof/>
            <w:sz w:val="22"/>
            <w:lang w:val="en-US"/>
          </w:rPr>
          <w:tab/>
        </w:r>
        <w:r w:rsidR="006B6CB2" w:rsidRPr="00DA1B77">
          <w:rPr>
            <w:rStyle w:val="Hyperlink"/>
            <w:noProof/>
          </w:rPr>
          <w:t>Operatív előirányzatokból finanszírozott becsült kimenet</w:t>
        </w:r>
        <w:r w:rsidR="006B6CB2">
          <w:rPr>
            <w:noProof/>
            <w:webHidden/>
          </w:rPr>
          <w:tab/>
        </w:r>
        <w:r w:rsidR="006B6CB2">
          <w:rPr>
            <w:noProof/>
            <w:webHidden/>
          </w:rPr>
          <w:fldChar w:fldCharType="begin"/>
        </w:r>
        <w:r w:rsidR="006B6CB2">
          <w:rPr>
            <w:noProof/>
            <w:webHidden/>
          </w:rPr>
          <w:instrText xml:space="preserve"> PAGEREF _Toc86321176 \h </w:instrText>
        </w:r>
        <w:r w:rsidR="006B6CB2">
          <w:rPr>
            <w:noProof/>
            <w:webHidden/>
          </w:rPr>
        </w:r>
        <w:r w:rsidR="006B6CB2">
          <w:rPr>
            <w:noProof/>
            <w:webHidden/>
          </w:rPr>
          <w:fldChar w:fldCharType="separate"/>
        </w:r>
        <w:r w:rsidR="006B6CB2">
          <w:rPr>
            <w:noProof/>
            <w:webHidden/>
          </w:rPr>
          <w:t>20</w:t>
        </w:r>
        <w:r w:rsidR="006B6CB2">
          <w:rPr>
            <w:noProof/>
            <w:webHidden/>
          </w:rPr>
          <w:fldChar w:fldCharType="end"/>
        </w:r>
      </w:hyperlink>
    </w:p>
    <w:p w14:paraId="7A7947C2" w14:textId="282F5BC6" w:rsidR="006B6CB2" w:rsidRDefault="002C2222">
      <w:pPr>
        <w:pStyle w:val="TOC3"/>
        <w:rPr>
          <w:rFonts w:asciiTheme="minorHAnsi" w:eastAsiaTheme="minorEastAsia" w:hAnsiTheme="minorHAnsi" w:cstheme="minorBidi"/>
          <w:noProof/>
          <w:sz w:val="22"/>
          <w:lang w:val="en-US"/>
        </w:rPr>
      </w:pPr>
      <w:hyperlink w:anchor="_Toc86321177" w:history="1">
        <w:r w:rsidR="006B6CB2" w:rsidRPr="00DA1B77">
          <w:rPr>
            <w:rStyle w:val="Hyperlink"/>
            <w:noProof/>
          </w:rPr>
          <w:t>3.2.3.</w:t>
        </w:r>
        <w:r w:rsidR="006B6CB2">
          <w:rPr>
            <w:rFonts w:asciiTheme="minorHAnsi" w:eastAsiaTheme="minorEastAsia" w:hAnsiTheme="minorHAnsi" w:cstheme="minorBidi"/>
            <w:noProof/>
            <w:sz w:val="22"/>
            <w:lang w:val="en-US"/>
          </w:rPr>
          <w:tab/>
        </w:r>
        <w:r w:rsidR="006B6CB2" w:rsidRPr="00DA1B77">
          <w:rPr>
            <w:rStyle w:val="Hyperlink"/>
            <w:noProof/>
          </w:rPr>
          <w:t>Az igazgatási előirányzatokra gyakorolt becsült hatás összefoglalása</w:t>
        </w:r>
        <w:r w:rsidR="006B6CB2">
          <w:rPr>
            <w:noProof/>
            <w:webHidden/>
          </w:rPr>
          <w:tab/>
        </w:r>
        <w:r w:rsidR="006B6CB2">
          <w:rPr>
            <w:noProof/>
            <w:webHidden/>
          </w:rPr>
          <w:fldChar w:fldCharType="begin"/>
        </w:r>
        <w:r w:rsidR="006B6CB2">
          <w:rPr>
            <w:noProof/>
            <w:webHidden/>
          </w:rPr>
          <w:instrText xml:space="preserve"> PAGEREF _Toc86321177 \h </w:instrText>
        </w:r>
        <w:r w:rsidR="006B6CB2">
          <w:rPr>
            <w:noProof/>
            <w:webHidden/>
          </w:rPr>
        </w:r>
        <w:r w:rsidR="006B6CB2">
          <w:rPr>
            <w:noProof/>
            <w:webHidden/>
          </w:rPr>
          <w:fldChar w:fldCharType="separate"/>
        </w:r>
        <w:r w:rsidR="006B6CB2">
          <w:rPr>
            <w:noProof/>
            <w:webHidden/>
          </w:rPr>
          <w:t>22</w:t>
        </w:r>
        <w:r w:rsidR="006B6CB2">
          <w:rPr>
            <w:noProof/>
            <w:webHidden/>
          </w:rPr>
          <w:fldChar w:fldCharType="end"/>
        </w:r>
      </w:hyperlink>
    </w:p>
    <w:p w14:paraId="19C2CE8C" w14:textId="089BD074" w:rsidR="006B6CB2" w:rsidRDefault="002C2222">
      <w:pPr>
        <w:pStyle w:val="TOC3"/>
        <w:rPr>
          <w:rFonts w:asciiTheme="minorHAnsi" w:eastAsiaTheme="minorEastAsia" w:hAnsiTheme="minorHAnsi" w:cstheme="minorBidi"/>
          <w:noProof/>
          <w:sz w:val="22"/>
          <w:lang w:val="en-US"/>
        </w:rPr>
      </w:pPr>
      <w:hyperlink w:anchor="_Toc86321178" w:history="1">
        <w:r w:rsidR="006B6CB2" w:rsidRPr="00DA1B77">
          <w:rPr>
            <w:rStyle w:val="Hyperlink"/>
            <w:noProof/>
          </w:rPr>
          <w:t>3.2.4.</w:t>
        </w:r>
        <w:r w:rsidR="006B6CB2">
          <w:rPr>
            <w:rFonts w:asciiTheme="minorHAnsi" w:eastAsiaTheme="minorEastAsia" w:hAnsiTheme="minorHAnsi" w:cstheme="minorBidi"/>
            <w:noProof/>
            <w:sz w:val="22"/>
            <w:lang w:val="en-US"/>
          </w:rPr>
          <w:tab/>
        </w:r>
        <w:r w:rsidR="006B6CB2" w:rsidRPr="00DA1B77">
          <w:rPr>
            <w:rStyle w:val="Hyperlink"/>
            <w:noProof/>
          </w:rPr>
          <w:t>A jelenlegi többéves pénzügyi kerettel való összeegyeztethetőség</w:t>
        </w:r>
        <w:r w:rsidR="006B6CB2">
          <w:rPr>
            <w:noProof/>
            <w:webHidden/>
          </w:rPr>
          <w:tab/>
        </w:r>
        <w:r w:rsidR="006B6CB2">
          <w:rPr>
            <w:noProof/>
            <w:webHidden/>
          </w:rPr>
          <w:fldChar w:fldCharType="begin"/>
        </w:r>
        <w:r w:rsidR="006B6CB2">
          <w:rPr>
            <w:noProof/>
            <w:webHidden/>
          </w:rPr>
          <w:instrText xml:space="preserve"> PAGEREF _Toc86321178 \h </w:instrText>
        </w:r>
        <w:r w:rsidR="006B6CB2">
          <w:rPr>
            <w:noProof/>
            <w:webHidden/>
          </w:rPr>
        </w:r>
        <w:r w:rsidR="006B6CB2">
          <w:rPr>
            <w:noProof/>
            <w:webHidden/>
          </w:rPr>
          <w:fldChar w:fldCharType="separate"/>
        </w:r>
        <w:r w:rsidR="006B6CB2">
          <w:rPr>
            <w:noProof/>
            <w:webHidden/>
          </w:rPr>
          <w:t>25</w:t>
        </w:r>
        <w:r w:rsidR="006B6CB2">
          <w:rPr>
            <w:noProof/>
            <w:webHidden/>
          </w:rPr>
          <w:fldChar w:fldCharType="end"/>
        </w:r>
      </w:hyperlink>
    </w:p>
    <w:p w14:paraId="617A8814" w14:textId="459358BC" w:rsidR="006B6CB2" w:rsidRDefault="002C2222">
      <w:pPr>
        <w:pStyle w:val="TOC3"/>
        <w:rPr>
          <w:rFonts w:asciiTheme="minorHAnsi" w:eastAsiaTheme="minorEastAsia" w:hAnsiTheme="minorHAnsi" w:cstheme="minorBidi"/>
          <w:noProof/>
          <w:sz w:val="22"/>
          <w:lang w:val="en-US"/>
        </w:rPr>
      </w:pPr>
      <w:hyperlink w:anchor="_Toc86321179" w:history="1">
        <w:r w:rsidR="006B6CB2" w:rsidRPr="00DA1B77">
          <w:rPr>
            <w:rStyle w:val="Hyperlink"/>
            <w:noProof/>
          </w:rPr>
          <w:t>3.2.5.</w:t>
        </w:r>
        <w:r w:rsidR="006B6CB2">
          <w:rPr>
            <w:rFonts w:asciiTheme="minorHAnsi" w:eastAsiaTheme="minorEastAsia" w:hAnsiTheme="minorHAnsi" w:cstheme="minorBidi"/>
            <w:noProof/>
            <w:sz w:val="22"/>
            <w:lang w:val="en-US"/>
          </w:rPr>
          <w:tab/>
        </w:r>
        <w:r w:rsidR="006B6CB2" w:rsidRPr="00DA1B77">
          <w:rPr>
            <w:rStyle w:val="Hyperlink"/>
            <w:noProof/>
          </w:rPr>
          <w:t>Harmadik felek részvétele a finanszírozásban</w:t>
        </w:r>
        <w:r w:rsidR="006B6CB2">
          <w:rPr>
            <w:noProof/>
            <w:webHidden/>
          </w:rPr>
          <w:tab/>
        </w:r>
        <w:r w:rsidR="006B6CB2">
          <w:rPr>
            <w:noProof/>
            <w:webHidden/>
          </w:rPr>
          <w:fldChar w:fldCharType="begin"/>
        </w:r>
        <w:r w:rsidR="006B6CB2">
          <w:rPr>
            <w:noProof/>
            <w:webHidden/>
          </w:rPr>
          <w:instrText xml:space="preserve"> PAGEREF _Toc86321179 \h </w:instrText>
        </w:r>
        <w:r w:rsidR="006B6CB2">
          <w:rPr>
            <w:noProof/>
            <w:webHidden/>
          </w:rPr>
        </w:r>
        <w:r w:rsidR="006B6CB2">
          <w:rPr>
            <w:noProof/>
            <w:webHidden/>
          </w:rPr>
          <w:fldChar w:fldCharType="separate"/>
        </w:r>
        <w:r w:rsidR="006B6CB2">
          <w:rPr>
            <w:noProof/>
            <w:webHidden/>
          </w:rPr>
          <w:t>25</w:t>
        </w:r>
        <w:r w:rsidR="006B6CB2">
          <w:rPr>
            <w:noProof/>
            <w:webHidden/>
          </w:rPr>
          <w:fldChar w:fldCharType="end"/>
        </w:r>
      </w:hyperlink>
    </w:p>
    <w:p w14:paraId="34C36273" w14:textId="601613DB" w:rsidR="006B6CB2" w:rsidRDefault="002C2222">
      <w:pPr>
        <w:pStyle w:val="TOC2"/>
        <w:rPr>
          <w:rFonts w:asciiTheme="minorHAnsi" w:eastAsiaTheme="minorEastAsia" w:hAnsiTheme="minorHAnsi" w:cstheme="minorBidi"/>
          <w:noProof/>
          <w:sz w:val="22"/>
          <w:lang w:val="en-US"/>
        </w:rPr>
      </w:pPr>
      <w:hyperlink w:anchor="_Toc86321180" w:history="1">
        <w:r w:rsidR="006B6CB2" w:rsidRPr="00DA1B77">
          <w:rPr>
            <w:rStyle w:val="Hyperlink"/>
            <w:noProof/>
          </w:rPr>
          <w:t>3.3.</w:t>
        </w:r>
        <w:r w:rsidR="006B6CB2">
          <w:rPr>
            <w:rFonts w:asciiTheme="minorHAnsi" w:eastAsiaTheme="minorEastAsia" w:hAnsiTheme="minorHAnsi" w:cstheme="minorBidi"/>
            <w:noProof/>
            <w:sz w:val="22"/>
            <w:lang w:val="en-US"/>
          </w:rPr>
          <w:tab/>
        </w:r>
        <w:r w:rsidR="006B6CB2" w:rsidRPr="00DA1B77">
          <w:rPr>
            <w:rStyle w:val="Hyperlink"/>
            <w:noProof/>
          </w:rPr>
          <w:t>A bevételre gyakorolt becsült hatás</w:t>
        </w:r>
        <w:r w:rsidR="006B6CB2">
          <w:rPr>
            <w:noProof/>
            <w:webHidden/>
          </w:rPr>
          <w:tab/>
        </w:r>
        <w:r w:rsidR="006B6CB2">
          <w:rPr>
            <w:noProof/>
            <w:webHidden/>
          </w:rPr>
          <w:fldChar w:fldCharType="begin"/>
        </w:r>
        <w:r w:rsidR="006B6CB2">
          <w:rPr>
            <w:noProof/>
            <w:webHidden/>
          </w:rPr>
          <w:instrText xml:space="preserve"> PAGEREF _Toc86321180 \h </w:instrText>
        </w:r>
        <w:r w:rsidR="006B6CB2">
          <w:rPr>
            <w:noProof/>
            <w:webHidden/>
          </w:rPr>
        </w:r>
        <w:r w:rsidR="006B6CB2">
          <w:rPr>
            <w:noProof/>
            <w:webHidden/>
          </w:rPr>
          <w:fldChar w:fldCharType="separate"/>
        </w:r>
        <w:r w:rsidR="006B6CB2">
          <w:rPr>
            <w:noProof/>
            <w:webHidden/>
          </w:rPr>
          <w:t>26</w:t>
        </w:r>
        <w:r w:rsidR="006B6CB2">
          <w:rPr>
            <w:noProof/>
            <w:webHidden/>
          </w:rPr>
          <w:fldChar w:fldCharType="end"/>
        </w:r>
      </w:hyperlink>
    </w:p>
    <w:p w14:paraId="6F69855B" w14:textId="58B9E1A2" w:rsidR="007D7104" w:rsidRPr="006601BC" w:rsidRDefault="007D7104" w:rsidP="007D7104">
      <w:pPr>
        <w:rPr>
          <w:noProof/>
        </w:rPr>
      </w:pPr>
      <w:r w:rsidRPr="006601BC">
        <w:rPr>
          <w:b/>
          <w:bCs/>
          <w:noProof/>
        </w:rPr>
        <w:fldChar w:fldCharType="end"/>
      </w:r>
    </w:p>
    <w:p w14:paraId="3E2DEC9E" w14:textId="77777777" w:rsidR="007D7104" w:rsidRPr="006601BC" w:rsidRDefault="007D7104" w:rsidP="007D7104">
      <w:pPr>
        <w:rPr>
          <w:noProof/>
        </w:rPr>
        <w:sectPr w:rsidR="007D7104" w:rsidRPr="006601BC" w:rsidSect="00EF5D4F">
          <w:pgSz w:w="11907" w:h="16840" w:code="9"/>
          <w:pgMar w:top="1134" w:right="1418" w:bottom="1134" w:left="1418" w:header="709" w:footer="709" w:gutter="0"/>
          <w:pgNumType w:start="1"/>
          <w:cols w:space="720"/>
          <w:docGrid w:linePitch="360"/>
        </w:sectPr>
      </w:pPr>
    </w:p>
    <w:p w14:paraId="02DB4D48" w14:textId="77777777" w:rsidR="007D7104" w:rsidRPr="006601BC" w:rsidRDefault="007D7104" w:rsidP="004F3491">
      <w:pPr>
        <w:jc w:val="center"/>
        <w:rPr>
          <w:b/>
          <w:noProof/>
          <w:u w:val="single"/>
        </w:rPr>
      </w:pPr>
      <w:r w:rsidRPr="006601BC">
        <w:rPr>
          <w:b/>
          <w:noProof/>
          <w:u w:val="single"/>
        </w:rPr>
        <w:t>PÉNZÜGYI KIMUTATÁS</w:t>
      </w:r>
    </w:p>
    <w:p w14:paraId="32307B81" w14:textId="040CB17F" w:rsidR="007D7104" w:rsidRPr="006601BC" w:rsidRDefault="00BB68C4" w:rsidP="00BB68C4">
      <w:pPr>
        <w:pStyle w:val="ManualHeading1"/>
        <w:rPr>
          <w:noProof/>
        </w:rPr>
      </w:pPr>
      <w:bookmarkStart w:id="18" w:name="_Toc514938007"/>
      <w:bookmarkStart w:id="19" w:name="_Toc86321148"/>
      <w:r w:rsidRPr="00BB68C4">
        <w:t>1.</w:t>
      </w:r>
      <w:r w:rsidRPr="00BB68C4">
        <w:tab/>
      </w:r>
      <w:r w:rsidR="007D7104" w:rsidRPr="006601BC">
        <w:rPr>
          <w:noProof/>
        </w:rPr>
        <w:t>A JAVASLAT/KEZDEMÉNYEZÉS FŐBB ADATAI</w:t>
      </w:r>
      <w:bookmarkEnd w:id="18"/>
      <w:bookmarkEnd w:id="19"/>
      <w:r w:rsidR="007D7104" w:rsidRPr="006601BC">
        <w:rPr>
          <w:noProof/>
        </w:rPr>
        <w:t xml:space="preserve"> </w:t>
      </w:r>
    </w:p>
    <w:p w14:paraId="08FECE20" w14:textId="24FFCA9D" w:rsidR="007D7104" w:rsidRPr="006601BC" w:rsidRDefault="00BB68C4" w:rsidP="00BB68C4">
      <w:pPr>
        <w:pStyle w:val="ManualHeading2"/>
        <w:rPr>
          <w:noProof/>
        </w:rPr>
      </w:pPr>
      <w:bookmarkStart w:id="20" w:name="_Toc514938008"/>
      <w:bookmarkStart w:id="21" w:name="_Toc86321149"/>
      <w:r w:rsidRPr="00BB68C4">
        <w:t>1.1.</w:t>
      </w:r>
      <w:r w:rsidRPr="00BB68C4">
        <w:tab/>
      </w:r>
      <w:r w:rsidR="007D7104" w:rsidRPr="006601BC">
        <w:rPr>
          <w:noProof/>
        </w:rPr>
        <w:t>A javaslat/kezdeményezés címe</w:t>
      </w:r>
      <w:bookmarkEnd w:id="20"/>
      <w:bookmarkEnd w:id="21"/>
    </w:p>
    <w:p w14:paraId="323645F7"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jc w:val="left"/>
        <w:rPr>
          <w:noProof/>
          <w:szCs w:val="28"/>
          <w:shd w:val="clear" w:color="auto" w:fill="FFFFFF"/>
        </w:rPr>
      </w:pPr>
      <w:bookmarkStart w:id="22" w:name="_Toc514938011"/>
      <w:r w:rsidRPr="006601BC">
        <w:rPr>
          <w:noProof/>
          <w:szCs w:val="28"/>
          <w:shd w:val="clear" w:color="auto" w:fill="FFFFFF"/>
        </w:rPr>
        <w:t>Az Európai Unió Egészségügyi Szükséghelyzet-felkészültségi és reagálási Hatósága (HERA)</w:t>
      </w:r>
    </w:p>
    <w:p w14:paraId="6726F23D" w14:textId="2A3A98AC" w:rsidR="007D7104" w:rsidRPr="006601BC" w:rsidRDefault="00BB68C4" w:rsidP="00BB68C4">
      <w:pPr>
        <w:pStyle w:val="ManualHeading2"/>
        <w:rPr>
          <w:i/>
          <w:noProof/>
        </w:rPr>
      </w:pPr>
      <w:bookmarkStart w:id="23" w:name="_Toc86321150"/>
      <w:r w:rsidRPr="00BB68C4">
        <w:t>1.2.</w:t>
      </w:r>
      <w:r w:rsidRPr="00BB68C4">
        <w:tab/>
      </w:r>
      <w:r w:rsidR="007D7104" w:rsidRPr="006601BC">
        <w:rPr>
          <w:noProof/>
        </w:rPr>
        <w:t>Érintett szakpolitikai terület(ek)</w:t>
      </w:r>
      <w:bookmarkEnd w:id="22"/>
      <w:bookmarkEnd w:id="23"/>
      <w:r w:rsidR="007D7104" w:rsidRPr="006601BC">
        <w:rPr>
          <w:i/>
          <w:noProof/>
        </w:rPr>
        <w:t xml:space="preserve"> </w:t>
      </w:r>
    </w:p>
    <w:p w14:paraId="5C28025F"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bookmarkStart w:id="24" w:name="_Toc514938014"/>
      <w:r w:rsidRPr="006601BC">
        <w:rPr>
          <w:noProof/>
        </w:rPr>
        <w:t xml:space="preserve">1. fejezet: </w:t>
      </w:r>
      <w:r w:rsidRPr="006601BC">
        <w:rPr>
          <w:bCs/>
          <w:noProof/>
        </w:rPr>
        <w:t>Egységes piac, innováció és digitális gazdaság</w:t>
      </w:r>
      <w:r w:rsidRPr="006601BC">
        <w:rPr>
          <w:noProof/>
        </w:rPr>
        <w:t xml:space="preserve">  </w:t>
      </w:r>
    </w:p>
    <w:p w14:paraId="05EFEC27"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2b. fejezet: Reziliencia és értékek</w:t>
      </w:r>
    </w:p>
    <w:p w14:paraId="60434E63" w14:textId="229ADDC5" w:rsidR="007D7104" w:rsidRPr="006601BC" w:rsidRDefault="00BB68C4" w:rsidP="00BB68C4">
      <w:pPr>
        <w:pStyle w:val="ManualHeading2"/>
        <w:rPr>
          <w:bCs/>
          <w:noProof/>
          <w:szCs w:val="24"/>
        </w:rPr>
      </w:pPr>
      <w:bookmarkStart w:id="25" w:name="_Toc86321151"/>
      <w:r w:rsidRPr="00BB68C4">
        <w:t>1.3.</w:t>
      </w:r>
      <w:r w:rsidRPr="00BB68C4">
        <w:tab/>
      </w:r>
      <w:r w:rsidR="007D7104" w:rsidRPr="006601BC">
        <w:rPr>
          <w:noProof/>
        </w:rPr>
        <w:t>A javaslat/kezdeményezés a következőre irányul:</w:t>
      </w:r>
      <w:bookmarkEnd w:id="24"/>
      <w:bookmarkEnd w:id="25"/>
      <w:r w:rsidR="007D7104" w:rsidRPr="006601BC">
        <w:rPr>
          <w:noProof/>
        </w:rPr>
        <w:t xml:space="preserve"> </w:t>
      </w:r>
    </w:p>
    <w:p w14:paraId="11230AFA" w14:textId="77777777" w:rsidR="007D7104" w:rsidRPr="006601BC" w:rsidRDefault="007D7104" w:rsidP="007D7104">
      <w:pPr>
        <w:pStyle w:val="Text1"/>
        <w:rPr>
          <w:b/>
          <w:noProof/>
          <w:sz w:val="22"/>
        </w:rPr>
      </w:pPr>
      <w:r w:rsidRPr="006601BC">
        <w:rPr>
          <w:noProof/>
          <w:sz w:val="22"/>
        </w:rPr>
        <w:t>X</w:t>
      </w:r>
      <w:r w:rsidRPr="006601BC">
        <w:rPr>
          <w:b/>
          <w:i/>
          <w:noProof/>
          <w:sz w:val="22"/>
        </w:rPr>
        <w:t xml:space="preserve"> </w:t>
      </w:r>
      <w:r w:rsidRPr="006601BC">
        <w:rPr>
          <w:b/>
          <w:noProof/>
        </w:rPr>
        <w:t>új intézkedés</w:t>
      </w:r>
      <w:r w:rsidRPr="006601BC">
        <w:rPr>
          <w:b/>
          <w:noProof/>
          <w:sz w:val="22"/>
        </w:rPr>
        <w:t xml:space="preserve"> </w:t>
      </w:r>
    </w:p>
    <w:p w14:paraId="0868D897" w14:textId="77777777" w:rsidR="007D7104" w:rsidRPr="006601BC" w:rsidRDefault="007D7104" w:rsidP="007D7104">
      <w:pPr>
        <w:pStyle w:val="Text1"/>
        <w:rPr>
          <w:noProof/>
          <w:sz w:val="22"/>
        </w:rPr>
      </w:pPr>
      <w:r w:rsidRPr="006601BC">
        <w:rPr>
          <w:noProof/>
          <w:sz w:val="22"/>
        </w:rPr>
        <w:sym w:font="Wingdings" w:char="F0A8"/>
      </w:r>
      <w:r w:rsidRPr="006601BC">
        <w:rPr>
          <w:i/>
          <w:noProof/>
          <w:sz w:val="22"/>
        </w:rPr>
        <w:t xml:space="preserve"> </w:t>
      </w:r>
      <w:r w:rsidRPr="006601BC">
        <w:rPr>
          <w:b/>
          <w:noProof/>
        </w:rPr>
        <w:t>kísérleti projektet/előkészítő intézkedést követő új intézkedés</w:t>
      </w:r>
      <w:r w:rsidRPr="006601BC">
        <w:rPr>
          <w:rStyle w:val="FootnoteReference"/>
          <w:b/>
          <w:noProof/>
        </w:rPr>
        <w:footnoteReference w:id="34"/>
      </w:r>
      <w:r w:rsidRPr="006601BC">
        <w:rPr>
          <w:noProof/>
          <w:sz w:val="22"/>
        </w:rPr>
        <w:t xml:space="preserve"> </w:t>
      </w:r>
    </w:p>
    <w:p w14:paraId="3949BC13" w14:textId="77777777" w:rsidR="007D7104" w:rsidRPr="006601BC" w:rsidRDefault="007D7104" w:rsidP="007D7104">
      <w:pPr>
        <w:pStyle w:val="Text1"/>
        <w:rPr>
          <w:noProof/>
          <w:sz w:val="22"/>
        </w:rPr>
      </w:pPr>
      <w:r w:rsidRPr="006601BC">
        <w:rPr>
          <w:noProof/>
          <w:sz w:val="22"/>
        </w:rPr>
        <w:sym w:font="Wingdings" w:char="F0A8"/>
      </w:r>
      <w:r w:rsidRPr="006601BC">
        <w:rPr>
          <w:i/>
          <w:noProof/>
          <w:sz w:val="22"/>
        </w:rPr>
        <w:t xml:space="preserve"> </w:t>
      </w:r>
      <w:r w:rsidRPr="006601BC">
        <w:rPr>
          <w:b/>
          <w:noProof/>
        </w:rPr>
        <w:t>jelenlegi intézkedés meghosszabbítása</w:t>
      </w:r>
      <w:r w:rsidRPr="006601BC">
        <w:rPr>
          <w:noProof/>
          <w:sz w:val="22"/>
        </w:rPr>
        <w:t xml:space="preserve"> </w:t>
      </w:r>
    </w:p>
    <w:p w14:paraId="5CC0E69D" w14:textId="77777777" w:rsidR="007D7104" w:rsidRPr="006601BC" w:rsidRDefault="007D7104" w:rsidP="007D7104">
      <w:pPr>
        <w:pStyle w:val="Text1"/>
        <w:rPr>
          <w:noProof/>
        </w:rPr>
      </w:pPr>
      <w:r w:rsidRPr="006601BC">
        <w:rPr>
          <w:noProof/>
          <w:sz w:val="22"/>
        </w:rPr>
        <w:sym w:font="Wingdings" w:char="F0A8"/>
      </w:r>
      <w:r w:rsidRPr="006601BC">
        <w:rPr>
          <w:i/>
          <w:noProof/>
          <w:sz w:val="22"/>
        </w:rPr>
        <w:t xml:space="preserve"> </w:t>
      </w:r>
      <w:r w:rsidRPr="006601BC">
        <w:rPr>
          <w:b/>
          <w:noProof/>
        </w:rPr>
        <w:t>egy vagy több intézkedés összevonása vagy átcsoportosítása egy másik/új intézkedésre</w:t>
      </w:r>
      <w:r w:rsidRPr="006601BC">
        <w:rPr>
          <w:noProof/>
        </w:rPr>
        <w:t xml:space="preserve"> </w:t>
      </w:r>
    </w:p>
    <w:p w14:paraId="6F5BFA56" w14:textId="12F02A7E" w:rsidR="007D7104" w:rsidRPr="006601BC" w:rsidRDefault="00BB68C4" w:rsidP="00BB68C4">
      <w:pPr>
        <w:pStyle w:val="ManualHeading2"/>
        <w:rPr>
          <w:bCs/>
          <w:noProof/>
          <w:szCs w:val="24"/>
        </w:rPr>
      </w:pPr>
      <w:bookmarkStart w:id="26" w:name="_Toc514938015"/>
      <w:bookmarkStart w:id="27" w:name="_Toc86321152"/>
      <w:r w:rsidRPr="00BB68C4">
        <w:t>1.4.</w:t>
      </w:r>
      <w:r w:rsidRPr="00BB68C4">
        <w:tab/>
      </w:r>
      <w:r w:rsidR="007D7104" w:rsidRPr="006601BC">
        <w:rPr>
          <w:noProof/>
        </w:rPr>
        <w:t>Célkitűzés(ek)</w:t>
      </w:r>
      <w:bookmarkEnd w:id="26"/>
      <w:bookmarkEnd w:id="27"/>
    </w:p>
    <w:p w14:paraId="369FA543" w14:textId="192DF3D6" w:rsidR="007D7104" w:rsidRPr="006601BC" w:rsidRDefault="00BB68C4" w:rsidP="00BB68C4">
      <w:pPr>
        <w:pStyle w:val="ManualHeading3"/>
        <w:rPr>
          <w:noProof/>
        </w:rPr>
      </w:pPr>
      <w:bookmarkStart w:id="28" w:name="_Toc514938016"/>
      <w:bookmarkStart w:id="29" w:name="_Toc86321153"/>
      <w:r w:rsidRPr="00BB68C4">
        <w:t>1.4.1.</w:t>
      </w:r>
      <w:r w:rsidRPr="00BB68C4">
        <w:tab/>
      </w:r>
      <w:r w:rsidR="007D7104" w:rsidRPr="006601BC">
        <w:rPr>
          <w:noProof/>
        </w:rPr>
        <w:t>Általános célkitűzés(ek)</w:t>
      </w:r>
      <w:bookmarkEnd w:id="28"/>
      <w:bookmarkEnd w:id="29"/>
    </w:p>
    <w:p w14:paraId="2593C419"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bookmarkStart w:id="30" w:name="_Toc514938018"/>
      <w:r w:rsidRPr="006601BC">
        <w:rPr>
          <w:noProof/>
        </w:rPr>
        <w:t>A HERA arra törekszik, hogy javítsa a népegészséget azáltal, hogy megerősíti az EU felkészültségét és reagálását a természeti és a szándékos eredetű, határokon át terjedő súlyos egészségügyi veszélyekre.</w:t>
      </w:r>
    </w:p>
    <w:p w14:paraId="30D6B4DF" w14:textId="7267F4F9" w:rsidR="007D7104" w:rsidRPr="006601BC" w:rsidRDefault="00BB68C4" w:rsidP="00BB68C4">
      <w:pPr>
        <w:pStyle w:val="ManualHeading3"/>
        <w:rPr>
          <w:bCs/>
          <w:noProof/>
          <w:szCs w:val="24"/>
        </w:rPr>
      </w:pPr>
      <w:bookmarkStart w:id="31" w:name="_Toc86321154"/>
      <w:r w:rsidRPr="00BB68C4">
        <w:t>1.4.2.</w:t>
      </w:r>
      <w:r w:rsidRPr="00BB68C4">
        <w:tab/>
      </w:r>
      <w:r w:rsidR="007D7104" w:rsidRPr="006601BC">
        <w:rPr>
          <w:noProof/>
        </w:rPr>
        <w:t>Konkrét célkitűzés(ek)</w:t>
      </w:r>
      <w:bookmarkEnd w:id="30"/>
      <w:bookmarkEnd w:id="31"/>
    </w:p>
    <w:p w14:paraId="37E594EC"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noProof/>
          <w:u w:val="single"/>
        </w:rPr>
      </w:pPr>
      <w:r w:rsidRPr="006601BC">
        <w:rPr>
          <w:noProof/>
          <w:u w:val="single"/>
        </w:rPr>
        <w:t>… sz. konkrét célkitűzés</w:t>
      </w:r>
    </w:p>
    <w:p w14:paraId="7D8EE744" w14:textId="7EA3F965" w:rsidR="007D7104" w:rsidRPr="006601BC" w:rsidRDefault="005D0DF1" w:rsidP="005D0DF1">
      <w:pPr>
        <w:pStyle w:val="Point1"/>
        <w:pBdr>
          <w:top w:val="single" w:sz="4" w:space="1" w:color="auto"/>
          <w:left w:val="single" w:sz="4" w:space="4" w:color="auto"/>
          <w:bottom w:val="single" w:sz="4" w:space="1" w:color="auto"/>
          <w:right w:val="single" w:sz="4" w:space="4" w:color="auto"/>
        </w:pBdr>
        <w:rPr>
          <w:noProof/>
        </w:rPr>
      </w:pPr>
      <w:bookmarkStart w:id="32" w:name="_Toc514938019"/>
      <w:r w:rsidRPr="006601BC">
        <w:rPr>
          <w:noProof/>
        </w:rPr>
        <w:t>1.</w:t>
      </w:r>
      <w:r w:rsidRPr="006601BC">
        <w:rPr>
          <w:noProof/>
        </w:rPr>
        <w:tab/>
        <w:t xml:space="preserve">Az egészségügyi ellenintézkedések időben történő rendelkezésre állásának és az azokhoz való méltányos hozzáférésnek a biztosítása határokon át terjedő egészségügyi veszély esetén </w:t>
      </w:r>
    </w:p>
    <w:p w14:paraId="6E4B0B1E" w14:textId="7B27EC13" w:rsidR="007D7104" w:rsidRPr="006601BC" w:rsidRDefault="005D0DF1" w:rsidP="005D0DF1">
      <w:pPr>
        <w:pStyle w:val="Point1"/>
        <w:pBdr>
          <w:top w:val="single" w:sz="4" w:space="1" w:color="auto"/>
          <w:left w:val="single" w:sz="4" w:space="4" w:color="auto"/>
          <w:bottom w:val="single" w:sz="4" w:space="1" w:color="auto"/>
          <w:right w:val="single" w:sz="4" w:space="4" w:color="auto"/>
        </w:pBdr>
        <w:rPr>
          <w:iCs/>
          <w:noProof/>
        </w:rPr>
      </w:pPr>
      <w:r w:rsidRPr="006601BC">
        <w:rPr>
          <w:noProof/>
        </w:rPr>
        <w:t>2.</w:t>
      </w:r>
      <w:r w:rsidRPr="006601BC">
        <w:rPr>
          <w:noProof/>
        </w:rPr>
        <w:tab/>
        <w:t>A határokon át terjedő súlyos egészségügyi veszélyekre vonatkozó információgyűjtés, -elemzés és -megosztás javítása, a nyersanyagfüggőségek, valamint a piaci és szabályozási kihívások/hibák azonosítása és kezelése</w:t>
      </w:r>
    </w:p>
    <w:p w14:paraId="4FF681FF" w14:textId="7C6CD4BA" w:rsidR="007D7104" w:rsidRPr="006601BC" w:rsidRDefault="005D0DF1" w:rsidP="005D0DF1">
      <w:pPr>
        <w:pStyle w:val="Point1"/>
        <w:pBdr>
          <w:top w:val="single" w:sz="4" w:space="1" w:color="auto"/>
          <w:left w:val="single" w:sz="4" w:space="4" w:color="auto"/>
          <w:bottom w:val="single" w:sz="4" w:space="1" w:color="auto"/>
          <w:right w:val="single" w:sz="4" w:space="4" w:color="auto"/>
        </w:pBdr>
        <w:rPr>
          <w:iCs/>
          <w:noProof/>
        </w:rPr>
      </w:pPr>
      <w:r w:rsidRPr="006601BC">
        <w:rPr>
          <w:noProof/>
        </w:rPr>
        <w:t>3.</w:t>
      </w:r>
      <w:r w:rsidRPr="006601BC">
        <w:rPr>
          <w:noProof/>
        </w:rPr>
        <w:tab/>
        <w:t>Az egészségügyi ellenintézkedések fejlesztésének és gyártásának javítása, a kutatási és technológiafejlesztési projektek integrálását szolgáló struktúrák létrehozása</w:t>
      </w:r>
    </w:p>
    <w:p w14:paraId="3EE5F678" w14:textId="3C340ACA" w:rsidR="007D7104" w:rsidRPr="006601BC" w:rsidRDefault="005D0DF1" w:rsidP="005D0DF1">
      <w:pPr>
        <w:pStyle w:val="Point1"/>
        <w:pBdr>
          <w:top w:val="single" w:sz="4" w:space="1" w:color="auto"/>
          <w:left w:val="single" w:sz="4" w:space="4" w:color="auto"/>
          <w:bottom w:val="single" w:sz="4" w:space="1" w:color="auto"/>
          <w:right w:val="single" w:sz="4" w:space="4" w:color="auto"/>
        </w:pBdr>
        <w:rPr>
          <w:iCs/>
          <w:noProof/>
        </w:rPr>
      </w:pPr>
      <w:r w:rsidRPr="006601BC">
        <w:rPr>
          <w:noProof/>
        </w:rPr>
        <w:t>4.</w:t>
      </w:r>
      <w:r w:rsidRPr="006601BC">
        <w:rPr>
          <w:noProof/>
        </w:rPr>
        <w:tab/>
        <w:t>Az egészségügyi ellenintézkedésekkel kapcsolatos fellépések koordinálása az illetékes nemzeti hatóságok, a közbeszerzők, az ipari és kutatási szereplők, valamint a globális szereplők között</w:t>
      </w:r>
    </w:p>
    <w:p w14:paraId="172D237A" w14:textId="696F6AFA" w:rsidR="007D7104" w:rsidRPr="006601BC" w:rsidRDefault="00BB68C4" w:rsidP="00BB68C4">
      <w:pPr>
        <w:pStyle w:val="ManualHeading3"/>
        <w:rPr>
          <w:noProof/>
        </w:rPr>
      </w:pPr>
      <w:bookmarkStart w:id="33" w:name="_Toc86321155"/>
      <w:r w:rsidRPr="00BB68C4">
        <w:t>1.4.3.</w:t>
      </w:r>
      <w:r w:rsidRPr="00BB68C4">
        <w:tab/>
      </w:r>
      <w:r w:rsidR="007D7104" w:rsidRPr="006601BC">
        <w:rPr>
          <w:noProof/>
        </w:rPr>
        <w:t>Várható eredmény(ek) és hatás(ok)</w:t>
      </w:r>
      <w:bookmarkEnd w:id="32"/>
      <w:bookmarkEnd w:id="33"/>
    </w:p>
    <w:p w14:paraId="39B6B68B" w14:textId="77777777" w:rsidR="007D7104" w:rsidRPr="006601BC" w:rsidRDefault="007D7104" w:rsidP="007D7104">
      <w:pPr>
        <w:pStyle w:val="Text1"/>
        <w:rPr>
          <w:i/>
          <w:noProof/>
          <w:sz w:val="20"/>
        </w:rPr>
      </w:pPr>
      <w:r w:rsidRPr="006601BC">
        <w:rPr>
          <w:i/>
          <w:noProof/>
          <w:sz w:val="20"/>
        </w:rPr>
        <w:t>Tüntesse fel, milyen hatásokat gyakorolhat a javaslat/kezdeményezés a kedvezményezettekre/célcsoportokra.</w:t>
      </w:r>
    </w:p>
    <w:p w14:paraId="3185C751"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b/>
          <w:noProof/>
          <w:u w:val="single"/>
        </w:rPr>
      </w:pPr>
      <w:bookmarkStart w:id="34" w:name="_Toc514938023"/>
      <w:r w:rsidRPr="006601BC">
        <w:rPr>
          <w:b/>
          <w:noProof/>
          <w:u w:val="single"/>
        </w:rPr>
        <w:t>1. sz. konkrét célkitűzés:</w:t>
      </w:r>
    </w:p>
    <w:p w14:paraId="743C3993"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noProof/>
          <w:u w:val="single"/>
        </w:rPr>
      </w:pPr>
      <w:r w:rsidRPr="006601BC">
        <w:rPr>
          <w:noProof/>
        </w:rPr>
        <w:t xml:space="preserve">Az egészségügyi ellenintézkedések időben történő rendelkezésre állásának és az azokhoz való méltányos hozzáférésnek a biztosítása határokon át terjedő egészségügyi veszély esetén </w:t>
      </w:r>
    </w:p>
    <w:p w14:paraId="4579C3B9"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noProof/>
          <w:u w:val="single"/>
        </w:rPr>
      </w:pPr>
      <w:r w:rsidRPr="006601BC">
        <w:rPr>
          <w:noProof/>
          <w:u w:val="single"/>
        </w:rPr>
        <w:t xml:space="preserve">Várható eredmény(ek) és hatás(ok): </w:t>
      </w:r>
    </w:p>
    <w:p w14:paraId="6B566BD8"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noProof/>
        </w:rPr>
      </w:pPr>
      <w:r w:rsidRPr="006601BC">
        <w:rPr>
          <w:noProof/>
        </w:rPr>
        <w:t xml:space="preserve">Jobb felkészültség a kritikus fontosságú egészségügyi ellenintézkedések rendelkezésre állása és kínálata (beszerzés, készletezés, fenntartás) tekintetében. </w:t>
      </w:r>
    </w:p>
    <w:p w14:paraId="6D741CED"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b/>
          <w:noProof/>
          <w:u w:val="single"/>
        </w:rPr>
      </w:pPr>
      <w:r w:rsidRPr="006601BC">
        <w:rPr>
          <w:b/>
          <w:noProof/>
          <w:u w:val="single"/>
        </w:rPr>
        <w:t>2. sz. konkrét célkitűzés:</w:t>
      </w:r>
    </w:p>
    <w:p w14:paraId="1A8699D3"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noProof/>
          <w:u w:val="single"/>
        </w:rPr>
      </w:pPr>
      <w:r w:rsidRPr="006601BC">
        <w:rPr>
          <w:noProof/>
        </w:rPr>
        <w:t>A határokon át terjedő súlyos egészségügyi veszélyekre vonatkozó információgyűjtés, -elemzés és -megosztás javítása, a nyersanyagfüggőségek, valamint a piaci és szabályozási kihívások/hibák azonosítása és kezelése</w:t>
      </w:r>
      <w:r w:rsidRPr="006601BC">
        <w:rPr>
          <w:noProof/>
          <w:u w:val="single"/>
        </w:rPr>
        <w:t xml:space="preserve"> </w:t>
      </w:r>
    </w:p>
    <w:p w14:paraId="38C7F285"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noProof/>
          <w:u w:val="single"/>
        </w:rPr>
      </w:pPr>
      <w:r w:rsidRPr="006601BC">
        <w:rPr>
          <w:noProof/>
          <w:u w:val="single"/>
        </w:rPr>
        <w:t xml:space="preserve">Várható eredmény(ek) és hatás(ok): </w:t>
      </w:r>
    </w:p>
    <w:p w14:paraId="69AF9B00"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noProof/>
          <w:u w:val="single"/>
        </w:rPr>
      </w:pPr>
      <w:r w:rsidRPr="006601BC">
        <w:rPr>
          <w:noProof/>
        </w:rPr>
        <w:t>Előzetes fenyegetésértékelés, a jövőbeli kilátások feltérképezése, piaci információk, a határokon át terjedő súlyos egészségügyi veszélyek előrejelzése uniós szinten</w:t>
      </w:r>
    </w:p>
    <w:p w14:paraId="10DA422B"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b/>
          <w:noProof/>
          <w:u w:val="single"/>
        </w:rPr>
      </w:pPr>
      <w:r w:rsidRPr="006601BC">
        <w:rPr>
          <w:b/>
          <w:noProof/>
          <w:u w:val="single"/>
        </w:rPr>
        <w:t>3. sz. konkrét célkitűzés:</w:t>
      </w:r>
    </w:p>
    <w:p w14:paraId="20292611"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noProof/>
        </w:rPr>
      </w:pPr>
      <w:r w:rsidRPr="006601BC">
        <w:rPr>
          <w:noProof/>
        </w:rPr>
        <w:t>Az egészségügyi ellenintézkedések fejlesztésének és gyártásának javítása, a kutatási és technológiafejlesztési projektek integrálását szolgáló struktúrák létrehozása</w:t>
      </w:r>
    </w:p>
    <w:p w14:paraId="65A627B9"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noProof/>
          <w:u w:val="single"/>
        </w:rPr>
      </w:pPr>
      <w:r w:rsidRPr="006601BC">
        <w:rPr>
          <w:noProof/>
          <w:u w:val="single"/>
        </w:rPr>
        <w:t xml:space="preserve">Várható eredmény(ek) és hatás(ok): </w:t>
      </w:r>
    </w:p>
    <w:p w14:paraId="324EE456"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noProof/>
          <w:u w:val="single"/>
        </w:rPr>
      </w:pPr>
      <w:r w:rsidRPr="006601BC">
        <w:rPr>
          <w:noProof/>
        </w:rPr>
        <w:t>A magas szintű kutatás, az innováció és a kapcsolódó technológiák és ellenintézkedések (többek között a K+F utolsó szakasza, a klinikai vizsgálatok és a szabályozási útvonalak) jobb integrációja.</w:t>
      </w:r>
    </w:p>
    <w:p w14:paraId="179A81F3"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noProof/>
          <w:u w:val="single"/>
        </w:rPr>
      </w:pPr>
      <w:r w:rsidRPr="006601BC">
        <w:rPr>
          <w:noProof/>
        </w:rPr>
        <w:t>A gyártás biztosítása, rugalmas és méretezhető uniós gyártási kapacitások létrehozása a válság szempontjából releváns ellenintézkedések (köztük a válság szempontjából releváns nyersanyagok) gyártásához, amelyek megfelelőek az egészségügyi szükséghelyzetekre való reagáláshoz.</w:t>
      </w:r>
    </w:p>
    <w:p w14:paraId="1D77FE6D"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b/>
          <w:noProof/>
          <w:u w:val="single"/>
        </w:rPr>
      </w:pPr>
      <w:r w:rsidRPr="006601BC">
        <w:rPr>
          <w:b/>
          <w:noProof/>
          <w:u w:val="single"/>
        </w:rPr>
        <w:t>4. sz. konkrét célkitűzés:</w:t>
      </w:r>
    </w:p>
    <w:p w14:paraId="1F686973"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noProof/>
        </w:rPr>
      </w:pPr>
      <w:r w:rsidRPr="006601BC">
        <w:rPr>
          <w:noProof/>
        </w:rPr>
        <w:t>Az egészségügyi ellenintézkedésekkel kapcsolatos fellépések koordinálása az illetékes nemzeti hatóságok, a közbeszerzők, az ipari és kutatási szereplők, valamint a globális szereplők között.</w:t>
      </w:r>
    </w:p>
    <w:p w14:paraId="03A2300E"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noProof/>
          <w:u w:val="single"/>
        </w:rPr>
      </w:pPr>
      <w:r w:rsidRPr="006601BC">
        <w:rPr>
          <w:noProof/>
          <w:u w:val="single"/>
        </w:rPr>
        <w:t xml:space="preserve">Várható eredmény(ek) és hatás(ok): </w:t>
      </w:r>
    </w:p>
    <w:p w14:paraId="001A434F"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noProof/>
        </w:rPr>
      </w:pPr>
      <w:r w:rsidRPr="006601BC">
        <w:rPr>
          <w:noProof/>
        </w:rPr>
        <w:t xml:space="preserve">Kapacitásépítés a tagállamokban, például képzések, szakértői csereprogramok révén </w:t>
      </w:r>
    </w:p>
    <w:p w14:paraId="0A94E659"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ind w:right="-143"/>
        <w:rPr>
          <w:noProof/>
        </w:rPr>
      </w:pPr>
      <w:r w:rsidRPr="006601BC">
        <w:rPr>
          <w:noProof/>
        </w:rPr>
        <w:t>Nemzetközi szerepvállalás és fokozottabb erőfeszítések az egészségügyi ellenintézkedésekhez való hozzáférés és fejlesztésük, valamint a fenyegetésértékelések, a felügyelet és a kapacitásépítés tekintetében</w:t>
      </w:r>
    </w:p>
    <w:p w14:paraId="0D55A41A" w14:textId="6647BECB" w:rsidR="007D7104" w:rsidRPr="006601BC" w:rsidRDefault="00BB68C4" w:rsidP="00BB68C4">
      <w:pPr>
        <w:pStyle w:val="ManualHeading3"/>
        <w:rPr>
          <w:noProof/>
          <w:szCs w:val="24"/>
        </w:rPr>
      </w:pPr>
      <w:bookmarkStart w:id="35" w:name="_Toc86321156"/>
      <w:r w:rsidRPr="00BB68C4">
        <w:t>1.4.4.</w:t>
      </w:r>
      <w:r w:rsidRPr="00BB68C4">
        <w:tab/>
      </w:r>
      <w:r w:rsidR="007D7104" w:rsidRPr="006601BC">
        <w:rPr>
          <w:noProof/>
        </w:rPr>
        <w:t>Teljesítménymutatók</w:t>
      </w:r>
      <w:bookmarkEnd w:id="34"/>
      <w:bookmarkEnd w:id="35"/>
    </w:p>
    <w:p w14:paraId="29852B0A" w14:textId="77777777" w:rsidR="007D7104" w:rsidRPr="006601BC" w:rsidRDefault="007D7104" w:rsidP="007D7104">
      <w:pPr>
        <w:pStyle w:val="Text1"/>
        <w:rPr>
          <w:i/>
          <w:noProof/>
          <w:sz w:val="20"/>
        </w:rPr>
      </w:pPr>
      <w:r w:rsidRPr="006601BC">
        <w:rPr>
          <w:i/>
          <w:noProof/>
          <w:sz w:val="20"/>
        </w:rPr>
        <w:t>Határozza meg az előrehaladás és az eredmények nyomon követésére szolgáló mutatókat.</w:t>
      </w:r>
    </w:p>
    <w:p w14:paraId="74D0F2A7" w14:textId="77777777" w:rsidR="007D7104" w:rsidRPr="006601BC" w:rsidRDefault="007D7104" w:rsidP="007D7104">
      <w:pPr>
        <w:pStyle w:val="Text1"/>
        <w:pBdr>
          <w:top w:val="single" w:sz="4" w:space="0" w:color="auto"/>
          <w:left w:val="single" w:sz="4" w:space="4" w:color="auto"/>
          <w:bottom w:val="single" w:sz="4" w:space="1" w:color="auto"/>
          <w:right w:val="single" w:sz="4" w:space="4" w:color="auto"/>
        </w:pBdr>
        <w:rPr>
          <w:noProof/>
          <w:szCs w:val="24"/>
        </w:rPr>
      </w:pPr>
      <w:bookmarkStart w:id="36" w:name="_Toc514938025"/>
      <w:r w:rsidRPr="006601BC">
        <w:rPr>
          <w:noProof/>
        </w:rPr>
        <w:t>Általános célkitűzések:</w:t>
      </w:r>
    </w:p>
    <w:p w14:paraId="0EF9E9AE" w14:textId="1CA623AC" w:rsidR="007D7104" w:rsidRPr="006601BC" w:rsidRDefault="00572B96" w:rsidP="00572B96">
      <w:pPr>
        <w:pStyle w:val="Point1"/>
        <w:pBdr>
          <w:top w:val="single" w:sz="4" w:space="1" w:color="auto"/>
          <w:left w:val="single" w:sz="4" w:space="1" w:color="auto"/>
          <w:bottom w:val="single" w:sz="4" w:space="1" w:color="auto"/>
          <w:right w:val="single" w:sz="4" w:space="1" w:color="auto"/>
        </w:pBdr>
        <w:rPr>
          <w:noProof/>
          <w:szCs w:val="24"/>
        </w:rPr>
      </w:pPr>
      <w:r w:rsidRPr="006601BC">
        <w:rPr>
          <w:noProof/>
        </w:rPr>
        <w:t>I.</w:t>
      </w:r>
      <w:r w:rsidRPr="006601BC">
        <w:rPr>
          <w:noProof/>
        </w:rPr>
        <w:tab/>
        <w:t>A természeti és a szándékos eredetű, határokon át terjedő súlyos egészségügyi veszélyekre való uniós felkészültség és reagálás erősítése.</w:t>
      </w:r>
    </w:p>
    <w:p w14:paraId="2486792D" w14:textId="77777777" w:rsidR="007D7104" w:rsidRPr="006601BC" w:rsidRDefault="007D7104" w:rsidP="00572B96">
      <w:pPr>
        <w:pStyle w:val="Text1"/>
        <w:pBdr>
          <w:top w:val="single" w:sz="4" w:space="1" w:color="auto"/>
          <w:left w:val="single" w:sz="4" w:space="1" w:color="auto"/>
          <w:bottom w:val="single" w:sz="4" w:space="1" w:color="auto"/>
          <w:right w:val="single" w:sz="4" w:space="1" w:color="auto"/>
        </w:pBdr>
        <w:rPr>
          <w:iCs/>
          <w:noProof/>
        </w:rPr>
      </w:pPr>
      <w:r w:rsidRPr="006601BC">
        <w:rPr>
          <w:i/>
          <w:iCs/>
          <w:noProof/>
        </w:rPr>
        <w:t xml:space="preserve">1. mutató: </w:t>
      </w:r>
      <w:r w:rsidRPr="006601BC">
        <w:rPr>
          <w:noProof/>
        </w:rPr>
        <w:t xml:space="preserve">Válság esetén a kritikus egészségügyi ellenintézkedések elegendő mennyiségű és kellő időben történő rendelkezésre állása. </w:t>
      </w:r>
    </w:p>
    <w:p w14:paraId="55E37954" w14:textId="77777777" w:rsidR="007D7104" w:rsidRPr="006601BC" w:rsidRDefault="007D7104" w:rsidP="00572B96">
      <w:pPr>
        <w:pStyle w:val="Text1"/>
        <w:pBdr>
          <w:top w:val="single" w:sz="4" w:space="1" w:color="auto"/>
          <w:left w:val="single" w:sz="4" w:space="1" w:color="auto"/>
          <w:bottom w:val="single" w:sz="4" w:space="1" w:color="auto"/>
          <w:right w:val="single" w:sz="4" w:space="1" w:color="auto"/>
        </w:pBdr>
        <w:rPr>
          <w:noProof/>
          <w:szCs w:val="24"/>
        </w:rPr>
      </w:pPr>
      <w:r w:rsidRPr="006601BC">
        <w:rPr>
          <w:i/>
          <w:iCs/>
          <w:noProof/>
        </w:rPr>
        <w:t>2. mutató:</w:t>
      </w:r>
      <w:r w:rsidRPr="006601BC">
        <w:rPr>
          <w:noProof/>
          <w:sz w:val="20"/>
          <w:szCs w:val="20"/>
        </w:rPr>
        <w:t xml:space="preserve"> </w:t>
      </w:r>
      <w:r w:rsidRPr="006601BC">
        <w:rPr>
          <w:noProof/>
        </w:rPr>
        <w:t>A kritikus egészségügyi ellenintézkedésekhez kapcsolódó eszközök fokozott gyártása/készletezése/fenntartása a hozzájuk való méltányos hozzáférés biztosítása érdekében.</w:t>
      </w:r>
    </w:p>
    <w:p w14:paraId="12B27E62" w14:textId="77777777" w:rsidR="007D7104" w:rsidRPr="006601BC" w:rsidRDefault="007D7104" w:rsidP="00572B96">
      <w:pPr>
        <w:pStyle w:val="Text1"/>
        <w:pBdr>
          <w:top w:val="single" w:sz="4" w:space="1" w:color="auto"/>
          <w:left w:val="single" w:sz="4" w:space="1" w:color="auto"/>
          <w:bottom w:val="single" w:sz="4" w:space="1" w:color="auto"/>
          <w:right w:val="single" w:sz="4" w:space="1" w:color="auto"/>
        </w:pBdr>
        <w:rPr>
          <w:noProof/>
          <w:szCs w:val="24"/>
        </w:rPr>
      </w:pPr>
      <w:r w:rsidRPr="006601BC">
        <w:rPr>
          <w:i/>
          <w:iCs/>
          <w:noProof/>
        </w:rPr>
        <w:t>3. mutató:</w:t>
      </w:r>
      <w:r w:rsidRPr="006601BC">
        <w:rPr>
          <w:noProof/>
          <w:sz w:val="20"/>
          <w:szCs w:val="20"/>
        </w:rPr>
        <w:t xml:space="preserve"> </w:t>
      </w:r>
      <w:r w:rsidRPr="006601BC">
        <w:rPr>
          <w:noProof/>
        </w:rPr>
        <w:t>A határokon át terjedő súlyos egészségügyi veszélyekre való felkészültség és reagálás jobb tervezése az egészségügyi ellenintézkedések területén, nemzeti és uniós szinten egyaránt.</w:t>
      </w:r>
    </w:p>
    <w:p w14:paraId="64A73A89" w14:textId="33F8AE69" w:rsidR="007D7104" w:rsidRPr="006601BC" w:rsidRDefault="00BB68C4" w:rsidP="00BB68C4">
      <w:pPr>
        <w:pStyle w:val="ManualHeading2"/>
        <w:rPr>
          <w:bCs/>
          <w:noProof/>
          <w:szCs w:val="24"/>
        </w:rPr>
      </w:pPr>
      <w:bookmarkStart w:id="37" w:name="_Toc86321157"/>
      <w:r w:rsidRPr="00BB68C4">
        <w:t>1.5.</w:t>
      </w:r>
      <w:r w:rsidRPr="00BB68C4">
        <w:tab/>
      </w:r>
      <w:r w:rsidR="007D7104" w:rsidRPr="006601BC">
        <w:rPr>
          <w:noProof/>
        </w:rPr>
        <w:t>A javaslat/kezdeményezés indoklása</w:t>
      </w:r>
      <w:bookmarkEnd w:id="36"/>
      <w:bookmarkEnd w:id="37"/>
      <w:r w:rsidR="007D7104" w:rsidRPr="006601BC">
        <w:rPr>
          <w:noProof/>
        </w:rPr>
        <w:t xml:space="preserve"> </w:t>
      </w:r>
    </w:p>
    <w:p w14:paraId="7E7D77CD" w14:textId="668C6B2E" w:rsidR="007D7104" w:rsidRPr="006601BC" w:rsidRDefault="00BB68C4" w:rsidP="00BB68C4">
      <w:pPr>
        <w:pStyle w:val="ManualHeading3"/>
        <w:rPr>
          <w:noProof/>
        </w:rPr>
      </w:pPr>
      <w:bookmarkStart w:id="38" w:name="_Toc514938026"/>
      <w:bookmarkStart w:id="39" w:name="_Toc86321158"/>
      <w:r w:rsidRPr="00BB68C4">
        <w:t>1.5.1.</w:t>
      </w:r>
      <w:r w:rsidRPr="00BB68C4">
        <w:tab/>
      </w:r>
      <w:r w:rsidR="007D7104" w:rsidRPr="006601BC">
        <w:rPr>
          <w:noProof/>
        </w:rPr>
        <w:t>Rövid vagy hosszú távon kielégítendő szükséglet(ek) a kezdeményezés végrehajtásának részletes ütemtervével</w:t>
      </w:r>
      <w:bookmarkEnd w:id="38"/>
      <w:bookmarkEnd w:id="39"/>
    </w:p>
    <w:p w14:paraId="2E69F21A"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rFonts w:eastAsia="Calibri"/>
          <w:noProof/>
          <w:color w:val="000000" w:themeColor="text1"/>
          <w:szCs w:val="24"/>
        </w:rPr>
      </w:pPr>
      <w:bookmarkStart w:id="40" w:name="_Toc514938029"/>
      <w:r w:rsidRPr="006601BC">
        <w:rPr>
          <w:noProof/>
          <w:color w:val="000000" w:themeColor="text1"/>
          <w:szCs w:val="24"/>
        </w:rPr>
        <w:t>A jelenlegi Covid19-válság megmutatta, hogy a szükséghelyzetekre való felkészültségnek és reagálásnak nagyobb prioritást kell élveznie. Rámutatott arra, hogy az egészségügyi szükséghelyzetek kezeléséhez összehangolt uniós szintű fellépésre van szükség. Az új helyzet rávilágított egyes hiányosságokra, például a kereslet és a kínálat egyensúlya, valamint a felkészültség és a reagálási képesség terén. Az Egészségügyi Szükséghelyzet-felkészültségi és -reagálási Hatóság (HERA) központi eleme az európai egészségügyi unió megerősítésének, javítva a határokon át terjedő súlyos egészségügyi veszélyekre való uniós felkészültséget és reagálást azáltal, hogy lehetővé teszi a szükséges ellenintézkedések gyors rendelkezésre állását, hozzáférhetőségét és terjesztését.</w:t>
      </w:r>
    </w:p>
    <w:p w14:paraId="3179A863" w14:textId="34BD8B0E" w:rsidR="007D7104" w:rsidRPr="006601BC" w:rsidRDefault="00BB68C4" w:rsidP="00BB68C4">
      <w:pPr>
        <w:pStyle w:val="ManualHeading3"/>
        <w:rPr>
          <w:bCs/>
          <w:noProof/>
          <w:szCs w:val="24"/>
        </w:rPr>
      </w:pPr>
      <w:bookmarkStart w:id="41" w:name="_Toc86321159"/>
      <w:r w:rsidRPr="00BB68C4">
        <w:t>1.5.2.</w:t>
      </w:r>
      <w:r w:rsidRPr="00BB68C4">
        <w:tab/>
      </w:r>
      <w:r w:rsidR="007D7104" w:rsidRPr="006601BC">
        <w:rPr>
          <w:noProof/>
        </w:rPr>
        <w:t>Az uniós részvételből származó hozzáadott érték (ez különböző tényezőkből származhat, például a koordináció jelentette előnyökből, a jogbiztonságból, a fokozott hatékonyságból vagy a kiegészítő jellegből). E pontban „az Unió részvételéből származó hozzáadott érték” azt az uniós részvételből adódó értéket jelenti, amely többletként jelentkezik ahhoz az értékhez képest, amely a tagállamok egyedüli fellépése esetén jött volna létre.</w:t>
      </w:r>
      <w:bookmarkEnd w:id="40"/>
      <w:bookmarkEnd w:id="41"/>
    </w:p>
    <w:p w14:paraId="233DA8BF"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bookmarkStart w:id="42" w:name="_Toc514938030"/>
      <w:r w:rsidRPr="006601BC">
        <w:rPr>
          <w:noProof/>
        </w:rPr>
        <w:t xml:space="preserve">Az európai szintű fellépés indokai (előzetes): </w:t>
      </w:r>
    </w:p>
    <w:p w14:paraId="0F7F6581"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 xml:space="preserve">A jelenlegi Covid-világjárvány rávilágított, hogy a határokon átnyúló részvételt szükségessé tevő egészségügyi vészhelyzetekre való gyors reagáláshoz mennyire fontos a tagállamok felkészültsége és reagálási képessége. </w:t>
      </w:r>
    </w:p>
    <w:p w14:paraId="2565CF98"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A várható uniós többletérték (utólagos):</w:t>
      </w:r>
    </w:p>
    <w:p w14:paraId="4DD9C9DE"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 xml:space="preserve">Erős, jogilag szilárd és pénzügyi eszközökkel jól ellátott keret az egészségügyi válságokra való uniós felkészültséghez és reagáláshoz, amely képes megbirkózni a határokon át terjedő egészségügyi veszélyekkel, beleértve az EU-n kívülről érkezőket is; ezen a téren az uniós beavatkozás kézzelfogható hozzáadott értéket teremthet. Az EU-ban mindenkor biztosítani kell a társadalmi és gazdasági tevékenységet. A válság utáni helyreállítást tekintve a HERA jelentősen hozzá fog járulni annak biztosításához, hogy az EU felkészültebb legyen a területének egészét vagy nagy részét érintő jövőbeli egészségügyi veszélyekkel való szembenézésre. </w:t>
      </w:r>
    </w:p>
    <w:p w14:paraId="372226B6" w14:textId="5189F65F" w:rsidR="007D7104" w:rsidRPr="006601BC" w:rsidRDefault="00BB68C4" w:rsidP="00BB68C4">
      <w:pPr>
        <w:pStyle w:val="ManualHeading3"/>
        <w:rPr>
          <w:noProof/>
        </w:rPr>
      </w:pPr>
      <w:bookmarkStart w:id="43" w:name="_Toc86321160"/>
      <w:r w:rsidRPr="00BB68C4">
        <w:t>1.5.3.</w:t>
      </w:r>
      <w:r w:rsidRPr="00BB68C4">
        <w:tab/>
      </w:r>
      <w:r w:rsidR="007D7104" w:rsidRPr="006601BC">
        <w:rPr>
          <w:noProof/>
        </w:rPr>
        <w:t>Hasonló korábbi tapasztalatok tanulsága</w:t>
      </w:r>
      <w:bookmarkEnd w:id="42"/>
      <w:bookmarkEnd w:id="43"/>
    </w:p>
    <w:p w14:paraId="3433DE86"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bookmarkStart w:id="44" w:name="_Toc514938033"/>
      <w:r w:rsidRPr="006601BC">
        <w:rPr>
          <w:noProof/>
        </w:rPr>
        <w:t>A múltban nem volt hasonló tapasztalat.</w:t>
      </w:r>
    </w:p>
    <w:p w14:paraId="44EC7C51"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p>
    <w:p w14:paraId="3F6A0DC3" w14:textId="6A6576C3" w:rsidR="007D7104" w:rsidRPr="006601BC" w:rsidRDefault="00BB68C4" w:rsidP="00BB68C4">
      <w:pPr>
        <w:pStyle w:val="ManualHeading3"/>
        <w:rPr>
          <w:noProof/>
        </w:rPr>
      </w:pPr>
      <w:bookmarkStart w:id="45" w:name="_Toc86321161"/>
      <w:r w:rsidRPr="00BB68C4">
        <w:t>1.5.4.</w:t>
      </w:r>
      <w:r w:rsidRPr="00BB68C4">
        <w:tab/>
      </w:r>
      <w:r w:rsidR="007D7104" w:rsidRPr="006601BC">
        <w:rPr>
          <w:noProof/>
        </w:rPr>
        <w:t>A többéves pénzügyi kerettel való összeegyeztethetőség és egyéb megfelelő eszközökkel való lehetséges szinergiák</w:t>
      </w:r>
      <w:bookmarkEnd w:id="44"/>
      <w:bookmarkEnd w:id="45"/>
    </w:p>
    <w:p w14:paraId="629EBF9D"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bookmarkStart w:id="46" w:name="_Toc514938036"/>
      <w:r w:rsidRPr="006601BC">
        <w:rPr>
          <w:noProof/>
        </w:rPr>
        <w:t>A HERA a 2021–2027-es időszakra vonatkozó többéves pénzügyi keret meglévő programjai – például „az EU az egészségügyért” programnak, a Horizont Európa egészségügyi klaszternek, az UCPM/RescEU-nak – keretében rendelkezésre álló forrásokat fogja használni. Szinergiában és kiegészítő jelleggel fog működni a meglévő uniós szakpolitikákkal és alapokkal, például a Digitális Európa program, az InvestEU Alap, az Egységes piac program, az Európai Regionális Fejlesztési Alap vagy a Helyreállítási és Rezilienciaépítési Eszköz keretében végrehajtott intézkedésekkel.</w:t>
      </w:r>
    </w:p>
    <w:p w14:paraId="7F29D8B3" w14:textId="4801068F" w:rsidR="007D7104" w:rsidRPr="006601BC" w:rsidRDefault="00BB68C4" w:rsidP="00BB68C4">
      <w:pPr>
        <w:pStyle w:val="ManualHeading3"/>
        <w:rPr>
          <w:noProof/>
        </w:rPr>
      </w:pPr>
      <w:bookmarkStart w:id="47" w:name="_Toc86321162"/>
      <w:r w:rsidRPr="00BB68C4">
        <w:t>1.5.5.</w:t>
      </w:r>
      <w:r w:rsidRPr="00BB68C4">
        <w:tab/>
      </w:r>
      <w:r w:rsidR="007D7104" w:rsidRPr="006601BC">
        <w:rPr>
          <w:noProof/>
        </w:rPr>
        <w:t>A rendelkezésre álló különböző finanszírozási lehetőségek értékelése, ideértve az átcsoportosítási lehetőségeket is</w:t>
      </w:r>
      <w:bookmarkEnd w:id="46"/>
      <w:bookmarkEnd w:id="47"/>
    </w:p>
    <w:p w14:paraId="036B5619"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w:t>
      </w:r>
    </w:p>
    <w:p w14:paraId="47D2B55A"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w:t>
      </w:r>
    </w:p>
    <w:p w14:paraId="79842757" w14:textId="77777777" w:rsidR="007D7104" w:rsidRPr="006601BC" w:rsidRDefault="007D7104" w:rsidP="007D7104">
      <w:pPr>
        <w:pStyle w:val="Text1"/>
        <w:rPr>
          <w:noProof/>
        </w:rPr>
      </w:pPr>
    </w:p>
    <w:p w14:paraId="5DE63927" w14:textId="07FE75FC" w:rsidR="007D7104" w:rsidRPr="006601BC" w:rsidRDefault="007D7104" w:rsidP="00BB68C4">
      <w:pPr>
        <w:pStyle w:val="ManualHeading2"/>
        <w:rPr>
          <w:bCs/>
          <w:noProof/>
          <w:szCs w:val="24"/>
        </w:rPr>
      </w:pPr>
      <w:r w:rsidRPr="006601BC">
        <w:rPr>
          <w:noProof/>
        </w:rPr>
        <w:br w:type="page"/>
      </w:r>
      <w:bookmarkStart w:id="48" w:name="_Toc514938039"/>
      <w:bookmarkStart w:id="49" w:name="_Toc86321163"/>
      <w:r w:rsidR="00BB68C4" w:rsidRPr="00BB68C4">
        <w:t>1.6.</w:t>
      </w:r>
      <w:r w:rsidR="00BB68C4" w:rsidRPr="00BB68C4">
        <w:tab/>
      </w:r>
      <w:r w:rsidRPr="006601BC">
        <w:rPr>
          <w:noProof/>
        </w:rPr>
        <w:t>A javaslat/kezdeményezés időtartama és pénzügyi hatása</w:t>
      </w:r>
      <w:bookmarkEnd w:id="48"/>
      <w:bookmarkEnd w:id="49"/>
    </w:p>
    <w:p w14:paraId="642B7371" w14:textId="77777777" w:rsidR="007D7104" w:rsidRPr="006601BC" w:rsidRDefault="007D7104" w:rsidP="007D7104">
      <w:pPr>
        <w:pStyle w:val="Text1"/>
        <w:rPr>
          <w:noProof/>
        </w:rPr>
      </w:pPr>
      <w:r w:rsidRPr="006601BC">
        <w:rPr>
          <w:noProof/>
        </w:rPr>
        <w:sym w:font="Wingdings" w:char="F0A8"/>
      </w:r>
      <w:r w:rsidRPr="006601BC">
        <w:rPr>
          <w:b/>
          <w:i/>
          <w:noProof/>
        </w:rPr>
        <w:t xml:space="preserve"> </w:t>
      </w:r>
      <w:r w:rsidRPr="006601BC">
        <w:rPr>
          <w:noProof/>
        </w:rPr>
        <w:t xml:space="preserve">A javaslat/kezdeményezés </w:t>
      </w:r>
      <w:r w:rsidRPr="006601BC">
        <w:rPr>
          <w:b/>
          <w:noProof/>
        </w:rPr>
        <w:t>határozott időtartamra</w:t>
      </w:r>
      <w:r w:rsidRPr="006601BC">
        <w:rPr>
          <w:noProof/>
        </w:rPr>
        <w:t xml:space="preserve"> vonatkozik</w:t>
      </w:r>
      <w:r w:rsidRPr="006601BC">
        <w:rPr>
          <w:b/>
          <w:noProof/>
        </w:rPr>
        <w:t xml:space="preserve"> </w:t>
      </w:r>
    </w:p>
    <w:p w14:paraId="71F8B3ED" w14:textId="77777777" w:rsidR="007D7104" w:rsidRPr="006601BC" w:rsidRDefault="007D7104" w:rsidP="007D7104">
      <w:pPr>
        <w:pStyle w:val="Text1"/>
        <w:rPr>
          <w:noProof/>
        </w:rPr>
      </w:pPr>
      <w:r w:rsidRPr="006601BC">
        <w:rPr>
          <w:noProof/>
        </w:rPr>
        <w:sym w:font="Wingdings" w:char="F0FE"/>
      </w:r>
      <w:r w:rsidRPr="006601BC">
        <w:rPr>
          <w:b/>
          <w:i/>
          <w:noProof/>
        </w:rPr>
        <w:t xml:space="preserve"> </w:t>
      </w:r>
      <w:r w:rsidRPr="006601BC">
        <w:rPr>
          <w:b/>
          <w:noProof/>
        </w:rPr>
        <w:t>határozatlan időtartam</w:t>
      </w:r>
    </w:p>
    <w:p w14:paraId="6D1B914B" w14:textId="77777777" w:rsidR="007D7104" w:rsidRPr="006601BC" w:rsidRDefault="007D7104" w:rsidP="0073554F">
      <w:pPr>
        <w:pStyle w:val="ListDash1"/>
        <w:numPr>
          <w:ilvl w:val="0"/>
          <w:numId w:val="18"/>
        </w:numPr>
        <w:spacing w:before="120" w:after="120"/>
        <w:rPr>
          <w:noProof/>
        </w:rPr>
      </w:pPr>
      <w:r w:rsidRPr="006601BC">
        <w:rPr>
          <w:noProof/>
        </w:rPr>
        <w:t>Végrehajtás, várható beindítási időszakkal: 2021 szeptemberétől 2023 közepéig,</w:t>
      </w:r>
    </w:p>
    <w:p w14:paraId="55A1D05F" w14:textId="77777777" w:rsidR="007D7104" w:rsidRPr="006601BC" w:rsidRDefault="007D7104" w:rsidP="0073554F">
      <w:pPr>
        <w:pStyle w:val="ListDash1"/>
        <w:numPr>
          <w:ilvl w:val="0"/>
          <w:numId w:val="18"/>
        </w:numPr>
        <w:spacing w:before="120" w:after="120"/>
        <w:rPr>
          <w:noProof/>
        </w:rPr>
      </w:pPr>
      <w:r w:rsidRPr="006601BC">
        <w:rPr>
          <w:noProof/>
        </w:rPr>
        <w:t>azt követően: rendes ütem</w:t>
      </w:r>
    </w:p>
    <w:p w14:paraId="3BC3BC88" w14:textId="5D4DAD4E" w:rsidR="007D7104" w:rsidRPr="006601BC" w:rsidRDefault="00BB68C4" w:rsidP="00BB68C4">
      <w:pPr>
        <w:pStyle w:val="ManualHeading2"/>
        <w:rPr>
          <w:bCs/>
          <w:noProof/>
          <w:szCs w:val="24"/>
        </w:rPr>
      </w:pPr>
      <w:bookmarkStart w:id="50" w:name="_Toc86321164"/>
      <w:bookmarkStart w:id="51" w:name="_Toc514938040"/>
      <w:r w:rsidRPr="00BB68C4">
        <w:t>1.7.</w:t>
      </w:r>
      <w:r w:rsidRPr="00BB68C4">
        <w:tab/>
      </w:r>
      <w:r w:rsidR="007D7104" w:rsidRPr="006601BC">
        <w:rPr>
          <w:noProof/>
        </w:rPr>
        <w:t>Tervezett irányítási módszer(ek)</w:t>
      </w:r>
      <w:r w:rsidR="007D7104" w:rsidRPr="006601BC">
        <w:rPr>
          <w:rStyle w:val="FootnoteReference"/>
          <w:noProof/>
        </w:rPr>
        <w:footnoteReference w:id="35"/>
      </w:r>
      <w:bookmarkEnd w:id="50"/>
      <w:r w:rsidR="007D7104" w:rsidRPr="006601BC">
        <w:rPr>
          <w:rStyle w:val="FootnoteReference"/>
          <w:noProof/>
        </w:rPr>
        <w:t xml:space="preserve"> </w:t>
      </w:r>
      <w:bookmarkEnd w:id="51"/>
      <w:r w:rsidR="007D7104" w:rsidRPr="006601BC">
        <w:rPr>
          <w:rStyle w:val="FootnoteReference"/>
          <w:noProof/>
        </w:rPr>
        <w:t xml:space="preserve"> </w:t>
      </w:r>
    </w:p>
    <w:p w14:paraId="5F247616" w14:textId="77777777" w:rsidR="007D7104" w:rsidRPr="006601BC" w:rsidRDefault="007D7104" w:rsidP="007D7104">
      <w:pPr>
        <w:pStyle w:val="Text1"/>
        <w:rPr>
          <w:noProof/>
        </w:rPr>
      </w:pPr>
      <w:r w:rsidRPr="006601BC">
        <w:rPr>
          <w:noProof/>
        </w:rPr>
        <w:sym w:font="Wingdings" w:char="F0FE"/>
      </w:r>
      <w:r w:rsidRPr="006601BC">
        <w:rPr>
          <w:i/>
          <w:noProof/>
        </w:rPr>
        <w:t xml:space="preserve"> </w:t>
      </w:r>
      <w:r w:rsidRPr="006601BC">
        <w:rPr>
          <w:noProof/>
        </w:rPr>
        <w:t xml:space="preserve">Bizottság általi </w:t>
      </w:r>
      <w:r w:rsidRPr="006601BC">
        <w:rPr>
          <w:b/>
          <w:noProof/>
        </w:rPr>
        <w:t>közvetlen irányítás</w:t>
      </w:r>
    </w:p>
    <w:p w14:paraId="14D30B2D" w14:textId="77777777" w:rsidR="007D7104" w:rsidRPr="006601BC" w:rsidRDefault="007D7104" w:rsidP="007D7104">
      <w:pPr>
        <w:pStyle w:val="ListDash2"/>
        <w:rPr>
          <w:rFonts w:cs="EUAlbertina"/>
          <w:noProof/>
        </w:rPr>
      </w:pPr>
      <w:r w:rsidRPr="006601BC">
        <w:rPr>
          <w:noProof/>
        </w:rPr>
        <w:sym w:font="Wingdings" w:char="F0FE"/>
      </w:r>
      <w:r w:rsidRPr="006601BC">
        <w:rPr>
          <w:noProof/>
        </w:rPr>
        <w:t xml:space="preserve"> a Bizottság szervezeti egységein keresztül, ideértve az uniós küldöttségek személyzetét </w:t>
      </w:r>
    </w:p>
    <w:p w14:paraId="7F608760" w14:textId="77777777" w:rsidR="007D7104" w:rsidRPr="006601BC" w:rsidRDefault="007D7104" w:rsidP="007D7104">
      <w:pPr>
        <w:pStyle w:val="ListDash2"/>
        <w:rPr>
          <w:noProof/>
        </w:rPr>
      </w:pPr>
      <w:r w:rsidRPr="006601BC">
        <w:rPr>
          <w:noProof/>
        </w:rPr>
        <w:sym w:font="Wingdings" w:char="F0FE"/>
      </w:r>
      <w:r w:rsidRPr="006601BC">
        <w:rPr>
          <w:noProof/>
        </w:rPr>
        <w:tab/>
        <w:t xml:space="preserve">végrehajtó ügynökségen keresztül </w:t>
      </w:r>
    </w:p>
    <w:p w14:paraId="35365966" w14:textId="77777777" w:rsidR="007D7104" w:rsidRPr="006601BC" w:rsidRDefault="007D7104" w:rsidP="007D7104">
      <w:pPr>
        <w:pStyle w:val="Text1"/>
        <w:rPr>
          <w:noProof/>
        </w:rPr>
      </w:pPr>
      <w:r w:rsidRPr="006601BC">
        <w:rPr>
          <w:noProof/>
        </w:rPr>
        <w:sym w:font="Wingdings" w:char="F0A8"/>
      </w:r>
      <w:r w:rsidRPr="006601BC">
        <w:rPr>
          <w:b/>
          <w:i/>
          <w:noProof/>
        </w:rPr>
        <w:t xml:space="preserve"> </w:t>
      </w:r>
      <w:r w:rsidRPr="006601BC">
        <w:rPr>
          <w:b/>
          <w:noProof/>
        </w:rPr>
        <w:t>Megosztott irányítás</w:t>
      </w:r>
      <w:r w:rsidRPr="006601BC">
        <w:rPr>
          <w:noProof/>
        </w:rPr>
        <w:t xml:space="preserve"> a tagállamokkal </w:t>
      </w:r>
    </w:p>
    <w:p w14:paraId="01106AB6" w14:textId="77777777" w:rsidR="007D7104" w:rsidRPr="006601BC" w:rsidRDefault="007D7104" w:rsidP="007D7104">
      <w:pPr>
        <w:pStyle w:val="Text1"/>
        <w:rPr>
          <w:noProof/>
        </w:rPr>
      </w:pPr>
      <w:r w:rsidRPr="006601BC">
        <w:rPr>
          <w:noProof/>
        </w:rPr>
        <w:sym w:font="Wingdings" w:char="F0FE"/>
      </w:r>
      <w:r w:rsidRPr="006601BC">
        <w:rPr>
          <w:i/>
          <w:noProof/>
        </w:rPr>
        <w:t xml:space="preserve"> </w:t>
      </w:r>
      <w:r w:rsidRPr="006601BC">
        <w:rPr>
          <w:b/>
          <w:noProof/>
        </w:rPr>
        <w:t>Közvetett irányítás</w:t>
      </w:r>
      <w:r w:rsidRPr="006601BC">
        <w:rPr>
          <w:noProof/>
        </w:rPr>
        <w:t xml:space="preserve"> a költségvetés-végrehajtási feladatoknak a következőkre történő átruházásával:</w:t>
      </w:r>
    </w:p>
    <w:p w14:paraId="6DDA749F" w14:textId="77777777" w:rsidR="007D7104" w:rsidRPr="006601BC" w:rsidRDefault="007D7104" w:rsidP="007D7104">
      <w:pPr>
        <w:pStyle w:val="ListDash2"/>
        <w:rPr>
          <w:noProof/>
        </w:rPr>
      </w:pPr>
      <w:r w:rsidRPr="006601BC">
        <w:rPr>
          <w:noProof/>
        </w:rPr>
        <w:sym w:font="Wingdings" w:char="F0A8"/>
      </w:r>
      <w:r w:rsidRPr="006601BC">
        <w:rPr>
          <w:noProof/>
        </w:rPr>
        <w:t xml:space="preserve"> harmadik országok vagy az általuk kijelölt szervek</w:t>
      </w:r>
    </w:p>
    <w:p w14:paraId="70B8F3EB" w14:textId="77777777" w:rsidR="007D7104" w:rsidRPr="006601BC" w:rsidRDefault="007D7104" w:rsidP="007D7104">
      <w:pPr>
        <w:pStyle w:val="ListDash2"/>
        <w:rPr>
          <w:noProof/>
        </w:rPr>
      </w:pPr>
      <w:r w:rsidRPr="006601BC">
        <w:rPr>
          <w:noProof/>
        </w:rPr>
        <w:sym w:font="Wingdings" w:char="F0A8"/>
      </w:r>
      <w:r w:rsidRPr="006601BC">
        <w:rPr>
          <w:noProof/>
        </w:rPr>
        <w:t xml:space="preserve"> nemzetközi szervezetek és ügynökségeik (nevezze meg)</w:t>
      </w:r>
    </w:p>
    <w:p w14:paraId="02726301" w14:textId="77777777" w:rsidR="007D7104" w:rsidRPr="006601BC" w:rsidRDefault="007D7104" w:rsidP="007D7104">
      <w:pPr>
        <w:pStyle w:val="ListDash2"/>
        <w:rPr>
          <w:noProof/>
        </w:rPr>
      </w:pPr>
      <w:r w:rsidRPr="006601BC">
        <w:rPr>
          <w:noProof/>
        </w:rPr>
        <w:sym w:font="Wingdings" w:char="F0A8"/>
      </w:r>
      <w:r w:rsidRPr="006601BC">
        <w:rPr>
          <w:noProof/>
        </w:rPr>
        <w:t xml:space="preserve"> az EBB és az Európai Beruházási Alap</w:t>
      </w:r>
    </w:p>
    <w:p w14:paraId="794CCEBD" w14:textId="77777777" w:rsidR="007D7104" w:rsidRPr="006601BC" w:rsidRDefault="007D7104" w:rsidP="007D7104">
      <w:pPr>
        <w:pStyle w:val="ListDash2"/>
        <w:rPr>
          <w:noProof/>
        </w:rPr>
      </w:pPr>
      <w:r w:rsidRPr="006601BC">
        <w:rPr>
          <w:noProof/>
        </w:rPr>
        <w:sym w:font="Wingdings" w:char="F0FE"/>
      </w:r>
      <w:r w:rsidRPr="006601BC">
        <w:rPr>
          <w:noProof/>
        </w:rPr>
        <w:t xml:space="preserve"> a költségvetési rendelet 70. és 71. cikkében említett szervek</w:t>
      </w:r>
    </w:p>
    <w:p w14:paraId="12A41D67" w14:textId="77777777" w:rsidR="007D7104" w:rsidRPr="006601BC" w:rsidRDefault="007D7104" w:rsidP="007D7104">
      <w:pPr>
        <w:pStyle w:val="ListDash2"/>
        <w:rPr>
          <w:noProof/>
        </w:rPr>
      </w:pPr>
      <w:r w:rsidRPr="006601BC">
        <w:rPr>
          <w:noProof/>
        </w:rPr>
        <w:sym w:font="Wingdings" w:char="F0A8"/>
      </w:r>
      <w:r w:rsidRPr="006601BC">
        <w:rPr>
          <w:noProof/>
        </w:rPr>
        <w:t xml:space="preserve"> közjogi szervek</w:t>
      </w:r>
    </w:p>
    <w:p w14:paraId="3D08C2D3" w14:textId="77777777" w:rsidR="007D7104" w:rsidRPr="006601BC" w:rsidRDefault="007D7104" w:rsidP="007D7104">
      <w:pPr>
        <w:pStyle w:val="ListDash2"/>
        <w:rPr>
          <w:noProof/>
        </w:rPr>
      </w:pPr>
      <w:r w:rsidRPr="006601BC">
        <w:rPr>
          <w:noProof/>
        </w:rPr>
        <w:sym w:font="Wingdings" w:char="F0A8"/>
      </w:r>
      <w:r w:rsidRPr="006601BC">
        <w:rPr>
          <w:noProof/>
        </w:rPr>
        <w:t xml:space="preserve"> magánjog alapján működő, közfeladatot ellátó szervek, amennyiben megfelelő pénzügyi garanciákat nyújtanak</w:t>
      </w:r>
    </w:p>
    <w:p w14:paraId="1426DA4B" w14:textId="77777777" w:rsidR="007D7104" w:rsidRPr="006601BC" w:rsidRDefault="007D7104" w:rsidP="007D7104">
      <w:pPr>
        <w:pStyle w:val="ListDash2"/>
        <w:rPr>
          <w:noProof/>
        </w:rPr>
      </w:pPr>
      <w:r w:rsidRPr="006601BC">
        <w:rPr>
          <w:noProof/>
        </w:rPr>
        <w:sym w:font="Wingdings" w:char="F0A8"/>
      </w:r>
      <w:r w:rsidRPr="006601BC">
        <w:rPr>
          <w:noProof/>
        </w:rPr>
        <w:t xml:space="preserve"> valamely tagállam magánjoga alapján működő, köz- és magánszféra közötti partnerség végrehajtásával megbízott és megfelelő pénzügyi garanciákat nyújtó szervek</w:t>
      </w:r>
    </w:p>
    <w:p w14:paraId="31912738" w14:textId="77777777" w:rsidR="007D7104" w:rsidRPr="006601BC" w:rsidRDefault="007D7104" w:rsidP="007D7104">
      <w:pPr>
        <w:pStyle w:val="ListDash2"/>
        <w:rPr>
          <w:noProof/>
        </w:rPr>
      </w:pPr>
      <w:r w:rsidRPr="006601BC">
        <w:rPr>
          <w:noProof/>
        </w:rPr>
        <w:sym w:font="Wingdings" w:char="F0A8"/>
      </w:r>
      <w:r w:rsidRPr="006601BC">
        <w:rPr>
          <w:noProof/>
        </w:rPr>
        <w:t xml:space="preserve"> az EUSZ V. címének értelmében a KKBP terén konkrét fellépések végrehajtásával megbízott, és a vonatkozó alap-jogiaktusban meghatározott személyek.</w:t>
      </w:r>
    </w:p>
    <w:p w14:paraId="289A5D1F" w14:textId="77777777" w:rsidR="007D7104" w:rsidRPr="006601BC" w:rsidRDefault="007D7104" w:rsidP="007D7104">
      <w:pPr>
        <w:pStyle w:val="ListDash2"/>
        <w:rPr>
          <w:i/>
          <w:noProof/>
          <w:sz w:val="18"/>
          <w:u w:val="single"/>
        </w:rPr>
      </w:pPr>
      <w:r w:rsidRPr="006601BC">
        <w:rPr>
          <w:i/>
          <w:noProof/>
          <w:sz w:val="18"/>
        </w:rPr>
        <w:t>Egynél több irányítási módszer feltüntetése esetén kérjük, adjon részletes felvilágosítást a „Megjegyzések” rovatban.</w:t>
      </w:r>
    </w:p>
    <w:p w14:paraId="44F33691" w14:textId="77777777" w:rsidR="007D7104" w:rsidRPr="006601BC" w:rsidRDefault="007D7104" w:rsidP="007D7104">
      <w:pPr>
        <w:rPr>
          <w:noProof/>
        </w:rPr>
      </w:pPr>
      <w:r w:rsidRPr="006601BC">
        <w:rPr>
          <w:noProof/>
        </w:rPr>
        <w:t xml:space="preserve">Megjegyzések </w:t>
      </w:r>
    </w:p>
    <w:p w14:paraId="41813D61" w14:textId="77777777" w:rsidR="007D7104" w:rsidRPr="006601BC" w:rsidRDefault="007D7104" w:rsidP="007D7104">
      <w:pPr>
        <w:pBdr>
          <w:top w:val="single" w:sz="4" w:space="1" w:color="auto"/>
          <w:left w:val="single" w:sz="4" w:space="4" w:color="auto"/>
          <w:bottom w:val="single" w:sz="4" w:space="1" w:color="auto"/>
          <w:right w:val="single" w:sz="4" w:space="4" w:color="auto"/>
        </w:pBdr>
        <w:rPr>
          <w:noProof/>
        </w:rPr>
      </w:pPr>
      <w:r w:rsidRPr="006601BC">
        <w:rPr>
          <w:noProof/>
        </w:rPr>
        <w:t>A HERA által irányítandó és jelenleg egyedi programok (az EU az egészségügyért program/Horizont Európa) keretében tervezett tevékenységek egy részét végrehajtó ügynökségekre ruházták át. A HERA dönthet úgy, hogy programjai végrehajtásának egy további részét is végrehajtó ügynökségre ruházza át.</w:t>
      </w:r>
    </w:p>
    <w:p w14:paraId="161C90E0" w14:textId="77777777" w:rsidR="007D7104" w:rsidRPr="006601BC" w:rsidRDefault="007D7104" w:rsidP="007D7104">
      <w:pPr>
        <w:pBdr>
          <w:top w:val="single" w:sz="4" w:space="1" w:color="auto"/>
          <w:left w:val="single" w:sz="4" w:space="4" w:color="auto"/>
          <w:bottom w:val="single" w:sz="4" w:space="1" w:color="auto"/>
          <w:right w:val="single" w:sz="4" w:space="4" w:color="auto"/>
        </w:pBdr>
        <w:rPr>
          <w:noProof/>
        </w:rPr>
      </w:pPr>
      <w:r w:rsidRPr="006601BC">
        <w:rPr>
          <w:noProof/>
        </w:rPr>
        <w:t>Emellett decentralizált ügynökségeket (ECDC, EMA, EFSA, ECHA, Europol, EMCDDA, Európai Éghajlat- és Egészségvédelmi Megfigyelőközpont) bízhat meg a HERA célkitűzéseinek elérésére irányuló feladatokkal.</w:t>
      </w:r>
    </w:p>
    <w:p w14:paraId="60EEA4A9" w14:textId="77777777" w:rsidR="007D7104" w:rsidRPr="006601BC" w:rsidRDefault="007D7104" w:rsidP="007D7104">
      <w:pPr>
        <w:pBdr>
          <w:top w:val="single" w:sz="4" w:space="1" w:color="auto"/>
          <w:left w:val="single" w:sz="4" w:space="4" w:color="auto"/>
          <w:bottom w:val="single" w:sz="4" w:space="1" w:color="auto"/>
          <w:right w:val="single" w:sz="4" w:space="4" w:color="auto"/>
        </w:pBdr>
        <w:rPr>
          <w:noProof/>
        </w:rPr>
      </w:pPr>
      <w:r w:rsidRPr="006601BC">
        <w:rPr>
          <w:noProof/>
          <w:u w:val="single"/>
        </w:rPr>
        <w:t>Közvetett irányítás nemzetközi szervezetekkel</w:t>
      </w:r>
      <w:r w:rsidRPr="006601BC">
        <w:rPr>
          <w:noProof/>
        </w:rPr>
        <w:t>:</w:t>
      </w:r>
    </w:p>
    <w:p w14:paraId="3E2FC594" w14:textId="77777777" w:rsidR="007D7104" w:rsidRPr="006601BC" w:rsidRDefault="007D7104" w:rsidP="007D7104">
      <w:pPr>
        <w:pBdr>
          <w:top w:val="single" w:sz="4" w:space="1" w:color="auto"/>
          <w:left w:val="single" w:sz="4" w:space="4" w:color="auto"/>
          <w:bottom w:val="single" w:sz="4" w:space="1" w:color="auto"/>
          <w:right w:val="single" w:sz="4" w:space="4" w:color="auto"/>
        </w:pBdr>
        <w:rPr>
          <w:noProof/>
        </w:rPr>
      </w:pPr>
      <w:r w:rsidRPr="006601BC">
        <w:rPr>
          <w:noProof/>
        </w:rPr>
        <w:t>Megbízatásának végrehajtása érdekében biztosítani kell, ki kell terjeszteni vagy folytatni kell az együttműködést a nemzetközi szervezetekkel, például az ENSZ-ügynökségekkel, nevezetesen a WHO-val, az Európa Tanáccsal, az OECD-vel vagy bármely más érintett nemzetközi szervezettel.</w:t>
      </w:r>
    </w:p>
    <w:p w14:paraId="49BBA4F8" w14:textId="4229EBF3" w:rsidR="007D7104" w:rsidRPr="006601BC" w:rsidRDefault="00BB68C4" w:rsidP="00BB68C4">
      <w:pPr>
        <w:pStyle w:val="ManualHeading1"/>
        <w:rPr>
          <w:bCs/>
          <w:noProof/>
          <w:szCs w:val="24"/>
        </w:rPr>
      </w:pPr>
      <w:bookmarkStart w:id="52" w:name="_Toc514938041"/>
      <w:bookmarkStart w:id="53" w:name="_Toc86321165"/>
      <w:r w:rsidRPr="00BB68C4">
        <w:t>2.</w:t>
      </w:r>
      <w:r w:rsidRPr="00BB68C4">
        <w:tab/>
      </w:r>
      <w:r w:rsidR="007D7104" w:rsidRPr="006601BC">
        <w:rPr>
          <w:noProof/>
        </w:rPr>
        <w:t>IRÁNYÍTÁSI INTÉZKEDÉSEK</w:t>
      </w:r>
      <w:bookmarkEnd w:id="52"/>
      <w:bookmarkEnd w:id="53"/>
      <w:r w:rsidR="007D7104" w:rsidRPr="006601BC">
        <w:rPr>
          <w:noProof/>
        </w:rPr>
        <w:t xml:space="preserve"> </w:t>
      </w:r>
    </w:p>
    <w:p w14:paraId="3EB48EA4" w14:textId="2D341582" w:rsidR="007D7104" w:rsidRPr="006601BC" w:rsidRDefault="00BB68C4" w:rsidP="00BB68C4">
      <w:pPr>
        <w:pStyle w:val="ManualHeading2"/>
        <w:rPr>
          <w:noProof/>
        </w:rPr>
      </w:pPr>
      <w:bookmarkStart w:id="54" w:name="_Toc514938042"/>
      <w:bookmarkStart w:id="55" w:name="_Toc86321166"/>
      <w:r w:rsidRPr="00BB68C4">
        <w:t>2.1.</w:t>
      </w:r>
      <w:r w:rsidRPr="00BB68C4">
        <w:tab/>
      </w:r>
      <w:r w:rsidR="007D7104" w:rsidRPr="006601BC">
        <w:rPr>
          <w:noProof/>
        </w:rPr>
        <w:t>A nyomon követésre és a jelentéstételre vonatkozó rendelkezések</w:t>
      </w:r>
      <w:bookmarkEnd w:id="54"/>
      <w:bookmarkEnd w:id="55"/>
      <w:r w:rsidR="007D7104" w:rsidRPr="006601BC">
        <w:rPr>
          <w:noProof/>
        </w:rPr>
        <w:t xml:space="preserve"> </w:t>
      </w:r>
    </w:p>
    <w:p w14:paraId="2FD10D89" w14:textId="77777777" w:rsidR="007D7104" w:rsidRPr="006601BC" w:rsidRDefault="007D7104" w:rsidP="007D7104">
      <w:pPr>
        <w:pStyle w:val="Text1"/>
        <w:rPr>
          <w:i/>
          <w:noProof/>
          <w:sz w:val="20"/>
        </w:rPr>
      </w:pPr>
      <w:r w:rsidRPr="006601BC">
        <w:rPr>
          <w:i/>
          <w:noProof/>
          <w:sz w:val="20"/>
        </w:rPr>
        <w:t>Gyakoriság és feltételek</w:t>
      </w:r>
    </w:p>
    <w:p w14:paraId="02010017"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bookmarkStart w:id="56" w:name="_Toc514938045"/>
      <w:r w:rsidRPr="006601BC">
        <w:rPr>
          <w:noProof/>
        </w:rPr>
        <w:t>A HERA által végrehajtott programokon belül teljesítménykereteket dolgoznak ki a 2021–2027-es programok vonatkozó gyakorlataira építve annak biztosítása érdekében, hogy az adatokat hatékonyan, eredményesen és időben összegyűjtsék.</w:t>
      </w:r>
    </w:p>
    <w:p w14:paraId="7B6D121F" w14:textId="0E174162" w:rsidR="007D7104" w:rsidRPr="006601BC" w:rsidRDefault="00BB68C4" w:rsidP="00BB68C4">
      <w:pPr>
        <w:pStyle w:val="ManualHeading2"/>
        <w:rPr>
          <w:bCs/>
          <w:noProof/>
          <w:szCs w:val="24"/>
        </w:rPr>
      </w:pPr>
      <w:bookmarkStart w:id="57" w:name="_Toc86321167"/>
      <w:r w:rsidRPr="00BB68C4">
        <w:t>2.2.</w:t>
      </w:r>
      <w:r w:rsidRPr="00BB68C4">
        <w:tab/>
      </w:r>
      <w:r w:rsidR="007D7104" w:rsidRPr="006601BC">
        <w:rPr>
          <w:noProof/>
        </w:rPr>
        <w:t>Irányítási és kontrollrendszer(ek)</w:t>
      </w:r>
      <w:bookmarkEnd w:id="56"/>
      <w:bookmarkEnd w:id="57"/>
      <w:r w:rsidR="007D7104" w:rsidRPr="006601BC">
        <w:rPr>
          <w:noProof/>
        </w:rPr>
        <w:t xml:space="preserve"> </w:t>
      </w:r>
    </w:p>
    <w:p w14:paraId="225D3011" w14:textId="1457F9CF" w:rsidR="007D7104" w:rsidRPr="006601BC" w:rsidRDefault="00BB68C4" w:rsidP="00BB68C4">
      <w:pPr>
        <w:pStyle w:val="ManualHeading3"/>
        <w:rPr>
          <w:noProof/>
        </w:rPr>
      </w:pPr>
      <w:bookmarkStart w:id="58" w:name="_Toc514938046"/>
      <w:bookmarkStart w:id="59" w:name="_Toc86321168"/>
      <w:r w:rsidRPr="00BB68C4">
        <w:t>2.2.1.</w:t>
      </w:r>
      <w:r w:rsidRPr="00BB68C4">
        <w:tab/>
      </w:r>
      <w:r w:rsidR="007D7104" w:rsidRPr="006601BC">
        <w:rPr>
          <w:noProof/>
        </w:rPr>
        <w:t>Az irányítási módszer(ek), a finanszírozás végrehajtási mechanizmusai, a kifizetési módok és a javasolt kontrollstratégia indokolása</w:t>
      </w:r>
      <w:bookmarkEnd w:id="58"/>
      <w:bookmarkEnd w:id="59"/>
    </w:p>
    <w:p w14:paraId="6C09CFDE" w14:textId="77777777" w:rsidR="007D7104" w:rsidRPr="006601BC" w:rsidRDefault="007D7104" w:rsidP="005D0DF1">
      <w:pPr>
        <w:pStyle w:val="Text1"/>
        <w:pBdr>
          <w:top w:val="single" w:sz="4" w:space="1" w:color="auto"/>
          <w:left w:val="single" w:sz="4" w:space="1" w:color="auto"/>
          <w:bottom w:val="single" w:sz="4" w:space="1" w:color="auto"/>
          <w:right w:val="single" w:sz="4" w:space="1" w:color="auto"/>
        </w:pBdr>
        <w:rPr>
          <w:noProof/>
        </w:rPr>
      </w:pPr>
      <w:r w:rsidRPr="006601BC">
        <w:rPr>
          <w:noProof/>
        </w:rPr>
        <w:t xml:space="preserve">A HERA végrehajtására közvetlen és közvetett irányítás útján, a költségvetési rendelet által kínált végrehajtási módok – főleg vissza nem térítendő támogatások és közbeszerzés – felhasználásával kerül sor. A közvetlen irányítás lehetőséget biztosít támogatási megállapodások/szerződések megkötésére az uniós szakpolitikákat szolgáló tevékenységekben közvetlenül részt vevő kedvezményezettekkel/vállalkozókkal. A Bizottság közvetlen nyomon követést biztosít a finanszírozott intézkedések eredményeire vonatkozóan. A finanszírozott intézkedések kifizetési módjait a pénzügyi tranzakciókhoz kapcsolódó kockázatokhoz igazítják. </w:t>
      </w:r>
    </w:p>
    <w:p w14:paraId="4F7873BB" w14:textId="77777777" w:rsidR="007D7104" w:rsidRPr="006601BC" w:rsidRDefault="007D7104" w:rsidP="005D0DF1">
      <w:pPr>
        <w:pStyle w:val="Text1"/>
        <w:pBdr>
          <w:top w:val="single" w:sz="4" w:space="1" w:color="auto"/>
          <w:left w:val="single" w:sz="4" w:space="1" w:color="auto"/>
          <w:bottom w:val="single" w:sz="4" w:space="1" w:color="auto"/>
          <w:right w:val="single" w:sz="4" w:space="1" w:color="auto"/>
        </w:pBdr>
        <w:rPr>
          <w:noProof/>
        </w:rPr>
      </w:pPr>
      <w:r w:rsidRPr="006601BC">
        <w:rPr>
          <w:noProof/>
        </w:rPr>
        <w:t>A bizottsági kontrollok eredményessége, hatékonysága és gazdaságossága érdekében a kontrollstratégia kialakítása biztosítani hivatott az előzetes és utólagos ellenőrzések egyensúlyát, valamint a költségvetési rendelettel összhangban a támogatási megállapodások/szerződések végrehajtásának három fő szakaszára való összpontosítást:</w:t>
      </w:r>
    </w:p>
    <w:p w14:paraId="5AFC9EFB" w14:textId="63C15483" w:rsidR="007D7104" w:rsidRPr="006601BC" w:rsidRDefault="007D7104" w:rsidP="005D0DF1">
      <w:pPr>
        <w:pStyle w:val="Tiret1"/>
        <w:pBdr>
          <w:top w:val="single" w:sz="4" w:space="1" w:color="auto"/>
          <w:left w:val="single" w:sz="4" w:space="1" w:color="auto"/>
          <w:bottom w:val="single" w:sz="4" w:space="1" w:color="auto"/>
          <w:right w:val="single" w:sz="4" w:space="1" w:color="auto"/>
        </w:pBdr>
        <w:rPr>
          <w:noProof/>
        </w:rPr>
      </w:pPr>
      <w:r w:rsidRPr="006601BC">
        <w:rPr>
          <w:noProof/>
        </w:rPr>
        <w:t>a program szakpolitikai célkitűzéseinek megfelelő pályázatok/ajánlatok kiválasztása;</w:t>
      </w:r>
    </w:p>
    <w:p w14:paraId="286BD90E" w14:textId="058D0783" w:rsidR="007D7104" w:rsidRPr="006601BC" w:rsidRDefault="007D7104" w:rsidP="005D0DF1">
      <w:pPr>
        <w:pStyle w:val="Tiret1"/>
        <w:pBdr>
          <w:top w:val="single" w:sz="4" w:space="1" w:color="auto"/>
          <w:left w:val="single" w:sz="4" w:space="1" w:color="auto"/>
          <w:bottom w:val="single" w:sz="4" w:space="1" w:color="auto"/>
          <w:right w:val="single" w:sz="4" w:space="1" w:color="auto"/>
        </w:pBdr>
        <w:rPr>
          <w:noProof/>
        </w:rPr>
      </w:pPr>
      <w:r w:rsidRPr="006601BC">
        <w:rPr>
          <w:noProof/>
        </w:rPr>
        <w:t xml:space="preserve">operatív ellenőrzések, monitoring és előzetes kontrollok, amelyek kiterjednek a projektek végrehajtására, a közbeszerzésre, az előfinanszírozásra, az időközi és záró kifizetésekre, valamint a garanciák kezelésére; </w:t>
      </w:r>
    </w:p>
    <w:p w14:paraId="4C72A7B5" w14:textId="77777777" w:rsidR="007D7104" w:rsidRPr="006601BC" w:rsidRDefault="007D7104" w:rsidP="005D0DF1">
      <w:pPr>
        <w:pStyle w:val="Text1"/>
        <w:pBdr>
          <w:top w:val="single" w:sz="4" w:space="1" w:color="auto"/>
          <w:left w:val="single" w:sz="4" w:space="1" w:color="auto"/>
          <w:bottom w:val="single" w:sz="4" w:space="1" w:color="auto"/>
          <w:right w:val="single" w:sz="4" w:space="1" w:color="auto"/>
        </w:pBdr>
        <w:rPr>
          <w:noProof/>
        </w:rPr>
      </w:pPr>
      <w:r w:rsidRPr="006601BC">
        <w:rPr>
          <w:noProof/>
        </w:rPr>
        <w:t>a kedvezményezettek/vállalkozók telephelyein a tranzakciók egy mintáján végzett utólagos ellenőrzések. A tranzakciók kiválasztása kockázatértékelésen és véletlen kiválasztáson alapul.</w:t>
      </w:r>
    </w:p>
    <w:p w14:paraId="65989861" w14:textId="3586EDA7" w:rsidR="007D7104" w:rsidRPr="006601BC" w:rsidRDefault="00BB68C4" w:rsidP="00BB68C4">
      <w:pPr>
        <w:pStyle w:val="ManualHeading3"/>
        <w:rPr>
          <w:bCs/>
          <w:noProof/>
          <w:szCs w:val="24"/>
        </w:rPr>
      </w:pPr>
      <w:bookmarkStart w:id="60" w:name="_Toc514938047"/>
      <w:bookmarkStart w:id="61" w:name="_Toc86321169"/>
      <w:r w:rsidRPr="00BB68C4">
        <w:t>2.2.2.</w:t>
      </w:r>
      <w:r w:rsidRPr="00BB68C4">
        <w:tab/>
      </w:r>
      <w:r w:rsidR="007D7104" w:rsidRPr="006601BC">
        <w:rPr>
          <w:noProof/>
        </w:rPr>
        <w:t>A felismert kockázatokkal és a csökkentésükre létrehozott belső kontrollrendszerekkel kapcsolatos információk</w:t>
      </w:r>
      <w:bookmarkEnd w:id="60"/>
      <w:bookmarkEnd w:id="61"/>
    </w:p>
    <w:p w14:paraId="2A1AA1F9"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bookmarkStart w:id="62" w:name="_Toc514938048"/>
      <w:r w:rsidRPr="006601BC">
        <w:rPr>
          <w:noProof/>
        </w:rPr>
        <w:t>A HERA a közbeszerzési szerződések odaítélésére, valamint egyedi tevékenységek és szervezetek támogatására összpontosít.</w:t>
      </w:r>
    </w:p>
    <w:p w14:paraId="5AC4940A"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 xml:space="preserve">A közbeszerzési szerződések megkötésére főként olyan területeken kerül sor, mint a gyógyszerek, oltóanyagok, lehetséges új kezelések, felmérések, tanulmányok, adatgyűjtés, benchmarkolási gyakorlatok, nyomonkövetési és értékelési tevékenységek, tájékoztató kampányok, informatikai és kommunikációs szolgáltatások stb. beszerzése. A szerződő felek főként tanácsadó cégek és más magánvállalkozások; de intézmények és laboratóriumok is lehetnek fővállalkozók.   </w:t>
      </w:r>
    </w:p>
    <w:p w14:paraId="42702185"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Főleg a tagállamok illetékes hatóságai, egészségügyi szervezetek, nemzeti ügynökségek stb. támogató tevékenységeihez nyerhető el pénzügyi támogatás. A támogatott projektek és tevékenységek végrehajtási időtartama a legtöbb esetben egy és három év között van.</w:t>
      </w:r>
    </w:p>
    <w:p w14:paraId="62C2B5A5"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A főbb kockázatok a következők:</w:t>
      </w:r>
    </w:p>
    <w:p w14:paraId="62BF5BF9"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 annak a kockázata, hogy a kiválasztott projektek vagy szerződések végrehajtásának elégtelen kihasználtsága vagy minősége/késése miatt a program célkitűzései nem teljesülnek teljes mértékben;</w:t>
      </w:r>
    </w:p>
    <w:p w14:paraId="623841E9"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 az odaítélt összegek nem hatékony vagy nem gazdaságos felhasználásának kockázata, mind a vissza nem térítendő támogatások esetében (a finanszírozási szabályok bonyolultsága miatt), mind a közbeszerzések esetében (mivel az előírt szaktudással rendelkező gazdasági szolgáltatók korlátozott számának következményeként bizonyos ágazatokban nincs elég lehetőség az árajánlatok összevetésére);</w:t>
      </w:r>
    </w:p>
    <w:p w14:paraId="23457B69"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 annak a kockázata, hogy rossz fény vet a Bizottságra, ha csalást vagy bűncselekményt tárnak fel; a harmadik felek belső ellenőrzési rendszerei csak részleges biztosítékot nyújtanak a heterogén vállalkozók és kedvezményezettek eléggé nagy száma miatt, amelyek mindegyike a saját belső ellenőrzési rendszerét működteti.</w:t>
      </w:r>
    </w:p>
    <w:p w14:paraId="3B9C36F9"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 xml:space="preserve">A Bizottság belső eljárásokat vezetett be a fentiekben azonosított kockázatok kezelése érdekében. A belső eljárások teljes mértékben megfelelnek a költségvetési rendeletnek, továbbá csalásellenes intézkedésekre és költség-haszon szempontokra is kiterjednek. E kereten belül a Bizottság továbbra is vizsgálja, milyen lehetőségek vannak az irányítás javítására és a hatékonyság növelésére. Az ellenőrzési keretrendszer főbb jellemzői: </w:t>
      </w:r>
    </w:p>
    <w:p w14:paraId="72F5C166"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b/>
          <w:noProof/>
        </w:rPr>
      </w:pPr>
      <w:r w:rsidRPr="006601BC">
        <w:rPr>
          <w:b/>
          <w:noProof/>
        </w:rPr>
        <w:t xml:space="preserve">Ellenőrzések a projektek végrehajtását megelőzően és annak folyamán: </w:t>
      </w:r>
    </w:p>
    <w:p w14:paraId="5909692E"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 Megfelelő projektirányítási rendszer kerül bevezetésre, amely a projektek és szerződések szakpolitikai célkitűzésekhez való hozzájárulására összpontosít, biztosítja valamennyi szereplő szisztematikus bevonását, eseti alapon helyszíni látogatásokkal kiegészített rendszeres projektirányítási jelentéstételt hoz létre, beleértve a felső vezetésnek szóló kockázati jelentéseket, valamint fenntartja a megfelelő költségvetési rugalmasságot.</w:t>
      </w:r>
    </w:p>
    <w:p w14:paraId="5914DEC1"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 A Bizottságon belül kidolgozott támogatásimegállapodás-minták és szolgáltatásiszerződés-minták használatára kerül sor. Ezekben számos ellenőrzésre vonatkozó rendelkezés van, mint például ellenőrzési tanúsítványok, pénzügyi garanciák, helyszíni ellenőrzések és OLAF általi ellenőrzések. Folyamatban van a költségek támogathatóságára vonatkozó szabályok egyszerűsítése, például egységköltségek, egyösszegű átalányok, költségekhez nem kapcsolódó hozzájárulások, valamint a költségvetési rendelet által biztosított egyéb lehetőségek alkalmazása révén. Ez csökkenti majd a kontrollok költségét, és a magas kockázattal jellemzett területeken történő ellenőrzésekre és kontrollokra összpontosít.</w:t>
      </w:r>
    </w:p>
    <w:p w14:paraId="10B2722D"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 xml:space="preserve">• Minden munkatárs aláírja a helyes hivatali magatartásra vonatkozó szabályzatot. A kiválasztási eljárásban vagy a vissza nem térítendő támogatásra vonatkozó megállapodások/szerződések kezelésében részt vevő munkatársak (emellett) összeférhetetlenségi nyilatkozatot is aláírnak. A munkatársak rendszeres képzésben részesülnek, és hálózatok keretében megosztják a bevált gyakorlatokat. </w:t>
      </w:r>
    </w:p>
    <w:p w14:paraId="28D2D695"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b/>
          <w:noProof/>
        </w:rPr>
      </w:pPr>
      <w:r w:rsidRPr="006601BC">
        <w:rPr>
          <w:noProof/>
        </w:rPr>
        <w:t>• A projektek technikai végrehajtásának rendszeres dokumentumalapú ellenőrzésére kerül sor a vállalkozók és a kedvezményezettek technikai eredményjelentései alapján; ezenkívül eseti alapon vállalkozói/kedvezményezetti megbeszéléseket és helyszíni látogatásokat is előirányoznak.</w:t>
      </w:r>
    </w:p>
    <w:p w14:paraId="3B7EC861"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b/>
          <w:noProof/>
        </w:rPr>
        <w:t>Ellenőrzések a projekt befejezésekor:</w:t>
      </w:r>
      <w:r w:rsidRPr="006601BC">
        <w:rPr>
          <w:noProof/>
        </w:rPr>
        <w:t xml:space="preserve">  A költségigények támogathatóságának helyszíni hitelesítése céljából utólagos ellenőrzéseket végeznek az ügyletek egy kiválasztott mintáján. Ezeknek az ellenőrzéseknek a célja a pénzügyi tranzakciók jogszerűségével és szabályosságával kapcsolatos lényeges hibák megelőzése, feltárása és korrigálása. A kontrollhatás magas szintjének elérése érdekében az ellenőrizendő kedvezményezettek kiválasztása a kockázatalapú kiválasztás és a véletlenszerű mintavétel együttes alkalmazásával történik, valamint a helyszíni ellenőrzés során – ahol lehetséges – figyelmet kell fordítani a működési vonatkozásokra.</w:t>
      </w:r>
    </w:p>
    <w:p w14:paraId="09D9F833"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p>
    <w:p w14:paraId="0A137088" w14:textId="7618EE9D" w:rsidR="007D7104" w:rsidRPr="006601BC" w:rsidRDefault="00BB68C4" w:rsidP="00BB68C4">
      <w:pPr>
        <w:pStyle w:val="ManualHeading3"/>
        <w:rPr>
          <w:noProof/>
        </w:rPr>
      </w:pPr>
      <w:bookmarkStart w:id="63" w:name="_Toc86321170"/>
      <w:r w:rsidRPr="00BB68C4">
        <w:t>2.2.3.</w:t>
      </w:r>
      <w:r w:rsidRPr="00BB68C4">
        <w:tab/>
      </w:r>
      <w:r w:rsidR="007D7104" w:rsidRPr="006601BC">
        <w:rPr>
          <w:noProof/>
        </w:rPr>
        <w:t>A kontroll költséghatékonyságának becslése és indokolása (a „kontroll költségei ÷ a kezelt kapcsolódó források értéke” hányados) és a hibakockázat várható szintjeinek értékelése (kifizetéskor és záráskor)</w:t>
      </w:r>
      <w:bookmarkEnd w:id="62"/>
      <w:bookmarkEnd w:id="63"/>
      <w:r w:rsidR="007D7104" w:rsidRPr="006601BC">
        <w:rPr>
          <w:noProof/>
        </w:rPr>
        <w:t xml:space="preserve"> </w:t>
      </w:r>
    </w:p>
    <w:p w14:paraId="26D0C722"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Referenciaként: az egészségügyi program (2014–2020) keretében javasolt ellenőrzési szint éves költségei az operatív kiadások éves költségvetésének körülbelül 4–7 %-át tették ki. Ezt az ellenőrizendő ügyletek sokfélesége, valamint a közvetlen irányításon keresztül történő végrehajtás indokolta, amelynek keretében számos szerződést és támogatást ítéltek oda a nagyon kis volumenűtől a nagy volumenűig terjedő fellépésekhez. A Bizottság úgy véli, hogy a programok kibővített alkalmazási köre és megnövelt költségvetése miatt az ellenőrzések átlagos költségei valószínűleg csökkenni fognak.</w:t>
      </w:r>
    </w:p>
    <w:p w14:paraId="32741FE5"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color w:val="0000FF"/>
        </w:rPr>
      </w:pPr>
      <w:r w:rsidRPr="006601BC">
        <w:rPr>
          <w:noProof/>
        </w:rPr>
        <w:t>A HERA számára – a végrehajtás biztosítására – több programon belül is hiteleket különítettek el.  Az ezen programokra vonatkozó ellenőrzési rendszernek képesnek kell lennie arra, hogy megelőzze és/vagy feltárja a hibákat és/vagy szabálytalanságokat, és ezeket korrigálja. Biztosítani fogja, hogy a fennmaradó hibaarányok (a korrekciót követően) a 2 %-os küszöbérték alatt maradjanak.</w:t>
      </w:r>
    </w:p>
    <w:p w14:paraId="2BF8650A" w14:textId="78DA9F29" w:rsidR="007D7104" w:rsidRPr="006601BC" w:rsidRDefault="00BB68C4" w:rsidP="00BB68C4">
      <w:pPr>
        <w:pStyle w:val="ManualHeading2"/>
        <w:rPr>
          <w:bCs/>
          <w:noProof/>
          <w:szCs w:val="24"/>
        </w:rPr>
      </w:pPr>
      <w:bookmarkStart w:id="64" w:name="_Toc514938049"/>
      <w:bookmarkStart w:id="65" w:name="_Toc86321171"/>
      <w:r w:rsidRPr="00BB68C4">
        <w:t>2.3.</w:t>
      </w:r>
      <w:r w:rsidRPr="00BB68C4">
        <w:tab/>
      </w:r>
      <w:r w:rsidR="007D7104" w:rsidRPr="006601BC">
        <w:rPr>
          <w:noProof/>
        </w:rPr>
        <w:t>A csalások és a szabálytalanságok megelőzésére vonatkozó intézkedések</w:t>
      </w:r>
      <w:bookmarkEnd w:id="64"/>
      <w:bookmarkEnd w:id="65"/>
      <w:r w:rsidR="007D7104" w:rsidRPr="006601BC">
        <w:rPr>
          <w:noProof/>
        </w:rPr>
        <w:t xml:space="preserve"> </w:t>
      </w:r>
    </w:p>
    <w:p w14:paraId="73490A18" w14:textId="77777777" w:rsidR="007D7104" w:rsidRPr="006601BC" w:rsidRDefault="007D7104" w:rsidP="007D7104">
      <w:pPr>
        <w:pStyle w:val="Text1"/>
        <w:rPr>
          <w:i/>
          <w:noProof/>
          <w:sz w:val="20"/>
        </w:rPr>
      </w:pPr>
      <w:r w:rsidRPr="006601BC">
        <w:rPr>
          <w:i/>
          <w:noProof/>
          <w:sz w:val="20"/>
        </w:rPr>
        <w:t>Tüntesse fel a meglévő vagy tervezett megelőző és védintézkedéseket, pl. a csalás elleni stratégiából.</w:t>
      </w:r>
    </w:p>
    <w:p w14:paraId="54153646"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A Bizottságnak a közvetlen és közvetett irányítás alá tartozó tevékenységei tekintetében meg kell tennie a megfelelő intézkedéseket annak érdekében, hogy a csalás, a korrupció és egyéb jogellenes tevékenységek elleni megelőző intézkedések alkalmazásával, hatékony ellenőrzésekkel, illetve szabálytalanságok észlelése esetén a jogtalanul kifizetett összegek behajtásával és adott esetben hatékony, arányos és visszatartó erejű szankciókkal biztosítsa az Európai Unió pénzügyi érdekeinek védelmét. E célból a Bizottság csalás elleni stratégiát fogadott el – a legutóbbi, 2019. áprilisi frissítés (COM(2019) 196) –, amely különösen az alábbi megelőző, felderítő és korrekciós intézkedésekre terjed ki:</w:t>
      </w:r>
    </w:p>
    <w:p w14:paraId="4CD00980"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A Bizottság és képviselői, valamint a Számvevőszék jogosultak dokumentumalapú és helyszíni ellenőrzést végezni a támogatások kedvezményezettjeinél, valamint a program keretében uniós forrásokban részesülő vállalkozóknál és alvállalkozóknál. Az OLAF jogosult az ilyen finanszírozással közvetlenül vagy közvetetten érintett gazdasági szereplőknél helyszíni ellenőrzéseket és vizsgálatokat végezni.</w:t>
      </w:r>
    </w:p>
    <w:p w14:paraId="640946D2"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A Bizottság szintén intézkedések sorát hajtja végre, úgymint:</w:t>
      </w:r>
    </w:p>
    <w:p w14:paraId="52EEBF87"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a rendelet végrehajtásából eredő határozatok, megállapodások és szerződések kifejezetten feljogosítják a Bizottságot – ideértve az OLAF-ot – és a Számvevőszéket, hogy ellenőrzéseket, helyszíni ellenőrzéseket és vizsgálatokat folytassanak le, valamint visszafizettessék a jogalap nélkül kifizetett összegeket, és adott esetben adminisztratív szankciókat alkalmazzanak;</w:t>
      </w:r>
    </w:p>
    <w:p w14:paraId="2C3684B2"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a pályázati/ajánlattételi felhívás értékelési szakaszában ellenőrzi a kérelmezőket és ajánlattevőket a közzétett kizárási kritériumok fényében, a nyilatkozatok és a korai felderítési és kizárási rendszer (EDES) alapján;</w:t>
      </w:r>
    </w:p>
    <w:p w14:paraId="428D74A9"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a költségvetési rendelet előírásainak megfelelően egyszerűsíti a költségek elszámolhatóságára vonatkozó szabályokat;</w:t>
      </w:r>
    </w:p>
    <w:p w14:paraId="47C1429F"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rendszeres képzésben részesíti a szerződések kezelését végző munkatársakat és a kedvezményezettek nyilatkozatait a helyszínen ellenőrző könyvvizsgálókat és ellenőröket a csalással és szabálytalanságokkal kapcsolatos kérdésekről.</w:t>
      </w:r>
    </w:p>
    <w:p w14:paraId="5C25B5B0" w14:textId="2C55F667" w:rsidR="007D7104" w:rsidRPr="006601BC" w:rsidRDefault="00BB68C4" w:rsidP="00BB68C4">
      <w:pPr>
        <w:pStyle w:val="ManualHeading1"/>
        <w:rPr>
          <w:bCs/>
          <w:noProof/>
          <w:szCs w:val="24"/>
        </w:rPr>
      </w:pPr>
      <w:bookmarkStart w:id="66" w:name="_Toc514938050"/>
      <w:bookmarkStart w:id="67" w:name="_Toc86321172"/>
      <w:r w:rsidRPr="00BB68C4">
        <w:t>3.</w:t>
      </w:r>
      <w:r w:rsidRPr="00BB68C4">
        <w:tab/>
      </w:r>
      <w:r w:rsidR="007D7104" w:rsidRPr="006601BC">
        <w:rPr>
          <w:noProof/>
        </w:rPr>
        <w:t>A JAVASLAT/KEZDEMÉNYEZÉS BECSÜLT PÉNZÜGYI HATÁSA</w:t>
      </w:r>
      <w:bookmarkEnd w:id="66"/>
      <w:bookmarkEnd w:id="67"/>
      <w:r w:rsidR="007D7104" w:rsidRPr="006601BC">
        <w:rPr>
          <w:noProof/>
        </w:rPr>
        <w:t xml:space="preserve"> </w:t>
      </w:r>
    </w:p>
    <w:p w14:paraId="2DB7F84E" w14:textId="165A96C0" w:rsidR="007D7104" w:rsidRPr="006601BC" w:rsidRDefault="00BB68C4" w:rsidP="00BB68C4">
      <w:pPr>
        <w:pStyle w:val="ManualHeading2"/>
        <w:rPr>
          <w:noProof/>
        </w:rPr>
      </w:pPr>
      <w:bookmarkStart w:id="68" w:name="_Toc514938051"/>
      <w:bookmarkStart w:id="69" w:name="_Toc86321173"/>
      <w:r w:rsidRPr="00BB68C4">
        <w:t>3.1.</w:t>
      </w:r>
      <w:r w:rsidRPr="00BB68C4">
        <w:tab/>
      </w:r>
      <w:r w:rsidR="007D7104" w:rsidRPr="006601BC">
        <w:rPr>
          <w:noProof/>
        </w:rPr>
        <w:t>A többéves pénzügyi keret érintett fejezete/fejezetei és a költségvetés érintett kiadási sora/sorai</w:t>
      </w:r>
      <w:bookmarkEnd w:id="68"/>
      <w:bookmarkEnd w:id="69"/>
      <w:r w:rsidR="007D7104" w:rsidRPr="006601BC">
        <w:rPr>
          <w:noProof/>
        </w:rPr>
        <w:t xml:space="preserve"> </w:t>
      </w:r>
    </w:p>
    <w:p w14:paraId="05BD9A3D" w14:textId="77777777" w:rsidR="007D7104" w:rsidRPr="006601BC" w:rsidRDefault="007D7104" w:rsidP="007D7104">
      <w:pPr>
        <w:pStyle w:val="ListBullet1"/>
        <w:rPr>
          <w:noProof/>
        </w:rPr>
      </w:pPr>
      <w:r w:rsidRPr="006601BC">
        <w:rPr>
          <w:noProof/>
        </w:rPr>
        <w:t xml:space="preserve">Jelenlegi költségvetési sorok </w:t>
      </w:r>
    </w:p>
    <w:p w14:paraId="55D2B7BA" w14:textId="405BC493" w:rsidR="007D7104" w:rsidRPr="006601BC" w:rsidRDefault="007D7104" w:rsidP="00C54C48">
      <w:pPr>
        <w:pStyle w:val="Text1"/>
        <w:rPr>
          <w:i/>
          <w:noProof/>
          <w:sz w:val="20"/>
        </w:rPr>
      </w:pPr>
      <w:r w:rsidRPr="006601BC">
        <w:rPr>
          <w:i/>
          <w:noProof/>
        </w:rPr>
        <w:t xml:space="preserve">A többéves pénzügyi keret fejezetei, azon belül pedig a költségvetési sorok </w:t>
      </w:r>
      <w:r w:rsidRPr="006601BC">
        <w:rPr>
          <w:i/>
          <w:noProof/>
          <w:u w:val="single"/>
        </w:rPr>
        <w:t>sorrendjében</w:t>
      </w:r>
      <w:r w:rsidRPr="006601BC">
        <w:rPr>
          <w:i/>
          <w:noProof/>
        </w:rPr>
        <w:t>.</w:t>
      </w: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6"/>
        <w:gridCol w:w="3798"/>
        <w:gridCol w:w="1080"/>
        <w:gridCol w:w="900"/>
        <w:gridCol w:w="990"/>
        <w:gridCol w:w="900"/>
        <w:gridCol w:w="1530"/>
      </w:tblGrid>
      <w:tr w:rsidR="007D7104" w:rsidRPr="006601BC" w14:paraId="75E5F558" w14:textId="77777777" w:rsidTr="006F251E">
        <w:trPr>
          <w:jc w:val="center"/>
        </w:trPr>
        <w:tc>
          <w:tcPr>
            <w:tcW w:w="1316" w:type="dxa"/>
            <w:vMerge w:val="restart"/>
            <w:vAlign w:val="center"/>
          </w:tcPr>
          <w:p w14:paraId="0FDF42CD" w14:textId="77777777" w:rsidR="007D7104" w:rsidRPr="006601BC" w:rsidRDefault="007D7104" w:rsidP="00190BB5">
            <w:pPr>
              <w:spacing w:before="60" w:after="60"/>
              <w:ind w:left="-37" w:right="-266"/>
              <w:rPr>
                <w:noProof/>
                <w:sz w:val="18"/>
                <w:szCs w:val="18"/>
              </w:rPr>
            </w:pPr>
            <w:r w:rsidRPr="006601BC">
              <w:rPr>
                <w:noProof/>
                <w:sz w:val="18"/>
              </w:rPr>
              <w:t>A többéves pénzügyi keret fejezete</w:t>
            </w:r>
          </w:p>
        </w:tc>
        <w:tc>
          <w:tcPr>
            <w:tcW w:w="3798" w:type="dxa"/>
            <w:vAlign w:val="center"/>
          </w:tcPr>
          <w:p w14:paraId="031258FD" w14:textId="77777777" w:rsidR="007D7104" w:rsidRPr="006601BC" w:rsidRDefault="007D7104" w:rsidP="00190BB5">
            <w:pPr>
              <w:spacing w:before="60" w:after="60"/>
              <w:ind w:left="-482"/>
              <w:jc w:val="center"/>
              <w:rPr>
                <w:noProof/>
              </w:rPr>
            </w:pPr>
            <w:r w:rsidRPr="006601BC">
              <w:rPr>
                <w:noProof/>
                <w:sz w:val="20"/>
              </w:rPr>
              <w:t>Költségvetési sor</w:t>
            </w:r>
          </w:p>
        </w:tc>
        <w:tc>
          <w:tcPr>
            <w:tcW w:w="1080" w:type="dxa"/>
            <w:vAlign w:val="center"/>
          </w:tcPr>
          <w:p w14:paraId="71ECA352" w14:textId="77777777" w:rsidR="007D7104" w:rsidRPr="006601BC" w:rsidRDefault="007D7104" w:rsidP="00190BB5">
            <w:pPr>
              <w:spacing w:before="60" w:after="60"/>
              <w:jc w:val="center"/>
              <w:rPr>
                <w:noProof/>
              </w:rPr>
            </w:pPr>
            <w:r w:rsidRPr="006601BC">
              <w:rPr>
                <w:noProof/>
                <w:sz w:val="18"/>
              </w:rPr>
              <w:t>Kiadás</w:t>
            </w:r>
            <w:r w:rsidRPr="006601BC">
              <w:rPr>
                <w:noProof/>
              </w:rPr>
              <w:t xml:space="preserve"> </w:t>
            </w:r>
            <w:r w:rsidRPr="006601BC">
              <w:rPr>
                <w:noProof/>
              </w:rPr>
              <w:br/>
            </w:r>
            <w:r w:rsidRPr="006601BC">
              <w:rPr>
                <w:noProof/>
                <w:sz w:val="18"/>
              </w:rPr>
              <w:t>típusa</w:t>
            </w:r>
          </w:p>
        </w:tc>
        <w:tc>
          <w:tcPr>
            <w:tcW w:w="4320" w:type="dxa"/>
            <w:gridSpan w:val="4"/>
            <w:vAlign w:val="center"/>
          </w:tcPr>
          <w:p w14:paraId="1E427096" w14:textId="77777777" w:rsidR="007D7104" w:rsidRPr="006601BC" w:rsidRDefault="007D7104" w:rsidP="00190BB5">
            <w:pPr>
              <w:spacing w:before="60" w:after="60"/>
              <w:ind w:left="-482"/>
              <w:jc w:val="center"/>
              <w:rPr>
                <w:noProof/>
              </w:rPr>
            </w:pPr>
            <w:r w:rsidRPr="006601BC">
              <w:rPr>
                <w:noProof/>
                <w:sz w:val="20"/>
              </w:rPr>
              <w:t xml:space="preserve">Hozzájárulás </w:t>
            </w:r>
          </w:p>
        </w:tc>
      </w:tr>
      <w:tr w:rsidR="007D7104" w:rsidRPr="006601BC" w14:paraId="6EC2BD3B" w14:textId="77777777" w:rsidTr="006F251E">
        <w:trPr>
          <w:jc w:val="center"/>
        </w:trPr>
        <w:tc>
          <w:tcPr>
            <w:tcW w:w="1316" w:type="dxa"/>
            <w:vMerge/>
            <w:vAlign w:val="center"/>
          </w:tcPr>
          <w:p w14:paraId="12021C6B" w14:textId="77777777" w:rsidR="007D7104" w:rsidRPr="006601BC" w:rsidRDefault="007D7104" w:rsidP="00190BB5">
            <w:pPr>
              <w:ind w:left="-482"/>
              <w:jc w:val="center"/>
              <w:rPr>
                <w:noProof/>
              </w:rPr>
            </w:pPr>
          </w:p>
        </w:tc>
        <w:tc>
          <w:tcPr>
            <w:tcW w:w="3798" w:type="dxa"/>
            <w:vAlign w:val="center"/>
          </w:tcPr>
          <w:p w14:paraId="7608FAA0" w14:textId="77777777" w:rsidR="007D7104" w:rsidRPr="006601BC" w:rsidRDefault="007D7104" w:rsidP="00190BB5">
            <w:pPr>
              <w:ind w:left="-48" w:firstLine="48"/>
              <w:rPr>
                <w:noProof/>
              </w:rPr>
            </w:pPr>
          </w:p>
        </w:tc>
        <w:tc>
          <w:tcPr>
            <w:tcW w:w="1080" w:type="dxa"/>
            <w:vAlign w:val="center"/>
          </w:tcPr>
          <w:p w14:paraId="5183D073" w14:textId="77777777" w:rsidR="007D7104" w:rsidRPr="006601BC" w:rsidRDefault="007D7104" w:rsidP="00190BB5">
            <w:pPr>
              <w:ind w:left="-68"/>
              <w:jc w:val="center"/>
              <w:rPr>
                <w:noProof/>
              </w:rPr>
            </w:pPr>
            <w:r w:rsidRPr="006601BC">
              <w:rPr>
                <w:noProof/>
                <w:sz w:val="18"/>
              </w:rPr>
              <w:t>diff./nem diff.</w:t>
            </w:r>
          </w:p>
        </w:tc>
        <w:tc>
          <w:tcPr>
            <w:tcW w:w="900" w:type="dxa"/>
            <w:vAlign w:val="center"/>
          </w:tcPr>
          <w:p w14:paraId="48E09D39" w14:textId="77777777" w:rsidR="007D7104" w:rsidRPr="006601BC" w:rsidRDefault="007D7104" w:rsidP="00190BB5">
            <w:pPr>
              <w:ind w:left="-154"/>
              <w:jc w:val="center"/>
              <w:rPr>
                <w:noProof/>
                <w:sz w:val="18"/>
              </w:rPr>
            </w:pPr>
            <w:r w:rsidRPr="006601BC">
              <w:rPr>
                <w:noProof/>
                <w:sz w:val="18"/>
              </w:rPr>
              <w:t>EFTA-országoktól</w:t>
            </w:r>
          </w:p>
        </w:tc>
        <w:tc>
          <w:tcPr>
            <w:tcW w:w="990" w:type="dxa"/>
            <w:vAlign w:val="center"/>
          </w:tcPr>
          <w:p w14:paraId="6BFC7E8D" w14:textId="77777777" w:rsidR="007D7104" w:rsidRPr="006601BC" w:rsidRDefault="007D7104" w:rsidP="00190BB5">
            <w:pPr>
              <w:ind w:left="-155"/>
              <w:jc w:val="center"/>
              <w:rPr>
                <w:noProof/>
                <w:sz w:val="18"/>
              </w:rPr>
            </w:pPr>
            <w:r w:rsidRPr="006601BC">
              <w:rPr>
                <w:noProof/>
                <w:sz w:val="18"/>
              </w:rPr>
              <w:t>tagjelölt országoktól</w:t>
            </w:r>
          </w:p>
        </w:tc>
        <w:tc>
          <w:tcPr>
            <w:tcW w:w="900" w:type="dxa"/>
            <w:vAlign w:val="center"/>
          </w:tcPr>
          <w:p w14:paraId="508FE82C" w14:textId="77777777" w:rsidR="007D7104" w:rsidRPr="006601BC" w:rsidRDefault="007D7104" w:rsidP="00190BB5">
            <w:pPr>
              <w:ind w:left="-155"/>
              <w:jc w:val="center"/>
              <w:rPr>
                <w:noProof/>
                <w:sz w:val="18"/>
              </w:rPr>
            </w:pPr>
            <w:r w:rsidRPr="006601BC">
              <w:rPr>
                <w:noProof/>
                <w:sz w:val="18"/>
              </w:rPr>
              <w:t>harmadik országoktól</w:t>
            </w:r>
          </w:p>
        </w:tc>
        <w:tc>
          <w:tcPr>
            <w:tcW w:w="1530" w:type="dxa"/>
            <w:vAlign w:val="center"/>
          </w:tcPr>
          <w:p w14:paraId="3BCAD10D" w14:textId="77777777" w:rsidR="007D7104" w:rsidRPr="006601BC" w:rsidRDefault="007D7104" w:rsidP="00190BB5">
            <w:pPr>
              <w:ind w:left="-67"/>
              <w:jc w:val="center"/>
              <w:rPr>
                <w:noProof/>
              </w:rPr>
            </w:pPr>
            <w:r w:rsidRPr="006601BC">
              <w:rPr>
                <w:noProof/>
                <w:sz w:val="16"/>
              </w:rPr>
              <w:t>a költségvetési rendelet 21. cikke (2) bekezdésének b) pontja értelmében</w:t>
            </w:r>
          </w:p>
        </w:tc>
      </w:tr>
      <w:tr w:rsidR="007D7104" w:rsidRPr="006601BC" w14:paraId="0B9372EC" w14:textId="77777777" w:rsidTr="006F251E">
        <w:trPr>
          <w:jc w:val="center"/>
        </w:trPr>
        <w:tc>
          <w:tcPr>
            <w:tcW w:w="1316" w:type="dxa"/>
            <w:vAlign w:val="center"/>
          </w:tcPr>
          <w:p w14:paraId="3FE274A6" w14:textId="15790A8E" w:rsidR="007D7104" w:rsidRPr="006601BC" w:rsidRDefault="007D7104" w:rsidP="00190BB5">
            <w:pPr>
              <w:ind w:left="-482"/>
              <w:jc w:val="center"/>
              <w:rPr>
                <w:noProof/>
              </w:rPr>
            </w:pPr>
            <w:r w:rsidRPr="006601BC">
              <w:rPr>
                <w:noProof/>
              </w:rPr>
              <w:t>1</w:t>
            </w:r>
            <w:r w:rsidR="002452A8">
              <w:rPr>
                <w:noProof/>
              </w:rPr>
              <w:t>.</w:t>
            </w:r>
            <w:r w:rsidRPr="006601BC">
              <w:rPr>
                <w:noProof/>
              </w:rPr>
              <w:t xml:space="preserve"> </w:t>
            </w:r>
          </w:p>
        </w:tc>
        <w:tc>
          <w:tcPr>
            <w:tcW w:w="3798" w:type="dxa"/>
            <w:vAlign w:val="center"/>
          </w:tcPr>
          <w:p w14:paraId="6DA1D3A7" w14:textId="77777777" w:rsidR="007D7104" w:rsidRPr="006601BC" w:rsidRDefault="007D7104" w:rsidP="00190BB5">
            <w:pPr>
              <w:spacing w:before="60"/>
              <w:ind w:left="-48"/>
              <w:rPr>
                <w:noProof/>
                <w:sz w:val="22"/>
              </w:rPr>
            </w:pPr>
            <w:r w:rsidRPr="006601BC">
              <w:rPr>
                <w:noProof/>
                <w:sz w:val="22"/>
              </w:rPr>
              <w:t>01 02 02 10 – Horizont Európa</w:t>
            </w:r>
          </w:p>
        </w:tc>
        <w:tc>
          <w:tcPr>
            <w:tcW w:w="1080" w:type="dxa"/>
            <w:vAlign w:val="center"/>
          </w:tcPr>
          <w:p w14:paraId="74419537" w14:textId="77777777" w:rsidR="007D7104" w:rsidRPr="006601BC" w:rsidRDefault="007D7104" w:rsidP="00190BB5">
            <w:pPr>
              <w:ind w:left="-482"/>
              <w:jc w:val="center"/>
              <w:rPr>
                <w:noProof/>
                <w:color w:val="0000FF"/>
              </w:rPr>
            </w:pPr>
            <w:r w:rsidRPr="006601BC">
              <w:rPr>
                <w:noProof/>
                <w:sz w:val="22"/>
              </w:rPr>
              <w:t>Diff.</w:t>
            </w:r>
          </w:p>
        </w:tc>
        <w:tc>
          <w:tcPr>
            <w:tcW w:w="900" w:type="dxa"/>
            <w:vAlign w:val="center"/>
          </w:tcPr>
          <w:p w14:paraId="13066062" w14:textId="77777777" w:rsidR="007D7104" w:rsidRPr="006601BC" w:rsidRDefault="007D7104" w:rsidP="00190BB5">
            <w:pPr>
              <w:ind w:left="-482"/>
              <w:jc w:val="center"/>
              <w:rPr>
                <w:noProof/>
                <w:sz w:val="22"/>
              </w:rPr>
            </w:pPr>
            <w:r w:rsidRPr="006601BC">
              <w:rPr>
                <w:noProof/>
                <w:sz w:val="22"/>
              </w:rPr>
              <w:t>Igen</w:t>
            </w:r>
          </w:p>
        </w:tc>
        <w:tc>
          <w:tcPr>
            <w:tcW w:w="990" w:type="dxa"/>
            <w:vAlign w:val="center"/>
          </w:tcPr>
          <w:p w14:paraId="76AC5DC0" w14:textId="77777777" w:rsidR="007D7104" w:rsidRPr="006601BC" w:rsidRDefault="007D7104" w:rsidP="00190BB5">
            <w:pPr>
              <w:ind w:left="-482"/>
              <w:jc w:val="center"/>
              <w:rPr>
                <w:noProof/>
                <w:sz w:val="22"/>
              </w:rPr>
            </w:pPr>
            <w:r w:rsidRPr="006601BC">
              <w:rPr>
                <w:noProof/>
                <w:sz w:val="22"/>
              </w:rPr>
              <w:t>Igen</w:t>
            </w:r>
          </w:p>
        </w:tc>
        <w:tc>
          <w:tcPr>
            <w:tcW w:w="900" w:type="dxa"/>
            <w:vAlign w:val="center"/>
          </w:tcPr>
          <w:p w14:paraId="4D9579E6" w14:textId="77777777" w:rsidR="007D7104" w:rsidRPr="006601BC" w:rsidRDefault="007D7104" w:rsidP="00190BB5">
            <w:pPr>
              <w:ind w:left="-482"/>
              <w:jc w:val="center"/>
              <w:rPr>
                <w:noProof/>
                <w:sz w:val="22"/>
              </w:rPr>
            </w:pPr>
            <w:r w:rsidRPr="006601BC">
              <w:rPr>
                <w:noProof/>
                <w:sz w:val="22"/>
              </w:rPr>
              <w:t>Igen</w:t>
            </w:r>
          </w:p>
        </w:tc>
        <w:tc>
          <w:tcPr>
            <w:tcW w:w="1530" w:type="dxa"/>
            <w:vAlign w:val="center"/>
          </w:tcPr>
          <w:p w14:paraId="7A723CCD" w14:textId="77777777" w:rsidR="007D7104" w:rsidRPr="006601BC" w:rsidRDefault="007D7104" w:rsidP="00190BB5">
            <w:pPr>
              <w:ind w:left="-482"/>
              <w:jc w:val="center"/>
              <w:rPr>
                <w:noProof/>
                <w:sz w:val="22"/>
              </w:rPr>
            </w:pPr>
            <w:r w:rsidRPr="006601BC">
              <w:rPr>
                <w:noProof/>
                <w:sz w:val="22"/>
              </w:rPr>
              <w:t>Nem</w:t>
            </w:r>
          </w:p>
        </w:tc>
      </w:tr>
      <w:tr w:rsidR="007D7104" w:rsidRPr="006601BC" w14:paraId="374D32E1" w14:textId="77777777" w:rsidTr="006F251E">
        <w:trPr>
          <w:jc w:val="center"/>
        </w:trPr>
        <w:tc>
          <w:tcPr>
            <w:tcW w:w="1316" w:type="dxa"/>
            <w:vAlign w:val="center"/>
          </w:tcPr>
          <w:p w14:paraId="32AC7152" w14:textId="7A926CB3" w:rsidR="007D7104" w:rsidRPr="006601BC" w:rsidRDefault="007D7104" w:rsidP="00190BB5">
            <w:pPr>
              <w:ind w:left="-482"/>
              <w:jc w:val="center"/>
              <w:rPr>
                <w:noProof/>
              </w:rPr>
            </w:pPr>
            <w:r w:rsidRPr="006601BC">
              <w:rPr>
                <w:noProof/>
              </w:rPr>
              <w:t>2b</w:t>
            </w:r>
            <w:r w:rsidR="002452A8">
              <w:rPr>
                <w:noProof/>
              </w:rPr>
              <w:t>.</w:t>
            </w:r>
          </w:p>
        </w:tc>
        <w:tc>
          <w:tcPr>
            <w:tcW w:w="3798" w:type="dxa"/>
            <w:vAlign w:val="center"/>
          </w:tcPr>
          <w:p w14:paraId="1C84295D" w14:textId="77777777" w:rsidR="007D7104" w:rsidRPr="006601BC" w:rsidRDefault="007D7104" w:rsidP="00190BB5">
            <w:pPr>
              <w:spacing w:before="60"/>
              <w:ind w:left="-48"/>
              <w:rPr>
                <w:noProof/>
                <w:sz w:val="22"/>
              </w:rPr>
            </w:pPr>
            <w:r w:rsidRPr="006601BC">
              <w:rPr>
                <w:noProof/>
                <w:sz w:val="22"/>
              </w:rPr>
              <w:t>06 06 01 – „Az EU az egészségügyért” program</w:t>
            </w:r>
          </w:p>
        </w:tc>
        <w:tc>
          <w:tcPr>
            <w:tcW w:w="1080" w:type="dxa"/>
            <w:vAlign w:val="center"/>
          </w:tcPr>
          <w:p w14:paraId="15338EB5" w14:textId="77777777" w:rsidR="007D7104" w:rsidRPr="006601BC" w:rsidRDefault="007D7104" w:rsidP="00190BB5">
            <w:pPr>
              <w:ind w:left="-482"/>
              <w:jc w:val="center"/>
              <w:rPr>
                <w:noProof/>
                <w:color w:val="0000FF"/>
              </w:rPr>
            </w:pPr>
            <w:r w:rsidRPr="006601BC">
              <w:rPr>
                <w:noProof/>
                <w:sz w:val="22"/>
              </w:rPr>
              <w:t>Diff.</w:t>
            </w:r>
          </w:p>
        </w:tc>
        <w:tc>
          <w:tcPr>
            <w:tcW w:w="900" w:type="dxa"/>
            <w:vAlign w:val="center"/>
          </w:tcPr>
          <w:p w14:paraId="75F678E3" w14:textId="77777777" w:rsidR="007D7104" w:rsidRPr="006601BC" w:rsidRDefault="007D7104" w:rsidP="00190BB5">
            <w:pPr>
              <w:ind w:left="-482"/>
              <w:jc w:val="center"/>
              <w:rPr>
                <w:noProof/>
                <w:sz w:val="22"/>
              </w:rPr>
            </w:pPr>
            <w:r w:rsidRPr="006601BC">
              <w:rPr>
                <w:noProof/>
                <w:sz w:val="22"/>
              </w:rPr>
              <w:t>Igen</w:t>
            </w:r>
          </w:p>
        </w:tc>
        <w:tc>
          <w:tcPr>
            <w:tcW w:w="990" w:type="dxa"/>
            <w:vAlign w:val="center"/>
          </w:tcPr>
          <w:p w14:paraId="0B889314" w14:textId="77777777" w:rsidR="007D7104" w:rsidRPr="006601BC" w:rsidRDefault="007D7104" w:rsidP="00190BB5">
            <w:pPr>
              <w:ind w:left="-482"/>
              <w:jc w:val="center"/>
              <w:rPr>
                <w:noProof/>
                <w:sz w:val="22"/>
              </w:rPr>
            </w:pPr>
            <w:r w:rsidRPr="006601BC">
              <w:rPr>
                <w:noProof/>
                <w:sz w:val="22"/>
              </w:rPr>
              <w:t>Igen</w:t>
            </w:r>
          </w:p>
        </w:tc>
        <w:tc>
          <w:tcPr>
            <w:tcW w:w="900" w:type="dxa"/>
            <w:vAlign w:val="center"/>
          </w:tcPr>
          <w:p w14:paraId="117F2E6D" w14:textId="77777777" w:rsidR="007D7104" w:rsidRPr="006601BC" w:rsidRDefault="007D7104" w:rsidP="00190BB5">
            <w:pPr>
              <w:ind w:left="-482"/>
              <w:jc w:val="center"/>
              <w:rPr>
                <w:noProof/>
                <w:sz w:val="22"/>
              </w:rPr>
            </w:pPr>
            <w:r w:rsidRPr="006601BC">
              <w:rPr>
                <w:noProof/>
                <w:sz w:val="22"/>
              </w:rPr>
              <w:t>Igen</w:t>
            </w:r>
          </w:p>
        </w:tc>
        <w:tc>
          <w:tcPr>
            <w:tcW w:w="1530" w:type="dxa"/>
            <w:vAlign w:val="center"/>
          </w:tcPr>
          <w:p w14:paraId="5724BC00" w14:textId="77777777" w:rsidR="007D7104" w:rsidRPr="006601BC" w:rsidRDefault="007D7104" w:rsidP="00190BB5">
            <w:pPr>
              <w:ind w:left="-482"/>
              <w:jc w:val="center"/>
              <w:rPr>
                <w:noProof/>
                <w:sz w:val="22"/>
              </w:rPr>
            </w:pPr>
            <w:r w:rsidRPr="006601BC">
              <w:rPr>
                <w:noProof/>
                <w:sz w:val="22"/>
              </w:rPr>
              <w:t>Nem</w:t>
            </w:r>
          </w:p>
        </w:tc>
      </w:tr>
      <w:tr w:rsidR="007D7104" w:rsidRPr="006601BC" w14:paraId="0D602977" w14:textId="77777777" w:rsidTr="006F251E">
        <w:trPr>
          <w:jc w:val="center"/>
        </w:trPr>
        <w:tc>
          <w:tcPr>
            <w:tcW w:w="1316" w:type="dxa"/>
            <w:vAlign w:val="center"/>
          </w:tcPr>
          <w:p w14:paraId="27A5A447" w14:textId="4E7665F4" w:rsidR="007D7104" w:rsidRPr="006601BC" w:rsidRDefault="007D7104" w:rsidP="00190BB5">
            <w:pPr>
              <w:ind w:left="-482"/>
              <w:jc w:val="center"/>
              <w:rPr>
                <w:noProof/>
              </w:rPr>
            </w:pPr>
            <w:r w:rsidRPr="006601BC">
              <w:rPr>
                <w:noProof/>
              </w:rPr>
              <w:t>2b</w:t>
            </w:r>
            <w:r w:rsidR="002452A8">
              <w:rPr>
                <w:noProof/>
              </w:rPr>
              <w:t>.</w:t>
            </w:r>
          </w:p>
        </w:tc>
        <w:tc>
          <w:tcPr>
            <w:tcW w:w="3798" w:type="dxa"/>
            <w:vAlign w:val="center"/>
          </w:tcPr>
          <w:p w14:paraId="189BF6A9" w14:textId="77777777" w:rsidR="007D7104" w:rsidRPr="006601BC" w:rsidRDefault="007D7104" w:rsidP="00190BB5">
            <w:pPr>
              <w:spacing w:before="60"/>
              <w:ind w:left="-48"/>
              <w:rPr>
                <w:noProof/>
                <w:sz w:val="22"/>
              </w:rPr>
            </w:pPr>
            <w:r w:rsidRPr="006601BC">
              <w:rPr>
                <w:noProof/>
                <w:sz w:val="22"/>
              </w:rPr>
              <w:t>06 05 01 – Uniós polgári védelmi mechanizmus (rescEU)</w:t>
            </w:r>
          </w:p>
        </w:tc>
        <w:tc>
          <w:tcPr>
            <w:tcW w:w="1080" w:type="dxa"/>
            <w:vAlign w:val="center"/>
          </w:tcPr>
          <w:p w14:paraId="32527415" w14:textId="77777777" w:rsidR="007D7104" w:rsidRPr="006601BC" w:rsidRDefault="007D7104" w:rsidP="00190BB5">
            <w:pPr>
              <w:ind w:left="-482"/>
              <w:jc w:val="center"/>
              <w:rPr>
                <w:noProof/>
                <w:color w:val="0000FF"/>
              </w:rPr>
            </w:pPr>
            <w:r w:rsidRPr="006601BC">
              <w:rPr>
                <w:noProof/>
                <w:sz w:val="22"/>
              </w:rPr>
              <w:t>Diff.</w:t>
            </w:r>
          </w:p>
        </w:tc>
        <w:tc>
          <w:tcPr>
            <w:tcW w:w="900" w:type="dxa"/>
            <w:vAlign w:val="center"/>
          </w:tcPr>
          <w:p w14:paraId="203C166F" w14:textId="77777777" w:rsidR="007D7104" w:rsidRPr="006601BC" w:rsidRDefault="007D7104" w:rsidP="00190BB5">
            <w:pPr>
              <w:ind w:left="-482"/>
              <w:jc w:val="center"/>
              <w:rPr>
                <w:noProof/>
                <w:sz w:val="22"/>
              </w:rPr>
            </w:pPr>
            <w:r w:rsidRPr="006601BC">
              <w:rPr>
                <w:noProof/>
                <w:sz w:val="22"/>
              </w:rPr>
              <w:t>Igen</w:t>
            </w:r>
          </w:p>
        </w:tc>
        <w:tc>
          <w:tcPr>
            <w:tcW w:w="990" w:type="dxa"/>
            <w:vAlign w:val="center"/>
          </w:tcPr>
          <w:p w14:paraId="3C355AC5" w14:textId="77777777" w:rsidR="007D7104" w:rsidRPr="006601BC" w:rsidRDefault="007D7104" w:rsidP="00190BB5">
            <w:pPr>
              <w:ind w:left="-482"/>
              <w:jc w:val="center"/>
              <w:rPr>
                <w:noProof/>
                <w:sz w:val="22"/>
              </w:rPr>
            </w:pPr>
            <w:r w:rsidRPr="006601BC">
              <w:rPr>
                <w:noProof/>
                <w:sz w:val="22"/>
              </w:rPr>
              <w:t>Igen</w:t>
            </w:r>
          </w:p>
        </w:tc>
        <w:tc>
          <w:tcPr>
            <w:tcW w:w="900" w:type="dxa"/>
            <w:vAlign w:val="center"/>
          </w:tcPr>
          <w:p w14:paraId="65E8051D" w14:textId="77777777" w:rsidR="007D7104" w:rsidRPr="006601BC" w:rsidRDefault="007D7104" w:rsidP="00190BB5">
            <w:pPr>
              <w:ind w:left="-482"/>
              <w:jc w:val="center"/>
              <w:rPr>
                <w:noProof/>
                <w:sz w:val="22"/>
              </w:rPr>
            </w:pPr>
            <w:r w:rsidRPr="006601BC">
              <w:rPr>
                <w:noProof/>
                <w:sz w:val="22"/>
              </w:rPr>
              <w:t>Igen</w:t>
            </w:r>
          </w:p>
        </w:tc>
        <w:tc>
          <w:tcPr>
            <w:tcW w:w="1530" w:type="dxa"/>
            <w:vAlign w:val="center"/>
          </w:tcPr>
          <w:p w14:paraId="111929AA" w14:textId="77777777" w:rsidR="007D7104" w:rsidRPr="006601BC" w:rsidRDefault="007D7104" w:rsidP="00190BB5">
            <w:pPr>
              <w:ind w:left="-482"/>
              <w:jc w:val="center"/>
              <w:rPr>
                <w:noProof/>
                <w:sz w:val="22"/>
              </w:rPr>
            </w:pPr>
            <w:r w:rsidRPr="006601BC">
              <w:rPr>
                <w:noProof/>
                <w:sz w:val="22"/>
              </w:rPr>
              <w:t>Nem</w:t>
            </w:r>
          </w:p>
        </w:tc>
      </w:tr>
      <w:tr w:rsidR="007D7104" w:rsidRPr="006601BC" w14:paraId="057F71B1" w14:textId="77777777" w:rsidTr="006F251E">
        <w:trPr>
          <w:jc w:val="center"/>
        </w:trPr>
        <w:tc>
          <w:tcPr>
            <w:tcW w:w="1316" w:type="dxa"/>
            <w:vAlign w:val="center"/>
          </w:tcPr>
          <w:p w14:paraId="3D237161" w14:textId="77777777" w:rsidR="007D7104" w:rsidRPr="006601BC" w:rsidRDefault="007D7104" w:rsidP="00190BB5">
            <w:pPr>
              <w:ind w:left="-482"/>
              <w:jc w:val="center"/>
              <w:rPr>
                <w:noProof/>
              </w:rPr>
            </w:pPr>
          </w:p>
        </w:tc>
        <w:tc>
          <w:tcPr>
            <w:tcW w:w="3798" w:type="dxa"/>
            <w:vAlign w:val="center"/>
          </w:tcPr>
          <w:p w14:paraId="13C16418" w14:textId="77777777" w:rsidR="007D7104" w:rsidRPr="006601BC" w:rsidRDefault="007D7104" w:rsidP="00190BB5">
            <w:pPr>
              <w:spacing w:before="60"/>
              <w:ind w:left="-48"/>
              <w:rPr>
                <w:noProof/>
                <w:sz w:val="22"/>
              </w:rPr>
            </w:pPr>
          </w:p>
        </w:tc>
        <w:tc>
          <w:tcPr>
            <w:tcW w:w="1080" w:type="dxa"/>
            <w:vAlign w:val="center"/>
          </w:tcPr>
          <w:p w14:paraId="7D2995A0" w14:textId="77777777" w:rsidR="007D7104" w:rsidRPr="006601BC" w:rsidRDefault="007D7104" w:rsidP="00190BB5">
            <w:pPr>
              <w:ind w:left="-482"/>
              <w:jc w:val="center"/>
              <w:rPr>
                <w:noProof/>
                <w:color w:val="0000FF"/>
              </w:rPr>
            </w:pPr>
          </w:p>
        </w:tc>
        <w:tc>
          <w:tcPr>
            <w:tcW w:w="900" w:type="dxa"/>
            <w:vAlign w:val="center"/>
          </w:tcPr>
          <w:p w14:paraId="3F5E2212" w14:textId="77777777" w:rsidR="007D7104" w:rsidRPr="006601BC" w:rsidRDefault="007D7104" w:rsidP="00190BB5">
            <w:pPr>
              <w:ind w:left="-482"/>
              <w:jc w:val="center"/>
              <w:rPr>
                <w:noProof/>
                <w:sz w:val="22"/>
              </w:rPr>
            </w:pPr>
          </w:p>
        </w:tc>
        <w:tc>
          <w:tcPr>
            <w:tcW w:w="990" w:type="dxa"/>
            <w:vAlign w:val="center"/>
          </w:tcPr>
          <w:p w14:paraId="194DEBA0" w14:textId="77777777" w:rsidR="007D7104" w:rsidRPr="006601BC" w:rsidRDefault="007D7104" w:rsidP="00190BB5">
            <w:pPr>
              <w:ind w:left="-482"/>
              <w:jc w:val="center"/>
              <w:rPr>
                <w:noProof/>
                <w:sz w:val="22"/>
              </w:rPr>
            </w:pPr>
          </w:p>
        </w:tc>
        <w:tc>
          <w:tcPr>
            <w:tcW w:w="900" w:type="dxa"/>
            <w:vAlign w:val="center"/>
          </w:tcPr>
          <w:p w14:paraId="5D551FDB" w14:textId="77777777" w:rsidR="007D7104" w:rsidRPr="006601BC" w:rsidRDefault="007D7104" w:rsidP="00190BB5">
            <w:pPr>
              <w:ind w:left="-482"/>
              <w:jc w:val="center"/>
              <w:rPr>
                <w:noProof/>
                <w:sz w:val="22"/>
              </w:rPr>
            </w:pPr>
          </w:p>
        </w:tc>
        <w:tc>
          <w:tcPr>
            <w:tcW w:w="1530" w:type="dxa"/>
            <w:vAlign w:val="center"/>
          </w:tcPr>
          <w:p w14:paraId="25B40062" w14:textId="77777777" w:rsidR="007D7104" w:rsidRPr="006601BC" w:rsidRDefault="007D7104" w:rsidP="00190BB5">
            <w:pPr>
              <w:ind w:left="-482"/>
              <w:jc w:val="center"/>
              <w:rPr>
                <w:noProof/>
                <w:sz w:val="22"/>
              </w:rPr>
            </w:pPr>
          </w:p>
        </w:tc>
      </w:tr>
      <w:tr w:rsidR="007D7104" w:rsidRPr="006601BC" w14:paraId="3FFC2CD4" w14:textId="77777777" w:rsidTr="006F251E">
        <w:trPr>
          <w:jc w:val="center"/>
        </w:trPr>
        <w:tc>
          <w:tcPr>
            <w:tcW w:w="1316" w:type="dxa"/>
            <w:vAlign w:val="center"/>
          </w:tcPr>
          <w:p w14:paraId="05394EB9" w14:textId="77777777" w:rsidR="007D7104" w:rsidRPr="006601BC" w:rsidRDefault="007D7104" w:rsidP="00190BB5">
            <w:pPr>
              <w:ind w:left="-482"/>
              <w:jc w:val="center"/>
              <w:rPr>
                <w:noProof/>
              </w:rPr>
            </w:pPr>
          </w:p>
        </w:tc>
        <w:tc>
          <w:tcPr>
            <w:tcW w:w="3798" w:type="dxa"/>
            <w:vAlign w:val="center"/>
          </w:tcPr>
          <w:p w14:paraId="028DC443" w14:textId="77777777" w:rsidR="007D7104" w:rsidRPr="006601BC" w:rsidRDefault="007D7104" w:rsidP="00190BB5">
            <w:pPr>
              <w:spacing w:before="60"/>
              <w:ind w:left="-48"/>
              <w:rPr>
                <w:noProof/>
                <w:sz w:val="22"/>
              </w:rPr>
            </w:pPr>
            <w:r w:rsidRPr="006601BC">
              <w:rPr>
                <w:noProof/>
                <w:sz w:val="20"/>
              </w:rPr>
              <w:t>A közlemény xx. szakaszában részletezett egyéb programok (a költségvetési tételek még meghatározandók)</w:t>
            </w:r>
          </w:p>
        </w:tc>
        <w:tc>
          <w:tcPr>
            <w:tcW w:w="1080" w:type="dxa"/>
            <w:vAlign w:val="center"/>
          </w:tcPr>
          <w:p w14:paraId="13AEE289" w14:textId="77777777" w:rsidR="007D7104" w:rsidRPr="006601BC" w:rsidRDefault="007D7104" w:rsidP="00190BB5">
            <w:pPr>
              <w:ind w:left="-482"/>
              <w:jc w:val="center"/>
              <w:rPr>
                <w:noProof/>
                <w:sz w:val="22"/>
              </w:rPr>
            </w:pPr>
          </w:p>
        </w:tc>
        <w:tc>
          <w:tcPr>
            <w:tcW w:w="900" w:type="dxa"/>
            <w:vAlign w:val="center"/>
          </w:tcPr>
          <w:p w14:paraId="37354AFC" w14:textId="77777777" w:rsidR="007D7104" w:rsidRPr="006601BC" w:rsidRDefault="007D7104" w:rsidP="00190BB5">
            <w:pPr>
              <w:ind w:left="-482"/>
              <w:jc w:val="center"/>
              <w:rPr>
                <w:noProof/>
                <w:sz w:val="22"/>
              </w:rPr>
            </w:pPr>
          </w:p>
        </w:tc>
        <w:tc>
          <w:tcPr>
            <w:tcW w:w="990" w:type="dxa"/>
            <w:vAlign w:val="center"/>
          </w:tcPr>
          <w:p w14:paraId="128A6C48" w14:textId="77777777" w:rsidR="007D7104" w:rsidRPr="006601BC" w:rsidRDefault="007D7104" w:rsidP="00190BB5">
            <w:pPr>
              <w:ind w:left="-482"/>
              <w:jc w:val="center"/>
              <w:rPr>
                <w:noProof/>
                <w:sz w:val="22"/>
              </w:rPr>
            </w:pPr>
          </w:p>
        </w:tc>
        <w:tc>
          <w:tcPr>
            <w:tcW w:w="900" w:type="dxa"/>
            <w:vAlign w:val="center"/>
          </w:tcPr>
          <w:p w14:paraId="6368CB9D" w14:textId="77777777" w:rsidR="007D7104" w:rsidRPr="006601BC" w:rsidRDefault="007D7104" w:rsidP="00190BB5">
            <w:pPr>
              <w:ind w:left="-482"/>
              <w:jc w:val="center"/>
              <w:rPr>
                <w:noProof/>
                <w:sz w:val="22"/>
              </w:rPr>
            </w:pPr>
          </w:p>
        </w:tc>
        <w:tc>
          <w:tcPr>
            <w:tcW w:w="1530" w:type="dxa"/>
            <w:vAlign w:val="center"/>
          </w:tcPr>
          <w:p w14:paraId="46582E7C" w14:textId="77777777" w:rsidR="007D7104" w:rsidRPr="006601BC" w:rsidRDefault="007D7104" w:rsidP="00190BB5">
            <w:pPr>
              <w:ind w:left="-482"/>
              <w:jc w:val="center"/>
              <w:rPr>
                <w:noProof/>
                <w:sz w:val="22"/>
              </w:rPr>
            </w:pPr>
          </w:p>
        </w:tc>
      </w:tr>
      <w:tr w:rsidR="007D7104" w:rsidRPr="006601BC" w14:paraId="578DF283" w14:textId="77777777" w:rsidTr="006F251E">
        <w:trPr>
          <w:jc w:val="center"/>
        </w:trPr>
        <w:tc>
          <w:tcPr>
            <w:tcW w:w="10514" w:type="dxa"/>
            <w:gridSpan w:val="7"/>
            <w:vAlign w:val="center"/>
          </w:tcPr>
          <w:p w14:paraId="48509C6E" w14:textId="7C50A66B" w:rsidR="007D7104" w:rsidRPr="006F251E" w:rsidRDefault="006F251E" w:rsidP="006F251E">
            <w:pPr>
              <w:ind w:left="-482"/>
              <w:jc w:val="center"/>
              <w:rPr>
                <w:b/>
                <w:noProof/>
                <w:sz w:val="22"/>
              </w:rPr>
            </w:pPr>
            <w:r w:rsidRPr="006F251E">
              <w:rPr>
                <w:b/>
                <w:noProof/>
                <w:sz w:val="22"/>
              </w:rPr>
              <w:t xml:space="preserve">   </w:t>
            </w:r>
            <w:r>
              <w:rPr>
                <w:b/>
                <w:noProof/>
                <w:sz w:val="22"/>
              </w:rPr>
              <w:t xml:space="preserve">     </w:t>
            </w:r>
            <w:r w:rsidRPr="006F251E">
              <w:rPr>
                <w:b/>
                <w:noProof/>
                <w:sz w:val="22"/>
              </w:rPr>
              <w:t>Vál</w:t>
            </w:r>
            <w:r w:rsidR="007D7104" w:rsidRPr="006F251E">
              <w:rPr>
                <w:b/>
                <w:noProof/>
                <w:sz w:val="22"/>
              </w:rPr>
              <w:t>lságok idején felhasználandó költségvetési tételek (az alábbi táblázatokban nincs előirányozva költségvetési előirányzat)</w:t>
            </w:r>
          </w:p>
        </w:tc>
      </w:tr>
      <w:tr w:rsidR="007D7104" w:rsidRPr="006601BC" w14:paraId="21830280" w14:textId="77777777" w:rsidTr="006F251E">
        <w:trPr>
          <w:jc w:val="center"/>
        </w:trPr>
        <w:tc>
          <w:tcPr>
            <w:tcW w:w="1316" w:type="dxa"/>
            <w:vAlign w:val="center"/>
          </w:tcPr>
          <w:p w14:paraId="7B9D8186" w14:textId="7F40FB17" w:rsidR="007D7104" w:rsidRPr="006601BC" w:rsidRDefault="007D7104" w:rsidP="00190BB5">
            <w:pPr>
              <w:ind w:left="-482"/>
              <w:jc w:val="center"/>
              <w:rPr>
                <w:noProof/>
              </w:rPr>
            </w:pPr>
            <w:r w:rsidRPr="006601BC">
              <w:rPr>
                <w:noProof/>
              </w:rPr>
              <w:t>2b</w:t>
            </w:r>
            <w:r w:rsidR="002452A8">
              <w:rPr>
                <w:noProof/>
              </w:rPr>
              <w:t>.</w:t>
            </w:r>
          </w:p>
        </w:tc>
        <w:tc>
          <w:tcPr>
            <w:tcW w:w="3798" w:type="dxa"/>
            <w:vAlign w:val="center"/>
          </w:tcPr>
          <w:p w14:paraId="647EEE22" w14:textId="77777777" w:rsidR="007D7104" w:rsidRPr="006601BC" w:rsidRDefault="007D7104" w:rsidP="00190BB5">
            <w:pPr>
              <w:spacing w:before="60"/>
              <w:ind w:left="-48"/>
              <w:rPr>
                <w:noProof/>
                <w:sz w:val="22"/>
              </w:rPr>
            </w:pPr>
            <w:r w:rsidRPr="006601BC">
              <w:rPr>
                <w:noProof/>
                <w:sz w:val="22"/>
              </w:rPr>
              <w:t xml:space="preserve">06 07 01 – Szükséghelyzeti Támogatási Eszköz </w:t>
            </w:r>
          </w:p>
        </w:tc>
        <w:tc>
          <w:tcPr>
            <w:tcW w:w="1080" w:type="dxa"/>
            <w:vAlign w:val="center"/>
          </w:tcPr>
          <w:p w14:paraId="74828350" w14:textId="77777777" w:rsidR="007D7104" w:rsidRPr="006601BC" w:rsidRDefault="007D7104" w:rsidP="00190BB5">
            <w:pPr>
              <w:ind w:left="-482"/>
              <w:jc w:val="center"/>
              <w:rPr>
                <w:noProof/>
                <w:color w:val="0000FF"/>
              </w:rPr>
            </w:pPr>
            <w:r w:rsidRPr="006601BC">
              <w:rPr>
                <w:noProof/>
                <w:sz w:val="22"/>
              </w:rPr>
              <w:t>Diff.</w:t>
            </w:r>
          </w:p>
        </w:tc>
        <w:tc>
          <w:tcPr>
            <w:tcW w:w="900" w:type="dxa"/>
            <w:vAlign w:val="center"/>
          </w:tcPr>
          <w:p w14:paraId="4DF482A8" w14:textId="77777777" w:rsidR="007D7104" w:rsidRPr="006601BC" w:rsidRDefault="007D7104" w:rsidP="00190BB5">
            <w:pPr>
              <w:ind w:left="-482"/>
              <w:jc w:val="center"/>
              <w:rPr>
                <w:noProof/>
                <w:sz w:val="22"/>
              </w:rPr>
            </w:pPr>
            <w:r w:rsidRPr="006601BC">
              <w:rPr>
                <w:noProof/>
                <w:sz w:val="22"/>
              </w:rPr>
              <w:t>Nem</w:t>
            </w:r>
          </w:p>
        </w:tc>
        <w:tc>
          <w:tcPr>
            <w:tcW w:w="990" w:type="dxa"/>
            <w:vAlign w:val="center"/>
          </w:tcPr>
          <w:p w14:paraId="384544C4" w14:textId="77777777" w:rsidR="007D7104" w:rsidRPr="006601BC" w:rsidRDefault="007D7104" w:rsidP="00190BB5">
            <w:pPr>
              <w:ind w:left="-482"/>
              <w:jc w:val="center"/>
              <w:rPr>
                <w:noProof/>
                <w:sz w:val="22"/>
              </w:rPr>
            </w:pPr>
            <w:r w:rsidRPr="006601BC">
              <w:rPr>
                <w:noProof/>
                <w:sz w:val="22"/>
              </w:rPr>
              <w:t>Nem</w:t>
            </w:r>
          </w:p>
        </w:tc>
        <w:tc>
          <w:tcPr>
            <w:tcW w:w="900" w:type="dxa"/>
            <w:vAlign w:val="center"/>
          </w:tcPr>
          <w:p w14:paraId="546BF5F5" w14:textId="77777777" w:rsidR="007D7104" w:rsidRPr="006601BC" w:rsidRDefault="007D7104" w:rsidP="00190BB5">
            <w:pPr>
              <w:ind w:left="-482"/>
              <w:jc w:val="center"/>
              <w:rPr>
                <w:noProof/>
                <w:sz w:val="22"/>
              </w:rPr>
            </w:pPr>
            <w:r w:rsidRPr="006601BC">
              <w:rPr>
                <w:noProof/>
                <w:sz w:val="22"/>
              </w:rPr>
              <w:t>Nem</w:t>
            </w:r>
          </w:p>
        </w:tc>
        <w:tc>
          <w:tcPr>
            <w:tcW w:w="1530" w:type="dxa"/>
            <w:vAlign w:val="center"/>
          </w:tcPr>
          <w:p w14:paraId="4CC7A147" w14:textId="77777777" w:rsidR="007D7104" w:rsidRPr="006601BC" w:rsidRDefault="007D7104" w:rsidP="00190BB5">
            <w:pPr>
              <w:ind w:left="-482"/>
              <w:jc w:val="center"/>
              <w:rPr>
                <w:noProof/>
                <w:sz w:val="22"/>
              </w:rPr>
            </w:pPr>
            <w:r w:rsidRPr="006601BC">
              <w:rPr>
                <w:noProof/>
                <w:sz w:val="22"/>
              </w:rPr>
              <w:t>Nem</w:t>
            </w:r>
          </w:p>
        </w:tc>
      </w:tr>
      <w:tr w:rsidR="007D7104" w:rsidRPr="006601BC" w14:paraId="434F5514" w14:textId="77777777" w:rsidTr="006F251E">
        <w:trPr>
          <w:jc w:val="center"/>
        </w:trPr>
        <w:tc>
          <w:tcPr>
            <w:tcW w:w="1316" w:type="dxa"/>
            <w:vAlign w:val="center"/>
          </w:tcPr>
          <w:p w14:paraId="3A03BCF2" w14:textId="77777777" w:rsidR="007D7104" w:rsidRPr="006601BC" w:rsidRDefault="007D7104" w:rsidP="00190BB5">
            <w:pPr>
              <w:ind w:left="-482"/>
              <w:jc w:val="center"/>
              <w:rPr>
                <w:noProof/>
              </w:rPr>
            </w:pPr>
          </w:p>
        </w:tc>
        <w:tc>
          <w:tcPr>
            <w:tcW w:w="3798" w:type="dxa"/>
            <w:vAlign w:val="center"/>
          </w:tcPr>
          <w:p w14:paraId="3C745E97" w14:textId="77777777" w:rsidR="007D7104" w:rsidRPr="006601BC" w:rsidRDefault="007D7104" w:rsidP="00190BB5">
            <w:pPr>
              <w:spacing w:before="60"/>
              <w:ind w:left="-48"/>
              <w:rPr>
                <w:noProof/>
                <w:sz w:val="22"/>
              </w:rPr>
            </w:pPr>
          </w:p>
        </w:tc>
        <w:tc>
          <w:tcPr>
            <w:tcW w:w="1080" w:type="dxa"/>
          </w:tcPr>
          <w:p w14:paraId="575D960E" w14:textId="77777777" w:rsidR="007D7104" w:rsidRPr="006601BC" w:rsidRDefault="007D7104" w:rsidP="00190BB5">
            <w:pPr>
              <w:ind w:left="-482"/>
              <w:jc w:val="center"/>
              <w:rPr>
                <w:noProof/>
                <w:color w:val="0000FF"/>
              </w:rPr>
            </w:pPr>
          </w:p>
        </w:tc>
        <w:tc>
          <w:tcPr>
            <w:tcW w:w="900" w:type="dxa"/>
            <w:vAlign w:val="center"/>
          </w:tcPr>
          <w:p w14:paraId="3C5270B3" w14:textId="77777777" w:rsidR="007D7104" w:rsidRPr="006601BC" w:rsidRDefault="007D7104" w:rsidP="00190BB5">
            <w:pPr>
              <w:ind w:left="-482"/>
              <w:jc w:val="center"/>
              <w:rPr>
                <w:noProof/>
                <w:sz w:val="22"/>
              </w:rPr>
            </w:pPr>
          </w:p>
        </w:tc>
        <w:tc>
          <w:tcPr>
            <w:tcW w:w="990" w:type="dxa"/>
            <w:vAlign w:val="center"/>
          </w:tcPr>
          <w:p w14:paraId="41BA6628" w14:textId="77777777" w:rsidR="007D7104" w:rsidRPr="006601BC" w:rsidRDefault="007D7104" w:rsidP="00190BB5">
            <w:pPr>
              <w:ind w:left="-482"/>
              <w:jc w:val="center"/>
              <w:rPr>
                <w:noProof/>
                <w:sz w:val="22"/>
              </w:rPr>
            </w:pPr>
          </w:p>
        </w:tc>
        <w:tc>
          <w:tcPr>
            <w:tcW w:w="900" w:type="dxa"/>
            <w:vAlign w:val="center"/>
          </w:tcPr>
          <w:p w14:paraId="26EDF249" w14:textId="77777777" w:rsidR="007D7104" w:rsidRPr="006601BC" w:rsidRDefault="007D7104" w:rsidP="00190BB5">
            <w:pPr>
              <w:ind w:left="-482"/>
              <w:jc w:val="center"/>
              <w:rPr>
                <w:noProof/>
                <w:sz w:val="22"/>
              </w:rPr>
            </w:pPr>
          </w:p>
        </w:tc>
        <w:tc>
          <w:tcPr>
            <w:tcW w:w="1530" w:type="dxa"/>
            <w:vAlign w:val="center"/>
          </w:tcPr>
          <w:p w14:paraId="1174A7A0" w14:textId="77777777" w:rsidR="007D7104" w:rsidRPr="006601BC" w:rsidRDefault="007D7104" w:rsidP="00190BB5">
            <w:pPr>
              <w:ind w:left="-482"/>
              <w:jc w:val="center"/>
              <w:rPr>
                <w:noProof/>
                <w:sz w:val="22"/>
              </w:rPr>
            </w:pPr>
          </w:p>
        </w:tc>
      </w:tr>
    </w:tbl>
    <w:p w14:paraId="557FC3B2" w14:textId="77777777" w:rsidR="007D7104" w:rsidRPr="006601BC" w:rsidRDefault="007D7104" w:rsidP="007D7104">
      <w:pPr>
        <w:rPr>
          <w:noProof/>
        </w:rPr>
        <w:sectPr w:rsidR="007D7104" w:rsidRPr="006601BC" w:rsidSect="00EF5D4F">
          <w:pgSz w:w="11907" w:h="16840" w:code="1"/>
          <w:pgMar w:top="1134" w:right="1418" w:bottom="1134" w:left="1418" w:header="709" w:footer="709" w:gutter="0"/>
          <w:cols w:space="708"/>
          <w:docGrid w:linePitch="360"/>
        </w:sectPr>
      </w:pPr>
    </w:p>
    <w:p w14:paraId="21835EEE" w14:textId="53704D84" w:rsidR="007D7104" w:rsidRPr="006601BC" w:rsidRDefault="00BB68C4" w:rsidP="00BB68C4">
      <w:pPr>
        <w:pStyle w:val="ManualHeading2"/>
        <w:rPr>
          <w:bCs/>
          <w:noProof/>
          <w:szCs w:val="24"/>
        </w:rPr>
      </w:pPr>
      <w:bookmarkStart w:id="70" w:name="_Toc514938052"/>
      <w:bookmarkStart w:id="71" w:name="_Toc86321174"/>
      <w:r w:rsidRPr="00BB68C4">
        <w:t>3.2.</w:t>
      </w:r>
      <w:r w:rsidRPr="00BB68C4">
        <w:tab/>
      </w:r>
      <w:r w:rsidR="007D7104" w:rsidRPr="006601BC">
        <w:rPr>
          <w:noProof/>
        </w:rPr>
        <w:t>A javaslat előirányzatokra gyakorolt becsült pénzügyi hatása</w:t>
      </w:r>
      <w:bookmarkEnd w:id="70"/>
      <w:bookmarkEnd w:id="71"/>
      <w:r w:rsidR="007D7104" w:rsidRPr="006601BC">
        <w:rPr>
          <w:noProof/>
        </w:rPr>
        <w:t xml:space="preserve"> </w:t>
      </w:r>
    </w:p>
    <w:p w14:paraId="47DD8D14" w14:textId="2219D0E9" w:rsidR="007D7104" w:rsidRPr="006601BC" w:rsidRDefault="00BB68C4" w:rsidP="00BB68C4">
      <w:pPr>
        <w:pStyle w:val="ManualHeading3"/>
        <w:rPr>
          <w:noProof/>
        </w:rPr>
      </w:pPr>
      <w:bookmarkStart w:id="72" w:name="_Toc514938053"/>
      <w:bookmarkStart w:id="73" w:name="_Toc86321175"/>
      <w:r w:rsidRPr="00BB68C4">
        <w:t>3.2.1.</w:t>
      </w:r>
      <w:r w:rsidRPr="00BB68C4">
        <w:tab/>
      </w:r>
      <w:r w:rsidR="007D7104" w:rsidRPr="006601BC">
        <w:rPr>
          <w:noProof/>
        </w:rPr>
        <w:t>Az operatív előirányzatokra gyakorolt becsült hatás összefoglalása</w:t>
      </w:r>
      <w:bookmarkEnd w:id="72"/>
      <w:bookmarkEnd w:id="73"/>
      <w:r w:rsidR="007D7104" w:rsidRPr="006601BC">
        <w:rPr>
          <w:noProof/>
        </w:rPr>
        <w:t xml:space="preserve"> </w:t>
      </w:r>
    </w:p>
    <w:p w14:paraId="197A1016" w14:textId="77777777" w:rsidR="007D7104" w:rsidRPr="006601BC" w:rsidRDefault="007D7104" w:rsidP="0073554F">
      <w:pPr>
        <w:pStyle w:val="ListDash1"/>
        <w:numPr>
          <w:ilvl w:val="0"/>
          <w:numId w:val="18"/>
        </w:numPr>
        <w:spacing w:before="120" w:after="120"/>
        <w:rPr>
          <w:noProof/>
        </w:rPr>
      </w:pPr>
      <w:r w:rsidRPr="006601BC">
        <w:rPr>
          <w:noProof/>
        </w:rPr>
        <w:sym w:font="Wingdings" w:char="F0A8"/>
      </w:r>
      <w:r w:rsidRPr="006601BC">
        <w:rPr>
          <w:noProof/>
        </w:rPr>
        <w:tab/>
        <w:t xml:space="preserve">A javaslat/kezdeményezés nem vonja maga után operatív előirányzatok felhasználását </w:t>
      </w:r>
    </w:p>
    <w:p w14:paraId="7AC7CAF8" w14:textId="77777777" w:rsidR="007D7104" w:rsidRPr="006601BC" w:rsidRDefault="007D7104" w:rsidP="0073554F">
      <w:pPr>
        <w:pStyle w:val="ListDash1"/>
        <w:numPr>
          <w:ilvl w:val="0"/>
          <w:numId w:val="18"/>
        </w:numPr>
        <w:spacing w:before="120" w:after="120"/>
        <w:rPr>
          <w:noProof/>
        </w:rPr>
      </w:pPr>
      <w:r w:rsidRPr="006601BC">
        <w:rPr>
          <w:noProof/>
        </w:rPr>
        <w:t>X</w:t>
      </w:r>
      <w:r w:rsidRPr="006601BC">
        <w:rPr>
          <w:noProof/>
        </w:rPr>
        <w:tab/>
        <w:t>A javaslat/kezdeményezés az alábbi operatív előirányzatok felhasználását vonja maga után (az összes jelzett előirányzatot a Horizont Európa program „Egészség” klasztere, az uniós polgári védelmi mechanizmus, „az EU az egészségügyért” és egyéb programok keretéből történő átcsoportosítással fedezik)</w:t>
      </w:r>
    </w:p>
    <w:p w14:paraId="5DC28806" w14:textId="284798EE" w:rsidR="007D7104" w:rsidRPr="006601BC" w:rsidRDefault="007D7104" w:rsidP="00C54C48">
      <w:pPr>
        <w:jc w:val="right"/>
        <w:rPr>
          <w:noProof/>
        </w:rPr>
      </w:pPr>
      <w:r w:rsidRPr="006601BC">
        <w:rPr>
          <w:noProof/>
        </w:rPr>
        <w:t>millió EUR (három tizedesjegyig)</w:t>
      </w:r>
    </w:p>
    <w:p w14:paraId="0AE938CE" w14:textId="23E545BF" w:rsidR="007D7104" w:rsidRPr="006601BC" w:rsidRDefault="007D7104" w:rsidP="00C54C48">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D7104" w:rsidRPr="006601BC" w14:paraId="1FA47070" w14:textId="77777777" w:rsidTr="00190BB5">
        <w:trPr>
          <w:jc w:val="center"/>
        </w:trPr>
        <w:tc>
          <w:tcPr>
            <w:tcW w:w="4744" w:type="dxa"/>
            <w:shd w:val="thinDiagStripe" w:color="C0C0C0" w:fill="auto"/>
            <w:vAlign w:val="center"/>
          </w:tcPr>
          <w:p w14:paraId="3034FC85" w14:textId="77777777" w:rsidR="007D7104" w:rsidRPr="006601BC" w:rsidRDefault="007D7104" w:rsidP="00190BB5">
            <w:pPr>
              <w:spacing w:before="60" w:after="60"/>
              <w:jc w:val="center"/>
              <w:rPr>
                <w:b/>
                <w:noProof/>
              </w:rPr>
            </w:pPr>
            <w:r w:rsidRPr="006601BC">
              <w:rPr>
                <w:b/>
                <w:noProof/>
                <w:sz w:val="22"/>
              </w:rPr>
              <w:t xml:space="preserve">A többéves pénzügyi keret </w:t>
            </w:r>
            <w:r w:rsidRPr="006601BC">
              <w:rPr>
                <w:noProof/>
              </w:rPr>
              <w:t xml:space="preserve"> </w:t>
            </w:r>
            <w:r w:rsidRPr="006601BC">
              <w:rPr>
                <w:noProof/>
              </w:rPr>
              <w:br/>
            </w:r>
            <w:r w:rsidRPr="006601BC">
              <w:rPr>
                <w:b/>
                <w:noProof/>
                <w:sz w:val="22"/>
              </w:rPr>
              <w:t xml:space="preserve">fejezete </w:t>
            </w:r>
          </w:p>
        </w:tc>
        <w:tc>
          <w:tcPr>
            <w:tcW w:w="1080" w:type="dxa"/>
            <w:vAlign w:val="center"/>
          </w:tcPr>
          <w:p w14:paraId="7BC8514E" w14:textId="71909A54" w:rsidR="007D7104" w:rsidRPr="006601BC" w:rsidRDefault="007D7104" w:rsidP="00190BB5">
            <w:pPr>
              <w:spacing w:before="60" w:after="60"/>
              <w:jc w:val="center"/>
              <w:rPr>
                <w:noProof/>
              </w:rPr>
            </w:pPr>
            <w:r w:rsidRPr="006601BC">
              <w:rPr>
                <w:b/>
                <w:noProof/>
                <w:sz w:val="22"/>
              </w:rPr>
              <w:t>1</w:t>
            </w:r>
            <w:r w:rsidR="002452A8">
              <w:rPr>
                <w:b/>
                <w:noProof/>
                <w:sz w:val="22"/>
              </w:rPr>
              <w:t>.</w:t>
            </w:r>
          </w:p>
        </w:tc>
        <w:tc>
          <w:tcPr>
            <w:tcW w:w="7817" w:type="dxa"/>
            <w:vAlign w:val="center"/>
          </w:tcPr>
          <w:p w14:paraId="4EE4191E" w14:textId="77777777" w:rsidR="007D7104" w:rsidRPr="006601BC" w:rsidRDefault="007D7104" w:rsidP="00190BB5">
            <w:pPr>
              <w:spacing w:before="60" w:after="60"/>
              <w:rPr>
                <w:b/>
                <w:noProof/>
              </w:rPr>
            </w:pPr>
            <w:r w:rsidRPr="006601BC">
              <w:rPr>
                <w:b/>
                <w:noProof/>
                <w:sz w:val="22"/>
              </w:rPr>
              <w:t>Egységes piac, innováció és digitális gazdaság</w:t>
            </w:r>
          </w:p>
        </w:tc>
      </w:tr>
    </w:tbl>
    <w:p w14:paraId="027A38AE" w14:textId="54312A07" w:rsidR="007D7104" w:rsidRPr="006601BC" w:rsidRDefault="007D7104" w:rsidP="00C54C48">
      <w:pPr>
        <w:rPr>
          <w:noProof/>
        </w:rPr>
      </w:pPr>
    </w:p>
    <w:tbl>
      <w:tblPr>
        <w:tblW w:w="146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60"/>
        <w:gridCol w:w="1260"/>
        <w:gridCol w:w="540"/>
        <w:gridCol w:w="990"/>
        <w:gridCol w:w="990"/>
        <w:gridCol w:w="990"/>
        <w:gridCol w:w="976"/>
        <w:gridCol w:w="1004"/>
        <w:gridCol w:w="990"/>
        <w:gridCol w:w="1031"/>
        <w:gridCol w:w="992"/>
        <w:gridCol w:w="1127"/>
      </w:tblGrid>
      <w:tr w:rsidR="007D7104" w:rsidRPr="006601BC" w14:paraId="3A7BFC48" w14:textId="77777777" w:rsidTr="00190BB5">
        <w:tc>
          <w:tcPr>
            <w:tcW w:w="3780" w:type="dxa"/>
            <w:gridSpan w:val="2"/>
            <w:vAlign w:val="center"/>
          </w:tcPr>
          <w:p w14:paraId="25DD2356" w14:textId="77777777" w:rsidR="007D7104" w:rsidRPr="006601BC" w:rsidRDefault="007D7104" w:rsidP="00190BB5">
            <w:pPr>
              <w:jc w:val="center"/>
              <w:rPr>
                <w:noProof/>
              </w:rPr>
            </w:pPr>
            <w:r w:rsidRPr="006601BC">
              <w:rPr>
                <w:noProof/>
                <w:sz w:val="22"/>
              </w:rPr>
              <w:t>Főigazgatóság: K+F</w:t>
            </w:r>
          </w:p>
        </w:tc>
        <w:tc>
          <w:tcPr>
            <w:tcW w:w="1260" w:type="dxa"/>
          </w:tcPr>
          <w:p w14:paraId="2FA14F98" w14:textId="77777777" w:rsidR="007D7104" w:rsidRPr="006601BC" w:rsidRDefault="007D7104" w:rsidP="00190BB5">
            <w:pPr>
              <w:rPr>
                <w:noProof/>
                <w:sz w:val="20"/>
              </w:rPr>
            </w:pPr>
          </w:p>
        </w:tc>
        <w:tc>
          <w:tcPr>
            <w:tcW w:w="540" w:type="dxa"/>
          </w:tcPr>
          <w:p w14:paraId="5A775149" w14:textId="77777777" w:rsidR="007D7104" w:rsidRPr="006601BC" w:rsidRDefault="007D7104" w:rsidP="00190BB5">
            <w:pPr>
              <w:jc w:val="center"/>
              <w:rPr>
                <w:noProof/>
                <w:sz w:val="20"/>
              </w:rPr>
            </w:pPr>
          </w:p>
        </w:tc>
        <w:tc>
          <w:tcPr>
            <w:tcW w:w="990" w:type="dxa"/>
            <w:vAlign w:val="center"/>
          </w:tcPr>
          <w:p w14:paraId="2E7639E8" w14:textId="77777777" w:rsidR="007D7104" w:rsidRPr="006601BC" w:rsidRDefault="007D7104" w:rsidP="00190BB5">
            <w:pPr>
              <w:jc w:val="center"/>
              <w:rPr>
                <w:b/>
                <w:noProof/>
                <w:sz w:val="20"/>
              </w:rPr>
            </w:pPr>
            <w:r w:rsidRPr="006601BC">
              <w:rPr>
                <w:b/>
                <w:noProof/>
                <w:sz w:val="20"/>
              </w:rPr>
              <w:t>2021</w:t>
            </w:r>
          </w:p>
        </w:tc>
        <w:tc>
          <w:tcPr>
            <w:tcW w:w="990" w:type="dxa"/>
            <w:vAlign w:val="center"/>
          </w:tcPr>
          <w:p w14:paraId="089851B3" w14:textId="77777777" w:rsidR="007D7104" w:rsidRPr="006601BC" w:rsidRDefault="007D7104" w:rsidP="00190BB5">
            <w:pPr>
              <w:jc w:val="center"/>
              <w:rPr>
                <w:noProof/>
                <w:sz w:val="20"/>
              </w:rPr>
            </w:pPr>
            <w:r w:rsidRPr="006601BC">
              <w:rPr>
                <w:b/>
                <w:noProof/>
                <w:sz w:val="20"/>
              </w:rPr>
              <w:t>2022</w:t>
            </w:r>
          </w:p>
        </w:tc>
        <w:tc>
          <w:tcPr>
            <w:tcW w:w="990" w:type="dxa"/>
            <w:vAlign w:val="center"/>
          </w:tcPr>
          <w:p w14:paraId="56830064" w14:textId="77777777" w:rsidR="007D7104" w:rsidRPr="006601BC" w:rsidRDefault="007D7104" w:rsidP="00190BB5">
            <w:pPr>
              <w:jc w:val="center"/>
              <w:rPr>
                <w:noProof/>
                <w:sz w:val="20"/>
              </w:rPr>
            </w:pPr>
            <w:r w:rsidRPr="006601BC">
              <w:rPr>
                <w:b/>
                <w:noProof/>
                <w:sz w:val="20"/>
              </w:rPr>
              <w:t>2023</w:t>
            </w:r>
          </w:p>
        </w:tc>
        <w:tc>
          <w:tcPr>
            <w:tcW w:w="976" w:type="dxa"/>
            <w:vAlign w:val="center"/>
          </w:tcPr>
          <w:p w14:paraId="7AB2D74A" w14:textId="77777777" w:rsidR="007D7104" w:rsidRPr="006601BC" w:rsidRDefault="007D7104" w:rsidP="00190BB5">
            <w:pPr>
              <w:jc w:val="center"/>
              <w:rPr>
                <w:noProof/>
                <w:sz w:val="20"/>
              </w:rPr>
            </w:pPr>
            <w:r w:rsidRPr="006601BC">
              <w:rPr>
                <w:b/>
                <w:noProof/>
                <w:sz w:val="20"/>
              </w:rPr>
              <w:t>2024</w:t>
            </w:r>
          </w:p>
        </w:tc>
        <w:tc>
          <w:tcPr>
            <w:tcW w:w="1004" w:type="dxa"/>
            <w:vAlign w:val="center"/>
          </w:tcPr>
          <w:p w14:paraId="39FA1F5B" w14:textId="77777777" w:rsidR="007D7104" w:rsidRPr="006601BC" w:rsidRDefault="007D7104" w:rsidP="00190BB5">
            <w:pPr>
              <w:jc w:val="center"/>
              <w:rPr>
                <w:b/>
                <w:noProof/>
                <w:sz w:val="18"/>
              </w:rPr>
            </w:pPr>
            <w:r w:rsidRPr="006601BC">
              <w:rPr>
                <w:b/>
                <w:noProof/>
                <w:sz w:val="18"/>
              </w:rPr>
              <w:t>2025</w:t>
            </w:r>
          </w:p>
        </w:tc>
        <w:tc>
          <w:tcPr>
            <w:tcW w:w="990" w:type="dxa"/>
            <w:vAlign w:val="center"/>
          </w:tcPr>
          <w:p w14:paraId="4B91A812" w14:textId="77777777" w:rsidR="007D7104" w:rsidRPr="006601BC" w:rsidRDefault="007D7104" w:rsidP="00190BB5">
            <w:pPr>
              <w:jc w:val="center"/>
              <w:rPr>
                <w:b/>
                <w:noProof/>
                <w:sz w:val="18"/>
              </w:rPr>
            </w:pPr>
            <w:r w:rsidRPr="006601BC">
              <w:rPr>
                <w:b/>
                <w:noProof/>
                <w:sz w:val="18"/>
              </w:rPr>
              <w:t>2026</w:t>
            </w:r>
          </w:p>
        </w:tc>
        <w:tc>
          <w:tcPr>
            <w:tcW w:w="1031" w:type="dxa"/>
            <w:vAlign w:val="center"/>
          </w:tcPr>
          <w:p w14:paraId="2DE9955B" w14:textId="77777777" w:rsidR="007D7104" w:rsidRPr="006601BC" w:rsidRDefault="007D7104" w:rsidP="00190BB5">
            <w:pPr>
              <w:jc w:val="center"/>
              <w:rPr>
                <w:b/>
                <w:noProof/>
                <w:sz w:val="18"/>
              </w:rPr>
            </w:pPr>
            <w:r w:rsidRPr="006601BC">
              <w:rPr>
                <w:b/>
                <w:noProof/>
                <w:sz w:val="18"/>
              </w:rPr>
              <w:t>2027</w:t>
            </w:r>
          </w:p>
        </w:tc>
        <w:tc>
          <w:tcPr>
            <w:tcW w:w="992" w:type="dxa"/>
          </w:tcPr>
          <w:p w14:paraId="75137D3A" w14:textId="77777777" w:rsidR="007D7104" w:rsidRPr="006601BC" w:rsidRDefault="007D7104" w:rsidP="00190BB5">
            <w:pPr>
              <w:jc w:val="center"/>
              <w:rPr>
                <w:b/>
                <w:noProof/>
                <w:sz w:val="20"/>
              </w:rPr>
            </w:pPr>
            <w:r w:rsidRPr="006601BC">
              <w:rPr>
                <w:b/>
                <w:i/>
                <w:noProof/>
                <w:sz w:val="20"/>
              </w:rPr>
              <w:t>2027 után</w:t>
            </w:r>
          </w:p>
        </w:tc>
        <w:tc>
          <w:tcPr>
            <w:tcW w:w="1127" w:type="dxa"/>
            <w:vAlign w:val="center"/>
          </w:tcPr>
          <w:p w14:paraId="07B80A9E" w14:textId="77777777" w:rsidR="007D7104" w:rsidRPr="006601BC" w:rsidRDefault="007D7104" w:rsidP="00190BB5">
            <w:pPr>
              <w:jc w:val="center"/>
              <w:rPr>
                <w:b/>
                <w:noProof/>
                <w:sz w:val="20"/>
              </w:rPr>
            </w:pPr>
            <w:r w:rsidRPr="006601BC">
              <w:rPr>
                <w:b/>
                <w:noProof/>
                <w:sz w:val="20"/>
              </w:rPr>
              <w:t>ÖSSZESEN</w:t>
            </w:r>
          </w:p>
        </w:tc>
      </w:tr>
      <w:tr w:rsidR="007D7104" w:rsidRPr="006601BC" w14:paraId="294C53B3" w14:textId="77777777" w:rsidTr="00190BB5">
        <w:trPr>
          <w:trHeight w:val="213"/>
        </w:trPr>
        <w:tc>
          <w:tcPr>
            <w:tcW w:w="5580" w:type="dxa"/>
            <w:gridSpan w:val="4"/>
            <w:vAlign w:val="center"/>
          </w:tcPr>
          <w:p w14:paraId="418A286E" w14:textId="77777777" w:rsidR="007D7104" w:rsidRPr="006601BC" w:rsidRDefault="007D7104" w:rsidP="00190BB5">
            <w:pPr>
              <w:spacing w:before="20" w:after="20"/>
              <w:rPr>
                <w:noProof/>
                <w:sz w:val="21"/>
              </w:rPr>
            </w:pPr>
            <w:r w:rsidRPr="006601BC">
              <w:rPr>
                <w:noProof/>
                <w:sz w:val="21"/>
              </w:rPr>
              <w:sym w:font="Wingdings" w:char="F09F"/>
            </w:r>
            <w:r w:rsidRPr="006601BC">
              <w:rPr>
                <w:noProof/>
                <w:sz w:val="21"/>
              </w:rPr>
              <w:t xml:space="preserve"> Operatív előirányzatok (C1 és NGEU-hitelek)</w:t>
            </w:r>
          </w:p>
        </w:tc>
        <w:tc>
          <w:tcPr>
            <w:tcW w:w="990" w:type="dxa"/>
            <w:vAlign w:val="center"/>
          </w:tcPr>
          <w:p w14:paraId="6C3DC85E" w14:textId="77777777" w:rsidR="007D7104" w:rsidRPr="006601BC" w:rsidRDefault="007D7104" w:rsidP="00190BB5">
            <w:pPr>
              <w:rPr>
                <w:noProof/>
                <w:sz w:val="20"/>
              </w:rPr>
            </w:pPr>
          </w:p>
        </w:tc>
        <w:tc>
          <w:tcPr>
            <w:tcW w:w="990" w:type="dxa"/>
            <w:vAlign w:val="center"/>
          </w:tcPr>
          <w:p w14:paraId="193CB822" w14:textId="77777777" w:rsidR="007D7104" w:rsidRPr="006601BC" w:rsidRDefault="007D7104" w:rsidP="00190BB5">
            <w:pPr>
              <w:rPr>
                <w:noProof/>
                <w:sz w:val="20"/>
              </w:rPr>
            </w:pPr>
          </w:p>
        </w:tc>
        <w:tc>
          <w:tcPr>
            <w:tcW w:w="990" w:type="dxa"/>
            <w:vAlign w:val="center"/>
          </w:tcPr>
          <w:p w14:paraId="4970BF1A" w14:textId="77777777" w:rsidR="007D7104" w:rsidRPr="006601BC" w:rsidRDefault="007D7104" w:rsidP="00190BB5">
            <w:pPr>
              <w:rPr>
                <w:noProof/>
                <w:sz w:val="20"/>
              </w:rPr>
            </w:pPr>
          </w:p>
        </w:tc>
        <w:tc>
          <w:tcPr>
            <w:tcW w:w="976" w:type="dxa"/>
            <w:vAlign w:val="center"/>
          </w:tcPr>
          <w:p w14:paraId="05601E9E" w14:textId="77777777" w:rsidR="007D7104" w:rsidRPr="006601BC" w:rsidRDefault="007D7104" w:rsidP="00190BB5">
            <w:pPr>
              <w:rPr>
                <w:noProof/>
                <w:sz w:val="20"/>
              </w:rPr>
            </w:pPr>
          </w:p>
        </w:tc>
        <w:tc>
          <w:tcPr>
            <w:tcW w:w="1004" w:type="dxa"/>
            <w:vAlign w:val="center"/>
          </w:tcPr>
          <w:p w14:paraId="53834287" w14:textId="77777777" w:rsidR="007D7104" w:rsidRPr="006601BC" w:rsidRDefault="007D7104" w:rsidP="00190BB5">
            <w:pPr>
              <w:rPr>
                <w:noProof/>
                <w:sz w:val="20"/>
              </w:rPr>
            </w:pPr>
          </w:p>
        </w:tc>
        <w:tc>
          <w:tcPr>
            <w:tcW w:w="990" w:type="dxa"/>
            <w:vAlign w:val="center"/>
          </w:tcPr>
          <w:p w14:paraId="6D9C188C" w14:textId="77777777" w:rsidR="007D7104" w:rsidRPr="006601BC" w:rsidRDefault="007D7104" w:rsidP="00190BB5">
            <w:pPr>
              <w:rPr>
                <w:noProof/>
                <w:sz w:val="20"/>
              </w:rPr>
            </w:pPr>
          </w:p>
        </w:tc>
        <w:tc>
          <w:tcPr>
            <w:tcW w:w="1031" w:type="dxa"/>
            <w:vAlign w:val="center"/>
          </w:tcPr>
          <w:p w14:paraId="18669518" w14:textId="77777777" w:rsidR="007D7104" w:rsidRPr="006601BC" w:rsidRDefault="007D7104" w:rsidP="00190BB5">
            <w:pPr>
              <w:rPr>
                <w:b/>
                <w:noProof/>
                <w:sz w:val="20"/>
              </w:rPr>
            </w:pPr>
          </w:p>
        </w:tc>
        <w:tc>
          <w:tcPr>
            <w:tcW w:w="992" w:type="dxa"/>
          </w:tcPr>
          <w:p w14:paraId="3272724A" w14:textId="77777777" w:rsidR="007D7104" w:rsidRPr="006601BC" w:rsidRDefault="007D7104" w:rsidP="00190BB5">
            <w:pPr>
              <w:rPr>
                <w:b/>
                <w:noProof/>
                <w:sz w:val="20"/>
              </w:rPr>
            </w:pPr>
          </w:p>
        </w:tc>
        <w:tc>
          <w:tcPr>
            <w:tcW w:w="1127" w:type="dxa"/>
            <w:vAlign w:val="center"/>
          </w:tcPr>
          <w:p w14:paraId="6B97600A" w14:textId="77777777" w:rsidR="007D7104" w:rsidRPr="006601BC" w:rsidRDefault="007D7104" w:rsidP="00190BB5">
            <w:pPr>
              <w:rPr>
                <w:b/>
                <w:noProof/>
                <w:sz w:val="20"/>
              </w:rPr>
            </w:pPr>
          </w:p>
        </w:tc>
      </w:tr>
      <w:tr w:rsidR="007D7104" w:rsidRPr="006601BC" w14:paraId="44A4ED0B" w14:textId="77777777" w:rsidTr="00190BB5">
        <w:trPr>
          <w:trHeight w:val="277"/>
        </w:trPr>
        <w:tc>
          <w:tcPr>
            <w:tcW w:w="3780" w:type="dxa"/>
            <w:gridSpan w:val="2"/>
            <w:vMerge w:val="restart"/>
            <w:vAlign w:val="center"/>
          </w:tcPr>
          <w:p w14:paraId="7033BB70" w14:textId="77777777" w:rsidR="007D7104" w:rsidRPr="006601BC" w:rsidRDefault="007D7104" w:rsidP="00190BB5">
            <w:pPr>
              <w:rPr>
                <w:noProof/>
              </w:rPr>
            </w:pPr>
            <w:r w:rsidRPr="006601BC">
              <w:rPr>
                <w:noProof/>
                <w:sz w:val="20"/>
              </w:rPr>
              <w:t>01 02 02 10 – Horizont Európa</w:t>
            </w:r>
            <w:r w:rsidRPr="006601BC">
              <w:rPr>
                <w:rStyle w:val="FootnoteReference"/>
                <w:noProof/>
                <w:sz w:val="20"/>
              </w:rPr>
              <w:footnoteReference w:id="36"/>
            </w:r>
            <w:r w:rsidRPr="006601BC">
              <w:rPr>
                <w:rStyle w:val="FootnoteReference"/>
                <w:noProof/>
                <w:sz w:val="20"/>
              </w:rPr>
              <w:footnoteReference w:id="37"/>
            </w:r>
          </w:p>
        </w:tc>
        <w:tc>
          <w:tcPr>
            <w:tcW w:w="1260" w:type="dxa"/>
            <w:vAlign w:val="center"/>
          </w:tcPr>
          <w:p w14:paraId="0BAAA77C" w14:textId="77777777" w:rsidR="007D7104" w:rsidRPr="006601BC" w:rsidRDefault="007D7104" w:rsidP="00190BB5">
            <w:pPr>
              <w:spacing w:before="20" w:after="20"/>
              <w:rPr>
                <w:noProof/>
                <w:sz w:val="18"/>
              </w:rPr>
            </w:pPr>
            <w:r w:rsidRPr="006601BC">
              <w:rPr>
                <w:noProof/>
                <w:sz w:val="18"/>
              </w:rPr>
              <w:t>Kötelezettségvállalási előirányzatok</w:t>
            </w:r>
          </w:p>
        </w:tc>
        <w:tc>
          <w:tcPr>
            <w:tcW w:w="540" w:type="dxa"/>
            <w:vAlign w:val="center"/>
          </w:tcPr>
          <w:p w14:paraId="2CE7F3D3" w14:textId="77777777" w:rsidR="007D7104" w:rsidRPr="006601BC" w:rsidRDefault="007D7104" w:rsidP="00190BB5">
            <w:pPr>
              <w:spacing w:before="20" w:after="20"/>
              <w:jc w:val="center"/>
              <w:rPr>
                <w:noProof/>
                <w:sz w:val="14"/>
              </w:rPr>
            </w:pPr>
            <w:r w:rsidRPr="006601BC">
              <w:rPr>
                <w:noProof/>
                <w:sz w:val="14"/>
              </w:rPr>
              <w:t>(1)</w:t>
            </w:r>
          </w:p>
        </w:tc>
        <w:tc>
          <w:tcPr>
            <w:tcW w:w="990" w:type="dxa"/>
            <w:vAlign w:val="center"/>
          </w:tcPr>
          <w:p w14:paraId="5981ACD5" w14:textId="77777777" w:rsidR="007D7104" w:rsidRPr="006601BC" w:rsidRDefault="007D7104" w:rsidP="00190BB5">
            <w:pPr>
              <w:spacing w:before="20" w:after="20"/>
              <w:jc w:val="right"/>
              <w:rPr>
                <w:noProof/>
                <w:sz w:val="20"/>
              </w:rPr>
            </w:pPr>
          </w:p>
        </w:tc>
        <w:tc>
          <w:tcPr>
            <w:tcW w:w="990" w:type="dxa"/>
            <w:vAlign w:val="center"/>
          </w:tcPr>
          <w:p w14:paraId="5ED056A5" w14:textId="77777777" w:rsidR="007D7104" w:rsidRPr="006601BC" w:rsidRDefault="007D7104" w:rsidP="00190BB5">
            <w:pPr>
              <w:spacing w:before="20" w:after="20"/>
              <w:jc w:val="right"/>
              <w:rPr>
                <w:noProof/>
                <w:sz w:val="20"/>
              </w:rPr>
            </w:pPr>
            <w:r w:rsidRPr="006601BC">
              <w:rPr>
                <w:noProof/>
                <w:color w:val="000000"/>
                <w:sz w:val="20"/>
                <w:szCs w:val="20"/>
              </w:rPr>
              <w:t>394,553</w:t>
            </w:r>
          </w:p>
        </w:tc>
        <w:tc>
          <w:tcPr>
            <w:tcW w:w="990" w:type="dxa"/>
            <w:vAlign w:val="center"/>
          </w:tcPr>
          <w:p w14:paraId="7998EE06" w14:textId="77777777" w:rsidR="007D7104" w:rsidRPr="006601BC" w:rsidRDefault="007D7104" w:rsidP="00190BB5">
            <w:pPr>
              <w:spacing w:before="20" w:after="20"/>
              <w:jc w:val="right"/>
              <w:rPr>
                <w:noProof/>
                <w:sz w:val="20"/>
              </w:rPr>
            </w:pPr>
            <w:r w:rsidRPr="006601BC">
              <w:rPr>
                <w:noProof/>
                <w:color w:val="000000"/>
                <w:sz w:val="20"/>
                <w:szCs w:val="20"/>
              </w:rPr>
              <w:t>418,135</w:t>
            </w:r>
          </w:p>
        </w:tc>
        <w:tc>
          <w:tcPr>
            <w:tcW w:w="976" w:type="dxa"/>
            <w:vAlign w:val="center"/>
          </w:tcPr>
          <w:p w14:paraId="7AF06692" w14:textId="77777777" w:rsidR="007D7104" w:rsidRPr="006601BC" w:rsidRDefault="007D7104" w:rsidP="00190BB5">
            <w:pPr>
              <w:spacing w:before="20" w:after="20"/>
              <w:jc w:val="right"/>
              <w:rPr>
                <w:noProof/>
                <w:sz w:val="20"/>
              </w:rPr>
            </w:pPr>
            <w:r w:rsidRPr="006601BC">
              <w:rPr>
                <w:noProof/>
                <w:color w:val="000000"/>
                <w:sz w:val="20"/>
                <w:szCs w:val="20"/>
              </w:rPr>
              <w:t>212,937</w:t>
            </w:r>
          </w:p>
        </w:tc>
        <w:tc>
          <w:tcPr>
            <w:tcW w:w="1004" w:type="dxa"/>
            <w:vAlign w:val="center"/>
          </w:tcPr>
          <w:p w14:paraId="739BDBC2" w14:textId="77777777" w:rsidR="007D7104" w:rsidRPr="006601BC" w:rsidRDefault="007D7104" w:rsidP="00190BB5">
            <w:pPr>
              <w:spacing w:before="20" w:after="20"/>
              <w:jc w:val="right"/>
              <w:rPr>
                <w:noProof/>
                <w:sz w:val="20"/>
              </w:rPr>
            </w:pPr>
            <w:r w:rsidRPr="006601BC">
              <w:rPr>
                <w:noProof/>
                <w:color w:val="000000"/>
                <w:sz w:val="20"/>
                <w:szCs w:val="20"/>
              </w:rPr>
              <w:t>222,619</w:t>
            </w:r>
          </w:p>
        </w:tc>
        <w:tc>
          <w:tcPr>
            <w:tcW w:w="990" w:type="dxa"/>
            <w:vAlign w:val="center"/>
          </w:tcPr>
          <w:p w14:paraId="3D4A90E5" w14:textId="77777777" w:rsidR="007D7104" w:rsidRPr="006601BC" w:rsidRDefault="007D7104" w:rsidP="00190BB5">
            <w:pPr>
              <w:spacing w:before="20" w:after="20"/>
              <w:jc w:val="right"/>
              <w:rPr>
                <w:noProof/>
                <w:sz w:val="20"/>
              </w:rPr>
            </w:pPr>
            <w:r w:rsidRPr="006601BC">
              <w:rPr>
                <w:noProof/>
                <w:color w:val="000000"/>
                <w:sz w:val="20"/>
                <w:szCs w:val="20"/>
              </w:rPr>
              <w:t>229,512</w:t>
            </w:r>
          </w:p>
        </w:tc>
        <w:tc>
          <w:tcPr>
            <w:tcW w:w="1031" w:type="dxa"/>
            <w:vAlign w:val="center"/>
          </w:tcPr>
          <w:p w14:paraId="70A57EED" w14:textId="77777777" w:rsidR="007D7104" w:rsidRPr="006601BC" w:rsidRDefault="007D7104" w:rsidP="00190BB5">
            <w:pPr>
              <w:spacing w:before="20" w:after="20"/>
              <w:jc w:val="right"/>
              <w:rPr>
                <w:b/>
                <w:noProof/>
                <w:sz w:val="20"/>
              </w:rPr>
            </w:pPr>
            <w:r w:rsidRPr="006601BC">
              <w:rPr>
                <w:noProof/>
                <w:color w:val="000000"/>
                <w:sz w:val="20"/>
                <w:szCs w:val="20"/>
              </w:rPr>
              <w:t>231,272</w:t>
            </w:r>
          </w:p>
        </w:tc>
        <w:tc>
          <w:tcPr>
            <w:tcW w:w="992" w:type="dxa"/>
            <w:vAlign w:val="center"/>
          </w:tcPr>
          <w:p w14:paraId="18032CDB" w14:textId="77777777" w:rsidR="007D7104" w:rsidRPr="006601BC" w:rsidRDefault="007D7104" w:rsidP="00190BB5">
            <w:pPr>
              <w:spacing w:before="20" w:after="20"/>
              <w:jc w:val="right"/>
              <w:rPr>
                <w:b/>
                <w:noProof/>
                <w:sz w:val="20"/>
              </w:rPr>
            </w:pPr>
          </w:p>
        </w:tc>
        <w:tc>
          <w:tcPr>
            <w:tcW w:w="1127" w:type="dxa"/>
            <w:vAlign w:val="center"/>
          </w:tcPr>
          <w:p w14:paraId="4CDC909E" w14:textId="77777777" w:rsidR="007D7104" w:rsidRPr="006601BC" w:rsidRDefault="007D7104" w:rsidP="00190BB5">
            <w:pPr>
              <w:spacing w:before="0" w:after="0"/>
              <w:jc w:val="right"/>
              <w:rPr>
                <w:b/>
                <w:bCs/>
                <w:noProof/>
                <w:color w:val="000000"/>
                <w:sz w:val="20"/>
                <w:szCs w:val="20"/>
              </w:rPr>
            </w:pPr>
            <w:r w:rsidRPr="006601BC">
              <w:rPr>
                <w:b/>
                <w:bCs/>
                <w:noProof/>
                <w:color w:val="000000"/>
                <w:sz w:val="20"/>
                <w:szCs w:val="20"/>
              </w:rPr>
              <w:t>1 709,027</w:t>
            </w:r>
          </w:p>
        </w:tc>
      </w:tr>
      <w:tr w:rsidR="007D7104" w:rsidRPr="006601BC" w14:paraId="4DAD706E" w14:textId="77777777" w:rsidTr="00190BB5">
        <w:tc>
          <w:tcPr>
            <w:tcW w:w="3780" w:type="dxa"/>
            <w:gridSpan w:val="2"/>
            <w:vMerge/>
          </w:tcPr>
          <w:p w14:paraId="06268B34" w14:textId="77777777" w:rsidR="007D7104" w:rsidRPr="006601BC" w:rsidRDefault="007D7104" w:rsidP="00190BB5">
            <w:pPr>
              <w:jc w:val="center"/>
              <w:rPr>
                <w:noProof/>
                <w:sz w:val="20"/>
              </w:rPr>
            </w:pPr>
          </w:p>
        </w:tc>
        <w:tc>
          <w:tcPr>
            <w:tcW w:w="1260" w:type="dxa"/>
            <w:vAlign w:val="center"/>
          </w:tcPr>
          <w:p w14:paraId="0FB6F2F4" w14:textId="77777777" w:rsidR="007D7104" w:rsidRPr="006601BC" w:rsidRDefault="007D7104" w:rsidP="00190BB5">
            <w:pPr>
              <w:spacing w:before="20" w:after="20"/>
              <w:rPr>
                <w:noProof/>
                <w:sz w:val="18"/>
              </w:rPr>
            </w:pPr>
            <w:r w:rsidRPr="006601BC">
              <w:rPr>
                <w:noProof/>
                <w:sz w:val="18"/>
              </w:rPr>
              <w:t>Kifizetési előirányzatok</w:t>
            </w:r>
          </w:p>
        </w:tc>
        <w:tc>
          <w:tcPr>
            <w:tcW w:w="540" w:type="dxa"/>
            <w:vAlign w:val="center"/>
          </w:tcPr>
          <w:p w14:paraId="789342CB" w14:textId="77777777" w:rsidR="007D7104" w:rsidRPr="006601BC" w:rsidRDefault="007D7104" w:rsidP="00190BB5">
            <w:pPr>
              <w:spacing w:before="20" w:after="20"/>
              <w:jc w:val="center"/>
              <w:rPr>
                <w:noProof/>
                <w:sz w:val="14"/>
              </w:rPr>
            </w:pPr>
            <w:r w:rsidRPr="006601BC">
              <w:rPr>
                <w:noProof/>
                <w:sz w:val="14"/>
              </w:rPr>
              <w:t>(2)</w:t>
            </w:r>
          </w:p>
        </w:tc>
        <w:tc>
          <w:tcPr>
            <w:tcW w:w="990" w:type="dxa"/>
            <w:vAlign w:val="center"/>
          </w:tcPr>
          <w:p w14:paraId="447662E0" w14:textId="77777777" w:rsidR="007D7104" w:rsidRPr="006601BC" w:rsidRDefault="007D7104" w:rsidP="00190BB5">
            <w:pPr>
              <w:spacing w:before="20" w:after="20"/>
              <w:jc w:val="right"/>
              <w:rPr>
                <w:noProof/>
                <w:sz w:val="20"/>
              </w:rPr>
            </w:pPr>
          </w:p>
        </w:tc>
        <w:tc>
          <w:tcPr>
            <w:tcW w:w="990" w:type="dxa"/>
            <w:vAlign w:val="center"/>
          </w:tcPr>
          <w:p w14:paraId="0CBC1268" w14:textId="77777777" w:rsidR="007D7104" w:rsidRPr="006601BC" w:rsidRDefault="007D7104" w:rsidP="00190BB5">
            <w:pPr>
              <w:spacing w:before="20" w:after="20"/>
              <w:jc w:val="right"/>
              <w:rPr>
                <w:noProof/>
                <w:sz w:val="20"/>
              </w:rPr>
            </w:pPr>
            <w:r w:rsidRPr="006601BC">
              <w:rPr>
                <w:noProof/>
                <w:color w:val="000000"/>
                <w:sz w:val="20"/>
                <w:szCs w:val="20"/>
              </w:rPr>
              <w:t>157,821</w:t>
            </w:r>
          </w:p>
        </w:tc>
        <w:tc>
          <w:tcPr>
            <w:tcW w:w="990" w:type="dxa"/>
            <w:vAlign w:val="center"/>
          </w:tcPr>
          <w:p w14:paraId="261AC9E5" w14:textId="77777777" w:rsidR="007D7104" w:rsidRPr="006601BC" w:rsidRDefault="007D7104" w:rsidP="00190BB5">
            <w:pPr>
              <w:spacing w:before="20" w:after="20"/>
              <w:jc w:val="right"/>
              <w:rPr>
                <w:noProof/>
                <w:sz w:val="20"/>
              </w:rPr>
            </w:pPr>
            <w:r w:rsidRPr="006601BC">
              <w:rPr>
                <w:noProof/>
                <w:color w:val="000000"/>
                <w:sz w:val="20"/>
                <w:szCs w:val="20"/>
              </w:rPr>
              <w:t>285,620</w:t>
            </w:r>
          </w:p>
        </w:tc>
        <w:tc>
          <w:tcPr>
            <w:tcW w:w="976" w:type="dxa"/>
            <w:vAlign w:val="center"/>
          </w:tcPr>
          <w:p w14:paraId="6CC00CD0" w14:textId="77777777" w:rsidR="007D7104" w:rsidRPr="006601BC" w:rsidRDefault="007D7104" w:rsidP="00190BB5">
            <w:pPr>
              <w:spacing w:before="20" w:after="20"/>
              <w:jc w:val="right"/>
              <w:rPr>
                <w:noProof/>
                <w:sz w:val="20"/>
              </w:rPr>
            </w:pPr>
            <w:r w:rsidRPr="006601BC">
              <w:rPr>
                <w:noProof/>
                <w:color w:val="000000"/>
                <w:sz w:val="20"/>
                <w:szCs w:val="20"/>
              </w:rPr>
              <w:t>328,981</w:t>
            </w:r>
          </w:p>
        </w:tc>
        <w:tc>
          <w:tcPr>
            <w:tcW w:w="1004" w:type="dxa"/>
            <w:vAlign w:val="center"/>
          </w:tcPr>
          <w:p w14:paraId="1EB8715D" w14:textId="77777777" w:rsidR="007D7104" w:rsidRPr="006601BC" w:rsidRDefault="007D7104" w:rsidP="00190BB5">
            <w:pPr>
              <w:spacing w:before="20" w:after="20"/>
              <w:jc w:val="right"/>
              <w:rPr>
                <w:noProof/>
                <w:sz w:val="20"/>
              </w:rPr>
            </w:pPr>
            <w:r w:rsidRPr="006601BC">
              <w:rPr>
                <w:noProof/>
                <w:color w:val="000000"/>
                <w:sz w:val="20"/>
                <w:szCs w:val="20"/>
              </w:rPr>
              <w:t>278,369</w:t>
            </w:r>
          </w:p>
        </w:tc>
        <w:tc>
          <w:tcPr>
            <w:tcW w:w="990" w:type="dxa"/>
            <w:vAlign w:val="center"/>
          </w:tcPr>
          <w:p w14:paraId="24E1C28C" w14:textId="77777777" w:rsidR="007D7104" w:rsidRPr="006601BC" w:rsidRDefault="007D7104" w:rsidP="00190BB5">
            <w:pPr>
              <w:spacing w:before="20" w:after="20"/>
              <w:jc w:val="right"/>
              <w:rPr>
                <w:noProof/>
                <w:sz w:val="20"/>
              </w:rPr>
            </w:pPr>
            <w:r w:rsidRPr="006601BC">
              <w:rPr>
                <w:noProof/>
                <w:color w:val="000000"/>
                <w:sz w:val="20"/>
                <w:szCs w:val="20"/>
              </w:rPr>
              <w:t>222,471</w:t>
            </w:r>
          </w:p>
        </w:tc>
        <w:tc>
          <w:tcPr>
            <w:tcW w:w="1031" w:type="dxa"/>
            <w:vAlign w:val="center"/>
          </w:tcPr>
          <w:p w14:paraId="03F12C76" w14:textId="77777777" w:rsidR="007D7104" w:rsidRPr="006601BC" w:rsidRDefault="007D7104" w:rsidP="00190BB5">
            <w:pPr>
              <w:spacing w:before="20" w:after="20"/>
              <w:jc w:val="right"/>
              <w:rPr>
                <w:b/>
                <w:noProof/>
                <w:sz w:val="20"/>
              </w:rPr>
            </w:pPr>
            <w:r w:rsidRPr="006601BC">
              <w:rPr>
                <w:noProof/>
                <w:color w:val="000000"/>
                <w:sz w:val="20"/>
                <w:szCs w:val="20"/>
              </w:rPr>
              <w:t>228,148</w:t>
            </w:r>
          </w:p>
        </w:tc>
        <w:tc>
          <w:tcPr>
            <w:tcW w:w="992" w:type="dxa"/>
            <w:vAlign w:val="center"/>
          </w:tcPr>
          <w:p w14:paraId="564355CD" w14:textId="77777777" w:rsidR="007D7104" w:rsidRPr="006601BC" w:rsidRDefault="007D7104" w:rsidP="00190BB5">
            <w:pPr>
              <w:spacing w:before="20" w:after="20"/>
              <w:jc w:val="right"/>
              <w:rPr>
                <w:b/>
                <w:noProof/>
                <w:sz w:val="20"/>
              </w:rPr>
            </w:pPr>
            <w:r w:rsidRPr="006601BC">
              <w:rPr>
                <w:noProof/>
                <w:color w:val="000000"/>
                <w:sz w:val="20"/>
                <w:szCs w:val="20"/>
              </w:rPr>
              <w:t>207,616</w:t>
            </w:r>
          </w:p>
        </w:tc>
        <w:tc>
          <w:tcPr>
            <w:tcW w:w="1127" w:type="dxa"/>
            <w:vAlign w:val="center"/>
          </w:tcPr>
          <w:p w14:paraId="703F7662" w14:textId="77777777" w:rsidR="007D7104" w:rsidRPr="006601BC" w:rsidRDefault="007D7104" w:rsidP="00190BB5">
            <w:pPr>
              <w:spacing w:before="20" w:after="20"/>
              <w:jc w:val="right"/>
              <w:rPr>
                <w:b/>
                <w:noProof/>
                <w:sz w:val="20"/>
              </w:rPr>
            </w:pPr>
            <w:r w:rsidRPr="006601BC">
              <w:rPr>
                <w:b/>
                <w:bCs/>
                <w:noProof/>
                <w:color w:val="000000"/>
                <w:sz w:val="20"/>
                <w:szCs w:val="20"/>
              </w:rPr>
              <w:t>1 709,027</w:t>
            </w:r>
          </w:p>
        </w:tc>
      </w:tr>
      <w:tr w:rsidR="007D7104" w:rsidRPr="006601BC" w14:paraId="05F6B782" w14:textId="77777777" w:rsidTr="00190BB5">
        <w:trPr>
          <w:trHeight w:val="231"/>
        </w:trPr>
        <w:tc>
          <w:tcPr>
            <w:tcW w:w="3720" w:type="dxa"/>
            <w:vAlign w:val="center"/>
          </w:tcPr>
          <w:p w14:paraId="11BF1C48" w14:textId="77777777" w:rsidR="007D7104" w:rsidRPr="006601BC" w:rsidRDefault="007D7104" w:rsidP="00190BB5">
            <w:pPr>
              <w:spacing w:before="20" w:after="20"/>
              <w:rPr>
                <w:noProof/>
              </w:rPr>
            </w:pPr>
            <w:r w:rsidRPr="006601BC">
              <w:rPr>
                <w:noProof/>
                <w:sz w:val="21"/>
              </w:rPr>
              <w:sym w:font="Wingdings" w:char="F09F"/>
            </w:r>
            <w:r w:rsidRPr="006601BC">
              <w:rPr>
                <w:noProof/>
                <w:sz w:val="21"/>
              </w:rPr>
              <w:t xml:space="preserve"> Bizonyos egyedi programok keretéből finanszírozott igazgatási jellegű előirányzatok</w:t>
            </w:r>
          </w:p>
        </w:tc>
        <w:tc>
          <w:tcPr>
            <w:tcW w:w="1320" w:type="dxa"/>
            <w:gridSpan w:val="2"/>
            <w:vAlign w:val="center"/>
          </w:tcPr>
          <w:p w14:paraId="6BACB458" w14:textId="77777777" w:rsidR="007D7104" w:rsidRPr="006601BC" w:rsidRDefault="007D7104" w:rsidP="00190BB5">
            <w:pPr>
              <w:spacing w:before="0" w:after="0"/>
              <w:rPr>
                <w:noProof/>
              </w:rPr>
            </w:pPr>
          </w:p>
        </w:tc>
        <w:tc>
          <w:tcPr>
            <w:tcW w:w="540" w:type="dxa"/>
            <w:vAlign w:val="center"/>
          </w:tcPr>
          <w:p w14:paraId="5B8F8B07" w14:textId="77777777" w:rsidR="007D7104" w:rsidRPr="006601BC" w:rsidRDefault="007D7104" w:rsidP="00190BB5">
            <w:pPr>
              <w:spacing w:before="20" w:after="20"/>
              <w:jc w:val="center"/>
              <w:rPr>
                <w:noProof/>
              </w:rPr>
            </w:pPr>
          </w:p>
        </w:tc>
        <w:tc>
          <w:tcPr>
            <w:tcW w:w="990" w:type="dxa"/>
            <w:vAlign w:val="center"/>
          </w:tcPr>
          <w:p w14:paraId="2CD57D83" w14:textId="77777777" w:rsidR="007D7104" w:rsidRPr="006601BC" w:rsidRDefault="007D7104" w:rsidP="00190BB5">
            <w:pPr>
              <w:rPr>
                <w:b/>
                <w:noProof/>
                <w:sz w:val="20"/>
              </w:rPr>
            </w:pPr>
          </w:p>
        </w:tc>
        <w:tc>
          <w:tcPr>
            <w:tcW w:w="990" w:type="dxa"/>
            <w:vAlign w:val="center"/>
          </w:tcPr>
          <w:p w14:paraId="153CC8A2" w14:textId="77777777" w:rsidR="007D7104" w:rsidRPr="006601BC" w:rsidRDefault="007D7104" w:rsidP="00190BB5">
            <w:pPr>
              <w:rPr>
                <w:b/>
                <w:noProof/>
                <w:sz w:val="20"/>
              </w:rPr>
            </w:pPr>
            <w:r w:rsidRPr="006601BC">
              <w:rPr>
                <w:b/>
                <w:bCs/>
                <w:noProof/>
                <w:color w:val="000000"/>
                <w:sz w:val="20"/>
              </w:rPr>
              <w:t xml:space="preserve"> </w:t>
            </w:r>
          </w:p>
        </w:tc>
        <w:tc>
          <w:tcPr>
            <w:tcW w:w="990" w:type="dxa"/>
            <w:vAlign w:val="center"/>
          </w:tcPr>
          <w:p w14:paraId="57E9B19D" w14:textId="77777777" w:rsidR="007D7104" w:rsidRPr="006601BC" w:rsidRDefault="007D7104" w:rsidP="00190BB5">
            <w:pPr>
              <w:rPr>
                <w:b/>
                <w:noProof/>
                <w:sz w:val="20"/>
              </w:rPr>
            </w:pPr>
            <w:r w:rsidRPr="006601BC">
              <w:rPr>
                <w:b/>
                <w:bCs/>
                <w:noProof/>
                <w:color w:val="000000"/>
                <w:sz w:val="20"/>
              </w:rPr>
              <w:t xml:space="preserve"> </w:t>
            </w:r>
          </w:p>
        </w:tc>
        <w:tc>
          <w:tcPr>
            <w:tcW w:w="976" w:type="dxa"/>
            <w:vAlign w:val="center"/>
          </w:tcPr>
          <w:p w14:paraId="3B4FA7CE" w14:textId="77777777" w:rsidR="007D7104" w:rsidRPr="006601BC" w:rsidRDefault="007D7104" w:rsidP="00190BB5">
            <w:pPr>
              <w:rPr>
                <w:b/>
                <w:noProof/>
                <w:sz w:val="20"/>
              </w:rPr>
            </w:pPr>
            <w:r w:rsidRPr="006601BC">
              <w:rPr>
                <w:b/>
                <w:bCs/>
                <w:noProof/>
                <w:color w:val="000000"/>
                <w:sz w:val="20"/>
              </w:rPr>
              <w:t xml:space="preserve"> </w:t>
            </w:r>
          </w:p>
        </w:tc>
        <w:tc>
          <w:tcPr>
            <w:tcW w:w="1004" w:type="dxa"/>
            <w:vAlign w:val="center"/>
          </w:tcPr>
          <w:p w14:paraId="79E56685" w14:textId="77777777" w:rsidR="007D7104" w:rsidRPr="006601BC" w:rsidRDefault="007D7104" w:rsidP="00190BB5">
            <w:pPr>
              <w:rPr>
                <w:b/>
                <w:noProof/>
                <w:sz w:val="20"/>
              </w:rPr>
            </w:pPr>
            <w:r w:rsidRPr="006601BC">
              <w:rPr>
                <w:b/>
                <w:bCs/>
                <w:noProof/>
                <w:color w:val="000000"/>
                <w:sz w:val="20"/>
              </w:rPr>
              <w:t xml:space="preserve"> </w:t>
            </w:r>
          </w:p>
        </w:tc>
        <w:tc>
          <w:tcPr>
            <w:tcW w:w="990" w:type="dxa"/>
            <w:vAlign w:val="center"/>
          </w:tcPr>
          <w:p w14:paraId="709AF09A" w14:textId="77777777" w:rsidR="007D7104" w:rsidRPr="006601BC" w:rsidRDefault="007D7104" w:rsidP="00190BB5">
            <w:pPr>
              <w:rPr>
                <w:b/>
                <w:noProof/>
                <w:sz w:val="20"/>
              </w:rPr>
            </w:pPr>
            <w:r w:rsidRPr="006601BC">
              <w:rPr>
                <w:b/>
                <w:bCs/>
                <w:noProof/>
                <w:color w:val="000000"/>
                <w:sz w:val="20"/>
              </w:rPr>
              <w:t xml:space="preserve"> </w:t>
            </w:r>
          </w:p>
        </w:tc>
        <w:tc>
          <w:tcPr>
            <w:tcW w:w="1031" w:type="dxa"/>
            <w:vAlign w:val="center"/>
          </w:tcPr>
          <w:p w14:paraId="030D408E" w14:textId="77777777" w:rsidR="007D7104" w:rsidRPr="006601BC" w:rsidRDefault="007D7104" w:rsidP="00190BB5">
            <w:pPr>
              <w:rPr>
                <w:b/>
                <w:noProof/>
                <w:sz w:val="20"/>
              </w:rPr>
            </w:pPr>
            <w:r w:rsidRPr="006601BC">
              <w:rPr>
                <w:b/>
                <w:bCs/>
                <w:noProof/>
                <w:color w:val="000000"/>
                <w:sz w:val="20"/>
              </w:rPr>
              <w:t xml:space="preserve"> </w:t>
            </w:r>
          </w:p>
        </w:tc>
        <w:tc>
          <w:tcPr>
            <w:tcW w:w="992" w:type="dxa"/>
            <w:vAlign w:val="center"/>
          </w:tcPr>
          <w:p w14:paraId="2E723DC3" w14:textId="77777777" w:rsidR="007D7104" w:rsidRPr="006601BC" w:rsidRDefault="007D7104" w:rsidP="00190BB5">
            <w:pPr>
              <w:rPr>
                <w:b/>
                <w:noProof/>
                <w:sz w:val="20"/>
              </w:rPr>
            </w:pPr>
            <w:r w:rsidRPr="006601BC">
              <w:rPr>
                <w:b/>
                <w:bCs/>
                <w:noProof/>
                <w:color w:val="000000"/>
                <w:sz w:val="20"/>
              </w:rPr>
              <w:t xml:space="preserve"> </w:t>
            </w:r>
          </w:p>
        </w:tc>
        <w:tc>
          <w:tcPr>
            <w:tcW w:w="1127" w:type="dxa"/>
            <w:vAlign w:val="center"/>
          </w:tcPr>
          <w:p w14:paraId="6FB821D4" w14:textId="77777777" w:rsidR="007D7104" w:rsidRPr="006601BC" w:rsidRDefault="007D7104" w:rsidP="00190BB5">
            <w:pPr>
              <w:spacing w:before="0" w:after="0"/>
              <w:jc w:val="right"/>
              <w:rPr>
                <w:b/>
                <w:noProof/>
                <w:sz w:val="20"/>
              </w:rPr>
            </w:pPr>
            <w:r w:rsidRPr="006601BC">
              <w:rPr>
                <w:b/>
                <w:bCs/>
                <w:noProof/>
                <w:color w:val="000000"/>
                <w:sz w:val="20"/>
              </w:rPr>
              <w:t xml:space="preserve"> </w:t>
            </w:r>
          </w:p>
        </w:tc>
      </w:tr>
      <w:tr w:rsidR="007D7104" w:rsidRPr="006601BC" w14:paraId="30FD4F78" w14:textId="77777777" w:rsidTr="00190BB5">
        <w:trPr>
          <w:trHeight w:val="319"/>
        </w:trPr>
        <w:tc>
          <w:tcPr>
            <w:tcW w:w="3780" w:type="dxa"/>
            <w:gridSpan w:val="2"/>
            <w:vAlign w:val="center"/>
          </w:tcPr>
          <w:p w14:paraId="64EAA282" w14:textId="77777777" w:rsidR="007D7104" w:rsidRPr="006601BC" w:rsidRDefault="007D7104" w:rsidP="00190BB5">
            <w:pPr>
              <w:spacing w:before="60" w:after="60"/>
              <w:rPr>
                <w:noProof/>
              </w:rPr>
            </w:pPr>
            <w:r w:rsidRPr="006601BC">
              <w:rPr>
                <w:noProof/>
                <w:sz w:val="20"/>
              </w:rPr>
              <w:t>01 01 – Támogatási kiadások</w:t>
            </w:r>
          </w:p>
        </w:tc>
        <w:tc>
          <w:tcPr>
            <w:tcW w:w="1260" w:type="dxa"/>
            <w:vAlign w:val="center"/>
          </w:tcPr>
          <w:p w14:paraId="18693C7B" w14:textId="77777777" w:rsidR="007D7104" w:rsidRPr="006601BC" w:rsidRDefault="007D7104" w:rsidP="00190BB5">
            <w:pPr>
              <w:spacing w:before="40" w:after="40"/>
              <w:jc w:val="right"/>
              <w:rPr>
                <w:noProof/>
                <w:sz w:val="18"/>
              </w:rPr>
            </w:pPr>
            <w:r w:rsidRPr="006601BC">
              <w:rPr>
                <w:noProof/>
                <w:sz w:val="18"/>
              </w:rPr>
              <w:t>Kötelezettségvállalási előirányzatok = kifizetési előirányzatok</w:t>
            </w:r>
          </w:p>
        </w:tc>
        <w:tc>
          <w:tcPr>
            <w:tcW w:w="540" w:type="dxa"/>
            <w:vAlign w:val="center"/>
          </w:tcPr>
          <w:p w14:paraId="1841F9B3" w14:textId="77777777" w:rsidR="007D7104" w:rsidRPr="006601BC" w:rsidRDefault="007D7104" w:rsidP="00190BB5">
            <w:pPr>
              <w:spacing w:before="40" w:after="40"/>
              <w:jc w:val="center"/>
              <w:rPr>
                <w:noProof/>
                <w:sz w:val="14"/>
              </w:rPr>
            </w:pPr>
            <w:r w:rsidRPr="006601BC">
              <w:rPr>
                <w:noProof/>
                <w:sz w:val="14"/>
              </w:rPr>
              <w:t>(3)</w:t>
            </w:r>
          </w:p>
        </w:tc>
        <w:tc>
          <w:tcPr>
            <w:tcW w:w="990" w:type="dxa"/>
            <w:vAlign w:val="center"/>
          </w:tcPr>
          <w:p w14:paraId="361518A7" w14:textId="77777777" w:rsidR="007D7104" w:rsidRPr="006601BC" w:rsidRDefault="007D7104" w:rsidP="00190BB5">
            <w:pPr>
              <w:spacing w:before="40" w:after="40"/>
              <w:jc w:val="right"/>
              <w:rPr>
                <w:noProof/>
                <w:sz w:val="20"/>
              </w:rPr>
            </w:pPr>
          </w:p>
        </w:tc>
        <w:tc>
          <w:tcPr>
            <w:tcW w:w="990" w:type="dxa"/>
            <w:vAlign w:val="center"/>
          </w:tcPr>
          <w:p w14:paraId="625F833A" w14:textId="77777777" w:rsidR="007D7104" w:rsidRPr="006601BC" w:rsidRDefault="007D7104" w:rsidP="00190BB5">
            <w:pPr>
              <w:spacing w:before="40" w:after="40"/>
              <w:jc w:val="center"/>
              <w:rPr>
                <w:b/>
                <w:noProof/>
                <w:sz w:val="20"/>
              </w:rPr>
            </w:pPr>
            <w:r w:rsidRPr="006601BC">
              <w:rPr>
                <w:noProof/>
                <w:sz w:val="20"/>
              </w:rPr>
              <w:t>p.m.</w:t>
            </w:r>
          </w:p>
        </w:tc>
        <w:tc>
          <w:tcPr>
            <w:tcW w:w="990" w:type="dxa"/>
            <w:vAlign w:val="center"/>
          </w:tcPr>
          <w:p w14:paraId="053A29A2" w14:textId="77777777" w:rsidR="007D7104" w:rsidRPr="006601BC" w:rsidRDefault="007D7104" w:rsidP="00190BB5">
            <w:pPr>
              <w:spacing w:before="40" w:after="40"/>
              <w:jc w:val="center"/>
              <w:rPr>
                <w:b/>
                <w:noProof/>
                <w:sz w:val="20"/>
              </w:rPr>
            </w:pPr>
            <w:r w:rsidRPr="006601BC">
              <w:rPr>
                <w:noProof/>
                <w:sz w:val="20"/>
              </w:rPr>
              <w:t>p.m.</w:t>
            </w:r>
          </w:p>
        </w:tc>
        <w:tc>
          <w:tcPr>
            <w:tcW w:w="976" w:type="dxa"/>
            <w:vAlign w:val="center"/>
          </w:tcPr>
          <w:p w14:paraId="235BCBFF" w14:textId="77777777" w:rsidR="007D7104" w:rsidRPr="006601BC" w:rsidRDefault="007D7104" w:rsidP="00190BB5">
            <w:pPr>
              <w:spacing w:before="40" w:after="40"/>
              <w:jc w:val="center"/>
              <w:rPr>
                <w:b/>
                <w:noProof/>
                <w:sz w:val="20"/>
              </w:rPr>
            </w:pPr>
            <w:r w:rsidRPr="006601BC">
              <w:rPr>
                <w:noProof/>
                <w:sz w:val="20"/>
              </w:rPr>
              <w:t>p.m.</w:t>
            </w:r>
          </w:p>
        </w:tc>
        <w:tc>
          <w:tcPr>
            <w:tcW w:w="1004" w:type="dxa"/>
            <w:vAlign w:val="center"/>
          </w:tcPr>
          <w:p w14:paraId="13ADCC8E" w14:textId="77777777" w:rsidR="007D7104" w:rsidRPr="006601BC" w:rsidRDefault="007D7104" w:rsidP="00190BB5">
            <w:pPr>
              <w:spacing w:before="40" w:after="40"/>
              <w:jc w:val="center"/>
              <w:rPr>
                <w:b/>
                <w:noProof/>
                <w:sz w:val="20"/>
              </w:rPr>
            </w:pPr>
            <w:r w:rsidRPr="006601BC">
              <w:rPr>
                <w:noProof/>
                <w:sz w:val="20"/>
              </w:rPr>
              <w:t>p.m.</w:t>
            </w:r>
          </w:p>
        </w:tc>
        <w:tc>
          <w:tcPr>
            <w:tcW w:w="990" w:type="dxa"/>
            <w:vAlign w:val="center"/>
          </w:tcPr>
          <w:p w14:paraId="0D8D320A" w14:textId="77777777" w:rsidR="007D7104" w:rsidRPr="006601BC" w:rsidRDefault="007D7104" w:rsidP="00190BB5">
            <w:pPr>
              <w:spacing w:before="40" w:after="40"/>
              <w:jc w:val="center"/>
              <w:rPr>
                <w:b/>
                <w:noProof/>
                <w:sz w:val="20"/>
              </w:rPr>
            </w:pPr>
            <w:r w:rsidRPr="006601BC">
              <w:rPr>
                <w:noProof/>
                <w:sz w:val="20"/>
              </w:rPr>
              <w:t>p.m.</w:t>
            </w:r>
          </w:p>
        </w:tc>
        <w:tc>
          <w:tcPr>
            <w:tcW w:w="1031" w:type="dxa"/>
            <w:vAlign w:val="center"/>
          </w:tcPr>
          <w:p w14:paraId="7CC563EC" w14:textId="77777777" w:rsidR="007D7104" w:rsidRPr="006601BC" w:rsidRDefault="007D7104" w:rsidP="00190BB5">
            <w:pPr>
              <w:spacing w:before="40" w:after="40"/>
              <w:jc w:val="center"/>
              <w:rPr>
                <w:b/>
                <w:noProof/>
                <w:sz w:val="20"/>
              </w:rPr>
            </w:pPr>
            <w:r w:rsidRPr="006601BC">
              <w:rPr>
                <w:noProof/>
                <w:sz w:val="20"/>
              </w:rPr>
              <w:t>p.m.</w:t>
            </w:r>
          </w:p>
        </w:tc>
        <w:tc>
          <w:tcPr>
            <w:tcW w:w="992" w:type="dxa"/>
            <w:vAlign w:val="center"/>
          </w:tcPr>
          <w:p w14:paraId="3B976113" w14:textId="77777777" w:rsidR="007D7104" w:rsidRPr="006601BC" w:rsidRDefault="007D7104" w:rsidP="00190BB5">
            <w:pPr>
              <w:spacing w:before="40" w:after="40"/>
              <w:jc w:val="center"/>
              <w:rPr>
                <w:b/>
                <w:noProof/>
                <w:sz w:val="20"/>
              </w:rPr>
            </w:pPr>
          </w:p>
        </w:tc>
        <w:tc>
          <w:tcPr>
            <w:tcW w:w="1127" w:type="dxa"/>
            <w:vAlign w:val="center"/>
          </w:tcPr>
          <w:p w14:paraId="3973F7FC" w14:textId="77777777" w:rsidR="007D7104" w:rsidRPr="006601BC" w:rsidRDefault="007D7104" w:rsidP="00190BB5">
            <w:pPr>
              <w:spacing w:before="40" w:after="40"/>
              <w:jc w:val="center"/>
              <w:rPr>
                <w:b/>
                <w:noProof/>
                <w:sz w:val="20"/>
              </w:rPr>
            </w:pPr>
            <w:r w:rsidRPr="006601BC">
              <w:rPr>
                <w:b/>
                <w:noProof/>
                <w:sz w:val="20"/>
              </w:rPr>
              <w:t>p.m.</w:t>
            </w:r>
          </w:p>
        </w:tc>
      </w:tr>
      <w:tr w:rsidR="007D7104" w:rsidRPr="006601BC" w14:paraId="600021ED" w14:textId="77777777" w:rsidTr="00190BB5">
        <w:tc>
          <w:tcPr>
            <w:tcW w:w="3780" w:type="dxa"/>
            <w:gridSpan w:val="2"/>
            <w:vMerge w:val="restart"/>
            <w:vAlign w:val="center"/>
          </w:tcPr>
          <w:p w14:paraId="00DE8F08" w14:textId="77777777" w:rsidR="007D7104" w:rsidRPr="006601BC" w:rsidRDefault="007D7104" w:rsidP="00190BB5">
            <w:pPr>
              <w:jc w:val="center"/>
              <w:rPr>
                <w:b/>
                <w:noProof/>
              </w:rPr>
            </w:pPr>
            <w:r w:rsidRPr="006601BC">
              <w:rPr>
                <w:b/>
                <w:noProof/>
                <w:sz w:val="22"/>
              </w:rPr>
              <w:t>A programkeretre szóló előirányzatok a költségvetési eljárásokból</w:t>
            </w:r>
            <w:r w:rsidRPr="006601BC">
              <w:rPr>
                <w:noProof/>
              </w:rPr>
              <w:t xml:space="preserve"> </w:t>
            </w:r>
            <w:r w:rsidRPr="006601BC">
              <w:rPr>
                <w:noProof/>
              </w:rPr>
              <w:br/>
            </w:r>
            <w:r w:rsidRPr="006601BC">
              <w:rPr>
                <w:b/>
                <w:noProof/>
                <w:sz w:val="22"/>
              </w:rPr>
              <w:t>ÖSSZESEN</w:t>
            </w:r>
          </w:p>
        </w:tc>
        <w:tc>
          <w:tcPr>
            <w:tcW w:w="1260" w:type="dxa"/>
            <w:vAlign w:val="center"/>
          </w:tcPr>
          <w:p w14:paraId="7521D09D" w14:textId="77777777" w:rsidR="007D7104" w:rsidRPr="006601BC" w:rsidRDefault="007D7104" w:rsidP="00190BB5">
            <w:pPr>
              <w:rPr>
                <w:noProof/>
                <w:sz w:val="18"/>
              </w:rPr>
            </w:pPr>
            <w:r w:rsidRPr="006601BC">
              <w:rPr>
                <w:noProof/>
                <w:sz w:val="18"/>
              </w:rPr>
              <w:t>Kötelezettségvállalási előirányzatok</w:t>
            </w:r>
          </w:p>
        </w:tc>
        <w:tc>
          <w:tcPr>
            <w:tcW w:w="540" w:type="dxa"/>
            <w:vAlign w:val="center"/>
          </w:tcPr>
          <w:p w14:paraId="2D4D0568" w14:textId="77777777" w:rsidR="007D7104" w:rsidRPr="006601BC" w:rsidRDefault="007D7104" w:rsidP="00190BB5">
            <w:pPr>
              <w:jc w:val="center"/>
              <w:rPr>
                <w:noProof/>
                <w:sz w:val="14"/>
              </w:rPr>
            </w:pPr>
            <w:r w:rsidRPr="006601BC">
              <w:rPr>
                <w:noProof/>
                <w:sz w:val="14"/>
              </w:rPr>
              <w:t>=1+1a +3</w:t>
            </w:r>
          </w:p>
        </w:tc>
        <w:tc>
          <w:tcPr>
            <w:tcW w:w="990" w:type="dxa"/>
            <w:vAlign w:val="center"/>
          </w:tcPr>
          <w:p w14:paraId="7ED53B39" w14:textId="77777777" w:rsidR="007D7104" w:rsidRPr="006601BC" w:rsidRDefault="007D7104" w:rsidP="00190BB5">
            <w:pPr>
              <w:spacing w:before="20" w:after="20"/>
              <w:jc w:val="right"/>
              <w:rPr>
                <w:noProof/>
                <w:sz w:val="20"/>
              </w:rPr>
            </w:pPr>
          </w:p>
        </w:tc>
        <w:tc>
          <w:tcPr>
            <w:tcW w:w="990" w:type="dxa"/>
            <w:vAlign w:val="center"/>
          </w:tcPr>
          <w:p w14:paraId="554DEEBE" w14:textId="77777777" w:rsidR="007D7104" w:rsidRPr="006601BC" w:rsidRDefault="007D7104" w:rsidP="00190BB5">
            <w:pPr>
              <w:spacing w:before="20" w:after="20"/>
              <w:jc w:val="right"/>
              <w:rPr>
                <w:noProof/>
                <w:sz w:val="20"/>
              </w:rPr>
            </w:pPr>
            <w:r w:rsidRPr="006601BC">
              <w:rPr>
                <w:noProof/>
                <w:color w:val="000000"/>
                <w:sz w:val="20"/>
                <w:szCs w:val="20"/>
              </w:rPr>
              <w:t>394,553</w:t>
            </w:r>
          </w:p>
        </w:tc>
        <w:tc>
          <w:tcPr>
            <w:tcW w:w="990" w:type="dxa"/>
            <w:vAlign w:val="center"/>
          </w:tcPr>
          <w:p w14:paraId="29CCE4BD" w14:textId="77777777" w:rsidR="007D7104" w:rsidRPr="006601BC" w:rsidRDefault="007D7104" w:rsidP="00190BB5">
            <w:pPr>
              <w:spacing w:before="20" w:after="20"/>
              <w:jc w:val="right"/>
              <w:rPr>
                <w:noProof/>
                <w:sz w:val="20"/>
              </w:rPr>
            </w:pPr>
            <w:r w:rsidRPr="006601BC">
              <w:rPr>
                <w:noProof/>
                <w:color w:val="000000"/>
                <w:sz w:val="20"/>
                <w:szCs w:val="20"/>
              </w:rPr>
              <w:t>418,135</w:t>
            </w:r>
          </w:p>
        </w:tc>
        <w:tc>
          <w:tcPr>
            <w:tcW w:w="976" w:type="dxa"/>
            <w:vAlign w:val="center"/>
          </w:tcPr>
          <w:p w14:paraId="346FE7D9" w14:textId="77777777" w:rsidR="007D7104" w:rsidRPr="006601BC" w:rsidRDefault="007D7104" w:rsidP="00190BB5">
            <w:pPr>
              <w:spacing w:before="20" w:after="20"/>
              <w:jc w:val="right"/>
              <w:rPr>
                <w:noProof/>
                <w:sz w:val="20"/>
              </w:rPr>
            </w:pPr>
            <w:r w:rsidRPr="006601BC">
              <w:rPr>
                <w:noProof/>
                <w:color w:val="000000"/>
                <w:sz w:val="20"/>
                <w:szCs w:val="20"/>
              </w:rPr>
              <w:t>212,937</w:t>
            </w:r>
          </w:p>
        </w:tc>
        <w:tc>
          <w:tcPr>
            <w:tcW w:w="1004" w:type="dxa"/>
            <w:vAlign w:val="center"/>
          </w:tcPr>
          <w:p w14:paraId="441E4AB8" w14:textId="77777777" w:rsidR="007D7104" w:rsidRPr="006601BC" w:rsidRDefault="007D7104" w:rsidP="00190BB5">
            <w:pPr>
              <w:spacing w:before="20" w:after="20"/>
              <w:jc w:val="right"/>
              <w:rPr>
                <w:noProof/>
                <w:sz w:val="20"/>
              </w:rPr>
            </w:pPr>
            <w:r w:rsidRPr="006601BC">
              <w:rPr>
                <w:noProof/>
                <w:color w:val="000000"/>
                <w:sz w:val="20"/>
                <w:szCs w:val="20"/>
              </w:rPr>
              <w:t>222,619</w:t>
            </w:r>
          </w:p>
        </w:tc>
        <w:tc>
          <w:tcPr>
            <w:tcW w:w="990" w:type="dxa"/>
            <w:vAlign w:val="center"/>
          </w:tcPr>
          <w:p w14:paraId="59255B58" w14:textId="77777777" w:rsidR="007D7104" w:rsidRPr="006601BC" w:rsidRDefault="007D7104" w:rsidP="00190BB5">
            <w:pPr>
              <w:spacing w:before="20" w:after="20"/>
              <w:jc w:val="right"/>
              <w:rPr>
                <w:noProof/>
                <w:sz w:val="20"/>
              </w:rPr>
            </w:pPr>
            <w:r w:rsidRPr="006601BC">
              <w:rPr>
                <w:noProof/>
                <w:color w:val="000000"/>
                <w:sz w:val="20"/>
                <w:szCs w:val="20"/>
              </w:rPr>
              <w:t>229,512</w:t>
            </w:r>
          </w:p>
        </w:tc>
        <w:tc>
          <w:tcPr>
            <w:tcW w:w="1031" w:type="dxa"/>
            <w:vAlign w:val="center"/>
          </w:tcPr>
          <w:p w14:paraId="092E2B65" w14:textId="77777777" w:rsidR="007D7104" w:rsidRPr="006601BC" w:rsidRDefault="007D7104" w:rsidP="00190BB5">
            <w:pPr>
              <w:spacing w:before="20" w:after="20"/>
              <w:jc w:val="right"/>
              <w:rPr>
                <w:b/>
                <w:noProof/>
                <w:sz w:val="20"/>
              </w:rPr>
            </w:pPr>
            <w:r w:rsidRPr="006601BC">
              <w:rPr>
                <w:noProof/>
                <w:color w:val="000000"/>
                <w:sz w:val="20"/>
                <w:szCs w:val="20"/>
              </w:rPr>
              <w:t>231,272</w:t>
            </w:r>
          </w:p>
        </w:tc>
        <w:tc>
          <w:tcPr>
            <w:tcW w:w="992" w:type="dxa"/>
            <w:vAlign w:val="center"/>
          </w:tcPr>
          <w:p w14:paraId="4B436ECC" w14:textId="77777777" w:rsidR="007D7104" w:rsidRPr="006601BC" w:rsidRDefault="007D7104" w:rsidP="00190BB5">
            <w:pPr>
              <w:spacing w:before="20" w:after="20"/>
              <w:jc w:val="right"/>
              <w:rPr>
                <w:b/>
                <w:noProof/>
                <w:sz w:val="20"/>
              </w:rPr>
            </w:pPr>
          </w:p>
        </w:tc>
        <w:tc>
          <w:tcPr>
            <w:tcW w:w="1127" w:type="dxa"/>
            <w:vAlign w:val="center"/>
          </w:tcPr>
          <w:p w14:paraId="74FE6F48" w14:textId="77777777" w:rsidR="007D7104" w:rsidRPr="006601BC" w:rsidRDefault="007D7104" w:rsidP="00190BB5">
            <w:pPr>
              <w:spacing w:before="20" w:after="20"/>
              <w:jc w:val="right"/>
              <w:rPr>
                <w:b/>
                <w:noProof/>
                <w:sz w:val="20"/>
              </w:rPr>
            </w:pPr>
            <w:r w:rsidRPr="006601BC">
              <w:rPr>
                <w:b/>
                <w:bCs/>
                <w:noProof/>
                <w:color w:val="000000"/>
                <w:sz w:val="20"/>
                <w:szCs w:val="20"/>
              </w:rPr>
              <w:t>1 709,027</w:t>
            </w:r>
          </w:p>
        </w:tc>
      </w:tr>
      <w:tr w:rsidR="007D7104" w:rsidRPr="006601BC" w14:paraId="49A8FDA2" w14:textId="77777777" w:rsidTr="00190BB5">
        <w:tc>
          <w:tcPr>
            <w:tcW w:w="3780" w:type="dxa"/>
            <w:gridSpan w:val="2"/>
            <w:vMerge/>
          </w:tcPr>
          <w:p w14:paraId="00227C36" w14:textId="77777777" w:rsidR="007D7104" w:rsidRPr="006601BC" w:rsidRDefault="007D7104" w:rsidP="00190BB5">
            <w:pPr>
              <w:rPr>
                <w:noProof/>
                <w:sz w:val="20"/>
              </w:rPr>
            </w:pPr>
          </w:p>
        </w:tc>
        <w:tc>
          <w:tcPr>
            <w:tcW w:w="1260" w:type="dxa"/>
            <w:vAlign w:val="center"/>
          </w:tcPr>
          <w:p w14:paraId="4603C170" w14:textId="77777777" w:rsidR="007D7104" w:rsidRPr="006601BC" w:rsidRDefault="007D7104" w:rsidP="00190BB5">
            <w:pPr>
              <w:rPr>
                <w:noProof/>
                <w:sz w:val="18"/>
              </w:rPr>
            </w:pPr>
            <w:r w:rsidRPr="006601BC">
              <w:rPr>
                <w:noProof/>
                <w:sz w:val="18"/>
              </w:rPr>
              <w:t>Kifizetési előirányzatok</w:t>
            </w:r>
          </w:p>
        </w:tc>
        <w:tc>
          <w:tcPr>
            <w:tcW w:w="540" w:type="dxa"/>
            <w:vAlign w:val="center"/>
          </w:tcPr>
          <w:p w14:paraId="1920CAC5" w14:textId="77777777" w:rsidR="007D7104" w:rsidRPr="006601BC" w:rsidRDefault="007D7104" w:rsidP="00190BB5">
            <w:pPr>
              <w:jc w:val="center"/>
              <w:rPr>
                <w:noProof/>
                <w:sz w:val="14"/>
              </w:rPr>
            </w:pPr>
            <w:r w:rsidRPr="006601BC">
              <w:rPr>
                <w:noProof/>
                <w:sz w:val="14"/>
              </w:rPr>
              <w:t>=2+2a</w:t>
            </w:r>
          </w:p>
          <w:p w14:paraId="1A0FAAB4" w14:textId="77777777" w:rsidR="007D7104" w:rsidRPr="006601BC" w:rsidRDefault="007D7104" w:rsidP="00190BB5">
            <w:pPr>
              <w:jc w:val="center"/>
              <w:rPr>
                <w:noProof/>
                <w:sz w:val="14"/>
              </w:rPr>
            </w:pPr>
            <w:r w:rsidRPr="006601BC">
              <w:rPr>
                <w:noProof/>
                <w:sz w:val="14"/>
              </w:rPr>
              <w:t>+3</w:t>
            </w:r>
          </w:p>
        </w:tc>
        <w:tc>
          <w:tcPr>
            <w:tcW w:w="990" w:type="dxa"/>
            <w:vAlign w:val="center"/>
          </w:tcPr>
          <w:p w14:paraId="66148BA3" w14:textId="77777777" w:rsidR="007D7104" w:rsidRPr="006601BC" w:rsidRDefault="007D7104" w:rsidP="00190BB5">
            <w:pPr>
              <w:spacing w:before="20" w:after="20"/>
              <w:jc w:val="right"/>
              <w:rPr>
                <w:noProof/>
                <w:sz w:val="20"/>
              </w:rPr>
            </w:pPr>
          </w:p>
        </w:tc>
        <w:tc>
          <w:tcPr>
            <w:tcW w:w="990" w:type="dxa"/>
            <w:vAlign w:val="center"/>
          </w:tcPr>
          <w:p w14:paraId="3D3DDAA9" w14:textId="77777777" w:rsidR="007D7104" w:rsidRPr="006601BC" w:rsidRDefault="007D7104" w:rsidP="00190BB5">
            <w:pPr>
              <w:spacing w:before="20" w:after="20"/>
              <w:jc w:val="right"/>
              <w:rPr>
                <w:noProof/>
                <w:sz w:val="20"/>
              </w:rPr>
            </w:pPr>
            <w:r w:rsidRPr="006601BC">
              <w:rPr>
                <w:noProof/>
                <w:color w:val="000000"/>
                <w:sz w:val="20"/>
                <w:szCs w:val="20"/>
              </w:rPr>
              <w:t>157,821</w:t>
            </w:r>
          </w:p>
        </w:tc>
        <w:tc>
          <w:tcPr>
            <w:tcW w:w="990" w:type="dxa"/>
            <w:vAlign w:val="center"/>
          </w:tcPr>
          <w:p w14:paraId="08FA5532" w14:textId="77777777" w:rsidR="007D7104" w:rsidRPr="006601BC" w:rsidRDefault="007D7104" w:rsidP="00190BB5">
            <w:pPr>
              <w:spacing w:before="20" w:after="20"/>
              <w:jc w:val="right"/>
              <w:rPr>
                <w:noProof/>
                <w:sz w:val="20"/>
              </w:rPr>
            </w:pPr>
            <w:r w:rsidRPr="006601BC">
              <w:rPr>
                <w:noProof/>
                <w:color w:val="000000"/>
                <w:sz w:val="20"/>
                <w:szCs w:val="20"/>
              </w:rPr>
              <w:t>285,620</w:t>
            </w:r>
          </w:p>
        </w:tc>
        <w:tc>
          <w:tcPr>
            <w:tcW w:w="976" w:type="dxa"/>
            <w:vAlign w:val="center"/>
          </w:tcPr>
          <w:p w14:paraId="06A323CD" w14:textId="77777777" w:rsidR="007D7104" w:rsidRPr="006601BC" w:rsidRDefault="007D7104" w:rsidP="00190BB5">
            <w:pPr>
              <w:spacing w:before="20" w:after="20"/>
              <w:jc w:val="right"/>
              <w:rPr>
                <w:noProof/>
                <w:sz w:val="20"/>
              </w:rPr>
            </w:pPr>
            <w:r w:rsidRPr="006601BC">
              <w:rPr>
                <w:noProof/>
                <w:color w:val="000000"/>
                <w:sz w:val="20"/>
                <w:szCs w:val="20"/>
              </w:rPr>
              <w:t>328,981</w:t>
            </w:r>
          </w:p>
        </w:tc>
        <w:tc>
          <w:tcPr>
            <w:tcW w:w="1004" w:type="dxa"/>
            <w:vAlign w:val="center"/>
          </w:tcPr>
          <w:p w14:paraId="3BA131A3" w14:textId="77777777" w:rsidR="007D7104" w:rsidRPr="006601BC" w:rsidRDefault="007D7104" w:rsidP="00190BB5">
            <w:pPr>
              <w:spacing w:before="20" w:after="20"/>
              <w:jc w:val="right"/>
              <w:rPr>
                <w:noProof/>
                <w:sz w:val="20"/>
              </w:rPr>
            </w:pPr>
            <w:r w:rsidRPr="006601BC">
              <w:rPr>
                <w:noProof/>
                <w:color w:val="000000"/>
                <w:sz w:val="20"/>
                <w:szCs w:val="20"/>
              </w:rPr>
              <w:t>278,369</w:t>
            </w:r>
          </w:p>
        </w:tc>
        <w:tc>
          <w:tcPr>
            <w:tcW w:w="990" w:type="dxa"/>
            <w:vAlign w:val="center"/>
          </w:tcPr>
          <w:p w14:paraId="31F9FC9A" w14:textId="77777777" w:rsidR="007D7104" w:rsidRPr="006601BC" w:rsidRDefault="007D7104" w:rsidP="00190BB5">
            <w:pPr>
              <w:spacing w:before="20" w:after="20"/>
              <w:jc w:val="right"/>
              <w:rPr>
                <w:noProof/>
                <w:sz w:val="20"/>
              </w:rPr>
            </w:pPr>
            <w:r w:rsidRPr="006601BC">
              <w:rPr>
                <w:noProof/>
                <w:color w:val="000000"/>
                <w:sz w:val="20"/>
                <w:szCs w:val="20"/>
              </w:rPr>
              <w:t>222,471</w:t>
            </w:r>
          </w:p>
        </w:tc>
        <w:tc>
          <w:tcPr>
            <w:tcW w:w="1031" w:type="dxa"/>
            <w:vAlign w:val="center"/>
          </w:tcPr>
          <w:p w14:paraId="5E5C773C" w14:textId="77777777" w:rsidR="007D7104" w:rsidRPr="006601BC" w:rsidRDefault="007D7104" w:rsidP="00190BB5">
            <w:pPr>
              <w:spacing w:before="20" w:after="20"/>
              <w:jc w:val="right"/>
              <w:rPr>
                <w:b/>
                <w:noProof/>
                <w:sz w:val="20"/>
              </w:rPr>
            </w:pPr>
            <w:r w:rsidRPr="006601BC">
              <w:rPr>
                <w:noProof/>
                <w:color w:val="000000"/>
                <w:sz w:val="20"/>
                <w:szCs w:val="20"/>
              </w:rPr>
              <w:t>228,148</w:t>
            </w:r>
          </w:p>
        </w:tc>
        <w:tc>
          <w:tcPr>
            <w:tcW w:w="992" w:type="dxa"/>
            <w:vAlign w:val="center"/>
          </w:tcPr>
          <w:p w14:paraId="1C572A17" w14:textId="77777777" w:rsidR="007D7104" w:rsidRPr="006601BC" w:rsidRDefault="007D7104" w:rsidP="00190BB5">
            <w:pPr>
              <w:spacing w:before="20" w:after="20"/>
              <w:jc w:val="right"/>
              <w:rPr>
                <w:b/>
                <w:noProof/>
                <w:sz w:val="20"/>
              </w:rPr>
            </w:pPr>
            <w:r w:rsidRPr="006601BC">
              <w:rPr>
                <w:noProof/>
                <w:color w:val="000000"/>
                <w:sz w:val="20"/>
                <w:szCs w:val="20"/>
              </w:rPr>
              <w:t>207,616</w:t>
            </w:r>
          </w:p>
        </w:tc>
        <w:tc>
          <w:tcPr>
            <w:tcW w:w="1127" w:type="dxa"/>
            <w:vAlign w:val="center"/>
          </w:tcPr>
          <w:p w14:paraId="56F68068" w14:textId="77777777" w:rsidR="007D7104" w:rsidRPr="006601BC" w:rsidRDefault="007D7104" w:rsidP="00190BB5">
            <w:pPr>
              <w:spacing w:before="20" w:after="20"/>
              <w:jc w:val="right"/>
              <w:rPr>
                <w:b/>
                <w:noProof/>
                <w:sz w:val="20"/>
              </w:rPr>
            </w:pPr>
            <w:r w:rsidRPr="006601BC">
              <w:rPr>
                <w:b/>
                <w:bCs/>
                <w:noProof/>
                <w:color w:val="000000"/>
                <w:sz w:val="20"/>
                <w:szCs w:val="20"/>
              </w:rPr>
              <w:t>1 709,027</w:t>
            </w:r>
          </w:p>
        </w:tc>
      </w:tr>
    </w:tbl>
    <w:p w14:paraId="7317003F" w14:textId="3DFFF6DD" w:rsidR="007D7104" w:rsidRPr="006601BC" w:rsidRDefault="007D7104" w:rsidP="00C54C48">
      <w:pPr>
        <w:rPr>
          <w:noProof/>
        </w:rPr>
      </w:pPr>
    </w:p>
    <w:p w14:paraId="54716D44" w14:textId="0B4F5377" w:rsidR="007D7104" w:rsidRPr="006601BC" w:rsidRDefault="007D7104" w:rsidP="00C54C48">
      <w:pPr>
        <w:rPr>
          <w:noProof/>
        </w:rPr>
      </w:pPr>
    </w:p>
    <w:p w14:paraId="1E79B7A0" w14:textId="6F65750E" w:rsidR="007D7104" w:rsidRPr="006601BC" w:rsidRDefault="007D7104" w:rsidP="00C54C48">
      <w:pPr>
        <w:jc w:val="right"/>
        <w:rPr>
          <w:noProof/>
        </w:rPr>
      </w:pPr>
      <w:r w:rsidRPr="006601BC">
        <w:rPr>
          <w:i/>
          <w:noProof/>
        </w:rPr>
        <w:t>millió EUR (három tizedesjegyig)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D7104" w:rsidRPr="006601BC" w14:paraId="21B13712" w14:textId="77777777" w:rsidTr="00190BB5">
        <w:trPr>
          <w:jc w:val="center"/>
        </w:trPr>
        <w:tc>
          <w:tcPr>
            <w:tcW w:w="4744" w:type="dxa"/>
            <w:shd w:val="thinDiagStripe" w:color="C0C0C0" w:fill="auto"/>
            <w:vAlign w:val="center"/>
          </w:tcPr>
          <w:p w14:paraId="3E863A82" w14:textId="77777777" w:rsidR="007D7104" w:rsidRPr="006601BC" w:rsidRDefault="007D7104" w:rsidP="00190BB5">
            <w:pPr>
              <w:spacing w:before="60" w:after="60"/>
              <w:jc w:val="center"/>
              <w:rPr>
                <w:b/>
                <w:noProof/>
              </w:rPr>
            </w:pPr>
            <w:r w:rsidRPr="006601BC">
              <w:rPr>
                <w:b/>
                <w:noProof/>
                <w:sz w:val="22"/>
              </w:rPr>
              <w:t xml:space="preserve">A többéves pénzügyi keret </w:t>
            </w:r>
            <w:r w:rsidRPr="006601BC">
              <w:rPr>
                <w:noProof/>
              </w:rPr>
              <w:t xml:space="preserve"> </w:t>
            </w:r>
            <w:r w:rsidRPr="006601BC">
              <w:rPr>
                <w:noProof/>
              </w:rPr>
              <w:br/>
            </w:r>
            <w:r w:rsidRPr="006601BC">
              <w:rPr>
                <w:b/>
                <w:noProof/>
                <w:sz w:val="22"/>
              </w:rPr>
              <w:t xml:space="preserve">fejezete </w:t>
            </w:r>
          </w:p>
        </w:tc>
        <w:tc>
          <w:tcPr>
            <w:tcW w:w="1080" w:type="dxa"/>
            <w:vAlign w:val="center"/>
          </w:tcPr>
          <w:p w14:paraId="3E7F6EB5" w14:textId="7A0D3D80" w:rsidR="007D7104" w:rsidRPr="006601BC" w:rsidRDefault="007D7104" w:rsidP="00190BB5">
            <w:pPr>
              <w:spacing w:before="60" w:after="60"/>
              <w:jc w:val="center"/>
              <w:rPr>
                <w:noProof/>
              </w:rPr>
            </w:pPr>
            <w:r w:rsidRPr="006601BC">
              <w:rPr>
                <w:b/>
                <w:noProof/>
                <w:sz w:val="22"/>
              </w:rPr>
              <w:t>2b</w:t>
            </w:r>
            <w:r w:rsidR="002452A8">
              <w:rPr>
                <w:b/>
                <w:noProof/>
                <w:sz w:val="22"/>
              </w:rPr>
              <w:t>.</w:t>
            </w:r>
          </w:p>
        </w:tc>
        <w:tc>
          <w:tcPr>
            <w:tcW w:w="7817" w:type="dxa"/>
            <w:vAlign w:val="center"/>
          </w:tcPr>
          <w:p w14:paraId="39C6FBA8" w14:textId="77777777" w:rsidR="007D7104" w:rsidRPr="006601BC" w:rsidRDefault="007D7104" w:rsidP="00190BB5">
            <w:pPr>
              <w:spacing w:before="60" w:after="60"/>
              <w:rPr>
                <w:b/>
                <w:noProof/>
              </w:rPr>
            </w:pPr>
            <w:r w:rsidRPr="006601BC">
              <w:rPr>
                <w:b/>
                <w:noProof/>
                <w:sz w:val="22"/>
              </w:rPr>
              <w:t>Reziliencia és értékek</w:t>
            </w:r>
          </w:p>
        </w:tc>
      </w:tr>
    </w:tbl>
    <w:p w14:paraId="269A7B9E" w14:textId="590C381E" w:rsidR="007D7104" w:rsidRPr="006601BC" w:rsidRDefault="007D7104" w:rsidP="00C54C48">
      <w:pPr>
        <w:rPr>
          <w:noProof/>
        </w:rPr>
      </w:pPr>
    </w:p>
    <w:tbl>
      <w:tblPr>
        <w:tblW w:w="146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60"/>
        <w:gridCol w:w="1260"/>
        <w:gridCol w:w="540"/>
        <w:gridCol w:w="990"/>
        <w:gridCol w:w="990"/>
        <w:gridCol w:w="990"/>
        <w:gridCol w:w="976"/>
        <w:gridCol w:w="1004"/>
        <w:gridCol w:w="990"/>
        <w:gridCol w:w="990"/>
        <w:gridCol w:w="1033"/>
        <w:gridCol w:w="1127"/>
      </w:tblGrid>
      <w:tr w:rsidR="007D7104" w:rsidRPr="006601BC" w14:paraId="48D9A803" w14:textId="77777777" w:rsidTr="00190BB5">
        <w:tc>
          <w:tcPr>
            <w:tcW w:w="3780" w:type="dxa"/>
            <w:gridSpan w:val="2"/>
            <w:vAlign w:val="center"/>
          </w:tcPr>
          <w:p w14:paraId="0F851A38" w14:textId="77777777" w:rsidR="007D7104" w:rsidRPr="006601BC" w:rsidRDefault="007D7104" w:rsidP="00190BB5">
            <w:pPr>
              <w:jc w:val="center"/>
              <w:rPr>
                <w:noProof/>
              </w:rPr>
            </w:pPr>
            <w:r w:rsidRPr="006601BC">
              <w:rPr>
                <w:noProof/>
                <w:sz w:val="22"/>
              </w:rPr>
              <w:t>Főigazgatóság: Egészségügyi és Élelmiszerbiztonsági Főigazgatóság</w:t>
            </w:r>
          </w:p>
        </w:tc>
        <w:tc>
          <w:tcPr>
            <w:tcW w:w="1260" w:type="dxa"/>
          </w:tcPr>
          <w:p w14:paraId="004B8434" w14:textId="77777777" w:rsidR="007D7104" w:rsidRPr="006601BC" w:rsidRDefault="007D7104" w:rsidP="00190BB5">
            <w:pPr>
              <w:rPr>
                <w:noProof/>
                <w:sz w:val="20"/>
              </w:rPr>
            </w:pPr>
          </w:p>
        </w:tc>
        <w:tc>
          <w:tcPr>
            <w:tcW w:w="540" w:type="dxa"/>
          </w:tcPr>
          <w:p w14:paraId="6C1B78A8" w14:textId="77777777" w:rsidR="007D7104" w:rsidRPr="006601BC" w:rsidRDefault="007D7104" w:rsidP="00190BB5">
            <w:pPr>
              <w:jc w:val="center"/>
              <w:rPr>
                <w:noProof/>
                <w:sz w:val="20"/>
              </w:rPr>
            </w:pPr>
          </w:p>
        </w:tc>
        <w:tc>
          <w:tcPr>
            <w:tcW w:w="990" w:type="dxa"/>
            <w:vAlign w:val="center"/>
          </w:tcPr>
          <w:p w14:paraId="74F0C6F5" w14:textId="77777777" w:rsidR="007D7104" w:rsidRPr="006601BC" w:rsidRDefault="007D7104" w:rsidP="00190BB5">
            <w:pPr>
              <w:jc w:val="center"/>
              <w:rPr>
                <w:noProof/>
                <w:sz w:val="20"/>
              </w:rPr>
            </w:pPr>
            <w:r w:rsidRPr="006601BC">
              <w:rPr>
                <w:b/>
                <w:noProof/>
                <w:sz w:val="20"/>
              </w:rPr>
              <w:t>2021</w:t>
            </w:r>
          </w:p>
        </w:tc>
        <w:tc>
          <w:tcPr>
            <w:tcW w:w="990" w:type="dxa"/>
            <w:vAlign w:val="center"/>
          </w:tcPr>
          <w:p w14:paraId="540D8BE1" w14:textId="77777777" w:rsidR="007D7104" w:rsidRPr="006601BC" w:rsidRDefault="007D7104" w:rsidP="00190BB5">
            <w:pPr>
              <w:jc w:val="center"/>
              <w:rPr>
                <w:noProof/>
                <w:sz w:val="20"/>
              </w:rPr>
            </w:pPr>
            <w:r w:rsidRPr="006601BC">
              <w:rPr>
                <w:b/>
                <w:noProof/>
                <w:sz w:val="20"/>
              </w:rPr>
              <w:t>2022</w:t>
            </w:r>
          </w:p>
        </w:tc>
        <w:tc>
          <w:tcPr>
            <w:tcW w:w="990" w:type="dxa"/>
            <w:vAlign w:val="center"/>
          </w:tcPr>
          <w:p w14:paraId="26BC1FB7" w14:textId="77777777" w:rsidR="007D7104" w:rsidRPr="006601BC" w:rsidRDefault="007D7104" w:rsidP="00190BB5">
            <w:pPr>
              <w:jc w:val="center"/>
              <w:rPr>
                <w:noProof/>
                <w:sz w:val="20"/>
              </w:rPr>
            </w:pPr>
            <w:r w:rsidRPr="006601BC">
              <w:rPr>
                <w:b/>
                <w:noProof/>
                <w:sz w:val="20"/>
              </w:rPr>
              <w:t>2023</w:t>
            </w:r>
          </w:p>
        </w:tc>
        <w:tc>
          <w:tcPr>
            <w:tcW w:w="976" w:type="dxa"/>
            <w:vAlign w:val="center"/>
          </w:tcPr>
          <w:p w14:paraId="1A197551" w14:textId="77777777" w:rsidR="007D7104" w:rsidRPr="006601BC" w:rsidRDefault="007D7104" w:rsidP="00190BB5">
            <w:pPr>
              <w:jc w:val="center"/>
              <w:rPr>
                <w:noProof/>
                <w:sz w:val="20"/>
              </w:rPr>
            </w:pPr>
            <w:r w:rsidRPr="006601BC">
              <w:rPr>
                <w:b/>
                <w:noProof/>
                <w:sz w:val="20"/>
              </w:rPr>
              <w:t>2024</w:t>
            </w:r>
          </w:p>
        </w:tc>
        <w:tc>
          <w:tcPr>
            <w:tcW w:w="1004" w:type="dxa"/>
            <w:vAlign w:val="center"/>
          </w:tcPr>
          <w:p w14:paraId="5DB662FD" w14:textId="77777777" w:rsidR="007D7104" w:rsidRPr="006601BC" w:rsidRDefault="007D7104" w:rsidP="00190BB5">
            <w:pPr>
              <w:jc w:val="center"/>
              <w:rPr>
                <w:b/>
                <w:noProof/>
                <w:sz w:val="18"/>
              </w:rPr>
            </w:pPr>
            <w:r w:rsidRPr="006601BC">
              <w:rPr>
                <w:b/>
                <w:noProof/>
                <w:sz w:val="18"/>
              </w:rPr>
              <w:t>2025</w:t>
            </w:r>
          </w:p>
        </w:tc>
        <w:tc>
          <w:tcPr>
            <w:tcW w:w="990" w:type="dxa"/>
            <w:vAlign w:val="center"/>
          </w:tcPr>
          <w:p w14:paraId="39007773" w14:textId="77777777" w:rsidR="007D7104" w:rsidRPr="006601BC" w:rsidRDefault="007D7104" w:rsidP="00190BB5">
            <w:pPr>
              <w:jc w:val="center"/>
              <w:rPr>
                <w:b/>
                <w:noProof/>
                <w:sz w:val="18"/>
              </w:rPr>
            </w:pPr>
            <w:r w:rsidRPr="006601BC">
              <w:rPr>
                <w:b/>
                <w:noProof/>
                <w:sz w:val="18"/>
              </w:rPr>
              <w:t>2026</w:t>
            </w:r>
          </w:p>
        </w:tc>
        <w:tc>
          <w:tcPr>
            <w:tcW w:w="990" w:type="dxa"/>
            <w:vAlign w:val="center"/>
          </w:tcPr>
          <w:p w14:paraId="61F35410" w14:textId="77777777" w:rsidR="007D7104" w:rsidRPr="006601BC" w:rsidRDefault="007D7104" w:rsidP="00190BB5">
            <w:pPr>
              <w:jc w:val="center"/>
              <w:rPr>
                <w:b/>
                <w:noProof/>
                <w:sz w:val="18"/>
              </w:rPr>
            </w:pPr>
            <w:r w:rsidRPr="006601BC">
              <w:rPr>
                <w:b/>
                <w:noProof/>
                <w:sz w:val="18"/>
              </w:rPr>
              <w:t>2027</w:t>
            </w:r>
          </w:p>
        </w:tc>
        <w:tc>
          <w:tcPr>
            <w:tcW w:w="1033" w:type="dxa"/>
          </w:tcPr>
          <w:p w14:paraId="4EECC91F" w14:textId="77777777" w:rsidR="007D7104" w:rsidRPr="006601BC" w:rsidRDefault="007D7104" w:rsidP="00190BB5">
            <w:pPr>
              <w:jc w:val="center"/>
              <w:rPr>
                <w:b/>
                <w:noProof/>
                <w:sz w:val="20"/>
              </w:rPr>
            </w:pPr>
            <w:r w:rsidRPr="006601BC">
              <w:rPr>
                <w:b/>
                <w:i/>
                <w:noProof/>
                <w:sz w:val="20"/>
              </w:rPr>
              <w:t>2027 után</w:t>
            </w:r>
          </w:p>
        </w:tc>
        <w:tc>
          <w:tcPr>
            <w:tcW w:w="1127" w:type="dxa"/>
            <w:vAlign w:val="center"/>
          </w:tcPr>
          <w:p w14:paraId="6CEC85E6" w14:textId="77777777" w:rsidR="007D7104" w:rsidRPr="006601BC" w:rsidRDefault="007D7104" w:rsidP="00190BB5">
            <w:pPr>
              <w:jc w:val="center"/>
              <w:rPr>
                <w:b/>
                <w:noProof/>
                <w:sz w:val="20"/>
              </w:rPr>
            </w:pPr>
            <w:r w:rsidRPr="006601BC">
              <w:rPr>
                <w:b/>
                <w:noProof/>
                <w:sz w:val="20"/>
              </w:rPr>
              <w:t>ÖSSZESEN</w:t>
            </w:r>
          </w:p>
        </w:tc>
      </w:tr>
      <w:tr w:rsidR="007D7104" w:rsidRPr="006601BC" w14:paraId="4CA26E7E" w14:textId="77777777" w:rsidTr="00190BB5">
        <w:trPr>
          <w:trHeight w:val="213"/>
        </w:trPr>
        <w:tc>
          <w:tcPr>
            <w:tcW w:w="5580" w:type="dxa"/>
            <w:gridSpan w:val="4"/>
            <w:vAlign w:val="center"/>
          </w:tcPr>
          <w:p w14:paraId="610F64D0" w14:textId="77777777" w:rsidR="007D7104" w:rsidRPr="006601BC" w:rsidRDefault="007D7104" w:rsidP="00190BB5">
            <w:pPr>
              <w:spacing w:before="20" w:after="20"/>
              <w:rPr>
                <w:noProof/>
                <w:sz w:val="21"/>
              </w:rPr>
            </w:pPr>
            <w:r w:rsidRPr="006601BC">
              <w:rPr>
                <w:noProof/>
                <w:sz w:val="21"/>
              </w:rPr>
              <w:sym w:font="Wingdings" w:char="F09F"/>
            </w:r>
            <w:r w:rsidRPr="006601BC">
              <w:rPr>
                <w:noProof/>
                <w:sz w:val="21"/>
              </w:rPr>
              <w:t xml:space="preserve"> Operatív előirányzatok (C1 hitelek)</w:t>
            </w:r>
          </w:p>
        </w:tc>
        <w:tc>
          <w:tcPr>
            <w:tcW w:w="990" w:type="dxa"/>
            <w:vAlign w:val="center"/>
          </w:tcPr>
          <w:p w14:paraId="269B64B8" w14:textId="77777777" w:rsidR="007D7104" w:rsidRPr="006601BC" w:rsidRDefault="007D7104" w:rsidP="00190BB5">
            <w:pPr>
              <w:rPr>
                <w:noProof/>
                <w:sz w:val="20"/>
              </w:rPr>
            </w:pPr>
          </w:p>
        </w:tc>
        <w:tc>
          <w:tcPr>
            <w:tcW w:w="990" w:type="dxa"/>
            <w:vAlign w:val="center"/>
          </w:tcPr>
          <w:p w14:paraId="3273A290" w14:textId="77777777" w:rsidR="007D7104" w:rsidRPr="006601BC" w:rsidRDefault="007D7104" w:rsidP="00190BB5">
            <w:pPr>
              <w:rPr>
                <w:noProof/>
                <w:sz w:val="20"/>
              </w:rPr>
            </w:pPr>
          </w:p>
        </w:tc>
        <w:tc>
          <w:tcPr>
            <w:tcW w:w="990" w:type="dxa"/>
            <w:vAlign w:val="center"/>
          </w:tcPr>
          <w:p w14:paraId="19303F3D" w14:textId="77777777" w:rsidR="007D7104" w:rsidRPr="006601BC" w:rsidRDefault="007D7104" w:rsidP="00190BB5">
            <w:pPr>
              <w:rPr>
                <w:noProof/>
                <w:sz w:val="20"/>
              </w:rPr>
            </w:pPr>
          </w:p>
        </w:tc>
        <w:tc>
          <w:tcPr>
            <w:tcW w:w="976" w:type="dxa"/>
            <w:vAlign w:val="center"/>
          </w:tcPr>
          <w:p w14:paraId="6AF6C13A" w14:textId="77777777" w:rsidR="007D7104" w:rsidRPr="006601BC" w:rsidRDefault="007D7104" w:rsidP="00190BB5">
            <w:pPr>
              <w:rPr>
                <w:noProof/>
                <w:sz w:val="20"/>
              </w:rPr>
            </w:pPr>
          </w:p>
        </w:tc>
        <w:tc>
          <w:tcPr>
            <w:tcW w:w="1004" w:type="dxa"/>
            <w:vAlign w:val="center"/>
          </w:tcPr>
          <w:p w14:paraId="175FC582" w14:textId="77777777" w:rsidR="007D7104" w:rsidRPr="006601BC" w:rsidRDefault="007D7104" w:rsidP="00190BB5">
            <w:pPr>
              <w:rPr>
                <w:noProof/>
                <w:sz w:val="20"/>
              </w:rPr>
            </w:pPr>
          </w:p>
        </w:tc>
        <w:tc>
          <w:tcPr>
            <w:tcW w:w="990" w:type="dxa"/>
            <w:vAlign w:val="center"/>
          </w:tcPr>
          <w:p w14:paraId="5028D462" w14:textId="77777777" w:rsidR="007D7104" w:rsidRPr="006601BC" w:rsidRDefault="007D7104" w:rsidP="00190BB5">
            <w:pPr>
              <w:rPr>
                <w:noProof/>
                <w:sz w:val="20"/>
              </w:rPr>
            </w:pPr>
          </w:p>
        </w:tc>
        <w:tc>
          <w:tcPr>
            <w:tcW w:w="990" w:type="dxa"/>
            <w:vAlign w:val="center"/>
          </w:tcPr>
          <w:p w14:paraId="49688A5E" w14:textId="77777777" w:rsidR="007D7104" w:rsidRPr="006601BC" w:rsidRDefault="007D7104" w:rsidP="00190BB5">
            <w:pPr>
              <w:rPr>
                <w:b/>
                <w:noProof/>
                <w:sz w:val="20"/>
              </w:rPr>
            </w:pPr>
          </w:p>
        </w:tc>
        <w:tc>
          <w:tcPr>
            <w:tcW w:w="1033" w:type="dxa"/>
          </w:tcPr>
          <w:p w14:paraId="4A911F06" w14:textId="77777777" w:rsidR="007D7104" w:rsidRPr="006601BC" w:rsidRDefault="007D7104" w:rsidP="00190BB5">
            <w:pPr>
              <w:rPr>
                <w:b/>
                <w:noProof/>
                <w:sz w:val="20"/>
              </w:rPr>
            </w:pPr>
          </w:p>
        </w:tc>
        <w:tc>
          <w:tcPr>
            <w:tcW w:w="1127" w:type="dxa"/>
            <w:vAlign w:val="center"/>
          </w:tcPr>
          <w:p w14:paraId="3C601214" w14:textId="77777777" w:rsidR="007D7104" w:rsidRPr="006601BC" w:rsidRDefault="007D7104" w:rsidP="00190BB5">
            <w:pPr>
              <w:rPr>
                <w:b/>
                <w:noProof/>
                <w:sz w:val="20"/>
              </w:rPr>
            </w:pPr>
          </w:p>
        </w:tc>
      </w:tr>
      <w:tr w:rsidR="007D7104" w:rsidRPr="006601BC" w14:paraId="39347618" w14:textId="77777777" w:rsidTr="00190BB5">
        <w:trPr>
          <w:trHeight w:val="277"/>
        </w:trPr>
        <w:tc>
          <w:tcPr>
            <w:tcW w:w="3780" w:type="dxa"/>
            <w:gridSpan w:val="2"/>
            <w:vMerge w:val="restart"/>
            <w:vAlign w:val="center"/>
          </w:tcPr>
          <w:p w14:paraId="0E75C0D4" w14:textId="77777777" w:rsidR="007D7104" w:rsidRPr="006601BC" w:rsidRDefault="007D7104" w:rsidP="00190BB5">
            <w:pPr>
              <w:spacing w:before="60" w:after="60"/>
              <w:rPr>
                <w:noProof/>
              </w:rPr>
            </w:pPr>
            <w:r w:rsidRPr="006601BC">
              <w:rPr>
                <w:noProof/>
                <w:sz w:val="20"/>
              </w:rPr>
              <w:t>06 06 01 – „Az EU az egészségért” program</w:t>
            </w:r>
            <w:r w:rsidRPr="006601BC">
              <w:rPr>
                <w:rStyle w:val="FootnoteReference"/>
                <w:noProof/>
                <w:sz w:val="20"/>
              </w:rPr>
              <w:footnoteReference w:id="38"/>
            </w:r>
          </w:p>
        </w:tc>
        <w:tc>
          <w:tcPr>
            <w:tcW w:w="1260" w:type="dxa"/>
            <w:vAlign w:val="center"/>
          </w:tcPr>
          <w:p w14:paraId="56732B74" w14:textId="77777777" w:rsidR="007D7104" w:rsidRPr="006601BC" w:rsidRDefault="007D7104" w:rsidP="00190BB5">
            <w:pPr>
              <w:spacing w:before="20" w:after="20"/>
              <w:rPr>
                <w:noProof/>
                <w:sz w:val="18"/>
              </w:rPr>
            </w:pPr>
            <w:r w:rsidRPr="006601BC">
              <w:rPr>
                <w:noProof/>
                <w:sz w:val="18"/>
              </w:rPr>
              <w:t>Kötelezettségvállalási előirányzatok</w:t>
            </w:r>
          </w:p>
        </w:tc>
        <w:tc>
          <w:tcPr>
            <w:tcW w:w="540" w:type="dxa"/>
            <w:vAlign w:val="center"/>
          </w:tcPr>
          <w:p w14:paraId="1B56E1F3" w14:textId="77777777" w:rsidR="007D7104" w:rsidRPr="006601BC" w:rsidRDefault="007D7104" w:rsidP="00190BB5">
            <w:pPr>
              <w:spacing w:before="20" w:after="20"/>
              <w:jc w:val="center"/>
              <w:rPr>
                <w:noProof/>
                <w:sz w:val="14"/>
              </w:rPr>
            </w:pPr>
            <w:r w:rsidRPr="006601BC">
              <w:rPr>
                <w:noProof/>
                <w:sz w:val="14"/>
              </w:rPr>
              <w:t>(1)</w:t>
            </w:r>
          </w:p>
        </w:tc>
        <w:tc>
          <w:tcPr>
            <w:tcW w:w="990" w:type="dxa"/>
            <w:vAlign w:val="center"/>
          </w:tcPr>
          <w:p w14:paraId="6F26F4D3" w14:textId="77777777" w:rsidR="007D7104" w:rsidRPr="006601BC" w:rsidRDefault="007D7104" w:rsidP="00190BB5">
            <w:pPr>
              <w:spacing w:before="20" w:after="20"/>
              <w:jc w:val="right"/>
              <w:rPr>
                <w:noProof/>
                <w:sz w:val="20"/>
              </w:rPr>
            </w:pPr>
          </w:p>
        </w:tc>
        <w:tc>
          <w:tcPr>
            <w:tcW w:w="990" w:type="dxa"/>
            <w:vAlign w:val="center"/>
          </w:tcPr>
          <w:p w14:paraId="448B42C8" w14:textId="77777777" w:rsidR="007D7104" w:rsidRPr="006601BC" w:rsidRDefault="007D7104" w:rsidP="00190BB5">
            <w:pPr>
              <w:spacing w:before="20" w:after="20"/>
              <w:jc w:val="right"/>
              <w:rPr>
                <w:noProof/>
                <w:sz w:val="20"/>
              </w:rPr>
            </w:pPr>
            <w:r w:rsidRPr="006601BC">
              <w:rPr>
                <w:noProof/>
                <w:color w:val="000000"/>
                <w:sz w:val="20"/>
                <w:szCs w:val="20"/>
              </w:rPr>
              <w:t>274,883</w:t>
            </w:r>
          </w:p>
        </w:tc>
        <w:tc>
          <w:tcPr>
            <w:tcW w:w="990" w:type="dxa"/>
            <w:vAlign w:val="center"/>
          </w:tcPr>
          <w:p w14:paraId="2D8DBD83" w14:textId="77777777" w:rsidR="007D7104" w:rsidRPr="006601BC" w:rsidRDefault="007D7104" w:rsidP="00190BB5">
            <w:pPr>
              <w:spacing w:before="20" w:after="20"/>
              <w:jc w:val="right"/>
              <w:rPr>
                <w:noProof/>
                <w:sz w:val="20"/>
              </w:rPr>
            </w:pPr>
            <w:r w:rsidRPr="006601BC">
              <w:rPr>
                <w:noProof/>
                <w:color w:val="000000"/>
                <w:sz w:val="20"/>
                <w:szCs w:val="20"/>
              </w:rPr>
              <w:t>243,145</w:t>
            </w:r>
          </w:p>
        </w:tc>
        <w:tc>
          <w:tcPr>
            <w:tcW w:w="976" w:type="dxa"/>
            <w:vAlign w:val="center"/>
          </w:tcPr>
          <w:p w14:paraId="31AC0FAD" w14:textId="77777777" w:rsidR="007D7104" w:rsidRPr="006601BC" w:rsidRDefault="007D7104" w:rsidP="00190BB5">
            <w:pPr>
              <w:spacing w:before="20" w:after="20"/>
              <w:jc w:val="right"/>
              <w:rPr>
                <w:noProof/>
                <w:sz w:val="20"/>
              </w:rPr>
            </w:pPr>
            <w:r w:rsidRPr="006601BC">
              <w:rPr>
                <w:noProof/>
                <w:color w:val="000000"/>
                <w:sz w:val="20"/>
                <w:szCs w:val="20"/>
              </w:rPr>
              <w:t>474,048</w:t>
            </w:r>
          </w:p>
        </w:tc>
        <w:tc>
          <w:tcPr>
            <w:tcW w:w="1004" w:type="dxa"/>
            <w:vAlign w:val="center"/>
          </w:tcPr>
          <w:p w14:paraId="30E22575" w14:textId="77777777" w:rsidR="007D7104" w:rsidRPr="006601BC" w:rsidRDefault="007D7104" w:rsidP="00190BB5">
            <w:pPr>
              <w:spacing w:before="20" w:after="20"/>
              <w:jc w:val="right"/>
              <w:rPr>
                <w:noProof/>
                <w:sz w:val="20"/>
              </w:rPr>
            </w:pPr>
            <w:r w:rsidRPr="006601BC">
              <w:rPr>
                <w:noProof/>
                <w:color w:val="000000"/>
                <w:sz w:val="20"/>
                <w:szCs w:val="20"/>
              </w:rPr>
              <w:t>484,140</w:t>
            </w:r>
          </w:p>
        </w:tc>
        <w:tc>
          <w:tcPr>
            <w:tcW w:w="990" w:type="dxa"/>
            <w:vAlign w:val="center"/>
          </w:tcPr>
          <w:p w14:paraId="6EC3C986" w14:textId="77777777" w:rsidR="007D7104" w:rsidRPr="006601BC" w:rsidRDefault="007D7104" w:rsidP="00190BB5">
            <w:pPr>
              <w:spacing w:before="20" w:after="20"/>
              <w:jc w:val="right"/>
              <w:rPr>
                <w:noProof/>
                <w:sz w:val="20"/>
              </w:rPr>
            </w:pPr>
            <w:r w:rsidRPr="006601BC">
              <w:rPr>
                <w:noProof/>
                <w:color w:val="000000"/>
                <w:sz w:val="20"/>
                <w:szCs w:val="20"/>
              </w:rPr>
              <w:t>492,488</w:t>
            </w:r>
          </w:p>
        </w:tc>
        <w:tc>
          <w:tcPr>
            <w:tcW w:w="990" w:type="dxa"/>
            <w:vAlign w:val="center"/>
          </w:tcPr>
          <w:p w14:paraId="68171995" w14:textId="77777777" w:rsidR="007D7104" w:rsidRPr="006601BC" w:rsidRDefault="007D7104" w:rsidP="00190BB5">
            <w:pPr>
              <w:spacing w:before="20" w:after="20"/>
              <w:jc w:val="right"/>
              <w:rPr>
                <w:b/>
                <w:noProof/>
                <w:sz w:val="20"/>
              </w:rPr>
            </w:pPr>
            <w:r w:rsidRPr="006601BC">
              <w:rPr>
                <w:noProof/>
                <w:color w:val="000000"/>
                <w:sz w:val="20"/>
                <w:szCs w:val="20"/>
              </w:rPr>
              <w:t>826,514</w:t>
            </w:r>
          </w:p>
        </w:tc>
        <w:tc>
          <w:tcPr>
            <w:tcW w:w="1033" w:type="dxa"/>
            <w:vAlign w:val="center"/>
          </w:tcPr>
          <w:p w14:paraId="593D455D" w14:textId="77777777" w:rsidR="007D7104" w:rsidRPr="006601BC" w:rsidRDefault="007D7104" w:rsidP="00190BB5">
            <w:pPr>
              <w:spacing w:before="20" w:after="20"/>
              <w:jc w:val="right"/>
              <w:rPr>
                <w:b/>
                <w:noProof/>
                <w:sz w:val="20"/>
              </w:rPr>
            </w:pPr>
          </w:p>
        </w:tc>
        <w:tc>
          <w:tcPr>
            <w:tcW w:w="1127" w:type="dxa"/>
            <w:vAlign w:val="center"/>
          </w:tcPr>
          <w:p w14:paraId="1E9AF1A1" w14:textId="77777777" w:rsidR="007D7104" w:rsidRPr="006601BC" w:rsidRDefault="007D7104" w:rsidP="00190BB5">
            <w:pPr>
              <w:spacing w:before="0" w:after="0"/>
              <w:jc w:val="right"/>
              <w:rPr>
                <w:b/>
                <w:bCs/>
                <w:noProof/>
                <w:color w:val="000000"/>
                <w:sz w:val="20"/>
                <w:szCs w:val="20"/>
              </w:rPr>
            </w:pPr>
            <w:r w:rsidRPr="006601BC">
              <w:rPr>
                <w:b/>
                <w:bCs/>
                <w:noProof/>
                <w:color w:val="000000"/>
                <w:sz w:val="20"/>
                <w:szCs w:val="20"/>
              </w:rPr>
              <w:t>2 795,218</w:t>
            </w:r>
          </w:p>
        </w:tc>
      </w:tr>
      <w:tr w:rsidR="007D7104" w:rsidRPr="006601BC" w14:paraId="29781BF5" w14:textId="77777777" w:rsidTr="00190BB5">
        <w:tc>
          <w:tcPr>
            <w:tcW w:w="3780" w:type="dxa"/>
            <w:gridSpan w:val="2"/>
            <w:vMerge/>
          </w:tcPr>
          <w:p w14:paraId="2CA350EF" w14:textId="77777777" w:rsidR="007D7104" w:rsidRPr="006601BC" w:rsidRDefault="007D7104" w:rsidP="00190BB5">
            <w:pPr>
              <w:jc w:val="center"/>
              <w:rPr>
                <w:noProof/>
                <w:sz w:val="20"/>
              </w:rPr>
            </w:pPr>
          </w:p>
        </w:tc>
        <w:tc>
          <w:tcPr>
            <w:tcW w:w="1260" w:type="dxa"/>
            <w:vAlign w:val="center"/>
          </w:tcPr>
          <w:p w14:paraId="1064AEFA" w14:textId="77777777" w:rsidR="007D7104" w:rsidRPr="006601BC" w:rsidRDefault="007D7104" w:rsidP="00190BB5">
            <w:pPr>
              <w:spacing w:before="20" w:after="20"/>
              <w:rPr>
                <w:noProof/>
                <w:sz w:val="18"/>
              </w:rPr>
            </w:pPr>
            <w:r w:rsidRPr="006601BC">
              <w:rPr>
                <w:noProof/>
                <w:sz w:val="18"/>
              </w:rPr>
              <w:t>Kifizetési előirányzatok</w:t>
            </w:r>
          </w:p>
        </w:tc>
        <w:tc>
          <w:tcPr>
            <w:tcW w:w="540" w:type="dxa"/>
            <w:vAlign w:val="center"/>
          </w:tcPr>
          <w:p w14:paraId="0199719C" w14:textId="77777777" w:rsidR="007D7104" w:rsidRPr="006601BC" w:rsidRDefault="007D7104" w:rsidP="00190BB5">
            <w:pPr>
              <w:spacing w:before="20" w:after="20"/>
              <w:jc w:val="center"/>
              <w:rPr>
                <w:noProof/>
                <w:sz w:val="14"/>
              </w:rPr>
            </w:pPr>
            <w:r w:rsidRPr="006601BC">
              <w:rPr>
                <w:noProof/>
                <w:sz w:val="14"/>
              </w:rPr>
              <w:t>(2)</w:t>
            </w:r>
          </w:p>
        </w:tc>
        <w:tc>
          <w:tcPr>
            <w:tcW w:w="990" w:type="dxa"/>
            <w:vAlign w:val="center"/>
          </w:tcPr>
          <w:p w14:paraId="76A81767" w14:textId="77777777" w:rsidR="007D7104" w:rsidRPr="006601BC" w:rsidRDefault="007D7104" w:rsidP="00190BB5">
            <w:pPr>
              <w:spacing w:before="20" w:after="20"/>
              <w:jc w:val="right"/>
              <w:rPr>
                <w:noProof/>
                <w:sz w:val="20"/>
              </w:rPr>
            </w:pPr>
          </w:p>
        </w:tc>
        <w:tc>
          <w:tcPr>
            <w:tcW w:w="990" w:type="dxa"/>
            <w:vAlign w:val="center"/>
          </w:tcPr>
          <w:p w14:paraId="2996D14B" w14:textId="77777777" w:rsidR="007D7104" w:rsidRPr="006601BC" w:rsidRDefault="007D7104" w:rsidP="00190BB5">
            <w:pPr>
              <w:spacing w:before="20" w:after="20"/>
              <w:jc w:val="right"/>
              <w:rPr>
                <w:noProof/>
                <w:sz w:val="20"/>
              </w:rPr>
            </w:pPr>
            <w:r w:rsidRPr="006601BC">
              <w:rPr>
                <w:noProof/>
                <w:color w:val="000000"/>
                <w:sz w:val="20"/>
                <w:szCs w:val="20"/>
              </w:rPr>
              <w:t>82,465</w:t>
            </w:r>
          </w:p>
        </w:tc>
        <w:tc>
          <w:tcPr>
            <w:tcW w:w="990" w:type="dxa"/>
            <w:vAlign w:val="center"/>
          </w:tcPr>
          <w:p w14:paraId="19E7E777" w14:textId="77777777" w:rsidR="007D7104" w:rsidRPr="006601BC" w:rsidRDefault="007D7104" w:rsidP="00190BB5">
            <w:pPr>
              <w:spacing w:before="20" w:after="20"/>
              <w:jc w:val="right"/>
              <w:rPr>
                <w:noProof/>
                <w:sz w:val="20"/>
              </w:rPr>
            </w:pPr>
            <w:r w:rsidRPr="006601BC">
              <w:rPr>
                <w:noProof/>
                <w:color w:val="000000"/>
                <w:sz w:val="20"/>
                <w:szCs w:val="20"/>
              </w:rPr>
              <w:t>155,409</w:t>
            </w:r>
          </w:p>
        </w:tc>
        <w:tc>
          <w:tcPr>
            <w:tcW w:w="976" w:type="dxa"/>
            <w:vAlign w:val="center"/>
          </w:tcPr>
          <w:p w14:paraId="70A78310" w14:textId="77777777" w:rsidR="007D7104" w:rsidRPr="006601BC" w:rsidRDefault="007D7104" w:rsidP="00190BB5">
            <w:pPr>
              <w:spacing w:before="20" w:after="20"/>
              <w:jc w:val="right"/>
              <w:rPr>
                <w:noProof/>
                <w:sz w:val="20"/>
              </w:rPr>
            </w:pPr>
            <w:r w:rsidRPr="006601BC">
              <w:rPr>
                <w:noProof/>
                <w:color w:val="000000"/>
                <w:sz w:val="20"/>
                <w:szCs w:val="20"/>
              </w:rPr>
              <w:t>325,111</w:t>
            </w:r>
          </w:p>
        </w:tc>
        <w:tc>
          <w:tcPr>
            <w:tcW w:w="1004" w:type="dxa"/>
            <w:vAlign w:val="center"/>
          </w:tcPr>
          <w:p w14:paraId="655BFDE9" w14:textId="77777777" w:rsidR="007D7104" w:rsidRPr="006601BC" w:rsidRDefault="007D7104" w:rsidP="00190BB5">
            <w:pPr>
              <w:spacing w:before="20" w:after="20"/>
              <w:jc w:val="right"/>
              <w:rPr>
                <w:noProof/>
                <w:sz w:val="20"/>
              </w:rPr>
            </w:pPr>
            <w:r w:rsidRPr="006601BC">
              <w:rPr>
                <w:noProof/>
                <w:color w:val="000000"/>
                <w:sz w:val="20"/>
                <w:szCs w:val="20"/>
              </w:rPr>
              <w:t>384,714</w:t>
            </w:r>
          </w:p>
        </w:tc>
        <w:tc>
          <w:tcPr>
            <w:tcW w:w="990" w:type="dxa"/>
            <w:vAlign w:val="center"/>
          </w:tcPr>
          <w:p w14:paraId="1528D2A7" w14:textId="77777777" w:rsidR="007D7104" w:rsidRPr="006601BC" w:rsidRDefault="007D7104" w:rsidP="00190BB5">
            <w:pPr>
              <w:spacing w:before="20" w:after="20"/>
              <w:jc w:val="right"/>
              <w:rPr>
                <w:noProof/>
                <w:sz w:val="20"/>
              </w:rPr>
            </w:pPr>
            <w:r w:rsidRPr="006601BC">
              <w:rPr>
                <w:noProof/>
                <w:color w:val="000000"/>
                <w:sz w:val="20"/>
                <w:szCs w:val="20"/>
              </w:rPr>
              <w:t>482,608</w:t>
            </w:r>
          </w:p>
        </w:tc>
        <w:tc>
          <w:tcPr>
            <w:tcW w:w="990" w:type="dxa"/>
            <w:vAlign w:val="center"/>
          </w:tcPr>
          <w:p w14:paraId="5A25FF92" w14:textId="77777777" w:rsidR="007D7104" w:rsidRPr="006601BC" w:rsidRDefault="007D7104" w:rsidP="00190BB5">
            <w:pPr>
              <w:spacing w:before="20" w:after="20"/>
              <w:jc w:val="right"/>
              <w:rPr>
                <w:b/>
                <w:noProof/>
                <w:sz w:val="20"/>
              </w:rPr>
            </w:pPr>
            <w:r w:rsidRPr="006601BC">
              <w:rPr>
                <w:noProof/>
                <w:color w:val="000000"/>
                <w:sz w:val="20"/>
                <w:szCs w:val="20"/>
              </w:rPr>
              <w:t>589,357</w:t>
            </w:r>
          </w:p>
        </w:tc>
        <w:tc>
          <w:tcPr>
            <w:tcW w:w="1033" w:type="dxa"/>
            <w:vAlign w:val="center"/>
          </w:tcPr>
          <w:p w14:paraId="7ECA7900" w14:textId="77777777" w:rsidR="007D7104" w:rsidRPr="006601BC" w:rsidRDefault="007D7104" w:rsidP="00190BB5">
            <w:pPr>
              <w:spacing w:before="20" w:after="20"/>
              <w:jc w:val="right"/>
              <w:rPr>
                <w:b/>
                <w:noProof/>
                <w:sz w:val="20"/>
              </w:rPr>
            </w:pPr>
            <w:r w:rsidRPr="006601BC">
              <w:rPr>
                <w:noProof/>
                <w:color w:val="000000"/>
                <w:sz w:val="20"/>
                <w:szCs w:val="20"/>
              </w:rPr>
              <w:t>775,555</w:t>
            </w:r>
          </w:p>
        </w:tc>
        <w:tc>
          <w:tcPr>
            <w:tcW w:w="1127" w:type="dxa"/>
            <w:vAlign w:val="center"/>
          </w:tcPr>
          <w:p w14:paraId="3890E398" w14:textId="77777777" w:rsidR="007D7104" w:rsidRPr="006601BC" w:rsidRDefault="007D7104" w:rsidP="00190BB5">
            <w:pPr>
              <w:spacing w:before="20" w:after="20"/>
              <w:jc w:val="right"/>
              <w:rPr>
                <w:b/>
                <w:noProof/>
                <w:sz w:val="20"/>
              </w:rPr>
            </w:pPr>
            <w:r w:rsidRPr="006601BC">
              <w:rPr>
                <w:b/>
                <w:bCs/>
                <w:noProof/>
                <w:color w:val="000000"/>
                <w:sz w:val="20"/>
                <w:szCs w:val="20"/>
              </w:rPr>
              <w:t>2 795,218</w:t>
            </w:r>
          </w:p>
        </w:tc>
      </w:tr>
      <w:tr w:rsidR="007D7104" w:rsidRPr="006601BC" w14:paraId="0B705560" w14:textId="77777777" w:rsidTr="00190BB5">
        <w:trPr>
          <w:trHeight w:val="231"/>
        </w:trPr>
        <w:tc>
          <w:tcPr>
            <w:tcW w:w="3720" w:type="dxa"/>
            <w:vAlign w:val="center"/>
          </w:tcPr>
          <w:p w14:paraId="7FD54264" w14:textId="77777777" w:rsidR="007D7104" w:rsidRPr="006601BC" w:rsidRDefault="007D7104" w:rsidP="00190BB5">
            <w:pPr>
              <w:spacing w:before="20" w:after="20"/>
              <w:rPr>
                <w:noProof/>
              </w:rPr>
            </w:pPr>
            <w:r w:rsidRPr="006601BC">
              <w:rPr>
                <w:noProof/>
                <w:sz w:val="21"/>
              </w:rPr>
              <w:sym w:font="Wingdings" w:char="F09F"/>
            </w:r>
            <w:r w:rsidRPr="006601BC">
              <w:rPr>
                <w:noProof/>
                <w:sz w:val="21"/>
              </w:rPr>
              <w:t xml:space="preserve"> Bizonyos egyedi programok keretéből finanszírozott igazgatási jellegű előirányzatok</w:t>
            </w:r>
          </w:p>
        </w:tc>
        <w:tc>
          <w:tcPr>
            <w:tcW w:w="1320" w:type="dxa"/>
            <w:gridSpan w:val="2"/>
            <w:vAlign w:val="center"/>
          </w:tcPr>
          <w:p w14:paraId="336105F7" w14:textId="77777777" w:rsidR="007D7104" w:rsidRPr="006601BC" w:rsidRDefault="007D7104" w:rsidP="00190BB5">
            <w:pPr>
              <w:spacing w:before="0" w:after="0"/>
              <w:rPr>
                <w:noProof/>
              </w:rPr>
            </w:pPr>
          </w:p>
        </w:tc>
        <w:tc>
          <w:tcPr>
            <w:tcW w:w="540" w:type="dxa"/>
            <w:vAlign w:val="center"/>
          </w:tcPr>
          <w:p w14:paraId="2C2EB683" w14:textId="77777777" w:rsidR="007D7104" w:rsidRPr="006601BC" w:rsidRDefault="007D7104" w:rsidP="00190BB5">
            <w:pPr>
              <w:spacing w:before="20" w:after="20"/>
              <w:jc w:val="center"/>
              <w:rPr>
                <w:noProof/>
              </w:rPr>
            </w:pPr>
          </w:p>
        </w:tc>
        <w:tc>
          <w:tcPr>
            <w:tcW w:w="990" w:type="dxa"/>
            <w:vAlign w:val="center"/>
          </w:tcPr>
          <w:p w14:paraId="171C9B01" w14:textId="77777777" w:rsidR="007D7104" w:rsidRPr="006601BC" w:rsidRDefault="007D7104" w:rsidP="00190BB5">
            <w:pPr>
              <w:rPr>
                <w:b/>
                <w:noProof/>
                <w:sz w:val="20"/>
              </w:rPr>
            </w:pPr>
          </w:p>
        </w:tc>
        <w:tc>
          <w:tcPr>
            <w:tcW w:w="990" w:type="dxa"/>
            <w:vAlign w:val="center"/>
          </w:tcPr>
          <w:p w14:paraId="3F733FEB" w14:textId="77777777" w:rsidR="007D7104" w:rsidRPr="006601BC" w:rsidRDefault="007D7104" w:rsidP="00190BB5">
            <w:pPr>
              <w:rPr>
                <w:b/>
                <w:noProof/>
                <w:sz w:val="20"/>
              </w:rPr>
            </w:pPr>
            <w:r w:rsidRPr="006601BC">
              <w:rPr>
                <w:b/>
                <w:bCs/>
                <w:noProof/>
                <w:color w:val="000000"/>
                <w:sz w:val="20"/>
              </w:rPr>
              <w:t xml:space="preserve"> </w:t>
            </w:r>
          </w:p>
        </w:tc>
        <w:tc>
          <w:tcPr>
            <w:tcW w:w="990" w:type="dxa"/>
            <w:vAlign w:val="center"/>
          </w:tcPr>
          <w:p w14:paraId="4367E9F2" w14:textId="77777777" w:rsidR="007D7104" w:rsidRPr="006601BC" w:rsidRDefault="007D7104" w:rsidP="00190BB5">
            <w:pPr>
              <w:rPr>
                <w:b/>
                <w:noProof/>
                <w:sz w:val="20"/>
              </w:rPr>
            </w:pPr>
            <w:r w:rsidRPr="006601BC">
              <w:rPr>
                <w:b/>
                <w:bCs/>
                <w:noProof/>
                <w:color w:val="000000"/>
                <w:sz w:val="20"/>
              </w:rPr>
              <w:t xml:space="preserve"> </w:t>
            </w:r>
          </w:p>
        </w:tc>
        <w:tc>
          <w:tcPr>
            <w:tcW w:w="976" w:type="dxa"/>
            <w:vAlign w:val="center"/>
          </w:tcPr>
          <w:p w14:paraId="0486BF03" w14:textId="77777777" w:rsidR="007D7104" w:rsidRPr="006601BC" w:rsidRDefault="007D7104" w:rsidP="00190BB5">
            <w:pPr>
              <w:rPr>
                <w:b/>
                <w:noProof/>
                <w:sz w:val="20"/>
              </w:rPr>
            </w:pPr>
            <w:r w:rsidRPr="006601BC">
              <w:rPr>
                <w:b/>
                <w:bCs/>
                <w:noProof/>
                <w:color w:val="000000"/>
                <w:sz w:val="20"/>
              </w:rPr>
              <w:t xml:space="preserve"> </w:t>
            </w:r>
          </w:p>
        </w:tc>
        <w:tc>
          <w:tcPr>
            <w:tcW w:w="1004" w:type="dxa"/>
            <w:vAlign w:val="center"/>
          </w:tcPr>
          <w:p w14:paraId="405A7E40" w14:textId="77777777" w:rsidR="007D7104" w:rsidRPr="006601BC" w:rsidRDefault="007D7104" w:rsidP="00190BB5">
            <w:pPr>
              <w:rPr>
                <w:b/>
                <w:noProof/>
                <w:sz w:val="20"/>
              </w:rPr>
            </w:pPr>
            <w:r w:rsidRPr="006601BC">
              <w:rPr>
                <w:b/>
                <w:bCs/>
                <w:noProof/>
                <w:color w:val="000000"/>
                <w:sz w:val="20"/>
              </w:rPr>
              <w:t xml:space="preserve"> </w:t>
            </w:r>
          </w:p>
        </w:tc>
        <w:tc>
          <w:tcPr>
            <w:tcW w:w="990" w:type="dxa"/>
            <w:vAlign w:val="center"/>
          </w:tcPr>
          <w:p w14:paraId="6AAA44E0" w14:textId="77777777" w:rsidR="007D7104" w:rsidRPr="006601BC" w:rsidRDefault="007D7104" w:rsidP="00190BB5">
            <w:pPr>
              <w:rPr>
                <w:b/>
                <w:noProof/>
                <w:sz w:val="20"/>
              </w:rPr>
            </w:pPr>
            <w:r w:rsidRPr="006601BC">
              <w:rPr>
                <w:b/>
                <w:bCs/>
                <w:noProof/>
                <w:color w:val="000000"/>
                <w:sz w:val="20"/>
              </w:rPr>
              <w:t xml:space="preserve"> </w:t>
            </w:r>
          </w:p>
        </w:tc>
        <w:tc>
          <w:tcPr>
            <w:tcW w:w="990" w:type="dxa"/>
            <w:vAlign w:val="center"/>
          </w:tcPr>
          <w:p w14:paraId="2121273C" w14:textId="77777777" w:rsidR="007D7104" w:rsidRPr="006601BC" w:rsidRDefault="007D7104" w:rsidP="00190BB5">
            <w:pPr>
              <w:rPr>
                <w:b/>
                <w:noProof/>
                <w:sz w:val="20"/>
              </w:rPr>
            </w:pPr>
            <w:r w:rsidRPr="006601BC">
              <w:rPr>
                <w:b/>
                <w:bCs/>
                <w:noProof/>
                <w:color w:val="000000"/>
                <w:sz w:val="20"/>
              </w:rPr>
              <w:t xml:space="preserve"> </w:t>
            </w:r>
          </w:p>
        </w:tc>
        <w:tc>
          <w:tcPr>
            <w:tcW w:w="1033" w:type="dxa"/>
            <w:vAlign w:val="center"/>
          </w:tcPr>
          <w:p w14:paraId="0FEAE4D1" w14:textId="77777777" w:rsidR="007D7104" w:rsidRPr="006601BC" w:rsidRDefault="007D7104" w:rsidP="00190BB5">
            <w:pPr>
              <w:rPr>
                <w:b/>
                <w:noProof/>
                <w:sz w:val="20"/>
              </w:rPr>
            </w:pPr>
            <w:r w:rsidRPr="006601BC">
              <w:rPr>
                <w:b/>
                <w:bCs/>
                <w:noProof/>
                <w:color w:val="000000"/>
                <w:sz w:val="20"/>
              </w:rPr>
              <w:t xml:space="preserve"> </w:t>
            </w:r>
          </w:p>
        </w:tc>
        <w:tc>
          <w:tcPr>
            <w:tcW w:w="1127" w:type="dxa"/>
            <w:vAlign w:val="center"/>
          </w:tcPr>
          <w:p w14:paraId="4158EC5C" w14:textId="77777777" w:rsidR="007D7104" w:rsidRPr="006601BC" w:rsidRDefault="007D7104" w:rsidP="00190BB5">
            <w:pPr>
              <w:spacing w:before="0" w:after="0"/>
              <w:jc w:val="right"/>
              <w:rPr>
                <w:b/>
                <w:noProof/>
                <w:sz w:val="20"/>
              </w:rPr>
            </w:pPr>
            <w:r w:rsidRPr="006601BC">
              <w:rPr>
                <w:b/>
                <w:bCs/>
                <w:noProof/>
                <w:color w:val="000000"/>
                <w:sz w:val="20"/>
              </w:rPr>
              <w:t xml:space="preserve"> </w:t>
            </w:r>
          </w:p>
        </w:tc>
      </w:tr>
      <w:tr w:rsidR="007D7104" w:rsidRPr="006601BC" w14:paraId="614915C4" w14:textId="77777777" w:rsidTr="00190BB5">
        <w:trPr>
          <w:trHeight w:val="319"/>
        </w:trPr>
        <w:tc>
          <w:tcPr>
            <w:tcW w:w="3780" w:type="dxa"/>
            <w:gridSpan w:val="2"/>
            <w:vAlign w:val="center"/>
          </w:tcPr>
          <w:p w14:paraId="6F87F015" w14:textId="77777777" w:rsidR="007D7104" w:rsidRPr="006601BC" w:rsidRDefault="007D7104" w:rsidP="00190BB5">
            <w:pPr>
              <w:spacing w:before="60" w:after="60"/>
              <w:rPr>
                <w:noProof/>
              </w:rPr>
            </w:pPr>
            <w:r w:rsidRPr="006601BC">
              <w:rPr>
                <w:noProof/>
                <w:sz w:val="20"/>
              </w:rPr>
              <w:t>06 01 05 – Támogatás</w:t>
            </w:r>
          </w:p>
        </w:tc>
        <w:tc>
          <w:tcPr>
            <w:tcW w:w="1260" w:type="dxa"/>
            <w:vAlign w:val="center"/>
          </w:tcPr>
          <w:p w14:paraId="4D1235E9" w14:textId="77777777" w:rsidR="007D7104" w:rsidRPr="006601BC" w:rsidRDefault="007D7104" w:rsidP="00190BB5">
            <w:pPr>
              <w:spacing w:before="40" w:after="40"/>
              <w:jc w:val="right"/>
              <w:rPr>
                <w:noProof/>
                <w:sz w:val="18"/>
              </w:rPr>
            </w:pPr>
            <w:r w:rsidRPr="006601BC">
              <w:rPr>
                <w:noProof/>
                <w:sz w:val="18"/>
              </w:rPr>
              <w:t>Kötelezettségvállalási előirányzatok = kifizetési előirányzatok</w:t>
            </w:r>
          </w:p>
        </w:tc>
        <w:tc>
          <w:tcPr>
            <w:tcW w:w="540" w:type="dxa"/>
            <w:vAlign w:val="center"/>
          </w:tcPr>
          <w:p w14:paraId="4EAB1538" w14:textId="77777777" w:rsidR="007D7104" w:rsidRPr="006601BC" w:rsidRDefault="007D7104" w:rsidP="00190BB5">
            <w:pPr>
              <w:spacing w:before="40" w:after="40"/>
              <w:jc w:val="center"/>
              <w:rPr>
                <w:noProof/>
                <w:sz w:val="14"/>
              </w:rPr>
            </w:pPr>
            <w:r w:rsidRPr="006601BC">
              <w:rPr>
                <w:noProof/>
                <w:sz w:val="14"/>
              </w:rPr>
              <w:t>(3)</w:t>
            </w:r>
          </w:p>
        </w:tc>
        <w:tc>
          <w:tcPr>
            <w:tcW w:w="990" w:type="dxa"/>
            <w:vAlign w:val="center"/>
          </w:tcPr>
          <w:p w14:paraId="1459DC90" w14:textId="77777777" w:rsidR="007D7104" w:rsidRPr="006601BC" w:rsidRDefault="007D7104" w:rsidP="00190BB5">
            <w:pPr>
              <w:spacing w:before="40" w:after="40"/>
              <w:jc w:val="right"/>
              <w:rPr>
                <w:b/>
                <w:noProof/>
                <w:sz w:val="20"/>
              </w:rPr>
            </w:pPr>
          </w:p>
        </w:tc>
        <w:tc>
          <w:tcPr>
            <w:tcW w:w="990" w:type="dxa"/>
            <w:vAlign w:val="center"/>
          </w:tcPr>
          <w:p w14:paraId="566F4445" w14:textId="77777777" w:rsidR="007D7104" w:rsidRPr="006601BC" w:rsidRDefault="007D7104" w:rsidP="00190BB5">
            <w:pPr>
              <w:spacing w:before="40" w:after="40"/>
              <w:jc w:val="center"/>
              <w:rPr>
                <w:b/>
                <w:noProof/>
                <w:sz w:val="20"/>
              </w:rPr>
            </w:pPr>
            <w:r w:rsidRPr="006601BC">
              <w:rPr>
                <w:noProof/>
                <w:sz w:val="20"/>
              </w:rPr>
              <w:t>p.m.</w:t>
            </w:r>
          </w:p>
        </w:tc>
        <w:tc>
          <w:tcPr>
            <w:tcW w:w="990" w:type="dxa"/>
            <w:vAlign w:val="center"/>
          </w:tcPr>
          <w:p w14:paraId="059B019B" w14:textId="77777777" w:rsidR="007D7104" w:rsidRPr="006601BC" w:rsidRDefault="007D7104" w:rsidP="00190BB5">
            <w:pPr>
              <w:spacing w:before="40" w:after="40"/>
              <w:jc w:val="center"/>
              <w:rPr>
                <w:b/>
                <w:noProof/>
                <w:sz w:val="20"/>
              </w:rPr>
            </w:pPr>
            <w:r w:rsidRPr="006601BC">
              <w:rPr>
                <w:noProof/>
                <w:sz w:val="20"/>
              </w:rPr>
              <w:t>p.m.</w:t>
            </w:r>
          </w:p>
        </w:tc>
        <w:tc>
          <w:tcPr>
            <w:tcW w:w="976" w:type="dxa"/>
            <w:vAlign w:val="center"/>
          </w:tcPr>
          <w:p w14:paraId="2699586C" w14:textId="77777777" w:rsidR="007D7104" w:rsidRPr="006601BC" w:rsidRDefault="007D7104" w:rsidP="00190BB5">
            <w:pPr>
              <w:spacing w:before="40" w:after="40"/>
              <w:jc w:val="center"/>
              <w:rPr>
                <w:b/>
                <w:noProof/>
                <w:sz w:val="20"/>
              </w:rPr>
            </w:pPr>
            <w:r w:rsidRPr="006601BC">
              <w:rPr>
                <w:noProof/>
                <w:sz w:val="20"/>
              </w:rPr>
              <w:t>p.m.</w:t>
            </w:r>
          </w:p>
        </w:tc>
        <w:tc>
          <w:tcPr>
            <w:tcW w:w="1004" w:type="dxa"/>
            <w:vAlign w:val="center"/>
          </w:tcPr>
          <w:p w14:paraId="63E1FB27" w14:textId="77777777" w:rsidR="007D7104" w:rsidRPr="006601BC" w:rsidRDefault="007D7104" w:rsidP="00190BB5">
            <w:pPr>
              <w:spacing w:before="40" w:after="40"/>
              <w:jc w:val="center"/>
              <w:rPr>
                <w:b/>
                <w:noProof/>
                <w:sz w:val="20"/>
              </w:rPr>
            </w:pPr>
            <w:r w:rsidRPr="006601BC">
              <w:rPr>
                <w:noProof/>
                <w:sz w:val="20"/>
              </w:rPr>
              <w:t>p.m.</w:t>
            </w:r>
          </w:p>
        </w:tc>
        <w:tc>
          <w:tcPr>
            <w:tcW w:w="990" w:type="dxa"/>
            <w:vAlign w:val="center"/>
          </w:tcPr>
          <w:p w14:paraId="6F6CF1CA" w14:textId="77777777" w:rsidR="007D7104" w:rsidRPr="006601BC" w:rsidRDefault="007D7104" w:rsidP="00190BB5">
            <w:pPr>
              <w:spacing w:before="40" w:after="40"/>
              <w:jc w:val="center"/>
              <w:rPr>
                <w:b/>
                <w:noProof/>
                <w:sz w:val="20"/>
              </w:rPr>
            </w:pPr>
            <w:r w:rsidRPr="006601BC">
              <w:rPr>
                <w:noProof/>
                <w:sz w:val="20"/>
              </w:rPr>
              <w:t>p.m.</w:t>
            </w:r>
          </w:p>
        </w:tc>
        <w:tc>
          <w:tcPr>
            <w:tcW w:w="990" w:type="dxa"/>
            <w:vAlign w:val="center"/>
          </w:tcPr>
          <w:p w14:paraId="4184BE6E" w14:textId="77777777" w:rsidR="007D7104" w:rsidRPr="006601BC" w:rsidRDefault="007D7104" w:rsidP="00190BB5">
            <w:pPr>
              <w:spacing w:before="40" w:after="40"/>
              <w:jc w:val="center"/>
              <w:rPr>
                <w:b/>
                <w:noProof/>
                <w:sz w:val="20"/>
              </w:rPr>
            </w:pPr>
            <w:r w:rsidRPr="006601BC">
              <w:rPr>
                <w:noProof/>
                <w:sz w:val="20"/>
              </w:rPr>
              <w:t>p.m.</w:t>
            </w:r>
          </w:p>
        </w:tc>
        <w:tc>
          <w:tcPr>
            <w:tcW w:w="1033" w:type="dxa"/>
            <w:vAlign w:val="center"/>
          </w:tcPr>
          <w:p w14:paraId="1C8A591B" w14:textId="77777777" w:rsidR="007D7104" w:rsidRPr="006601BC" w:rsidRDefault="007D7104" w:rsidP="00190BB5">
            <w:pPr>
              <w:spacing w:before="40" w:after="40"/>
              <w:jc w:val="center"/>
              <w:rPr>
                <w:b/>
                <w:noProof/>
                <w:sz w:val="20"/>
              </w:rPr>
            </w:pPr>
          </w:p>
        </w:tc>
        <w:tc>
          <w:tcPr>
            <w:tcW w:w="1127" w:type="dxa"/>
            <w:vAlign w:val="center"/>
          </w:tcPr>
          <w:p w14:paraId="02891DCE" w14:textId="77777777" w:rsidR="007D7104" w:rsidRPr="006601BC" w:rsidRDefault="007D7104" w:rsidP="00190BB5">
            <w:pPr>
              <w:spacing w:before="40" w:after="40"/>
              <w:jc w:val="center"/>
              <w:rPr>
                <w:b/>
                <w:noProof/>
                <w:sz w:val="20"/>
              </w:rPr>
            </w:pPr>
            <w:r w:rsidRPr="006601BC">
              <w:rPr>
                <w:b/>
                <w:noProof/>
                <w:sz w:val="20"/>
              </w:rPr>
              <w:t>p.m.</w:t>
            </w:r>
          </w:p>
        </w:tc>
      </w:tr>
      <w:tr w:rsidR="007D7104" w:rsidRPr="006601BC" w14:paraId="581D440C" w14:textId="77777777" w:rsidTr="00190BB5">
        <w:tc>
          <w:tcPr>
            <w:tcW w:w="3780" w:type="dxa"/>
            <w:gridSpan w:val="2"/>
            <w:vMerge w:val="restart"/>
            <w:vAlign w:val="center"/>
          </w:tcPr>
          <w:p w14:paraId="4BD4E74E" w14:textId="77777777" w:rsidR="007D7104" w:rsidRPr="006601BC" w:rsidRDefault="007D7104" w:rsidP="00190BB5">
            <w:pPr>
              <w:jc w:val="center"/>
              <w:rPr>
                <w:b/>
                <w:noProof/>
              </w:rPr>
            </w:pPr>
            <w:r w:rsidRPr="006601BC">
              <w:rPr>
                <w:b/>
                <w:noProof/>
                <w:sz w:val="22"/>
              </w:rPr>
              <w:t>A programkeretre szóló előirányzatok a költségvetési eljárásokból</w:t>
            </w:r>
            <w:r w:rsidRPr="006601BC">
              <w:rPr>
                <w:noProof/>
              </w:rPr>
              <w:t xml:space="preserve"> </w:t>
            </w:r>
            <w:r w:rsidRPr="006601BC">
              <w:rPr>
                <w:noProof/>
              </w:rPr>
              <w:br/>
            </w:r>
            <w:r w:rsidRPr="006601BC">
              <w:rPr>
                <w:b/>
                <w:noProof/>
                <w:sz w:val="22"/>
              </w:rPr>
              <w:t>ÖSSZESEN</w:t>
            </w:r>
          </w:p>
        </w:tc>
        <w:tc>
          <w:tcPr>
            <w:tcW w:w="1260" w:type="dxa"/>
            <w:vAlign w:val="center"/>
          </w:tcPr>
          <w:p w14:paraId="41BA89C8" w14:textId="77777777" w:rsidR="007D7104" w:rsidRPr="006601BC" w:rsidRDefault="007D7104" w:rsidP="00190BB5">
            <w:pPr>
              <w:rPr>
                <w:noProof/>
                <w:sz w:val="18"/>
              </w:rPr>
            </w:pPr>
            <w:r w:rsidRPr="006601BC">
              <w:rPr>
                <w:noProof/>
                <w:sz w:val="18"/>
              </w:rPr>
              <w:t>Kötelezettségvállalási előirányzatok</w:t>
            </w:r>
          </w:p>
        </w:tc>
        <w:tc>
          <w:tcPr>
            <w:tcW w:w="540" w:type="dxa"/>
            <w:vAlign w:val="center"/>
          </w:tcPr>
          <w:p w14:paraId="2C448D75" w14:textId="77777777" w:rsidR="007D7104" w:rsidRPr="006601BC" w:rsidRDefault="007D7104" w:rsidP="00190BB5">
            <w:pPr>
              <w:jc w:val="center"/>
              <w:rPr>
                <w:noProof/>
                <w:sz w:val="14"/>
              </w:rPr>
            </w:pPr>
            <w:r w:rsidRPr="006601BC">
              <w:rPr>
                <w:noProof/>
                <w:sz w:val="14"/>
              </w:rPr>
              <w:t>=1+1a +3</w:t>
            </w:r>
          </w:p>
        </w:tc>
        <w:tc>
          <w:tcPr>
            <w:tcW w:w="990" w:type="dxa"/>
            <w:vAlign w:val="center"/>
          </w:tcPr>
          <w:p w14:paraId="5CF38623" w14:textId="77777777" w:rsidR="007D7104" w:rsidRPr="006601BC" w:rsidRDefault="007D7104" w:rsidP="00190BB5">
            <w:pPr>
              <w:spacing w:before="20" w:after="20"/>
              <w:jc w:val="right"/>
              <w:rPr>
                <w:noProof/>
                <w:sz w:val="20"/>
              </w:rPr>
            </w:pPr>
          </w:p>
        </w:tc>
        <w:tc>
          <w:tcPr>
            <w:tcW w:w="990" w:type="dxa"/>
            <w:vAlign w:val="center"/>
          </w:tcPr>
          <w:p w14:paraId="056DD53E" w14:textId="77777777" w:rsidR="007D7104" w:rsidRPr="006601BC" w:rsidRDefault="007D7104" w:rsidP="00190BB5">
            <w:pPr>
              <w:spacing w:before="20" w:after="20"/>
              <w:jc w:val="right"/>
              <w:rPr>
                <w:noProof/>
                <w:sz w:val="20"/>
              </w:rPr>
            </w:pPr>
            <w:r w:rsidRPr="006601BC">
              <w:rPr>
                <w:noProof/>
                <w:color w:val="000000"/>
                <w:sz w:val="20"/>
                <w:szCs w:val="20"/>
              </w:rPr>
              <w:t>274,883</w:t>
            </w:r>
          </w:p>
        </w:tc>
        <w:tc>
          <w:tcPr>
            <w:tcW w:w="990" w:type="dxa"/>
            <w:vAlign w:val="center"/>
          </w:tcPr>
          <w:p w14:paraId="619A6DE8" w14:textId="77777777" w:rsidR="007D7104" w:rsidRPr="006601BC" w:rsidRDefault="007D7104" w:rsidP="00190BB5">
            <w:pPr>
              <w:spacing w:before="20" w:after="20"/>
              <w:jc w:val="right"/>
              <w:rPr>
                <w:noProof/>
                <w:sz w:val="20"/>
              </w:rPr>
            </w:pPr>
            <w:r w:rsidRPr="006601BC">
              <w:rPr>
                <w:noProof/>
                <w:color w:val="000000"/>
                <w:sz w:val="20"/>
                <w:szCs w:val="20"/>
              </w:rPr>
              <w:t>243,145</w:t>
            </w:r>
          </w:p>
        </w:tc>
        <w:tc>
          <w:tcPr>
            <w:tcW w:w="976" w:type="dxa"/>
            <w:vAlign w:val="center"/>
          </w:tcPr>
          <w:p w14:paraId="7C775AEF" w14:textId="77777777" w:rsidR="007D7104" w:rsidRPr="006601BC" w:rsidRDefault="007D7104" w:rsidP="00190BB5">
            <w:pPr>
              <w:spacing w:before="20" w:after="20"/>
              <w:jc w:val="right"/>
              <w:rPr>
                <w:noProof/>
                <w:sz w:val="20"/>
              </w:rPr>
            </w:pPr>
            <w:r w:rsidRPr="006601BC">
              <w:rPr>
                <w:noProof/>
                <w:color w:val="000000"/>
                <w:sz w:val="20"/>
                <w:szCs w:val="20"/>
              </w:rPr>
              <w:t>474,048</w:t>
            </w:r>
          </w:p>
        </w:tc>
        <w:tc>
          <w:tcPr>
            <w:tcW w:w="1004" w:type="dxa"/>
            <w:vAlign w:val="center"/>
          </w:tcPr>
          <w:p w14:paraId="09E8741F" w14:textId="77777777" w:rsidR="007D7104" w:rsidRPr="006601BC" w:rsidRDefault="007D7104" w:rsidP="00190BB5">
            <w:pPr>
              <w:spacing w:before="20" w:after="20"/>
              <w:jc w:val="right"/>
              <w:rPr>
                <w:noProof/>
                <w:sz w:val="20"/>
              </w:rPr>
            </w:pPr>
            <w:r w:rsidRPr="006601BC">
              <w:rPr>
                <w:noProof/>
                <w:color w:val="000000"/>
                <w:sz w:val="20"/>
                <w:szCs w:val="20"/>
              </w:rPr>
              <w:t>484,140</w:t>
            </w:r>
          </w:p>
        </w:tc>
        <w:tc>
          <w:tcPr>
            <w:tcW w:w="990" w:type="dxa"/>
            <w:vAlign w:val="center"/>
          </w:tcPr>
          <w:p w14:paraId="35BB6EF4" w14:textId="77777777" w:rsidR="007D7104" w:rsidRPr="006601BC" w:rsidRDefault="007D7104" w:rsidP="00190BB5">
            <w:pPr>
              <w:spacing w:before="20" w:after="20"/>
              <w:jc w:val="right"/>
              <w:rPr>
                <w:noProof/>
                <w:sz w:val="20"/>
              </w:rPr>
            </w:pPr>
            <w:r w:rsidRPr="006601BC">
              <w:rPr>
                <w:noProof/>
                <w:color w:val="000000"/>
                <w:sz w:val="20"/>
                <w:szCs w:val="20"/>
              </w:rPr>
              <w:t>492,488</w:t>
            </w:r>
          </w:p>
        </w:tc>
        <w:tc>
          <w:tcPr>
            <w:tcW w:w="990" w:type="dxa"/>
            <w:vAlign w:val="center"/>
          </w:tcPr>
          <w:p w14:paraId="729C4820" w14:textId="77777777" w:rsidR="007D7104" w:rsidRPr="006601BC" w:rsidRDefault="007D7104" w:rsidP="00190BB5">
            <w:pPr>
              <w:spacing w:before="20" w:after="20"/>
              <w:jc w:val="right"/>
              <w:rPr>
                <w:b/>
                <w:noProof/>
                <w:sz w:val="20"/>
              </w:rPr>
            </w:pPr>
            <w:r w:rsidRPr="006601BC">
              <w:rPr>
                <w:noProof/>
                <w:color w:val="000000"/>
                <w:sz w:val="20"/>
                <w:szCs w:val="20"/>
              </w:rPr>
              <w:t>826,514</w:t>
            </w:r>
          </w:p>
        </w:tc>
        <w:tc>
          <w:tcPr>
            <w:tcW w:w="1033" w:type="dxa"/>
            <w:vAlign w:val="center"/>
          </w:tcPr>
          <w:p w14:paraId="7087EA62" w14:textId="77777777" w:rsidR="007D7104" w:rsidRPr="006601BC" w:rsidRDefault="007D7104" w:rsidP="00190BB5">
            <w:pPr>
              <w:spacing w:before="20" w:after="20"/>
              <w:jc w:val="right"/>
              <w:rPr>
                <w:b/>
                <w:noProof/>
                <w:sz w:val="20"/>
              </w:rPr>
            </w:pPr>
            <w:r w:rsidRPr="006601BC">
              <w:rPr>
                <w:noProof/>
                <w:color w:val="000000"/>
                <w:sz w:val="20"/>
                <w:szCs w:val="20"/>
              </w:rPr>
              <w:t>0,000</w:t>
            </w:r>
          </w:p>
        </w:tc>
        <w:tc>
          <w:tcPr>
            <w:tcW w:w="1127" w:type="dxa"/>
            <w:vAlign w:val="center"/>
          </w:tcPr>
          <w:p w14:paraId="2937AE0F" w14:textId="77777777" w:rsidR="007D7104" w:rsidRPr="006601BC" w:rsidRDefault="007D7104" w:rsidP="00190BB5">
            <w:pPr>
              <w:spacing w:before="20" w:after="20"/>
              <w:jc w:val="right"/>
              <w:rPr>
                <w:b/>
                <w:noProof/>
                <w:sz w:val="20"/>
              </w:rPr>
            </w:pPr>
            <w:r w:rsidRPr="006601BC">
              <w:rPr>
                <w:b/>
                <w:bCs/>
                <w:noProof/>
                <w:color w:val="000000"/>
                <w:sz w:val="20"/>
                <w:szCs w:val="20"/>
              </w:rPr>
              <w:t>2 795,218</w:t>
            </w:r>
          </w:p>
        </w:tc>
      </w:tr>
      <w:tr w:rsidR="007D7104" w:rsidRPr="006601BC" w14:paraId="4CDD36E0" w14:textId="77777777" w:rsidTr="00190BB5">
        <w:tc>
          <w:tcPr>
            <w:tcW w:w="3780" w:type="dxa"/>
            <w:gridSpan w:val="2"/>
            <w:vMerge/>
          </w:tcPr>
          <w:p w14:paraId="75C86EF3" w14:textId="77777777" w:rsidR="007D7104" w:rsidRPr="006601BC" w:rsidRDefault="007D7104" w:rsidP="00190BB5">
            <w:pPr>
              <w:rPr>
                <w:noProof/>
                <w:sz w:val="20"/>
              </w:rPr>
            </w:pPr>
          </w:p>
        </w:tc>
        <w:tc>
          <w:tcPr>
            <w:tcW w:w="1260" w:type="dxa"/>
            <w:vAlign w:val="center"/>
          </w:tcPr>
          <w:p w14:paraId="25556461" w14:textId="77777777" w:rsidR="007D7104" w:rsidRPr="006601BC" w:rsidRDefault="007D7104" w:rsidP="00190BB5">
            <w:pPr>
              <w:rPr>
                <w:noProof/>
                <w:sz w:val="18"/>
              </w:rPr>
            </w:pPr>
            <w:r w:rsidRPr="006601BC">
              <w:rPr>
                <w:noProof/>
                <w:sz w:val="18"/>
              </w:rPr>
              <w:t>Kifizetési előirányzatok</w:t>
            </w:r>
          </w:p>
        </w:tc>
        <w:tc>
          <w:tcPr>
            <w:tcW w:w="540" w:type="dxa"/>
            <w:vAlign w:val="center"/>
          </w:tcPr>
          <w:p w14:paraId="57F899B4" w14:textId="77777777" w:rsidR="007D7104" w:rsidRPr="006601BC" w:rsidRDefault="007D7104" w:rsidP="00190BB5">
            <w:pPr>
              <w:jc w:val="center"/>
              <w:rPr>
                <w:noProof/>
                <w:sz w:val="14"/>
              </w:rPr>
            </w:pPr>
            <w:r w:rsidRPr="006601BC">
              <w:rPr>
                <w:noProof/>
                <w:sz w:val="14"/>
              </w:rPr>
              <w:t>=2+2a</w:t>
            </w:r>
          </w:p>
          <w:p w14:paraId="772D7EA1" w14:textId="77777777" w:rsidR="007D7104" w:rsidRPr="006601BC" w:rsidRDefault="007D7104" w:rsidP="00190BB5">
            <w:pPr>
              <w:jc w:val="center"/>
              <w:rPr>
                <w:noProof/>
                <w:sz w:val="14"/>
              </w:rPr>
            </w:pPr>
            <w:r w:rsidRPr="006601BC">
              <w:rPr>
                <w:noProof/>
                <w:sz w:val="14"/>
              </w:rPr>
              <w:t>+3</w:t>
            </w:r>
          </w:p>
        </w:tc>
        <w:tc>
          <w:tcPr>
            <w:tcW w:w="990" w:type="dxa"/>
            <w:vAlign w:val="center"/>
          </w:tcPr>
          <w:p w14:paraId="275FEA70" w14:textId="77777777" w:rsidR="007D7104" w:rsidRPr="006601BC" w:rsidRDefault="007D7104" w:rsidP="00190BB5">
            <w:pPr>
              <w:spacing w:before="20" w:after="20"/>
              <w:jc w:val="right"/>
              <w:rPr>
                <w:noProof/>
                <w:sz w:val="20"/>
              </w:rPr>
            </w:pPr>
          </w:p>
        </w:tc>
        <w:tc>
          <w:tcPr>
            <w:tcW w:w="990" w:type="dxa"/>
            <w:vAlign w:val="center"/>
          </w:tcPr>
          <w:p w14:paraId="25B19F95" w14:textId="77777777" w:rsidR="007D7104" w:rsidRPr="006601BC" w:rsidRDefault="007D7104" w:rsidP="00190BB5">
            <w:pPr>
              <w:spacing w:before="20" w:after="20"/>
              <w:jc w:val="right"/>
              <w:rPr>
                <w:noProof/>
                <w:sz w:val="20"/>
              </w:rPr>
            </w:pPr>
            <w:r w:rsidRPr="006601BC">
              <w:rPr>
                <w:noProof/>
                <w:color w:val="000000"/>
                <w:sz w:val="20"/>
                <w:szCs w:val="20"/>
              </w:rPr>
              <w:t>82,465</w:t>
            </w:r>
          </w:p>
        </w:tc>
        <w:tc>
          <w:tcPr>
            <w:tcW w:w="990" w:type="dxa"/>
            <w:vAlign w:val="center"/>
          </w:tcPr>
          <w:p w14:paraId="2A43E941" w14:textId="77777777" w:rsidR="007D7104" w:rsidRPr="006601BC" w:rsidRDefault="007D7104" w:rsidP="00190BB5">
            <w:pPr>
              <w:spacing w:before="20" w:after="20"/>
              <w:jc w:val="right"/>
              <w:rPr>
                <w:noProof/>
                <w:sz w:val="20"/>
              </w:rPr>
            </w:pPr>
            <w:r w:rsidRPr="006601BC">
              <w:rPr>
                <w:noProof/>
                <w:color w:val="000000"/>
                <w:sz w:val="20"/>
                <w:szCs w:val="20"/>
              </w:rPr>
              <w:t>155,409</w:t>
            </w:r>
          </w:p>
        </w:tc>
        <w:tc>
          <w:tcPr>
            <w:tcW w:w="976" w:type="dxa"/>
            <w:vAlign w:val="center"/>
          </w:tcPr>
          <w:p w14:paraId="0A581917" w14:textId="77777777" w:rsidR="007D7104" w:rsidRPr="006601BC" w:rsidRDefault="007D7104" w:rsidP="00190BB5">
            <w:pPr>
              <w:spacing w:before="20" w:after="20"/>
              <w:jc w:val="right"/>
              <w:rPr>
                <w:noProof/>
                <w:sz w:val="20"/>
              </w:rPr>
            </w:pPr>
            <w:r w:rsidRPr="006601BC">
              <w:rPr>
                <w:noProof/>
                <w:color w:val="000000"/>
                <w:sz w:val="20"/>
                <w:szCs w:val="20"/>
              </w:rPr>
              <w:t>325,111</w:t>
            </w:r>
          </w:p>
        </w:tc>
        <w:tc>
          <w:tcPr>
            <w:tcW w:w="1004" w:type="dxa"/>
            <w:vAlign w:val="center"/>
          </w:tcPr>
          <w:p w14:paraId="70C73CDA" w14:textId="77777777" w:rsidR="007D7104" w:rsidRPr="006601BC" w:rsidRDefault="007D7104" w:rsidP="00190BB5">
            <w:pPr>
              <w:spacing w:before="20" w:after="20"/>
              <w:jc w:val="right"/>
              <w:rPr>
                <w:noProof/>
                <w:sz w:val="20"/>
              </w:rPr>
            </w:pPr>
            <w:r w:rsidRPr="006601BC">
              <w:rPr>
                <w:noProof/>
                <w:color w:val="000000"/>
                <w:sz w:val="20"/>
                <w:szCs w:val="20"/>
              </w:rPr>
              <w:t>384,714</w:t>
            </w:r>
          </w:p>
        </w:tc>
        <w:tc>
          <w:tcPr>
            <w:tcW w:w="990" w:type="dxa"/>
            <w:vAlign w:val="center"/>
          </w:tcPr>
          <w:p w14:paraId="26766B90" w14:textId="77777777" w:rsidR="007D7104" w:rsidRPr="006601BC" w:rsidRDefault="007D7104" w:rsidP="00190BB5">
            <w:pPr>
              <w:spacing w:before="20" w:after="20"/>
              <w:jc w:val="right"/>
              <w:rPr>
                <w:noProof/>
                <w:sz w:val="20"/>
              </w:rPr>
            </w:pPr>
            <w:r w:rsidRPr="006601BC">
              <w:rPr>
                <w:noProof/>
                <w:color w:val="000000"/>
                <w:sz w:val="20"/>
                <w:szCs w:val="20"/>
              </w:rPr>
              <w:t>482,608</w:t>
            </w:r>
          </w:p>
        </w:tc>
        <w:tc>
          <w:tcPr>
            <w:tcW w:w="990" w:type="dxa"/>
            <w:vAlign w:val="center"/>
          </w:tcPr>
          <w:p w14:paraId="28092A3D" w14:textId="77777777" w:rsidR="007D7104" w:rsidRPr="006601BC" w:rsidRDefault="007D7104" w:rsidP="00190BB5">
            <w:pPr>
              <w:spacing w:before="20" w:after="20"/>
              <w:jc w:val="right"/>
              <w:rPr>
                <w:b/>
                <w:noProof/>
                <w:sz w:val="20"/>
              </w:rPr>
            </w:pPr>
            <w:r w:rsidRPr="006601BC">
              <w:rPr>
                <w:noProof/>
                <w:color w:val="000000"/>
                <w:sz w:val="20"/>
                <w:szCs w:val="20"/>
              </w:rPr>
              <w:t>589,357</w:t>
            </w:r>
          </w:p>
        </w:tc>
        <w:tc>
          <w:tcPr>
            <w:tcW w:w="1033" w:type="dxa"/>
            <w:vAlign w:val="center"/>
          </w:tcPr>
          <w:p w14:paraId="02A61F1C" w14:textId="77777777" w:rsidR="007D7104" w:rsidRPr="006601BC" w:rsidRDefault="007D7104" w:rsidP="00190BB5">
            <w:pPr>
              <w:spacing w:before="20" w:after="20"/>
              <w:jc w:val="right"/>
              <w:rPr>
                <w:b/>
                <w:noProof/>
                <w:sz w:val="20"/>
              </w:rPr>
            </w:pPr>
            <w:r w:rsidRPr="006601BC">
              <w:rPr>
                <w:noProof/>
                <w:color w:val="000000"/>
                <w:sz w:val="20"/>
                <w:szCs w:val="20"/>
              </w:rPr>
              <w:t>775,555</w:t>
            </w:r>
          </w:p>
        </w:tc>
        <w:tc>
          <w:tcPr>
            <w:tcW w:w="1127" w:type="dxa"/>
            <w:vAlign w:val="center"/>
          </w:tcPr>
          <w:p w14:paraId="3A042A72" w14:textId="77777777" w:rsidR="007D7104" w:rsidRPr="006601BC" w:rsidRDefault="007D7104" w:rsidP="00190BB5">
            <w:pPr>
              <w:spacing w:before="20" w:after="20"/>
              <w:jc w:val="right"/>
              <w:rPr>
                <w:b/>
                <w:noProof/>
                <w:sz w:val="20"/>
              </w:rPr>
            </w:pPr>
            <w:r w:rsidRPr="006601BC">
              <w:rPr>
                <w:b/>
                <w:bCs/>
                <w:noProof/>
                <w:color w:val="000000"/>
                <w:sz w:val="20"/>
                <w:szCs w:val="20"/>
              </w:rPr>
              <w:t>2 795,218</w:t>
            </w:r>
          </w:p>
        </w:tc>
      </w:tr>
    </w:tbl>
    <w:p w14:paraId="5D8F0996" w14:textId="218288AD" w:rsidR="007D7104" w:rsidRPr="006601BC" w:rsidRDefault="007D7104" w:rsidP="00C54C48">
      <w:pPr>
        <w:jc w:val="right"/>
        <w:rPr>
          <w:noProof/>
        </w:rPr>
      </w:pPr>
    </w:p>
    <w:p w14:paraId="536FB401" w14:textId="03BF9508" w:rsidR="007D7104" w:rsidRPr="006601BC" w:rsidRDefault="007D7104" w:rsidP="00C54C48">
      <w:pPr>
        <w:jc w:val="right"/>
        <w:rPr>
          <w:i/>
          <w:noProof/>
        </w:rPr>
      </w:pPr>
    </w:p>
    <w:p w14:paraId="7F597582" w14:textId="43565CE7" w:rsidR="007D7104" w:rsidRPr="006601BC" w:rsidRDefault="007D7104" w:rsidP="00C54C48">
      <w:pPr>
        <w:jc w:val="right"/>
        <w:rPr>
          <w:i/>
          <w:noProof/>
        </w:rPr>
      </w:pPr>
    </w:p>
    <w:p w14:paraId="25FDF2B1" w14:textId="62657274" w:rsidR="007D7104" w:rsidRPr="006601BC" w:rsidRDefault="007D7104" w:rsidP="00C54C48">
      <w:pPr>
        <w:jc w:val="right"/>
        <w:rPr>
          <w:i/>
          <w:noProof/>
        </w:rPr>
      </w:pPr>
    </w:p>
    <w:p w14:paraId="1A542A86" w14:textId="13ABF290" w:rsidR="007D7104" w:rsidRPr="006601BC" w:rsidRDefault="007D7104" w:rsidP="00C54C48">
      <w:pPr>
        <w:jc w:val="right"/>
        <w:rPr>
          <w:i/>
          <w:noProof/>
        </w:rPr>
      </w:pPr>
    </w:p>
    <w:p w14:paraId="29F00F54" w14:textId="31D9A4A0" w:rsidR="007D7104" w:rsidRPr="006601BC" w:rsidRDefault="007D7104" w:rsidP="00C54C48">
      <w:pPr>
        <w:jc w:val="right"/>
        <w:rPr>
          <w:i/>
          <w:noProof/>
        </w:rPr>
      </w:pPr>
    </w:p>
    <w:p w14:paraId="7988C947" w14:textId="3D0331AD" w:rsidR="007D7104" w:rsidRPr="006601BC" w:rsidRDefault="007D7104" w:rsidP="00C54C48">
      <w:pPr>
        <w:jc w:val="right"/>
        <w:rPr>
          <w:i/>
          <w:noProof/>
        </w:rPr>
      </w:pPr>
      <w:r w:rsidRPr="006601BC">
        <w:rPr>
          <w:i/>
          <w:noProof/>
        </w:rPr>
        <w:t>millió EUR (három tizedesjegyig)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D7104" w:rsidRPr="006601BC" w14:paraId="6757985C" w14:textId="77777777" w:rsidTr="00190BB5">
        <w:trPr>
          <w:jc w:val="center"/>
        </w:trPr>
        <w:tc>
          <w:tcPr>
            <w:tcW w:w="4744" w:type="dxa"/>
            <w:shd w:val="thinDiagStripe" w:color="C0C0C0" w:fill="auto"/>
            <w:vAlign w:val="center"/>
          </w:tcPr>
          <w:p w14:paraId="0F9E98BD" w14:textId="77777777" w:rsidR="007D7104" w:rsidRPr="006601BC" w:rsidRDefault="007D7104" w:rsidP="00190BB5">
            <w:pPr>
              <w:spacing w:before="60" w:after="60"/>
              <w:jc w:val="center"/>
              <w:rPr>
                <w:b/>
                <w:noProof/>
              </w:rPr>
            </w:pPr>
            <w:r w:rsidRPr="006601BC">
              <w:rPr>
                <w:b/>
                <w:noProof/>
                <w:sz w:val="22"/>
              </w:rPr>
              <w:t xml:space="preserve">A többéves pénzügyi keret </w:t>
            </w:r>
            <w:r w:rsidRPr="006601BC">
              <w:rPr>
                <w:noProof/>
              </w:rPr>
              <w:t xml:space="preserve"> </w:t>
            </w:r>
            <w:r w:rsidRPr="006601BC">
              <w:rPr>
                <w:noProof/>
              </w:rPr>
              <w:br/>
            </w:r>
            <w:r w:rsidRPr="006601BC">
              <w:rPr>
                <w:b/>
                <w:noProof/>
                <w:sz w:val="22"/>
              </w:rPr>
              <w:t xml:space="preserve">fejezete </w:t>
            </w:r>
          </w:p>
        </w:tc>
        <w:tc>
          <w:tcPr>
            <w:tcW w:w="1080" w:type="dxa"/>
            <w:vAlign w:val="center"/>
          </w:tcPr>
          <w:p w14:paraId="52564C85" w14:textId="505FA115" w:rsidR="007D7104" w:rsidRPr="006601BC" w:rsidRDefault="007D7104" w:rsidP="00190BB5">
            <w:pPr>
              <w:spacing w:before="60" w:after="60"/>
              <w:jc w:val="center"/>
              <w:rPr>
                <w:b/>
                <w:noProof/>
                <w:sz w:val="22"/>
              </w:rPr>
            </w:pPr>
            <w:r w:rsidRPr="006601BC">
              <w:rPr>
                <w:b/>
                <w:noProof/>
                <w:sz w:val="22"/>
              </w:rPr>
              <w:t>2b</w:t>
            </w:r>
            <w:r w:rsidR="002452A8">
              <w:rPr>
                <w:b/>
                <w:noProof/>
                <w:sz w:val="22"/>
              </w:rPr>
              <w:t>.</w:t>
            </w:r>
          </w:p>
        </w:tc>
        <w:tc>
          <w:tcPr>
            <w:tcW w:w="7817" w:type="dxa"/>
            <w:vAlign w:val="center"/>
          </w:tcPr>
          <w:p w14:paraId="53C27D8E" w14:textId="77777777" w:rsidR="007D7104" w:rsidRPr="006601BC" w:rsidRDefault="007D7104" w:rsidP="00190BB5">
            <w:pPr>
              <w:spacing w:before="60" w:after="60"/>
              <w:rPr>
                <w:b/>
                <w:noProof/>
                <w:sz w:val="22"/>
              </w:rPr>
            </w:pPr>
            <w:r w:rsidRPr="006601BC">
              <w:rPr>
                <w:b/>
                <w:noProof/>
                <w:sz w:val="22"/>
              </w:rPr>
              <w:t>Reziliencia és értékek</w:t>
            </w:r>
          </w:p>
        </w:tc>
      </w:tr>
    </w:tbl>
    <w:p w14:paraId="267CF137" w14:textId="6151D9A6" w:rsidR="007D7104" w:rsidRPr="006601BC" w:rsidRDefault="007D7104" w:rsidP="00C54C48">
      <w:pPr>
        <w:rPr>
          <w:noProof/>
        </w:rPr>
      </w:pPr>
    </w:p>
    <w:tbl>
      <w:tblPr>
        <w:tblW w:w="146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60"/>
        <w:gridCol w:w="1260"/>
        <w:gridCol w:w="540"/>
        <w:gridCol w:w="990"/>
        <w:gridCol w:w="990"/>
        <w:gridCol w:w="990"/>
        <w:gridCol w:w="976"/>
        <w:gridCol w:w="1004"/>
        <w:gridCol w:w="990"/>
        <w:gridCol w:w="990"/>
        <w:gridCol w:w="1033"/>
        <w:gridCol w:w="1127"/>
      </w:tblGrid>
      <w:tr w:rsidR="007D7104" w:rsidRPr="006601BC" w14:paraId="0EAED10B" w14:textId="77777777" w:rsidTr="00190BB5">
        <w:tc>
          <w:tcPr>
            <w:tcW w:w="3780" w:type="dxa"/>
            <w:gridSpan w:val="2"/>
            <w:vAlign w:val="center"/>
          </w:tcPr>
          <w:p w14:paraId="223EA51F" w14:textId="77777777" w:rsidR="007D7104" w:rsidRPr="006601BC" w:rsidRDefault="007D7104" w:rsidP="00190BB5">
            <w:pPr>
              <w:jc w:val="center"/>
              <w:rPr>
                <w:noProof/>
              </w:rPr>
            </w:pPr>
            <w:r w:rsidRPr="006601BC">
              <w:rPr>
                <w:noProof/>
                <w:sz w:val="22"/>
              </w:rPr>
              <w:t>Főigazgatóság: ECHO</w:t>
            </w:r>
          </w:p>
        </w:tc>
        <w:tc>
          <w:tcPr>
            <w:tcW w:w="1260" w:type="dxa"/>
          </w:tcPr>
          <w:p w14:paraId="58515D71" w14:textId="77777777" w:rsidR="007D7104" w:rsidRPr="006601BC" w:rsidRDefault="007D7104" w:rsidP="00190BB5">
            <w:pPr>
              <w:rPr>
                <w:noProof/>
                <w:sz w:val="20"/>
              </w:rPr>
            </w:pPr>
          </w:p>
        </w:tc>
        <w:tc>
          <w:tcPr>
            <w:tcW w:w="540" w:type="dxa"/>
          </w:tcPr>
          <w:p w14:paraId="447AA752" w14:textId="77777777" w:rsidR="007D7104" w:rsidRPr="006601BC" w:rsidRDefault="007D7104" w:rsidP="00190BB5">
            <w:pPr>
              <w:jc w:val="center"/>
              <w:rPr>
                <w:noProof/>
                <w:sz w:val="20"/>
              </w:rPr>
            </w:pPr>
          </w:p>
        </w:tc>
        <w:tc>
          <w:tcPr>
            <w:tcW w:w="990" w:type="dxa"/>
            <w:vAlign w:val="center"/>
          </w:tcPr>
          <w:p w14:paraId="3071C484" w14:textId="77777777" w:rsidR="007D7104" w:rsidRPr="006601BC" w:rsidRDefault="007D7104" w:rsidP="00190BB5">
            <w:pPr>
              <w:jc w:val="center"/>
              <w:rPr>
                <w:noProof/>
                <w:sz w:val="20"/>
              </w:rPr>
            </w:pPr>
            <w:r w:rsidRPr="006601BC">
              <w:rPr>
                <w:b/>
                <w:noProof/>
                <w:sz w:val="20"/>
              </w:rPr>
              <w:t>2021</w:t>
            </w:r>
          </w:p>
        </w:tc>
        <w:tc>
          <w:tcPr>
            <w:tcW w:w="990" w:type="dxa"/>
            <w:vAlign w:val="center"/>
          </w:tcPr>
          <w:p w14:paraId="178CB99F" w14:textId="77777777" w:rsidR="007D7104" w:rsidRPr="006601BC" w:rsidRDefault="007D7104" w:rsidP="00190BB5">
            <w:pPr>
              <w:jc w:val="center"/>
              <w:rPr>
                <w:noProof/>
                <w:sz w:val="20"/>
              </w:rPr>
            </w:pPr>
            <w:r w:rsidRPr="006601BC">
              <w:rPr>
                <w:b/>
                <w:noProof/>
                <w:sz w:val="20"/>
              </w:rPr>
              <w:t>2022</w:t>
            </w:r>
          </w:p>
        </w:tc>
        <w:tc>
          <w:tcPr>
            <w:tcW w:w="990" w:type="dxa"/>
            <w:vAlign w:val="center"/>
          </w:tcPr>
          <w:p w14:paraId="0CB9CF0C" w14:textId="77777777" w:rsidR="007D7104" w:rsidRPr="006601BC" w:rsidRDefault="007D7104" w:rsidP="00190BB5">
            <w:pPr>
              <w:jc w:val="center"/>
              <w:rPr>
                <w:noProof/>
                <w:sz w:val="20"/>
              </w:rPr>
            </w:pPr>
            <w:r w:rsidRPr="006601BC">
              <w:rPr>
                <w:b/>
                <w:noProof/>
                <w:sz w:val="20"/>
              </w:rPr>
              <w:t>2023</w:t>
            </w:r>
          </w:p>
        </w:tc>
        <w:tc>
          <w:tcPr>
            <w:tcW w:w="976" w:type="dxa"/>
            <w:vAlign w:val="center"/>
          </w:tcPr>
          <w:p w14:paraId="4F48C15F" w14:textId="77777777" w:rsidR="007D7104" w:rsidRPr="006601BC" w:rsidRDefault="007D7104" w:rsidP="00190BB5">
            <w:pPr>
              <w:jc w:val="center"/>
              <w:rPr>
                <w:noProof/>
                <w:sz w:val="20"/>
              </w:rPr>
            </w:pPr>
            <w:r w:rsidRPr="006601BC">
              <w:rPr>
                <w:b/>
                <w:noProof/>
                <w:sz w:val="20"/>
              </w:rPr>
              <w:t>2024</w:t>
            </w:r>
          </w:p>
        </w:tc>
        <w:tc>
          <w:tcPr>
            <w:tcW w:w="1004" w:type="dxa"/>
            <w:vAlign w:val="center"/>
          </w:tcPr>
          <w:p w14:paraId="352F3453" w14:textId="77777777" w:rsidR="007D7104" w:rsidRPr="006601BC" w:rsidRDefault="007D7104" w:rsidP="00190BB5">
            <w:pPr>
              <w:jc w:val="center"/>
              <w:rPr>
                <w:b/>
                <w:noProof/>
                <w:sz w:val="18"/>
              </w:rPr>
            </w:pPr>
            <w:r w:rsidRPr="006601BC">
              <w:rPr>
                <w:b/>
                <w:noProof/>
                <w:sz w:val="18"/>
              </w:rPr>
              <w:t>2025</w:t>
            </w:r>
          </w:p>
        </w:tc>
        <w:tc>
          <w:tcPr>
            <w:tcW w:w="990" w:type="dxa"/>
            <w:vAlign w:val="center"/>
          </w:tcPr>
          <w:p w14:paraId="6EF733AF" w14:textId="77777777" w:rsidR="007D7104" w:rsidRPr="006601BC" w:rsidRDefault="007D7104" w:rsidP="00190BB5">
            <w:pPr>
              <w:jc w:val="center"/>
              <w:rPr>
                <w:b/>
                <w:noProof/>
                <w:sz w:val="18"/>
              </w:rPr>
            </w:pPr>
            <w:r w:rsidRPr="006601BC">
              <w:rPr>
                <w:b/>
                <w:noProof/>
                <w:sz w:val="18"/>
              </w:rPr>
              <w:t>2026</w:t>
            </w:r>
          </w:p>
        </w:tc>
        <w:tc>
          <w:tcPr>
            <w:tcW w:w="990" w:type="dxa"/>
            <w:vAlign w:val="center"/>
          </w:tcPr>
          <w:p w14:paraId="1C86B11E" w14:textId="77777777" w:rsidR="007D7104" w:rsidRPr="006601BC" w:rsidRDefault="007D7104" w:rsidP="00190BB5">
            <w:pPr>
              <w:jc w:val="center"/>
              <w:rPr>
                <w:b/>
                <w:noProof/>
                <w:sz w:val="18"/>
              </w:rPr>
            </w:pPr>
            <w:r w:rsidRPr="006601BC">
              <w:rPr>
                <w:b/>
                <w:noProof/>
                <w:sz w:val="18"/>
              </w:rPr>
              <w:t>2027</w:t>
            </w:r>
          </w:p>
        </w:tc>
        <w:tc>
          <w:tcPr>
            <w:tcW w:w="1033" w:type="dxa"/>
          </w:tcPr>
          <w:p w14:paraId="76459F24" w14:textId="77777777" w:rsidR="007D7104" w:rsidRPr="006601BC" w:rsidRDefault="007D7104" w:rsidP="00190BB5">
            <w:pPr>
              <w:jc w:val="center"/>
              <w:rPr>
                <w:b/>
                <w:noProof/>
                <w:sz w:val="20"/>
              </w:rPr>
            </w:pPr>
            <w:r w:rsidRPr="006601BC">
              <w:rPr>
                <w:b/>
                <w:i/>
                <w:noProof/>
                <w:sz w:val="20"/>
              </w:rPr>
              <w:t>2027 után</w:t>
            </w:r>
          </w:p>
        </w:tc>
        <w:tc>
          <w:tcPr>
            <w:tcW w:w="1127" w:type="dxa"/>
            <w:vAlign w:val="center"/>
          </w:tcPr>
          <w:p w14:paraId="67F720B6" w14:textId="77777777" w:rsidR="007D7104" w:rsidRPr="006601BC" w:rsidRDefault="007D7104" w:rsidP="00190BB5">
            <w:pPr>
              <w:jc w:val="center"/>
              <w:rPr>
                <w:b/>
                <w:noProof/>
                <w:sz w:val="20"/>
              </w:rPr>
            </w:pPr>
            <w:r w:rsidRPr="006601BC">
              <w:rPr>
                <w:b/>
                <w:noProof/>
                <w:sz w:val="20"/>
              </w:rPr>
              <w:t>ÖSSZESEN</w:t>
            </w:r>
          </w:p>
        </w:tc>
      </w:tr>
      <w:tr w:rsidR="007D7104" w:rsidRPr="006601BC" w14:paraId="7D4CB477" w14:textId="77777777" w:rsidTr="00190BB5">
        <w:trPr>
          <w:trHeight w:val="213"/>
        </w:trPr>
        <w:tc>
          <w:tcPr>
            <w:tcW w:w="5580" w:type="dxa"/>
            <w:gridSpan w:val="4"/>
            <w:vAlign w:val="center"/>
          </w:tcPr>
          <w:p w14:paraId="63964E30" w14:textId="77777777" w:rsidR="007D7104" w:rsidRPr="006601BC" w:rsidRDefault="007D7104" w:rsidP="00190BB5">
            <w:pPr>
              <w:spacing w:before="20" w:after="20"/>
              <w:rPr>
                <w:noProof/>
                <w:sz w:val="21"/>
              </w:rPr>
            </w:pPr>
            <w:r w:rsidRPr="006601BC">
              <w:rPr>
                <w:noProof/>
                <w:sz w:val="21"/>
              </w:rPr>
              <w:sym w:font="Wingdings" w:char="F09F"/>
            </w:r>
            <w:r w:rsidRPr="006601BC">
              <w:rPr>
                <w:noProof/>
                <w:sz w:val="21"/>
              </w:rPr>
              <w:t xml:space="preserve"> Operatív előirányzatok (NGEU-hitelek)</w:t>
            </w:r>
          </w:p>
        </w:tc>
        <w:tc>
          <w:tcPr>
            <w:tcW w:w="990" w:type="dxa"/>
            <w:vAlign w:val="center"/>
          </w:tcPr>
          <w:p w14:paraId="18427450" w14:textId="77777777" w:rsidR="007D7104" w:rsidRPr="006601BC" w:rsidRDefault="007D7104" w:rsidP="00190BB5">
            <w:pPr>
              <w:rPr>
                <w:noProof/>
                <w:sz w:val="20"/>
              </w:rPr>
            </w:pPr>
          </w:p>
        </w:tc>
        <w:tc>
          <w:tcPr>
            <w:tcW w:w="990" w:type="dxa"/>
            <w:vAlign w:val="center"/>
          </w:tcPr>
          <w:p w14:paraId="4874D19E" w14:textId="77777777" w:rsidR="007D7104" w:rsidRPr="006601BC" w:rsidRDefault="007D7104" w:rsidP="00190BB5">
            <w:pPr>
              <w:rPr>
                <w:noProof/>
                <w:sz w:val="20"/>
              </w:rPr>
            </w:pPr>
          </w:p>
        </w:tc>
        <w:tc>
          <w:tcPr>
            <w:tcW w:w="990" w:type="dxa"/>
            <w:vAlign w:val="center"/>
          </w:tcPr>
          <w:p w14:paraId="449A68D9" w14:textId="77777777" w:rsidR="007D7104" w:rsidRPr="006601BC" w:rsidRDefault="007D7104" w:rsidP="00190BB5">
            <w:pPr>
              <w:rPr>
                <w:noProof/>
                <w:sz w:val="20"/>
              </w:rPr>
            </w:pPr>
          </w:p>
        </w:tc>
        <w:tc>
          <w:tcPr>
            <w:tcW w:w="976" w:type="dxa"/>
            <w:vAlign w:val="center"/>
          </w:tcPr>
          <w:p w14:paraId="72B52D7D" w14:textId="77777777" w:rsidR="007D7104" w:rsidRPr="006601BC" w:rsidRDefault="007D7104" w:rsidP="00190BB5">
            <w:pPr>
              <w:rPr>
                <w:noProof/>
                <w:sz w:val="20"/>
              </w:rPr>
            </w:pPr>
          </w:p>
        </w:tc>
        <w:tc>
          <w:tcPr>
            <w:tcW w:w="1004" w:type="dxa"/>
            <w:vAlign w:val="center"/>
          </w:tcPr>
          <w:p w14:paraId="2B9EFA64" w14:textId="77777777" w:rsidR="007D7104" w:rsidRPr="006601BC" w:rsidRDefault="007D7104" w:rsidP="00190BB5">
            <w:pPr>
              <w:rPr>
                <w:noProof/>
                <w:sz w:val="20"/>
              </w:rPr>
            </w:pPr>
          </w:p>
        </w:tc>
        <w:tc>
          <w:tcPr>
            <w:tcW w:w="990" w:type="dxa"/>
            <w:vAlign w:val="center"/>
          </w:tcPr>
          <w:p w14:paraId="0CF88A0D" w14:textId="77777777" w:rsidR="007D7104" w:rsidRPr="006601BC" w:rsidRDefault="007D7104" w:rsidP="00190BB5">
            <w:pPr>
              <w:rPr>
                <w:noProof/>
                <w:sz w:val="20"/>
              </w:rPr>
            </w:pPr>
          </w:p>
        </w:tc>
        <w:tc>
          <w:tcPr>
            <w:tcW w:w="990" w:type="dxa"/>
            <w:vAlign w:val="center"/>
          </w:tcPr>
          <w:p w14:paraId="35D4BF48" w14:textId="77777777" w:rsidR="007D7104" w:rsidRPr="006601BC" w:rsidRDefault="007D7104" w:rsidP="00190BB5">
            <w:pPr>
              <w:rPr>
                <w:b/>
                <w:noProof/>
                <w:sz w:val="20"/>
              </w:rPr>
            </w:pPr>
          </w:p>
        </w:tc>
        <w:tc>
          <w:tcPr>
            <w:tcW w:w="1033" w:type="dxa"/>
          </w:tcPr>
          <w:p w14:paraId="3DBB0D97" w14:textId="77777777" w:rsidR="007D7104" w:rsidRPr="006601BC" w:rsidRDefault="007D7104" w:rsidP="00190BB5">
            <w:pPr>
              <w:rPr>
                <w:b/>
                <w:noProof/>
                <w:sz w:val="20"/>
              </w:rPr>
            </w:pPr>
          </w:p>
        </w:tc>
        <w:tc>
          <w:tcPr>
            <w:tcW w:w="1127" w:type="dxa"/>
            <w:vAlign w:val="center"/>
          </w:tcPr>
          <w:p w14:paraId="4C052AED" w14:textId="77777777" w:rsidR="007D7104" w:rsidRPr="006601BC" w:rsidRDefault="007D7104" w:rsidP="00190BB5">
            <w:pPr>
              <w:rPr>
                <w:b/>
                <w:noProof/>
                <w:sz w:val="20"/>
              </w:rPr>
            </w:pPr>
          </w:p>
        </w:tc>
      </w:tr>
      <w:tr w:rsidR="007D7104" w:rsidRPr="006601BC" w14:paraId="7B3E95ED" w14:textId="77777777" w:rsidTr="00190BB5">
        <w:trPr>
          <w:trHeight w:val="277"/>
        </w:trPr>
        <w:tc>
          <w:tcPr>
            <w:tcW w:w="3780" w:type="dxa"/>
            <w:gridSpan w:val="2"/>
            <w:vMerge w:val="restart"/>
            <w:vAlign w:val="center"/>
          </w:tcPr>
          <w:p w14:paraId="02B4286E" w14:textId="77777777" w:rsidR="007D7104" w:rsidRPr="006601BC" w:rsidRDefault="007D7104" w:rsidP="00190BB5">
            <w:pPr>
              <w:rPr>
                <w:noProof/>
              </w:rPr>
            </w:pPr>
            <w:r w:rsidRPr="006601BC">
              <w:rPr>
                <w:noProof/>
                <w:sz w:val="20"/>
              </w:rPr>
              <w:t>06 05 01 – UCPM/RescEU</w:t>
            </w:r>
            <w:r w:rsidRPr="006601BC">
              <w:rPr>
                <w:rStyle w:val="FootnoteReference"/>
                <w:noProof/>
                <w:sz w:val="20"/>
              </w:rPr>
              <w:footnoteReference w:id="39"/>
            </w:r>
          </w:p>
        </w:tc>
        <w:tc>
          <w:tcPr>
            <w:tcW w:w="1260" w:type="dxa"/>
            <w:vAlign w:val="center"/>
          </w:tcPr>
          <w:p w14:paraId="547FA65A" w14:textId="77777777" w:rsidR="007D7104" w:rsidRPr="006601BC" w:rsidRDefault="007D7104" w:rsidP="00190BB5">
            <w:pPr>
              <w:spacing w:before="20" w:after="20"/>
              <w:rPr>
                <w:noProof/>
                <w:sz w:val="18"/>
              </w:rPr>
            </w:pPr>
            <w:r w:rsidRPr="006601BC">
              <w:rPr>
                <w:noProof/>
                <w:sz w:val="18"/>
              </w:rPr>
              <w:t>Kötelezettségvállalási előirányzatok</w:t>
            </w:r>
          </w:p>
        </w:tc>
        <w:tc>
          <w:tcPr>
            <w:tcW w:w="540" w:type="dxa"/>
            <w:vAlign w:val="center"/>
          </w:tcPr>
          <w:p w14:paraId="401DB2D9" w14:textId="77777777" w:rsidR="007D7104" w:rsidRPr="006601BC" w:rsidRDefault="007D7104" w:rsidP="00190BB5">
            <w:pPr>
              <w:spacing w:before="20" w:after="20"/>
              <w:jc w:val="center"/>
              <w:rPr>
                <w:noProof/>
                <w:sz w:val="14"/>
              </w:rPr>
            </w:pPr>
            <w:r w:rsidRPr="006601BC">
              <w:rPr>
                <w:noProof/>
                <w:sz w:val="14"/>
              </w:rPr>
              <w:t>(1)</w:t>
            </w:r>
          </w:p>
        </w:tc>
        <w:tc>
          <w:tcPr>
            <w:tcW w:w="990" w:type="dxa"/>
            <w:vAlign w:val="center"/>
          </w:tcPr>
          <w:p w14:paraId="4E630BBE" w14:textId="77777777" w:rsidR="007D7104" w:rsidRPr="006601BC" w:rsidRDefault="007D7104" w:rsidP="00190BB5">
            <w:pPr>
              <w:spacing w:before="20" w:after="20"/>
              <w:jc w:val="right"/>
              <w:rPr>
                <w:noProof/>
                <w:sz w:val="20"/>
              </w:rPr>
            </w:pPr>
          </w:p>
        </w:tc>
        <w:tc>
          <w:tcPr>
            <w:tcW w:w="990" w:type="dxa"/>
            <w:vAlign w:val="center"/>
          </w:tcPr>
          <w:p w14:paraId="48C65ADB" w14:textId="77777777" w:rsidR="007D7104" w:rsidRPr="006601BC" w:rsidRDefault="007D7104" w:rsidP="00190BB5">
            <w:pPr>
              <w:spacing w:before="20" w:after="20"/>
              <w:jc w:val="right"/>
              <w:rPr>
                <w:noProof/>
                <w:sz w:val="20"/>
              </w:rPr>
            </w:pPr>
            <w:r w:rsidRPr="006601BC">
              <w:rPr>
                <w:noProof/>
                <w:color w:val="000000"/>
                <w:sz w:val="20"/>
                <w:szCs w:val="20"/>
              </w:rPr>
              <w:t>630,000</w:t>
            </w:r>
          </w:p>
        </w:tc>
        <w:tc>
          <w:tcPr>
            <w:tcW w:w="990" w:type="dxa"/>
            <w:vAlign w:val="center"/>
          </w:tcPr>
          <w:p w14:paraId="7C984D6F" w14:textId="77777777" w:rsidR="007D7104" w:rsidRPr="006601BC" w:rsidRDefault="007D7104" w:rsidP="00190BB5">
            <w:pPr>
              <w:spacing w:before="20" w:after="20"/>
              <w:jc w:val="right"/>
              <w:rPr>
                <w:noProof/>
                <w:sz w:val="20"/>
              </w:rPr>
            </w:pPr>
            <w:r w:rsidRPr="006601BC">
              <w:rPr>
                <w:noProof/>
                <w:color w:val="000000"/>
                <w:sz w:val="20"/>
                <w:szCs w:val="20"/>
              </w:rPr>
              <w:t>636,000</w:t>
            </w:r>
          </w:p>
        </w:tc>
        <w:tc>
          <w:tcPr>
            <w:tcW w:w="976" w:type="dxa"/>
            <w:vAlign w:val="center"/>
          </w:tcPr>
          <w:p w14:paraId="79DF9F45" w14:textId="77777777" w:rsidR="007D7104" w:rsidRPr="006601BC" w:rsidRDefault="007D7104" w:rsidP="00190BB5">
            <w:pPr>
              <w:spacing w:before="20" w:after="20"/>
              <w:jc w:val="right"/>
              <w:rPr>
                <w:noProof/>
                <w:sz w:val="20"/>
              </w:rPr>
            </w:pPr>
            <w:r w:rsidRPr="006601BC">
              <w:rPr>
                <w:noProof/>
                <w:sz w:val="20"/>
              </w:rPr>
              <w:t>p.m.</w:t>
            </w:r>
          </w:p>
        </w:tc>
        <w:tc>
          <w:tcPr>
            <w:tcW w:w="1004" w:type="dxa"/>
            <w:vAlign w:val="center"/>
          </w:tcPr>
          <w:p w14:paraId="12EE1554" w14:textId="77777777" w:rsidR="007D7104" w:rsidRPr="006601BC" w:rsidRDefault="007D7104" w:rsidP="00190BB5">
            <w:pPr>
              <w:spacing w:before="20" w:after="20"/>
              <w:jc w:val="right"/>
              <w:rPr>
                <w:noProof/>
                <w:sz w:val="20"/>
              </w:rPr>
            </w:pPr>
            <w:r w:rsidRPr="006601BC">
              <w:rPr>
                <w:noProof/>
                <w:sz w:val="20"/>
              </w:rPr>
              <w:t>p.m.</w:t>
            </w:r>
          </w:p>
        </w:tc>
        <w:tc>
          <w:tcPr>
            <w:tcW w:w="990" w:type="dxa"/>
            <w:vAlign w:val="center"/>
          </w:tcPr>
          <w:p w14:paraId="52B4E359" w14:textId="77777777" w:rsidR="007D7104" w:rsidRPr="006601BC" w:rsidRDefault="007D7104" w:rsidP="00190BB5">
            <w:pPr>
              <w:spacing w:before="20" w:after="20"/>
              <w:jc w:val="right"/>
              <w:rPr>
                <w:noProof/>
                <w:sz w:val="20"/>
              </w:rPr>
            </w:pPr>
            <w:r w:rsidRPr="006601BC">
              <w:rPr>
                <w:noProof/>
                <w:sz w:val="20"/>
              </w:rPr>
              <w:t>p.m.</w:t>
            </w:r>
          </w:p>
        </w:tc>
        <w:tc>
          <w:tcPr>
            <w:tcW w:w="990" w:type="dxa"/>
            <w:vAlign w:val="center"/>
          </w:tcPr>
          <w:p w14:paraId="0082B124" w14:textId="77777777" w:rsidR="007D7104" w:rsidRPr="006601BC" w:rsidRDefault="007D7104" w:rsidP="00190BB5">
            <w:pPr>
              <w:spacing w:before="20" w:after="20"/>
              <w:jc w:val="right"/>
              <w:rPr>
                <w:noProof/>
                <w:sz w:val="20"/>
              </w:rPr>
            </w:pPr>
            <w:r w:rsidRPr="006601BC">
              <w:rPr>
                <w:noProof/>
                <w:sz w:val="20"/>
              </w:rPr>
              <w:t>p.m.</w:t>
            </w:r>
          </w:p>
        </w:tc>
        <w:tc>
          <w:tcPr>
            <w:tcW w:w="1033" w:type="dxa"/>
            <w:vAlign w:val="center"/>
          </w:tcPr>
          <w:p w14:paraId="30D26375" w14:textId="77777777" w:rsidR="007D7104" w:rsidRPr="006601BC" w:rsidRDefault="007D7104" w:rsidP="00190BB5">
            <w:pPr>
              <w:spacing w:before="20" w:after="20"/>
              <w:jc w:val="right"/>
              <w:rPr>
                <w:b/>
                <w:noProof/>
                <w:sz w:val="20"/>
              </w:rPr>
            </w:pPr>
          </w:p>
        </w:tc>
        <w:tc>
          <w:tcPr>
            <w:tcW w:w="1127" w:type="dxa"/>
            <w:vAlign w:val="center"/>
          </w:tcPr>
          <w:p w14:paraId="123E4DE2" w14:textId="77777777" w:rsidR="007D7104" w:rsidRPr="006601BC" w:rsidRDefault="007D7104" w:rsidP="00190BB5">
            <w:pPr>
              <w:spacing w:before="0" w:after="0"/>
              <w:jc w:val="right"/>
              <w:rPr>
                <w:b/>
                <w:bCs/>
                <w:noProof/>
                <w:color w:val="000000"/>
                <w:sz w:val="20"/>
                <w:szCs w:val="20"/>
              </w:rPr>
            </w:pPr>
            <w:r w:rsidRPr="006601BC">
              <w:rPr>
                <w:b/>
                <w:bCs/>
                <w:noProof/>
                <w:color w:val="000000"/>
                <w:sz w:val="20"/>
                <w:szCs w:val="20"/>
              </w:rPr>
              <w:t>1 266,000</w:t>
            </w:r>
          </w:p>
        </w:tc>
      </w:tr>
      <w:tr w:rsidR="007D7104" w:rsidRPr="006601BC" w14:paraId="2981D7AC" w14:textId="77777777" w:rsidTr="00190BB5">
        <w:tc>
          <w:tcPr>
            <w:tcW w:w="3780" w:type="dxa"/>
            <w:gridSpan w:val="2"/>
            <w:vMerge/>
          </w:tcPr>
          <w:p w14:paraId="2B0A9DD9" w14:textId="77777777" w:rsidR="007D7104" w:rsidRPr="006601BC" w:rsidRDefault="007D7104" w:rsidP="00190BB5">
            <w:pPr>
              <w:jc w:val="center"/>
              <w:rPr>
                <w:noProof/>
                <w:sz w:val="20"/>
              </w:rPr>
            </w:pPr>
          </w:p>
        </w:tc>
        <w:tc>
          <w:tcPr>
            <w:tcW w:w="1260" w:type="dxa"/>
            <w:vAlign w:val="center"/>
          </w:tcPr>
          <w:p w14:paraId="5156498D" w14:textId="77777777" w:rsidR="007D7104" w:rsidRPr="006601BC" w:rsidRDefault="007D7104" w:rsidP="00190BB5">
            <w:pPr>
              <w:spacing w:before="20" w:after="20"/>
              <w:rPr>
                <w:noProof/>
                <w:sz w:val="18"/>
              </w:rPr>
            </w:pPr>
            <w:r w:rsidRPr="006601BC">
              <w:rPr>
                <w:noProof/>
                <w:sz w:val="18"/>
              </w:rPr>
              <w:t>Kifizetési előirányzatok</w:t>
            </w:r>
          </w:p>
        </w:tc>
        <w:tc>
          <w:tcPr>
            <w:tcW w:w="540" w:type="dxa"/>
            <w:vAlign w:val="center"/>
          </w:tcPr>
          <w:p w14:paraId="76507724" w14:textId="77777777" w:rsidR="007D7104" w:rsidRPr="006601BC" w:rsidRDefault="007D7104" w:rsidP="00190BB5">
            <w:pPr>
              <w:spacing w:before="20" w:after="20"/>
              <w:jc w:val="center"/>
              <w:rPr>
                <w:noProof/>
                <w:sz w:val="14"/>
              </w:rPr>
            </w:pPr>
            <w:r w:rsidRPr="006601BC">
              <w:rPr>
                <w:noProof/>
                <w:sz w:val="14"/>
              </w:rPr>
              <w:t>(2)</w:t>
            </w:r>
          </w:p>
        </w:tc>
        <w:tc>
          <w:tcPr>
            <w:tcW w:w="990" w:type="dxa"/>
            <w:vAlign w:val="center"/>
          </w:tcPr>
          <w:p w14:paraId="07F7A6E1" w14:textId="77777777" w:rsidR="007D7104" w:rsidRPr="006601BC" w:rsidRDefault="007D7104" w:rsidP="00190BB5">
            <w:pPr>
              <w:spacing w:before="20" w:after="20"/>
              <w:jc w:val="right"/>
              <w:rPr>
                <w:noProof/>
                <w:sz w:val="20"/>
              </w:rPr>
            </w:pPr>
          </w:p>
        </w:tc>
        <w:tc>
          <w:tcPr>
            <w:tcW w:w="990" w:type="dxa"/>
            <w:vAlign w:val="center"/>
          </w:tcPr>
          <w:p w14:paraId="42C9B086" w14:textId="77777777" w:rsidR="007D7104" w:rsidRPr="006601BC" w:rsidRDefault="007D7104" w:rsidP="00190BB5">
            <w:pPr>
              <w:spacing w:before="20" w:after="20"/>
              <w:jc w:val="right"/>
              <w:rPr>
                <w:noProof/>
                <w:sz w:val="20"/>
              </w:rPr>
            </w:pPr>
            <w:r w:rsidRPr="006601BC">
              <w:rPr>
                <w:noProof/>
                <w:color w:val="000000"/>
                <w:sz w:val="20"/>
                <w:szCs w:val="20"/>
              </w:rPr>
              <w:t>189,000</w:t>
            </w:r>
          </w:p>
        </w:tc>
        <w:tc>
          <w:tcPr>
            <w:tcW w:w="990" w:type="dxa"/>
            <w:vAlign w:val="center"/>
          </w:tcPr>
          <w:p w14:paraId="4E85D3A7" w14:textId="77777777" w:rsidR="007D7104" w:rsidRPr="006601BC" w:rsidRDefault="007D7104" w:rsidP="00190BB5">
            <w:pPr>
              <w:spacing w:before="20" w:after="20"/>
              <w:jc w:val="right"/>
              <w:rPr>
                <w:noProof/>
                <w:sz w:val="20"/>
              </w:rPr>
            </w:pPr>
            <w:r w:rsidRPr="006601BC">
              <w:rPr>
                <w:noProof/>
                <w:color w:val="000000"/>
                <w:sz w:val="20"/>
                <w:szCs w:val="20"/>
              </w:rPr>
              <w:t>379,800</w:t>
            </w:r>
          </w:p>
        </w:tc>
        <w:tc>
          <w:tcPr>
            <w:tcW w:w="976" w:type="dxa"/>
            <w:vAlign w:val="center"/>
          </w:tcPr>
          <w:p w14:paraId="7F1598BD" w14:textId="77777777" w:rsidR="007D7104" w:rsidRPr="006601BC" w:rsidRDefault="007D7104" w:rsidP="00190BB5">
            <w:pPr>
              <w:spacing w:before="20" w:after="20"/>
              <w:jc w:val="right"/>
              <w:rPr>
                <w:noProof/>
                <w:sz w:val="20"/>
              </w:rPr>
            </w:pPr>
            <w:r w:rsidRPr="006601BC">
              <w:rPr>
                <w:noProof/>
                <w:color w:val="000000"/>
                <w:sz w:val="20"/>
                <w:szCs w:val="20"/>
              </w:rPr>
              <w:t>442,800</w:t>
            </w:r>
          </w:p>
        </w:tc>
        <w:tc>
          <w:tcPr>
            <w:tcW w:w="1004" w:type="dxa"/>
            <w:vAlign w:val="center"/>
          </w:tcPr>
          <w:p w14:paraId="7A917A26" w14:textId="77777777" w:rsidR="007D7104" w:rsidRPr="006601BC" w:rsidRDefault="007D7104" w:rsidP="00190BB5">
            <w:pPr>
              <w:spacing w:before="20" w:after="20"/>
              <w:jc w:val="right"/>
              <w:rPr>
                <w:noProof/>
                <w:sz w:val="20"/>
              </w:rPr>
            </w:pPr>
            <w:r w:rsidRPr="006601BC">
              <w:rPr>
                <w:noProof/>
                <w:color w:val="000000"/>
                <w:sz w:val="20"/>
                <w:szCs w:val="20"/>
              </w:rPr>
              <w:t>254,400</w:t>
            </w:r>
          </w:p>
        </w:tc>
        <w:tc>
          <w:tcPr>
            <w:tcW w:w="990" w:type="dxa"/>
            <w:vAlign w:val="center"/>
          </w:tcPr>
          <w:p w14:paraId="3A080ECC" w14:textId="77777777" w:rsidR="007D7104" w:rsidRPr="006601BC" w:rsidRDefault="007D7104" w:rsidP="00190BB5">
            <w:pPr>
              <w:spacing w:before="20" w:after="20"/>
              <w:jc w:val="right"/>
              <w:rPr>
                <w:noProof/>
                <w:sz w:val="20"/>
              </w:rPr>
            </w:pPr>
            <w:r w:rsidRPr="006601BC">
              <w:rPr>
                <w:noProof/>
                <w:color w:val="000000"/>
                <w:sz w:val="20"/>
                <w:szCs w:val="20"/>
              </w:rPr>
              <w:t>0,000</w:t>
            </w:r>
          </w:p>
        </w:tc>
        <w:tc>
          <w:tcPr>
            <w:tcW w:w="990" w:type="dxa"/>
            <w:vAlign w:val="center"/>
          </w:tcPr>
          <w:p w14:paraId="622C7FD9" w14:textId="77777777" w:rsidR="007D7104" w:rsidRPr="006601BC" w:rsidRDefault="007D7104" w:rsidP="00190BB5">
            <w:pPr>
              <w:spacing w:before="20" w:after="20"/>
              <w:jc w:val="right"/>
              <w:rPr>
                <w:b/>
                <w:noProof/>
                <w:sz w:val="20"/>
              </w:rPr>
            </w:pPr>
            <w:r w:rsidRPr="006601BC">
              <w:rPr>
                <w:noProof/>
                <w:color w:val="000000"/>
                <w:sz w:val="20"/>
                <w:szCs w:val="20"/>
              </w:rPr>
              <w:t>0,000</w:t>
            </w:r>
          </w:p>
        </w:tc>
        <w:tc>
          <w:tcPr>
            <w:tcW w:w="1033" w:type="dxa"/>
            <w:vAlign w:val="center"/>
          </w:tcPr>
          <w:p w14:paraId="60319C92" w14:textId="77777777" w:rsidR="007D7104" w:rsidRPr="006601BC" w:rsidRDefault="007D7104" w:rsidP="00190BB5">
            <w:pPr>
              <w:spacing w:before="20" w:after="20"/>
              <w:jc w:val="right"/>
              <w:rPr>
                <w:b/>
                <w:noProof/>
                <w:sz w:val="20"/>
              </w:rPr>
            </w:pPr>
          </w:p>
        </w:tc>
        <w:tc>
          <w:tcPr>
            <w:tcW w:w="1127" w:type="dxa"/>
            <w:vAlign w:val="center"/>
          </w:tcPr>
          <w:p w14:paraId="6A5066BA" w14:textId="77777777" w:rsidR="007D7104" w:rsidRPr="006601BC" w:rsidRDefault="007D7104" w:rsidP="00190BB5">
            <w:pPr>
              <w:spacing w:before="20" w:after="20"/>
              <w:jc w:val="right"/>
              <w:rPr>
                <w:b/>
                <w:noProof/>
                <w:sz w:val="20"/>
              </w:rPr>
            </w:pPr>
            <w:r w:rsidRPr="006601BC">
              <w:rPr>
                <w:b/>
                <w:bCs/>
                <w:noProof/>
                <w:color w:val="000000"/>
                <w:sz w:val="20"/>
                <w:szCs w:val="20"/>
              </w:rPr>
              <w:t>1 266,000</w:t>
            </w:r>
          </w:p>
        </w:tc>
      </w:tr>
      <w:tr w:rsidR="007D7104" w:rsidRPr="006601BC" w14:paraId="61BA1F60" w14:textId="77777777" w:rsidTr="00190BB5">
        <w:trPr>
          <w:trHeight w:val="231"/>
        </w:trPr>
        <w:tc>
          <w:tcPr>
            <w:tcW w:w="3720" w:type="dxa"/>
            <w:vAlign w:val="center"/>
          </w:tcPr>
          <w:p w14:paraId="753B9CC0" w14:textId="77777777" w:rsidR="007D7104" w:rsidRPr="006601BC" w:rsidRDefault="007D7104" w:rsidP="00190BB5">
            <w:pPr>
              <w:spacing w:before="20" w:after="20"/>
              <w:rPr>
                <w:noProof/>
              </w:rPr>
            </w:pPr>
            <w:r w:rsidRPr="006601BC">
              <w:rPr>
                <w:noProof/>
                <w:sz w:val="21"/>
              </w:rPr>
              <w:sym w:font="Wingdings" w:char="F09F"/>
            </w:r>
            <w:r w:rsidRPr="006601BC">
              <w:rPr>
                <w:noProof/>
                <w:sz w:val="21"/>
              </w:rPr>
              <w:t xml:space="preserve"> Bizonyos egyedi programok keretéből finanszírozott igazgatási jellegű előirányzatok</w:t>
            </w:r>
          </w:p>
        </w:tc>
        <w:tc>
          <w:tcPr>
            <w:tcW w:w="1320" w:type="dxa"/>
            <w:gridSpan w:val="2"/>
            <w:vAlign w:val="center"/>
          </w:tcPr>
          <w:p w14:paraId="0AF96598" w14:textId="77777777" w:rsidR="007D7104" w:rsidRPr="006601BC" w:rsidRDefault="007D7104" w:rsidP="00190BB5">
            <w:pPr>
              <w:spacing w:before="0" w:after="0"/>
              <w:rPr>
                <w:noProof/>
              </w:rPr>
            </w:pPr>
          </w:p>
        </w:tc>
        <w:tc>
          <w:tcPr>
            <w:tcW w:w="540" w:type="dxa"/>
            <w:vAlign w:val="center"/>
          </w:tcPr>
          <w:p w14:paraId="1CBB24CE" w14:textId="77777777" w:rsidR="007D7104" w:rsidRPr="006601BC" w:rsidRDefault="007D7104" w:rsidP="00190BB5">
            <w:pPr>
              <w:spacing w:before="20" w:after="20"/>
              <w:jc w:val="center"/>
              <w:rPr>
                <w:noProof/>
              </w:rPr>
            </w:pPr>
          </w:p>
        </w:tc>
        <w:tc>
          <w:tcPr>
            <w:tcW w:w="990" w:type="dxa"/>
            <w:vAlign w:val="center"/>
          </w:tcPr>
          <w:p w14:paraId="527FA93C" w14:textId="77777777" w:rsidR="007D7104" w:rsidRPr="006601BC" w:rsidRDefault="007D7104" w:rsidP="00190BB5">
            <w:pPr>
              <w:rPr>
                <w:b/>
                <w:noProof/>
                <w:sz w:val="20"/>
              </w:rPr>
            </w:pPr>
          </w:p>
        </w:tc>
        <w:tc>
          <w:tcPr>
            <w:tcW w:w="990" w:type="dxa"/>
            <w:vAlign w:val="center"/>
          </w:tcPr>
          <w:p w14:paraId="068C37B2" w14:textId="77777777" w:rsidR="007D7104" w:rsidRPr="006601BC" w:rsidRDefault="007D7104" w:rsidP="00190BB5">
            <w:pPr>
              <w:rPr>
                <w:b/>
                <w:noProof/>
                <w:sz w:val="20"/>
              </w:rPr>
            </w:pPr>
            <w:r w:rsidRPr="006601BC">
              <w:rPr>
                <w:b/>
                <w:bCs/>
                <w:noProof/>
                <w:color w:val="000000"/>
                <w:sz w:val="20"/>
              </w:rPr>
              <w:t xml:space="preserve"> </w:t>
            </w:r>
          </w:p>
        </w:tc>
        <w:tc>
          <w:tcPr>
            <w:tcW w:w="990" w:type="dxa"/>
            <w:vAlign w:val="center"/>
          </w:tcPr>
          <w:p w14:paraId="4C41536C" w14:textId="77777777" w:rsidR="007D7104" w:rsidRPr="006601BC" w:rsidRDefault="007D7104" w:rsidP="00190BB5">
            <w:pPr>
              <w:rPr>
                <w:b/>
                <w:noProof/>
                <w:sz w:val="20"/>
              </w:rPr>
            </w:pPr>
            <w:r w:rsidRPr="006601BC">
              <w:rPr>
                <w:b/>
                <w:bCs/>
                <w:noProof/>
                <w:color w:val="000000"/>
                <w:sz w:val="20"/>
              </w:rPr>
              <w:t xml:space="preserve"> </w:t>
            </w:r>
          </w:p>
        </w:tc>
        <w:tc>
          <w:tcPr>
            <w:tcW w:w="976" w:type="dxa"/>
            <w:vAlign w:val="center"/>
          </w:tcPr>
          <w:p w14:paraId="012A3313" w14:textId="77777777" w:rsidR="007D7104" w:rsidRPr="006601BC" w:rsidRDefault="007D7104" w:rsidP="00190BB5">
            <w:pPr>
              <w:rPr>
                <w:b/>
                <w:noProof/>
                <w:sz w:val="20"/>
              </w:rPr>
            </w:pPr>
            <w:r w:rsidRPr="006601BC">
              <w:rPr>
                <w:b/>
                <w:bCs/>
                <w:noProof/>
                <w:color w:val="000000"/>
                <w:sz w:val="20"/>
              </w:rPr>
              <w:t xml:space="preserve"> </w:t>
            </w:r>
          </w:p>
        </w:tc>
        <w:tc>
          <w:tcPr>
            <w:tcW w:w="1004" w:type="dxa"/>
            <w:vAlign w:val="center"/>
          </w:tcPr>
          <w:p w14:paraId="4AF61567" w14:textId="77777777" w:rsidR="007D7104" w:rsidRPr="006601BC" w:rsidRDefault="007D7104" w:rsidP="00190BB5">
            <w:pPr>
              <w:rPr>
                <w:b/>
                <w:noProof/>
                <w:sz w:val="20"/>
              </w:rPr>
            </w:pPr>
            <w:r w:rsidRPr="006601BC">
              <w:rPr>
                <w:b/>
                <w:bCs/>
                <w:noProof/>
                <w:color w:val="000000"/>
                <w:sz w:val="20"/>
              </w:rPr>
              <w:t xml:space="preserve"> </w:t>
            </w:r>
          </w:p>
        </w:tc>
        <w:tc>
          <w:tcPr>
            <w:tcW w:w="990" w:type="dxa"/>
            <w:vAlign w:val="center"/>
          </w:tcPr>
          <w:p w14:paraId="5D9FDE6B" w14:textId="77777777" w:rsidR="007D7104" w:rsidRPr="006601BC" w:rsidRDefault="007D7104" w:rsidP="00190BB5">
            <w:pPr>
              <w:rPr>
                <w:b/>
                <w:noProof/>
                <w:sz w:val="20"/>
              </w:rPr>
            </w:pPr>
            <w:r w:rsidRPr="006601BC">
              <w:rPr>
                <w:b/>
                <w:bCs/>
                <w:noProof/>
                <w:color w:val="000000"/>
                <w:sz w:val="20"/>
              </w:rPr>
              <w:t xml:space="preserve"> </w:t>
            </w:r>
          </w:p>
        </w:tc>
        <w:tc>
          <w:tcPr>
            <w:tcW w:w="990" w:type="dxa"/>
            <w:vAlign w:val="center"/>
          </w:tcPr>
          <w:p w14:paraId="5924978B" w14:textId="77777777" w:rsidR="007D7104" w:rsidRPr="006601BC" w:rsidRDefault="007D7104" w:rsidP="00190BB5">
            <w:pPr>
              <w:rPr>
                <w:b/>
                <w:noProof/>
                <w:sz w:val="20"/>
              </w:rPr>
            </w:pPr>
            <w:r w:rsidRPr="006601BC">
              <w:rPr>
                <w:b/>
                <w:bCs/>
                <w:noProof/>
                <w:color w:val="000000"/>
                <w:sz w:val="20"/>
              </w:rPr>
              <w:t xml:space="preserve"> </w:t>
            </w:r>
          </w:p>
        </w:tc>
        <w:tc>
          <w:tcPr>
            <w:tcW w:w="1033" w:type="dxa"/>
            <w:vAlign w:val="center"/>
          </w:tcPr>
          <w:p w14:paraId="6BD6A62E" w14:textId="77777777" w:rsidR="007D7104" w:rsidRPr="006601BC" w:rsidRDefault="007D7104" w:rsidP="00190BB5">
            <w:pPr>
              <w:rPr>
                <w:b/>
                <w:noProof/>
                <w:sz w:val="20"/>
              </w:rPr>
            </w:pPr>
            <w:r w:rsidRPr="006601BC">
              <w:rPr>
                <w:b/>
                <w:bCs/>
                <w:noProof/>
                <w:color w:val="000000"/>
                <w:sz w:val="20"/>
              </w:rPr>
              <w:t xml:space="preserve"> </w:t>
            </w:r>
          </w:p>
        </w:tc>
        <w:tc>
          <w:tcPr>
            <w:tcW w:w="1127" w:type="dxa"/>
            <w:vAlign w:val="center"/>
          </w:tcPr>
          <w:p w14:paraId="24B22820" w14:textId="77777777" w:rsidR="007D7104" w:rsidRPr="006601BC" w:rsidRDefault="007D7104" w:rsidP="00190BB5">
            <w:pPr>
              <w:spacing w:before="0" w:after="0"/>
              <w:jc w:val="right"/>
              <w:rPr>
                <w:b/>
                <w:noProof/>
                <w:sz w:val="20"/>
              </w:rPr>
            </w:pPr>
            <w:r w:rsidRPr="006601BC">
              <w:rPr>
                <w:b/>
                <w:bCs/>
                <w:noProof/>
                <w:color w:val="000000"/>
                <w:sz w:val="20"/>
              </w:rPr>
              <w:t xml:space="preserve"> </w:t>
            </w:r>
          </w:p>
        </w:tc>
      </w:tr>
      <w:tr w:rsidR="007D7104" w:rsidRPr="006601BC" w14:paraId="272E006A" w14:textId="77777777" w:rsidTr="00190BB5">
        <w:trPr>
          <w:trHeight w:val="319"/>
        </w:trPr>
        <w:tc>
          <w:tcPr>
            <w:tcW w:w="3780" w:type="dxa"/>
            <w:gridSpan w:val="2"/>
            <w:vAlign w:val="center"/>
          </w:tcPr>
          <w:p w14:paraId="3C529837" w14:textId="77777777" w:rsidR="007D7104" w:rsidRPr="006601BC" w:rsidRDefault="007D7104" w:rsidP="00190BB5">
            <w:pPr>
              <w:spacing w:before="60" w:after="60"/>
              <w:rPr>
                <w:noProof/>
              </w:rPr>
            </w:pPr>
            <w:r w:rsidRPr="006601BC">
              <w:rPr>
                <w:rFonts w:ascii="Tahoma" w:hAnsi="Tahoma"/>
                <w:noProof/>
                <w:color w:val="000000"/>
                <w:sz w:val="16"/>
                <w:szCs w:val="16"/>
              </w:rPr>
              <w:t>06 01 04 – támogatás</w:t>
            </w:r>
          </w:p>
        </w:tc>
        <w:tc>
          <w:tcPr>
            <w:tcW w:w="1260" w:type="dxa"/>
            <w:vAlign w:val="center"/>
          </w:tcPr>
          <w:p w14:paraId="47A656DD" w14:textId="77777777" w:rsidR="007D7104" w:rsidRPr="006601BC" w:rsidRDefault="007D7104" w:rsidP="00190BB5">
            <w:pPr>
              <w:spacing w:before="40" w:after="40"/>
              <w:jc w:val="right"/>
              <w:rPr>
                <w:noProof/>
                <w:sz w:val="18"/>
              </w:rPr>
            </w:pPr>
            <w:r w:rsidRPr="006601BC">
              <w:rPr>
                <w:noProof/>
                <w:sz w:val="18"/>
              </w:rPr>
              <w:t>Kötelezettségvállalási előirányzatok = kifizetési előirányzatok</w:t>
            </w:r>
          </w:p>
        </w:tc>
        <w:tc>
          <w:tcPr>
            <w:tcW w:w="540" w:type="dxa"/>
            <w:vAlign w:val="center"/>
          </w:tcPr>
          <w:p w14:paraId="535F30CE" w14:textId="77777777" w:rsidR="007D7104" w:rsidRPr="006601BC" w:rsidRDefault="007D7104" w:rsidP="00190BB5">
            <w:pPr>
              <w:spacing w:before="40" w:after="40"/>
              <w:jc w:val="center"/>
              <w:rPr>
                <w:noProof/>
                <w:sz w:val="14"/>
              </w:rPr>
            </w:pPr>
            <w:r w:rsidRPr="006601BC">
              <w:rPr>
                <w:noProof/>
                <w:sz w:val="14"/>
              </w:rPr>
              <w:t>(3)</w:t>
            </w:r>
          </w:p>
        </w:tc>
        <w:tc>
          <w:tcPr>
            <w:tcW w:w="990" w:type="dxa"/>
            <w:vAlign w:val="center"/>
          </w:tcPr>
          <w:p w14:paraId="05E0247C" w14:textId="77777777" w:rsidR="007D7104" w:rsidRPr="006601BC" w:rsidRDefault="007D7104" w:rsidP="00190BB5">
            <w:pPr>
              <w:spacing w:before="40" w:after="40"/>
              <w:jc w:val="right"/>
              <w:rPr>
                <w:b/>
                <w:noProof/>
                <w:sz w:val="20"/>
              </w:rPr>
            </w:pPr>
          </w:p>
        </w:tc>
        <w:tc>
          <w:tcPr>
            <w:tcW w:w="990" w:type="dxa"/>
            <w:vAlign w:val="center"/>
          </w:tcPr>
          <w:p w14:paraId="02E44DC4" w14:textId="77777777" w:rsidR="007D7104" w:rsidRPr="006601BC" w:rsidRDefault="007D7104" w:rsidP="00190BB5">
            <w:pPr>
              <w:spacing w:before="40" w:after="40"/>
              <w:jc w:val="center"/>
              <w:rPr>
                <w:b/>
                <w:noProof/>
                <w:sz w:val="20"/>
              </w:rPr>
            </w:pPr>
            <w:r w:rsidRPr="006601BC">
              <w:rPr>
                <w:noProof/>
                <w:sz w:val="20"/>
              </w:rPr>
              <w:t>p.m.</w:t>
            </w:r>
          </w:p>
        </w:tc>
        <w:tc>
          <w:tcPr>
            <w:tcW w:w="990" w:type="dxa"/>
            <w:vAlign w:val="center"/>
          </w:tcPr>
          <w:p w14:paraId="0B880BD5" w14:textId="77777777" w:rsidR="007D7104" w:rsidRPr="006601BC" w:rsidRDefault="007D7104" w:rsidP="00190BB5">
            <w:pPr>
              <w:spacing w:before="40" w:after="40"/>
              <w:jc w:val="center"/>
              <w:rPr>
                <w:b/>
                <w:noProof/>
                <w:sz w:val="20"/>
              </w:rPr>
            </w:pPr>
            <w:r w:rsidRPr="006601BC">
              <w:rPr>
                <w:noProof/>
                <w:sz w:val="20"/>
              </w:rPr>
              <w:t>p.m.</w:t>
            </w:r>
          </w:p>
        </w:tc>
        <w:tc>
          <w:tcPr>
            <w:tcW w:w="976" w:type="dxa"/>
            <w:vAlign w:val="center"/>
          </w:tcPr>
          <w:p w14:paraId="7D3AA3A0" w14:textId="77777777" w:rsidR="007D7104" w:rsidRPr="006601BC" w:rsidRDefault="007D7104" w:rsidP="00190BB5">
            <w:pPr>
              <w:spacing w:before="40" w:after="40"/>
              <w:jc w:val="center"/>
              <w:rPr>
                <w:b/>
                <w:noProof/>
                <w:sz w:val="20"/>
              </w:rPr>
            </w:pPr>
            <w:r w:rsidRPr="006601BC">
              <w:rPr>
                <w:noProof/>
                <w:sz w:val="20"/>
              </w:rPr>
              <w:t>p.m.</w:t>
            </w:r>
          </w:p>
        </w:tc>
        <w:tc>
          <w:tcPr>
            <w:tcW w:w="1004" w:type="dxa"/>
            <w:vAlign w:val="center"/>
          </w:tcPr>
          <w:p w14:paraId="4DA41944" w14:textId="77777777" w:rsidR="007D7104" w:rsidRPr="006601BC" w:rsidRDefault="007D7104" w:rsidP="00190BB5">
            <w:pPr>
              <w:spacing w:before="40" w:after="40"/>
              <w:jc w:val="center"/>
              <w:rPr>
                <w:b/>
                <w:noProof/>
                <w:sz w:val="20"/>
              </w:rPr>
            </w:pPr>
            <w:r w:rsidRPr="006601BC">
              <w:rPr>
                <w:noProof/>
                <w:sz w:val="20"/>
              </w:rPr>
              <w:t>p.m.</w:t>
            </w:r>
          </w:p>
        </w:tc>
        <w:tc>
          <w:tcPr>
            <w:tcW w:w="990" w:type="dxa"/>
            <w:vAlign w:val="center"/>
          </w:tcPr>
          <w:p w14:paraId="2B6A22D7" w14:textId="77777777" w:rsidR="007D7104" w:rsidRPr="006601BC" w:rsidRDefault="007D7104" w:rsidP="00190BB5">
            <w:pPr>
              <w:spacing w:before="40" w:after="40"/>
              <w:jc w:val="center"/>
              <w:rPr>
                <w:b/>
                <w:noProof/>
                <w:sz w:val="20"/>
              </w:rPr>
            </w:pPr>
            <w:r w:rsidRPr="006601BC">
              <w:rPr>
                <w:noProof/>
                <w:sz w:val="20"/>
              </w:rPr>
              <w:t>p.m.</w:t>
            </w:r>
          </w:p>
        </w:tc>
        <w:tc>
          <w:tcPr>
            <w:tcW w:w="990" w:type="dxa"/>
            <w:vAlign w:val="center"/>
          </w:tcPr>
          <w:p w14:paraId="21C7637B" w14:textId="77777777" w:rsidR="007D7104" w:rsidRPr="006601BC" w:rsidRDefault="007D7104" w:rsidP="00190BB5">
            <w:pPr>
              <w:spacing w:before="40" w:after="40"/>
              <w:jc w:val="center"/>
              <w:rPr>
                <w:b/>
                <w:noProof/>
                <w:sz w:val="20"/>
              </w:rPr>
            </w:pPr>
            <w:r w:rsidRPr="006601BC">
              <w:rPr>
                <w:noProof/>
                <w:sz w:val="20"/>
              </w:rPr>
              <w:t>p.m.</w:t>
            </w:r>
          </w:p>
        </w:tc>
        <w:tc>
          <w:tcPr>
            <w:tcW w:w="1033" w:type="dxa"/>
            <w:vAlign w:val="center"/>
          </w:tcPr>
          <w:p w14:paraId="79402332" w14:textId="77777777" w:rsidR="007D7104" w:rsidRPr="006601BC" w:rsidRDefault="007D7104" w:rsidP="00190BB5">
            <w:pPr>
              <w:spacing w:before="40" w:after="40"/>
              <w:jc w:val="center"/>
              <w:rPr>
                <w:b/>
                <w:noProof/>
                <w:sz w:val="20"/>
              </w:rPr>
            </w:pPr>
          </w:p>
        </w:tc>
        <w:tc>
          <w:tcPr>
            <w:tcW w:w="1127" w:type="dxa"/>
            <w:vAlign w:val="center"/>
          </w:tcPr>
          <w:p w14:paraId="2C933A3D" w14:textId="77777777" w:rsidR="007D7104" w:rsidRPr="006601BC" w:rsidRDefault="007D7104" w:rsidP="00190BB5">
            <w:pPr>
              <w:spacing w:before="40" w:after="40"/>
              <w:jc w:val="center"/>
              <w:rPr>
                <w:b/>
                <w:noProof/>
                <w:sz w:val="20"/>
              </w:rPr>
            </w:pPr>
            <w:r w:rsidRPr="006601BC">
              <w:rPr>
                <w:b/>
                <w:noProof/>
                <w:sz w:val="20"/>
              </w:rPr>
              <w:t>p.m.</w:t>
            </w:r>
          </w:p>
        </w:tc>
      </w:tr>
      <w:tr w:rsidR="007D7104" w:rsidRPr="006601BC" w14:paraId="4F41F4CE" w14:textId="77777777" w:rsidTr="00190BB5">
        <w:tc>
          <w:tcPr>
            <w:tcW w:w="3780" w:type="dxa"/>
            <w:gridSpan w:val="2"/>
            <w:vMerge w:val="restart"/>
            <w:vAlign w:val="center"/>
          </w:tcPr>
          <w:p w14:paraId="2AD2BC93" w14:textId="77777777" w:rsidR="007D7104" w:rsidRPr="006601BC" w:rsidRDefault="007D7104" w:rsidP="00190BB5">
            <w:pPr>
              <w:jc w:val="center"/>
              <w:rPr>
                <w:b/>
                <w:noProof/>
              </w:rPr>
            </w:pPr>
            <w:r w:rsidRPr="006601BC">
              <w:rPr>
                <w:b/>
                <w:noProof/>
                <w:sz w:val="22"/>
              </w:rPr>
              <w:t>A programkeretre szóló előirányzatok a költségvetési eljárásokból</w:t>
            </w:r>
            <w:r w:rsidRPr="006601BC">
              <w:rPr>
                <w:noProof/>
              </w:rPr>
              <w:t xml:space="preserve"> </w:t>
            </w:r>
            <w:r w:rsidRPr="006601BC">
              <w:rPr>
                <w:noProof/>
              </w:rPr>
              <w:br/>
            </w:r>
            <w:r w:rsidRPr="006601BC">
              <w:rPr>
                <w:b/>
                <w:noProof/>
                <w:sz w:val="22"/>
              </w:rPr>
              <w:t>ÖSSZESEN</w:t>
            </w:r>
          </w:p>
        </w:tc>
        <w:tc>
          <w:tcPr>
            <w:tcW w:w="1260" w:type="dxa"/>
            <w:vAlign w:val="center"/>
          </w:tcPr>
          <w:p w14:paraId="7199139D" w14:textId="77777777" w:rsidR="007D7104" w:rsidRPr="006601BC" w:rsidRDefault="007D7104" w:rsidP="00190BB5">
            <w:pPr>
              <w:rPr>
                <w:noProof/>
                <w:sz w:val="18"/>
              </w:rPr>
            </w:pPr>
            <w:r w:rsidRPr="006601BC">
              <w:rPr>
                <w:noProof/>
                <w:sz w:val="18"/>
              </w:rPr>
              <w:t>Kötelezettségvállalási előirányzatok</w:t>
            </w:r>
          </w:p>
        </w:tc>
        <w:tc>
          <w:tcPr>
            <w:tcW w:w="540" w:type="dxa"/>
            <w:vAlign w:val="center"/>
          </w:tcPr>
          <w:p w14:paraId="1892616D" w14:textId="77777777" w:rsidR="007D7104" w:rsidRPr="006601BC" w:rsidRDefault="007D7104" w:rsidP="00190BB5">
            <w:pPr>
              <w:jc w:val="center"/>
              <w:rPr>
                <w:noProof/>
                <w:sz w:val="14"/>
              </w:rPr>
            </w:pPr>
            <w:r w:rsidRPr="006601BC">
              <w:rPr>
                <w:noProof/>
                <w:sz w:val="14"/>
              </w:rPr>
              <w:t>=1+1a +3</w:t>
            </w:r>
          </w:p>
        </w:tc>
        <w:tc>
          <w:tcPr>
            <w:tcW w:w="990" w:type="dxa"/>
            <w:vAlign w:val="center"/>
          </w:tcPr>
          <w:p w14:paraId="42B061F2" w14:textId="77777777" w:rsidR="007D7104" w:rsidRPr="006601BC" w:rsidRDefault="007D7104" w:rsidP="00190BB5">
            <w:pPr>
              <w:spacing w:before="20" w:after="20"/>
              <w:jc w:val="right"/>
              <w:rPr>
                <w:noProof/>
                <w:sz w:val="20"/>
              </w:rPr>
            </w:pPr>
          </w:p>
        </w:tc>
        <w:tc>
          <w:tcPr>
            <w:tcW w:w="990" w:type="dxa"/>
            <w:vAlign w:val="center"/>
          </w:tcPr>
          <w:p w14:paraId="03AA6878" w14:textId="77777777" w:rsidR="007D7104" w:rsidRPr="006601BC" w:rsidRDefault="007D7104" w:rsidP="00190BB5">
            <w:pPr>
              <w:spacing w:before="20" w:after="20"/>
              <w:jc w:val="right"/>
              <w:rPr>
                <w:noProof/>
                <w:sz w:val="20"/>
              </w:rPr>
            </w:pPr>
            <w:r w:rsidRPr="006601BC">
              <w:rPr>
                <w:noProof/>
                <w:color w:val="000000"/>
                <w:sz w:val="20"/>
                <w:szCs w:val="20"/>
              </w:rPr>
              <w:t>630,000</w:t>
            </w:r>
          </w:p>
        </w:tc>
        <w:tc>
          <w:tcPr>
            <w:tcW w:w="990" w:type="dxa"/>
            <w:vAlign w:val="center"/>
          </w:tcPr>
          <w:p w14:paraId="3B76781E" w14:textId="77777777" w:rsidR="007D7104" w:rsidRPr="006601BC" w:rsidRDefault="007D7104" w:rsidP="00190BB5">
            <w:pPr>
              <w:spacing w:before="20" w:after="20"/>
              <w:jc w:val="right"/>
              <w:rPr>
                <w:noProof/>
                <w:sz w:val="20"/>
              </w:rPr>
            </w:pPr>
            <w:r w:rsidRPr="006601BC">
              <w:rPr>
                <w:noProof/>
                <w:color w:val="000000"/>
                <w:sz w:val="20"/>
                <w:szCs w:val="20"/>
              </w:rPr>
              <w:t>636,000</w:t>
            </w:r>
          </w:p>
        </w:tc>
        <w:tc>
          <w:tcPr>
            <w:tcW w:w="976" w:type="dxa"/>
            <w:vAlign w:val="center"/>
          </w:tcPr>
          <w:p w14:paraId="4AEAFD66" w14:textId="77777777" w:rsidR="007D7104" w:rsidRPr="006601BC" w:rsidRDefault="007D7104" w:rsidP="00190BB5">
            <w:pPr>
              <w:spacing w:before="20" w:after="20"/>
              <w:jc w:val="right"/>
              <w:rPr>
                <w:noProof/>
                <w:sz w:val="20"/>
              </w:rPr>
            </w:pPr>
            <w:r w:rsidRPr="006601BC">
              <w:rPr>
                <w:noProof/>
                <w:color w:val="000000"/>
                <w:sz w:val="20"/>
                <w:szCs w:val="20"/>
              </w:rPr>
              <w:t>0,000</w:t>
            </w:r>
          </w:p>
        </w:tc>
        <w:tc>
          <w:tcPr>
            <w:tcW w:w="1004" w:type="dxa"/>
            <w:vAlign w:val="center"/>
          </w:tcPr>
          <w:p w14:paraId="34081E7A" w14:textId="77777777" w:rsidR="007D7104" w:rsidRPr="006601BC" w:rsidRDefault="007D7104" w:rsidP="00190BB5">
            <w:pPr>
              <w:spacing w:before="20" w:after="20"/>
              <w:jc w:val="right"/>
              <w:rPr>
                <w:noProof/>
                <w:sz w:val="20"/>
              </w:rPr>
            </w:pPr>
            <w:r w:rsidRPr="006601BC">
              <w:rPr>
                <w:noProof/>
                <w:color w:val="000000"/>
                <w:sz w:val="20"/>
                <w:szCs w:val="20"/>
              </w:rPr>
              <w:t>0,000</w:t>
            </w:r>
          </w:p>
        </w:tc>
        <w:tc>
          <w:tcPr>
            <w:tcW w:w="990" w:type="dxa"/>
            <w:vAlign w:val="center"/>
          </w:tcPr>
          <w:p w14:paraId="368601CB" w14:textId="77777777" w:rsidR="007D7104" w:rsidRPr="006601BC" w:rsidRDefault="007D7104" w:rsidP="00190BB5">
            <w:pPr>
              <w:spacing w:before="20" w:after="20"/>
              <w:jc w:val="right"/>
              <w:rPr>
                <w:noProof/>
                <w:sz w:val="20"/>
              </w:rPr>
            </w:pPr>
            <w:r w:rsidRPr="006601BC">
              <w:rPr>
                <w:noProof/>
                <w:color w:val="000000"/>
                <w:sz w:val="20"/>
                <w:szCs w:val="20"/>
              </w:rPr>
              <w:t>0,000</w:t>
            </w:r>
          </w:p>
        </w:tc>
        <w:tc>
          <w:tcPr>
            <w:tcW w:w="990" w:type="dxa"/>
            <w:vAlign w:val="center"/>
          </w:tcPr>
          <w:p w14:paraId="4DFF898F" w14:textId="77777777" w:rsidR="007D7104" w:rsidRPr="006601BC" w:rsidRDefault="007D7104" w:rsidP="00190BB5">
            <w:pPr>
              <w:spacing w:before="20" w:after="20"/>
              <w:jc w:val="right"/>
              <w:rPr>
                <w:b/>
                <w:noProof/>
                <w:sz w:val="20"/>
              </w:rPr>
            </w:pPr>
            <w:r w:rsidRPr="006601BC">
              <w:rPr>
                <w:noProof/>
                <w:color w:val="000000"/>
                <w:sz w:val="20"/>
                <w:szCs w:val="20"/>
              </w:rPr>
              <w:t>0,000</w:t>
            </w:r>
          </w:p>
        </w:tc>
        <w:tc>
          <w:tcPr>
            <w:tcW w:w="1033" w:type="dxa"/>
            <w:vAlign w:val="center"/>
          </w:tcPr>
          <w:p w14:paraId="5F4D115B" w14:textId="77777777" w:rsidR="007D7104" w:rsidRPr="006601BC" w:rsidRDefault="007D7104" w:rsidP="00190BB5">
            <w:pPr>
              <w:spacing w:before="20" w:after="20"/>
              <w:jc w:val="right"/>
              <w:rPr>
                <w:b/>
                <w:noProof/>
                <w:sz w:val="20"/>
              </w:rPr>
            </w:pPr>
          </w:p>
        </w:tc>
        <w:tc>
          <w:tcPr>
            <w:tcW w:w="1127" w:type="dxa"/>
            <w:vAlign w:val="center"/>
          </w:tcPr>
          <w:p w14:paraId="2A9FCB2B" w14:textId="77777777" w:rsidR="007D7104" w:rsidRPr="006601BC" w:rsidRDefault="007D7104" w:rsidP="00190BB5">
            <w:pPr>
              <w:spacing w:before="20" w:after="20"/>
              <w:jc w:val="right"/>
              <w:rPr>
                <w:b/>
                <w:noProof/>
                <w:sz w:val="20"/>
              </w:rPr>
            </w:pPr>
            <w:r w:rsidRPr="006601BC">
              <w:rPr>
                <w:b/>
                <w:bCs/>
                <w:noProof/>
                <w:color w:val="000000"/>
                <w:sz w:val="20"/>
                <w:szCs w:val="20"/>
              </w:rPr>
              <w:t>1 266,000</w:t>
            </w:r>
          </w:p>
        </w:tc>
      </w:tr>
      <w:tr w:rsidR="007D7104" w:rsidRPr="006601BC" w14:paraId="62DEAA7D" w14:textId="77777777" w:rsidTr="00190BB5">
        <w:tc>
          <w:tcPr>
            <w:tcW w:w="3780" w:type="dxa"/>
            <w:gridSpan w:val="2"/>
            <w:vMerge/>
          </w:tcPr>
          <w:p w14:paraId="305967EA" w14:textId="77777777" w:rsidR="007D7104" w:rsidRPr="006601BC" w:rsidRDefault="007D7104" w:rsidP="00190BB5">
            <w:pPr>
              <w:rPr>
                <w:noProof/>
                <w:sz w:val="20"/>
              </w:rPr>
            </w:pPr>
          </w:p>
        </w:tc>
        <w:tc>
          <w:tcPr>
            <w:tcW w:w="1260" w:type="dxa"/>
            <w:vAlign w:val="center"/>
          </w:tcPr>
          <w:p w14:paraId="70F4571E" w14:textId="77777777" w:rsidR="007D7104" w:rsidRPr="006601BC" w:rsidRDefault="007D7104" w:rsidP="00190BB5">
            <w:pPr>
              <w:rPr>
                <w:noProof/>
                <w:sz w:val="18"/>
              </w:rPr>
            </w:pPr>
            <w:r w:rsidRPr="006601BC">
              <w:rPr>
                <w:noProof/>
                <w:sz w:val="18"/>
              </w:rPr>
              <w:t>Kifizetési előirányzatok</w:t>
            </w:r>
          </w:p>
        </w:tc>
        <w:tc>
          <w:tcPr>
            <w:tcW w:w="540" w:type="dxa"/>
            <w:vAlign w:val="center"/>
          </w:tcPr>
          <w:p w14:paraId="68BF154E" w14:textId="77777777" w:rsidR="007D7104" w:rsidRPr="006601BC" w:rsidRDefault="007D7104" w:rsidP="00190BB5">
            <w:pPr>
              <w:jc w:val="center"/>
              <w:rPr>
                <w:noProof/>
                <w:sz w:val="14"/>
              </w:rPr>
            </w:pPr>
            <w:r w:rsidRPr="006601BC">
              <w:rPr>
                <w:noProof/>
                <w:sz w:val="14"/>
              </w:rPr>
              <w:t>=2+2a</w:t>
            </w:r>
          </w:p>
          <w:p w14:paraId="05A13179" w14:textId="77777777" w:rsidR="007D7104" w:rsidRPr="006601BC" w:rsidRDefault="007D7104" w:rsidP="00190BB5">
            <w:pPr>
              <w:jc w:val="center"/>
              <w:rPr>
                <w:noProof/>
                <w:sz w:val="14"/>
              </w:rPr>
            </w:pPr>
            <w:r w:rsidRPr="006601BC">
              <w:rPr>
                <w:noProof/>
                <w:sz w:val="14"/>
              </w:rPr>
              <w:t>+3</w:t>
            </w:r>
          </w:p>
        </w:tc>
        <w:tc>
          <w:tcPr>
            <w:tcW w:w="990" w:type="dxa"/>
            <w:vAlign w:val="center"/>
          </w:tcPr>
          <w:p w14:paraId="13F3A429" w14:textId="77777777" w:rsidR="007D7104" w:rsidRPr="006601BC" w:rsidRDefault="007D7104" w:rsidP="00190BB5">
            <w:pPr>
              <w:spacing w:before="20" w:after="20"/>
              <w:jc w:val="right"/>
              <w:rPr>
                <w:noProof/>
                <w:sz w:val="20"/>
              </w:rPr>
            </w:pPr>
          </w:p>
        </w:tc>
        <w:tc>
          <w:tcPr>
            <w:tcW w:w="990" w:type="dxa"/>
            <w:vAlign w:val="center"/>
          </w:tcPr>
          <w:p w14:paraId="04ED6B07" w14:textId="77777777" w:rsidR="007D7104" w:rsidRPr="006601BC" w:rsidRDefault="007D7104" w:rsidP="00190BB5">
            <w:pPr>
              <w:spacing w:before="20" w:after="20"/>
              <w:jc w:val="right"/>
              <w:rPr>
                <w:noProof/>
                <w:sz w:val="20"/>
              </w:rPr>
            </w:pPr>
            <w:r w:rsidRPr="006601BC">
              <w:rPr>
                <w:noProof/>
                <w:color w:val="000000"/>
                <w:sz w:val="20"/>
                <w:szCs w:val="20"/>
              </w:rPr>
              <w:t>189,000</w:t>
            </w:r>
          </w:p>
        </w:tc>
        <w:tc>
          <w:tcPr>
            <w:tcW w:w="990" w:type="dxa"/>
            <w:vAlign w:val="center"/>
          </w:tcPr>
          <w:p w14:paraId="232F8C83" w14:textId="77777777" w:rsidR="007D7104" w:rsidRPr="006601BC" w:rsidRDefault="007D7104" w:rsidP="00190BB5">
            <w:pPr>
              <w:spacing w:before="20" w:after="20"/>
              <w:jc w:val="right"/>
              <w:rPr>
                <w:noProof/>
                <w:sz w:val="20"/>
              </w:rPr>
            </w:pPr>
            <w:r w:rsidRPr="006601BC">
              <w:rPr>
                <w:noProof/>
                <w:color w:val="000000"/>
                <w:sz w:val="20"/>
                <w:szCs w:val="20"/>
              </w:rPr>
              <w:t>379,800</w:t>
            </w:r>
          </w:p>
        </w:tc>
        <w:tc>
          <w:tcPr>
            <w:tcW w:w="976" w:type="dxa"/>
            <w:vAlign w:val="center"/>
          </w:tcPr>
          <w:p w14:paraId="722E546E" w14:textId="77777777" w:rsidR="007D7104" w:rsidRPr="006601BC" w:rsidRDefault="007D7104" w:rsidP="00190BB5">
            <w:pPr>
              <w:spacing w:before="20" w:after="20"/>
              <w:jc w:val="right"/>
              <w:rPr>
                <w:noProof/>
                <w:sz w:val="20"/>
              </w:rPr>
            </w:pPr>
            <w:r w:rsidRPr="006601BC">
              <w:rPr>
                <w:noProof/>
                <w:color w:val="000000"/>
                <w:sz w:val="20"/>
                <w:szCs w:val="20"/>
              </w:rPr>
              <w:t>442,800</w:t>
            </w:r>
          </w:p>
        </w:tc>
        <w:tc>
          <w:tcPr>
            <w:tcW w:w="1004" w:type="dxa"/>
            <w:vAlign w:val="center"/>
          </w:tcPr>
          <w:p w14:paraId="7669EDCE" w14:textId="77777777" w:rsidR="007D7104" w:rsidRPr="006601BC" w:rsidRDefault="007D7104" w:rsidP="00190BB5">
            <w:pPr>
              <w:spacing w:before="20" w:after="20"/>
              <w:jc w:val="right"/>
              <w:rPr>
                <w:noProof/>
                <w:sz w:val="20"/>
              </w:rPr>
            </w:pPr>
            <w:r w:rsidRPr="006601BC">
              <w:rPr>
                <w:noProof/>
                <w:color w:val="000000"/>
                <w:sz w:val="20"/>
                <w:szCs w:val="20"/>
              </w:rPr>
              <w:t>254,400</w:t>
            </w:r>
          </w:p>
        </w:tc>
        <w:tc>
          <w:tcPr>
            <w:tcW w:w="990" w:type="dxa"/>
            <w:vAlign w:val="center"/>
          </w:tcPr>
          <w:p w14:paraId="58D4DCC3" w14:textId="77777777" w:rsidR="007D7104" w:rsidRPr="006601BC" w:rsidRDefault="007D7104" w:rsidP="00190BB5">
            <w:pPr>
              <w:spacing w:before="20" w:after="20"/>
              <w:jc w:val="right"/>
              <w:rPr>
                <w:noProof/>
                <w:sz w:val="20"/>
              </w:rPr>
            </w:pPr>
            <w:r w:rsidRPr="006601BC">
              <w:rPr>
                <w:noProof/>
                <w:color w:val="000000"/>
                <w:sz w:val="20"/>
                <w:szCs w:val="20"/>
              </w:rPr>
              <w:t>0,000</w:t>
            </w:r>
          </w:p>
        </w:tc>
        <w:tc>
          <w:tcPr>
            <w:tcW w:w="990" w:type="dxa"/>
            <w:vAlign w:val="center"/>
          </w:tcPr>
          <w:p w14:paraId="79261873" w14:textId="77777777" w:rsidR="007D7104" w:rsidRPr="006601BC" w:rsidRDefault="007D7104" w:rsidP="00190BB5">
            <w:pPr>
              <w:spacing w:before="20" w:after="20"/>
              <w:jc w:val="right"/>
              <w:rPr>
                <w:b/>
                <w:noProof/>
                <w:sz w:val="20"/>
              </w:rPr>
            </w:pPr>
            <w:r w:rsidRPr="006601BC">
              <w:rPr>
                <w:noProof/>
                <w:color w:val="000000"/>
                <w:sz w:val="20"/>
                <w:szCs w:val="20"/>
              </w:rPr>
              <w:t>0,000</w:t>
            </w:r>
          </w:p>
        </w:tc>
        <w:tc>
          <w:tcPr>
            <w:tcW w:w="1033" w:type="dxa"/>
            <w:vAlign w:val="center"/>
          </w:tcPr>
          <w:p w14:paraId="4584FE65" w14:textId="77777777" w:rsidR="007D7104" w:rsidRPr="006601BC" w:rsidRDefault="007D7104" w:rsidP="00190BB5">
            <w:pPr>
              <w:spacing w:before="20" w:after="20"/>
              <w:jc w:val="right"/>
              <w:rPr>
                <w:b/>
                <w:noProof/>
                <w:sz w:val="20"/>
              </w:rPr>
            </w:pPr>
          </w:p>
        </w:tc>
        <w:tc>
          <w:tcPr>
            <w:tcW w:w="1127" w:type="dxa"/>
            <w:vAlign w:val="center"/>
          </w:tcPr>
          <w:p w14:paraId="1A204408" w14:textId="77777777" w:rsidR="007D7104" w:rsidRPr="006601BC" w:rsidRDefault="007D7104" w:rsidP="00190BB5">
            <w:pPr>
              <w:spacing w:before="20" w:after="20"/>
              <w:jc w:val="right"/>
              <w:rPr>
                <w:b/>
                <w:noProof/>
                <w:sz w:val="20"/>
              </w:rPr>
            </w:pPr>
            <w:r w:rsidRPr="006601BC">
              <w:rPr>
                <w:b/>
                <w:bCs/>
                <w:noProof/>
                <w:color w:val="000000"/>
                <w:sz w:val="20"/>
                <w:szCs w:val="20"/>
              </w:rPr>
              <w:t>1 266,000</w:t>
            </w:r>
          </w:p>
        </w:tc>
      </w:tr>
    </w:tbl>
    <w:p w14:paraId="133F7779" w14:textId="77777777" w:rsidR="007D7104" w:rsidRPr="006601BC" w:rsidRDefault="007D7104" w:rsidP="007D7104">
      <w:pPr>
        <w:spacing w:before="0" w:after="200" w:line="276" w:lineRule="auto"/>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D7104" w:rsidRPr="006601BC" w14:paraId="7D4F0A9D" w14:textId="77777777" w:rsidTr="00190BB5">
        <w:trPr>
          <w:jc w:val="center"/>
        </w:trPr>
        <w:tc>
          <w:tcPr>
            <w:tcW w:w="4744" w:type="dxa"/>
            <w:shd w:val="thinDiagStripe" w:color="C0C0C0" w:fill="auto"/>
            <w:vAlign w:val="center"/>
          </w:tcPr>
          <w:p w14:paraId="04D70C51" w14:textId="77777777" w:rsidR="007D7104" w:rsidRPr="006601BC" w:rsidRDefault="007D7104" w:rsidP="00190BB5">
            <w:pPr>
              <w:spacing w:before="60" w:after="60"/>
              <w:jc w:val="center"/>
              <w:rPr>
                <w:b/>
                <w:noProof/>
              </w:rPr>
            </w:pPr>
            <w:r w:rsidRPr="006601BC">
              <w:rPr>
                <w:b/>
                <w:noProof/>
                <w:sz w:val="22"/>
              </w:rPr>
              <w:t xml:space="preserve">A többéves pénzügyi keret </w:t>
            </w:r>
            <w:r w:rsidRPr="006601BC">
              <w:rPr>
                <w:noProof/>
              </w:rPr>
              <w:t xml:space="preserve"> </w:t>
            </w:r>
            <w:r w:rsidRPr="006601BC">
              <w:rPr>
                <w:noProof/>
              </w:rPr>
              <w:br/>
            </w:r>
            <w:r w:rsidRPr="006601BC">
              <w:rPr>
                <w:b/>
                <w:noProof/>
                <w:sz w:val="22"/>
              </w:rPr>
              <w:t xml:space="preserve">fejezete </w:t>
            </w:r>
          </w:p>
        </w:tc>
        <w:tc>
          <w:tcPr>
            <w:tcW w:w="1080" w:type="dxa"/>
            <w:vAlign w:val="center"/>
          </w:tcPr>
          <w:p w14:paraId="49002B1C" w14:textId="4973308F" w:rsidR="007D7104" w:rsidRPr="006601BC" w:rsidRDefault="007D7104" w:rsidP="00190BB5">
            <w:pPr>
              <w:spacing w:before="60" w:after="60"/>
              <w:jc w:val="center"/>
              <w:rPr>
                <w:b/>
                <w:noProof/>
                <w:sz w:val="22"/>
              </w:rPr>
            </w:pPr>
            <w:r w:rsidRPr="006601BC">
              <w:rPr>
                <w:b/>
                <w:noProof/>
                <w:sz w:val="22"/>
              </w:rPr>
              <w:t>2b</w:t>
            </w:r>
            <w:r w:rsidR="002452A8">
              <w:rPr>
                <w:b/>
                <w:noProof/>
                <w:sz w:val="22"/>
              </w:rPr>
              <w:t>.</w:t>
            </w:r>
          </w:p>
        </w:tc>
        <w:tc>
          <w:tcPr>
            <w:tcW w:w="7817" w:type="dxa"/>
            <w:vAlign w:val="center"/>
          </w:tcPr>
          <w:p w14:paraId="2682A70B" w14:textId="77777777" w:rsidR="007D7104" w:rsidRPr="006601BC" w:rsidRDefault="007D7104" w:rsidP="00190BB5">
            <w:pPr>
              <w:spacing w:before="60" w:after="60"/>
              <w:rPr>
                <w:b/>
                <w:noProof/>
                <w:sz w:val="22"/>
              </w:rPr>
            </w:pPr>
            <w:r w:rsidRPr="006601BC">
              <w:rPr>
                <w:b/>
                <w:noProof/>
                <w:sz w:val="22"/>
              </w:rPr>
              <w:t>Reziliencia és értékek</w:t>
            </w:r>
          </w:p>
        </w:tc>
      </w:tr>
    </w:tbl>
    <w:p w14:paraId="5C571D06" w14:textId="1FD0F1ED" w:rsidR="007D7104" w:rsidRPr="006601BC" w:rsidRDefault="007D7104" w:rsidP="00C54C48">
      <w:pPr>
        <w:spacing w:before="0" w:after="200" w:line="276" w:lineRule="auto"/>
        <w:jc w:val="left"/>
        <w:rPr>
          <w:noProof/>
        </w:rPr>
      </w:pPr>
    </w:p>
    <w:tbl>
      <w:tblPr>
        <w:tblW w:w="146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540"/>
        <w:gridCol w:w="990"/>
        <w:gridCol w:w="990"/>
        <w:gridCol w:w="990"/>
        <w:gridCol w:w="976"/>
        <w:gridCol w:w="1004"/>
        <w:gridCol w:w="990"/>
        <w:gridCol w:w="990"/>
        <w:gridCol w:w="1033"/>
        <w:gridCol w:w="1127"/>
      </w:tblGrid>
      <w:tr w:rsidR="007D7104" w:rsidRPr="006601BC" w14:paraId="5765FE99" w14:textId="77777777" w:rsidTr="00190BB5">
        <w:tc>
          <w:tcPr>
            <w:tcW w:w="3780" w:type="dxa"/>
            <w:vAlign w:val="center"/>
          </w:tcPr>
          <w:p w14:paraId="15014FEA" w14:textId="77777777" w:rsidR="007D7104" w:rsidRPr="006601BC" w:rsidRDefault="007D7104" w:rsidP="00190BB5">
            <w:pPr>
              <w:jc w:val="center"/>
              <w:rPr>
                <w:noProof/>
              </w:rPr>
            </w:pPr>
            <w:r w:rsidRPr="006601BC">
              <w:rPr>
                <w:noProof/>
                <w:sz w:val="22"/>
              </w:rPr>
              <w:t>Főigazgatóság:</w:t>
            </w:r>
          </w:p>
        </w:tc>
        <w:tc>
          <w:tcPr>
            <w:tcW w:w="1260" w:type="dxa"/>
          </w:tcPr>
          <w:p w14:paraId="6E638A96" w14:textId="77777777" w:rsidR="007D7104" w:rsidRPr="006601BC" w:rsidRDefault="007D7104" w:rsidP="00190BB5">
            <w:pPr>
              <w:rPr>
                <w:noProof/>
                <w:sz w:val="20"/>
              </w:rPr>
            </w:pPr>
          </w:p>
        </w:tc>
        <w:tc>
          <w:tcPr>
            <w:tcW w:w="540" w:type="dxa"/>
          </w:tcPr>
          <w:p w14:paraId="7BC8A0BD" w14:textId="77777777" w:rsidR="007D7104" w:rsidRPr="006601BC" w:rsidRDefault="007D7104" w:rsidP="00190BB5">
            <w:pPr>
              <w:jc w:val="center"/>
              <w:rPr>
                <w:noProof/>
                <w:sz w:val="20"/>
              </w:rPr>
            </w:pPr>
          </w:p>
        </w:tc>
        <w:tc>
          <w:tcPr>
            <w:tcW w:w="990" w:type="dxa"/>
            <w:vAlign w:val="center"/>
          </w:tcPr>
          <w:p w14:paraId="5ACB636D" w14:textId="77777777" w:rsidR="007D7104" w:rsidRPr="006601BC" w:rsidRDefault="007D7104" w:rsidP="00190BB5">
            <w:pPr>
              <w:jc w:val="center"/>
              <w:rPr>
                <w:noProof/>
                <w:sz w:val="20"/>
              </w:rPr>
            </w:pPr>
            <w:r w:rsidRPr="006601BC">
              <w:rPr>
                <w:b/>
                <w:noProof/>
                <w:sz w:val="20"/>
              </w:rPr>
              <w:t>2021</w:t>
            </w:r>
          </w:p>
        </w:tc>
        <w:tc>
          <w:tcPr>
            <w:tcW w:w="990" w:type="dxa"/>
            <w:vAlign w:val="center"/>
          </w:tcPr>
          <w:p w14:paraId="47B234AC" w14:textId="77777777" w:rsidR="007D7104" w:rsidRPr="006601BC" w:rsidRDefault="007D7104" w:rsidP="00190BB5">
            <w:pPr>
              <w:jc w:val="center"/>
              <w:rPr>
                <w:noProof/>
                <w:sz w:val="20"/>
              </w:rPr>
            </w:pPr>
            <w:r w:rsidRPr="006601BC">
              <w:rPr>
                <w:b/>
                <w:noProof/>
                <w:sz w:val="20"/>
              </w:rPr>
              <w:t>2022</w:t>
            </w:r>
          </w:p>
        </w:tc>
        <w:tc>
          <w:tcPr>
            <w:tcW w:w="990" w:type="dxa"/>
            <w:vAlign w:val="center"/>
          </w:tcPr>
          <w:p w14:paraId="1A9B8FCA" w14:textId="77777777" w:rsidR="007D7104" w:rsidRPr="006601BC" w:rsidRDefault="007D7104" w:rsidP="00190BB5">
            <w:pPr>
              <w:jc w:val="center"/>
              <w:rPr>
                <w:noProof/>
                <w:sz w:val="20"/>
              </w:rPr>
            </w:pPr>
            <w:r w:rsidRPr="006601BC">
              <w:rPr>
                <w:b/>
                <w:noProof/>
                <w:sz w:val="20"/>
              </w:rPr>
              <w:t>2023</w:t>
            </w:r>
          </w:p>
        </w:tc>
        <w:tc>
          <w:tcPr>
            <w:tcW w:w="976" w:type="dxa"/>
            <w:vAlign w:val="center"/>
          </w:tcPr>
          <w:p w14:paraId="5CE80209" w14:textId="77777777" w:rsidR="007D7104" w:rsidRPr="006601BC" w:rsidRDefault="007D7104" w:rsidP="00190BB5">
            <w:pPr>
              <w:jc w:val="center"/>
              <w:rPr>
                <w:noProof/>
                <w:sz w:val="20"/>
              </w:rPr>
            </w:pPr>
            <w:r w:rsidRPr="006601BC">
              <w:rPr>
                <w:b/>
                <w:noProof/>
                <w:sz w:val="20"/>
              </w:rPr>
              <w:t>2024</w:t>
            </w:r>
          </w:p>
        </w:tc>
        <w:tc>
          <w:tcPr>
            <w:tcW w:w="1004" w:type="dxa"/>
            <w:vAlign w:val="center"/>
          </w:tcPr>
          <w:p w14:paraId="4BA30250" w14:textId="77777777" w:rsidR="007D7104" w:rsidRPr="006601BC" w:rsidRDefault="007D7104" w:rsidP="00190BB5">
            <w:pPr>
              <w:jc w:val="center"/>
              <w:rPr>
                <w:b/>
                <w:noProof/>
                <w:sz w:val="18"/>
              </w:rPr>
            </w:pPr>
            <w:r w:rsidRPr="006601BC">
              <w:rPr>
                <w:b/>
                <w:noProof/>
                <w:sz w:val="18"/>
              </w:rPr>
              <w:t>2025</w:t>
            </w:r>
          </w:p>
        </w:tc>
        <w:tc>
          <w:tcPr>
            <w:tcW w:w="990" w:type="dxa"/>
            <w:vAlign w:val="center"/>
          </w:tcPr>
          <w:p w14:paraId="479C983F" w14:textId="77777777" w:rsidR="007D7104" w:rsidRPr="006601BC" w:rsidRDefault="007D7104" w:rsidP="00190BB5">
            <w:pPr>
              <w:jc w:val="center"/>
              <w:rPr>
                <w:b/>
                <w:noProof/>
                <w:sz w:val="18"/>
              </w:rPr>
            </w:pPr>
            <w:r w:rsidRPr="006601BC">
              <w:rPr>
                <w:b/>
                <w:noProof/>
                <w:sz w:val="18"/>
              </w:rPr>
              <w:t>2026</w:t>
            </w:r>
          </w:p>
        </w:tc>
        <w:tc>
          <w:tcPr>
            <w:tcW w:w="990" w:type="dxa"/>
            <w:vAlign w:val="center"/>
          </w:tcPr>
          <w:p w14:paraId="5D8972EA" w14:textId="77777777" w:rsidR="007D7104" w:rsidRPr="006601BC" w:rsidRDefault="007D7104" w:rsidP="00190BB5">
            <w:pPr>
              <w:jc w:val="center"/>
              <w:rPr>
                <w:b/>
                <w:noProof/>
                <w:sz w:val="18"/>
              </w:rPr>
            </w:pPr>
            <w:r w:rsidRPr="006601BC">
              <w:rPr>
                <w:b/>
                <w:noProof/>
                <w:sz w:val="18"/>
              </w:rPr>
              <w:t>2027</w:t>
            </w:r>
          </w:p>
        </w:tc>
        <w:tc>
          <w:tcPr>
            <w:tcW w:w="1033" w:type="dxa"/>
          </w:tcPr>
          <w:p w14:paraId="7D0A6687" w14:textId="77777777" w:rsidR="007D7104" w:rsidRPr="006601BC" w:rsidRDefault="007D7104" w:rsidP="00190BB5">
            <w:pPr>
              <w:jc w:val="center"/>
              <w:rPr>
                <w:b/>
                <w:noProof/>
                <w:sz w:val="20"/>
              </w:rPr>
            </w:pPr>
            <w:r w:rsidRPr="006601BC">
              <w:rPr>
                <w:b/>
                <w:i/>
                <w:noProof/>
                <w:sz w:val="20"/>
              </w:rPr>
              <w:t>2027 után</w:t>
            </w:r>
          </w:p>
        </w:tc>
        <w:tc>
          <w:tcPr>
            <w:tcW w:w="1127" w:type="dxa"/>
            <w:vAlign w:val="center"/>
          </w:tcPr>
          <w:p w14:paraId="130C3BFC" w14:textId="77777777" w:rsidR="007D7104" w:rsidRPr="006601BC" w:rsidRDefault="007D7104" w:rsidP="00190BB5">
            <w:pPr>
              <w:jc w:val="center"/>
              <w:rPr>
                <w:b/>
                <w:noProof/>
                <w:sz w:val="20"/>
              </w:rPr>
            </w:pPr>
            <w:r w:rsidRPr="006601BC">
              <w:rPr>
                <w:b/>
                <w:noProof/>
                <w:sz w:val="20"/>
              </w:rPr>
              <w:t>ÖSSZESEN</w:t>
            </w:r>
          </w:p>
        </w:tc>
      </w:tr>
      <w:tr w:rsidR="007D7104" w:rsidRPr="006601BC" w14:paraId="3E9E8A48" w14:textId="77777777" w:rsidTr="00190BB5">
        <w:trPr>
          <w:trHeight w:val="213"/>
        </w:trPr>
        <w:tc>
          <w:tcPr>
            <w:tcW w:w="5580" w:type="dxa"/>
            <w:gridSpan w:val="3"/>
            <w:vAlign w:val="center"/>
          </w:tcPr>
          <w:p w14:paraId="7EE51B6E" w14:textId="77777777" w:rsidR="007D7104" w:rsidRPr="006601BC" w:rsidRDefault="007D7104" w:rsidP="00190BB5">
            <w:pPr>
              <w:spacing w:before="20" w:after="20"/>
              <w:rPr>
                <w:noProof/>
                <w:sz w:val="21"/>
              </w:rPr>
            </w:pPr>
            <w:r w:rsidRPr="006601BC">
              <w:rPr>
                <w:noProof/>
                <w:sz w:val="21"/>
              </w:rPr>
              <w:sym w:font="Wingdings" w:char="F09F"/>
            </w:r>
            <w:r w:rsidRPr="006601BC">
              <w:rPr>
                <w:noProof/>
                <w:sz w:val="21"/>
              </w:rPr>
              <w:t xml:space="preserve"> Operatív előirányzatok</w:t>
            </w:r>
          </w:p>
        </w:tc>
        <w:tc>
          <w:tcPr>
            <w:tcW w:w="990" w:type="dxa"/>
            <w:vAlign w:val="center"/>
          </w:tcPr>
          <w:p w14:paraId="365A41B9" w14:textId="77777777" w:rsidR="007D7104" w:rsidRPr="006601BC" w:rsidRDefault="007D7104" w:rsidP="00190BB5">
            <w:pPr>
              <w:rPr>
                <w:noProof/>
                <w:sz w:val="20"/>
              </w:rPr>
            </w:pPr>
          </w:p>
        </w:tc>
        <w:tc>
          <w:tcPr>
            <w:tcW w:w="990" w:type="dxa"/>
            <w:vAlign w:val="center"/>
          </w:tcPr>
          <w:p w14:paraId="3F982C4D" w14:textId="77777777" w:rsidR="007D7104" w:rsidRPr="006601BC" w:rsidRDefault="007D7104" w:rsidP="00190BB5">
            <w:pPr>
              <w:rPr>
                <w:noProof/>
                <w:sz w:val="20"/>
              </w:rPr>
            </w:pPr>
          </w:p>
        </w:tc>
        <w:tc>
          <w:tcPr>
            <w:tcW w:w="990" w:type="dxa"/>
            <w:vAlign w:val="center"/>
          </w:tcPr>
          <w:p w14:paraId="4BE8547F" w14:textId="77777777" w:rsidR="007D7104" w:rsidRPr="006601BC" w:rsidRDefault="007D7104" w:rsidP="00190BB5">
            <w:pPr>
              <w:rPr>
                <w:noProof/>
                <w:sz w:val="20"/>
              </w:rPr>
            </w:pPr>
          </w:p>
        </w:tc>
        <w:tc>
          <w:tcPr>
            <w:tcW w:w="976" w:type="dxa"/>
            <w:vAlign w:val="center"/>
          </w:tcPr>
          <w:p w14:paraId="2AFE73C4" w14:textId="77777777" w:rsidR="007D7104" w:rsidRPr="006601BC" w:rsidRDefault="007D7104" w:rsidP="00190BB5">
            <w:pPr>
              <w:rPr>
                <w:noProof/>
                <w:sz w:val="20"/>
              </w:rPr>
            </w:pPr>
          </w:p>
        </w:tc>
        <w:tc>
          <w:tcPr>
            <w:tcW w:w="1004" w:type="dxa"/>
            <w:vAlign w:val="center"/>
          </w:tcPr>
          <w:p w14:paraId="7EABE1B1" w14:textId="77777777" w:rsidR="007D7104" w:rsidRPr="006601BC" w:rsidRDefault="007D7104" w:rsidP="00190BB5">
            <w:pPr>
              <w:rPr>
                <w:noProof/>
                <w:sz w:val="20"/>
              </w:rPr>
            </w:pPr>
          </w:p>
        </w:tc>
        <w:tc>
          <w:tcPr>
            <w:tcW w:w="990" w:type="dxa"/>
            <w:vAlign w:val="center"/>
          </w:tcPr>
          <w:p w14:paraId="22FE4C0C" w14:textId="77777777" w:rsidR="007D7104" w:rsidRPr="006601BC" w:rsidRDefault="007D7104" w:rsidP="00190BB5">
            <w:pPr>
              <w:rPr>
                <w:noProof/>
                <w:sz w:val="20"/>
              </w:rPr>
            </w:pPr>
          </w:p>
        </w:tc>
        <w:tc>
          <w:tcPr>
            <w:tcW w:w="990" w:type="dxa"/>
            <w:vAlign w:val="center"/>
          </w:tcPr>
          <w:p w14:paraId="10B82EDF" w14:textId="77777777" w:rsidR="007D7104" w:rsidRPr="006601BC" w:rsidRDefault="007D7104" w:rsidP="00190BB5">
            <w:pPr>
              <w:rPr>
                <w:b/>
                <w:noProof/>
                <w:sz w:val="20"/>
              </w:rPr>
            </w:pPr>
          </w:p>
        </w:tc>
        <w:tc>
          <w:tcPr>
            <w:tcW w:w="1033" w:type="dxa"/>
          </w:tcPr>
          <w:p w14:paraId="04EAD192" w14:textId="77777777" w:rsidR="007D7104" w:rsidRPr="006601BC" w:rsidRDefault="007D7104" w:rsidP="00190BB5">
            <w:pPr>
              <w:rPr>
                <w:b/>
                <w:noProof/>
                <w:sz w:val="20"/>
              </w:rPr>
            </w:pPr>
          </w:p>
        </w:tc>
        <w:tc>
          <w:tcPr>
            <w:tcW w:w="1127" w:type="dxa"/>
            <w:vAlign w:val="center"/>
          </w:tcPr>
          <w:p w14:paraId="3F767620" w14:textId="77777777" w:rsidR="007D7104" w:rsidRPr="006601BC" w:rsidRDefault="007D7104" w:rsidP="00190BB5">
            <w:pPr>
              <w:rPr>
                <w:b/>
                <w:noProof/>
                <w:sz w:val="20"/>
              </w:rPr>
            </w:pPr>
          </w:p>
        </w:tc>
      </w:tr>
      <w:tr w:rsidR="007D7104" w:rsidRPr="006601BC" w14:paraId="290D8D26" w14:textId="77777777" w:rsidTr="00190BB5">
        <w:trPr>
          <w:trHeight w:val="277"/>
        </w:trPr>
        <w:tc>
          <w:tcPr>
            <w:tcW w:w="3780" w:type="dxa"/>
            <w:vMerge w:val="restart"/>
            <w:vAlign w:val="center"/>
          </w:tcPr>
          <w:p w14:paraId="632BD222" w14:textId="77777777" w:rsidR="007D7104" w:rsidRPr="006601BC" w:rsidRDefault="007D7104" w:rsidP="00190BB5">
            <w:pPr>
              <w:rPr>
                <w:noProof/>
              </w:rPr>
            </w:pPr>
            <w:r w:rsidRPr="006601BC">
              <w:rPr>
                <w:noProof/>
                <w:sz w:val="20"/>
              </w:rPr>
              <w:t>06 07 01 – Szükséghelyzeti Támogatási Eszköz</w:t>
            </w:r>
          </w:p>
        </w:tc>
        <w:tc>
          <w:tcPr>
            <w:tcW w:w="1260" w:type="dxa"/>
            <w:vAlign w:val="center"/>
          </w:tcPr>
          <w:p w14:paraId="2329445C" w14:textId="77777777" w:rsidR="007D7104" w:rsidRPr="006601BC" w:rsidRDefault="007D7104" w:rsidP="00190BB5">
            <w:pPr>
              <w:spacing w:before="20" w:after="20"/>
              <w:rPr>
                <w:noProof/>
                <w:sz w:val="18"/>
              </w:rPr>
            </w:pPr>
            <w:r w:rsidRPr="006601BC">
              <w:rPr>
                <w:noProof/>
                <w:sz w:val="18"/>
              </w:rPr>
              <w:t>Kötelezettségvállalási előirányzatok</w:t>
            </w:r>
          </w:p>
        </w:tc>
        <w:tc>
          <w:tcPr>
            <w:tcW w:w="540" w:type="dxa"/>
            <w:vAlign w:val="center"/>
          </w:tcPr>
          <w:p w14:paraId="01304761" w14:textId="77777777" w:rsidR="007D7104" w:rsidRPr="006601BC" w:rsidRDefault="007D7104" w:rsidP="00190BB5">
            <w:pPr>
              <w:spacing w:before="20" w:after="20"/>
              <w:jc w:val="center"/>
              <w:rPr>
                <w:noProof/>
                <w:sz w:val="14"/>
              </w:rPr>
            </w:pPr>
            <w:r w:rsidRPr="006601BC">
              <w:rPr>
                <w:noProof/>
                <w:sz w:val="14"/>
              </w:rPr>
              <w:t>(1)</w:t>
            </w:r>
          </w:p>
        </w:tc>
        <w:tc>
          <w:tcPr>
            <w:tcW w:w="990" w:type="dxa"/>
            <w:vAlign w:val="center"/>
          </w:tcPr>
          <w:p w14:paraId="342F126E" w14:textId="77777777" w:rsidR="007D7104" w:rsidRPr="006601BC" w:rsidRDefault="007D7104" w:rsidP="00190BB5">
            <w:pPr>
              <w:spacing w:before="20" w:after="20"/>
              <w:jc w:val="right"/>
              <w:rPr>
                <w:noProof/>
                <w:sz w:val="20"/>
              </w:rPr>
            </w:pPr>
          </w:p>
        </w:tc>
        <w:tc>
          <w:tcPr>
            <w:tcW w:w="990" w:type="dxa"/>
            <w:vAlign w:val="center"/>
          </w:tcPr>
          <w:p w14:paraId="0CE2D6AA" w14:textId="77777777" w:rsidR="007D7104" w:rsidRPr="006601BC" w:rsidRDefault="007D7104" w:rsidP="00190BB5">
            <w:pPr>
              <w:spacing w:before="20" w:after="20"/>
              <w:jc w:val="center"/>
              <w:rPr>
                <w:noProof/>
                <w:sz w:val="20"/>
              </w:rPr>
            </w:pPr>
            <w:r w:rsidRPr="006601BC">
              <w:rPr>
                <w:noProof/>
                <w:sz w:val="20"/>
              </w:rPr>
              <w:t>p.m.</w:t>
            </w:r>
          </w:p>
        </w:tc>
        <w:tc>
          <w:tcPr>
            <w:tcW w:w="990" w:type="dxa"/>
            <w:vAlign w:val="center"/>
          </w:tcPr>
          <w:p w14:paraId="7551E86C" w14:textId="77777777" w:rsidR="007D7104" w:rsidRPr="006601BC" w:rsidRDefault="007D7104" w:rsidP="00190BB5">
            <w:pPr>
              <w:spacing w:before="20" w:after="20"/>
              <w:jc w:val="center"/>
              <w:rPr>
                <w:noProof/>
                <w:sz w:val="20"/>
              </w:rPr>
            </w:pPr>
            <w:r w:rsidRPr="006601BC">
              <w:rPr>
                <w:noProof/>
                <w:sz w:val="20"/>
              </w:rPr>
              <w:t>p.m.</w:t>
            </w:r>
          </w:p>
        </w:tc>
        <w:tc>
          <w:tcPr>
            <w:tcW w:w="976" w:type="dxa"/>
            <w:vAlign w:val="center"/>
          </w:tcPr>
          <w:p w14:paraId="624E6351" w14:textId="77777777" w:rsidR="007D7104" w:rsidRPr="006601BC" w:rsidRDefault="007D7104" w:rsidP="00190BB5">
            <w:pPr>
              <w:spacing w:before="20" w:after="20"/>
              <w:jc w:val="center"/>
              <w:rPr>
                <w:noProof/>
                <w:sz w:val="20"/>
              </w:rPr>
            </w:pPr>
            <w:r w:rsidRPr="006601BC">
              <w:rPr>
                <w:noProof/>
                <w:sz w:val="20"/>
              </w:rPr>
              <w:t>p.m.</w:t>
            </w:r>
          </w:p>
        </w:tc>
        <w:tc>
          <w:tcPr>
            <w:tcW w:w="1004" w:type="dxa"/>
            <w:vAlign w:val="center"/>
          </w:tcPr>
          <w:p w14:paraId="74450831" w14:textId="77777777" w:rsidR="007D7104" w:rsidRPr="006601BC" w:rsidRDefault="007D7104" w:rsidP="00190BB5">
            <w:pPr>
              <w:spacing w:before="20" w:after="20"/>
              <w:jc w:val="center"/>
              <w:rPr>
                <w:noProof/>
                <w:sz w:val="20"/>
              </w:rPr>
            </w:pPr>
            <w:r w:rsidRPr="006601BC">
              <w:rPr>
                <w:noProof/>
                <w:sz w:val="20"/>
              </w:rPr>
              <w:t>p.m.</w:t>
            </w:r>
          </w:p>
        </w:tc>
        <w:tc>
          <w:tcPr>
            <w:tcW w:w="990" w:type="dxa"/>
            <w:vAlign w:val="center"/>
          </w:tcPr>
          <w:p w14:paraId="175843FA" w14:textId="77777777" w:rsidR="007D7104" w:rsidRPr="006601BC" w:rsidRDefault="007D7104" w:rsidP="00190BB5">
            <w:pPr>
              <w:spacing w:before="20" w:after="20"/>
              <w:jc w:val="center"/>
              <w:rPr>
                <w:noProof/>
                <w:sz w:val="20"/>
              </w:rPr>
            </w:pPr>
            <w:r w:rsidRPr="006601BC">
              <w:rPr>
                <w:noProof/>
                <w:sz w:val="20"/>
              </w:rPr>
              <w:t>p.m.</w:t>
            </w:r>
          </w:p>
        </w:tc>
        <w:tc>
          <w:tcPr>
            <w:tcW w:w="990" w:type="dxa"/>
            <w:vAlign w:val="center"/>
          </w:tcPr>
          <w:p w14:paraId="3034912F" w14:textId="77777777" w:rsidR="007D7104" w:rsidRPr="006601BC" w:rsidRDefault="007D7104" w:rsidP="00190BB5">
            <w:pPr>
              <w:spacing w:before="20" w:after="20"/>
              <w:jc w:val="center"/>
              <w:rPr>
                <w:noProof/>
                <w:sz w:val="20"/>
              </w:rPr>
            </w:pPr>
            <w:r w:rsidRPr="006601BC">
              <w:rPr>
                <w:noProof/>
                <w:sz w:val="20"/>
              </w:rPr>
              <w:t>p.m.</w:t>
            </w:r>
          </w:p>
        </w:tc>
        <w:tc>
          <w:tcPr>
            <w:tcW w:w="1033" w:type="dxa"/>
            <w:vAlign w:val="center"/>
          </w:tcPr>
          <w:p w14:paraId="6BB276DD" w14:textId="77777777" w:rsidR="007D7104" w:rsidRPr="006601BC" w:rsidRDefault="007D7104" w:rsidP="00190BB5">
            <w:pPr>
              <w:spacing w:before="20" w:after="20"/>
              <w:jc w:val="center"/>
              <w:rPr>
                <w:b/>
                <w:noProof/>
                <w:sz w:val="20"/>
              </w:rPr>
            </w:pPr>
          </w:p>
        </w:tc>
        <w:tc>
          <w:tcPr>
            <w:tcW w:w="1127" w:type="dxa"/>
            <w:vAlign w:val="center"/>
          </w:tcPr>
          <w:p w14:paraId="3886DE5E" w14:textId="77777777" w:rsidR="007D7104" w:rsidRPr="006601BC" w:rsidRDefault="007D7104" w:rsidP="00190BB5">
            <w:pPr>
              <w:spacing w:before="0" w:after="0"/>
              <w:jc w:val="center"/>
              <w:rPr>
                <w:b/>
                <w:bCs/>
                <w:noProof/>
                <w:color w:val="000000"/>
                <w:sz w:val="20"/>
                <w:szCs w:val="20"/>
              </w:rPr>
            </w:pPr>
            <w:r w:rsidRPr="006601BC">
              <w:rPr>
                <w:b/>
                <w:bCs/>
                <w:noProof/>
                <w:color w:val="000000"/>
                <w:sz w:val="20"/>
                <w:szCs w:val="20"/>
              </w:rPr>
              <w:t>p.m.</w:t>
            </w:r>
          </w:p>
        </w:tc>
      </w:tr>
      <w:tr w:rsidR="007D7104" w:rsidRPr="006601BC" w14:paraId="2A707BF1" w14:textId="77777777" w:rsidTr="00190BB5">
        <w:tc>
          <w:tcPr>
            <w:tcW w:w="3780" w:type="dxa"/>
            <w:vMerge/>
          </w:tcPr>
          <w:p w14:paraId="07ECABD9" w14:textId="77777777" w:rsidR="007D7104" w:rsidRPr="006601BC" w:rsidRDefault="007D7104" w:rsidP="00190BB5">
            <w:pPr>
              <w:jc w:val="center"/>
              <w:rPr>
                <w:noProof/>
                <w:sz w:val="20"/>
              </w:rPr>
            </w:pPr>
          </w:p>
        </w:tc>
        <w:tc>
          <w:tcPr>
            <w:tcW w:w="1260" w:type="dxa"/>
            <w:vAlign w:val="center"/>
          </w:tcPr>
          <w:p w14:paraId="1D894A6C" w14:textId="77777777" w:rsidR="007D7104" w:rsidRPr="006601BC" w:rsidRDefault="007D7104" w:rsidP="00190BB5">
            <w:pPr>
              <w:spacing w:before="20" w:after="20"/>
              <w:rPr>
                <w:noProof/>
                <w:sz w:val="18"/>
              </w:rPr>
            </w:pPr>
            <w:r w:rsidRPr="006601BC">
              <w:rPr>
                <w:noProof/>
                <w:sz w:val="18"/>
              </w:rPr>
              <w:t>Kifizetési előirányzatok</w:t>
            </w:r>
          </w:p>
        </w:tc>
        <w:tc>
          <w:tcPr>
            <w:tcW w:w="540" w:type="dxa"/>
            <w:vAlign w:val="center"/>
          </w:tcPr>
          <w:p w14:paraId="36F8D99E" w14:textId="77777777" w:rsidR="007D7104" w:rsidRPr="006601BC" w:rsidRDefault="007D7104" w:rsidP="00190BB5">
            <w:pPr>
              <w:spacing w:before="20" w:after="20"/>
              <w:jc w:val="center"/>
              <w:rPr>
                <w:noProof/>
                <w:sz w:val="14"/>
              </w:rPr>
            </w:pPr>
            <w:r w:rsidRPr="006601BC">
              <w:rPr>
                <w:noProof/>
                <w:sz w:val="14"/>
              </w:rPr>
              <w:t>(2)</w:t>
            </w:r>
          </w:p>
        </w:tc>
        <w:tc>
          <w:tcPr>
            <w:tcW w:w="990" w:type="dxa"/>
            <w:vAlign w:val="center"/>
          </w:tcPr>
          <w:p w14:paraId="03C147B6" w14:textId="77777777" w:rsidR="007D7104" w:rsidRPr="006601BC" w:rsidRDefault="007D7104" w:rsidP="00190BB5">
            <w:pPr>
              <w:spacing w:before="20" w:after="20"/>
              <w:jc w:val="right"/>
              <w:rPr>
                <w:noProof/>
                <w:sz w:val="20"/>
              </w:rPr>
            </w:pPr>
          </w:p>
        </w:tc>
        <w:tc>
          <w:tcPr>
            <w:tcW w:w="990" w:type="dxa"/>
            <w:vAlign w:val="center"/>
          </w:tcPr>
          <w:p w14:paraId="28E8C545" w14:textId="77777777" w:rsidR="007D7104" w:rsidRPr="006601BC" w:rsidRDefault="007D7104" w:rsidP="00190BB5">
            <w:pPr>
              <w:spacing w:before="20" w:after="20"/>
              <w:jc w:val="center"/>
              <w:rPr>
                <w:noProof/>
                <w:sz w:val="20"/>
              </w:rPr>
            </w:pPr>
            <w:r w:rsidRPr="006601BC">
              <w:rPr>
                <w:noProof/>
                <w:sz w:val="20"/>
              </w:rPr>
              <w:t>p.m.</w:t>
            </w:r>
          </w:p>
        </w:tc>
        <w:tc>
          <w:tcPr>
            <w:tcW w:w="990" w:type="dxa"/>
            <w:vAlign w:val="center"/>
          </w:tcPr>
          <w:p w14:paraId="04E4ABBB" w14:textId="77777777" w:rsidR="007D7104" w:rsidRPr="006601BC" w:rsidRDefault="007D7104" w:rsidP="00190BB5">
            <w:pPr>
              <w:spacing w:before="20" w:after="20"/>
              <w:jc w:val="center"/>
              <w:rPr>
                <w:noProof/>
                <w:sz w:val="20"/>
              </w:rPr>
            </w:pPr>
            <w:r w:rsidRPr="006601BC">
              <w:rPr>
                <w:noProof/>
                <w:sz w:val="20"/>
              </w:rPr>
              <w:t>p.m.</w:t>
            </w:r>
          </w:p>
        </w:tc>
        <w:tc>
          <w:tcPr>
            <w:tcW w:w="976" w:type="dxa"/>
            <w:vAlign w:val="center"/>
          </w:tcPr>
          <w:p w14:paraId="539CD93C" w14:textId="77777777" w:rsidR="007D7104" w:rsidRPr="006601BC" w:rsidRDefault="007D7104" w:rsidP="00190BB5">
            <w:pPr>
              <w:spacing w:before="20" w:after="20"/>
              <w:jc w:val="center"/>
              <w:rPr>
                <w:noProof/>
                <w:sz w:val="20"/>
              </w:rPr>
            </w:pPr>
            <w:r w:rsidRPr="006601BC">
              <w:rPr>
                <w:noProof/>
                <w:sz w:val="20"/>
              </w:rPr>
              <w:t>p.m.</w:t>
            </w:r>
          </w:p>
        </w:tc>
        <w:tc>
          <w:tcPr>
            <w:tcW w:w="1004" w:type="dxa"/>
            <w:vAlign w:val="center"/>
          </w:tcPr>
          <w:p w14:paraId="4346A465" w14:textId="77777777" w:rsidR="007D7104" w:rsidRPr="006601BC" w:rsidRDefault="007D7104" w:rsidP="00190BB5">
            <w:pPr>
              <w:spacing w:before="20" w:after="20"/>
              <w:jc w:val="center"/>
              <w:rPr>
                <w:noProof/>
                <w:sz w:val="20"/>
              </w:rPr>
            </w:pPr>
            <w:r w:rsidRPr="006601BC">
              <w:rPr>
                <w:noProof/>
                <w:sz w:val="20"/>
              </w:rPr>
              <w:t>p.m.</w:t>
            </w:r>
          </w:p>
        </w:tc>
        <w:tc>
          <w:tcPr>
            <w:tcW w:w="990" w:type="dxa"/>
            <w:vAlign w:val="center"/>
          </w:tcPr>
          <w:p w14:paraId="081D891E" w14:textId="77777777" w:rsidR="007D7104" w:rsidRPr="006601BC" w:rsidRDefault="007D7104" w:rsidP="00190BB5">
            <w:pPr>
              <w:spacing w:before="20" w:after="20"/>
              <w:jc w:val="center"/>
              <w:rPr>
                <w:noProof/>
                <w:sz w:val="20"/>
              </w:rPr>
            </w:pPr>
            <w:r w:rsidRPr="006601BC">
              <w:rPr>
                <w:noProof/>
                <w:sz w:val="20"/>
              </w:rPr>
              <w:t>p.m.</w:t>
            </w:r>
          </w:p>
        </w:tc>
        <w:tc>
          <w:tcPr>
            <w:tcW w:w="990" w:type="dxa"/>
            <w:vAlign w:val="center"/>
          </w:tcPr>
          <w:p w14:paraId="7021EFE1" w14:textId="77777777" w:rsidR="007D7104" w:rsidRPr="006601BC" w:rsidRDefault="007D7104" w:rsidP="00190BB5">
            <w:pPr>
              <w:spacing w:before="20" w:after="20"/>
              <w:jc w:val="center"/>
              <w:rPr>
                <w:b/>
                <w:noProof/>
                <w:sz w:val="20"/>
              </w:rPr>
            </w:pPr>
            <w:r w:rsidRPr="006601BC">
              <w:rPr>
                <w:noProof/>
                <w:sz w:val="20"/>
              </w:rPr>
              <w:t>p.m.</w:t>
            </w:r>
          </w:p>
        </w:tc>
        <w:tc>
          <w:tcPr>
            <w:tcW w:w="1033" w:type="dxa"/>
            <w:vAlign w:val="center"/>
          </w:tcPr>
          <w:p w14:paraId="60FC7C7A" w14:textId="77777777" w:rsidR="007D7104" w:rsidRPr="006601BC" w:rsidRDefault="007D7104" w:rsidP="00190BB5">
            <w:pPr>
              <w:spacing w:before="20" w:after="20"/>
              <w:jc w:val="center"/>
              <w:rPr>
                <w:b/>
                <w:noProof/>
                <w:sz w:val="20"/>
              </w:rPr>
            </w:pPr>
          </w:p>
        </w:tc>
        <w:tc>
          <w:tcPr>
            <w:tcW w:w="1127" w:type="dxa"/>
            <w:vAlign w:val="center"/>
          </w:tcPr>
          <w:p w14:paraId="51404A55" w14:textId="77777777" w:rsidR="007D7104" w:rsidRPr="006601BC" w:rsidRDefault="007D7104" w:rsidP="00190BB5">
            <w:pPr>
              <w:spacing w:before="20" w:after="20"/>
              <w:jc w:val="center"/>
              <w:rPr>
                <w:b/>
                <w:noProof/>
                <w:sz w:val="20"/>
              </w:rPr>
            </w:pPr>
            <w:r w:rsidRPr="006601BC">
              <w:rPr>
                <w:b/>
                <w:bCs/>
                <w:noProof/>
                <w:color w:val="000000"/>
                <w:sz w:val="20"/>
                <w:szCs w:val="20"/>
              </w:rPr>
              <w:t>p.m.</w:t>
            </w:r>
          </w:p>
        </w:tc>
      </w:tr>
      <w:tr w:rsidR="007D7104" w:rsidRPr="006601BC" w14:paraId="4E47D5D4" w14:textId="77777777" w:rsidTr="00190BB5">
        <w:tc>
          <w:tcPr>
            <w:tcW w:w="3780" w:type="dxa"/>
          </w:tcPr>
          <w:p w14:paraId="384F96F5" w14:textId="77777777" w:rsidR="007D7104" w:rsidRPr="006601BC" w:rsidRDefault="007D7104" w:rsidP="00190BB5">
            <w:pPr>
              <w:jc w:val="center"/>
              <w:rPr>
                <w:noProof/>
                <w:sz w:val="20"/>
              </w:rPr>
            </w:pPr>
            <w:r w:rsidRPr="006601BC">
              <w:rPr>
                <w:noProof/>
                <w:sz w:val="20"/>
              </w:rPr>
              <w:t>Bizonyos egyedi programok keretéből finanszírozott igazgatási jellegű előirányzatok</w:t>
            </w:r>
          </w:p>
        </w:tc>
        <w:tc>
          <w:tcPr>
            <w:tcW w:w="1260" w:type="dxa"/>
            <w:vAlign w:val="center"/>
          </w:tcPr>
          <w:p w14:paraId="605EF6A4" w14:textId="77777777" w:rsidR="007D7104" w:rsidRPr="006601BC" w:rsidRDefault="007D7104" w:rsidP="00190BB5">
            <w:pPr>
              <w:spacing w:before="20" w:after="20"/>
              <w:rPr>
                <w:noProof/>
                <w:sz w:val="18"/>
              </w:rPr>
            </w:pPr>
          </w:p>
        </w:tc>
        <w:tc>
          <w:tcPr>
            <w:tcW w:w="540" w:type="dxa"/>
            <w:vAlign w:val="center"/>
          </w:tcPr>
          <w:p w14:paraId="3628CFEA" w14:textId="77777777" w:rsidR="007D7104" w:rsidRPr="006601BC" w:rsidRDefault="007D7104" w:rsidP="00190BB5">
            <w:pPr>
              <w:spacing w:before="20" w:after="20"/>
              <w:jc w:val="center"/>
              <w:rPr>
                <w:noProof/>
                <w:sz w:val="14"/>
              </w:rPr>
            </w:pPr>
          </w:p>
        </w:tc>
        <w:tc>
          <w:tcPr>
            <w:tcW w:w="990" w:type="dxa"/>
            <w:vAlign w:val="center"/>
          </w:tcPr>
          <w:p w14:paraId="56BD11C8" w14:textId="77777777" w:rsidR="007D7104" w:rsidRPr="006601BC" w:rsidRDefault="007D7104" w:rsidP="00190BB5">
            <w:pPr>
              <w:spacing w:before="20" w:after="20"/>
              <w:jc w:val="right"/>
              <w:rPr>
                <w:noProof/>
                <w:sz w:val="20"/>
              </w:rPr>
            </w:pPr>
          </w:p>
        </w:tc>
        <w:tc>
          <w:tcPr>
            <w:tcW w:w="990" w:type="dxa"/>
            <w:vAlign w:val="center"/>
          </w:tcPr>
          <w:p w14:paraId="2E601454" w14:textId="77777777" w:rsidR="007D7104" w:rsidRPr="006601BC" w:rsidRDefault="007D7104" w:rsidP="00190BB5">
            <w:pPr>
              <w:spacing w:before="20" w:after="20"/>
              <w:jc w:val="center"/>
              <w:rPr>
                <w:noProof/>
                <w:sz w:val="20"/>
              </w:rPr>
            </w:pPr>
          </w:p>
        </w:tc>
        <w:tc>
          <w:tcPr>
            <w:tcW w:w="990" w:type="dxa"/>
            <w:vAlign w:val="center"/>
          </w:tcPr>
          <w:p w14:paraId="36F898DB" w14:textId="77777777" w:rsidR="007D7104" w:rsidRPr="006601BC" w:rsidRDefault="007D7104" w:rsidP="00190BB5">
            <w:pPr>
              <w:spacing w:before="20" w:after="20"/>
              <w:jc w:val="center"/>
              <w:rPr>
                <w:noProof/>
                <w:sz w:val="20"/>
              </w:rPr>
            </w:pPr>
          </w:p>
        </w:tc>
        <w:tc>
          <w:tcPr>
            <w:tcW w:w="976" w:type="dxa"/>
            <w:vAlign w:val="center"/>
          </w:tcPr>
          <w:p w14:paraId="7A0CE831" w14:textId="77777777" w:rsidR="007D7104" w:rsidRPr="006601BC" w:rsidRDefault="007D7104" w:rsidP="00190BB5">
            <w:pPr>
              <w:spacing w:before="20" w:after="20"/>
              <w:jc w:val="center"/>
              <w:rPr>
                <w:noProof/>
                <w:sz w:val="20"/>
              </w:rPr>
            </w:pPr>
          </w:p>
        </w:tc>
        <w:tc>
          <w:tcPr>
            <w:tcW w:w="1004" w:type="dxa"/>
            <w:vAlign w:val="center"/>
          </w:tcPr>
          <w:p w14:paraId="5C348973" w14:textId="77777777" w:rsidR="007D7104" w:rsidRPr="006601BC" w:rsidRDefault="007D7104" w:rsidP="00190BB5">
            <w:pPr>
              <w:spacing w:before="20" w:after="20"/>
              <w:jc w:val="center"/>
              <w:rPr>
                <w:noProof/>
                <w:sz w:val="20"/>
              </w:rPr>
            </w:pPr>
          </w:p>
        </w:tc>
        <w:tc>
          <w:tcPr>
            <w:tcW w:w="990" w:type="dxa"/>
            <w:vAlign w:val="center"/>
          </w:tcPr>
          <w:p w14:paraId="6689DF1C" w14:textId="77777777" w:rsidR="007D7104" w:rsidRPr="006601BC" w:rsidRDefault="007D7104" w:rsidP="00190BB5">
            <w:pPr>
              <w:spacing w:before="20" w:after="20"/>
              <w:jc w:val="center"/>
              <w:rPr>
                <w:noProof/>
                <w:sz w:val="20"/>
              </w:rPr>
            </w:pPr>
          </w:p>
        </w:tc>
        <w:tc>
          <w:tcPr>
            <w:tcW w:w="990" w:type="dxa"/>
            <w:vAlign w:val="center"/>
          </w:tcPr>
          <w:p w14:paraId="5241294F" w14:textId="77777777" w:rsidR="007D7104" w:rsidRPr="006601BC" w:rsidRDefault="007D7104" w:rsidP="00190BB5">
            <w:pPr>
              <w:spacing w:before="20" w:after="20"/>
              <w:jc w:val="center"/>
              <w:rPr>
                <w:noProof/>
                <w:sz w:val="20"/>
              </w:rPr>
            </w:pPr>
          </w:p>
        </w:tc>
        <w:tc>
          <w:tcPr>
            <w:tcW w:w="1033" w:type="dxa"/>
            <w:vAlign w:val="center"/>
          </w:tcPr>
          <w:p w14:paraId="28DAAA5F" w14:textId="77777777" w:rsidR="007D7104" w:rsidRPr="006601BC" w:rsidRDefault="007D7104" w:rsidP="00190BB5">
            <w:pPr>
              <w:spacing w:before="20" w:after="20"/>
              <w:jc w:val="center"/>
              <w:rPr>
                <w:b/>
                <w:noProof/>
                <w:sz w:val="20"/>
              </w:rPr>
            </w:pPr>
          </w:p>
        </w:tc>
        <w:tc>
          <w:tcPr>
            <w:tcW w:w="1127" w:type="dxa"/>
            <w:vAlign w:val="center"/>
          </w:tcPr>
          <w:p w14:paraId="67C6BCDA" w14:textId="77777777" w:rsidR="007D7104" w:rsidRPr="006601BC" w:rsidRDefault="007D7104" w:rsidP="00190BB5">
            <w:pPr>
              <w:spacing w:before="20" w:after="20"/>
              <w:jc w:val="center"/>
              <w:rPr>
                <w:b/>
                <w:bCs/>
                <w:noProof/>
                <w:color w:val="000000"/>
                <w:sz w:val="20"/>
                <w:szCs w:val="20"/>
              </w:rPr>
            </w:pPr>
          </w:p>
        </w:tc>
      </w:tr>
      <w:tr w:rsidR="007D7104" w:rsidRPr="006601BC" w14:paraId="091B7E22" w14:textId="77777777" w:rsidTr="00190BB5">
        <w:trPr>
          <w:trHeight w:val="319"/>
        </w:trPr>
        <w:tc>
          <w:tcPr>
            <w:tcW w:w="3780" w:type="dxa"/>
            <w:vAlign w:val="center"/>
          </w:tcPr>
          <w:p w14:paraId="34E30FAA" w14:textId="77777777" w:rsidR="007D7104" w:rsidRPr="006601BC" w:rsidRDefault="007D7104" w:rsidP="00190BB5">
            <w:pPr>
              <w:spacing w:before="60" w:after="60"/>
              <w:rPr>
                <w:noProof/>
              </w:rPr>
            </w:pPr>
            <w:r w:rsidRPr="006601BC">
              <w:rPr>
                <w:rFonts w:ascii="Tahoma" w:hAnsi="Tahoma"/>
                <w:noProof/>
                <w:color w:val="000000"/>
                <w:sz w:val="16"/>
                <w:szCs w:val="16"/>
              </w:rPr>
              <w:t>06 01 03 – támogatás</w:t>
            </w:r>
          </w:p>
        </w:tc>
        <w:tc>
          <w:tcPr>
            <w:tcW w:w="1260" w:type="dxa"/>
            <w:vAlign w:val="center"/>
          </w:tcPr>
          <w:p w14:paraId="05DCCAF2" w14:textId="77777777" w:rsidR="007D7104" w:rsidRPr="006601BC" w:rsidRDefault="007D7104" w:rsidP="00190BB5">
            <w:pPr>
              <w:spacing w:before="40" w:after="40"/>
              <w:jc w:val="right"/>
              <w:rPr>
                <w:noProof/>
                <w:sz w:val="18"/>
              </w:rPr>
            </w:pPr>
            <w:r w:rsidRPr="006601BC">
              <w:rPr>
                <w:noProof/>
                <w:sz w:val="18"/>
              </w:rPr>
              <w:t>Kötelezettségvállalási előirányzatok = kifizetési előirányzatok</w:t>
            </w:r>
          </w:p>
        </w:tc>
        <w:tc>
          <w:tcPr>
            <w:tcW w:w="540" w:type="dxa"/>
            <w:vAlign w:val="center"/>
          </w:tcPr>
          <w:p w14:paraId="026265C2" w14:textId="77777777" w:rsidR="007D7104" w:rsidRPr="006601BC" w:rsidRDefault="007D7104" w:rsidP="00190BB5">
            <w:pPr>
              <w:spacing w:before="40" w:after="40"/>
              <w:jc w:val="center"/>
              <w:rPr>
                <w:noProof/>
                <w:sz w:val="14"/>
              </w:rPr>
            </w:pPr>
            <w:r w:rsidRPr="006601BC">
              <w:rPr>
                <w:noProof/>
                <w:sz w:val="14"/>
              </w:rPr>
              <w:t>(3)</w:t>
            </w:r>
          </w:p>
        </w:tc>
        <w:tc>
          <w:tcPr>
            <w:tcW w:w="990" w:type="dxa"/>
            <w:vAlign w:val="center"/>
          </w:tcPr>
          <w:p w14:paraId="13E66DAA" w14:textId="77777777" w:rsidR="007D7104" w:rsidRPr="006601BC" w:rsidRDefault="007D7104" w:rsidP="00190BB5">
            <w:pPr>
              <w:spacing w:before="40" w:after="40"/>
              <w:jc w:val="right"/>
              <w:rPr>
                <w:b/>
                <w:noProof/>
                <w:sz w:val="20"/>
              </w:rPr>
            </w:pPr>
          </w:p>
        </w:tc>
        <w:tc>
          <w:tcPr>
            <w:tcW w:w="990" w:type="dxa"/>
            <w:vAlign w:val="center"/>
          </w:tcPr>
          <w:p w14:paraId="0A09D05B" w14:textId="77777777" w:rsidR="007D7104" w:rsidRPr="006601BC" w:rsidRDefault="007D7104" w:rsidP="00190BB5">
            <w:pPr>
              <w:spacing w:before="40" w:after="40"/>
              <w:jc w:val="center"/>
              <w:rPr>
                <w:b/>
                <w:noProof/>
                <w:sz w:val="20"/>
              </w:rPr>
            </w:pPr>
            <w:r w:rsidRPr="006601BC">
              <w:rPr>
                <w:noProof/>
                <w:sz w:val="20"/>
              </w:rPr>
              <w:t>p.m.</w:t>
            </w:r>
          </w:p>
        </w:tc>
        <w:tc>
          <w:tcPr>
            <w:tcW w:w="990" w:type="dxa"/>
            <w:vAlign w:val="center"/>
          </w:tcPr>
          <w:p w14:paraId="358AE303" w14:textId="77777777" w:rsidR="007D7104" w:rsidRPr="006601BC" w:rsidRDefault="007D7104" w:rsidP="00190BB5">
            <w:pPr>
              <w:spacing w:before="40" w:after="40"/>
              <w:jc w:val="center"/>
              <w:rPr>
                <w:b/>
                <w:noProof/>
                <w:sz w:val="20"/>
              </w:rPr>
            </w:pPr>
            <w:r w:rsidRPr="006601BC">
              <w:rPr>
                <w:noProof/>
                <w:sz w:val="20"/>
              </w:rPr>
              <w:t>p.m.</w:t>
            </w:r>
          </w:p>
        </w:tc>
        <w:tc>
          <w:tcPr>
            <w:tcW w:w="976" w:type="dxa"/>
            <w:vAlign w:val="center"/>
          </w:tcPr>
          <w:p w14:paraId="2C33CD85" w14:textId="77777777" w:rsidR="007D7104" w:rsidRPr="006601BC" w:rsidRDefault="007D7104" w:rsidP="00190BB5">
            <w:pPr>
              <w:spacing w:before="40" w:after="40"/>
              <w:jc w:val="center"/>
              <w:rPr>
                <w:b/>
                <w:noProof/>
                <w:sz w:val="20"/>
              </w:rPr>
            </w:pPr>
            <w:r w:rsidRPr="006601BC">
              <w:rPr>
                <w:noProof/>
                <w:sz w:val="20"/>
              </w:rPr>
              <w:t>p.m.</w:t>
            </w:r>
          </w:p>
        </w:tc>
        <w:tc>
          <w:tcPr>
            <w:tcW w:w="1004" w:type="dxa"/>
            <w:vAlign w:val="center"/>
          </w:tcPr>
          <w:p w14:paraId="5A604294" w14:textId="77777777" w:rsidR="007D7104" w:rsidRPr="006601BC" w:rsidRDefault="007D7104" w:rsidP="00190BB5">
            <w:pPr>
              <w:spacing w:before="40" w:after="40"/>
              <w:jc w:val="center"/>
              <w:rPr>
                <w:b/>
                <w:noProof/>
                <w:sz w:val="20"/>
              </w:rPr>
            </w:pPr>
            <w:r w:rsidRPr="006601BC">
              <w:rPr>
                <w:noProof/>
                <w:sz w:val="20"/>
              </w:rPr>
              <w:t>p.m.</w:t>
            </w:r>
          </w:p>
        </w:tc>
        <w:tc>
          <w:tcPr>
            <w:tcW w:w="990" w:type="dxa"/>
            <w:vAlign w:val="center"/>
          </w:tcPr>
          <w:p w14:paraId="39E70ABF" w14:textId="77777777" w:rsidR="007D7104" w:rsidRPr="006601BC" w:rsidRDefault="007D7104" w:rsidP="00190BB5">
            <w:pPr>
              <w:spacing w:before="40" w:after="40"/>
              <w:jc w:val="center"/>
              <w:rPr>
                <w:b/>
                <w:noProof/>
                <w:sz w:val="20"/>
              </w:rPr>
            </w:pPr>
            <w:r w:rsidRPr="006601BC">
              <w:rPr>
                <w:noProof/>
                <w:sz w:val="20"/>
              </w:rPr>
              <w:t>p.m.</w:t>
            </w:r>
          </w:p>
        </w:tc>
        <w:tc>
          <w:tcPr>
            <w:tcW w:w="990" w:type="dxa"/>
            <w:vAlign w:val="center"/>
          </w:tcPr>
          <w:p w14:paraId="6F941933" w14:textId="77777777" w:rsidR="007D7104" w:rsidRPr="006601BC" w:rsidRDefault="007D7104" w:rsidP="00190BB5">
            <w:pPr>
              <w:spacing w:before="40" w:after="40"/>
              <w:jc w:val="center"/>
              <w:rPr>
                <w:b/>
                <w:noProof/>
                <w:sz w:val="20"/>
              </w:rPr>
            </w:pPr>
            <w:r w:rsidRPr="006601BC">
              <w:rPr>
                <w:noProof/>
                <w:sz w:val="20"/>
              </w:rPr>
              <w:t>p.m.</w:t>
            </w:r>
          </w:p>
        </w:tc>
        <w:tc>
          <w:tcPr>
            <w:tcW w:w="1033" w:type="dxa"/>
            <w:vAlign w:val="center"/>
          </w:tcPr>
          <w:p w14:paraId="1F97B53C" w14:textId="77777777" w:rsidR="007D7104" w:rsidRPr="006601BC" w:rsidRDefault="007D7104" w:rsidP="00190BB5">
            <w:pPr>
              <w:spacing w:before="40" w:after="40"/>
              <w:jc w:val="center"/>
              <w:rPr>
                <w:b/>
                <w:noProof/>
                <w:sz w:val="20"/>
              </w:rPr>
            </w:pPr>
          </w:p>
        </w:tc>
        <w:tc>
          <w:tcPr>
            <w:tcW w:w="1127" w:type="dxa"/>
            <w:vAlign w:val="center"/>
          </w:tcPr>
          <w:p w14:paraId="1A109471" w14:textId="77777777" w:rsidR="007D7104" w:rsidRPr="006601BC" w:rsidRDefault="007D7104" w:rsidP="00190BB5">
            <w:pPr>
              <w:spacing w:before="40" w:after="40"/>
              <w:jc w:val="center"/>
              <w:rPr>
                <w:b/>
                <w:noProof/>
                <w:sz w:val="20"/>
              </w:rPr>
            </w:pPr>
            <w:r w:rsidRPr="006601BC">
              <w:rPr>
                <w:b/>
                <w:noProof/>
                <w:sz w:val="20"/>
              </w:rPr>
              <w:t>p.m.</w:t>
            </w:r>
          </w:p>
        </w:tc>
      </w:tr>
      <w:tr w:rsidR="007D7104" w:rsidRPr="006601BC" w14:paraId="7AA19A48" w14:textId="77777777" w:rsidTr="00190BB5">
        <w:tc>
          <w:tcPr>
            <w:tcW w:w="3780" w:type="dxa"/>
            <w:vMerge w:val="restart"/>
            <w:vAlign w:val="center"/>
          </w:tcPr>
          <w:p w14:paraId="7EC291F9" w14:textId="77777777" w:rsidR="007D7104" w:rsidRPr="006601BC" w:rsidRDefault="007D7104" w:rsidP="00190BB5">
            <w:pPr>
              <w:jc w:val="center"/>
              <w:rPr>
                <w:b/>
                <w:noProof/>
              </w:rPr>
            </w:pPr>
            <w:r w:rsidRPr="006601BC">
              <w:rPr>
                <w:b/>
                <w:noProof/>
                <w:sz w:val="22"/>
              </w:rPr>
              <w:t>A programkeretre szóló előirányzatok a költségvetési eljárásokból</w:t>
            </w:r>
            <w:r w:rsidRPr="006601BC">
              <w:rPr>
                <w:noProof/>
              </w:rPr>
              <w:t xml:space="preserve"> </w:t>
            </w:r>
            <w:r w:rsidRPr="006601BC">
              <w:rPr>
                <w:noProof/>
              </w:rPr>
              <w:br/>
            </w:r>
            <w:r w:rsidRPr="006601BC">
              <w:rPr>
                <w:b/>
                <w:noProof/>
                <w:sz w:val="22"/>
              </w:rPr>
              <w:t>ÖSSZESEN</w:t>
            </w:r>
          </w:p>
        </w:tc>
        <w:tc>
          <w:tcPr>
            <w:tcW w:w="1260" w:type="dxa"/>
            <w:vAlign w:val="center"/>
          </w:tcPr>
          <w:p w14:paraId="0967036F" w14:textId="77777777" w:rsidR="007D7104" w:rsidRPr="006601BC" w:rsidRDefault="007D7104" w:rsidP="00190BB5">
            <w:pPr>
              <w:rPr>
                <w:noProof/>
                <w:sz w:val="18"/>
              </w:rPr>
            </w:pPr>
            <w:r w:rsidRPr="006601BC">
              <w:rPr>
                <w:noProof/>
                <w:sz w:val="18"/>
              </w:rPr>
              <w:t>Kötelezettségvállalási előirányzatok</w:t>
            </w:r>
          </w:p>
        </w:tc>
        <w:tc>
          <w:tcPr>
            <w:tcW w:w="540" w:type="dxa"/>
            <w:vAlign w:val="center"/>
          </w:tcPr>
          <w:p w14:paraId="4FFB641C" w14:textId="77777777" w:rsidR="007D7104" w:rsidRPr="006601BC" w:rsidRDefault="007D7104" w:rsidP="00190BB5">
            <w:pPr>
              <w:jc w:val="center"/>
              <w:rPr>
                <w:noProof/>
                <w:sz w:val="14"/>
              </w:rPr>
            </w:pPr>
            <w:r w:rsidRPr="006601BC">
              <w:rPr>
                <w:noProof/>
                <w:sz w:val="14"/>
              </w:rPr>
              <w:t>=1+1a +3</w:t>
            </w:r>
          </w:p>
        </w:tc>
        <w:tc>
          <w:tcPr>
            <w:tcW w:w="990" w:type="dxa"/>
            <w:vAlign w:val="center"/>
          </w:tcPr>
          <w:p w14:paraId="7A3C5525" w14:textId="77777777" w:rsidR="007D7104" w:rsidRPr="006601BC" w:rsidRDefault="007D7104" w:rsidP="00190BB5">
            <w:pPr>
              <w:spacing w:before="20" w:after="20"/>
              <w:jc w:val="right"/>
              <w:rPr>
                <w:noProof/>
                <w:sz w:val="20"/>
              </w:rPr>
            </w:pPr>
          </w:p>
        </w:tc>
        <w:tc>
          <w:tcPr>
            <w:tcW w:w="990" w:type="dxa"/>
            <w:vAlign w:val="center"/>
          </w:tcPr>
          <w:p w14:paraId="779B5783" w14:textId="77777777" w:rsidR="007D7104" w:rsidRPr="006601BC" w:rsidRDefault="007D7104" w:rsidP="00190BB5">
            <w:pPr>
              <w:spacing w:before="20" w:after="20"/>
              <w:jc w:val="center"/>
              <w:rPr>
                <w:noProof/>
                <w:sz w:val="20"/>
              </w:rPr>
            </w:pPr>
            <w:r w:rsidRPr="006601BC">
              <w:rPr>
                <w:noProof/>
                <w:sz w:val="20"/>
              </w:rPr>
              <w:t>p.m.</w:t>
            </w:r>
          </w:p>
        </w:tc>
        <w:tc>
          <w:tcPr>
            <w:tcW w:w="990" w:type="dxa"/>
            <w:vAlign w:val="center"/>
          </w:tcPr>
          <w:p w14:paraId="1D792C29" w14:textId="77777777" w:rsidR="007D7104" w:rsidRPr="006601BC" w:rsidRDefault="007D7104" w:rsidP="00190BB5">
            <w:pPr>
              <w:spacing w:before="20" w:after="20"/>
              <w:jc w:val="center"/>
              <w:rPr>
                <w:noProof/>
                <w:sz w:val="20"/>
              </w:rPr>
            </w:pPr>
            <w:r w:rsidRPr="006601BC">
              <w:rPr>
                <w:noProof/>
                <w:sz w:val="20"/>
              </w:rPr>
              <w:t>p.m.</w:t>
            </w:r>
          </w:p>
        </w:tc>
        <w:tc>
          <w:tcPr>
            <w:tcW w:w="976" w:type="dxa"/>
            <w:vAlign w:val="center"/>
          </w:tcPr>
          <w:p w14:paraId="4C9FE634" w14:textId="77777777" w:rsidR="007D7104" w:rsidRPr="006601BC" w:rsidRDefault="007D7104" w:rsidP="00190BB5">
            <w:pPr>
              <w:spacing w:before="20" w:after="20"/>
              <w:jc w:val="center"/>
              <w:rPr>
                <w:noProof/>
                <w:sz w:val="20"/>
              </w:rPr>
            </w:pPr>
            <w:r w:rsidRPr="006601BC">
              <w:rPr>
                <w:noProof/>
                <w:sz w:val="20"/>
              </w:rPr>
              <w:t>p.m.</w:t>
            </w:r>
          </w:p>
        </w:tc>
        <w:tc>
          <w:tcPr>
            <w:tcW w:w="1004" w:type="dxa"/>
            <w:vAlign w:val="center"/>
          </w:tcPr>
          <w:p w14:paraId="2D4F3368" w14:textId="77777777" w:rsidR="007D7104" w:rsidRPr="006601BC" w:rsidRDefault="007D7104" w:rsidP="00190BB5">
            <w:pPr>
              <w:spacing w:before="20" w:after="20"/>
              <w:jc w:val="center"/>
              <w:rPr>
                <w:noProof/>
                <w:sz w:val="20"/>
              </w:rPr>
            </w:pPr>
            <w:r w:rsidRPr="006601BC">
              <w:rPr>
                <w:noProof/>
                <w:sz w:val="20"/>
              </w:rPr>
              <w:t>p.m.</w:t>
            </w:r>
          </w:p>
        </w:tc>
        <w:tc>
          <w:tcPr>
            <w:tcW w:w="990" w:type="dxa"/>
            <w:vAlign w:val="center"/>
          </w:tcPr>
          <w:p w14:paraId="5273E071" w14:textId="77777777" w:rsidR="007D7104" w:rsidRPr="006601BC" w:rsidRDefault="007D7104" w:rsidP="00190BB5">
            <w:pPr>
              <w:spacing w:before="20" w:after="20"/>
              <w:jc w:val="center"/>
              <w:rPr>
                <w:noProof/>
                <w:sz w:val="20"/>
              </w:rPr>
            </w:pPr>
            <w:r w:rsidRPr="006601BC">
              <w:rPr>
                <w:noProof/>
                <w:sz w:val="20"/>
              </w:rPr>
              <w:t>p.m.</w:t>
            </w:r>
          </w:p>
        </w:tc>
        <w:tc>
          <w:tcPr>
            <w:tcW w:w="990" w:type="dxa"/>
            <w:vAlign w:val="center"/>
          </w:tcPr>
          <w:p w14:paraId="427629B7" w14:textId="77777777" w:rsidR="007D7104" w:rsidRPr="006601BC" w:rsidRDefault="007D7104" w:rsidP="00190BB5">
            <w:pPr>
              <w:spacing w:before="20" w:after="20"/>
              <w:jc w:val="center"/>
              <w:rPr>
                <w:b/>
                <w:noProof/>
                <w:sz w:val="20"/>
              </w:rPr>
            </w:pPr>
            <w:r w:rsidRPr="006601BC">
              <w:rPr>
                <w:noProof/>
                <w:sz w:val="20"/>
              </w:rPr>
              <w:t>p.m.</w:t>
            </w:r>
          </w:p>
        </w:tc>
        <w:tc>
          <w:tcPr>
            <w:tcW w:w="1033" w:type="dxa"/>
            <w:vAlign w:val="center"/>
          </w:tcPr>
          <w:p w14:paraId="4A2B2314" w14:textId="77777777" w:rsidR="007D7104" w:rsidRPr="006601BC" w:rsidRDefault="007D7104" w:rsidP="00190BB5">
            <w:pPr>
              <w:spacing w:before="20" w:after="20"/>
              <w:jc w:val="center"/>
              <w:rPr>
                <w:b/>
                <w:noProof/>
                <w:sz w:val="20"/>
              </w:rPr>
            </w:pPr>
          </w:p>
        </w:tc>
        <w:tc>
          <w:tcPr>
            <w:tcW w:w="1127" w:type="dxa"/>
            <w:vAlign w:val="center"/>
          </w:tcPr>
          <w:p w14:paraId="73ED88AF" w14:textId="77777777" w:rsidR="007D7104" w:rsidRPr="006601BC" w:rsidRDefault="007D7104" w:rsidP="00190BB5">
            <w:pPr>
              <w:spacing w:before="20" w:after="20"/>
              <w:jc w:val="center"/>
              <w:rPr>
                <w:b/>
                <w:noProof/>
                <w:sz w:val="20"/>
              </w:rPr>
            </w:pPr>
            <w:r w:rsidRPr="006601BC">
              <w:rPr>
                <w:b/>
                <w:bCs/>
                <w:noProof/>
                <w:color w:val="000000"/>
                <w:sz w:val="20"/>
                <w:szCs w:val="20"/>
              </w:rPr>
              <w:t>p.m.</w:t>
            </w:r>
          </w:p>
        </w:tc>
      </w:tr>
      <w:tr w:rsidR="007D7104" w:rsidRPr="006601BC" w14:paraId="3D21CBFF" w14:textId="77777777" w:rsidTr="00190BB5">
        <w:tc>
          <w:tcPr>
            <w:tcW w:w="3780" w:type="dxa"/>
            <w:vMerge/>
          </w:tcPr>
          <w:p w14:paraId="24A8ADF9" w14:textId="77777777" w:rsidR="007D7104" w:rsidRPr="006601BC" w:rsidRDefault="007D7104" w:rsidP="00190BB5">
            <w:pPr>
              <w:rPr>
                <w:noProof/>
                <w:sz w:val="20"/>
              </w:rPr>
            </w:pPr>
          </w:p>
        </w:tc>
        <w:tc>
          <w:tcPr>
            <w:tcW w:w="1260" w:type="dxa"/>
            <w:vAlign w:val="center"/>
          </w:tcPr>
          <w:p w14:paraId="7626FFFF" w14:textId="77777777" w:rsidR="007D7104" w:rsidRPr="006601BC" w:rsidRDefault="007D7104" w:rsidP="00190BB5">
            <w:pPr>
              <w:rPr>
                <w:noProof/>
                <w:sz w:val="18"/>
              </w:rPr>
            </w:pPr>
            <w:r w:rsidRPr="006601BC">
              <w:rPr>
                <w:noProof/>
                <w:sz w:val="18"/>
              </w:rPr>
              <w:t>Kifizetési előirányzatok</w:t>
            </w:r>
          </w:p>
        </w:tc>
        <w:tc>
          <w:tcPr>
            <w:tcW w:w="540" w:type="dxa"/>
            <w:vAlign w:val="center"/>
          </w:tcPr>
          <w:p w14:paraId="5137D1F9" w14:textId="77777777" w:rsidR="007D7104" w:rsidRPr="006601BC" w:rsidRDefault="007D7104" w:rsidP="00190BB5">
            <w:pPr>
              <w:jc w:val="center"/>
              <w:rPr>
                <w:noProof/>
                <w:sz w:val="14"/>
              </w:rPr>
            </w:pPr>
            <w:r w:rsidRPr="006601BC">
              <w:rPr>
                <w:noProof/>
                <w:sz w:val="14"/>
              </w:rPr>
              <w:t>=2+2a</w:t>
            </w:r>
          </w:p>
          <w:p w14:paraId="657F0C81" w14:textId="77777777" w:rsidR="007D7104" w:rsidRPr="006601BC" w:rsidRDefault="007D7104" w:rsidP="00190BB5">
            <w:pPr>
              <w:jc w:val="center"/>
              <w:rPr>
                <w:noProof/>
                <w:sz w:val="14"/>
              </w:rPr>
            </w:pPr>
            <w:r w:rsidRPr="006601BC">
              <w:rPr>
                <w:noProof/>
                <w:sz w:val="14"/>
              </w:rPr>
              <w:t>+3</w:t>
            </w:r>
          </w:p>
        </w:tc>
        <w:tc>
          <w:tcPr>
            <w:tcW w:w="990" w:type="dxa"/>
            <w:vAlign w:val="center"/>
          </w:tcPr>
          <w:p w14:paraId="560FA2E7" w14:textId="77777777" w:rsidR="007D7104" w:rsidRPr="006601BC" w:rsidRDefault="007D7104" w:rsidP="00190BB5">
            <w:pPr>
              <w:spacing w:before="20" w:after="20"/>
              <w:jc w:val="right"/>
              <w:rPr>
                <w:noProof/>
                <w:sz w:val="20"/>
              </w:rPr>
            </w:pPr>
          </w:p>
        </w:tc>
        <w:tc>
          <w:tcPr>
            <w:tcW w:w="990" w:type="dxa"/>
            <w:vAlign w:val="center"/>
          </w:tcPr>
          <w:p w14:paraId="30E9634B" w14:textId="77777777" w:rsidR="007D7104" w:rsidRPr="006601BC" w:rsidRDefault="007D7104" w:rsidP="00190BB5">
            <w:pPr>
              <w:spacing w:before="20" w:after="20"/>
              <w:jc w:val="center"/>
              <w:rPr>
                <w:noProof/>
                <w:sz w:val="20"/>
              </w:rPr>
            </w:pPr>
            <w:r w:rsidRPr="006601BC">
              <w:rPr>
                <w:noProof/>
                <w:sz w:val="20"/>
              </w:rPr>
              <w:t>p.m.</w:t>
            </w:r>
          </w:p>
        </w:tc>
        <w:tc>
          <w:tcPr>
            <w:tcW w:w="990" w:type="dxa"/>
            <w:vAlign w:val="center"/>
          </w:tcPr>
          <w:p w14:paraId="0492F2E4" w14:textId="77777777" w:rsidR="007D7104" w:rsidRPr="006601BC" w:rsidRDefault="007D7104" w:rsidP="00190BB5">
            <w:pPr>
              <w:spacing w:before="20" w:after="20"/>
              <w:jc w:val="center"/>
              <w:rPr>
                <w:noProof/>
                <w:sz w:val="20"/>
              </w:rPr>
            </w:pPr>
            <w:r w:rsidRPr="006601BC">
              <w:rPr>
                <w:noProof/>
                <w:sz w:val="20"/>
              </w:rPr>
              <w:t>p.m.</w:t>
            </w:r>
          </w:p>
        </w:tc>
        <w:tc>
          <w:tcPr>
            <w:tcW w:w="976" w:type="dxa"/>
            <w:vAlign w:val="center"/>
          </w:tcPr>
          <w:p w14:paraId="147CC29D" w14:textId="77777777" w:rsidR="007D7104" w:rsidRPr="006601BC" w:rsidRDefault="007D7104" w:rsidP="00190BB5">
            <w:pPr>
              <w:spacing w:before="20" w:after="20"/>
              <w:jc w:val="center"/>
              <w:rPr>
                <w:noProof/>
                <w:sz w:val="20"/>
              </w:rPr>
            </w:pPr>
            <w:r w:rsidRPr="006601BC">
              <w:rPr>
                <w:noProof/>
                <w:sz w:val="20"/>
              </w:rPr>
              <w:t>p.m.</w:t>
            </w:r>
          </w:p>
        </w:tc>
        <w:tc>
          <w:tcPr>
            <w:tcW w:w="1004" w:type="dxa"/>
            <w:vAlign w:val="center"/>
          </w:tcPr>
          <w:p w14:paraId="1142B3D7" w14:textId="77777777" w:rsidR="007D7104" w:rsidRPr="006601BC" w:rsidRDefault="007D7104" w:rsidP="00190BB5">
            <w:pPr>
              <w:spacing w:before="20" w:after="20"/>
              <w:jc w:val="center"/>
              <w:rPr>
                <w:noProof/>
                <w:sz w:val="20"/>
              </w:rPr>
            </w:pPr>
            <w:r w:rsidRPr="006601BC">
              <w:rPr>
                <w:noProof/>
                <w:sz w:val="20"/>
              </w:rPr>
              <w:t>p.m.</w:t>
            </w:r>
          </w:p>
        </w:tc>
        <w:tc>
          <w:tcPr>
            <w:tcW w:w="990" w:type="dxa"/>
            <w:vAlign w:val="center"/>
          </w:tcPr>
          <w:p w14:paraId="46F9F86D" w14:textId="77777777" w:rsidR="007D7104" w:rsidRPr="006601BC" w:rsidRDefault="007D7104" w:rsidP="00190BB5">
            <w:pPr>
              <w:spacing w:before="20" w:after="20"/>
              <w:jc w:val="center"/>
              <w:rPr>
                <w:noProof/>
                <w:sz w:val="20"/>
              </w:rPr>
            </w:pPr>
            <w:r w:rsidRPr="006601BC">
              <w:rPr>
                <w:noProof/>
                <w:sz w:val="20"/>
              </w:rPr>
              <w:t>p.m.</w:t>
            </w:r>
          </w:p>
        </w:tc>
        <w:tc>
          <w:tcPr>
            <w:tcW w:w="990" w:type="dxa"/>
            <w:vAlign w:val="center"/>
          </w:tcPr>
          <w:p w14:paraId="7EBC45B6" w14:textId="77777777" w:rsidR="007D7104" w:rsidRPr="006601BC" w:rsidRDefault="007D7104" w:rsidP="00190BB5">
            <w:pPr>
              <w:spacing w:before="20" w:after="20"/>
              <w:jc w:val="center"/>
              <w:rPr>
                <w:b/>
                <w:noProof/>
                <w:sz w:val="20"/>
              </w:rPr>
            </w:pPr>
            <w:r w:rsidRPr="006601BC">
              <w:rPr>
                <w:noProof/>
                <w:sz w:val="20"/>
              </w:rPr>
              <w:t>p.m.</w:t>
            </w:r>
          </w:p>
        </w:tc>
        <w:tc>
          <w:tcPr>
            <w:tcW w:w="1033" w:type="dxa"/>
            <w:vAlign w:val="center"/>
          </w:tcPr>
          <w:p w14:paraId="17CB4856" w14:textId="77777777" w:rsidR="007D7104" w:rsidRPr="006601BC" w:rsidRDefault="007D7104" w:rsidP="00190BB5">
            <w:pPr>
              <w:spacing w:before="20" w:after="20"/>
              <w:jc w:val="center"/>
              <w:rPr>
                <w:b/>
                <w:noProof/>
                <w:sz w:val="20"/>
              </w:rPr>
            </w:pPr>
          </w:p>
        </w:tc>
        <w:tc>
          <w:tcPr>
            <w:tcW w:w="1127" w:type="dxa"/>
            <w:vAlign w:val="center"/>
          </w:tcPr>
          <w:p w14:paraId="6CA2D066" w14:textId="77777777" w:rsidR="007D7104" w:rsidRPr="006601BC" w:rsidRDefault="007D7104" w:rsidP="00190BB5">
            <w:pPr>
              <w:spacing w:before="20" w:after="20"/>
              <w:jc w:val="center"/>
              <w:rPr>
                <w:b/>
                <w:noProof/>
                <w:sz w:val="20"/>
              </w:rPr>
            </w:pPr>
            <w:r w:rsidRPr="006601BC">
              <w:rPr>
                <w:b/>
                <w:bCs/>
                <w:noProof/>
                <w:color w:val="000000"/>
                <w:sz w:val="20"/>
                <w:szCs w:val="20"/>
              </w:rPr>
              <w:t>p.m.</w:t>
            </w:r>
          </w:p>
        </w:tc>
      </w:tr>
    </w:tbl>
    <w:p w14:paraId="549BC1B0" w14:textId="77777777" w:rsidR="007D7104" w:rsidRPr="006601BC" w:rsidRDefault="007D7104" w:rsidP="007D7104">
      <w:pPr>
        <w:spacing w:before="0" w:after="200" w:line="276" w:lineRule="auto"/>
        <w:jc w:val="left"/>
        <w:rPr>
          <w:noProof/>
        </w:rPr>
      </w:pPr>
      <w:r w:rsidRPr="006601BC">
        <w:rPr>
          <w:noProof/>
        </w:rPr>
        <w:br w:type="page"/>
      </w:r>
    </w:p>
    <w:tbl>
      <w:tblPr>
        <w:tblW w:w="149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1278"/>
        <w:gridCol w:w="540"/>
        <w:gridCol w:w="734"/>
        <w:gridCol w:w="1080"/>
        <w:gridCol w:w="1081"/>
        <w:gridCol w:w="1081"/>
        <w:gridCol w:w="1081"/>
        <w:gridCol w:w="1081"/>
        <w:gridCol w:w="1081"/>
        <w:gridCol w:w="1081"/>
        <w:gridCol w:w="1081"/>
      </w:tblGrid>
      <w:tr w:rsidR="007D7104" w:rsidRPr="006601BC" w14:paraId="6B3434E5" w14:textId="77777777" w:rsidTr="00190BB5">
        <w:tc>
          <w:tcPr>
            <w:tcW w:w="3762" w:type="dxa"/>
            <w:vAlign w:val="center"/>
          </w:tcPr>
          <w:p w14:paraId="766264C9" w14:textId="77777777" w:rsidR="007D7104" w:rsidRPr="006601BC" w:rsidRDefault="007D7104" w:rsidP="00190BB5">
            <w:pPr>
              <w:jc w:val="center"/>
              <w:rPr>
                <w:noProof/>
              </w:rPr>
            </w:pPr>
          </w:p>
        </w:tc>
        <w:tc>
          <w:tcPr>
            <w:tcW w:w="1278" w:type="dxa"/>
          </w:tcPr>
          <w:p w14:paraId="37C169C8" w14:textId="77777777" w:rsidR="007D7104" w:rsidRPr="006601BC" w:rsidRDefault="007D7104" w:rsidP="00190BB5">
            <w:pPr>
              <w:rPr>
                <w:noProof/>
                <w:sz w:val="20"/>
              </w:rPr>
            </w:pPr>
          </w:p>
        </w:tc>
        <w:tc>
          <w:tcPr>
            <w:tcW w:w="540" w:type="dxa"/>
          </w:tcPr>
          <w:p w14:paraId="1203F3C1" w14:textId="77777777" w:rsidR="007D7104" w:rsidRPr="006601BC" w:rsidRDefault="007D7104" w:rsidP="00190BB5">
            <w:pPr>
              <w:jc w:val="center"/>
              <w:rPr>
                <w:noProof/>
                <w:sz w:val="20"/>
              </w:rPr>
            </w:pPr>
          </w:p>
        </w:tc>
        <w:tc>
          <w:tcPr>
            <w:tcW w:w="734" w:type="dxa"/>
            <w:vAlign w:val="center"/>
          </w:tcPr>
          <w:p w14:paraId="3CAADB46" w14:textId="77777777" w:rsidR="007D7104" w:rsidRPr="006601BC" w:rsidRDefault="007D7104" w:rsidP="00190BB5">
            <w:pPr>
              <w:jc w:val="center"/>
              <w:rPr>
                <w:noProof/>
                <w:sz w:val="20"/>
              </w:rPr>
            </w:pPr>
            <w:r w:rsidRPr="006601BC">
              <w:rPr>
                <w:b/>
                <w:noProof/>
                <w:sz w:val="20"/>
              </w:rPr>
              <w:t>2021</w:t>
            </w:r>
          </w:p>
        </w:tc>
        <w:tc>
          <w:tcPr>
            <w:tcW w:w="1080" w:type="dxa"/>
            <w:vAlign w:val="center"/>
          </w:tcPr>
          <w:p w14:paraId="01AAF40F" w14:textId="77777777" w:rsidR="007D7104" w:rsidRPr="006601BC" w:rsidRDefault="007D7104" w:rsidP="00190BB5">
            <w:pPr>
              <w:jc w:val="center"/>
              <w:rPr>
                <w:noProof/>
                <w:sz w:val="20"/>
              </w:rPr>
            </w:pPr>
            <w:r w:rsidRPr="006601BC">
              <w:rPr>
                <w:b/>
                <w:noProof/>
                <w:sz w:val="20"/>
              </w:rPr>
              <w:t>2022</w:t>
            </w:r>
          </w:p>
        </w:tc>
        <w:tc>
          <w:tcPr>
            <w:tcW w:w="1081" w:type="dxa"/>
            <w:vAlign w:val="center"/>
          </w:tcPr>
          <w:p w14:paraId="16619EF2" w14:textId="77777777" w:rsidR="007D7104" w:rsidRPr="006601BC" w:rsidRDefault="007D7104" w:rsidP="00190BB5">
            <w:pPr>
              <w:jc w:val="center"/>
              <w:rPr>
                <w:noProof/>
                <w:sz w:val="20"/>
              </w:rPr>
            </w:pPr>
            <w:r w:rsidRPr="006601BC">
              <w:rPr>
                <w:b/>
                <w:noProof/>
                <w:sz w:val="20"/>
              </w:rPr>
              <w:t>2023</w:t>
            </w:r>
          </w:p>
        </w:tc>
        <w:tc>
          <w:tcPr>
            <w:tcW w:w="1081" w:type="dxa"/>
            <w:vAlign w:val="center"/>
          </w:tcPr>
          <w:p w14:paraId="3A1B65EF" w14:textId="77777777" w:rsidR="007D7104" w:rsidRPr="006601BC" w:rsidRDefault="007D7104" w:rsidP="00190BB5">
            <w:pPr>
              <w:jc w:val="center"/>
              <w:rPr>
                <w:noProof/>
                <w:sz w:val="20"/>
              </w:rPr>
            </w:pPr>
            <w:r w:rsidRPr="006601BC">
              <w:rPr>
                <w:b/>
                <w:noProof/>
                <w:sz w:val="20"/>
              </w:rPr>
              <w:t>2024</w:t>
            </w:r>
          </w:p>
        </w:tc>
        <w:tc>
          <w:tcPr>
            <w:tcW w:w="1081" w:type="dxa"/>
            <w:vAlign w:val="center"/>
          </w:tcPr>
          <w:p w14:paraId="48225F42" w14:textId="77777777" w:rsidR="007D7104" w:rsidRPr="006601BC" w:rsidRDefault="007D7104" w:rsidP="00190BB5">
            <w:pPr>
              <w:jc w:val="center"/>
              <w:rPr>
                <w:b/>
                <w:noProof/>
                <w:sz w:val="18"/>
              </w:rPr>
            </w:pPr>
            <w:r w:rsidRPr="006601BC">
              <w:rPr>
                <w:b/>
                <w:noProof/>
                <w:sz w:val="18"/>
              </w:rPr>
              <w:t>2025</w:t>
            </w:r>
          </w:p>
        </w:tc>
        <w:tc>
          <w:tcPr>
            <w:tcW w:w="1081" w:type="dxa"/>
            <w:vAlign w:val="center"/>
          </w:tcPr>
          <w:p w14:paraId="69AD5438" w14:textId="77777777" w:rsidR="007D7104" w:rsidRPr="006601BC" w:rsidRDefault="007D7104" w:rsidP="00190BB5">
            <w:pPr>
              <w:jc w:val="center"/>
              <w:rPr>
                <w:b/>
                <w:noProof/>
                <w:sz w:val="18"/>
              </w:rPr>
            </w:pPr>
            <w:r w:rsidRPr="006601BC">
              <w:rPr>
                <w:b/>
                <w:noProof/>
                <w:sz w:val="18"/>
              </w:rPr>
              <w:t>2026</w:t>
            </w:r>
          </w:p>
        </w:tc>
        <w:tc>
          <w:tcPr>
            <w:tcW w:w="1081" w:type="dxa"/>
            <w:vAlign w:val="center"/>
          </w:tcPr>
          <w:p w14:paraId="3984E21A" w14:textId="77777777" w:rsidR="007D7104" w:rsidRPr="006601BC" w:rsidRDefault="007D7104" w:rsidP="00190BB5">
            <w:pPr>
              <w:jc w:val="center"/>
              <w:rPr>
                <w:b/>
                <w:noProof/>
                <w:sz w:val="18"/>
              </w:rPr>
            </w:pPr>
            <w:r w:rsidRPr="006601BC">
              <w:rPr>
                <w:b/>
                <w:noProof/>
                <w:sz w:val="18"/>
              </w:rPr>
              <w:t>2027</w:t>
            </w:r>
          </w:p>
        </w:tc>
        <w:tc>
          <w:tcPr>
            <w:tcW w:w="1081" w:type="dxa"/>
          </w:tcPr>
          <w:p w14:paraId="39E2DFA7" w14:textId="77777777" w:rsidR="007D7104" w:rsidRPr="006601BC" w:rsidRDefault="007D7104" w:rsidP="00190BB5">
            <w:pPr>
              <w:jc w:val="center"/>
              <w:rPr>
                <w:b/>
                <w:noProof/>
                <w:sz w:val="20"/>
              </w:rPr>
            </w:pPr>
            <w:r w:rsidRPr="006601BC">
              <w:rPr>
                <w:b/>
                <w:i/>
                <w:noProof/>
                <w:sz w:val="20"/>
              </w:rPr>
              <w:t>2027 után</w:t>
            </w:r>
          </w:p>
        </w:tc>
        <w:tc>
          <w:tcPr>
            <w:tcW w:w="1081" w:type="dxa"/>
            <w:vAlign w:val="center"/>
          </w:tcPr>
          <w:p w14:paraId="4FAAEC33" w14:textId="77777777" w:rsidR="007D7104" w:rsidRPr="006601BC" w:rsidRDefault="007D7104" w:rsidP="00190BB5">
            <w:pPr>
              <w:jc w:val="center"/>
              <w:rPr>
                <w:b/>
                <w:noProof/>
                <w:sz w:val="20"/>
              </w:rPr>
            </w:pPr>
            <w:r w:rsidRPr="006601BC">
              <w:rPr>
                <w:b/>
                <w:noProof/>
                <w:sz w:val="20"/>
              </w:rPr>
              <w:t>ÖSSZESEN</w:t>
            </w:r>
          </w:p>
        </w:tc>
      </w:tr>
      <w:tr w:rsidR="007D7104" w:rsidRPr="006601BC" w14:paraId="248CD3CB" w14:textId="77777777" w:rsidTr="00190BB5">
        <w:trPr>
          <w:trHeight w:val="213"/>
        </w:trPr>
        <w:tc>
          <w:tcPr>
            <w:tcW w:w="5580" w:type="dxa"/>
            <w:gridSpan w:val="3"/>
            <w:vAlign w:val="center"/>
          </w:tcPr>
          <w:p w14:paraId="4CDE2343" w14:textId="77777777" w:rsidR="007D7104" w:rsidRPr="006601BC" w:rsidRDefault="007D7104" w:rsidP="00190BB5">
            <w:pPr>
              <w:spacing w:before="20" w:after="20"/>
              <w:rPr>
                <w:noProof/>
                <w:sz w:val="21"/>
              </w:rPr>
            </w:pPr>
            <w:r w:rsidRPr="006601BC">
              <w:rPr>
                <w:noProof/>
                <w:sz w:val="21"/>
              </w:rPr>
              <w:sym w:font="Wingdings" w:char="F09F"/>
            </w:r>
            <w:r w:rsidRPr="006601BC">
              <w:rPr>
                <w:noProof/>
                <w:sz w:val="21"/>
              </w:rPr>
              <w:t xml:space="preserve"> Operatív előirányzatok (C1 hitelek)</w:t>
            </w:r>
          </w:p>
        </w:tc>
        <w:tc>
          <w:tcPr>
            <w:tcW w:w="734" w:type="dxa"/>
            <w:vAlign w:val="center"/>
          </w:tcPr>
          <w:p w14:paraId="00FB94BD" w14:textId="77777777" w:rsidR="007D7104" w:rsidRPr="006601BC" w:rsidRDefault="007D7104" w:rsidP="00190BB5">
            <w:pPr>
              <w:rPr>
                <w:noProof/>
                <w:sz w:val="20"/>
              </w:rPr>
            </w:pPr>
          </w:p>
        </w:tc>
        <w:tc>
          <w:tcPr>
            <w:tcW w:w="1080" w:type="dxa"/>
            <w:vAlign w:val="center"/>
          </w:tcPr>
          <w:p w14:paraId="4E85D081" w14:textId="77777777" w:rsidR="007D7104" w:rsidRPr="006601BC" w:rsidRDefault="007D7104" w:rsidP="00190BB5">
            <w:pPr>
              <w:rPr>
                <w:noProof/>
                <w:sz w:val="20"/>
              </w:rPr>
            </w:pPr>
          </w:p>
        </w:tc>
        <w:tc>
          <w:tcPr>
            <w:tcW w:w="1081" w:type="dxa"/>
            <w:vAlign w:val="center"/>
          </w:tcPr>
          <w:p w14:paraId="7E9CC764" w14:textId="77777777" w:rsidR="007D7104" w:rsidRPr="006601BC" w:rsidRDefault="007D7104" w:rsidP="00190BB5">
            <w:pPr>
              <w:rPr>
                <w:noProof/>
                <w:sz w:val="20"/>
              </w:rPr>
            </w:pPr>
          </w:p>
        </w:tc>
        <w:tc>
          <w:tcPr>
            <w:tcW w:w="1081" w:type="dxa"/>
            <w:vAlign w:val="center"/>
          </w:tcPr>
          <w:p w14:paraId="5F9A4D86" w14:textId="77777777" w:rsidR="007D7104" w:rsidRPr="006601BC" w:rsidRDefault="007D7104" w:rsidP="00190BB5">
            <w:pPr>
              <w:rPr>
                <w:noProof/>
                <w:sz w:val="20"/>
              </w:rPr>
            </w:pPr>
          </w:p>
        </w:tc>
        <w:tc>
          <w:tcPr>
            <w:tcW w:w="1081" w:type="dxa"/>
            <w:vAlign w:val="center"/>
          </w:tcPr>
          <w:p w14:paraId="3D9CF3CF" w14:textId="77777777" w:rsidR="007D7104" w:rsidRPr="006601BC" w:rsidRDefault="007D7104" w:rsidP="00190BB5">
            <w:pPr>
              <w:rPr>
                <w:noProof/>
                <w:sz w:val="20"/>
              </w:rPr>
            </w:pPr>
          </w:p>
        </w:tc>
        <w:tc>
          <w:tcPr>
            <w:tcW w:w="1081" w:type="dxa"/>
            <w:vAlign w:val="center"/>
          </w:tcPr>
          <w:p w14:paraId="494215C7" w14:textId="77777777" w:rsidR="007D7104" w:rsidRPr="006601BC" w:rsidRDefault="007D7104" w:rsidP="00190BB5">
            <w:pPr>
              <w:rPr>
                <w:noProof/>
                <w:sz w:val="20"/>
              </w:rPr>
            </w:pPr>
          </w:p>
        </w:tc>
        <w:tc>
          <w:tcPr>
            <w:tcW w:w="1081" w:type="dxa"/>
            <w:vAlign w:val="center"/>
          </w:tcPr>
          <w:p w14:paraId="074A5B5F" w14:textId="77777777" w:rsidR="007D7104" w:rsidRPr="006601BC" w:rsidRDefault="007D7104" w:rsidP="00190BB5">
            <w:pPr>
              <w:rPr>
                <w:b/>
                <w:noProof/>
                <w:sz w:val="20"/>
              </w:rPr>
            </w:pPr>
          </w:p>
        </w:tc>
        <w:tc>
          <w:tcPr>
            <w:tcW w:w="1081" w:type="dxa"/>
          </w:tcPr>
          <w:p w14:paraId="4AA00A73" w14:textId="77777777" w:rsidR="007D7104" w:rsidRPr="006601BC" w:rsidRDefault="007D7104" w:rsidP="00190BB5">
            <w:pPr>
              <w:rPr>
                <w:b/>
                <w:noProof/>
                <w:sz w:val="20"/>
              </w:rPr>
            </w:pPr>
          </w:p>
        </w:tc>
        <w:tc>
          <w:tcPr>
            <w:tcW w:w="1081" w:type="dxa"/>
            <w:vAlign w:val="center"/>
          </w:tcPr>
          <w:p w14:paraId="78BDCDCB" w14:textId="77777777" w:rsidR="007D7104" w:rsidRPr="006601BC" w:rsidRDefault="007D7104" w:rsidP="00190BB5">
            <w:pPr>
              <w:rPr>
                <w:b/>
                <w:noProof/>
                <w:sz w:val="20"/>
              </w:rPr>
            </w:pPr>
          </w:p>
        </w:tc>
      </w:tr>
      <w:tr w:rsidR="007D7104" w:rsidRPr="006601BC" w14:paraId="304BCB90" w14:textId="77777777" w:rsidTr="00190BB5">
        <w:trPr>
          <w:trHeight w:val="277"/>
        </w:trPr>
        <w:tc>
          <w:tcPr>
            <w:tcW w:w="3762" w:type="dxa"/>
            <w:vMerge w:val="restart"/>
            <w:vAlign w:val="center"/>
          </w:tcPr>
          <w:p w14:paraId="49A5CDB7" w14:textId="77777777" w:rsidR="007D7104" w:rsidRPr="006601BC" w:rsidRDefault="007D7104" w:rsidP="00190BB5">
            <w:pPr>
              <w:rPr>
                <w:noProof/>
              </w:rPr>
            </w:pPr>
            <w:r w:rsidRPr="006601BC">
              <w:rPr>
                <w:noProof/>
                <w:sz w:val="20"/>
              </w:rPr>
              <w:t>A közleményben részletezett egyéb programok (a költségvetési tételek még meghatározandók)</w:t>
            </w:r>
          </w:p>
        </w:tc>
        <w:tc>
          <w:tcPr>
            <w:tcW w:w="1278" w:type="dxa"/>
            <w:vAlign w:val="center"/>
          </w:tcPr>
          <w:p w14:paraId="78D1BD71" w14:textId="77777777" w:rsidR="007D7104" w:rsidRPr="006601BC" w:rsidRDefault="007D7104" w:rsidP="00190BB5">
            <w:pPr>
              <w:spacing w:before="20" w:after="20"/>
              <w:rPr>
                <w:noProof/>
                <w:sz w:val="18"/>
              </w:rPr>
            </w:pPr>
            <w:r w:rsidRPr="006601BC">
              <w:rPr>
                <w:noProof/>
                <w:sz w:val="18"/>
              </w:rPr>
              <w:t>Kötelezettségvállalási előirányzatok</w:t>
            </w:r>
          </w:p>
        </w:tc>
        <w:tc>
          <w:tcPr>
            <w:tcW w:w="540" w:type="dxa"/>
            <w:vAlign w:val="center"/>
          </w:tcPr>
          <w:p w14:paraId="215DA1B2" w14:textId="77777777" w:rsidR="007D7104" w:rsidRPr="006601BC" w:rsidRDefault="007D7104" w:rsidP="00190BB5">
            <w:pPr>
              <w:spacing w:before="20" w:after="20"/>
              <w:jc w:val="center"/>
              <w:rPr>
                <w:noProof/>
                <w:sz w:val="14"/>
              </w:rPr>
            </w:pPr>
            <w:r w:rsidRPr="006601BC">
              <w:rPr>
                <w:noProof/>
                <w:sz w:val="14"/>
              </w:rPr>
              <w:t>(1)</w:t>
            </w:r>
          </w:p>
        </w:tc>
        <w:tc>
          <w:tcPr>
            <w:tcW w:w="734" w:type="dxa"/>
            <w:vAlign w:val="center"/>
          </w:tcPr>
          <w:p w14:paraId="2010F711" w14:textId="77777777" w:rsidR="007D7104" w:rsidRPr="006601BC" w:rsidRDefault="007D7104" w:rsidP="00190BB5">
            <w:pPr>
              <w:spacing w:before="20" w:after="20"/>
              <w:jc w:val="right"/>
              <w:rPr>
                <w:noProof/>
                <w:sz w:val="20"/>
              </w:rPr>
            </w:pPr>
          </w:p>
        </w:tc>
        <w:tc>
          <w:tcPr>
            <w:tcW w:w="1080" w:type="dxa"/>
            <w:vAlign w:val="center"/>
          </w:tcPr>
          <w:p w14:paraId="45E31301" w14:textId="77777777" w:rsidR="007D7104" w:rsidRPr="006601BC" w:rsidRDefault="007D7104" w:rsidP="00190BB5">
            <w:pPr>
              <w:spacing w:before="20" w:after="20"/>
              <w:jc w:val="right"/>
              <w:rPr>
                <w:noProof/>
                <w:sz w:val="20"/>
              </w:rPr>
            </w:pPr>
            <w:r w:rsidRPr="006601BC">
              <w:rPr>
                <w:noProof/>
                <w:color w:val="000000"/>
                <w:sz w:val="20"/>
                <w:szCs w:val="20"/>
              </w:rPr>
              <w:t>41,167</w:t>
            </w:r>
          </w:p>
        </w:tc>
        <w:tc>
          <w:tcPr>
            <w:tcW w:w="1081" w:type="dxa"/>
            <w:vAlign w:val="center"/>
          </w:tcPr>
          <w:p w14:paraId="335CE04F" w14:textId="77777777" w:rsidR="007D7104" w:rsidRPr="006601BC" w:rsidRDefault="007D7104" w:rsidP="00190BB5">
            <w:pPr>
              <w:spacing w:before="20" w:after="20"/>
              <w:jc w:val="right"/>
              <w:rPr>
                <w:noProof/>
                <w:sz w:val="20"/>
              </w:rPr>
            </w:pPr>
            <w:r w:rsidRPr="006601BC">
              <w:rPr>
                <w:noProof/>
                <w:color w:val="000000"/>
                <w:sz w:val="20"/>
                <w:szCs w:val="20"/>
              </w:rPr>
              <w:t>41,167</w:t>
            </w:r>
          </w:p>
        </w:tc>
        <w:tc>
          <w:tcPr>
            <w:tcW w:w="1081" w:type="dxa"/>
            <w:vAlign w:val="center"/>
          </w:tcPr>
          <w:p w14:paraId="0D161377" w14:textId="77777777" w:rsidR="007D7104" w:rsidRPr="006601BC" w:rsidRDefault="007D7104" w:rsidP="00190BB5">
            <w:pPr>
              <w:spacing w:before="20" w:after="20"/>
              <w:jc w:val="right"/>
              <w:rPr>
                <w:noProof/>
                <w:sz w:val="20"/>
              </w:rPr>
            </w:pPr>
            <w:r w:rsidRPr="006601BC">
              <w:rPr>
                <w:noProof/>
                <w:color w:val="000000"/>
                <w:sz w:val="20"/>
                <w:szCs w:val="20"/>
              </w:rPr>
              <w:t>41,167</w:t>
            </w:r>
          </w:p>
        </w:tc>
        <w:tc>
          <w:tcPr>
            <w:tcW w:w="1081" w:type="dxa"/>
            <w:vAlign w:val="center"/>
          </w:tcPr>
          <w:p w14:paraId="22F56AC3" w14:textId="77777777" w:rsidR="007D7104" w:rsidRPr="006601BC" w:rsidRDefault="007D7104" w:rsidP="00190BB5">
            <w:pPr>
              <w:spacing w:before="20" w:after="20"/>
              <w:jc w:val="right"/>
              <w:rPr>
                <w:noProof/>
                <w:sz w:val="20"/>
              </w:rPr>
            </w:pPr>
            <w:r w:rsidRPr="006601BC">
              <w:rPr>
                <w:noProof/>
                <w:color w:val="000000"/>
                <w:sz w:val="20"/>
                <w:szCs w:val="20"/>
              </w:rPr>
              <w:t>41,167</w:t>
            </w:r>
          </w:p>
        </w:tc>
        <w:tc>
          <w:tcPr>
            <w:tcW w:w="1081" w:type="dxa"/>
            <w:vAlign w:val="center"/>
          </w:tcPr>
          <w:p w14:paraId="3C0D8CF6" w14:textId="77777777" w:rsidR="007D7104" w:rsidRPr="006601BC" w:rsidRDefault="007D7104" w:rsidP="00190BB5">
            <w:pPr>
              <w:spacing w:before="20" w:after="20"/>
              <w:jc w:val="right"/>
              <w:rPr>
                <w:noProof/>
                <w:sz w:val="20"/>
              </w:rPr>
            </w:pPr>
            <w:r w:rsidRPr="006601BC">
              <w:rPr>
                <w:noProof/>
                <w:color w:val="000000"/>
                <w:sz w:val="20"/>
                <w:szCs w:val="20"/>
              </w:rPr>
              <w:t>41,167</w:t>
            </w:r>
          </w:p>
        </w:tc>
        <w:tc>
          <w:tcPr>
            <w:tcW w:w="1081" w:type="dxa"/>
            <w:vAlign w:val="center"/>
          </w:tcPr>
          <w:p w14:paraId="6EE59633" w14:textId="77777777" w:rsidR="007D7104" w:rsidRPr="006601BC" w:rsidRDefault="007D7104" w:rsidP="00190BB5">
            <w:pPr>
              <w:spacing w:before="20" w:after="20"/>
              <w:jc w:val="right"/>
              <w:rPr>
                <w:noProof/>
                <w:sz w:val="20"/>
              </w:rPr>
            </w:pPr>
            <w:r w:rsidRPr="006601BC">
              <w:rPr>
                <w:b/>
                <w:bCs/>
                <w:noProof/>
                <w:color w:val="000000"/>
                <w:sz w:val="20"/>
                <w:szCs w:val="20"/>
              </w:rPr>
              <w:t>41,167</w:t>
            </w:r>
          </w:p>
        </w:tc>
        <w:tc>
          <w:tcPr>
            <w:tcW w:w="1081" w:type="dxa"/>
            <w:vAlign w:val="center"/>
          </w:tcPr>
          <w:p w14:paraId="78C024C0" w14:textId="77777777" w:rsidR="007D7104" w:rsidRPr="006601BC" w:rsidRDefault="007D7104" w:rsidP="00190BB5">
            <w:pPr>
              <w:spacing w:before="20" w:after="20"/>
              <w:jc w:val="right"/>
              <w:rPr>
                <w:b/>
                <w:noProof/>
                <w:sz w:val="20"/>
              </w:rPr>
            </w:pPr>
          </w:p>
        </w:tc>
        <w:tc>
          <w:tcPr>
            <w:tcW w:w="1081" w:type="dxa"/>
            <w:vAlign w:val="center"/>
          </w:tcPr>
          <w:p w14:paraId="7E4ECE43" w14:textId="77777777" w:rsidR="007D7104" w:rsidRPr="006601BC" w:rsidRDefault="007D7104" w:rsidP="00190BB5">
            <w:pPr>
              <w:spacing w:before="0" w:after="0"/>
              <w:jc w:val="right"/>
              <w:rPr>
                <w:b/>
                <w:bCs/>
                <w:noProof/>
                <w:color w:val="000000"/>
                <w:sz w:val="20"/>
                <w:szCs w:val="20"/>
              </w:rPr>
            </w:pPr>
            <w:r w:rsidRPr="006601BC">
              <w:rPr>
                <w:b/>
                <w:bCs/>
                <w:noProof/>
                <w:color w:val="000000"/>
                <w:sz w:val="20"/>
                <w:szCs w:val="20"/>
              </w:rPr>
              <w:t>247,000</w:t>
            </w:r>
          </w:p>
        </w:tc>
      </w:tr>
      <w:tr w:rsidR="007D7104" w:rsidRPr="006601BC" w14:paraId="572210EC" w14:textId="77777777" w:rsidTr="00190BB5">
        <w:tc>
          <w:tcPr>
            <w:tcW w:w="3762" w:type="dxa"/>
            <w:vMerge/>
          </w:tcPr>
          <w:p w14:paraId="66CD2A74" w14:textId="77777777" w:rsidR="007D7104" w:rsidRPr="006601BC" w:rsidRDefault="007D7104" w:rsidP="00190BB5">
            <w:pPr>
              <w:jc w:val="center"/>
              <w:rPr>
                <w:noProof/>
                <w:sz w:val="20"/>
              </w:rPr>
            </w:pPr>
          </w:p>
        </w:tc>
        <w:tc>
          <w:tcPr>
            <w:tcW w:w="1278" w:type="dxa"/>
            <w:vAlign w:val="center"/>
          </w:tcPr>
          <w:p w14:paraId="67E2877E" w14:textId="77777777" w:rsidR="007D7104" w:rsidRPr="006601BC" w:rsidRDefault="007D7104" w:rsidP="00190BB5">
            <w:pPr>
              <w:spacing w:before="20" w:after="20"/>
              <w:rPr>
                <w:noProof/>
                <w:sz w:val="18"/>
              </w:rPr>
            </w:pPr>
            <w:r w:rsidRPr="006601BC">
              <w:rPr>
                <w:noProof/>
                <w:sz w:val="18"/>
              </w:rPr>
              <w:t>Kifizetési előirányzatok</w:t>
            </w:r>
          </w:p>
        </w:tc>
        <w:tc>
          <w:tcPr>
            <w:tcW w:w="540" w:type="dxa"/>
            <w:vAlign w:val="center"/>
          </w:tcPr>
          <w:p w14:paraId="7874E76E" w14:textId="77777777" w:rsidR="007D7104" w:rsidRPr="006601BC" w:rsidRDefault="007D7104" w:rsidP="00190BB5">
            <w:pPr>
              <w:spacing w:before="20" w:after="20"/>
              <w:jc w:val="center"/>
              <w:rPr>
                <w:noProof/>
                <w:sz w:val="14"/>
              </w:rPr>
            </w:pPr>
            <w:r w:rsidRPr="006601BC">
              <w:rPr>
                <w:noProof/>
                <w:sz w:val="14"/>
              </w:rPr>
              <w:t>(2)</w:t>
            </w:r>
          </w:p>
        </w:tc>
        <w:tc>
          <w:tcPr>
            <w:tcW w:w="734" w:type="dxa"/>
            <w:vAlign w:val="center"/>
          </w:tcPr>
          <w:p w14:paraId="37DF4E10" w14:textId="77777777" w:rsidR="007D7104" w:rsidRPr="006601BC" w:rsidRDefault="007D7104" w:rsidP="00190BB5">
            <w:pPr>
              <w:spacing w:before="20" w:after="20"/>
              <w:jc w:val="right"/>
              <w:rPr>
                <w:noProof/>
                <w:sz w:val="20"/>
              </w:rPr>
            </w:pPr>
          </w:p>
        </w:tc>
        <w:tc>
          <w:tcPr>
            <w:tcW w:w="1080" w:type="dxa"/>
            <w:vAlign w:val="center"/>
          </w:tcPr>
          <w:p w14:paraId="0CC29342" w14:textId="77777777" w:rsidR="007D7104" w:rsidRPr="006601BC" w:rsidRDefault="007D7104" w:rsidP="00190BB5">
            <w:pPr>
              <w:spacing w:before="20" w:after="20"/>
              <w:jc w:val="right"/>
              <w:rPr>
                <w:noProof/>
                <w:sz w:val="20"/>
              </w:rPr>
            </w:pPr>
            <w:r w:rsidRPr="006601BC">
              <w:rPr>
                <w:noProof/>
                <w:color w:val="000000"/>
                <w:sz w:val="20"/>
                <w:szCs w:val="20"/>
              </w:rPr>
              <w:t>12,350</w:t>
            </w:r>
          </w:p>
        </w:tc>
        <w:tc>
          <w:tcPr>
            <w:tcW w:w="1081" w:type="dxa"/>
            <w:vAlign w:val="center"/>
          </w:tcPr>
          <w:p w14:paraId="1F97FD7B" w14:textId="77777777" w:rsidR="007D7104" w:rsidRPr="006601BC" w:rsidRDefault="007D7104" w:rsidP="00190BB5">
            <w:pPr>
              <w:spacing w:before="20" w:after="20"/>
              <w:jc w:val="right"/>
              <w:rPr>
                <w:noProof/>
                <w:sz w:val="20"/>
              </w:rPr>
            </w:pPr>
            <w:r w:rsidRPr="006601BC">
              <w:rPr>
                <w:noProof/>
                <w:color w:val="000000"/>
                <w:sz w:val="20"/>
                <w:szCs w:val="20"/>
              </w:rPr>
              <w:t>24,700</w:t>
            </w:r>
          </w:p>
        </w:tc>
        <w:tc>
          <w:tcPr>
            <w:tcW w:w="1081" w:type="dxa"/>
            <w:vAlign w:val="center"/>
          </w:tcPr>
          <w:p w14:paraId="24E41B7F" w14:textId="77777777" w:rsidR="007D7104" w:rsidRPr="006601BC" w:rsidRDefault="007D7104" w:rsidP="00190BB5">
            <w:pPr>
              <w:spacing w:before="20" w:after="20"/>
              <w:jc w:val="right"/>
              <w:rPr>
                <w:noProof/>
                <w:sz w:val="20"/>
              </w:rPr>
            </w:pPr>
            <w:r w:rsidRPr="006601BC">
              <w:rPr>
                <w:noProof/>
                <w:color w:val="000000"/>
                <w:sz w:val="20"/>
                <w:szCs w:val="20"/>
              </w:rPr>
              <w:t>41,167</w:t>
            </w:r>
          </w:p>
        </w:tc>
        <w:tc>
          <w:tcPr>
            <w:tcW w:w="1081" w:type="dxa"/>
            <w:vAlign w:val="center"/>
          </w:tcPr>
          <w:p w14:paraId="5DFF995F" w14:textId="77777777" w:rsidR="007D7104" w:rsidRPr="006601BC" w:rsidRDefault="007D7104" w:rsidP="00190BB5">
            <w:pPr>
              <w:spacing w:before="20" w:after="20"/>
              <w:jc w:val="right"/>
              <w:rPr>
                <w:noProof/>
                <w:sz w:val="20"/>
              </w:rPr>
            </w:pPr>
            <w:r w:rsidRPr="006601BC">
              <w:rPr>
                <w:noProof/>
                <w:color w:val="000000"/>
                <w:sz w:val="20"/>
                <w:szCs w:val="20"/>
              </w:rPr>
              <w:t>41,167</w:t>
            </w:r>
          </w:p>
        </w:tc>
        <w:tc>
          <w:tcPr>
            <w:tcW w:w="1081" w:type="dxa"/>
            <w:vAlign w:val="center"/>
          </w:tcPr>
          <w:p w14:paraId="31ABC13B" w14:textId="77777777" w:rsidR="007D7104" w:rsidRPr="006601BC" w:rsidRDefault="007D7104" w:rsidP="00190BB5">
            <w:pPr>
              <w:spacing w:before="20" w:after="20"/>
              <w:jc w:val="right"/>
              <w:rPr>
                <w:noProof/>
                <w:sz w:val="20"/>
              </w:rPr>
            </w:pPr>
            <w:r w:rsidRPr="006601BC">
              <w:rPr>
                <w:noProof/>
                <w:color w:val="000000"/>
                <w:sz w:val="20"/>
                <w:szCs w:val="20"/>
              </w:rPr>
              <w:t>41,167</w:t>
            </w:r>
          </w:p>
        </w:tc>
        <w:tc>
          <w:tcPr>
            <w:tcW w:w="1081" w:type="dxa"/>
            <w:vAlign w:val="center"/>
          </w:tcPr>
          <w:p w14:paraId="2520C79B" w14:textId="77777777" w:rsidR="007D7104" w:rsidRPr="006601BC" w:rsidRDefault="007D7104" w:rsidP="00190BB5">
            <w:pPr>
              <w:spacing w:before="20" w:after="20"/>
              <w:jc w:val="right"/>
              <w:rPr>
                <w:b/>
                <w:noProof/>
                <w:sz w:val="20"/>
              </w:rPr>
            </w:pPr>
            <w:r w:rsidRPr="006601BC">
              <w:rPr>
                <w:noProof/>
                <w:color w:val="000000"/>
                <w:sz w:val="20"/>
                <w:szCs w:val="20"/>
              </w:rPr>
              <w:t>41,167</w:t>
            </w:r>
          </w:p>
        </w:tc>
        <w:tc>
          <w:tcPr>
            <w:tcW w:w="1081" w:type="dxa"/>
            <w:vAlign w:val="center"/>
          </w:tcPr>
          <w:p w14:paraId="7596509C" w14:textId="77777777" w:rsidR="007D7104" w:rsidRPr="006601BC" w:rsidRDefault="007D7104" w:rsidP="00190BB5">
            <w:pPr>
              <w:spacing w:before="20" w:after="20"/>
              <w:jc w:val="right"/>
              <w:rPr>
                <w:b/>
                <w:noProof/>
                <w:sz w:val="20"/>
              </w:rPr>
            </w:pPr>
            <w:r w:rsidRPr="006601BC">
              <w:rPr>
                <w:noProof/>
                <w:color w:val="000000"/>
                <w:sz w:val="20"/>
                <w:szCs w:val="20"/>
              </w:rPr>
              <w:t>45,283</w:t>
            </w:r>
          </w:p>
        </w:tc>
        <w:tc>
          <w:tcPr>
            <w:tcW w:w="1081" w:type="dxa"/>
            <w:vAlign w:val="center"/>
          </w:tcPr>
          <w:p w14:paraId="229F5F91" w14:textId="77777777" w:rsidR="007D7104" w:rsidRPr="006601BC" w:rsidRDefault="007D7104" w:rsidP="00190BB5">
            <w:pPr>
              <w:spacing w:before="20" w:after="20"/>
              <w:jc w:val="right"/>
              <w:rPr>
                <w:b/>
                <w:noProof/>
                <w:sz w:val="20"/>
              </w:rPr>
            </w:pPr>
            <w:r w:rsidRPr="006601BC">
              <w:rPr>
                <w:b/>
                <w:bCs/>
                <w:noProof/>
                <w:color w:val="000000"/>
                <w:sz w:val="20"/>
                <w:szCs w:val="20"/>
              </w:rPr>
              <w:t>247,000</w:t>
            </w:r>
          </w:p>
        </w:tc>
      </w:tr>
      <w:tr w:rsidR="007D7104" w:rsidRPr="006601BC" w14:paraId="010EC093" w14:textId="77777777" w:rsidTr="00190BB5">
        <w:trPr>
          <w:trHeight w:val="231"/>
        </w:trPr>
        <w:tc>
          <w:tcPr>
            <w:tcW w:w="3762" w:type="dxa"/>
            <w:vAlign w:val="center"/>
          </w:tcPr>
          <w:p w14:paraId="50F00001" w14:textId="77777777" w:rsidR="007D7104" w:rsidRPr="006601BC" w:rsidRDefault="007D7104" w:rsidP="00190BB5">
            <w:pPr>
              <w:spacing w:before="20" w:after="20"/>
              <w:rPr>
                <w:noProof/>
              </w:rPr>
            </w:pPr>
            <w:r w:rsidRPr="006601BC">
              <w:rPr>
                <w:noProof/>
                <w:sz w:val="21"/>
              </w:rPr>
              <w:sym w:font="Wingdings" w:char="F09F"/>
            </w:r>
            <w:r w:rsidRPr="006601BC">
              <w:rPr>
                <w:noProof/>
                <w:sz w:val="21"/>
              </w:rPr>
              <w:t xml:space="preserve"> Bizonyos egyedi programok keretéből finanszírozott igazgatási jellegű előirányzatok</w:t>
            </w:r>
            <w:r w:rsidRPr="006601BC">
              <w:rPr>
                <w:rStyle w:val="FootnoteReference"/>
                <w:noProof/>
                <w:sz w:val="21"/>
              </w:rPr>
              <w:footnoteReference w:id="40"/>
            </w:r>
            <w:r w:rsidRPr="006601BC">
              <w:rPr>
                <w:noProof/>
                <w:sz w:val="21"/>
              </w:rPr>
              <w:t xml:space="preserve"> </w:t>
            </w:r>
          </w:p>
        </w:tc>
        <w:tc>
          <w:tcPr>
            <w:tcW w:w="1278" w:type="dxa"/>
            <w:vAlign w:val="center"/>
          </w:tcPr>
          <w:p w14:paraId="223D1123" w14:textId="77777777" w:rsidR="007D7104" w:rsidRPr="006601BC" w:rsidRDefault="007D7104" w:rsidP="00190BB5">
            <w:pPr>
              <w:spacing w:before="0" w:after="0"/>
              <w:rPr>
                <w:noProof/>
              </w:rPr>
            </w:pPr>
          </w:p>
        </w:tc>
        <w:tc>
          <w:tcPr>
            <w:tcW w:w="540" w:type="dxa"/>
            <w:vAlign w:val="center"/>
          </w:tcPr>
          <w:p w14:paraId="1BC73F56" w14:textId="77777777" w:rsidR="007D7104" w:rsidRPr="006601BC" w:rsidRDefault="007D7104" w:rsidP="00190BB5">
            <w:pPr>
              <w:spacing w:before="20" w:after="20"/>
              <w:jc w:val="center"/>
              <w:rPr>
                <w:noProof/>
              </w:rPr>
            </w:pPr>
          </w:p>
        </w:tc>
        <w:tc>
          <w:tcPr>
            <w:tcW w:w="734" w:type="dxa"/>
            <w:vAlign w:val="center"/>
          </w:tcPr>
          <w:p w14:paraId="45D594FE" w14:textId="77777777" w:rsidR="007D7104" w:rsidRPr="006601BC" w:rsidRDefault="007D7104" w:rsidP="00190BB5">
            <w:pPr>
              <w:rPr>
                <w:b/>
                <w:noProof/>
                <w:sz w:val="20"/>
              </w:rPr>
            </w:pPr>
          </w:p>
        </w:tc>
        <w:tc>
          <w:tcPr>
            <w:tcW w:w="1080" w:type="dxa"/>
            <w:vAlign w:val="center"/>
          </w:tcPr>
          <w:p w14:paraId="2DC1AA71" w14:textId="77777777" w:rsidR="007D7104" w:rsidRPr="006601BC" w:rsidRDefault="007D7104" w:rsidP="00190BB5">
            <w:pPr>
              <w:rPr>
                <w:b/>
                <w:noProof/>
                <w:sz w:val="20"/>
              </w:rPr>
            </w:pPr>
            <w:r w:rsidRPr="006601BC">
              <w:rPr>
                <w:b/>
                <w:bCs/>
                <w:noProof/>
                <w:color w:val="000000"/>
                <w:sz w:val="20"/>
              </w:rPr>
              <w:t xml:space="preserve"> </w:t>
            </w:r>
          </w:p>
        </w:tc>
        <w:tc>
          <w:tcPr>
            <w:tcW w:w="1081" w:type="dxa"/>
            <w:vAlign w:val="center"/>
          </w:tcPr>
          <w:p w14:paraId="79B4868A" w14:textId="77777777" w:rsidR="007D7104" w:rsidRPr="006601BC" w:rsidRDefault="007D7104" w:rsidP="00190BB5">
            <w:pPr>
              <w:rPr>
                <w:b/>
                <w:noProof/>
                <w:sz w:val="20"/>
              </w:rPr>
            </w:pPr>
            <w:r w:rsidRPr="006601BC">
              <w:rPr>
                <w:b/>
                <w:bCs/>
                <w:noProof/>
                <w:color w:val="000000"/>
                <w:sz w:val="20"/>
              </w:rPr>
              <w:t xml:space="preserve"> </w:t>
            </w:r>
          </w:p>
        </w:tc>
        <w:tc>
          <w:tcPr>
            <w:tcW w:w="1081" w:type="dxa"/>
            <w:vAlign w:val="center"/>
          </w:tcPr>
          <w:p w14:paraId="1D9A6601" w14:textId="77777777" w:rsidR="007D7104" w:rsidRPr="006601BC" w:rsidRDefault="007D7104" w:rsidP="00190BB5">
            <w:pPr>
              <w:rPr>
                <w:b/>
                <w:noProof/>
                <w:sz w:val="20"/>
              </w:rPr>
            </w:pPr>
            <w:r w:rsidRPr="006601BC">
              <w:rPr>
                <w:b/>
                <w:bCs/>
                <w:noProof/>
                <w:color w:val="000000"/>
                <w:sz w:val="20"/>
              </w:rPr>
              <w:t xml:space="preserve"> </w:t>
            </w:r>
          </w:p>
        </w:tc>
        <w:tc>
          <w:tcPr>
            <w:tcW w:w="1081" w:type="dxa"/>
            <w:vAlign w:val="center"/>
          </w:tcPr>
          <w:p w14:paraId="4747F03B" w14:textId="77777777" w:rsidR="007D7104" w:rsidRPr="006601BC" w:rsidRDefault="007D7104" w:rsidP="00190BB5">
            <w:pPr>
              <w:rPr>
                <w:b/>
                <w:noProof/>
                <w:sz w:val="20"/>
              </w:rPr>
            </w:pPr>
            <w:r w:rsidRPr="006601BC">
              <w:rPr>
                <w:b/>
                <w:bCs/>
                <w:noProof/>
                <w:color w:val="000000"/>
                <w:sz w:val="20"/>
              </w:rPr>
              <w:t xml:space="preserve"> </w:t>
            </w:r>
          </w:p>
        </w:tc>
        <w:tc>
          <w:tcPr>
            <w:tcW w:w="1081" w:type="dxa"/>
            <w:vAlign w:val="center"/>
          </w:tcPr>
          <w:p w14:paraId="2DD7E64B" w14:textId="77777777" w:rsidR="007D7104" w:rsidRPr="006601BC" w:rsidRDefault="007D7104" w:rsidP="00190BB5">
            <w:pPr>
              <w:rPr>
                <w:b/>
                <w:noProof/>
                <w:sz w:val="20"/>
              </w:rPr>
            </w:pPr>
            <w:r w:rsidRPr="006601BC">
              <w:rPr>
                <w:b/>
                <w:bCs/>
                <w:noProof/>
                <w:color w:val="000000"/>
                <w:sz w:val="20"/>
              </w:rPr>
              <w:t xml:space="preserve"> </w:t>
            </w:r>
          </w:p>
        </w:tc>
        <w:tc>
          <w:tcPr>
            <w:tcW w:w="1081" w:type="dxa"/>
            <w:vAlign w:val="center"/>
          </w:tcPr>
          <w:p w14:paraId="4EAAA370" w14:textId="77777777" w:rsidR="007D7104" w:rsidRPr="006601BC" w:rsidRDefault="007D7104" w:rsidP="00190BB5">
            <w:pPr>
              <w:rPr>
                <w:b/>
                <w:noProof/>
                <w:sz w:val="20"/>
              </w:rPr>
            </w:pPr>
            <w:r w:rsidRPr="006601BC">
              <w:rPr>
                <w:b/>
                <w:bCs/>
                <w:noProof/>
                <w:color w:val="000000"/>
                <w:sz w:val="20"/>
              </w:rPr>
              <w:t xml:space="preserve"> </w:t>
            </w:r>
          </w:p>
        </w:tc>
        <w:tc>
          <w:tcPr>
            <w:tcW w:w="1081" w:type="dxa"/>
            <w:vAlign w:val="center"/>
          </w:tcPr>
          <w:p w14:paraId="034CD183" w14:textId="77777777" w:rsidR="007D7104" w:rsidRPr="006601BC" w:rsidRDefault="007D7104" w:rsidP="00190BB5">
            <w:pPr>
              <w:rPr>
                <w:b/>
                <w:noProof/>
                <w:sz w:val="20"/>
              </w:rPr>
            </w:pPr>
            <w:r w:rsidRPr="006601BC">
              <w:rPr>
                <w:b/>
                <w:bCs/>
                <w:noProof/>
                <w:color w:val="000000"/>
                <w:sz w:val="20"/>
              </w:rPr>
              <w:t xml:space="preserve"> </w:t>
            </w:r>
          </w:p>
        </w:tc>
        <w:tc>
          <w:tcPr>
            <w:tcW w:w="1081" w:type="dxa"/>
            <w:vAlign w:val="center"/>
          </w:tcPr>
          <w:p w14:paraId="350E4F8E" w14:textId="77777777" w:rsidR="007D7104" w:rsidRPr="006601BC" w:rsidRDefault="007D7104" w:rsidP="00190BB5">
            <w:pPr>
              <w:spacing w:before="0" w:after="0"/>
              <w:jc w:val="right"/>
              <w:rPr>
                <w:b/>
                <w:noProof/>
                <w:sz w:val="20"/>
              </w:rPr>
            </w:pPr>
            <w:r w:rsidRPr="006601BC">
              <w:rPr>
                <w:b/>
                <w:bCs/>
                <w:noProof/>
                <w:color w:val="000000"/>
                <w:sz w:val="20"/>
              </w:rPr>
              <w:t xml:space="preserve"> </w:t>
            </w:r>
          </w:p>
        </w:tc>
      </w:tr>
      <w:tr w:rsidR="007D7104" w:rsidRPr="006601BC" w14:paraId="6DFE96C3" w14:textId="77777777" w:rsidTr="00190BB5">
        <w:trPr>
          <w:trHeight w:val="319"/>
        </w:trPr>
        <w:tc>
          <w:tcPr>
            <w:tcW w:w="3762" w:type="dxa"/>
            <w:vAlign w:val="center"/>
          </w:tcPr>
          <w:p w14:paraId="2DFE848C" w14:textId="77777777" w:rsidR="007D7104" w:rsidRPr="006601BC" w:rsidRDefault="007D7104" w:rsidP="00190BB5">
            <w:pPr>
              <w:spacing w:before="60" w:after="60"/>
              <w:rPr>
                <w:noProof/>
              </w:rPr>
            </w:pPr>
          </w:p>
        </w:tc>
        <w:tc>
          <w:tcPr>
            <w:tcW w:w="1278" w:type="dxa"/>
            <w:vAlign w:val="center"/>
          </w:tcPr>
          <w:p w14:paraId="182FAABB" w14:textId="77777777" w:rsidR="007D7104" w:rsidRPr="006601BC" w:rsidRDefault="007D7104" w:rsidP="00190BB5">
            <w:pPr>
              <w:spacing w:before="40" w:after="40"/>
              <w:jc w:val="right"/>
              <w:rPr>
                <w:noProof/>
                <w:sz w:val="18"/>
              </w:rPr>
            </w:pPr>
            <w:r w:rsidRPr="006601BC">
              <w:rPr>
                <w:noProof/>
                <w:sz w:val="18"/>
              </w:rPr>
              <w:t>Kötelezettségvállalási előirányzatok = kifizetési előirányzatok</w:t>
            </w:r>
          </w:p>
        </w:tc>
        <w:tc>
          <w:tcPr>
            <w:tcW w:w="540" w:type="dxa"/>
            <w:vAlign w:val="center"/>
          </w:tcPr>
          <w:p w14:paraId="77B58BEE" w14:textId="77777777" w:rsidR="007D7104" w:rsidRPr="006601BC" w:rsidRDefault="007D7104" w:rsidP="00190BB5">
            <w:pPr>
              <w:spacing w:before="40" w:after="40"/>
              <w:jc w:val="center"/>
              <w:rPr>
                <w:noProof/>
                <w:sz w:val="14"/>
              </w:rPr>
            </w:pPr>
            <w:r w:rsidRPr="006601BC">
              <w:rPr>
                <w:noProof/>
                <w:sz w:val="14"/>
              </w:rPr>
              <w:t>(3)</w:t>
            </w:r>
          </w:p>
        </w:tc>
        <w:tc>
          <w:tcPr>
            <w:tcW w:w="734" w:type="dxa"/>
            <w:vAlign w:val="center"/>
          </w:tcPr>
          <w:p w14:paraId="0AC6104E" w14:textId="77777777" w:rsidR="007D7104" w:rsidRPr="006601BC" w:rsidRDefault="007D7104" w:rsidP="00190BB5">
            <w:pPr>
              <w:spacing w:before="40" w:after="40"/>
              <w:jc w:val="right"/>
              <w:rPr>
                <w:b/>
                <w:noProof/>
                <w:sz w:val="20"/>
              </w:rPr>
            </w:pPr>
          </w:p>
        </w:tc>
        <w:tc>
          <w:tcPr>
            <w:tcW w:w="1080" w:type="dxa"/>
            <w:vAlign w:val="center"/>
          </w:tcPr>
          <w:p w14:paraId="6B6C2C51" w14:textId="77777777" w:rsidR="007D7104" w:rsidRPr="006601BC" w:rsidRDefault="007D7104" w:rsidP="00190BB5">
            <w:pPr>
              <w:spacing w:before="40" w:after="40"/>
              <w:jc w:val="right"/>
              <w:rPr>
                <w:b/>
                <w:noProof/>
                <w:sz w:val="20"/>
              </w:rPr>
            </w:pPr>
            <w:r w:rsidRPr="006601BC">
              <w:rPr>
                <w:noProof/>
                <w:sz w:val="20"/>
              </w:rPr>
              <w:t>p.m.</w:t>
            </w:r>
          </w:p>
        </w:tc>
        <w:tc>
          <w:tcPr>
            <w:tcW w:w="1081" w:type="dxa"/>
            <w:vAlign w:val="center"/>
          </w:tcPr>
          <w:p w14:paraId="2FED112B" w14:textId="77777777" w:rsidR="007D7104" w:rsidRPr="006601BC" w:rsidRDefault="007D7104" w:rsidP="00190BB5">
            <w:pPr>
              <w:spacing w:before="40" w:after="40"/>
              <w:jc w:val="right"/>
              <w:rPr>
                <w:b/>
                <w:noProof/>
                <w:sz w:val="20"/>
              </w:rPr>
            </w:pPr>
            <w:r w:rsidRPr="006601BC">
              <w:rPr>
                <w:noProof/>
                <w:sz w:val="20"/>
              </w:rPr>
              <w:t>p.m.</w:t>
            </w:r>
          </w:p>
        </w:tc>
        <w:tc>
          <w:tcPr>
            <w:tcW w:w="1081" w:type="dxa"/>
            <w:vAlign w:val="center"/>
          </w:tcPr>
          <w:p w14:paraId="34B86E45" w14:textId="77777777" w:rsidR="007D7104" w:rsidRPr="006601BC" w:rsidRDefault="007D7104" w:rsidP="00190BB5">
            <w:pPr>
              <w:spacing w:before="40" w:after="40"/>
              <w:jc w:val="right"/>
              <w:rPr>
                <w:b/>
                <w:noProof/>
                <w:sz w:val="20"/>
              </w:rPr>
            </w:pPr>
            <w:r w:rsidRPr="006601BC">
              <w:rPr>
                <w:noProof/>
                <w:sz w:val="20"/>
              </w:rPr>
              <w:t>p.m.</w:t>
            </w:r>
          </w:p>
        </w:tc>
        <w:tc>
          <w:tcPr>
            <w:tcW w:w="1081" w:type="dxa"/>
            <w:vAlign w:val="center"/>
          </w:tcPr>
          <w:p w14:paraId="226B2A21" w14:textId="77777777" w:rsidR="007D7104" w:rsidRPr="006601BC" w:rsidRDefault="007D7104" w:rsidP="00190BB5">
            <w:pPr>
              <w:spacing w:before="40" w:after="40"/>
              <w:jc w:val="right"/>
              <w:rPr>
                <w:b/>
                <w:noProof/>
                <w:sz w:val="20"/>
              </w:rPr>
            </w:pPr>
            <w:r w:rsidRPr="006601BC">
              <w:rPr>
                <w:noProof/>
                <w:sz w:val="20"/>
              </w:rPr>
              <w:t>p.m.</w:t>
            </w:r>
          </w:p>
        </w:tc>
        <w:tc>
          <w:tcPr>
            <w:tcW w:w="1081" w:type="dxa"/>
            <w:vAlign w:val="center"/>
          </w:tcPr>
          <w:p w14:paraId="043BFE65" w14:textId="77777777" w:rsidR="007D7104" w:rsidRPr="006601BC" w:rsidRDefault="007D7104" w:rsidP="00190BB5">
            <w:pPr>
              <w:spacing w:before="40" w:after="40"/>
              <w:jc w:val="right"/>
              <w:rPr>
                <w:b/>
                <w:noProof/>
                <w:sz w:val="20"/>
              </w:rPr>
            </w:pPr>
            <w:r w:rsidRPr="006601BC">
              <w:rPr>
                <w:noProof/>
                <w:sz w:val="20"/>
              </w:rPr>
              <w:t>p.m.</w:t>
            </w:r>
          </w:p>
        </w:tc>
        <w:tc>
          <w:tcPr>
            <w:tcW w:w="1081" w:type="dxa"/>
            <w:vAlign w:val="center"/>
          </w:tcPr>
          <w:p w14:paraId="0C9B2A55" w14:textId="77777777" w:rsidR="007D7104" w:rsidRPr="006601BC" w:rsidRDefault="007D7104" w:rsidP="00190BB5">
            <w:pPr>
              <w:spacing w:before="40" w:after="40"/>
              <w:jc w:val="right"/>
              <w:rPr>
                <w:b/>
                <w:noProof/>
                <w:sz w:val="20"/>
              </w:rPr>
            </w:pPr>
            <w:r w:rsidRPr="006601BC">
              <w:rPr>
                <w:noProof/>
                <w:sz w:val="20"/>
              </w:rPr>
              <w:t>p.m.</w:t>
            </w:r>
          </w:p>
        </w:tc>
        <w:tc>
          <w:tcPr>
            <w:tcW w:w="1081" w:type="dxa"/>
            <w:vAlign w:val="center"/>
          </w:tcPr>
          <w:p w14:paraId="37B3B6DA" w14:textId="77777777" w:rsidR="007D7104" w:rsidRPr="006601BC" w:rsidRDefault="007D7104" w:rsidP="00190BB5">
            <w:pPr>
              <w:spacing w:before="40" w:after="40"/>
              <w:jc w:val="right"/>
              <w:rPr>
                <w:b/>
                <w:noProof/>
                <w:sz w:val="20"/>
              </w:rPr>
            </w:pPr>
          </w:p>
        </w:tc>
        <w:tc>
          <w:tcPr>
            <w:tcW w:w="1081" w:type="dxa"/>
            <w:vAlign w:val="center"/>
          </w:tcPr>
          <w:p w14:paraId="047A96FA" w14:textId="77777777" w:rsidR="007D7104" w:rsidRPr="006601BC" w:rsidRDefault="007D7104" w:rsidP="00190BB5">
            <w:pPr>
              <w:spacing w:before="40" w:after="40"/>
              <w:jc w:val="right"/>
              <w:rPr>
                <w:b/>
                <w:noProof/>
                <w:sz w:val="20"/>
              </w:rPr>
            </w:pPr>
            <w:r w:rsidRPr="006601BC">
              <w:rPr>
                <w:b/>
                <w:bCs/>
                <w:noProof/>
                <w:color w:val="000000"/>
                <w:sz w:val="20"/>
                <w:szCs w:val="20"/>
              </w:rPr>
              <w:t>p.m.</w:t>
            </w:r>
          </w:p>
        </w:tc>
      </w:tr>
      <w:tr w:rsidR="007D7104" w:rsidRPr="006601BC" w14:paraId="7F890070" w14:textId="77777777" w:rsidTr="00190BB5">
        <w:tc>
          <w:tcPr>
            <w:tcW w:w="3762" w:type="dxa"/>
            <w:vMerge w:val="restart"/>
            <w:vAlign w:val="center"/>
          </w:tcPr>
          <w:p w14:paraId="5AEA9B8B" w14:textId="77777777" w:rsidR="007D7104" w:rsidRPr="006601BC" w:rsidRDefault="007D7104" w:rsidP="00190BB5">
            <w:pPr>
              <w:jc w:val="center"/>
              <w:rPr>
                <w:b/>
                <w:noProof/>
              </w:rPr>
            </w:pPr>
            <w:r w:rsidRPr="006601BC">
              <w:rPr>
                <w:b/>
                <w:noProof/>
                <w:sz w:val="22"/>
              </w:rPr>
              <w:t>A programkeretre szóló előirányzatok a költségvetési eljárásokból</w:t>
            </w:r>
            <w:r w:rsidRPr="006601BC">
              <w:rPr>
                <w:noProof/>
              </w:rPr>
              <w:t xml:space="preserve"> </w:t>
            </w:r>
            <w:r w:rsidRPr="006601BC">
              <w:rPr>
                <w:noProof/>
              </w:rPr>
              <w:br/>
            </w:r>
            <w:r w:rsidRPr="006601BC">
              <w:rPr>
                <w:b/>
                <w:noProof/>
                <w:sz w:val="22"/>
              </w:rPr>
              <w:t>ÖSSZESEN</w:t>
            </w:r>
          </w:p>
        </w:tc>
        <w:tc>
          <w:tcPr>
            <w:tcW w:w="1278" w:type="dxa"/>
            <w:vAlign w:val="center"/>
          </w:tcPr>
          <w:p w14:paraId="755E0221" w14:textId="77777777" w:rsidR="007D7104" w:rsidRPr="006601BC" w:rsidRDefault="007D7104" w:rsidP="00190BB5">
            <w:pPr>
              <w:rPr>
                <w:noProof/>
                <w:sz w:val="18"/>
              </w:rPr>
            </w:pPr>
            <w:r w:rsidRPr="006601BC">
              <w:rPr>
                <w:noProof/>
                <w:sz w:val="18"/>
              </w:rPr>
              <w:t>Kötelezettségvállalási előirányzatok</w:t>
            </w:r>
          </w:p>
        </w:tc>
        <w:tc>
          <w:tcPr>
            <w:tcW w:w="540" w:type="dxa"/>
            <w:vAlign w:val="center"/>
          </w:tcPr>
          <w:p w14:paraId="328495A3" w14:textId="77777777" w:rsidR="007D7104" w:rsidRPr="006601BC" w:rsidRDefault="007D7104" w:rsidP="00190BB5">
            <w:pPr>
              <w:jc w:val="center"/>
              <w:rPr>
                <w:noProof/>
                <w:sz w:val="14"/>
              </w:rPr>
            </w:pPr>
            <w:r w:rsidRPr="006601BC">
              <w:rPr>
                <w:noProof/>
                <w:sz w:val="14"/>
              </w:rPr>
              <w:t>=1+1a +3</w:t>
            </w:r>
          </w:p>
        </w:tc>
        <w:tc>
          <w:tcPr>
            <w:tcW w:w="734" w:type="dxa"/>
            <w:vAlign w:val="center"/>
          </w:tcPr>
          <w:p w14:paraId="236D6C8D" w14:textId="77777777" w:rsidR="007D7104" w:rsidRPr="006601BC" w:rsidRDefault="007D7104" w:rsidP="00190BB5">
            <w:pPr>
              <w:spacing w:before="20" w:after="20"/>
              <w:jc w:val="right"/>
              <w:rPr>
                <w:noProof/>
                <w:sz w:val="20"/>
              </w:rPr>
            </w:pPr>
          </w:p>
        </w:tc>
        <w:tc>
          <w:tcPr>
            <w:tcW w:w="1080" w:type="dxa"/>
            <w:vAlign w:val="center"/>
          </w:tcPr>
          <w:p w14:paraId="37EA2B00" w14:textId="77777777" w:rsidR="007D7104" w:rsidRPr="006601BC" w:rsidRDefault="007D7104" w:rsidP="00190BB5">
            <w:pPr>
              <w:spacing w:before="20" w:after="20"/>
              <w:jc w:val="right"/>
              <w:rPr>
                <w:noProof/>
                <w:sz w:val="20"/>
              </w:rPr>
            </w:pPr>
            <w:r w:rsidRPr="006601BC">
              <w:rPr>
                <w:noProof/>
                <w:color w:val="000000"/>
                <w:sz w:val="20"/>
                <w:szCs w:val="20"/>
              </w:rPr>
              <w:t>41,167</w:t>
            </w:r>
          </w:p>
        </w:tc>
        <w:tc>
          <w:tcPr>
            <w:tcW w:w="1081" w:type="dxa"/>
            <w:vAlign w:val="center"/>
          </w:tcPr>
          <w:p w14:paraId="2D80674F" w14:textId="77777777" w:rsidR="007D7104" w:rsidRPr="006601BC" w:rsidRDefault="007D7104" w:rsidP="00190BB5">
            <w:pPr>
              <w:spacing w:before="20" w:after="20"/>
              <w:jc w:val="right"/>
              <w:rPr>
                <w:noProof/>
                <w:sz w:val="20"/>
              </w:rPr>
            </w:pPr>
            <w:r w:rsidRPr="006601BC">
              <w:rPr>
                <w:noProof/>
                <w:color w:val="000000"/>
                <w:sz w:val="20"/>
                <w:szCs w:val="20"/>
              </w:rPr>
              <w:t>41,167</w:t>
            </w:r>
          </w:p>
        </w:tc>
        <w:tc>
          <w:tcPr>
            <w:tcW w:w="1081" w:type="dxa"/>
            <w:vAlign w:val="center"/>
          </w:tcPr>
          <w:p w14:paraId="3208000A" w14:textId="77777777" w:rsidR="007D7104" w:rsidRPr="006601BC" w:rsidRDefault="007D7104" w:rsidP="00190BB5">
            <w:pPr>
              <w:spacing w:before="20" w:after="20"/>
              <w:jc w:val="right"/>
              <w:rPr>
                <w:noProof/>
                <w:sz w:val="20"/>
              </w:rPr>
            </w:pPr>
            <w:r w:rsidRPr="006601BC">
              <w:rPr>
                <w:noProof/>
                <w:color w:val="000000"/>
                <w:sz w:val="20"/>
                <w:szCs w:val="20"/>
              </w:rPr>
              <w:t>41,167</w:t>
            </w:r>
          </w:p>
        </w:tc>
        <w:tc>
          <w:tcPr>
            <w:tcW w:w="1081" w:type="dxa"/>
            <w:vAlign w:val="center"/>
          </w:tcPr>
          <w:p w14:paraId="77F65E44" w14:textId="77777777" w:rsidR="007D7104" w:rsidRPr="006601BC" w:rsidRDefault="007D7104" w:rsidP="00190BB5">
            <w:pPr>
              <w:spacing w:before="20" w:after="20"/>
              <w:jc w:val="right"/>
              <w:rPr>
                <w:noProof/>
                <w:sz w:val="20"/>
              </w:rPr>
            </w:pPr>
            <w:r w:rsidRPr="006601BC">
              <w:rPr>
                <w:noProof/>
                <w:color w:val="000000"/>
                <w:sz w:val="20"/>
                <w:szCs w:val="20"/>
              </w:rPr>
              <w:t>41,167</w:t>
            </w:r>
          </w:p>
        </w:tc>
        <w:tc>
          <w:tcPr>
            <w:tcW w:w="1081" w:type="dxa"/>
            <w:vAlign w:val="center"/>
          </w:tcPr>
          <w:p w14:paraId="418B405A" w14:textId="77777777" w:rsidR="007D7104" w:rsidRPr="006601BC" w:rsidRDefault="007D7104" w:rsidP="00190BB5">
            <w:pPr>
              <w:spacing w:before="20" w:after="20"/>
              <w:jc w:val="right"/>
              <w:rPr>
                <w:noProof/>
                <w:sz w:val="20"/>
              </w:rPr>
            </w:pPr>
            <w:r w:rsidRPr="006601BC">
              <w:rPr>
                <w:noProof/>
                <w:color w:val="000000"/>
                <w:sz w:val="20"/>
                <w:szCs w:val="20"/>
              </w:rPr>
              <w:t>41,167</w:t>
            </w:r>
          </w:p>
        </w:tc>
        <w:tc>
          <w:tcPr>
            <w:tcW w:w="1081" w:type="dxa"/>
            <w:vAlign w:val="center"/>
          </w:tcPr>
          <w:p w14:paraId="16309B08" w14:textId="77777777" w:rsidR="007D7104" w:rsidRPr="006601BC" w:rsidRDefault="007D7104" w:rsidP="00190BB5">
            <w:pPr>
              <w:spacing w:before="20" w:after="20"/>
              <w:jc w:val="right"/>
              <w:rPr>
                <w:b/>
                <w:noProof/>
                <w:sz w:val="20"/>
              </w:rPr>
            </w:pPr>
            <w:r w:rsidRPr="006601BC">
              <w:rPr>
                <w:noProof/>
                <w:color w:val="000000"/>
                <w:sz w:val="20"/>
                <w:szCs w:val="20"/>
              </w:rPr>
              <w:t>41,167</w:t>
            </w:r>
          </w:p>
        </w:tc>
        <w:tc>
          <w:tcPr>
            <w:tcW w:w="1081" w:type="dxa"/>
            <w:vAlign w:val="center"/>
          </w:tcPr>
          <w:p w14:paraId="61B84FAE" w14:textId="77777777" w:rsidR="007D7104" w:rsidRPr="006601BC" w:rsidRDefault="007D7104" w:rsidP="00190BB5">
            <w:pPr>
              <w:spacing w:before="20" w:after="20"/>
              <w:jc w:val="right"/>
              <w:rPr>
                <w:b/>
                <w:noProof/>
                <w:sz w:val="20"/>
              </w:rPr>
            </w:pPr>
            <w:r w:rsidRPr="006601BC">
              <w:rPr>
                <w:noProof/>
                <w:color w:val="000000"/>
                <w:sz w:val="20"/>
                <w:szCs w:val="20"/>
              </w:rPr>
              <w:t>0,000</w:t>
            </w:r>
          </w:p>
        </w:tc>
        <w:tc>
          <w:tcPr>
            <w:tcW w:w="1081" w:type="dxa"/>
            <w:vAlign w:val="center"/>
          </w:tcPr>
          <w:p w14:paraId="76D5B4E1" w14:textId="77777777" w:rsidR="007D7104" w:rsidRPr="006601BC" w:rsidRDefault="007D7104" w:rsidP="00190BB5">
            <w:pPr>
              <w:spacing w:before="20" w:after="20"/>
              <w:jc w:val="right"/>
              <w:rPr>
                <w:b/>
                <w:noProof/>
                <w:sz w:val="20"/>
              </w:rPr>
            </w:pPr>
            <w:r w:rsidRPr="006601BC">
              <w:rPr>
                <w:b/>
                <w:bCs/>
                <w:noProof/>
                <w:color w:val="000000"/>
                <w:sz w:val="20"/>
                <w:szCs w:val="20"/>
              </w:rPr>
              <w:t>247,000</w:t>
            </w:r>
          </w:p>
        </w:tc>
      </w:tr>
      <w:tr w:rsidR="007D7104" w:rsidRPr="006601BC" w14:paraId="484380C0" w14:textId="77777777" w:rsidTr="00190BB5">
        <w:tc>
          <w:tcPr>
            <w:tcW w:w="3762" w:type="dxa"/>
            <w:vMerge/>
          </w:tcPr>
          <w:p w14:paraId="45E2CDAF" w14:textId="77777777" w:rsidR="007D7104" w:rsidRPr="006601BC" w:rsidRDefault="007D7104" w:rsidP="00190BB5">
            <w:pPr>
              <w:rPr>
                <w:noProof/>
                <w:sz w:val="20"/>
              </w:rPr>
            </w:pPr>
          </w:p>
        </w:tc>
        <w:tc>
          <w:tcPr>
            <w:tcW w:w="1278" w:type="dxa"/>
            <w:vAlign w:val="center"/>
          </w:tcPr>
          <w:p w14:paraId="28F99C4D" w14:textId="77777777" w:rsidR="007D7104" w:rsidRPr="006601BC" w:rsidRDefault="007D7104" w:rsidP="00190BB5">
            <w:pPr>
              <w:rPr>
                <w:noProof/>
                <w:sz w:val="18"/>
              </w:rPr>
            </w:pPr>
            <w:r w:rsidRPr="006601BC">
              <w:rPr>
                <w:noProof/>
                <w:sz w:val="18"/>
              </w:rPr>
              <w:t>Kifizetési előirányzatok</w:t>
            </w:r>
          </w:p>
        </w:tc>
        <w:tc>
          <w:tcPr>
            <w:tcW w:w="540" w:type="dxa"/>
            <w:vAlign w:val="center"/>
          </w:tcPr>
          <w:p w14:paraId="0AEDF4C4" w14:textId="77777777" w:rsidR="007D7104" w:rsidRPr="006601BC" w:rsidRDefault="007D7104" w:rsidP="00190BB5">
            <w:pPr>
              <w:jc w:val="center"/>
              <w:rPr>
                <w:noProof/>
                <w:sz w:val="14"/>
              </w:rPr>
            </w:pPr>
            <w:r w:rsidRPr="006601BC">
              <w:rPr>
                <w:noProof/>
                <w:sz w:val="14"/>
              </w:rPr>
              <w:t>=2+2a</w:t>
            </w:r>
          </w:p>
          <w:p w14:paraId="65D3BEEB" w14:textId="77777777" w:rsidR="007D7104" w:rsidRPr="006601BC" w:rsidRDefault="007D7104" w:rsidP="00190BB5">
            <w:pPr>
              <w:jc w:val="center"/>
              <w:rPr>
                <w:noProof/>
                <w:sz w:val="14"/>
              </w:rPr>
            </w:pPr>
            <w:r w:rsidRPr="006601BC">
              <w:rPr>
                <w:noProof/>
                <w:sz w:val="14"/>
              </w:rPr>
              <w:t>+3</w:t>
            </w:r>
          </w:p>
        </w:tc>
        <w:tc>
          <w:tcPr>
            <w:tcW w:w="734" w:type="dxa"/>
            <w:vAlign w:val="center"/>
          </w:tcPr>
          <w:p w14:paraId="075034A9" w14:textId="77777777" w:rsidR="007D7104" w:rsidRPr="006601BC" w:rsidRDefault="007D7104" w:rsidP="00190BB5">
            <w:pPr>
              <w:spacing w:before="20" w:after="20"/>
              <w:jc w:val="right"/>
              <w:rPr>
                <w:noProof/>
                <w:sz w:val="20"/>
              </w:rPr>
            </w:pPr>
          </w:p>
        </w:tc>
        <w:tc>
          <w:tcPr>
            <w:tcW w:w="1080" w:type="dxa"/>
            <w:vAlign w:val="center"/>
          </w:tcPr>
          <w:p w14:paraId="2B00F177" w14:textId="77777777" w:rsidR="007D7104" w:rsidRPr="006601BC" w:rsidRDefault="007D7104" w:rsidP="00190BB5">
            <w:pPr>
              <w:spacing w:before="20" w:after="20"/>
              <w:jc w:val="right"/>
              <w:rPr>
                <w:noProof/>
                <w:sz w:val="20"/>
              </w:rPr>
            </w:pPr>
            <w:r w:rsidRPr="006601BC">
              <w:rPr>
                <w:noProof/>
                <w:color w:val="000000"/>
                <w:sz w:val="20"/>
                <w:szCs w:val="20"/>
              </w:rPr>
              <w:t>12,350</w:t>
            </w:r>
          </w:p>
        </w:tc>
        <w:tc>
          <w:tcPr>
            <w:tcW w:w="1081" w:type="dxa"/>
            <w:vAlign w:val="center"/>
          </w:tcPr>
          <w:p w14:paraId="5E3C334D" w14:textId="77777777" w:rsidR="007D7104" w:rsidRPr="006601BC" w:rsidRDefault="007D7104" w:rsidP="00190BB5">
            <w:pPr>
              <w:spacing w:before="20" w:after="20"/>
              <w:jc w:val="right"/>
              <w:rPr>
                <w:noProof/>
                <w:sz w:val="20"/>
              </w:rPr>
            </w:pPr>
            <w:r w:rsidRPr="006601BC">
              <w:rPr>
                <w:noProof/>
                <w:color w:val="000000"/>
                <w:sz w:val="20"/>
                <w:szCs w:val="20"/>
              </w:rPr>
              <w:t>24,700</w:t>
            </w:r>
          </w:p>
        </w:tc>
        <w:tc>
          <w:tcPr>
            <w:tcW w:w="1081" w:type="dxa"/>
            <w:vAlign w:val="center"/>
          </w:tcPr>
          <w:p w14:paraId="4688FF58" w14:textId="77777777" w:rsidR="007D7104" w:rsidRPr="006601BC" w:rsidRDefault="007D7104" w:rsidP="00190BB5">
            <w:pPr>
              <w:spacing w:before="20" w:after="20"/>
              <w:jc w:val="right"/>
              <w:rPr>
                <w:noProof/>
                <w:sz w:val="20"/>
              </w:rPr>
            </w:pPr>
            <w:r w:rsidRPr="006601BC">
              <w:rPr>
                <w:noProof/>
                <w:color w:val="000000"/>
                <w:sz w:val="20"/>
                <w:szCs w:val="20"/>
              </w:rPr>
              <w:t>41,167</w:t>
            </w:r>
          </w:p>
        </w:tc>
        <w:tc>
          <w:tcPr>
            <w:tcW w:w="1081" w:type="dxa"/>
            <w:vAlign w:val="center"/>
          </w:tcPr>
          <w:p w14:paraId="10B89BCD" w14:textId="77777777" w:rsidR="007D7104" w:rsidRPr="006601BC" w:rsidRDefault="007D7104" w:rsidP="00190BB5">
            <w:pPr>
              <w:spacing w:before="20" w:after="20"/>
              <w:jc w:val="right"/>
              <w:rPr>
                <w:noProof/>
                <w:sz w:val="20"/>
              </w:rPr>
            </w:pPr>
            <w:r w:rsidRPr="006601BC">
              <w:rPr>
                <w:noProof/>
                <w:color w:val="000000"/>
                <w:sz w:val="20"/>
                <w:szCs w:val="20"/>
              </w:rPr>
              <w:t>41,167</w:t>
            </w:r>
          </w:p>
        </w:tc>
        <w:tc>
          <w:tcPr>
            <w:tcW w:w="1081" w:type="dxa"/>
            <w:vAlign w:val="center"/>
          </w:tcPr>
          <w:p w14:paraId="153DD03B" w14:textId="77777777" w:rsidR="007D7104" w:rsidRPr="006601BC" w:rsidRDefault="007D7104" w:rsidP="00190BB5">
            <w:pPr>
              <w:spacing w:before="20" w:after="20"/>
              <w:jc w:val="right"/>
              <w:rPr>
                <w:noProof/>
                <w:sz w:val="20"/>
              </w:rPr>
            </w:pPr>
            <w:r w:rsidRPr="006601BC">
              <w:rPr>
                <w:noProof/>
                <w:color w:val="000000"/>
                <w:sz w:val="20"/>
                <w:szCs w:val="20"/>
              </w:rPr>
              <w:t>41,167</w:t>
            </w:r>
          </w:p>
        </w:tc>
        <w:tc>
          <w:tcPr>
            <w:tcW w:w="1081" w:type="dxa"/>
            <w:vAlign w:val="center"/>
          </w:tcPr>
          <w:p w14:paraId="7F6A2938" w14:textId="77777777" w:rsidR="007D7104" w:rsidRPr="006601BC" w:rsidRDefault="007D7104" w:rsidP="00190BB5">
            <w:pPr>
              <w:spacing w:before="20" w:after="20"/>
              <w:jc w:val="right"/>
              <w:rPr>
                <w:b/>
                <w:noProof/>
                <w:sz w:val="20"/>
              </w:rPr>
            </w:pPr>
            <w:r w:rsidRPr="006601BC">
              <w:rPr>
                <w:noProof/>
                <w:color w:val="000000"/>
                <w:sz w:val="20"/>
                <w:szCs w:val="20"/>
              </w:rPr>
              <w:t>41,167</w:t>
            </w:r>
          </w:p>
        </w:tc>
        <w:tc>
          <w:tcPr>
            <w:tcW w:w="1081" w:type="dxa"/>
            <w:vAlign w:val="center"/>
          </w:tcPr>
          <w:p w14:paraId="26BC359E" w14:textId="77777777" w:rsidR="007D7104" w:rsidRPr="006601BC" w:rsidRDefault="007D7104" w:rsidP="00190BB5">
            <w:pPr>
              <w:spacing w:before="20" w:after="20"/>
              <w:jc w:val="right"/>
              <w:rPr>
                <w:b/>
                <w:noProof/>
                <w:sz w:val="20"/>
              </w:rPr>
            </w:pPr>
            <w:r w:rsidRPr="006601BC">
              <w:rPr>
                <w:noProof/>
                <w:color w:val="000000"/>
                <w:sz w:val="20"/>
                <w:szCs w:val="20"/>
              </w:rPr>
              <w:t>45,283</w:t>
            </w:r>
          </w:p>
        </w:tc>
        <w:tc>
          <w:tcPr>
            <w:tcW w:w="1081" w:type="dxa"/>
            <w:vAlign w:val="center"/>
          </w:tcPr>
          <w:p w14:paraId="1D61B402" w14:textId="77777777" w:rsidR="007D7104" w:rsidRPr="006601BC" w:rsidRDefault="007D7104" w:rsidP="00190BB5">
            <w:pPr>
              <w:spacing w:before="20" w:after="20"/>
              <w:jc w:val="right"/>
              <w:rPr>
                <w:b/>
                <w:noProof/>
                <w:sz w:val="20"/>
              </w:rPr>
            </w:pPr>
            <w:r w:rsidRPr="006601BC">
              <w:rPr>
                <w:b/>
                <w:bCs/>
                <w:noProof/>
                <w:color w:val="000000"/>
                <w:sz w:val="20"/>
                <w:szCs w:val="20"/>
              </w:rPr>
              <w:t>247,000</w:t>
            </w:r>
          </w:p>
        </w:tc>
      </w:tr>
    </w:tbl>
    <w:p w14:paraId="60AF1F4A" w14:textId="77777777" w:rsidR="007D7104" w:rsidRPr="006601BC" w:rsidRDefault="007D7104" w:rsidP="007D7104">
      <w:pPr>
        <w:spacing w:after="40"/>
        <w:rPr>
          <w:b/>
          <w:noProof/>
          <w:sz w:val="22"/>
          <w:u w:val="single"/>
        </w:rPr>
      </w:pPr>
    </w:p>
    <w:tbl>
      <w:tblPr>
        <w:tblW w:w="14961" w:type="dxa"/>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780"/>
        <w:gridCol w:w="1260"/>
        <w:gridCol w:w="540"/>
        <w:gridCol w:w="734"/>
        <w:gridCol w:w="1080"/>
        <w:gridCol w:w="1081"/>
        <w:gridCol w:w="1081"/>
        <w:gridCol w:w="1081"/>
        <w:gridCol w:w="1081"/>
        <w:gridCol w:w="1081"/>
        <w:gridCol w:w="1081"/>
        <w:gridCol w:w="1081"/>
      </w:tblGrid>
      <w:tr w:rsidR="007D7104" w:rsidRPr="006601BC" w14:paraId="04F08912" w14:textId="77777777" w:rsidTr="006F251E">
        <w:trPr>
          <w:trHeight w:val="277"/>
        </w:trPr>
        <w:tc>
          <w:tcPr>
            <w:tcW w:w="3780" w:type="dxa"/>
            <w:vMerge w:val="restart"/>
            <w:tcBorders>
              <w:top w:val="single" w:sz="4" w:space="0" w:color="auto"/>
              <w:left w:val="single" w:sz="4" w:space="0" w:color="auto"/>
              <w:bottom w:val="single" w:sz="4" w:space="0" w:color="auto"/>
            </w:tcBorders>
            <w:vAlign w:val="center"/>
          </w:tcPr>
          <w:p w14:paraId="3950360C" w14:textId="77777777" w:rsidR="007D7104" w:rsidRPr="006601BC" w:rsidRDefault="007D7104" w:rsidP="00190BB5">
            <w:pPr>
              <w:spacing w:before="20" w:after="20"/>
              <w:rPr>
                <w:noProof/>
              </w:rPr>
            </w:pPr>
            <w:r w:rsidRPr="006601BC">
              <w:rPr>
                <w:noProof/>
                <w:sz w:val="21"/>
              </w:rPr>
              <w:sym w:font="Wingdings" w:char="F09F"/>
            </w:r>
            <w:r w:rsidRPr="006601BC">
              <w:rPr>
                <w:noProof/>
                <w:sz w:val="21"/>
              </w:rPr>
              <w:t xml:space="preserve"> Operatív előirányzatok ÖSSZESEN (összes operatív fejezet)</w:t>
            </w:r>
          </w:p>
        </w:tc>
        <w:tc>
          <w:tcPr>
            <w:tcW w:w="1260" w:type="dxa"/>
            <w:tcBorders>
              <w:top w:val="single" w:sz="4" w:space="0" w:color="auto"/>
              <w:bottom w:val="single" w:sz="4" w:space="0" w:color="auto"/>
            </w:tcBorders>
            <w:vAlign w:val="center"/>
          </w:tcPr>
          <w:p w14:paraId="55362DDE" w14:textId="77777777" w:rsidR="007D7104" w:rsidRPr="006601BC" w:rsidRDefault="007D7104" w:rsidP="00190BB5">
            <w:pPr>
              <w:spacing w:beforeLines="20" w:before="48" w:afterLines="20" w:after="48"/>
              <w:rPr>
                <w:noProof/>
                <w:sz w:val="18"/>
              </w:rPr>
            </w:pPr>
            <w:r w:rsidRPr="006601BC">
              <w:rPr>
                <w:noProof/>
                <w:sz w:val="18"/>
              </w:rPr>
              <w:t>Kötelezettségvállalási előirányzatok</w:t>
            </w:r>
          </w:p>
        </w:tc>
        <w:tc>
          <w:tcPr>
            <w:tcW w:w="540" w:type="dxa"/>
            <w:tcBorders>
              <w:top w:val="single" w:sz="4" w:space="0" w:color="auto"/>
              <w:bottom w:val="single" w:sz="4" w:space="0" w:color="auto"/>
            </w:tcBorders>
            <w:vAlign w:val="center"/>
          </w:tcPr>
          <w:p w14:paraId="1A8A90BE" w14:textId="77777777" w:rsidR="007D7104" w:rsidRPr="006601BC" w:rsidRDefault="007D7104" w:rsidP="00190BB5">
            <w:pPr>
              <w:spacing w:beforeLines="20" w:before="48" w:afterLines="20" w:after="48"/>
              <w:jc w:val="center"/>
              <w:rPr>
                <w:noProof/>
                <w:sz w:val="14"/>
              </w:rPr>
            </w:pPr>
            <w:r w:rsidRPr="006601BC">
              <w:rPr>
                <w:noProof/>
                <w:sz w:val="14"/>
              </w:rPr>
              <w:t>(4)</w:t>
            </w:r>
          </w:p>
        </w:tc>
        <w:tc>
          <w:tcPr>
            <w:tcW w:w="734" w:type="dxa"/>
            <w:tcBorders>
              <w:top w:val="single" w:sz="4" w:space="0" w:color="auto"/>
              <w:bottom w:val="single" w:sz="4" w:space="0" w:color="auto"/>
            </w:tcBorders>
            <w:vAlign w:val="center"/>
          </w:tcPr>
          <w:p w14:paraId="50DF7C80" w14:textId="77777777" w:rsidR="007D7104" w:rsidRPr="006601BC" w:rsidRDefault="007D7104" w:rsidP="00190BB5">
            <w:pPr>
              <w:spacing w:before="20" w:after="20"/>
              <w:jc w:val="right"/>
              <w:rPr>
                <w:noProof/>
                <w:sz w:val="20"/>
              </w:rPr>
            </w:pPr>
          </w:p>
        </w:tc>
        <w:tc>
          <w:tcPr>
            <w:tcW w:w="1080" w:type="dxa"/>
            <w:tcBorders>
              <w:top w:val="single" w:sz="4" w:space="0" w:color="auto"/>
              <w:bottom w:val="single" w:sz="4" w:space="0" w:color="auto"/>
            </w:tcBorders>
          </w:tcPr>
          <w:p w14:paraId="28B80C2C" w14:textId="77777777" w:rsidR="007D7104" w:rsidRPr="006601BC" w:rsidRDefault="007D7104" w:rsidP="00190BB5">
            <w:pPr>
              <w:spacing w:before="20" w:after="20"/>
              <w:jc w:val="right"/>
              <w:rPr>
                <w:noProof/>
                <w:color w:val="000000"/>
                <w:sz w:val="20"/>
                <w:szCs w:val="20"/>
              </w:rPr>
            </w:pPr>
            <w:r w:rsidRPr="006601BC">
              <w:rPr>
                <w:noProof/>
                <w:color w:val="000000"/>
                <w:sz w:val="20"/>
                <w:szCs w:val="20"/>
              </w:rPr>
              <w:t>1 340,603</w:t>
            </w:r>
          </w:p>
        </w:tc>
        <w:tc>
          <w:tcPr>
            <w:tcW w:w="1081" w:type="dxa"/>
            <w:tcBorders>
              <w:top w:val="single" w:sz="4" w:space="0" w:color="auto"/>
              <w:bottom w:val="single" w:sz="4" w:space="0" w:color="auto"/>
            </w:tcBorders>
          </w:tcPr>
          <w:p w14:paraId="37B7CD60" w14:textId="77777777" w:rsidR="007D7104" w:rsidRPr="006601BC" w:rsidRDefault="007D7104" w:rsidP="00190BB5">
            <w:pPr>
              <w:spacing w:before="20" w:after="20"/>
              <w:jc w:val="right"/>
              <w:rPr>
                <w:noProof/>
                <w:color w:val="000000"/>
                <w:sz w:val="20"/>
                <w:szCs w:val="20"/>
              </w:rPr>
            </w:pPr>
            <w:r w:rsidRPr="006601BC">
              <w:rPr>
                <w:noProof/>
                <w:color w:val="000000"/>
                <w:sz w:val="20"/>
                <w:szCs w:val="20"/>
              </w:rPr>
              <w:t>1 338,447</w:t>
            </w:r>
          </w:p>
        </w:tc>
        <w:tc>
          <w:tcPr>
            <w:tcW w:w="1081" w:type="dxa"/>
            <w:tcBorders>
              <w:top w:val="single" w:sz="4" w:space="0" w:color="auto"/>
              <w:bottom w:val="single" w:sz="4" w:space="0" w:color="auto"/>
            </w:tcBorders>
          </w:tcPr>
          <w:p w14:paraId="214EAA1A" w14:textId="77777777" w:rsidR="007D7104" w:rsidRPr="006601BC" w:rsidRDefault="007D7104" w:rsidP="00190BB5">
            <w:pPr>
              <w:spacing w:before="20" w:after="20"/>
              <w:jc w:val="right"/>
              <w:rPr>
                <w:noProof/>
                <w:color w:val="000000"/>
                <w:sz w:val="20"/>
                <w:szCs w:val="20"/>
              </w:rPr>
            </w:pPr>
            <w:r w:rsidRPr="006601BC">
              <w:rPr>
                <w:noProof/>
                <w:color w:val="000000"/>
                <w:sz w:val="20"/>
                <w:szCs w:val="20"/>
              </w:rPr>
              <w:t>728,152</w:t>
            </w:r>
          </w:p>
        </w:tc>
        <w:tc>
          <w:tcPr>
            <w:tcW w:w="1081" w:type="dxa"/>
            <w:tcBorders>
              <w:top w:val="single" w:sz="4" w:space="0" w:color="auto"/>
              <w:bottom w:val="single" w:sz="4" w:space="0" w:color="auto"/>
            </w:tcBorders>
          </w:tcPr>
          <w:p w14:paraId="61E07332" w14:textId="77777777" w:rsidR="007D7104" w:rsidRPr="006601BC" w:rsidRDefault="007D7104" w:rsidP="00190BB5">
            <w:pPr>
              <w:spacing w:before="20" w:after="20"/>
              <w:jc w:val="right"/>
              <w:rPr>
                <w:noProof/>
                <w:color w:val="000000"/>
                <w:sz w:val="20"/>
                <w:szCs w:val="20"/>
              </w:rPr>
            </w:pPr>
            <w:r w:rsidRPr="006601BC">
              <w:rPr>
                <w:noProof/>
                <w:color w:val="000000"/>
                <w:sz w:val="20"/>
                <w:szCs w:val="20"/>
              </w:rPr>
              <w:t>747,926</w:t>
            </w:r>
          </w:p>
        </w:tc>
        <w:tc>
          <w:tcPr>
            <w:tcW w:w="1081" w:type="dxa"/>
            <w:tcBorders>
              <w:top w:val="single" w:sz="4" w:space="0" w:color="auto"/>
              <w:bottom w:val="single" w:sz="4" w:space="0" w:color="auto"/>
            </w:tcBorders>
          </w:tcPr>
          <w:p w14:paraId="7AB03780" w14:textId="77777777" w:rsidR="007D7104" w:rsidRPr="006601BC" w:rsidRDefault="007D7104" w:rsidP="00190BB5">
            <w:pPr>
              <w:spacing w:before="20" w:after="20"/>
              <w:jc w:val="right"/>
              <w:rPr>
                <w:noProof/>
                <w:color w:val="000000"/>
                <w:sz w:val="20"/>
                <w:szCs w:val="20"/>
              </w:rPr>
            </w:pPr>
            <w:r w:rsidRPr="006601BC">
              <w:rPr>
                <w:noProof/>
                <w:color w:val="000000"/>
                <w:sz w:val="20"/>
                <w:szCs w:val="20"/>
              </w:rPr>
              <w:t>763,167</w:t>
            </w:r>
          </w:p>
        </w:tc>
        <w:tc>
          <w:tcPr>
            <w:tcW w:w="1081" w:type="dxa"/>
            <w:tcBorders>
              <w:top w:val="single" w:sz="4" w:space="0" w:color="auto"/>
              <w:bottom w:val="single" w:sz="4" w:space="0" w:color="auto"/>
            </w:tcBorders>
          </w:tcPr>
          <w:p w14:paraId="554E30BF" w14:textId="77777777" w:rsidR="007D7104" w:rsidRPr="006601BC" w:rsidRDefault="007D7104" w:rsidP="00190BB5">
            <w:pPr>
              <w:spacing w:before="20" w:after="20"/>
              <w:jc w:val="right"/>
              <w:rPr>
                <w:noProof/>
                <w:color w:val="000000"/>
                <w:sz w:val="20"/>
                <w:szCs w:val="20"/>
              </w:rPr>
            </w:pPr>
            <w:r w:rsidRPr="006601BC">
              <w:rPr>
                <w:noProof/>
                <w:color w:val="000000"/>
                <w:sz w:val="20"/>
                <w:szCs w:val="20"/>
              </w:rPr>
              <w:t>1 098,953</w:t>
            </w:r>
          </w:p>
        </w:tc>
        <w:tc>
          <w:tcPr>
            <w:tcW w:w="1081" w:type="dxa"/>
            <w:tcBorders>
              <w:top w:val="single" w:sz="4" w:space="0" w:color="auto"/>
              <w:bottom w:val="single" w:sz="4" w:space="0" w:color="auto"/>
            </w:tcBorders>
          </w:tcPr>
          <w:p w14:paraId="33B0E3FB" w14:textId="77777777" w:rsidR="007D7104" w:rsidRPr="006601BC" w:rsidRDefault="007D7104" w:rsidP="00190BB5">
            <w:pPr>
              <w:spacing w:before="20" w:after="20"/>
              <w:jc w:val="right"/>
              <w:rPr>
                <w:noProof/>
                <w:color w:val="000000"/>
                <w:sz w:val="20"/>
                <w:szCs w:val="20"/>
              </w:rPr>
            </w:pPr>
            <w:r w:rsidRPr="006601BC">
              <w:rPr>
                <w:noProof/>
                <w:color w:val="000000"/>
                <w:sz w:val="20"/>
                <w:szCs w:val="20"/>
              </w:rPr>
              <w:t>0</w:t>
            </w:r>
          </w:p>
        </w:tc>
        <w:tc>
          <w:tcPr>
            <w:tcW w:w="1081" w:type="dxa"/>
            <w:tcBorders>
              <w:top w:val="single" w:sz="4" w:space="0" w:color="auto"/>
              <w:bottom w:val="single" w:sz="4" w:space="0" w:color="auto"/>
              <w:right w:val="single" w:sz="4" w:space="0" w:color="auto"/>
            </w:tcBorders>
          </w:tcPr>
          <w:p w14:paraId="2426F0CC" w14:textId="77777777" w:rsidR="007D7104" w:rsidRPr="006601BC" w:rsidRDefault="007D7104" w:rsidP="00190BB5">
            <w:pPr>
              <w:spacing w:before="20" w:after="20"/>
              <w:jc w:val="right"/>
              <w:rPr>
                <w:noProof/>
                <w:color w:val="000000"/>
                <w:sz w:val="20"/>
                <w:szCs w:val="20"/>
              </w:rPr>
            </w:pPr>
            <w:r w:rsidRPr="006601BC">
              <w:rPr>
                <w:noProof/>
                <w:color w:val="000000"/>
                <w:sz w:val="20"/>
                <w:szCs w:val="20"/>
              </w:rPr>
              <w:t>6 017,245</w:t>
            </w:r>
          </w:p>
        </w:tc>
      </w:tr>
      <w:tr w:rsidR="007D7104" w:rsidRPr="006601BC" w14:paraId="78AB75F9" w14:textId="77777777" w:rsidTr="006F251E">
        <w:tc>
          <w:tcPr>
            <w:tcW w:w="3780" w:type="dxa"/>
            <w:vMerge/>
            <w:tcBorders>
              <w:top w:val="single" w:sz="4" w:space="0" w:color="auto"/>
              <w:left w:val="single" w:sz="4" w:space="0" w:color="auto"/>
              <w:bottom w:val="single" w:sz="4" w:space="0" w:color="auto"/>
            </w:tcBorders>
          </w:tcPr>
          <w:p w14:paraId="1AC72B8B" w14:textId="77777777" w:rsidR="007D7104" w:rsidRPr="006601BC" w:rsidRDefault="007D7104" w:rsidP="00190BB5">
            <w:pPr>
              <w:jc w:val="center"/>
              <w:rPr>
                <w:noProof/>
                <w:sz w:val="20"/>
              </w:rPr>
            </w:pPr>
          </w:p>
        </w:tc>
        <w:tc>
          <w:tcPr>
            <w:tcW w:w="1260" w:type="dxa"/>
            <w:tcBorders>
              <w:top w:val="single" w:sz="4" w:space="0" w:color="auto"/>
              <w:bottom w:val="single" w:sz="4" w:space="0" w:color="auto"/>
            </w:tcBorders>
            <w:vAlign w:val="center"/>
          </w:tcPr>
          <w:p w14:paraId="65DE2938" w14:textId="77777777" w:rsidR="007D7104" w:rsidRPr="006601BC" w:rsidRDefault="007D7104" w:rsidP="00190BB5">
            <w:pPr>
              <w:spacing w:beforeLines="20" w:before="48" w:afterLines="20" w:after="48"/>
              <w:rPr>
                <w:noProof/>
                <w:sz w:val="18"/>
              </w:rPr>
            </w:pPr>
            <w:r w:rsidRPr="006601BC">
              <w:rPr>
                <w:noProof/>
                <w:sz w:val="18"/>
              </w:rPr>
              <w:t>Kifizetési előirányzatok</w:t>
            </w:r>
          </w:p>
        </w:tc>
        <w:tc>
          <w:tcPr>
            <w:tcW w:w="540" w:type="dxa"/>
            <w:tcBorders>
              <w:top w:val="single" w:sz="4" w:space="0" w:color="auto"/>
              <w:bottom w:val="single" w:sz="4" w:space="0" w:color="auto"/>
            </w:tcBorders>
            <w:vAlign w:val="center"/>
          </w:tcPr>
          <w:p w14:paraId="16E02C40" w14:textId="77777777" w:rsidR="007D7104" w:rsidRPr="006601BC" w:rsidRDefault="007D7104" w:rsidP="00190BB5">
            <w:pPr>
              <w:spacing w:beforeLines="20" w:before="48" w:afterLines="20" w:after="48"/>
              <w:jc w:val="center"/>
              <w:rPr>
                <w:noProof/>
                <w:sz w:val="14"/>
              </w:rPr>
            </w:pPr>
            <w:r w:rsidRPr="006601BC">
              <w:rPr>
                <w:noProof/>
                <w:sz w:val="14"/>
              </w:rPr>
              <w:t>(5)</w:t>
            </w:r>
          </w:p>
        </w:tc>
        <w:tc>
          <w:tcPr>
            <w:tcW w:w="734" w:type="dxa"/>
            <w:tcBorders>
              <w:top w:val="single" w:sz="4" w:space="0" w:color="auto"/>
              <w:bottom w:val="single" w:sz="4" w:space="0" w:color="auto"/>
            </w:tcBorders>
            <w:vAlign w:val="center"/>
          </w:tcPr>
          <w:p w14:paraId="310E6419" w14:textId="77777777" w:rsidR="007D7104" w:rsidRPr="006601BC" w:rsidRDefault="007D7104" w:rsidP="00190BB5">
            <w:pPr>
              <w:spacing w:before="20" w:after="20"/>
              <w:jc w:val="right"/>
              <w:rPr>
                <w:noProof/>
                <w:sz w:val="20"/>
              </w:rPr>
            </w:pPr>
          </w:p>
        </w:tc>
        <w:tc>
          <w:tcPr>
            <w:tcW w:w="1080" w:type="dxa"/>
            <w:tcBorders>
              <w:top w:val="single" w:sz="4" w:space="0" w:color="auto"/>
              <w:bottom w:val="single" w:sz="4" w:space="0" w:color="auto"/>
            </w:tcBorders>
          </w:tcPr>
          <w:p w14:paraId="1022EC8D" w14:textId="77777777" w:rsidR="007D7104" w:rsidRPr="006601BC" w:rsidRDefault="007D7104" w:rsidP="00190BB5">
            <w:pPr>
              <w:spacing w:before="20" w:after="20"/>
              <w:jc w:val="right"/>
              <w:rPr>
                <w:noProof/>
                <w:color w:val="000000"/>
                <w:sz w:val="20"/>
                <w:szCs w:val="20"/>
              </w:rPr>
            </w:pPr>
            <w:r w:rsidRPr="006601BC">
              <w:rPr>
                <w:noProof/>
                <w:color w:val="000000"/>
                <w:sz w:val="20"/>
                <w:szCs w:val="20"/>
              </w:rPr>
              <w:t>441,636</w:t>
            </w:r>
          </w:p>
        </w:tc>
        <w:tc>
          <w:tcPr>
            <w:tcW w:w="1081" w:type="dxa"/>
            <w:tcBorders>
              <w:top w:val="single" w:sz="4" w:space="0" w:color="auto"/>
              <w:bottom w:val="single" w:sz="4" w:space="0" w:color="auto"/>
            </w:tcBorders>
          </w:tcPr>
          <w:p w14:paraId="26D98C0E" w14:textId="77777777" w:rsidR="007D7104" w:rsidRPr="006601BC" w:rsidRDefault="007D7104" w:rsidP="00190BB5">
            <w:pPr>
              <w:spacing w:before="20" w:after="20"/>
              <w:jc w:val="right"/>
              <w:rPr>
                <w:noProof/>
                <w:color w:val="000000"/>
                <w:sz w:val="20"/>
                <w:szCs w:val="20"/>
              </w:rPr>
            </w:pPr>
            <w:r w:rsidRPr="006601BC">
              <w:rPr>
                <w:noProof/>
                <w:color w:val="000000"/>
                <w:sz w:val="20"/>
                <w:szCs w:val="20"/>
              </w:rPr>
              <w:t>845,529</w:t>
            </w:r>
          </w:p>
        </w:tc>
        <w:tc>
          <w:tcPr>
            <w:tcW w:w="1081" w:type="dxa"/>
            <w:tcBorders>
              <w:top w:val="single" w:sz="4" w:space="0" w:color="auto"/>
              <w:bottom w:val="single" w:sz="4" w:space="0" w:color="auto"/>
            </w:tcBorders>
          </w:tcPr>
          <w:p w14:paraId="02DEBCB9" w14:textId="77777777" w:rsidR="007D7104" w:rsidRPr="006601BC" w:rsidRDefault="007D7104" w:rsidP="00190BB5">
            <w:pPr>
              <w:spacing w:before="20" w:after="20"/>
              <w:jc w:val="right"/>
              <w:rPr>
                <w:noProof/>
                <w:color w:val="000000"/>
                <w:sz w:val="20"/>
                <w:szCs w:val="20"/>
              </w:rPr>
            </w:pPr>
            <w:r w:rsidRPr="006601BC">
              <w:rPr>
                <w:noProof/>
                <w:color w:val="000000"/>
                <w:sz w:val="20"/>
                <w:szCs w:val="20"/>
              </w:rPr>
              <w:t>1 138,059</w:t>
            </w:r>
          </w:p>
        </w:tc>
        <w:tc>
          <w:tcPr>
            <w:tcW w:w="1081" w:type="dxa"/>
            <w:tcBorders>
              <w:top w:val="single" w:sz="4" w:space="0" w:color="auto"/>
              <w:bottom w:val="single" w:sz="4" w:space="0" w:color="auto"/>
            </w:tcBorders>
          </w:tcPr>
          <w:p w14:paraId="35FAAB32" w14:textId="77777777" w:rsidR="007D7104" w:rsidRPr="006601BC" w:rsidRDefault="007D7104" w:rsidP="00190BB5">
            <w:pPr>
              <w:spacing w:before="20" w:after="20"/>
              <w:jc w:val="right"/>
              <w:rPr>
                <w:noProof/>
                <w:color w:val="000000"/>
                <w:sz w:val="20"/>
                <w:szCs w:val="20"/>
              </w:rPr>
            </w:pPr>
            <w:r w:rsidRPr="006601BC">
              <w:rPr>
                <w:noProof/>
                <w:color w:val="000000"/>
                <w:sz w:val="20"/>
                <w:szCs w:val="20"/>
              </w:rPr>
              <w:t>958,650</w:t>
            </w:r>
          </w:p>
        </w:tc>
        <w:tc>
          <w:tcPr>
            <w:tcW w:w="1081" w:type="dxa"/>
            <w:tcBorders>
              <w:top w:val="single" w:sz="4" w:space="0" w:color="auto"/>
              <w:bottom w:val="single" w:sz="4" w:space="0" w:color="auto"/>
            </w:tcBorders>
          </w:tcPr>
          <w:p w14:paraId="6C867A86" w14:textId="77777777" w:rsidR="007D7104" w:rsidRPr="006601BC" w:rsidRDefault="007D7104" w:rsidP="00190BB5">
            <w:pPr>
              <w:spacing w:before="20" w:after="20"/>
              <w:jc w:val="right"/>
              <w:rPr>
                <w:noProof/>
                <w:color w:val="000000"/>
                <w:sz w:val="20"/>
                <w:szCs w:val="20"/>
              </w:rPr>
            </w:pPr>
            <w:r w:rsidRPr="006601BC">
              <w:rPr>
                <w:noProof/>
                <w:color w:val="000000"/>
                <w:sz w:val="20"/>
                <w:szCs w:val="20"/>
              </w:rPr>
              <w:t>746,246</w:t>
            </w:r>
          </w:p>
        </w:tc>
        <w:tc>
          <w:tcPr>
            <w:tcW w:w="1081" w:type="dxa"/>
            <w:tcBorders>
              <w:top w:val="single" w:sz="4" w:space="0" w:color="auto"/>
              <w:bottom w:val="single" w:sz="4" w:space="0" w:color="auto"/>
            </w:tcBorders>
          </w:tcPr>
          <w:p w14:paraId="7E1763F5" w14:textId="77777777" w:rsidR="007D7104" w:rsidRPr="006601BC" w:rsidRDefault="007D7104" w:rsidP="00190BB5">
            <w:pPr>
              <w:spacing w:before="20" w:after="20"/>
              <w:jc w:val="right"/>
              <w:rPr>
                <w:noProof/>
                <w:color w:val="000000"/>
                <w:sz w:val="20"/>
                <w:szCs w:val="20"/>
              </w:rPr>
            </w:pPr>
            <w:r w:rsidRPr="006601BC">
              <w:rPr>
                <w:noProof/>
                <w:color w:val="000000"/>
                <w:sz w:val="20"/>
                <w:szCs w:val="20"/>
              </w:rPr>
              <w:t>858,672</w:t>
            </w:r>
          </w:p>
        </w:tc>
        <w:tc>
          <w:tcPr>
            <w:tcW w:w="1081" w:type="dxa"/>
            <w:tcBorders>
              <w:top w:val="single" w:sz="4" w:space="0" w:color="auto"/>
              <w:bottom w:val="single" w:sz="4" w:space="0" w:color="auto"/>
            </w:tcBorders>
          </w:tcPr>
          <w:p w14:paraId="6262A2D1" w14:textId="77777777" w:rsidR="007D7104" w:rsidRPr="006601BC" w:rsidRDefault="007D7104" w:rsidP="00190BB5">
            <w:pPr>
              <w:spacing w:before="20" w:after="20"/>
              <w:jc w:val="right"/>
              <w:rPr>
                <w:noProof/>
                <w:color w:val="000000"/>
                <w:sz w:val="20"/>
                <w:szCs w:val="20"/>
              </w:rPr>
            </w:pPr>
            <w:r w:rsidRPr="006601BC">
              <w:rPr>
                <w:noProof/>
                <w:color w:val="000000"/>
                <w:sz w:val="20"/>
                <w:szCs w:val="20"/>
              </w:rPr>
              <w:t>1 028,454</w:t>
            </w:r>
          </w:p>
        </w:tc>
        <w:tc>
          <w:tcPr>
            <w:tcW w:w="1081" w:type="dxa"/>
            <w:tcBorders>
              <w:top w:val="single" w:sz="4" w:space="0" w:color="auto"/>
              <w:bottom w:val="single" w:sz="4" w:space="0" w:color="auto"/>
              <w:right w:val="single" w:sz="4" w:space="0" w:color="auto"/>
            </w:tcBorders>
          </w:tcPr>
          <w:p w14:paraId="7D0D0CA8" w14:textId="77777777" w:rsidR="007D7104" w:rsidRPr="006601BC" w:rsidRDefault="007D7104" w:rsidP="00190BB5">
            <w:pPr>
              <w:spacing w:before="20" w:after="20"/>
              <w:jc w:val="right"/>
              <w:rPr>
                <w:noProof/>
                <w:color w:val="000000"/>
                <w:sz w:val="20"/>
                <w:szCs w:val="20"/>
              </w:rPr>
            </w:pPr>
            <w:r w:rsidRPr="006601BC">
              <w:rPr>
                <w:noProof/>
                <w:color w:val="000000"/>
                <w:sz w:val="20"/>
                <w:szCs w:val="20"/>
              </w:rPr>
              <w:t>6 017,245</w:t>
            </w:r>
          </w:p>
        </w:tc>
      </w:tr>
      <w:tr w:rsidR="007D7104" w:rsidRPr="006601BC" w14:paraId="701F78CE" w14:textId="77777777" w:rsidTr="006F251E">
        <w:tblPrEx>
          <w:tblBorders>
            <w:top w:val="single" w:sz="4" w:space="0" w:color="auto"/>
            <w:left w:val="single" w:sz="4" w:space="0" w:color="auto"/>
            <w:bottom w:val="single" w:sz="4" w:space="0" w:color="auto"/>
            <w:right w:val="single" w:sz="4" w:space="0" w:color="auto"/>
          </w:tblBorders>
        </w:tblPrEx>
        <w:trPr>
          <w:trHeight w:val="533"/>
        </w:trPr>
        <w:tc>
          <w:tcPr>
            <w:tcW w:w="5040" w:type="dxa"/>
            <w:gridSpan w:val="2"/>
            <w:tcBorders>
              <w:top w:val="single" w:sz="4" w:space="0" w:color="auto"/>
            </w:tcBorders>
            <w:vAlign w:val="center"/>
          </w:tcPr>
          <w:p w14:paraId="64D9D5DA" w14:textId="77777777" w:rsidR="007D7104" w:rsidRPr="006601BC" w:rsidRDefault="007D7104" w:rsidP="00190BB5">
            <w:pPr>
              <w:spacing w:beforeLines="20" w:before="48" w:afterLines="20" w:after="48"/>
              <w:rPr>
                <w:noProof/>
              </w:rPr>
            </w:pPr>
            <w:r w:rsidRPr="006601BC">
              <w:rPr>
                <w:noProof/>
                <w:sz w:val="21"/>
              </w:rPr>
              <w:t xml:space="preserve"> Bizonyos egyedi programok keretéből finanszírozott igazgatási jellegű előirányzatok ÖSSZESEN (összes operatív fejezet)</w:t>
            </w:r>
          </w:p>
        </w:tc>
        <w:tc>
          <w:tcPr>
            <w:tcW w:w="540" w:type="dxa"/>
            <w:tcBorders>
              <w:top w:val="single" w:sz="4" w:space="0" w:color="auto"/>
            </w:tcBorders>
            <w:vAlign w:val="center"/>
          </w:tcPr>
          <w:p w14:paraId="13EE0AE7" w14:textId="77777777" w:rsidR="007D7104" w:rsidRPr="006601BC" w:rsidRDefault="007D7104" w:rsidP="00190BB5">
            <w:pPr>
              <w:rPr>
                <w:noProof/>
              </w:rPr>
            </w:pPr>
          </w:p>
          <w:p w14:paraId="2E24F951" w14:textId="77777777" w:rsidR="007D7104" w:rsidRPr="006601BC" w:rsidRDefault="007D7104" w:rsidP="00190BB5">
            <w:pPr>
              <w:spacing w:beforeLines="20" w:before="48" w:afterLines="20" w:after="48"/>
              <w:jc w:val="center"/>
              <w:rPr>
                <w:noProof/>
                <w:sz w:val="14"/>
              </w:rPr>
            </w:pPr>
            <w:r w:rsidRPr="006601BC">
              <w:rPr>
                <w:noProof/>
                <w:sz w:val="14"/>
              </w:rPr>
              <w:t>(6)</w:t>
            </w:r>
          </w:p>
        </w:tc>
        <w:tc>
          <w:tcPr>
            <w:tcW w:w="734" w:type="dxa"/>
            <w:tcBorders>
              <w:top w:val="single" w:sz="4" w:space="0" w:color="auto"/>
            </w:tcBorders>
            <w:vAlign w:val="center"/>
          </w:tcPr>
          <w:p w14:paraId="5B7D5125" w14:textId="77777777" w:rsidR="007D7104" w:rsidRPr="006601BC" w:rsidRDefault="007D7104" w:rsidP="00190BB5">
            <w:pPr>
              <w:spacing w:before="20" w:after="20"/>
              <w:jc w:val="right"/>
              <w:rPr>
                <w:b/>
                <w:noProof/>
                <w:sz w:val="20"/>
              </w:rPr>
            </w:pPr>
          </w:p>
        </w:tc>
        <w:tc>
          <w:tcPr>
            <w:tcW w:w="1080" w:type="dxa"/>
            <w:tcBorders>
              <w:top w:val="single" w:sz="4" w:space="0" w:color="auto"/>
            </w:tcBorders>
            <w:vAlign w:val="center"/>
          </w:tcPr>
          <w:p w14:paraId="719EE589" w14:textId="77777777" w:rsidR="007D7104" w:rsidRPr="006601BC" w:rsidRDefault="007D7104" w:rsidP="00190BB5">
            <w:pPr>
              <w:spacing w:before="20" w:after="20"/>
              <w:jc w:val="right"/>
              <w:rPr>
                <w:b/>
                <w:noProof/>
                <w:sz w:val="20"/>
              </w:rPr>
            </w:pPr>
            <w:r w:rsidRPr="006601BC">
              <w:rPr>
                <w:noProof/>
                <w:sz w:val="20"/>
              </w:rPr>
              <w:t>p.m.</w:t>
            </w:r>
          </w:p>
        </w:tc>
        <w:tc>
          <w:tcPr>
            <w:tcW w:w="1081" w:type="dxa"/>
            <w:tcBorders>
              <w:top w:val="single" w:sz="4" w:space="0" w:color="auto"/>
            </w:tcBorders>
            <w:vAlign w:val="center"/>
          </w:tcPr>
          <w:p w14:paraId="77D8A497" w14:textId="77777777" w:rsidR="007D7104" w:rsidRPr="006601BC" w:rsidRDefault="007D7104" w:rsidP="00190BB5">
            <w:pPr>
              <w:spacing w:before="20" w:after="20"/>
              <w:jc w:val="right"/>
              <w:rPr>
                <w:b/>
                <w:noProof/>
                <w:sz w:val="20"/>
              </w:rPr>
            </w:pPr>
            <w:r w:rsidRPr="006601BC">
              <w:rPr>
                <w:noProof/>
                <w:sz w:val="20"/>
              </w:rPr>
              <w:t>p.m.</w:t>
            </w:r>
          </w:p>
        </w:tc>
        <w:tc>
          <w:tcPr>
            <w:tcW w:w="1081" w:type="dxa"/>
            <w:tcBorders>
              <w:top w:val="single" w:sz="4" w:space="0" w:color="auto"/>
            </w:tcBorders>
            <w:vAlign w:val="center"/>
          </w:tcPr>
          <w:p w14:paraId="4D2F1D61" w14:textId="77777777" w:rsidR="007D7104" w:rsidRPr="006601BC" w:rsidRDefault="007D7104" w:rsidP="00190BB5">
            <w:pPr>
              <w:spacing w:before="20" w:after="20"/>
              <w:jc w:val="right"/>
              <w:rPr>
                <w:b/>
                <w:noProof/>
                <w:sz w:val="20"/>
              </w:rPr>
            </w:pPr>
            <w:r w:rsidRPr="006601BC">
              <w:rPr>
                <w:noProof/>
                <w:sz w:val="20"/>
              </w:rPr>
              <w:t>p.m.</w:t>
            </w:r>
          </w:p>
        </w:tc>
        <w:tc>
          <w:tcPr>
            <w:tcW w:w="1081" w:type="dxa"/>
            <w:tcBorders>
              <w:top w:val="single" w:sz="4" w:space="0" w:color="auto"/>
            </w:tcBorders>
            <w:vAlign w:val="center"/>
          </w:tcPr>
          <w:p w14:paraId="2386FB11" w14:textId="77777777" w:rsidR="007D7104" w:rsidRPr="006601BC" w:rsidRDefault="007D7104" w:rsidP="00190BB5">
            <w:pPr>
              <w:spacing w:before="20" w:after="20"/>
              <w:jc w:val="right"/>
              <w:rPr>
                <w:b/>
                <w:noProof/>
                <w:sz w:val="20"/>
              </w:rPr>
            </w:pPr>
            <w:r w:rsidRPr="006601BC">
              <w:rPr>
                <w:noProof/>
                <w:sz w:val="20"/>
              </w:rPr>
              <w:t>p.m.</w:t>
            </w:r>
          </w:p>
        </w:tc>
        <w:tc>
          <w:tcPr>
            <w:tcW w:w="1081" w:type="dxa"/>
            <w:tcBorders>
              <w:top w:val="single" w:sz="4" w:space="0" w:color="auto"/>
            </w:tcBorders>
            <w:vAlign w:val="center"/>
          </w:tcPr>
          <w:p w14:paraId="0C5A7313" w14:textId="77777777" w:rsidR="007D7104" w:rsidRPr="006601BC" w:rsidRDefault="007D7104" w:rsidP="00190BB5">
            <w:pPr>
              <w:spacing w:before="20" w:after="20"/>
              <w:jc w:val="right"/>
              <w:rPr>
                <w:b/>
                <w:noProof/>
                <w:sz w:val="20"/>
              </w:rPr>
            </w:pPr>
            <w:r w:rsidRPr="006601BC">
              <w:rPr>
                <w:noProof/>
                <w:sz w:val="20"/>
              </w:rPr>
              <w:t>p.m.</w:t>
            </w:r>
          </w:p>
        </w:tc>
        <w:tc>
          <w:tcPr>
            <w:tcW w:w="1081" w:type="dxa"/>
            <w:tcBorders>
              <w:top w:val="single" w:sz="4" w:space="0" w:color="auto"/>
            </w:tcBorders>
            <w:vAlign w:val="center"/>
          </w:tcPr>
          <w:p w14:paraId="04FD66B7" w14:textId="77777777" w:rsidR="007D7104" w:rsidRPr="006601BC" w:rsidRDefault="007D7104" w:rsidP="00190BB5">
            <w:pPr>
              <w:spacing w:before="20" w:after="20"/>
              <w:jc w:val="right"/>
              <w:rPr>
                <w:noProof/>
                <w:color w:val="000000"/>
                <w:sz w:val="20"/>
                <w:szCs w:val="20"/>
              </w:rPr>
            </w:pPr>
            <w:r w:rsidRPr="006601BC">
              <w:rPr>
                <w:noProof/>
                <w:sz w:val="20"/>
              </w:rPr>
              <w:t>p.m.</w:t>
            </w:r>
          </w:p>
        </w:tc>
        <w:tc>
          <w:tcPr>
            <w:tcW w:w="1081" w:type="dxa"/>
            <w:tcBorders>
              <w:top w:val="single" w:sz="4" w:space="0" w:color="auto"/>
            </w:tcBorders>
            <w:vAlign w:val="center"/>
          </w:tcPr>
          <w:p w14:paraId="085A208C" w14:textId="77777777" w:rsidR="007D7104" w:rsidRPr="006601BC" w:rsidRDefault="007D7104" w:rsidP="00190BB5">
            <w:pPr>
              <w:spacing w:before="20" w:after="20"/>
              <w:jc w:val="right"/>
              <w:rPr>
                <w:b/>
                <w:noProof/>
                <w:sz w:val="20"/>
              </w:rPr>
            </w:pPr>
          </w:p>
        </w:tc>
        <w:tc>
          <w:tcPr>
            <w:tcW w:w="1081" w:type="dxa"/>
            <w:tcBorders>
              <w:top w:val="single" w:sz="4" w:space="0" w:color="auto"/>
            </w:tcBorders>
            <w:vAlign w:val="center"/>
          </w:tcPr>
          <w:p w14:paraId="049F58D4" w14:textId="77777777" w:rsidR="007D7104" w:rsidRPr="006601BC" w:rsidRDefault="007D7104" w:rsidP="00190BB5">
            <w:pPr>
              <w:spacing w:before="20" w:after="20"/>
              <w:jc w:val="right"/>
              <w:rPr>
                <w:b/>
                <w:noProof/>
                <w:sz w:val="20"/>
              </w:rPr>
            </w:pPr>
            <w:r w:rsidRPr="006601BC">
              <w:rPr>
                <w:b/>
                <w:bCs/>
                <w:noProof/>
                <w:color w:val="000000"/>
                <w:sz w:val="20"/>
                <w:szCs w:val="20"/>
              </w:rPr>
              <w:t>p.m.</w:t>
            </w:r>
          </w:p>
        </w:tc>
      </w:tr>
      <w:tr w:rsidR="007D7104" w:rsidRPr="006601BC" w14:paraId="5CCB430D" w14:textId="77777777" w:rsidTr="00190BB5">
        <w:tc>
          <w:tcPr>
            <w:tcW w:w="3780" w:type="dxa"/>
            <w:vMerge w:val="restart"/>
            <w:tcBorders>
              <w:top w:val="single" w:sz="4" w:space="0" w:color="FF0000"/>
              <w:left w:val="single" w:sz="4" w:space="0" w:color="auto"/>
              <w:bottom w:val="single" w:sz="4" w:space="0" w:color="FF0000"/>
            </w:tcBorders>
            <w:shd w:val="thinDiagStripe" w:color="C0C0C0" w:fill="auto"/>
            <w:vAlign w:val="center"/>
          </w:tcPr>
          <w:p w14:paraId="026A7518" w14:textId="77777777" w:rsidR="007D7104" w:rsidRPr="006601BC" w:rsidRDefault="007D7104" w:rsidP="00190BB5">
            <w:pPr>
              <w:jc w:val="center"/>
              <w:rPr>
                <w:b/>
                <w:noProof/>
              </w:rPr>
            </w:pPr>
            <w:r w:rsidRPr="006601BC">
              <w:rPr>
                <w:noProof/>
                <w:sz w:val="22"/>
              </w:rPr>
              <w:t>A többéves pénzügyi keret</w:t>
            </w:r>
            <w:r w:rsidRPr="006601BC">
              <w:rPr>
                <w:noProof/>
              </w:rPr>
              <w:t xml:space="preserve"> </w:t>
            </w:r>
            <w:r w:rsidRPr="006601BC">
              <w:rPr>
                <w:noProof/>
              </w:rPr>
              <w:br/>
            </w:r>
            <w:r w:rsidRPr="006601BC">
              <w:rPr>
                <w:b/>
                <w:noProof/>
                <w:sz w:val="22"/>
              </w:rPr>
              <w:t>1–6. FEJEZETÉHEZ tartozó</w:t>
            </w:r>
            <w:r w:rsidRPr="006601BC">
              <w:rPr>
                <w:noProof/>
              </w:rPr>
              <w:t xml:space="preserve"> </w:t>
            </w:r>
            <w:r w:rsidRPr="006601BC">
              <w:rPr>
                <w:noProof/>
              </w:rPr>
              <w:br/>
            </w:r>
            <w:r w:rsidRPr="006601BC">
              <w:rPr>
                <w:b/>
                <w:noProof/>
                <w:sz w:val="22"/>
              </w:rPr>
              <w:t>előirányzatok ÖSSZESEN</w:t>
            </w:r>
            <w:r w:rsidRPr="006601BC">
              <w:rPr>
                <w:noProof/>
              </w:rPr>
              <w:t xml:space="preserve"> </w:t>
            </w:r>
            <w:r w:rsidRPr="006601BC">
              <w:rPr>
                <w:noProof/>
              </w:rPr>
              <w:br/>
            </w:r>
            <w:r w:rsidRPr="006601BC">
              <w:rPr>
                <w:noProof/>
                <w:sz w:val="20"/>
              </w:rPr>
              <w:t>(Referenciaösszeg)</w:t>
            </w:r>
          </w:p>
        </w:tc>
        <w:tc>
          <w:tcPr>
            <w:tcW w:w="1260" w:type="dxa"/>
            <w:vAlign w:val="center"/>
          </w:tcPr>
          <w:p w14:paraId="491ACFBE" w14:textId="77777777" w:rsidR="007D7104" w:rsidRPr="006601BC" w:rsidRDefault="007D7104" w:rsidP="00190BB5">
            <w:pPr>
              <w:rPr>
                <w:noProof/>
                <w:sz w:val="18"/>
              </w:rPr>
            </w:pPr>
            <w:r w:rsidRPr="006601BC">
              <w:rPr>
                <w:noProof/>
                <w:sz w:val="18"/>
              </w:rPr>
              <w:t>Kötelezettségvállalási előirányzatok</w:t>
            </w:r>
          </w:p>
        </w:tc>
        <w:tc>
          <w:tcPr>
            <w:tcW w:w="540" w:type="dxa"/>
            <w:vAlign w:val="center"/>
          </w:tcPr>
          <w:p w14:paraId="24A08471" w14:textId="77777777" w:rsidR="007D7104" w:rsidRPr="006601BC" w:rsidRDefault="007D7104" w:rsidP="00190BB5">
            <w:pPr>
              <w:jc w:val="center"/>
              <w:rPr>
                <w:noProof/>
                <w:sz w:val="14"/>
              </w:rPr>
            </w:pPr>
            <w:r w:rsidRPr="006601BC">
              <w:rPr>
                <w:noProof/>
                <w:sz w:val="14"/>
              </w:rPr>
              <w:t>=4+ 6</w:t>
            </w:r>
          </w:p>
        </w:tc>
        <w:tc>
          <w:tcPr>
            <w:tcW w:w="734" w:type="dxa"/>
            <w:vAlign w:val="center"/>
          </w:tcPr>
          <w:p w14:paraId="3D05BA6B" w14:textId="77777777" w:rsidR="007D7104" w:rsidRPr="006601BC" w:rsidRDefault="007D7104" w:rsidP="00190BB5">
            <w:pPr>
              <w:spacing w:before="20" w:after="20"/>
              <w:jc w:val="right"/>
              <w:rPr>
                <w:noProof/>
                <w:sz w:val="20"/>
              </w:rPr>
            </w:pPr>
          </w:p>
        </w:tc>
        <w:tc>
          <w:tcPr>
            <w:tcW w:w="1080" w:type="dxa"/>
          </w:tcPr>
          <w:p w14:paraId="1FCD6CC5" w14:textId="77777777" w:rsidR="007D7104" w:rsidRPr="006601BC" w:rsidRDefault="007D7104" w:rsidP="00190BB5">
            <w:pPr>
              <w:spacing w:before="20" w:after="20"/>
              <w:jc w:val="right"/>
              <w:rPr>
                <w:noProof/>
                <w:sz w:val="20"/>
              </w:rPr>
            </w:pPr>
            <w:r w:rsidRPr="006601BC">
              <w:rPr>
                <w:noProof/>
                <w:color w:val="000000"/>
                <w:sz w:val="20"/>
                <w:szCs w:val="20"/>
              </w:rPr>
              <w:t>1 340,603</w:t>
            </w:r>
          </w:p>
        </w:tc>
        <w:tc>
          <w:tcPr>
            <w:tcW w:w="1081" w:type="dxa"/>
          </w:tcPr>
          <w:p w14:paraId="26D28980" w14:textId="77777777" w:rsidR="007D7104" w:rsidRPr="006601BC" w:rsidRDefault="007D7104" w:rsidP="00190BB5">
            <w:pPr>
              <w:spacing w:before="20" w:after="20"/>
              <w:jc w:val="right"/>
              <w:rPr>
                <w:noProof/>
                <w:sz w:val="20"/>
              </w:rPr>
            </w:pPr>
            <w:r w:rsidRPr="006601BC">
              <w:rPr>
                <w:noProof/>
                <w:color w:val="000000"/>
                <w:sz w:val="20"/>
                <w:szCs w:val="20"/>
              </w:rPr>
              <w:t>1 338,447</w:t>
            </w:r>
          </w:p>
        </w:tc>
        <w:tc>
          <w:tcPr>
            <w:tcW w:w="1081" w:type="dxa"/>
          </w:tcPr>
          <w:p w14:paraId="75F1B55C" w14:textId="77777777" w:rsidR="007D7104" w:rsidRPr="006601BC" w:rsidRDefault="007D7104" w:rsidP="00190BB5">
            <w:pPr>
              <w:spacing w:before="20" w:after="20"/>
              <w:jc w:val="right"/>
              <w:rPr>
                <w:noProof/>
                <w:sz w:val="20"/>
              </w:rPr>
            </w:pPr>
            <w:r w:rsidRPr="006601BC">
              <w:rPr>
                <w:noProof/>
                <w:color w:val="000000"/>
                <w:sz w:val="20"/>
                <w:szCs w:val="20"/>
              </w:rPr>
              <w:t>728,152</w:t>
            </w:r>
          </w:p>
        </w:tc>
        <w:tc>
          <w:tcPr>
            <w:tcW w:w="1081" w:type="dxa"/>
          </w:tcPr>
          <w:p w14:paraId="54C77DA9" w14:textId="77777777" w:rsidR="007D7104" w:rsidRPr="006601BC" w:rsidRDefault="007D7104" w:rsidP="00190BB5">
            <w:pPr>
              <w:spacing w:before="20" w:after="20"/>
              <w:jc w:val="right"/>
              <w:rPr>
                <w:noProof/>
                <w:sz w:val="20"/>
              </w:rPr>
            </w:pPr>
            <w:r w:rsidRPr="006601BC">
              <w:rPr>
                <w:noProof/>
                <w:color w:val="000000"/>
                <w:sz w:val="20"/>
                <w:szCs w:val="20"/>
              </w:rPr>
              <w:t>747,926</w:t>
            </w:r>
          </w:p>
        </w:tc>
        <w:tc>
          <w:tcPr>
            <w:tcW w:w="1081" w:type="dxa"/>
          </w:tcPr>
          <w:p w14:paraId="042CA453" w14:textId="77777777" w:rsidR="007D7104" w:rsidRPr="006601BC" w:rsidRDefault="007D7104" w:rsidP="00190BB5">
            <w:pPr>
              <w:spacing w:before="20" w:after="20"/>
              <w:jc w:val="right"/>
              <w:rPr>
                <w:noProof/>
                <w:sz w:val="20"/>
              </w:rPr>
            </w:pPr>
            <w:r w:rsidRPr="006601BC">
              <w:rPr>
                <w:noProof/>
                <w:color w:val="000000"/>
                <w:sz w:val="20"/>
                <w:szCs w:val="20"/>
              </w:rPr>
              <w:t>763,167</w:t>
            </w:r>
          </w:p>
        </w:tc>
        <w:tc>
          <w:tcPr>
            <w:tcW w:w="1081" w:type="dxa"/>
          </w:tcPr>
          <w:p w14:paraId="3FA8B528" w14:textId="77777777" w:rsidR="007D7104" w:rsidRPr="006601BC" w:rsidRDefault="007D7104" w:rsidP="00190BB5">
            <w:pPr>
              <w:spacing w:before="20" w:after="20"/>
              <w:jc w:val="right"/>
              <w:rPr>
                <w:b/>
                <w:noProof/>
                <w:sz w:val="20"/>
              </w:rPr>
            </w:pPr>
            <w:r w:rsidRPr="006601BC">
              <w:rPr>
                <w:noProof/>
                <w:color w:val="000000"/>
                <w:sz w:val="20"/>
                <w:szCs w:val="20"/>
              </w:rPr>
              <w:t>1 098,953</w:t>
            </w:r>
          </w:p>
        </w:tc>
        <w:tc>
          <w:tcPr>
            <w:tcW w:w="1081" w:type="dxa"/>
          </w:tcPr>
          <w:p w14:paraId="463A916E" w14:textId="77777777" w:rsidR="007D7104" w:rsidRPr="006601BC" w:rsidRDefault="007D7104" w:rsidP="00190BB5">
            <w:pPr>
              <w:spacing w:before="20" w:after="20"/>
              <w:jc w:val="right"/>
              <w:rPr>
                <w:b/>
                <w:noProof/>
                <w:sz w:val="20"/>
              </w:rPr>
            </w:pPr>
            <w:r w:rsidRPr="006601BC">
              <w:rPr>
                <w:noProof/>
                <w:color w:val="000000"/>
                <w:sz w:val="20"/>
                <w:szCs w:val="20"/>
              </w:rPr>
              <w:t>0</w:t>
            </w:r>
          </w:p>
        </w:tc>
        <w:tc>
          <w:tcPr>
            <w:tcW w:w="1081" w:type="dxa"/>
            <w:tcBorders>
              <w:right w:val="single" w:sz="4" w:space="0" w:color="auto"/>
            </w:tcBorders>
          </w:tcPr>
          <w:p w14:paraId="4FE9F0E4" w14:textId="77777777" w:rsidR="007D7104" w:rsidRPr="006601BC" w:rsidRDefault="007D7104" w:rsidP="00190BB5">
            <w:pPr>
              <w:spacing w:before="20" w:after="20"/>
              <w:jc w:val="right"/>
              <w:rPr>
                <w:b/>
                <w:noProof/>
                <w:sz w:val="20"/>
              </w:rPr>
            </w:pPr>
            <w:r w:rsidRPr="006601BC">
              <w:rPr>
                <w:noProof/>
                <w:color w:val="000000"/>
                <w:sz w:val="20"/>
                <w:szCs w:val="20"/>
              </w:rPr>
              <w:t>6 017,245</w:t>
            </w:r>
          </w:p>
        </w:tc>
      </w:tr>
      <w:tr w:rsidR="007D7104" w:rsidRPr="006601BC" w14:paraId="036CD758" w14:textId="77777777" w:rsidTr="00190BB5">
        <w:tc>
          <w:tcPr>
            <w:tcW w:w="3780" w:type="dxa"/>
            <w:vMerge/>
            <w:tcBorders>
              <w:top w:val="single" w:sz="4" w:space="0" w:color="FF0000"/>
              <w:left w:val="single" w:sz="4" w:space="0" w:color="auto"/>
              <w:bottom w:val="single" w:sz="4" w:space="0" w:color="auto"/>
            </w:tcBorders>
            <w:shd w:val="thinDiagStripe" w:color="C0C0C0" w:fill="auto"/>
          </w:tcPr>
          <w:p w14:paraId="7CD83CF5" w14:textId="77777777" w:rsidR="007D7104" w:rsidRPr="006601BC" w:rsidRDefault="007D7104" w:rsidP="00190BB5">
            <w:pPr>
              <w:rPr>
                <w:noProof/>
                <w:sz w:val="20"/>
              </w:rPr>
            </w:pPr>
          </w:p>
        </w:tc>
        <w:tc>
          <w:tcPr>
            <w:tcW w:w="1260" w:type="dxa"/>
            <w:tcBorders>
              <w:bottom w:val="single" w:sz="4" w:space="0" w:color="auto"/>
            </w:tcBorders>
            <w:vAlign w:val="center"/>
          </w:tcPr>
          <w:p w14:paraId="0EA79125" w14:textId="77777777" w:rsidR="007D7104" w:rsidRPr="006601BC" w:rsidRDefault="007D7104" w:rsidP="00190BB5">
            <w:pPr>
              <w:rPr>
                <w:noProof/>
                <w:sz w:val="18"/>
              </w:rPr>
            </w:pPr>
            <w:r w:rsidRPr="006601BC">
              <w:rPr>
                <w:noProof/>
                <w:sz w:val="18"/>
              </w:rPr>
              <w:t>Kifizetési előirányzatok</w:t>
            </w:r>
          </w:p>
        </w:tc>
        <w:tc>
          <w:tcPr>
            <w:tcW w:w="540" w:type="dxa"/>
            <w:tcBorders>
              <w:bottom w:val="single" w:sz="4" w:space="0" w:color="auto"/>
            </w:tcBorders>
            <w:vAlign w:val="center"/>
          </w:tcPr>
          <w:p w14:paraId="4D7801F2" w14:textId="77777777" w:rsidR="007D7104" w:rsidRPr="006601BC" w:rsidRDefault="007D7104" w:rsidP="00190BB5">
            <w:pPr>
              <w:jc w:val="center"/>
              <w:rPr>
                <w:noProof/>
                <w:sz w:val="14"/>
              </w:rPr>
            </w:pPr>
            <w:r w:rsidRPr="006601BC">
              <w:rPr>
                <w:noProof/>
                <w:sz w:val="14"/>
              </w:rPr>
              <w:t>=5+ 6</w:t>
            </w:r>
          </w:p>
        </w:tc>
        <w:tc>
          <w:tcPr>
            <w:tcW w:w="734" w:type="dxa"/>
            <w:tcBorders>
              <w:bottom w:val="single" w:sz="4" w:space="0" w:color="auto"/>
            </w:tcBorders>
            <w:vAlign w:val="center"/>
          </w:tcPr>
          <w:p w14:paraId="0FEF8206" w14:textId="77777777" w:rsidR="007D7104" w:rsidRPr="006601BC" w:rsidRDefault="007D7104" w:rsidP="00190BB5">
            <w:pPr>
              <w:spacing w:before="20" w:after="20"/>
              <w:jc w:val="right"/>
              <w:rPr>
                <w:noProof/>
                <w:sz w:val="20"/>
              </w:rPr>
            </w:pPr>
          </w:p>
        </w:tc>
        <w:tc>
          <w:tcPr>
            <w:tcW w:w="1080" w:type="dxa"/>
            <w:tcBorders>
              <w:bottom w:val="single" w:sz="4" w:space="0" w:color="auto"/>
            </w:tcBorders>
          </w:tcPr>
          <w:p w14:paraId="725BE33D" w14:textId="77777777" w:rsidR="007D7104" w:rsidRPr="006601BC" w:rsidRDefault="007D7104" w:rsidP="00190BB5">
            <w:pPr>
              <w:spacing w:before="20" w:after="20"/>
              <w:jc w:val="right"/>
              <w:rPr>
                <w:noProof/>
                <w:sz w:val="20"/>
              </w:rPr>
            </w:pPr>
            <w:r w:rsidRPr="006601BC">
              <w:rPr>
                <w:noProof/>
                <w:color w:val="000000"/>
                <w:sz w:val="20"/>
                <w:szCs w:val="20"/>
              </w:rPr>
              <w:t>441,636</w:t>
            </w:r>
          </w:p>
        </w:tc>
        <w:tc>
          <w:tcPr>
            <w:tcW w:w="1081" w:type="dxa"/>
            <w:tcBorders>
              <w:bottom w:val="single" w:sz="4" w:space="0" w:color="auto"/>
            </w:tcBorders>
          </w:tcPr>
          <w:p w14:paraId="4A298ACE" w14:textId="77777777" w:rsidR="007D7104" w:rsidRPr="006601BC" w:rsidRDefault="007D7104" w:rsidP="00190BB5">
            <w:pPr>
              <w:spacing w:before="20" w:after="20"/>
              <w:jc w:val="right"/>
              <w:rPr>
                <w:noProof/>
                <w:sz w:val="20"/>
              </w:rPr>
            </w:pPr>
            <w:r w:rsidRPr="006601BC">
              <w:rPr>
                <w:noProof/>
                <w:color w:val="000000"/>
                <w:sz w:val="20"/>
                <w:szCs w:val="20"/>
              </w:rPr>
              <w:t>845,529</w:t>
            </w:r>
          </w:p>
        </w:tc>
        <w:tc>
          <w:tcPr>
            <w:tcW w:w="1081" w:type="dxa"/>
            <w:tcBorders>
              <w:bottom w:val="single" w:sz="4" w:space="0" w:color="auto"/>
            </w:tcBorders>
          </w:tcPr>
          <w:p w14:paraId="36BECD30" w14:textId="77777777" w:rsidR="007D7104" w:rsidRPr="006601BC" w:rsidRDefault="007D7104" w:rsidP="00190BB5">
            <w:pPr>
              <w:spacing w:before="20" w:after="20"/>
              <w:jc w:val="right"/>
              <w:rPr>
                <w:noProof/>
                <w:sz w:val="20"/>
              </w:rPr>
            </w:pPr>
            <w:r w:rsidRPr="006601BC">
              <w:rPr>
                <w:noProof/>
                <w:color w:val="000000"/>
                <w:sz w:val="20"/>
                <w:szCs w:val="20"/>
              </w:rPr>
              <w:t>1 138,059</w:t>
            </w:r>
          </w:p>
        </w:tc>
        <w:tc>
          <w:tcPr>
            <w:tcW w:w="1081" w:type="dxa"/>
            <w:tcBorders>
              <w:bottom w:val="single" w:sz="4" w:space="0" w:color="auto"/>
            </w:tcBorders>
          </w:tcPr>
          <w:p w14:paraId="50D287CC" w14:textId="77777777" w:rsidR="007D7104" w:rsidRPr="006601BC" w:rsidRDefault="007D7104" w:rsidP="00190BB5">
            <w:pPr>
              <w:spacing w:before="20" w:after="20"/>
              <w:jc w:val="right"/>
              <w:rPr>
                <w:noProof/>
                <w:sz w:val="20"/>
              </w:rPr>
            </w:pPr>
            <w:r w:rsidRPr="006601BC">
              <w:rPr>
                <w:noProof/>
                <w:color w:val="000000"/>
                <w:sz w:val="20"/>
                <w:szCs w:val="20"/>
              </w:rPr>
              <w:t>958,650</w:t>
            </w:r>
          </w:p>
        </w:tc>
        <w:tc>
          <w:tcPr>
            <w:tcW w:w="1081" w:type="dxa"/>
            <w:tcBorders>
              <w:bottom w:val="single" w:sz="4" w:space="0" w:color="auto"/>
            </w:tcBorders>
          </w:tcPr>
          <w:p w14:paraId="37B08363" w14:textId="77777777" w:rsidR="007D7104" w:rsidRPr="006601BC" w:rsidRDefault="007D7104" w:rsidP="00190BB5">
            <w:pPr>
              <w:spacing w:before="20" w:after="20"/>
              <w:jc w:val="right"/>
              <w:rPr>
                <w:noProof/>
                <w:sz w:val="20"/>
              </w:rPr>
            </w:pPr>
            <w:r w:rsidRPr="006601BC">
              <w:rPr>
                <w:noProof/>
                <w:color w:val="000000"/>
                <w:sz w:val="20"/>
                <w:szCs w:val="20"/>
              </w:rPr>
              <w:t>746,246</w:t>
            </w:r>
          </w:p>
        </w:tc>
        <w:tc>
          <w:tcPr>
            <w:tcW w:w="1081" w:type="dxa"/>
            <w:tcBorders>
              <w:bottom w:val="single" w:sz="4" w:space="0" w:color="auto"/>
            </w:tcBorders>
          </w:tcPr>
          <w:p w14:paraId="09AD447C" w14:textId="77777777" w:rsidR="007D7104" w:rsidRPr="006601BC" w:rsidRDefault="007D7104" w:rsidP="00190BB5">
            <w:pPr>
              <w:spacing w:before="20" w:after="20"/>
              <w:jc w:val="right"/>
              <w:rPr>
                <w:b/>
                <w:noProof/>
                <w:sz w:val="20"/>
              </w:rPr>
            </w:pPr>
            <w:r w:rsidRPr="006601BC">
              <w:rPr>
                <w:noProof/>
                <w:color w:val="000000"/>
                <w:sz w:val="20"/>
                <w:szCs w:val="20"/>
              </w:rPr>
              <w:t>858,672</w:t>
            </w:r>
          </w:p>
        </w:tc>
        <w:tc>
          <w:tcPr>
            <w:tcW w:w="1081" w:type="dxa"/>
            <w:tcBorders>
              <w:bottom w:val="single" w:sz="4" w:space="0" w:color="auto"/>
            </w:tcBorders>
          </w:tcPr>
          <w:p w14:paraId="57290284" w14:textId="77777777" w:rsidR="007D7104" w:rsidRPr="006601BC" w:rsidRDefault="007D7104" w:rsidP="00190BB5">
            <w:pPr>
              <w:spacing w:before="20" w:after="20"/>
              <w:jc w:val="right"/>
              <w:rPr>
                <w:b/>
                <w:noProof/>
                <w:sz w:val="20"/>
              </w:rPr>
            </w:pPr>
            <w:r w:rsidRPr="006601BC">
              <w:rPr>
                <w:noProof/>
                <w:color w:val="000000"/>
                <w:sz w:val="20"/>
                <w:szCs w:val="20"/>
              </w:rPr>
              <w:t>1 028,454</w:t>
            </w:r>
          </w:p>
        </w:tc>
        <w:tc>
          <w:tcPr>
            <w:tcW w:w="1081" w:type="dxa"/>
            <w:tcBorders>
              <w:bottom w:val="single" w:sz="4" w:space="0" w:color="auto"/>
              <w:right w:val="single" w:sz="4" w:space="0" w:color="auto"/>
            </w:tcBorders>
          </w:tcPr>
          <w:p w14:paraId="5B526801" w14:textId="77777777" w:rsidR="007D7104" w:rsidRPr="006601BC" w:rsidRDefault="007D7104" w:rsidP="00190BB5">
            <w:pPr>
              <w:spacing w:before="20" w:after="20"/>
              <w:jc w:val="right"/>
              <w:rPr>
                <w:b/>
                <w:noProof/>
                <w:sz w:val="20"/>
              </w:rPr>
            </w:pPr>
            <w:r w:rsidRPr="006601BC">
              <w:rPr>
                <w:noProof/>
                <w:color w:val="000000"/>
                <w:sz w:val="20"/>
                <w:szCs w:val="20"/>
              </w:rPr>
              <w:t>6 017,245</w:t>
            </w:r>
          </w:p>
        </w:tc>
      </w:tr>
    </w:tbl>
    <w:p w14:paraId="018DEA71" w14:textId="77777777" w:rsidR="007D7104" w:rsidRPr="006601BC" w:rsidRDefault="007D7104" w:rsidP="007D7104">
      <w:pPr>
        <w:rPr>
          <w:noProof/>
        </w:rPr>
      </w:pPr>
    </w:p>
    <w:p w14:paraId="3C67AF9E" w14:textId="77777777" w:rsidR="007D7104" w:rsidRPr="006601BC" w:rsidRDefault="007D7104" w:rsidP="007D7104">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D7104" w:rsidRPr="006601BC" w14:paraId="5D9B7D9C" w14:textId="77777777" w:rsidTr="00190BB5">
        <w:trPr>
          <w:jc w:val="center"/>
        </w:trPr>
        <w:tc>
          <w:tcPr>
            <w:tcW w:w="4744" w:type="dxa"/>
            <w:shd w:val="thinDiagStripe" w:color="C0C0C0" w:fill="auto"/>
            <w:vAlign w:val="center"/>
          </w:tcPr>
          <w:p w14:paraId="70C90D93" w14:textId="77777777" w:rsidR="007D7104" w:rsidRPr="006601BC" w:rsidRDefault="007D7104" w:rsidP="00190BB5">
            <w:pPr>
              <w:spacing w:before="60" w:after="60"/>
              <w:jc w:val="center"/>
              <w:rPr>
                <w:b/>
                <w:noProof/>
              </w:rPr>
            </w:pPr>
            <w:r w:rsidRPr="006601BC">
              <w:rPr>
                <w:noProof/>
              </w:rPr>
              <w:br w:type="page"/>
            </w:r>
            <w:r w:rsidRPr="006601BC">
              <w:rPr>
                <w:b/>
                <w:noProof/>
                <w:sz w:val="22"/>
              </w:rPr>
              <w:t xml:space="preserve">A többéves pénzügyi keret </w:t>
            </w:r>
            <w:r w:rsidRPr="006601BC">
              <w:rPr>
                <w:noProof/>
              </w:rPr>
              <w:t xml:space="preserve"> </w:t>
            </w:r>
            <w:r w:rsidRPr="006601BC">
              <w:rPr>
                <w:noProof/>
              </w:rPr>
              <w:br/>
            </w:r>
            <w:r w:rsidRPr="006601BC">
              <w:rPr>
                <w:b/>
                <w:noProof/>
                <w:sz w:val="22"/>
              </w:rPr>
              <w:t xml:space="preserve">fejezete </w:t>
            </w:r>
          </w:p>
        </w:tc>
        <w:tc>
          <w:tcPr>
            <w:tcW w:w="1080" w:type="dxa"/>
            <w:shd w:val="thinDiagStripe" w:color="C0C0C0" w:fill="auto"/>
            <w:vAlign w:val="center"/>
          </w:tcPr>
          <w:p w14:paraId="6C1AA926" w14:textId="34CCEE8A" w:rsidR="007D7104" w:rsidRPr="006601BC" w:rsidRDefault="007D7104" w:rsidP="00190BB5">
            <w:pPr>
              <w:spacing w:before="60" w:after="60"/>
              <w:jc w:val="center"/>
              <w:rPr>
                <w:noProof/>
              </w:rPr>
            </w:pPr>
            <w:r w:rsidRPr="006601BC">
              <w:rPr>
                <w:b/>
                <w:noProof/>
                <w:sz w:val="22"/>
              </w:rPr>
              <w:t>7</w:t>
            </w:r>
            <w:r w:rsidR="002452A8">
              <w:rPr>
                <w:b/>
                <w:noProof/>
                <w:sz w:val="22"/>
              </w:rPr>
              <w:t>.</w:t>
            </w:r>
          </w:p>
        </w:tc>
        <w:tc>
          <w:tcPr>
            <w:tcW w:w="7817" w:type="dxa"/>
            <w:vAlign w:val="center"/>
          </w:tcPr>
          <w:p w14:paraId="55D8149C" w14:textId="77777777" w:rsidR="007D7104" w:rsidRPr="006601BC" w:rsidRDefault="007D7104" w:rsidP="00190BB5">
            <w:pPr>
              <w:spacing w:before="60" w:after="60"/>
              <w:rPr>
                <w:noProof/>
              </w:rPr>
            </w:pPr>
            <w:r w:rsidRPr="006601BC">
              <w:rPr>
                <w:noProof/>
                <w:sz w:val="22"/>
              </w:rPr>
              <w:t>„Igazgatási kiadások”</w:t>
            </w:r>
          </w:p>
        </w:tc>
      </w:tr>
    </w:tbl>
    <w:p w14:paraId="312EBAD1" w14:textId="77777777" w:rsidR="007D7104" w:rsidRPr="006601BC" w:rsidRDefault="007D7104" w:rsidP="007D7104">
      <w:pPr>
        <w:jc w:val="left"/>
        <w:rPr>
          <w:noProof/>
          <w:sz w:val="20"/>
        </w:rPr>
      </w:pPr>
      <w:r w:rsidRPr="006601BC">
        <w:rPr>
          <w:noProof/>
        </w:rPr>
        <w:t xml:space="preserve">Ezt a részt az igazgatási jellegű költségvetési adatok táblázatában kell kitölteni, melyet először a </w:t>
      </w:r>
      <w:hyperlink r:id="rId15" w:history="1">
        <w:r w:rsidRPr="006601BC">
          <w:rPr>
            <w:rStyle w:val="Hyperlink"/>
            <w:noProof/>
          </w:rPr>
          <w:t>pénzügyi kimutatás mellékletébe</w:t>
        </w:r>
      </w:hyperlink>
      <w:r w:rsidRPr="006601BC">
        <w:rPr>
          <w:noProof/>
        </w:rPr>
        <w:t xml:space="preserve"> (a belső szabályzat V. melléklete) kell bevezetni; a mellékletet a szolgálatközi konzultációhoz fel kell tölteni a DECIDE rendszerbe.</w:t>
      </w:r>
    </w:p>
    <w:p w14:paraId="68C1A20A" w14:textId="77777777" w:rsidR="007D7104" w:rsidRPr="006601BC" w:rsidRDefault="007D7104" w:rsidP="007D7104">
      <w:pPr>
        <w:jc w:val="right"/>
        <w:rPr>
          <w:noProof/>
          <w:sz w:val="20"/>
        </w:rPr>
      </w:pPr>
      <w:r w:rsidRPr="006601BC">
        <w:rPr>
          <w:noProof/>
          <w:sz w:val="20"/>
        </w:rPr>
        <w:t>millió EUR (három tizedesjegyig)</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2370"/>
        <w:gridCol w:w="240"/>
        <w:gridCol w:w="1170"/>
        <w:gridCol w:w="900"/>
        <w:gridCol w:w="900"/>
        <w:gridCol w:w="900"/>
        <w:gridCol w:w="900"/>
        <w:gridCol w:w="900"/>
        <w:gridCol w:w="1080"/>
        <w:gridCol w:w="1397"/>
      </w:tblGrid>
      <w:tr w:rsidR="007D7104" w:rsidRPr="006601BC" w14:paraId="06C64612" w14:textId="77777777" w:rsidTr="00190BB5">
        <w:tc>
          <w:tcPr>
            <w:tcW w:w="3150" w:type="dxa"/>
            <w:tcBorders>
              <w:top w:val="nil"/>
              <w:left w:val="nil"/>
              <w:right w:val="nil"/>
            </w:tcBorders>
            <w:vAlign w:val="center"/>
          </w:tcPr>
          <w:p w14:paraId="677249B9" w14:textId="77777777" w:rsidR="007D7104" w:rsidRPr="006601BC" w:rsidRDefault="007D7104" w:rsidP="00190BB5">
            <w:pPr>
              <w:jc w:val="center"/>
              <w:rPr>
                <w:noProof/>
              </w:rPr>
            </w:pPr>
          </w:p>
        </w:tc>
        <w:tc>
          <w:tcPr>
            <w:tcW w:w="2370" w:type="dxa"/>
            <w:tcBorders>
              <w:top w:val="nil"/>
              <w:left w:val="nil"/>
              <w:right w:val="nil"/>
            </w:tcBorders>
          </w:tcPr>
          <w:p w14:paraId="26833439" w14:textId="77777777" w:rsidR="007D7104" w:rsidRPr="006601BC" w:rsidRDefault="007D7104" w:rsidP="00190BB5">
            <w:pPr>
              <w:rPr>
                <w:noProof/>
                <w:sz w:val="20"/>
              </w:rPr>
            </w:pPr>
          </w:p>
        </w:tc>
        <w:tc>
          <w:tcPr>
            <w:tcW w:w="240" w:type="dxa"/>
            <w:tcBorders>
              <w:top w:val="nil"/>
              <w:left w:val="nil"/>
            </w:tcBorders>
          </w:tcPr>
          <w:p w14:paraId="12772568" w14:textId="77777777" w:rsidR="007D7104" w:rsidRPr="006601BC" w:rsidRDefault="007D7104" w:rsidP="00190BB5">
            <w:pPr>
              <w:jc w:val="center"/>
              <w:rPr>
                <w:noProof/>
                <w:sz w:val="20"/>
              </w:rPr>
            </w:pPr>
          </w:p>
        </w:tc>
        <w:tc>
          <w:tcPr>
            <w:tcW w:w="1170" w:type="dxa"/>
            <w:vAlign w:val="center"/>
          </w:tcPr>
          <w:p w14:paraId="7FE2D12E" w14:textId="77777777" w:rsidR="007D7104" w:rsidRPr="006601BC" w:rsidRDefault="007D7104" w:rsidP="00190BB5">
            <w:pPr>
              <w:jc w:val="center"/>
              <w:rPr>
                <w:noProof/>
                <w:sz w:val="20"/>
              </w:rPr>
            </w:pPr>
            <w:r w:rsidRPr="006601BC">
              <w:rPr>
                <w:b/>
                <w:noProof/>
                <w:sz w:val="20"/>
              </w:rPr>
              <w:t>2021</w:t>
            </w:r>
          </w:p>
        </w:tc>
        <w:tc>
          <w:tcPr>
            <w:tcW w:w="900" w:type="dxa"/>
            <w:vAlign w:val="center"/>
          </w:tcPr>
          <w:p w14:paraId="3B7FE013" w14:textId="77777777" w:rsidR="007D7104" w:rsidRPr="006601BC" w:rsidRDefault="007D7104" w:rsidP="00190BB5">
            <w:pPr>
              <w:jc w:val="center"/>
              <w:rPr>
                <w:noProof/>
                <w:sz w:val="20"/>
              </w:rPr>
            </w:pPr>
            <w:r w:rsidRPr="006601BC">
              <w:rPr>
                <w:b/>
                <w:noProof/>
                <w:sz w:val="20"/>
              </w:rPr>
              <w:t>2022</w:t>
            </w:r>
          </w:p>
        </w:tc>
        <w:tc>
          <w:tcPr>
            <w:tcW w:w="900" w:type="dxa"/>
            <w:vAlign w:val="center"/>
          </w:tcPr>
          <w:p w14:paraId="33C4173D" w14:textId="77777777" w:rsidR="007D7104" w:rsidRPr="006601BC" w:rsidRDefault="007D7104" w:rsidP="00190BB5">
            <w:pPr>
              <w:jc w:val="center"/>
              <w:rPr>
                <w:noProof/>
                <w:sz w:val="20"/>
              </w:rPr>
            </w:pPr>
            <w:r w:rsidRPr="006601BC">
              <w:rPr>
                <w:b/>
                <w:noProof/>
                <w:sz w:val="20"/>
              </w:rPr>
              <w:t>2023</w:t>
            </w:r>
          </w:p>
        </w:tc>
        <w:tc>
          <w:tcPr>
            <w:tcW w:w="900" w:type="dxa"/>
            <w:vAlign w:val="center"/>
          </w:tcPr>
          <w:p w14:paraId="04BC4CF1" w14:textId="77777777" w:rsidR="007D7104" w:rsidRPr="006601BC" w:rsidRDefault="007D7104" w:rsidP="00190BB5">
            <w:pPr>
              <w:jc w:val="center"/>
              <w:rPr>
                <w:noProof/>
                <w:sz w:val="20"/>
              </w:rPr>
            </w:pPr>
            <w:r w:rsidRPr="006601BC">
              <w:rPr>
                <w:b/>
                <w:noProof/>
                <w:sz w:val="20"/>
              </w:rPr>
              <w:t>2024</w:t>
            </w:r>
          </w:p>
        </w:tc>
        <w:tc>
          <w:tcPr>
            <w:tcW w:w="900" w:type="dxa"/>
            <w:vAlign w:val="center"/>
          </w:tcPr>
          <w:p w14:paraId="46E05B7E" w14:textId="77777777" w:rsidR="007D7104" w:rsidRPr="006601BC" w:rsidRDefault="007D7104" w:rsidP="00190BB5">
            <w:pPr>
              <w:jc w:val="center"/>
              <w:rPr>
                <w:b/>
                <w:noProof/>
                <w:sz w:val="18"/>
              </w:rPr>
            </w:pPr>
            <w:r w:rsidRPr="006601BC">
              <w:rPr>
                <w:b/>
                <w:noProof/>
                <w:sz w:val="18"/>
              </w:rPr>
              <w:t>2025</w:t>
            </w:r>
          </w:p>
        </w:tc>
        <w:tc>
          <w:tcPr>
            <w:tcW w:w="900" w:type="dxa"/>
            <w:vAlign w:val="center"/>
          </w:tcPr>
          <w:p w14:paraId="2822D57B" w14:textId="77777777" w:rsidR="007D7104" w:rsidRPr="006601BC" w:rsidRDefault="007D7104" w:rsidP="00190BB5">
            <w:pPr>
              <w:jc w:val="center"/>
              <w:rPr>
                <w:b/>
                <w:noProof/>
                <w:sz w:val="18"/>
              </w:rPr>
            </w:pPr>
            <w:r w:rsidRPr="006601BC">
              <w:rPr>
                <w:b/>
                <w:noProof/>
                <w:sz w:val="18"/>
              </w:rPr>
              <w:t>2026</w:t>
            </w:r>
          </w:p>
        </w:tc>
        <w:tc>
          <w:tcPr>
            <w:tcW w:w="1080" w:type="dxa"/>
            <w:vAlign w:val="center"/>
          </w:tcPr>
          <w:p w14:paraId="5B6487F4" w14:textId="77777777" w:rsidR="007D7104" w:rsidRPr="006601BC" w:rsidRDefault="007D7104" w:rsidP="00190BB5">
            <w:pPr>
              <w:jc w:val="center"/>
              <w:rPr>
                <w:b/>
                <w:noProof/>
                <w:sz w:val="18"/>
              </w:rPr>
            </w:pPr>
            <w:r w:rsidRPr="006601BC">
              <w:rPr>
                <w:b/>
                <w:noProof/>
                <w:sz w:val="18"/>
              </w:rPr>
              <w:t>2027</w:t>
            </w:r>
          </w:p>
        </w:tc>
        <w:tc>
          <w:tcPr>
            <w:tcW w:w="1397" w:type="dxa"/>
            <w:vAlign w:val="center"/>
          </w:tcPr>
          <w:p w14:paraId="3AC0854A" w14:textId="77777777" w:rsidR="007D7104" w:rsidRPr="006601BC" w:rsidRDefault="007D7104" w:rsidP="00190BB5">
            <w:pPr>
              <w:jc w:val="center"/>
              <w:rPr>
                <w:b/>
                <w:noProof/>
                <w:sz w:val="20"/>
              </w:rPr>
            </w:pPr>
            <w:r w:rsidRPr="006601BC">
              <w:rPr>
                <w:b/>
                <w:noProof/>
                <w:sz w:val="20"/>
              </w:rPr>
              <w:t>ÖSSZESEN</w:t>
            </w:r>
          </w:p>
        </w:tc>
      </w:tr>
      <w:tr w:rsidR="007D7104" w:rsidRPr="006601BC" w14:paraId="27FEB9CA" w14:textId="77777777" w:rsidTr="00190BB5">
        <w:trPr>
          <w:gridAfter w:val="10"/>
          <w:wAfter w:w="10757" w:type="dxa"/>
        </w:trPr>
        <w:tc>
          <w:tcPr>
            <w:tcW w:w="3150" w:type="dxa"/>
            <w:vAlign w:val="center"/>
          </w:tcPr>
          <w:p w14:paraId="7F7AE060" w14:textId="77777777" w:rsidR="007D7104" w:rsidRPr="006601BC" w:rsidRDefault="007D7104" w:rsidP="00190BB5">
            <w:pPr>
              <w:spacing w:before="60" w:after="60"/>
              <w:jc w:val="center"/>
              <w:rPr>
                <w:noProof/>
              </w:rPr>
            </w:pPr>
            <w:r w:rsidRPr="006601BC">
              <w:rPr>
                <w:b/>
                <w:noProof/>
                <w:sz w:val="28"/>
                <w:szCs w:val="28"/>
              </w:rPr>
              <w:t>HERA</w:t>
            </w:r>
          </w:p>
        </w:tc>
      </w:tr>
      <w:tr w:rsidR="007D7104" w:rsidRPr="006601BC" w14:paraId="74495399" w14:textId="77777777" w:rsidTr="00190BB5">
        <w:trPr>
          <w:trHeight w:val="313"/>
        </w:trPr>
        <w:tc>
          <w:tcPr>
            <w:tcW w:w="5760" w:type="dxa"/>
            <w:gridSpan w:val="3"/>
            <w:vAlign w:val="center"/>
          </w:tcPr>
          <w:p w14:paraId="722A380C" w14:textId="77777777" w:rsidR="007D7104" w:rsidRPr="006601BC" w:rsidRDefault="007D7104" w:rsidP="00190BB5">
            <w:pPr>
              <w:spacing w:before="20" w:after="20"/>
              <w:rPr>
                <w:noProof/>
              </w:rPr>
            </w:pPr>
            <w:r w:rsidRPr="006601BC">
              <w:rPr>
                <w:noProof/>
                <w:sz w:val="22"/>
              </w:rPr>
              <w:sym w:font="Wingdings" w:char="F09F"/>
            </w:r>
            <w:r w:rsidRPr="006601BC">
              <w:rPr>
                <w:noProof/>
                <w:sz w:val="22"/>
              </w:rPr>
              <w:t xml:space="preserve"> Humánerőforrás </w:t>
            </w:r>
          </w:p>
        </w:tc>
        <w:tc>
          <w:tcPr>
            <w:tcW w:w="1170" w:type="dxa"/>
            <w:vAlign w:val="bottom"/>
          </w:tcPr>
          <w:p w14:paraId="58B51101" w14:textId="77777777" w:rsidR="007D7104" w:rsidRPr="006601BC" w:rsidRDefault="007D7104" w:rsidP="00190BB5">
            <w:pPr>
              <w:spacing w:before="20" w:after="20"/>
              <w:jc w:val="right"/>
              <w:rPr>
                <w:noProof/>
                <w:sz w:val="20"/>
                <w:szCs w:val="20"/>
              </w:rPr>
            </w:pPr>
            <w:r w:rsidRPr="006601BC">
              <w:rPr>
                <w:bCs/>
                <w:noProof/>
                <w:color w:val="000000"/>
                <w:sz w:val="20"/>
                <w:szCs w:val="20"/>
              </w:rPr>
              <w:t>5,776</w:t>
            </w:r>
          </w:p>
        </w:tc>
        <w:tc>
          <w:tcPr>
            <w:tcW w:w="900" w:type="dxa"/>
            <w:vAlign w:val="bottom"/>
          </w:tcPr>
          <w:p w14:paraId="355A3BE4" w14:textId="77777777" w:rsidR="007D7104" w:rsidRPr="006601BC" w:rsidRDefault="007D7104" w:rsidP="00190BB5">
            <w:pPr>
              <w:spacing w:before="20" w:after="20"/>
              <w:jc w:val="right"/>
              <w:rPr>
                <w:noProof/>
                <w:sz w:val="20"/>
                <w:szCs w:val="20"/>
              </w:rPr>
            </w:pPr>
            <w:r w:rsidRPr="006601BC">
              <w:rPr>
                <w:bCs/>
                <w:noProof/>
                <w:color w:val="000000"/>
                <w:sz w:val="20"/>
                <w:szCs w:val="20"/>
              </w:rPr>
              <w:t>11,148</w:t>
            </w:r>
          </w:p>
        </w:tc>
        <w:tc>
          <w:tcPr>
            <w:tcW w:w="900" w:type="dxa"/>
            <w:vAlign w:val="bottom"/>
          </w:tcPr>
          <w:p w14:paraId="61B85C36" w14:textId="77777777" w:rsidR="007D7104" w:rsidRPr="006601BC" w:rsidRDefault="007D7104" w:rsidP="00190BB5">
            <w:pPr>
              <w:spacing w:before="20" w:after="20"/>
              <w:jc w:val="right"/>
              <w:rPr>
                <w:noProof/>
                <w:sz w:val="20"/>
                <w:szCs w:val="20"/>
              </w:rPr>
            </w:pPr>
            <w:r w:rsidRPr="006601BC">
              <w:rPr>
                <w:bCs/>
                <w:noProof/>
                <w:color w:val="000000"/>
                <w:sz w:val="20"/>
                <w:szCs w:val="20"/>
              </w:rPr>
              <w:t>14,644</w:t>
            </w:r>
          </w:p>
        </w:tc>
        <w:tc>
          <w:tcPr>
            <w:tcW w:w="900" w:type="dxa"/>
            <w:vAlign w:val="bottom"/>
          </w:tcPr>
          <w:p w14:paraId="78B68145" w14:textId="77777777" w:rsidR="007D7104" w:rsidRPr="006601BC" w:rsidRDefault="007D7104" w:rsidP="00190BB5">
            <w:pPr>
              <w:spacing w:before="20" w:after="20"/>
              <w:jc w:val="right"/>
              <w:rPr>
                <w:noProof/>
                <w:sz w:val="20"/>
                <w:szCs w:val="20"/>
              </w:rPr>
            </w:pPr>
            <w:r w:rsidRPr="006601BC">
              <w:rPr>
                <w:bCs/>
                <w:noProof/>
                <w:color w:val="000000"/>
                <w:sz w:val="20"/>
                <w:szCs w:val="20"/>
              </w:rPr>
              <w:t>14,644</w:t>
            </w:r>
          </w:p>
        </w:tc>
        <w:tc>
          <w:tcPr>
            <w:tcW w:w="900" w:type="dxa"/>
            <w:vAlign w:val="bottom"/>
          </w:tcPr>
          <w:p w14:paraId="0C8A255D" w14:textId="77777777" w:rsidR="007D7104" w:rsidRPr="006601BC" w:rsidRDefault="007D7104" w:rsidP="00190BB5">
            <w:pPr>
              <w:spacing w:before="20" w:after="20"/>
              <w:jc w:val="right"/>
              <w:rPr>
                <w:noProof/>
                <w:sz w:val="20"/>
                <w:szCs w:val="20"/>
              </w:rPr>
            </w:pPr>
            <w:r w:rsidRPr="006601BC">
              <w:rPr>
                <w:bCs/>
                <w:noProof/>
                <w:color w:val="000000"/>
                <w:sz w:val="20"/>
                <w:szCs w:val="20"/>
              </w:rPr>
              <w:t>14,644</w:t>
            </w:r>
          </w:p>
        </w:tc>
        <w:tc>
          <w:tcPr>
            <w:tcW w:w="900" w:type="dxa"/>
            <w:vAlign w:val="bottom"/>
          </w:tcPr>
          <w:p w14:paraId="2AC8067A" w14:textId="77777777" w:rsidR="007D7104" w:rsidRPr="006601BC" w:rsidRDefault="007D7104" w:rsidP="00190BB5">
            <w:pPr>
              <w:spacing w:before="20" w:after="20"/>
              <w:jc w:val="right"/>
              <w:rPr>
                <w:noProof/>
                <w:sz w:val="20"/>
                <w:szCs w:val="20"/>
              </w:rPr>
            </w:pPr>
            <w:r w:rsidRPr="006601BC">
              <w:rPr>
                <w:bCs/>
                <w:noProof/>
                <w:color w:val="000000"/>
                <w:sz w:val="20"/>
                <w:szCs w:val="20"/>
              </w:rPr>
              <w:t>14,644</w:t>
            </w:r>
          </w:p>
        </w:tc>
        <w:tc>
          <w:tcPr>
            <w:tcW w:w="1080" w:type="dxa"/>
            <w:vAlign w:val="bottom"/>
          </w:tcPr>
          <w:p w14:paraId="56AD37CE" w14:textId="77777777" w:rsidR="007D7104" w:rsidRPr="006601BC" w:rsidRDefault="007D7104" w:rsidP="00190BB5">
            <w:pPr>
              <w:spacing w:before="20" w:after="20"/>
              <w:jc w:val="right"/>
              <w:rPr>
                <w:noProof/>
                <w:sz w:val="20"/>
                <w:szCs w:val="20"/>
              </w:rPr>
            </w:pPr>
            <w:r w:rsidRPr="006601BC">
              <w:rPr>
                <w:bCs/>
                <w:noProof/>
                <w:color w:val="000000"/>
                <w:sz w:val="20"/>
                <w:szCs w:val="20"/>
              </w:rPr>
              <w:t>14,644</w:t>
            </w:r>
          </w:p>
        </w:tc>
        <w:tc>
          <w:tcPr>
            <w:tcW w:w="1397" w:type="dxa"/>
            <w:vAlign w:val="bottom"/>
          </w:tcPr>
          <w:p w14:paraId="4E42D099" w14:textId="77777777" w:rsidR="007D7104" w:rsidRPr="006601BC" w:rsidRDefault="007D7104" w:rsidP="00190BB5">
            <w:pPr>
              <w:spacing w:before="0" w:after="0"/>
              <w:jc w:val="right"/>
              <w:rPr>
                <w:bCs/>
                <w:noProof/>
                <w:color w:val="000000"/>
                <w:sz w:val="20"/>
                <w:szCs w:val="20"/>
              </w:rPr>
            </w:pPr>
            <w:r w:rsidRPr="006601BC">
              <w:rPr>
                <w:bCs/>
                <w:noProof/>
                <w:color w:val="000000"/>
                <w:sz w:val="20"/>
                <w:szCs w:val="20"/>
              </w:rPr>
              <w:t>90,144</w:t>
            </w:r>
          </w:p>
        </w:tc>
      </w:tr>
      <w:tr w:rsidR="007D7104" w:rsidRPr="006601BC" w14:paraId="11F5D49F" w14:textId="77777777" w:rsidTr="00190BB5">
        <w:trPr>
          <w:trHeight w:val="351"/>
        </w:trPr>
        <w:tc>
          <w:tcPr>
            <w:tcW w:w="5760" w:type="dxa"/>
            <w:gridSpan w:val="3"/>
            <w:vAlign w:val="center"/>
          </w:tcPr>
          <w:p w14:paraId="3C190281" w14:textId="77777777" w:rsidR="007D7104" w:rsidRPr="006601BC" w:rsidRDefault="007D7104" w:rsidP="00190BB5">
            <w:pPr>
              <w:spacing w:before="20" w:after="20"/>
              <w:rPr>
                <w:noProof/>
              </w:rPr>
            </w:pPr>
            <w:r w:rsidRPr="006601BC">
              <w:rPr>
                <w:noProof/>
                <w:sz w:val="22"/>
              </w:rPr>
              <w:sym w:font="Wingdings" w:char="F09F"/>
            </w:r>
            <w:r w:rsidRPr="006601BC">
              <w:rPr>
                <w:noProof/>
                <w:sz w:val="22"/>
              </w:rPr>
              <w:t xml:space="preserve"> Egyéb igazgatási kiadások </w:t>
            </w:r>
          </w:p>
        </w:tc>
        <w:tc>
          <w:tcPr>
            <w:tcW w:w="1170" w:type="dxa"/>
            <w:vAlign w:val="center"/>
          </w:tcPr>
          <w:p w14:paraId="2681D453" w14:textId="77777777" w:rsidR="007D7104" w:rsidRPr="006601BC" w:rsidRDefault="007D7104" w:rsidP="00190BB5">
            <w:pPr>
              <w:spacing w:before="20" w:after="20"/>
              <w:jc w:val="right"/>
              <w:rPr>
                <w:b/>
                <w:noProof/>
                <w:sz w:val="20"/>
                <w:szCs w:val="20"/>
              </w:rPr>
            </w:pPr>
          </w:p>
        </w:tc>
        <w:tc>
          <w:tcPr>
            <w:tcW w:w="900" w:type="dxa"/>
            <w:vAlign w:val="bottom"/>
          </w:tcPr>
          <w:p w14:paraId="5DBB363D" w14:textId="77777777" w:rsidR="007D7104" w:rsidRPr="006601BC" w:rsidRDefault="007D7104" w:rsidP="00190BB5">
            <w:pPr>
              <w:spacing w:before="20" w:after="20"/>
              <w:jc w:val="right"/>
              <w:rPr>
                <w:b/>
                <w:noProof/>
                <w:sz w:val="20"/>
                <w:szCs w:val="20"/>
              </w:rPr>
            </w:pPr>
            <w:r w:rsidRPr="006601BC">
              <w:rPr>
                <w:bCs/>
                <w:noProof/>
                <w:color w:val="000000"/>
                <w:sz w:val="20"/>
                <w:szCs w:val="20"/>
              </w:rPr>
              <w:t>0,818</w:t>
            </w:r>
          </w:p>
        </w:tc>
        <w:tc>
          <w:tcPr>
            <w:tcW w:w="900" w:type="dxa"/>
            <w:vAlign w:val="bottom"/>
          </w:tcPr>
          <w:p w14:paraId="721CA3F0" w14:textId="77777777" w:rsidR="007D7104" w:rsidRPr="006601BC" w:rsidRDefault="007D7104" w:rsidP="00190BB5">
            <w:pPr>
              <w:spacing w:before="20" w:after="20"/>
              <w:jc w:val="right"/>
              <w:rPr>
                <w:b/>
                <w:noProof/>
                <w:sz w:val="20"/>
                <w:szCs w:val="20"/>
              </w:rPr>
            </w:pPr>
            <w:r w:rsidRPr="006601BC">
              <w:rPr>
                <w:bCs/>
                <w:noProof/>
                <w:color w:val="000000"/>
                <w:sz w:val="20"/>
                <w:szCs w:val="20"/>
              </w:rPr>
              <w:t>0,864</w:t>
            </w:r>
          </w:p>
        </w:tc>
        <w:tc>
          <w:tcPr>
            <w:tcW w:w="900" w:type="dxa"/>
            <w:vAlign w:val="bottom"/>
          </w:tcPr>
          <w:p w14:paraId="4FCA2FF6" w14:textId="77777777" w:rsidR="007D7104" w:rsidRPr="006601BC" w:rsidRDefault="007D7104" w:rsidP="00190BB5">
            <w:pPr>
              <w:spacing w:before="20" w:after="20"/>
              <w:jc w:val="right"/>
              <w:rPr>
                <w:b/>
                <w:noProof/>
                <w:sz w:val="20"/>
                <w:szCs w:val="20"/>
              </w:rPr>
            </w:pPr>
            <w:r w:rsidRPr="006601BC">
              <w:rPr>
                <w:bCs/>
                <w:noProof/>
                <w:color w:val="000000"/>
                <w:sz w:val="20"/>
                <w:szCs w:val="20"/>
              </w:rPr>
              <w:t>0,864</w:t>
            </w:r>
          </w:p>
        </w:tc>
        <w:tc>
          <w:tcPr>
            <w:tcW w:w="900" w:type="dxa"/>
            <w:vAlign w:val="bottom"/>
          </w:tcPr>
          <w:p w14:paraId="1A9EE149" w14:textId="77777777" w:rsidR="007D7104" w:rsidRPr="006601BC" w:rsidRDefault="007D7104" w:rsidP="00190BB5">
            <w:pPr>
              <w:spacing w:before="20" w:after="20"/>
              <w:jc w:val="right"/>
              <w:rPr>
                <w:b/>
                <w:noProof/>
                <w:sz w:val="20"/>
                <w:szCs w:val="20"/>
              </w:rPr>
            </w:pPr>
            <w:r w:rsidRPr="006601BC">
              <w:rPr>
                <w:bCs/>
                <w:noProof/>
                <w:color w:val="000000"/>
                <w:sz w:val="20"/>
                <w:szCs w:val="20"/>
              </w:rPr>
              <w:t>0,864</w:t>
            </w:r>
          </w:p>
        </w:tc>
        <w:tc>
          <w:tcPr>
            <w:tcW w:w="900" w:type="dxa"/>
            <w:vAlign w:val="bottom"/>
          </w:tcPr>
          <w:p w14:paraId="5C357D18" w14:textId="77777777" w:rsidR="007D7104" w:rsidRPr="006601BC" w:rsidRDefault="007D7104" w:rsidP="00190BB5">
            <w:pPr>
              <w:spacing w:before="20" w:after="20"/>
              <w:jc w:val="right"/>
              <w:rPr>
                <w:b/>
                <w:noProof/>
                <w:sz w:val="20"/>
                <w:szCs w:val="20"/>
              </w:rPr>
            </w:pPr>
            <w:r w:rsidRPr="006601BC">
              <w:rPr>
                <w:bCs/>
                <w:noProof/>
                <w:color w:val="000000"/>
                <w:sz w:val="20"/>
                <w:szCs w:val="20"/>
              </w:rPr>
              <w:t>0,864</w:t>
            </w:r>
          </w:p>
        </w:tc>
        <w:tc>
          <w:tcPr>
            <w:tcW w:w="1080" w:type="dxa"/>
            <w:vAlign w:val="bottom"/>
          </w:tcPr>
          <w:p w14:paraId="0B0CD7D1" w14:textId="77777777" w:rsidR="007D7104" w:rsidRPr="006601BC" w:rsidRDefault="007D7104" w:rsidP="00190BB5">
            <w:pPr>
              <w:spacing w:before="20" w:after="20"/>
              <w:jc w:val="right"/>
              <w:rPr>
                <w:b/>
                <w:noProof/>
                <w:sz w:val="20"/>
                <w:szCs w:val="20"/>
              </w:rPr>
            </w:pPr>
            <w:r w:rsidRPr="006601BC">
              <w:rPr>
                <w:bCs/>
                <w:noProof/>
                <w:color w:val="000000"/>
                <w:sz w:val="20"/>
                <w:szCs w:val="20"/>
              </w:rPr>
              <w:t>0,864</w:t>
            </w:r>
          </w:p>
        </w:tc>
        <w:tc>
          <w:tcPr>
            <w:tcW w:w="1397" w:type="dxa"/>
            <w:vAlign w:val="bottom"/>
          </w:tcPr>
          <w:p w14:paraId="06C01517" w14:textId="77777777" w:rsidR="007D7104" w:rsidRPr="006601BC" w:rsidRDefault="007D7104" w:rsidP="00190BB5">
            <w:pPr>
              <w:spacing w:before="20" w:after="20"/>
              <w:jc w:val="right"/>
              <w:rPr>
                <w:b/>
                <w:noProof/>
                <w:sz w:val="20"/>
                <w:szCs w:val="20"/>
              </w:rPr>
            </w:pPr>
            <w:r w:rsidRPr="006601BC">
              <w:rPr>
                <w:bCs/>
                <w:noProof/>
                <w:color w:val="000000"/>
                <w:sz w:val="20"/>
                <w:szCs w:val="20"/>
              </w:rPr>
              <w:t>5,138</w:t>
            </w:r>
          </w:p>
        </w:tc>
      </w:tr>
      <w:tr w:rsidR="007D7104" w:rsidRPr="006601BC" w14:paraId="51C441AB" w14:textId="77777777" w:rsidTr="00190BB5">
        <w:tc>
          <w:tcPr>
            <w:tcW w:w="3150" w:type="dxa"/>
            <w:vAlign w:val="center"/>
          </w:tcPr>
          <w:p w14:paraId="1EEA9342" w14:textId="77777777" w:rsidR="007D7104" w:rsidRPr="006601BC" w:rsidRDefault="007D7104" w:rsidP="00190BB5">
            <w:pPr>
              <w:jc w:val="center"/>
              <w:rPr>
                <w:b/>
                <w:noProof/>
              </w:rPr>
            </w:pPr>
            <w:r w:rsidRPr="006601BC">
              <w:rPr>
                <w:b/>
                <w:noProof/>
                <w:sz w:val="22"/>
              </w:rPr>
              <w:t>A 7. FEJEZETHEZ tartozó előirányzatok ÖSSZESEN – HERA</w:t>
            </w:r>
          </w:p>
        </w:tc>
        <w:tc>
          <w:tcPr>
            <w:tcW w:w="2610" w:type="dxa"/>
            <w:gridSpan w:val="2"/>
            <w:vAlign w:val="center"/>
          </w:tcPr>
          <w:p w14:paraId="282006FF" w14:textId="77777777" w:rsidR="007D7104" w:rsidRPr="006601BC" w:rsidRDefault="007D7104" w:rsidP="00190BB5">
            <w:pPr>
              <w:rPr>
                <w:noProof/>
                <w:sz w:val="14"/>
              </w:rPr>
            </w:pPr>
            <w:r w:rsidRPr="006601BC">
              <w:rPr>
                <w:noProof/>
                <w:sz w:val="18"/>
              </w:rPr>
              <w:t xml:space="preserve">Előirányzatok </w:t>
            </w:r>
          </w:p>
        </w:tc>
        <w:tc>
          <w:tcPr>
            <w:tcW w:w="1170" w:type="dxa"/>
            <w:vAlign w:val="bottom"/>
          </w:tcPr>
          <w:p w14:paraId="6FB92B11" w14:textId="77777777" w:rsidR="007D7104" w:rsidRPr="006601BC" w:rsidRDefault="007D7104" w:rsidP="00190BB5">
            <w:pPr>
              <w:spacing w:before="60" w:after="60"/>
              <w:jc w:val="center"/>
              <w:rPr>
                <w:b/>
                <w:noProof/>
                <w:sz w:val="20"/>
                <w:szCs w:val="20"/>
              </w:rPr>
            </w:pPr>
            <w:r w:rsidRPr="006601BC">
              <w:rPr>
                <w:b/>
                <w:bCs/>
                <w:noProof/>
                <w:color w:val="000000"/>
                <w:sz w:val="20"/>
                <w:szCs w:val="20"/>
              </w:rPr>
              <w:t>5,776</w:t>
            </w:r>
          </w:p>
        </w:tc>
        <w:tc>
          <w:tcPr>
            <w:tcW w:w="900" w:type="dxa"/>
            <w:vAlign w:val="bottom"/>
          </w:tcPr>
          <w:p w14:paraId="2DB6217D" w14:textId="77777777" w:rsidR="007D7104" w:rsidRPr="006601BC" w:rsidRDefault="007D7104" w:rsidP="00190BB5">
            <w:pPr>
              <w:spacing w:before="20" w:after="20"/>
              <w:jc w:val="right"/>
              <w:rPr>
                <w:b/>
                <w:noProof/>
                <w:sz w:val="20"/>
                <w:szCs w:val="20"/>
              </w:rPr>
            </w:pPr>
            <w:r w:rsidRPr="006601BC">
              <w:rPr>
                <w:b/>
                <w:bCs/>
                <w:noProof/>
                <w:color w:val="000000"/>
                <w:sz w:val="20"/>
                <w:szCs w:val="20"/>
              </w:rPr>
              <w:t>11,966</w:t>
            </w:r>
          </w:p>
        </w:tc>
        <w:tc>
          <w:tcPr>
            <w:tcW w:w="900" w:type="dxa"/>
            <w:vAlign w:val="bottom"/>
          </w:tcPr>
          <w:p w14:paraId="3F2F8B0E" w14:textId="77777777" w:rsidR="007D7104" w:rsidRPr="006601BC" w:rsidRDefault="007D7104" w:rsidP="00190BB5">
            <w:pPr>
              <w:spacing w:before="20" w:after="20"/>
              <w:jc w:val="right"/>
              <w:rPr>
                <w:b/>
                <w:noProof/>
                <w:sz w:val="20"/>
                <w:szCs w:val="20"/>
              </w:rPr>
            </w:pPr>
            <w:r w:rsidRPr="006601BC">
              <w:rPr>
                <w:b/>
                <w:bCs/>
                <w:noProof/>
                <w:color w:val="000000"/>
                <w:sz w:val="20"/>
                <w:szCs w:val="20"/>
              </w:rPr>
              <w:t>15,508</w:t>
            </w:r>
          </w:p>
        </w:tc>
        <w:tc>
          <w:tcPr>
            <w:tcW w:w="900" w:type="dxa"/>
            <w:vAlign w:val="bottom"/>
          </w:tcPr>
          <w:p w14:paraId="1DF67F57" w14:textId="77777777" w:rsidR="007D7104" w:rsidRPr="006601BC" w:rsidRDefault="007D7104" w:rsidP="00190BB5">
            <w:pPr>
              <w:spacing w:before="20" w:after="20"/>
              <w:jc w:val="right"/>
              <w:rPr>
                <w:b/>
                <w:noProof/>
                <w:sz w:val="20"/>
                <w:szCs w:val="20"/>
              </w:rPr>
            </w:pPr>
            <w:r w:rsidRPr="006601BC">
              <w:rPr>
                <w:b/>
                <w:bCs/>
                <w:noProof/>
                <w:color w:val="000000"/>
                <w:sz w:val="20"/>
                <w:szCs w:val="20"/>
              </w:rPr>
              <w:t>15,508</w:t>
            </w:r>
          </w:p>
        </w:tc>
        <w:tc>
          <w:tcPr>
            <w:tcW w:w="900" w:type="dxa"/>
            <w:vAlign w:val="bottom"/>
          </w:tcPr>
          <w:p w14:paraId="147FEBA0" w14:textId="77777777" w:rsidR="007D7104" w:rsidRPr="006601BC" w:rsidRDefault="007D7104" w:rsidP="00190BB5">
            <w:pPr>
              <w:spacing w:before="20" w:after="20"/>
              <w:jc w:val="right"/>
              <w:rPr>
                <w:b/>
                <w:noProof/>
                <w:sz w:val="20"/>
                <w:szCs w:val="20"/>
              </w:rPr>
            </w:pPr>
            <w:r w:rsidRPr="006601BC">
              <w:rPr>
                <w:b/>
                <w:bCs/>
                <w:noProof/>
                <w:color w:val="000000"/>
                <w:sz w:val="20"/>
                <w:szCs w:val="20"/>
              </w:rPr>
              <w:t>15,508</w:t>
            </w:r>
          </w:p>
        </w:tc>
        <w:tc>
          <w:tcPr>
            <w:tcW w:w="900" w:type="dxa"/>
            <w:vAlign w:val="bottom"/>
          </w:tcPr>
          <w:p w14:paraId="0A7F0363" w14:textId="77777777" w:rsidR="007D7104" w:rsidRPr="006601BC" w:rsidRDefault="007D7104" w:rsidP="00190BB5">
            <w:pPr>
              <w:spacing w:before="20" w:after="20"/>
              <w:jc w:val="right"/>
              <w:rPr>
                <w:b/>
                <w:noProof/>
                <w:sz w:val="20"/>
                <w:szCs w:val="20"/>
              </w:rPr>
            </w:pPr>
            <w:r w:rsidRPr="006601BC">
              <w:rPr>
                <w:b/>
                <w:bCs/>
                <w:noProof/>
                <w:color w:val="000000"/>
                <w:sz w:val="20"/>
                <w:szCs w:val="20"/>
              </w:rPr>
              <w:t>15,508</w:t>
            </w:r>
          </w:p>
        </w:tc>
        <w:tc>
          <w:tcPr>
            <w:tcW w:w="1080" w:type="dxa"/>
            <w:vAlign w:val="bottom"/>
          </w:tcPr>
          <w:p w14:paraId="45B1B186" w14:textId="77777777" w:rsidR="007D7104" w:rsidRPr="006601BC" w:rsidRDefault="007D7104" w:rsidP="00190BB5">
            <w:pPr>
              <w:spacing w:before="20" w:after="20"/>
              <w:jc w:val="right"/>
              <w:rPr>
                <w:b/>
                <w:noProof/>
                <w:sz w:val="20"/>
                <w:szCs w:val="20"/>
              </w:rPr>
            </w:pPr>
            <w:r w:rsidRPr="006601BC">
              <w:rPr>
                <w:b/>
                <w:bCs/>
                <w:noProof/>
                <w:color w:val="000000"/>
                <w:sz w:val="20"/>
                <w:szCs w:val="20"/>
              </w:rPr>
              <w:t>15,508</w:t>
            </w:r>
          </w:p>
        </w:tc>
        <w:tc>
          <w:tcPr>
            <w:tcW w:w="1397" w:type="dxa"/>
            <w:vAlign w:val="bottom"/>
          </w:tcPr>
          <w:p w14:paraId="4CF4433C" w14:textId="77777777" w:rsidR="007D7104" w:rsidRPr="006601BC" w:rsidRDefault="007D7104" w:rsidP="00190BB5">
            <w:pPr>
              <w:spacing w:before="20" w:after="20"/>
              <w:jc w:val="right"/>
              <w:rPr>
                <w:b/>
                <w:noProof/>
                <w:sz w:val="20"/>
                <w:szCs w:val="20"/>
              </w:rPr>
            </w:pPr>
            <w:r w:rsidRPr="006601BC">
              <w:rPr>
                <w:b/>
                <w:bCs/>
                <w:noProof/>
                <w:color w:val="000000"/>
                <w:sz w:val="20"/>
                <w:szCs w:val="20"/>
              </w:rPr>
              <w:t>95,282</w:t>
            </w:r>
          </w:p>
        </w:tc>
      </w:tr>
    </w:tbl>
    <w:p w14:paraId="71181409" w14:textId="77777777" w:rsidR="007D7104" w:rsidRPr="006601BC" w:rsidRDefault="007D7104" w:rsidP="007D7104">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2610"/>
        <w:gridCol w:w="1170"/>
        <w:gridCol w:w="900"/>
        <w:gridCol w:w="900"/>
        <w:gridCol w:w="900"/>
        <w:gridCol w:w="900"/>
        <w:gridCol w:w="900"/>
        <w:gridCol w:w="1080"/>
        <w:gridCol w:w="1350"/>
      </w:tblGrid>
      <w:tr w:rsidR="007D7104" w:rsidRPr="006601BC" w14:paraId="1961B003" w14:textId="77777777" w:rsidTr="00190BB5">
        <w:tc>
          <w:tcPr>
            <w:tcW w:w="3150" w:type="dxa"/>
            <w:shd w:val="thinDiagStripe" w:color="C0C0C0" w:fill="auto"/>
            <w:vAlign w:val="center"/>
          </w:tcPr>
          <w:p w14:paraId="43C59215" w14:textId="77777777" w:rsidR="007D7104" w:rsidRPr="006601BC" w:rsidRDefault="007D7104" w:rsidP="00190BB5">
            <w:pPr>
              <w:jc w:val="center"/>
              <w:rPr>
                <w:b/>
                <w:noProof/>
              </w:rPr>
            </w:pPr>
            <w:r w:rsidRPr="006601BC">
              <w:rPr>
                <w:noProof/>
                <w:sz w:val="22"/>
              </w:rPr>
              <w:t>A többéves pénzügyi keret</w:t>
            </w:r>
            <w:r w:rsidRPr="006601BC">
              <w:rPr>
                <w:noProof/>
              </w:rPr>
              <w:t xml:space="preserve"> </w:t>
            </w:r>
            <w:r w:rsidRPr="006601BC">
              <w:rPr>
                <w:noProof/>
              </w:rPr>
              <w:br/>
            </w:r>
            <w:r w:rsidRPr="006601BC">
              <w:rPr>
                <w:b/>
                <w:noProof/>
                <w:sz w:val="22"/>
              </w:rPr>
              <w:t>7. FEJEZETÉHEZ tartozó</w:t>
            </w:r>
            <w:r w:rsidRPr="006601BC">
              <w:rPr>
                <w:noProof/>
              </w:rPr>
              <w:t xml:space="preserve"> </w:t>
            </w:r>
            <w:r w:rsidRPr="006601BC">
              <w:rPr>
                <w:noProof/>
              </w:rPr>
              <w:br/>
            </w:r>
            <w:r w:rsidRPr="006601BC">
              <w:rPr>
                <w:b/>
                <w:noProof/>
                <w:sz w:val="22"/>
              </w:rPr>
              <w:t xml:space="preserve">előirányzatok ÖSSZESEN </w:t>
            </w:r>
          </w:p>
        </w:tc>
        <w:tc>
          <w:tcPr>
            <w:tcW w:w="2610" w:type="dxa"/>
            <w:vAlign w:val="center"/>
          </w:tcPr>
          <w:p w14:paraId="0D82105D" w14:textId="77777777" w:rsidR="007D7104" w:rsidRPr="006601BC" w:rsidRDefault="007D7104" w:rsidP="00190BB5">
            <w:pPr>
              <w:spacing w:before="40" w:after="40"/>
              <w:rPr>
                <w:noProof/>
              </w:rPr>
            </w:pPr>
            <w:r w:rsidRPr="006601BC">
              <w:rPr>
                <w:noProof/>
                <w:sz w:val="18"/>
              </w:rPr>
              <w:t>(Összes kötelezettségvállalási előirányzat = Összes kifizetési előirányzat)</w:t>
            </w:r>
          </w:p>
        </w:tc>
        <w:tc>
          <w:tcPr>
            <w:tcW w:w="1170" w:type="dxa"/>
            <w:vAlign w:val="bottom"/>
          </w:tcPr>
          <w:p w14:paraId="51BA865E" w14:textId="77777777" w:rsidR="007D7104" w:rsidRPr="006601BC" w:rsidRDefault="007D7104" w:rsidP="00190BB5">
            <w:pPr>
              <w:spacing w:before="20" w:after="20"/>
              <w:jc w:val="right"/>
              <w:rPr>
                <w:noProof/>
                <w:sz w:val="20"/>
                <w:szCs w:val="20"/>
              </w:rPr>
            </w:pPr>
            <w:r w:rsidRPr="006601BC">
              <w:rPr>
                <w:b/>
                <w:bCs/>
                <w:noProof/>
                <w:color w:val="000000"/>
                <w:sz w:val="20"/>
                <w:szCs w:val="20"/>
              </w:rPr>
              <w:t>5,776</w:t>
            </w:r>
          </w:p>
        </w:tc>
        <w:tc>
          <w:tcPr>
            <w:tcW w:w="900" w:type="dxa"/>
            <w:vAlign w:val="bottom"/>
          </w:tcPr>
          <w:p w14:paraId="7BC1A208" w14:textId="77777777" w:rsidR="007D7104" w:rsidRPr="006601BC" w:rsidRDefault="007D7104" w:rsidP="00190BB5">
            <w:pPr>
              <w:spacing w:before="20" w:after="20"/>
              <w:jc w:val="right"/>
              <w:rPr>
                <w:noProof/>
                <w:sz w:val="20"/>
                <w:szCs w:val="20"/>
              </w:rPr>
            </w:pPr>
            <w:r w:rsidRPr="006601BC">
              <w:rPr>
                <w:b/>
                <w:bCs/>
                <w:noProof/>
                <w:color w:val="000000"/>
                <w:sz w:val="20"/>
                <w:szCs w:val="20"/>
              </w:rPr>
              <w:t>11,966</w:t>
            </w:r>
          </w:p>
        </w:tc>
        <w:tc>
          <w:tcPr>
            <w:tcW w:w="900" w:type="dxa"/>
            <w:vAlign w:val="bottom"/>
          </w:tcPr>
          <w:p w14:paraId="4E71FD99" w14:textId="77777777" w:rsidR="007D7104" w:rsidRPr="006601BC" w:rsidRDefault="007D7104" w:rsidP="00190BB5">
            <w:pPr>
              <w:spacing w:before="20" w:after="20"/>
              <w:jc w:val="right"/>
              <w:rPr>
                <w:noProof/>
                <w:sz w:val="20"/>
                <w:szCs w:val="20"/>
              </w:rPr>
            </w:pPr>
            <w:r w:rsidRPr="006601BC">
              <w:rPr>
                <w:b/>
                <w:bCs/>
                <w:noProof/>
                <w:color w:val="000000"/>
                <w:sz w:val="20"/>
                <w:szCs w:val="20"/>
              </w:rPr>
              <w:t>15,508</w:t>
            </w:r>
          </w:p>
        </w:tc>
        <w:tc>
          <w:tcPr>
            <w:tcW w:w="900" w:type="dxa"/>
            <w:vAlign w:val="bottom"/>
          </w:tcPr>
          <w:p w14:paraId="061AB79E" w14:textId="77777777" w:rsidR="007D7104" w:rsidRPr="006601BC" w:rsidRDefault="007D7104" w:rsidP="00190BB5">
            <w:pPr>
              <w:spacing w:before="20" w:after="20"/>
              <w:jc w:val="right"/>
              <w:rPr>
                <w:noProof/>
                <w:sz w:val="20"/>
                <w:szCs w:val="20"/>
              </w:rPr>
            </w:pPr>
            <w:r w:rsidRPr="006601BC">
              <w:rPr>
                <w:b/>
                <w:bCs/>
                <w:noProof/>
                <w:color w:val="000000"/>
                <w:sz w:val="20"/>
                <w:szCs w:val="20"/>
              </w:rPr>
              <w:t>15,508</w:t>
            </w:r>
          </w:p>
        </w:tc>
        <w:tc>
          <w:tcPr>
            <w:tcW w:w="900" w:type="dxa"/>
            <w:vAlign w:val="bottom"/>
          </w:tcPr>
          <w:p w14:paraId="4A02E47E" w14:textId="77777777" w:rsidR="007D7104" w:rsidRPr="006601BC" w:rsidRDefault="007D7104" w:rsidP="00190BB5">
            <w:pPr>
              <w:spacing w:before="20" w:after="20"/>
              <w:jc w:val="right"/>
              <w:rPr>
                <w:noProof/>
                <w:sz w:val="20"/>
                <w:szCs w:val="20"/>
              </w:rPr>
            </w:pPr>
            <w:r w:rsidRPr="006601BC">
              <w:rPr>
                <w:b/>
                <w:bCs/>
                <w:noProof/>
                <w:color w:val="000000"/>
                <w:sz w:val="20"/>
                <w:szCs w:val="20"/>
              </w:rPr>
              <w:t>15,508</w:t>
            </w:r>
          </w:p>
        </w:tc>
        <w:tc>
          <w:tcPr>
            <w:tcW w:w="900" w:type="dxa"/>
            <w:vAlign w:val="bottom"/>
          </w:tcPr>
          <w:p w14:paraId="6C04832C" w14:textId="77777777" w:rsidR="007D7104" w:rsidRPr="006601BC" w:rsidRDefault="007D7104" w:rsidP="00190BB5">
            <w:pPr>
              <w:spacing w:before="20" w:after="20"/>
              <w:jc w:val="right"/>
              <w:rPr>
                <w:noProof/>
                <w:sz w:val="20"/>
                <w:szCs w:val="20"/>
              </w:rPr>
            </w:pPr>
            <w:r w:rsidRPr="006601BC">
              <w:rPr>
                <w:b/>
                <w:bCs/>
                <w:noProof/>
                <w:color w:val="000000"/>
                <w:sz w:val="20"/>
                <w:szCs w:val="20"/>
              </w:rPr>
              <w:t>15,508</w:t>
            </w:r>
          </w:p>
        </w:tc>
        <w:tc>
          <w:tcPr>
            <w:tcW w:w="1080" w:type="dxa"/>
            <w:vAlign w:val="bottom"/>
          </w:tcPr>
          <w:p w14:paraId="0429212E" w14:textId="77777777" w:rsidR="007D7104" w:rsidRPr="006601BC" w:rsidRDefault="007D7104" w:rsidP="00190BB5">
            <w:pPr>
              <w:spacing w:before="20" w:after="20"/>
              <w:jc w:val="right"/>
              <w:rPr>
                <w:b/>
                <w:noProof/>
                <w:sz w:val="20"/>
                <w:szCs w:val="20"/>
              </w:rPr>
            </w:pPr>
            <w:r w:rsidRPr="006601BC">
              <w:rPr>
                <w:b/>
                <w:bCs/>
                <w:noProof/>
                <w:color w:val="000000"/>
                <w:sz w:val="20"/>
                <w:szCs w:val="20"/>
              </w:rPr>
              <w:t>15,508</w:t>
            </w:r>
          </w:p>
        </w:tc>
        <w:tc>
          <w:tcPr>
            <w:tcW w:w="1350" w:type="dxa"/>
            <w:vAlign w:val="bottom"/>
          </w:tcPr>
          <w:p w14:paraId="38EA8E4B" w14:textId="77777777" w:rsidR="007D7104" w:rsidRPr="006601BC" w:rsidRDefault="007D7104" w:rsidP="00190BB5">
            <w:pPr>
              <w:spacing w:before="20" w:after="20"/>
              <w:jc w:val="right"/>
              <w:rPr>
                <w:b/>
                <w:noProof/>
                <w:sz w:val="20"/>
                <w:szCs w:val="20"/>
              </w:rPr>
            </w:pPr>
            <w:r w:rsidRPr="006601BC">
              <w:rPr>
                <w:b/>
                <w:bCs/>
                <w:noProof/>
                <w:color w:val="000000"/>
                <w:sz w:val="20"/>
                <w:szCs w:val="20"/>
              </w:rPr>
              <w:t>95,282</w:t>
            </w:r>
          </w:p>
        </w:tc>
      </w:tr>
    </w:tbl>
    <w:p w14:paraId="53AA119F" w14:textId="77777777" w:rsidR="007D7104" w:rsidRPr="006601BC" w:rsidRDefault="007D7104" w:rsidP="007D7104">
      <w:pPr>
        <w:jc w:val="right"/>
        <w:rPr>
          <w:noProof/>
          <w:sz w:val="20"/>
        </w:rPr>
      </w:pPr>
      <w:r w:rsidRPr="006601BC">
        <w:rPr>
          <w:noProof/>
          <w:sz w:val="20"/>
        </w:rPr>
        <w:t>millió EUR (három tizedesjegyig)</w:t>
      </w:r>
    </w:p>
    <w:tbl>
      <w:tblPr>
        <w:tblW w:w="151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29"/>
        <w:gridCol w:w="345"/>
        <w:gridCol w:w="889"/>
        <w:gridCol w:w="1040"/>
        <w:gridCol w:w="1029"/>
        <w:gridCol w:w="1080"/>
        <w:gridCol w:w="1080"/>
        <w:gridCol w:w="1170"/>
        <w:gridCol w:w="1080"/>
        <w:gridCol w:w="1170"/>
        <w:gridCol w:w="1284"/>
      </w:tblGrid>
      <w:tr w:rsidR="007D7104" w:rsidRPr="006601BC" w14:paraId="736D0CC3" w14:textId="77777777" w:rsidTr="00190BB5">
        <w:tc>
          <w:tcPr>
            <w:tcW w:w="3148" w:type="dxa"/>
            <w:tcBorders>
              <w:top w:val="nil"/>
              <w:left w:val="nil"/>
              <w:right w:val="nil"/>
            </w:tcBorders>
            <w:vAlign w:val="center"/>
          </w:tcPr>
          <w:p w14:paraId="3E72D2E2" w14:textId="77777777" w:rsidR="007D7104" w:rsidRPr="006601BC" w:rsidRDefault="007D7104" w:rsidP="00190BB5">
            <w:pPr>
              <w:jc w:val="center"/>
              <w:rPr>
                <w:noProof/>
              </w:rPr>
            </w:pPr>
          </w:p>
        </w:tc>
        <w:tc>
          <w:tcPr>
            <w:tcW w:w="1829" w:type="dxa"/>
            <w:tcBorders>
              <w:top w:val="nil"/>
              <w:left w:val="nil"/>
              <w:right w:val="nil"/>
            </w:tcBorders>
          </w:tcPr>
          <w:p w14:paraId="561104F0" w14:textId="77777777" w:rsidR="007D7104" w:rsidRPr="006601BC" w:rsidRDefault="007D7104" w:rsidP="00190BB5">
            <w:pPr>
              <w:rPr>
                <w:noProof/>
                <w:sz w:val="20"/>
              </w:rPr>
            </w:pPr>
          </w:p>
        </w:tc>
        <w:tc>
          <w:tcPr>
            <w:tcW w:w="345" w:type="dxa"/>
            <w:tcBorders>
              <w:top w:val="nil"/>
              <w:left w:val="nil"/>
            </w:tcBorders>
          </w:tcPr>
          <w:p w14:paraId="65F7470C" w14:textId="77777777" w:rsidR="007D7104" w:rsidRPr="006601BC" w:rsidRDefault="007D7104" w:rsidP="00190BB5">
            <w:pPr>
              <w:jc w:val="center"/>
              <w:rPr>
                <w:noProof/>
                <w:sz w:val="20"/>
              </w:rPr>
            </w:pPr>
          </w:p>
        </w:tc>
        <w:tc>
          <w:tcPr>
            <w:tcW w:w="889" w:type="dxa"/>
            <w:vAlign w:val="center"/>
          </w:tcPr>
          <w:p w14:paraId="5A6D8BB9" w14:textId="77777777" w:rsidR="007D7104" w:rsidRPr="006601BC" w:rsidRDefault="007D7104" w:rsidP="00190BB5">
            <w:pPr>
              <w:jc w:val="center"/>
              <w:rPr>
                <w:noProof/>
                <w:sz w:val="20"/>
              </w:rPr>
            </w:pPr>
            <w:r w:rsidRPr="006601BC">
              <w:rPr>
                <w:b/>
                <w:noProof/>
                <w:sz w:val="20"/>
              </w:rPr>
              <w:t>2021</w:t>
            </w:r>
          </w:p>
        </w:tc>
        <w:tc>
          <w:tcPr>
            <w:tcW w:w="1040" w:type="dxa"/>
            <w:vAlign w:val="center"/>
          </w:tcPr>
          <w:p w14:paraId="3796156B" w14:textId="77777777" w:rsidR="007D7104" w:rsidRPr="006601BC" w:rsidRDefault="007D7104" w:rsidP="00190BB5">
            <w:pPr>
              <w:jc w:val="center"/>
              <w:rPr>
                <w:noProof/>
                <w:sz w:val="20"/>
              </w:rPr>
            </w:pPr>
            <w:r w:rsidRPr="006601BC">
              <w:rPr>
                <w:b/>
                <w:noProof/>
                <w:sz w:val="20"/>
              </w:rPr>
              <w:t>2022</w:t>
            </w:r>
          </w:p>
        </w:tc>
        <w:tc>
          <w:tcPr>
            <w:tcW w:w="1029" w:type="dxa"/>
            <w:vAlign w:val="center"/>
          </w:tcPr>
          <w:p w14:paraId="13C08237" w14:textId="77777777" w:rsidR="007D7104" w:rsidRPr="006601BC" w:rsidRDefault="007D7104" w:rsidP="00190BB5">
            <w:pPr>
              <w:jc w:val="center"/>
              <w:rPr>
                <w:noProof/>
                <w:sz w:val="20"/>
              </w:rPr>
            </w:pPr>
            <w:r w:rsidRPr="006601BC">
              <w:rPr>
                <w:b/>
                <w:noProof/>
                <w:sz w:val="20"/>
              </w:rPr>
              <w:t>2023</w:t>
            </w:r>
          </w:p>
        </w:tc>
        <w:tc>
          <w:tcPr>
            <w:tcW w:w="1080" w:type="dxa"/>
            <w:vAlign w:val="center"/>
          </w:tcPr>
          <w:p w14:paraId="5B503160" w14:textId="77777777" w:rsidR="007D7104" w:rsidRPr="006601BC" w:rsidRDefault="007D7104" w:rsidP="00190BB5">
            <w:pPr>
              <w:jc w:val="center"/>
              <w:rPr>
                <w:noProof/>
                <w:sz w:val="20"/>
              </w:rPr>
            </w:pPr>
            <w:r w:rsidRPr="006601BC">
              <w:rPr>
                <w:b/>
                <w:noProof/>
                <w:sz w:val="20"/>
              </w:rPr>
              <w:t>2024</w:t>
            </w:r>
          </w:p>
        </w:tc>
        <w:tc>
          <w:tcPr>
            <w:tcW w:w="1080" w:type="dxa"/>
            <w:vAlign w:val="center"/>
          </w:tcPr>
          <w:p w14:paraId="2E830EF6" w14:textId="77777777" w:rsidR="007D7104" w:rsidRPr="006601BC" w:rsidRDefault="007D7104" w:rsidP="00190BB5">
            <w:pPr>
              <w:jc w:val="center"/>
              <w:rPr>
                <w:b/>
                <w:noProof/>
                <w:sz w:val="18"/>
              </w:rPr>
            </w:pPr>
            <w:r w:rsidRPr="006601BC">
              <w:rPr>
                <w:b/>
                <w:noProof/>
                <w:sz w:val="18"/>
              </w:rPr>
              <w:t>2025</w:t>
            </w:r>
          </w:p>
        </w:tc>
        <w:tc>
          <w:tcPr>
            <w:tcW w:w="1170" w:type="dxa"/>
            <w:vAlign w:val="center"/>
          </w:tcPr>
          <w:p w14:paraId="74E1BA19" w14:textId="77777777" w:rsidR="007D7104" w:rsidRPr="006601BC" w:rsidRDefault="007D7104" w:rsidP="00190BB5">
            <w:pPr>
              <w:jc w:val="center"/>
              <w:rPr>
                <w:b/>
                <w:noProof/>
                <w:sz w:val="18"/>
              </w:rPr>
            </w:pPr>
            <w:r w:rsidRPr="006601BC">
              <w:rPr>
                <w:b/>
                <w:noProof/>
                <w:sz w:val="18"/>
              </w:rPr>
              <w:t>2026</w:t>
            </w:r>
          </w:p>
        </w:tc>
        <w:tc>
          <w:tcPr>
            <w:tcW w:w="1080" w:type="dxa"/>
            <w:vAlign w:val="center"/>
          </w:tcPr>
          <w:p w14:paraId="12AD3CE8" w14:textId="77777777" w:rsidR="007D7104" w:rsidRPr="006601BC" w:rsidRDefault="007D7104" w:rsidP="00190BB5">
            <w:pPr>
              <w:jc w:val="center"/>
              <w:rPr>
                <w:b/>
                <w:noProof/>
                <w:sz w:val="18"/>
              </w:rPr>
            </w:pPr>
            <w:r w:rsidRPr="006601BC">
              <w:rPr>
                <w:b/>
                <w:noProof/>
                <w:sz w:val="18"/>
              </w:rPr>
              <w:t>2027</w:t>
            </w:r>
          </w:p>
        </w:tc>
        <w:tc>
          <w:tcPr>
            <w:tcW w:w="1170" w:type="dxa"/>
          </w:tcPr>
          <w:p w14:paraId="1B065272" w14:textId="77777777" w:rsidR="007D7104" w:rsidRPr="006601BC" w:rsidRDefault="007D7104" w:rsidP="00190BB5">
            <w:pPr>
              <w:jc w:val="center"/>
              <w:rPr>
                <w:b/>
                <w:noProof/>
                <w:sz w:val="20"/>
              </w:rPr>
            </w:pPr>
            <w:r w:rsidRPr="006601BC">
              <w:rPr>
                <w:b/>
                <w:i/>
                <w:noProof/>
                <w:sz w:val="20"/>
              </w:rPr>
              <w:t>2027 után</w:t>
            </w:r>
          </w:p>
        </w:tc>
        <w:tc>
          <w:tcPr>
            <w:tcW w:w="1284" w:type="dxa"/>
            <w:vAlign w:val="center"/>
          </w:tcPr>
          <w:p w14:paraId="5C95A1CD" w14:textId="77777777" w:rsidR="007D7104" w:rsidRPr="006601BC" w:rsidRDefault="007D7104" w:rsidP="00190BB5">
            <w:pPr>
              <w:jc w:val="center"/>
              <w:rPr>
                <w:b/>
                <w:noProof/>
                <w:sz w:val="20"/>
              </w:rPr>
            </w:pPr>
            <w:r w:rsidRPr="006601BC">
              <w:rPr>
                <w:b/>
                <w:noProof/>
                <w:sz w:val="20"/>
              </w:rPr>
              <w:t>ÖSSZESEN</w:t>
            </w:r>
          </w:p>
        </w:tc>
      </w:tr>
      <w:tr w:rsidR="007D7104" w:rsidRPr="006601BC" w14:paraId="22692BDC" w14:textId="77777777" w:rsidTr="00190BB5">
        <w:tc>
          <w:tcPr>
            <w:tcW w:w="3148" w:type="dxa"/>
            <w:vMerge w:val="restart"/>
            <w:shd w:val="clear" w:color="auto" w:fill="C0C0C0"/>
            <w:vAlign w:val="center"/>
          </w:tcPr>
          <w:p w14:paraId="398F8622" w14:textId="77777777" w:rsidR="007D7104" w:rsidRPr="006601BC" w:rsidRDefault="007D7104" w:rsidP="00190BB5">
            <w:pPr>
              <w:jc w:val="center"/>
              <w:rPr>
                <w:b/>
                <w:noProof/>
              </w:rPr>
            </w:pPr>
            <w:r w:rsidRPr="006601BC">
              <w:rPr>
                <w:noProof/>
              </w:rPr>
              <w:t xml:space="preserve">A többéves pénzügyi keret </w:t>
            </w:r>
            <w:r w:rsidRPr="006601BC">
              <w:rPr>
                <w:noProof/>
              </w:rPr>
              <w:br/>
            </w:r>
            <w:r w:rsidRPr="006601BC">
              <w:rPr>
                <w:b/>
                <w:noProof/>
                <w:sz w:val="22"/>
              </w:rPr>
              <w:t xml:space="preserve">FEJEZETEIHEZ tartozó </w:t>
            </w:r>
            <w:r w:rsidRPr="006601BC">
              <w:rPr>
                <w:b/>
                <w:bCs/>
                <w:noProof/>
                <w:sz w:val="22"/>
              </w:rPr>
              <w:t>előirányzatok ÖSSZESEN</w:t>
            </w:r>
            <w:r w:rsidRPr="006601BC">
              <w:rPr>
                <w:b/>
                <w:noProof/>
                <w:sz w:val="22"/>
              </w:rPr>
              <w:t xml:space="preserve"> – a költségvetési eljárásokból</w:t>
            </w:r>
          </w:p>
        </w:tc>
        <w:tc>
          <w:tcPr>
            <w:tcW w:w="2174" w:type="dxa"/>
            <w:gridSpan w:val="2"/>
            <w:vAlign w:val="center"/>
          </w:tcPr>
          <w:p w14:paraId="52199267" w14:textId="77777777" w:rsidR="007D7104" w:rsidRPr="006601BC" w:rsidRDefault="007D7104" w:rsidP="00190BB5">
            <w:pPr>
              <w:rPr>
                <w:noProof/>
                <w:sz w:val="14"/>
              </w:rPr>
            </w:pPr>
            <w:r w:rsidRPr="006601BC">
              <w:rPr>
                <w:noProof/>
                <w:sz w:val="18"/>
              </w:rPr>
              <w:t>Kötelezettségvállalási előirányzatok</w:t>
            </w:r>
          </w:p>
        </w:tc>
        <w:tc>
          <w:tcPr>
            <w:tcW w:w="889" w:type="dxa"/>
          </w:tcPr>
          <w:p w14:paraId="3A126145"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5,776</w:t>
            </w:r>
          </w:p>
        </w:tc>
        <w:tc>
          <w:tcPr>
            <w:tcW w:w="1040" w:type="dxa"/>
          </w:tcPr>
          <w:p w14:paraId="6E2A6476"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1 352,569</w:t>
            </w:r>
          </w:p>
        </w:tc>
        <w:tc>
          <w:tcPr>
            <w:tcW w:w="1029" w:type="dxa"/>
          </w:tcPr>
          <w:p w14:paraId="6B5CFF3F"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1 353,955</w:t>
            </w:r>
          </w:p>
        </w:tc>
        <w:tc>
          <w:tcPr>
            <w:tcW w:w="1080" w:type="dxa"/>
          </w:tcPr>
          <w:p w14:paraId="69B901CE"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743,660</w:t>
            </w:r>
          </w:p>
        </w:tc>
        <w:tc>
          <w:tcPr>
            <w:tcW w:w="1080" w:type="dxa"/>
          </w:tcPr>
          <w:p w14:paraId="798727A8"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763,434</w:t>
            </w:r>
          </w:p>
        </w:tc>
        <w:tc>
          <w:tcPr>
            <w:tcW w:w="1170" w:type="dxa"/>
          </w:tcPr>
          <w:p w14:paraId="5109407B"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778,675</w:t>
            </w:r>
          </w:p>
        </w:tc>
        <w:tc>
          <w:tcPr>
            <w:tcW w:w="1080" w:type="dxa"/>
          </w:tcPr>
          <w:p w14:paraId="6AFB909D"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1 114,461</w:t>
            </w:r>
          </w:p>
        </w:tc>
        <w:tc>
          <w:tcPr>
            <w:tcW w:w="1170" w:type="dxa"/>
          </w:tcPr>
          <w:p w14:paraId="4FE7C062"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0</w:t>
            </w:r>
          </w:p>
        </w:tc>
        <w:tc>
          <w:tcPr>
            <w:tcW w:w="1284" w:type="dxa"/>
          </w:tcPr>
          <w:p w14:paraId="08CC586E"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6 112,527</w:t>
            </w:r>
          </w:p>
        </w:tc>
      </w:tr>
      <w:tr w:rsidR="007D7104" w:rsidRPr="006601BC" w14:paraId="55BD9957" w14:textId="77777777" w:rsidTr="00190BB5">
        <w:tc>
          <w:tcPr>
            <w:tcW w:w="3148" w:type="dxa"/>
            <w:vMerge/>
            <w:shd w:val="clear" w:color="auto" w:fill="C0C0C0"/>
          </w:tcPr>
          <w:p w14:paraId="37C45DBB" w14:textId="77777777" w:rsidR="007D7104" w:rsidRPr="006601BC" w:rsidRDefault="007D7104" w:rsidP="00190BB5">
            <w:pPr>
              <w:rPr>
                <w:noProof/>
                <w:sz w:val="20"/>
              </w:rPr>
            </w:pPr>
          </w:p>
        </w:tc>
        <w:tc>
          <w:tcPr>
            <w:tcW w:w="2174" w:type="dxa"/>
            <w:gridSpan w:val="2"/>
            <w:vAlign w:val="center"/>
          </w:tcPr>
          <w:p w14:paraId="034C9B5D" w14:textId="77777777" w:rsidR="007D7104" w:rsidRPr="006601BC" w:rsidRDefault="007D7104" w:rsidP="00190BB5">
            <w:pPr>
              <w:rPr>
                <w:noProof/>
                <w:sz w:val="14"/>
              </w:rPr>
            </w:pPr>
            <w:r w:rsidRPr="006601BC">
              <w:rPr>
                <w:noProof/>
                <w:sz w:val="18"/>
              </w:rPr>
              <w:t>Kifizetési előirányzatok</w:t>
            </w:r>
          </w:p>
        </w:tc>
        <w:tc>
          <w:tcPr>
            <w:tcW w:w="889" w:type="dxa"/>
          </w:tcPr>
          <w:p w14:paraId="2CF0FCC1"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5,776</w:t>
            </w:r>
          </w:p>
        </w:tc>
        <w:tc>
          <w:tcPr>
            <w:tcW w:w="1040" w:type="dxa"/>
          </w:tcPr>
          <w:p w14:paraId="341D33E9"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453,602</w:t>
            </w:r>
          </w:p>
        </w:tc>
        <w:tc>
          <w:tcPr>
            <w:tcW w:w="1029" w:type="dxa"/>
          </w:tcPr>
          <w:p w14:paraId="5F5D3A2C"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861,037</w:t>
            </w:r>
          </w:p>
        </w:tc>
        <w:tc>
          <w:tcPr>
            <w:tcW w:w="1080" w:type="dxa"/>
          </w:tcPr>
          <w:p w14:paraId="168DA399"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1 153,567</w:t>
            </w:r>
          </w:p>
        </w:tc>
        <w:tc>
          <w:tcPr>
            <w:tcW w:w="1080" w:type="dxa"/>
          </w:tcPr>
          <w:p w14:paraId="52C9D07D"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974,158</w:t>
            </w:r>
          </w:p>
        </w:tc>
        <w:tc>
          <w:tcPr>
            <w:tcW w:w="1170" w:type="dxa"/>
          </w:tcPr>
          <w:p w14:paraId="2350362F"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761,754</w:t>
            </w:r>
          </w:p>
        </w:tc>
        <w:tc>
          <w:tcPr>
            <w:tcW w:w="1080" w:type="dxa"/>
          </w:tcPr>
          <w:p w14:paraId="573B7CB1"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874,180</w:t>
            </w:r>
          </w:p>
        </w:tc>
        <w:tc>
          <w:tcPr>
            <w:tcW w:w="1170" w:type="dxa"/>
          </w:tcPr>
          <w:p w14:paraId="202B876A"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1 028,454</w:t>
            </w:r>
          </w:p>
        </w:tc>
        <w:tc>
          <w:tcPr>
            <w:tcW w:w="1284" w:type="dxa"/>
          </w:tcPr>
          <w:p w14:paraId="40F6C3AD" w14:textId="77777777" w:rsidR="007D7104" w:rsidRPr="006601BC" w:rsidRDefault="007D7104" w:rsidP="00190BB5">
            <w:pPr>
              <w:spacing w:before="20" w:after="20"/>
              <w:jc w:val="right"/>
              <w:rPr>
                <w:bCs/>
                <w:noProof/>
                <w:color w:val="000000"/>
                <w:sz w:val="20"/>
                <w:szCs w:val="20"/>
              </w:rPr>
            </w:pPr>
            <w:r w:rsidRPr="006601BC">
              <w:rPr>
                <w:bCs/>
                <w:noProof/>
                <w:color w:val="000000"/>
                <w:sz w:val="20"/>
                <w:szCs w:val="20"/>
              </w:rPr>
              <w:t>6 112,527</w:t>
            </w:r>
          </w:p>
        </w:tc>
      </w:tr>
      <w:tr w:rsidR="007D7104" w:rsidRPr="006601BC" w14:paraId="779518F4" w14:textId="77777777" w:rsidTr="00190BB5">
        <w:tc>
          <w:tcPr>
            <w:tcW w:w="3148" w:type="dxa"/>
            <w:shd w:val="clear" w:color="auto" w:fill="C0C0C0"/>
          </w:tcPr>
          <w:p w14:paraId="65B0821C" w14:textId="77777777" w:rsidR="007D7104" w:rsidRPr="006601BC" w:rsidRDefault="007D7104" w:rsidP="00190BB5">
            <w:pPr>
              <w:rPr>
                <w:noProof/>
                <w:sz w:val="20"/>
              </w:rPr>
            </w:pPr>
          </w:p>
        </w:tc>
        <w:tc>
          <w:tcPr>
            <w:tcW w:w="2174" w:type="dxa"/>
            <w:gridSpan w:val="2"/>
            <w:vAlign w:val="center"/>
          </w:tcPr>
          <w:p w14:paraId="3F7C4E67" w14:textId="77777777" w:rsidR="007D7104" w:rsidRPr="006601BC" w:rsidRDefault="007D7104" w:rsidP="00190BB5">
            <w:pPr>
              <w:rPr>
                <w:noProof/>
                <w:sz w:val="18"/>
              </w:rPr>
            </w:pPr>
          </w:p>
        </w:tc>
        <w:tc>
          <w:tcPr>
            <w:tcW w:w="889" w:type="dxa"/>
            <w:vAlign w:val="center"/>
          </w:tcPr>
          <w:p w14:paraId="1ED8A448" w14:textId="77777777" w:rsidR="007D7104" w:rsidRPr="006601BC" w:rsidRDefault="007D7104" w:rsidP="00190BB5">
            <w:pPr>
              <w:spacing w:before="60" w:after="60"/>
              <w:jc w:val="right"/>
              <w:rPr>
                <w:noProof/>
                <w:color w:val="000000"/>
                <w:sz w:val="20"/>
                <w:szCs w:val="20"/>
              </w:rPr>
            </w:pPr>
          </w:p>
        </w:tc>
        <w:tc>
          <w:tcPr>
            <w:tcW w:w="1040" w:type="dxa"/>
            <w:vAlign w:val="center"/>
          </w:tcPr>
          <w:p w14:paraId="78230FFB" w14:textId="77777777" w:rsidR="007D7104" w:rsidRPr="006601BC" w:rsidRDefault="007D7104" w:rsidP="00190BB5">
            <w:pPr>
              <w:spacing w:before="60" w:after="60"/>
              <w:jc w:val="right"/>
              <w:rPr>
                <w:noProof/>
                <w:color w:val="000000"/>
                <w:sz w:val="20"/>
                <w:szCs w:val="20"/>
              </w:rPr>
            </w:pPr>
          </w:p>
        </w:tc>
        <w:tc>
          <w:tcPr>
            <w:tcW w:w="1029" w:type="dxa"/>
            <w:vAlign w:val="center"/>
          </w:tcPr>
          <w:p w14:paraId="7429085E" w14:textId="77777777" w:rsidR="007D7104" w:rsidRPr="006601BC" w:rsidRDefault="007D7104" w:rsidP="00190BB5">
            <w:pPr>
              <w:spacing w:before="60" w:after="60"/>
              <w:jc w:val="right"/>
              <w:rPr>
                <w:noProof/>
                <w:color w:val="000000"/>
                <w:sz w:val="20"/>
                <w:szCs w:val="20"/>
              </w:rPr>
            </w:pPr>
          </w:p>
        </w:tc>
        <w:tc>
          <w:tcPr>
            <w:tcW w:w="1080" w:type="dxa"/>
            <w:vAlign w:val="center"/>
          </w:tcPr>
          <w:p w14:paraId="6532E579" w14:textId="77777777" w:rsidR="007D7104" w:rsidRPr="006601BC" w:rsidRDefault="007D7104" w:rsidP="00190BB5">
            <w:pPr>
              <w:spacing w:before="60" w:after="60"/>
              <w:jc w:val="right"/>
              <w:rPr>
                <w:noProof/>
                <w:color w:val="000000"/>
                <w:sz w:val="20"/>
                <w:szCs w:val="20"/>
              </w:rPr>
            </w:pPr>
          </w:p>
        </w:tc>
        <w:tc>
          <w:tcPr>
            <w:tcW w:w="1080" w:type="dxa"/>
            <w:vAlign w:val="center"/>
          </w:tcPr>
          <w:p w14:paraId="6C9A3F60" w14:textId="77777777" w:rsidR="007D7104" w:rsidRPr="006601BC" w:rsidRDefault="007D7104" w:rsidP="00190BB5">
            <w:pPr>
              <w:spacing w:before="60" w:after="60"/>
              <w:jc w:val="right"/>
              <w:rPr>
                <w:noProof/>
                <w:color w:val="000000"/>
                <w:sz w:val="20"/>
                <w:szCs w:val="20"/>
              </w:rPr>
            </w:pPr>
          </w:p>
        </w:tc>
        <w:tc>
          <w:tcPr>
            <w:tcW w:w="1170" w:type="dxa"/>
            <w:vAlign w:val="center"/>
          </w:tcPr>
          <w:p w14:paraId="747E3FB5" w14:textId="77777777" w:rsidR="007D7104" w:rsidRPr="006601BC" w:rsidRDefault="007D7104" w:rsidP="00190BB5">
            <w:pPr>
              <w:spacing w:before="60" w:after="60"/>
              <w:jc w:val="right"/>
              <w:rPr>
                <w:noProof/>
                <w:color w:val="000000"/>
                <w:sz w:val="20"/>
                <w:szCs w:val="20"/>
              </w:rPr>
            </w:pPr>
          </w:p>
        </w:tc>
        <w:tc>
          <w:tcPr>
            <w:tcW w:w="1080" w:type="dxa"/>
            <w:vAlign w:val="center"/>
          </w:tcPr>
          <w:p w14:paraId="2A5EEA15" w14:textId="77777777" w:rsidR="007D7104" w:rsidRPr="006601BC" w:rsidRDefault="007D7104" w:rsidP="00190BB5">
            <w:pPr>
              <w:spacing w:before="60" w:after="60"/>
              <w:jc w:val="right"/>
              <w:rPr>
                <w:noProof/>
                <w:color w:val="000000"/>
                <w:sz w:val="20"/>
                <w:szCs w:val="20"/>
              </w:rPr>
            </w:pPr>
          </w:p>
        </w:tc>
        <w:tc>
          <w:tcPr>
            <w:tcW w:w="1170" w:type="dxa"/>
            <w:vAlign w:val="center"/>
          </w:tcPr>
          <w:p w14:paraId="1646EDB1" w14:textId="77777777" w:rsidR="007D7104" w:rsidRPr="006601BC" w:rsidRDefault="007D7104" w:rsidP="00190BB5">
            <w:pPr>
              <w:spacing w:before="60" w:after="60"/>
              <w:jc w:val="right"/>
              <w:rPr>
                <w:noProof/>
                <w:color w:val="000000"/>
                <w:sz w:val="20"/>
                <w:szCs w:val="20"/>
              </w:rPr>
            </w:pPr>
          </w:p>
        </w:tc>
        <w:tc>
          <w:tcPr>
            <w:tcW w:w="1284" w:type="dxa"/>
            <w:vAlign w:val="center"/>
          </w:tcPr>
          <w:p w14:paraId="3A194C69" w14:textId="77777777" w:rsidR="007D7104" w:rsidRPr="006601BC" w:rsidRDefault="007D7104" w:rsidP="00190BB5">
            <w:pPr>
              <w:spacing w:before="60" w:after="60"/>
              <w:jc w:val="right"/>
              <w:rPr>
                <w:b/>
                <w:bCs/>
                <w:noProof/>
                <w:color w:val="000000"/>
                <w:sz w:val="20"/>
                <w:szCs w:val="20"/>
              </w:rPr>
            </w:pPr>
          </w:p>
        </w:tc>
      </w:tr>
    </w:tbl>
    <w:p w14:paraId="2DEB4D6A" w14:textId="77777777" w:rsidR="007D7104" w:rsidRPr="006601BC" w:rsidRDefault="007D7104" w:rsidP="007D7104">
      <w:pPr>
        <w:rPr>
          <w:noProof/>
        </w:rPr>
      </w:pPr>
    </w:p>
    <w:p w14:paraId="3705B041" w14:textId="20240D2A" w:rsidR="007D7104" w:rsidRPr="006601BC" w:rsidRDefault="00BB68C4" w:rsidP="00BB68C4">
      <w:pPr>
        <w:pStyle w:val="ManualHeading3"/>
        <w:rPr>
          <w:bCs/>
          <w:noProof/>
          <w:szCs w:val="24"/>
        </w:rPr>
      </w:pPr>
      <w:bookmarkStart w:id="74" w:name="_Toc514938054"/>
      <w:bookmarkStart w:id="75" w:name="_Toc86321176"/>
      <w:r w:rsidRPr="00BB68C4">
        <w:t>3.2.2.</w:t>
      </w:r>
      <w:r w:rsidRPr="00BB68C4">
        <w:tab/>
      </w:r>
      <w:r w:rsidR="007D7104" w:rsidRPr="006601BC">
        <w:rPr>
          <w:noProof/>
        </w:rPr>
        <w:t>Operatív előirányzatokból finanszírozott becsült kimenet</w:t>
      </w:r>
      <w:bookmarkEnd w:id="74"/>
      <w:bookmarkEnd w:id="75"/>
      <w:r w:rsidR="007D7104" w:rsidRPr="006601BC">
        <w:rPr>
          <w:noProof/>
        </w:rPr>
        <w:t xml:space="preserve"> </w:t>
      </w:r>
    </w:p>
    <w:p w14:paraId="704771CC" w14:textId="77777777" w:rsidR="007D7104" w:rsidRPr="006601BC" w:rsidRDefault="007D7104" w:rsidP="007D7104">
      <w:pPr>
        <w:jc w:val="right"/>
        <w:rPr>
          <w:noProof/>
          <w:sz w:val="20"/>
        </w:rPr>
      </w:pPr>
      <w:r w:rsidRPr="006601BC">
        <w:rPr>
          <w:noProof/>
          <w:sz w:val="20"/>
        </w:rPr>
        <w:t>Kötelezettségvállalási előirányzatok, millió EUR (három tizedesjegyig)</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12"/>
        <w:gridCol w:w="420"/>
        <w:gridCol w:w="720"/>
        <w:gridCol w:w="60"/>
        <w:gridCol w:w="480"/>
        <w:gridCol w:w="720"/>
        <w:gridCol w:w="720"/>
        <w:gridCol w:w="900"/>
      </w:tblGrid>
      <w:tr w:rsidR="007D7104" w:rsidRPr="006601BC" w14:paraId="15B2F220" w14:textId="77777777" w:rsidTr="00190BB5">
        <w:trPr>
          <w:jc w:val="center"/>
        </w:trPr>
        <w:tc>
          <w:tcPr>
            <w:tcW w:w="1423" w:type="dxa"/>
            <w:vMerge w:val="restart"/>
            <w:vAlign w:val="center"/>
          </w:tcPr>
          <w:p w14:paraId="7FE5842F" w14:textId="77777777" w:rsidR="007D7104" w:rsidRPr="006601BC" w:rsidRDefault="007D7104" w:rsidP="00190BB5">
            <w:pPr>
              <w:ind w:right="-29"/>
              <w:jc w:val="center"/>
              <w:rPr>
                <w:b/>
                <w:noProof/>
                <w:sz w:val="18"/>
                <w:szCs w:val="18"/>
              </w:rPr>
            </w:pPr>
            <w:r w:rsidRPr="006601BC">
              <w:rPr>
                <w:b/>
                <w:noProof/>
                <w:sz w:val="18"/>
              </w:rPr>
              <w:t xml:space="preserve">Tüntesse fel a célkitűzéseket és a kimeneteket </w:t>
            </w:r>
          </w:p>
          <w:p w14:paraId="230D00A1" w14:textId="77777777" w:rsidR="007D7104" w:rsidRPr="006601BC" w:rsidRDefault="007D7104" w:rsidP="00190BB5">
            <w:pPr>
              <w:ind w:right="-29"/>
              <w:jc w:val="center"/>
              <w:rPr>
                <w:b/>
                <w:noProof/>
                <w:sz w:val="18"/>
                <w:szCs w:val="18"/>
              </w:rPr>
            </w:pPr>
          </w:p>
          <w:p w14:paraId="44DDD636" w14:textId="77777777" w:rsidR="007D7104" w:rsidRPr="006601BC" w:rsidRDefault="007D7104" w:rsidP="00190BB5">
            <w:pPr>
              <w:ind w:right="-29"/>
              <w:jc w:val="center"/>
              <w:rPr>
                <w:noProof/>
                <w:sz w:val="18"/>
                <w:szCs w:val="18"/>
              </w:rPr>
            </w:pPr>
            <w:r w:rsidRPr="006601BC">
              <w:rPr>
                <w:noProof/>
                <w:sz w:val="18"/>
              </w:rPr>
              <w:sym w:font="Wingdings" w:char="F0F2"/>
            </w:r>
          </w:p>
        </w:tc>
        <w:tc>
          <w:tcPr>
            <w:tcW w:w="720" w:type="dxa"/>
            <w:vAlign w:val="center"/>
          </w:tcPr>
          <w:p w14:paraId="0D6FB887" w14:textId="77777777" w:rsidR="007D7104" w:rsidRPr="006601BC" w:rsidRDefault="007D7104" w:rsidP="00190BB5">
            <w:pPr>
              <w:ind w:right="-29"/>
              <w:jc w:val="center"/>
              <w:rPr>
                <w:noProof/>
                <w:sz w:val="18"/>
                <w:szCs w:val="18"/>
              </w:rPr>
            </w:pPr>
          </w:p>
        </w:tc>
        <w:tc>
          <w:tcPr>
            <w:tcW w:w="701" w:type="dxa"/>
            <w:vAlign w:val="center"/>
          </w:tcPr>
          <w:p w14:paraId="1206BD88" w14:textId="77777777" w:rsidR="007D7104" w:rsidRPr="006601BC" w:rsidRDefault="007D7104" w:rsidP="00190BB5">
            <w:pPr>
              <w:ind w:right="-29"/>
              <w:jc w:val="center"/>
              <w:rPr>
                <w:noProof/>
                <w:sz w:val="18"/>
                <w:szCs w:val="18"/>
              </w:rPr>
            </w:pPr>
          </w:p>
        </w:tc>
        <w:tc>
          <w:tcPr>
            <w:tcW w:w="1224" w:type="dxa"/>
            <w:gridSpan w:val="2"/>
            <w:tcBorders>
              <w:left w:val="nil"/>
            </w:tcBorders>
            <w:vAlign w:val="center"/>
          </w:tcPr>
          <w:p w14:paraId="27A1BD82" w14:textId="77777777" w:rsidR="007D7104" w:rsidRPr="006601BC" w:rsidRDefault="007D7104" w:rsidP="00190BB5">
            <w:pPr>
              <w:ind w:right="-29"/>
              <w:jc w:val="center"/>
              <w:rPr>
                <w:noProof/>
                <w:sz w:val="18"/>
                <w:szCs w:val="18"/>
              </w:rPr>
            </w:pPr>
            <w:r w:rsidRPr="006601BC">
              <w:rPr>
                <w:b/>
                <w:noProof/>
                <w:sz w:val="20"/>
              </w:rPr>
              <w:t>2021</w:t>
            </w:r>
          </w:p>
        </w:tc>
        <w:tc>
          <w:tcPr>
            <w:tcW w:w="1260" w:type="dxa"/>
            <w:gridSpan w:val="2"/>
            <w:vAlign w:val="center"/>
          </w:tcPr>
          <w:p w14:paraId="02EFF96D" w14:textId="77777777" w:rsidR="007D7104" w:rsidRPr="006601BC" w:rsidRDefault="007D7104" w:rsidP="00190BB5">
            <w:pPr>
              <w:ind w:right="-29"/>
              <w:jc w:val="center"/>
              <w:rPr>
                <w:noProof/>
                <w:sz w:val="18"/>
                <w:szCs w:val="18"/>
              </w:rPr>
            </w:pPr>
            <w:r w:rsidRPr="006601BC">
              <w:rPr>
                <w:b/>
                <w:noProof/>
                <w:sz w:val="20"/>
              </w:rPr>
              <w:t>2022</w:t>
            </w:r>
          </w:p>
        </w:tc>
        <w:tc>
          <w:tcPr>
            <w:tcW w:w="1440" w:type="dxa"/>
            <w:gridSpan w:val="2"/>
            <w:vAlign w:val="center"/>
          </w:tcPr>
          <w:p w14:paraId="4B406BDE" w14:textId="77777777" w:rsidR="007D7104" w:rsidRPr="006601BC" w:rsidRDefault="007D7104" w:rsidP="00190BB5">
            <w:pPr>
              <w:ind w:right="-29"/>
              <w:jc w:val="center"/>
              <w:rPr>
                <w:noProof/>
                <w:sz w:val="18"/>
                <w:szCs w:val="18"/>
              </w:rPr>
            </w:pPr>
            <w:r w:rsidRPr="006601BC">
              <w:rPr>
                <w:b/>
                <w:noProof/>
                <w:sz w:val="20"/>
              </w:rPr>
              <w:t>2023</w:t>
            </w:r>
          </w:p>
        </w:tc>
        <w:tc>
          <w:tcPr>
            <w:tcW w:w="1620" w:type="dxa"/>
            <w:gridSpan w:val="3"/>
            <w:vAlign w:val="center"/>
          </w:tcPr>
          <w:p w14:paraId="0176F002" w14:textId="77777777" w:rsidR="007D7104" w:rsidRPr="006601BC" w:rsidRDefault="007D7104" w:rsidP="00190BB5">
            <w:pPr>
              <w:ind w:right="-29"/>
              <w:jc w:val="center"/>
              <w:rPr>
                <w:noProof/>
                <w:sz w:val="18"/>
                <w:szCs w:val="18"/>
              </w:rPr>
            </w:pPr>
            <w:r w:rsidRPr="006601BC">
              <w:rPr>
                <w:b/>
                <w:noProof/>
                <w:sz w:val="20"/>
              </w:rPr>
              <w:t>2024</w:t>
            </w:r>
          </w:p>
        </w:tc>
        <w:tc>
          <w:tcPr>
            <w:tcW w:w="1200" w:type="dxa"/>
            <w:gridSpan w:val="3"/>
            <w:vAlign w:val="center"/>
          </w:tcPr>
          <w:p w14:paraId="4AE2245D" w14:textId="77777777" w:rsidR="007D7104" w:rsidRPr="006601BC" w:rsidRDefault="007D7104" w:rsidP="00190BB5">
            <w:pPr>
              <w:jc w:val="center"/>
              <w:rPr>
                <w:noProof/>
                <w:sz w:val="18"/>
                <w:szCs w:val="18"/>
              </w:rPr>
            </w:pPr>
            <w:r w:rsidRPr="006601BC">
              <w:rPr>
                <w:b/>
                <w:noProof/>
                <w:sz w:val="18"/>
              </w:rPr>
              <w:t>2025</w:t>
            </w:r>
          </w:p>
        </w:tc>
        <w:tc>
          <w:tcPr>
            <w:tcW w:w="1200" w:type="dxa"/>
            <w:gridSpan w:val="3"/>
            <w:vAlign w:val="center"/>
          </w:tcPr>
          <w:p w14:paraId="6099E0FF" w14:textId="77777777" w:rsidR="007D7104" w:rsidRPr="006601BC" w:rsidRDefault="007D7104" w:rsidP="00190BB5">
            <w:pPr>
              <w:jc w:val="center"/>
              <w:rPr>
                <w:noProof/>
                <w:sz w:val="18"/>
                <w:szCs w:val="18"/>
              </w:rPr>
            </w:pPr>
            <w:r w:rsidRPr="006601BC">
              <w:rPr>
                <w:b/>
                <w:noProof/>
                <w:sz w:val="18"/>
              </w:rPr>
              <w:t>2026</w:t>
            </w:r>
          </w:p>
        </w:tc>
        <w:tc>
          <w:tcPr>
            <w:tcW w:w="1200" w:type="dxa"/>
            <w:gridSpan w:val="2"/>
            <w:vAlign w:val="center"/>
          </w:tcPr>
          <w:p w14:paraId="0A597A72" w14:textId="77777777" w:rsidR="007D7104" w:rsidRPr="006601BC" w:rsidRDefault="007D7104" w:rsidP="00190BB5">
            <w:pPr>
              <w:jc w:val="center"/>
              <w:rPr>
                <w:noProof/>
                <w:sz w:val="18"/>
                <w:szCs w:val="18"/>
              </w:rPr>
            </w:pPr>
            <w:r w:rsidRPr="006601BC">
              <w:rPr>
                <w:b/>
                <w:noProof/>
                <w:sz w:val="18"/>
              </w:rPr>
              <w:t>2027</w:t>
            </w:r>
          </w:p>
        </w:tc>
        <w:tc>
          <w:tcPr>
            <w:tcW w:w="1620" w:type="dxa"/>
            <w:gridSpan w:val="2"/>
            <w:tcBorders>
              <w:left w:val="nil"/>
              <w:bottom w:val="nil"/>
            </w:tcBorders>
            <w:vAlign w:val="center"/>
          </w:tcPr>
          <w:p w14:paraId="25BB18CB" w14:textId="77777777" w:rsidR="007D7104" w:rsidRPr="006601BC" w:rsidRDefault="007D7104" w:rsidP="00190BB5">
            <w:pPr>
              <w:ind w:right="-29"/>
              <w:jc w:val="center"/>
              <w:rPr>
                <w:noProof/>
                <w:sz w:val="18"/>
                <w:szCs w:val="18"/>
              </w:rPr>
            </w:pPr>
            <w:r w:rsidRPr="006601BC">
              <w:rPr>
                <w:b/>
                <w:noProof/>
                <w:sz w:val="18"/>
              </w:rPr>
              <w:t>ÖSSZESEN</w:t>
            </w:r>
          </w:p>
        </w:tc>
      </w:tr>
      <w:tr w:rsidR="007D7104" w:rsidRPr="006601BC" w14:paraId="2ACF7082" w14:textId="77777777" w:rsidTr="00190BB5">
        <w:trPr>
          <w:jc w:val="center"/>
        </w:trPr>
        <w:tc>
          <w:tcPr>
            <w:tcW w:w="1423" w:type="dxa"/>
            <w:vMerge/>
            <w:vAlign w:val="center"/>
          </w:tcPr>
          <w:p w14:paraId="0CFF68F4" w14:textId="77777777" w:rsidR="007D7104" w:rsidRPr="006601BC" w:rsidRDefault="007D7104" w:rsidP="00190BB5">
            <w:pPr>
              <w:ind w:right="-29"/>
              <w:jc w:val="center"/>
              <w:rPr>
                <w:noProof/>
                <w:sz w:val="18"/>
                <w:szCs w:val="18"/>
              </w:rPr>
            </w:pPr>
          </w:p>
        </w:tc>
        <w:tc>
          <w:tcPr>
            <w:tcW w:w="12185" w:type="dxa"/>
            <w:gridSpan w:val="21"/>
            <w:vAlign w:val="center"/>
          </w:tcPr>
          <w:p w14:paraId="3D6A1C60" w14:textId="77777777" w:rsidR="007D7104" w:rsidRPr="006601BC" w:rsidRDefault="007D7104" w:rsidP="00190BB5">
            <w:pPr>
              <w:spacing w:before="60" w:after="60"/>
              <w:ind w:right="-29"/>
              <w:jc w:val="center"/>
              <w:rPr>
                <w:noProof/>
                <w:sz w:val="18"/>
                <w:szCs w:val="18"/>
              </w:rPr>
            </w:pPr>
            <w:r w:rsidRPr="006601BC">
              <w:rPr>
                <w:b/>
                <w:noProof/>
                <w:sz w:val="18"/>
              </w:rPr>
              <w:t>KIMENETEK</w:t>
            </w:r>
          </w:p>
        </w:tc>
      </w:tr>
      <w:tr w:rsidR="007D7104" w:rsidRPr="006601BC" w14:paraId="17FA94B2" w14:textId="77777777" w:rsidTr="00190BB5">
        <w:trPr>
          <w:cantSplit/>
          <w:trHeight w:val="1134"/>
          <w:jc w:val="center"/>
        </w:trPr>
        <w:tc>
          <w:tcPr>
            <w:tcW w:w="1423" w:type="dxa"/>
            <w:vMerge/>
            <w:vAlign w:val="center"/>
          </w:tcPr>
          <w:p w14:paraId="731BF8B3" w14:textId="77777777" w:rsidR="007D7104" w:rsidRPr="006601BC" w:rsidRDefault="007D7104" w:rsidP="00190BB5">
            <w:pPr>
              <w:rPr>
                <w:noProof/>
                <w:sz w:val="18"/>
                <w:szCs w:val="18"/>
              </w:rPr>
            </w:pPr>
          </w:p>
        </w:tc>
        <w:tc>
          <w:tcPr>
            <w:tcW w:w="720" w:type="dxa"/>
            <w:vAlign w:val="center"/>
          </w:tcPr>
          <w:p w14:paraId="1320E431" w14:textId="77777777" w:rsidR="007D7104" w:rsidRPr="006601BC" w:rsidRDefault="007D7104" w:rsidP="00190BB5">
            <w:pPr>
              <w:jc w:val="center"/>
              <w:rPr>
                <w:noProof/>
                <w:sz w:val="18"/>
                <w:szCs w:val="18"/>
              </w:rPr>
            </w:pPr>
            <w:r w:rsidRPr="006601BC">
              <w:rPr>
                <w:noProof/>
                <w:sz w:val="18"/>
              </w:rPr>
              <w:t>Típus</w:t>
            </w:r>
            <w:r w:rsidRPr="006601BC">
              <w:rPr>
                <w:rStyle w:val="FootnoteReference"/>
                <w:noProof/>
                <w:sz w:val="18"/>
              </w:rPr>
              <w:footnoteReference w:id="41"/>
            </w:r>
          </w:p>
          <w:p w14:paraId="6FDED456" w14:textId="77777777" w:rsidR="007D7104" w:rsidRPr="006601BC" w:rsidRDefault="007D7104" w:rsidP="00190BB5">
            <w:pPr>
              <w:spacing w:before="0" w:after="0"/>
              <w:jc w:val="center"/>
              <w:rPr>
                <w:noProof/>
                <w:sz w:val="18"/>
                <w:szCs w:val="18"/>
              </w:rPr>
            </w:pPr>
          </w:p>
        </w:tc>
        <w:tc>
          <w:tcPr>
            <w:tcW w:w="701" w:type="dxa"/>
            <w:vAlign w:val="center"/>
          </w:tcPr>
          <w:p w14:paraId="5284CB58" w14:textId="77777777" w:rsidR="007D7104" w:rsidRPr="006601BC" w:rsidRDefault="007D7104" w:rsidP="00190BB5">
            <w:pPr>
              <w:jc w:val="center"/>
              <w:rPr>
                <w:noProof/>
                <w:sz w:val="18"/>
                <w:szCs w:val="18"/>
              </w:rPr>
            </w:pPr>
            <w:r w:rsidRPr="006601BC">
              <w:rPr>
                <w:noProof/>
                <w:sz w:val="18"/>
              </w:rPr>
              <w:t>Átlagos költség</w:t>
            </w:r>
          </w:p>
        </w:tc>
        <w:tc>
          <w:tcPr>
            <w:tcW w:w="504" w:type="dxa"/>
            <w:tcBorders>
              <w:left w:val="nil"/>
              <w:right w:val="dashSmallGap" w:sz="4" w:space="0" w:color="auto"/>
            </w:tcBorders>
            <w:shd w:val="pct10" w:color="auto" w:fill="auto"/>
            <w:textDirection w:val="btLr"/>
            <w:vAlign w:val="center"/>
          </w:tcPr>
          <w:p w14:paraId="4B79E295" w14:textId="77777777" w:rsidR="007D7104" w:rsidRPr="006601BC" w:rsidRDefault="007D7104" w:rsidP="00190BB5">
            <w:pPr>
              <w:ind w:left="113" w:right="113"/>
              <w:jc w:val="center"/>
              <w:rPr>
                <w:noProof/>
                <w:sz w:val="18"/>
                <w:szCs w:val="18"/>
              </w:rPr>
            </w:pPr>
            <w:r w:rsidRPr="006601BC">
              <w:rPr>
                <w:noProof/>
                <w:sz w:val="18"/>
              </w:rPr>
              <w:t>Szám</w:t>
            </w:r>
          </w:p>
        </w:tc>
        <w:tc>
          <w:tcPr>
            <w:tcW w:w="720" w:type="dxa"/>
            <w:tcBorders>
              <w:left w:val="dashSmallGap" w:sz="4" w:space="0" w:color="auto"/>
            </w:tcBorders>
            <w:shd w:val="pct10" w:color="auto" w:fill="auto"/>
            <w:vAlign w:val="center"/>
          </w:tcPr>
          <w:p w14:paraId="1DF65263" w14:textId="77777777" w:rsidR="007D7104" w:rsidRPr="006601BC" w:rsidRDefault="007D7104" w:rsidP="00190BB5">
            <w:pPr>
              <w:jc w:val="center"/>
              <w:rPr>
                <w:noProof/>
                <w:sz w:val="18"/>
                <w:szCs w:val="18"/>
              </w:rPr>
            </w:pPr>
            <w:r w:rsidRPr="006601BC">
              <w:rPr>
                <w:noProof/>
                <w:sz w:val="18"/>
              </w:rPr>
              <w:t>Költség</w:t>
            </w:r>
          </w:p>
        </w:tc>
        <w:tc>
          <w:tcPr>
            <w:tcW w:w="540" w:type="dxa"/>
            <w:tcBorders>
              <w:right w:val="dashSmallGap" w:sz="4" w:space="0" w:color="auto"/>
            </w:tcBorders>
            <w:shd w:val="pct10" w:color="auto" w:fill="auto"/>
            <w:textDirection w:val="btLr"/>
            <w:vAlign w:val="center"/>
          </w:tcPr>
          <w:p w14:paraId="0DC354CB" w14:textId="77777777" w:rsidR="007D7104" w:rsidRPr="006601BC" w:rsidRDefault="007D7104" w:rsidP="00190BB5">
            <w:pPr>
              <w:ind w:left="113" w:right="113"/>
              <w:jc w:val="center"/>
              <w:rPr>
                <w:noProof/>
                <w:sz w:val="18"/>
                <w:szCs w:val="18"/>
              </w:rPr>
            </w:pPr>
            <w:r w:rsidRPr="006601BC">
              <w:rPr>
                <w:noProof/>
                <w:sz w:val="18"/>
              </w:rPr>
              <w:t>Szám</w:t>
            </w:r>
          </w:p>
        </w:tc>
        <w:tc>
          <w:tcPr>
            <w:tcW w:w="720" w:type="dxa"/>
            <w:tcBorders>
              <w:left w:val="dashSmallGap" w:sz="4" w:space="0" w:color="auto"/>
            </w:tcBorders>
            <w:shd w:val="pct10" w:color="auto" w:fill="auto"/>
            <w:vAlign w:val="center"/>
          </w:tcPr>
          <w:p w14:paraId="1998A566" w14:textId="77777777" w:rsidR="007D7104" w:rsidRPr="006601BC" w:rsidRDefault="007D7104" w:rsidP="00190BB5">
            <w:pPr>
              <w:jc w:val="center"/>
              <w:rPr>
                <w:noProof/>
                <w:sz w:val="18"/>
                <w:szCs w:val="18"/>
              </w:rPr>
            </w:pPr>
            <w:r w:rsidRPr="006601BC">
              <w:rPr>
                <w:noProof/>
                <w:sz w:val="18"/>
              </w:rPr>
              <w:t>Költség</w:t>
            </w:r>
          </w:p>
        </w:tc>
        <w:tc>
          <w:tcPr>
            <w:tcW w:w="720" w:type="dxa"/>
            <w:tcBorders>
              <w:right w:val="dashSmallGap" w:sz="4" w:space="0" w:color="auto"/>
            </w:tcBorders>
            <w:shd w:val="pct10" w:color="auto" w:fill="auto"/>
            <w:textDirection w:val="btLr"/>
            <w:vAlign w:val="center"/>
          </w:tcPr>
          <w:p w14:paraId="100DEFA2" w14:textId="77777777" w:rsidR="007D7104" w:rsidRPr="006601BC" w:rsidRDefault="007D7104" w:rsidP="00190BB5">
            <w:pPr>
              <w:ind w:left="113" w:right="113"/>
              <w:jc w:val="center"/>
              <w:rPr>
                <w:noProof/>
                <w:sz w:val="18"/>
                <w:szCs w:val="18"/>
              </w:rPr>
            </w:pPr>
            <w:r w:rsidRPr="006601BC">
              <w:rPr>
                <w:noProof/>
                <w:sz w:val="18"/>
              </w:rPr>
              <w:t>Szám</w:t>
            </w:r>
          </w:p>
        </w:tc>
        <w:tc>
          <w:tcPr>
            <w:tcW w:w="720" w:type="dxa"/>
            <w:tcBorders>
              <w:left w:val="dashSmallGap" w:sz="4" w:space="0" w:color="auto"/>
            </w:tcBorders>
            <w:shd w:val="pct10" w:color="auto" w:fill="auto"/>
            <w:vAlign w:val="center"/>
          </w:tcPr>
          <w:p w14:paraId="01AEC876" w14:textId="77777777" w:rsidR="007D7104" w:rsidRPr="006601BC" w:rsidRDefault="007D7104" w:rsidP="00190BB5">
            <w:pPr>
              <w:jc w:val="center"/>
              <w:rPr>
                <w:noProof/>
                <w:sz w:val="18"/>
                <w:szCs w:val="18"/>
              </w:rPr>
            </w:pPr>
            <w:r w:rsidRPr="006601BC">
              <w:rPr>
                <w:noProof/>
                <w:sz w:val="18"/>
              </w:rPr>
              <w:t>Költség</w:t>
            </w:r>
          </w:p>
        </w:tc>
        <w:tc>
          <w:tcPr>
            <w:tcW w:w="900" w:type="dxa"/>
            <w:tcBorders>
              <w:right w:val="dashSmallGap" w:sz="4" w:space="0" w:color="auto"/>
            </w:tcBorders>
            <w:shd w:val="pct10" w:color="auto" w:fill="auto"/>
            <w:textDirection w:val="btLr"/>
            <w:vAlign w:val="center"/>
          </w:tcPr>
          <w:p w14:paraId="294D0998" w14:textId="77777777" w:rsidR="007D7104" w:rsidRPr="006601BC" w:rsidRDefault="007D7104" w:rsidP="00190BB5">
            <w:pPr>
              <w:ind w:left="113" w:right="113"/>
              <w:jc w:val="center"/>
              <w:rPr>
                <w:noProof/>
                <w:sz w:val="18"/>
                <w:szCs w:val="18"/>
              </w:rPr>
            </w:pPr>
            <w:r w:rsidRPr="006601BC">
              <w:rPr>
                <w:noProof/>
                <w:sz w:val="18"/>
              </w:rPr>
              <w:t>Szám</w:t>
            </w:r>
          </w:p>
        </w:tc>
        <w:tc>
          <w:tcPr>
            <w:tcW w:w="720" w:type="dxa"/>
            <w:gridSpan w:val="2"/>
            <w:tcBorders>
              <w:left w:val="dashSmallGap" w:sz="4" w:space="0" w:color="auto"/>
            </w:tcBorders>
            <w:shd w:val="pct10" w:color="auto" w:fill="auto"/>
            <w:vAlign w:val="center"/>
          </w:tcPr>
          <w:p w14:paraId="0B75E4F1" w14:textId="77777777" w:rsidR="007D7104" w:rsidRPr="006601BC" w:rsidRDefault="007D7104" w:rsidP="00190BB5">
            <w:pPr>
              <w:jc w:val="center"/>
              <w:rPr>
                <w:noProof/>
                <w:sz w:val="18"/>
                <w:szCs w:val="18"/>
              </w:rPr>
            </w:pPr>
            <w:r w:rsidRPr="006601BC">
              <w:rPr>
                <w:noProof/>
                <w:sz w:val="18"/>
              </w:rPr>
              <w:t>Költség</w:t>
            </w:r>
          </w:p>
        </w:tc>
        <w:tc>
          <w:tcPr>
            <w:tcW w:w="540" w:type="dxa"/>
            <w:tcBorders>
              <w:right w:val="dashSmallGap" w:sz="4" w:space="0" w:color="auto"/>
            </w:tcBorders>
            <w:shd w:val="pct10" w:color="auto" w:fill="auto"/>
            <w:textDirection w:val="btLr"/>
            <w:vAlign w:val="center"/>
          </w:tcPr>
          <w:p w14:paraId="44DC9810" w14:textId="77777777" w:rsidR="007D7104" w:rsidRPr="006601BC" w:rsidRDefault="007D7104" w:rsidP="00190BB5">
            <w:pPr>
              <w:ind w:left="113" w:right="113"/>
              <w:jc w:val="center"/>
              <w:rPr>
                <w:noProof/>
                <w:sz w:val="18"/>
                <w:szCs w:val="18"/>
              </w:rPr>
            </w:pPr>
            <w:r w:rsidRPr="006601BC">
              <w:rPr>
                <w:noProof/>
                <w:sz w:val="18"/>
              </w:rPr>
              <w:t>Szám</w:t>
            </w:r>
          </w:p>
        </w:tc>
        <w:tc>
          <w:tcPr>
            <w:tcW w:w="648" w:type="dxa"/>
            <w:tcBorders>
              <w:left w:val="dashSmallGap" w:sz="4" w:space="0" w:color="auto"/>
            </w:tcBorders>
            <w:shd w:val="pct10" w:color="auto" w:fill="auto"/>
            <w:vAlign w:val="center"/>
          </w:tcPr>
          <w:p w14:paraId="5DC28596" w14:textId="77777777" w:rsidR="007D7104" w:rsidRPr="006601BC" w:rsidRDefault="007D7104" w:rsidP="00190BB5">
            <w:pPr>
              <w:jc w:val="center"/>
              <w:rPr>
                <w:noProof/>
                <w:sz w:val="18"/>
                <w:szCs w:val="18"/>
              </w:rPr>
            </w:pPr>
            <w:r w:rsidRPr="006601BC">
              <w:rPr>
                <w:noProof/>
                <w:sz w:val="18"/>
              </w:rPr>
              <w:t>Költség</w:t>
            </w:r>
          </w:p>
        </w:tc>
        <w:tc>
          <w:tcPr>
            <w:tcW w:w="432" w:type="dxa"/>
            <w:gridSpan w:val="2"/>
            <w:tcBorders>
              <w:right w:val="dashSmallGap" w:sz="4" w:space="0" w:color="auto"/>
            </w:tcBorders>
            <w:shd w:val="pct10" w:color="auto" w:fill="auto"/>
            <w:textDirection w:val="btLr"/>
            <w:vAlign w:val="center"/>
          </w:tcPr>
          <w:p w14:paraId="0A8BBB4A" w14:textId="77777777" w:rsidR="007D7104" w:rsidRPr="006601BC" w:rsidRDefault="007D7104" w:rsidP="00190BB5">
            <w:pPr>
              <w:ind w:left="113" w:right="113"/>
              <w:jc w:val="center"/>
              <w:rPr>
                <w:noProof/>
                <w:sz w:val="18"/>
                <w:szCs w:val="18"/>
              </w:rPr>
            </w:pPr>
            <w:r w:rsidRPr="006601BC">
              <w:rPr>
                <w:noProof/>
                <w:sz w:val="18"/>
              </w:rPr>
              <w:t>Szám</w:t>
            </w:r>
          </w:p>
        </w:tc>
        <w:tc>
          <w:tcPr>
            <w:tcW w:w="720" w:type="dxa"/>
            <w:tcBorders>
              <w:left w:val="dashSmallGap" w:sz="4" w:space="0" w:color="auto"/>
            </w:tcBorders>
            <w:shd w:val="pct10" w:color="auto" w:fill="auto"/>
            <w:vAlign w:val="center"/>
          </w:tcPr>
          <w:p w14:paraId="2D9CB9A9" w14:textId="77777777" w:rsidR="007D7104" w:rsidRPr="006601BC" w:rsidRDefault="007D7104" w:rsidP="00190BB5">
            <w:pPr>
              <w:jc w:val="center"/>
              <w:rPr>
                <w:noProof/>
                <w:sz w:val="18"/>
                <w:szCs w:val="18"/>
              </w:rPr>
            </w:pPr>
            <w:r w:rsidRPr="006601BC">
              <w:rPr>
                <w:noProof/>
                <w:sz w:val="18"/>
              </w:rPr>
              <w:t>Költség</w:t>
            </w:r>
          </w:p>
        </w:tc>
        <w:tc>
          <w:tcPr>
            <w:tcW w:w="540" w:type="dxa"/>
            <w:gridSpan w:val="2"/>
            <w:tcBorders>
              <w:right w:val="dashSmallGap" w:sz="4" w:space="0" w:color="auto"/>
            </w:tcBorders>
            <w:shd w:val="pct10" w:color="auto" w:fill="auto"/>
            <w:textDirection w:val="btLr"/>
            <w:vAlign w:val="center"/>
          </w:tcPr>
          <w:p w14:paraId="708B4F93" w14:textId="77777777" w:rsidR="007D7104" w:rsidRPr="006601BC" w:rsidRDefault="007D7104" w:rsidP="00190BB5">
            <w:pPr>
              <w:ind w:left="113" w:right="113"/>
              <w:jc w:val="center"/>
              <w:rPr>
                <w:noProof/>
                <w:sz w:val="18"/>
                <w:szCs w:val="18"/>
              </w:rPr>
            </w:pPr>
            <w:r w:rsidRPr="006601BC">
              <w:rPr>
                <w:noProof/>
                <w:sz w:val="18"/>
              </w:rPr>
              <w:t>Szám</w:t>
            </w:r>
          </w:p>
        </w:tc>
        <w:tc>
          <w:tcPr>
            <w:tcW w:w="720" w:type="dxa"/>
            <w:tcBorders>
              <w:left w:val="dashSmallGap" w:sz="4" w:space="0" w:color="auto"/>
            </w:tcBorders>
            <w:shd w:val="pct10" w:color="auto" w:fill="auto"/>
            <w:vAlign w:val="center"/>
          </w:tcPr>
          <w:p w14:paraId="2B78A9AC" w14:textId="77777777" w:rsidR="007D7104" w:rsidRPr="006601BC" w:rsidRDefault="007D7104" w:rsidP="00190BB5">
            <w:pPr>
              <w:jc w:val="center"/>
              <w:rPr>
                <w:noProof/>
                <w:sz w:val="18"/>
                <w:szCs w:val="18"/>
              </w:rPr>
            </w:pPr>
            <w:r w:rsidRPr="006601BC">
              <w:rPr>
                <w:noProof/>
                <w:sz w:val="18"/>
              </w:rPr>
              <w:t>Költség</w:t>
            </w:r>
          </w:p>
        </w:tc>
        <w:tc>
          <w:tcPr>
            <w:tcW w:w="720" w:type="dxa"/>
            <w:tcBorders>
              <w:right w:val="dashSmallGap" w:sz="4" w:space="0" w:color="auto"/>
            </w:tcBorders>
            <w:shd w:val="pct10" w:color="auto" w:fill="auto"/>
            <w:vAlign w:val="center"/>
          </w:tcPr>
          <w:p w14:paraId="4F11FB48" w14:textId="77777777" w:rsidR="007D7104" w:rsidRPr="006601BC" w:rsidRDefault="007D7104" w:rsidP="00190BB5">
            <w:pPr>
              <w:jc w:val="center"/>
              <w:rPr>
                <w:noProof/>
                <w:sz w:val="18"/>
                <w:szCs w:val="18"/>
              </w:rPr>
            </w:pPr>
            <w:r w:rsidRPr="006601BC">
              <w:rPr>
                <w:noProof/>
                <w:sz w:val="18"/>
              </w:rPr>
              <w:t>Összesített szám</w:t>
            </w:r>
          </w:p>
        </w:tc>
        <w:tc>
          <w:tcPr>
            <w:tcW w:w="900" w:type="dxa"/>
            <w:tcBorders>
              <w:left w:val="dashSmallGap" w:sz="4" w:space="0" w:color="auto"/>
            </w:tcBorders>
            <w:shd w:val="pct10" w:color="auto" w:fill="auto"/>
            <w:vAlign w:val="center"/>
          </w:tcPr>
          <w:p w14:paraId="7FE1E426" w14:textId="77777777" w:rsidR="007D7104" w:rsidRPr="006601BC" w:rsidRDefault="007D7104" w:rsidP="00190BB5">
            <w:pPr>
              <w:jc w:val="center"/>
              <w:rPr>
                <w:noProof/>
                <w:sz w:val="18"/>
                <w:szCs w:val="18"/>
              </w:rPr>
            </w:pPr>
            <w:r w:rsidRPr="006601BC">
              <w:rPr>
                <w:noProof/>
                <w:sz w:val="18"/>
              </w:rPr>
              <w:t>Összköltség</w:t>
            </w:r>
          </w:p>
        </w:tc>
      </w:tr>
      <w:tr w:rsidR="007D7104" w:rsidRPr="006601BC" w14:paraId="30E90F3E" w14:textId="77777777" w:rsidTr="00190BB5">
        <w:trPr>
          <w:jc w:val="center"/>
        </w:trPr>
        <w:tc>
          <w:tcPr>
            <w:tcW w:w="2844" w:type="dxa"/>
            <w:gridSpan w:val="3"/>
            <w:vAlign w:val="center"/>
          </w:tcPr>
          <w:p w14:paraId="03273321" w14:textId="77777777" w:rsidR="007D7104" w:rsidRPr="006601BC" w:rsidRDefault="007D7104" w:rsidP="00190BB5">
            <w:pPr>
              <w:spacing w:before="60" w:after="60"/>
              <w:ind w:right="-29"/>
              <w:jc w:val="center"/>
              <w:rPr>
                <w:noProof/>
                <w:sz w:val="18"/>
                <w:szCs w:val="18"/>
              </w:rPr>
            </w:pPr>
            <w:r w:rsidRPr="006601BC">
              <w:rPr>
                <w:noProof/>
                <w:sz w:val="18"/>
              </w:rPr>
              <w:t>1. KONKRÉT CÉLKITŰZÉS</w:t>
            </w:r>
            <w:r w:rsidRPr="006601BC">
              <w:rPr>
                <w:rStyle w:val="FootnoteReference"/>
                <w:noProof/>
                <w:sz w:val="18"/>
              </w:rPr>
              <w:footnoteReference w:id="42"/>
            </w:r>
            <w:r w:rsidRPr="006601BC">
              <w:rPr>
                <w:noProof/>
                <w:sz w:val="18"/>
              </w:rPr>
              <w:t>…</w:t>
            </w:r>
          </w:p>
        </w:tc>
        <w:tc>
          <w:tcPr>
            <w:tcW w:w="504" w:type="dxa"/>
            <w:tcBorders>
              <w:top w:val="nil"/>
              <w:left w:val="nil"/>
              <w:bottom w:val="nil"/>
              <w:right w:val="nil"/>
            </w:tcBorders>
          </w:tcPr>
          <w:p w14:paraId="11E130E3" w14:textId="77777777" w:rsidR="007D7104" w:rsidRPr="006601BC" w:rsidRDefault="007D7104" w:rsidP="00190BB5">
            <w:pPr>
              <w:spacing w:before="60" w:after="60"/>
              <w:ind w:right="-29"/>
              <w:jc w:val="center"/>
              <w:rPr>
                <w:noProof/>
                <w:sz w:val="18"/>
                <w:szCs w:val="18"/>
              </w:rPr>
            </w:pPr>
          </w:p>
        </w:tc>
        <w:tc>
          <w:tcPr>
            <w:tcW w:w="720" w:type="dxa"/>
            <w:tcBorders>
              <w:top w:val="nil"/>
              <w:left w:val="nil"/>
              <w:bottom w:val="nil"/>
              <w:right w:val="nil"/>
            </w:tcBorders>
          </w:tcPr>
          <w:p w14:paraId="071D3B47" w14:textId="77777777" w:rsidR="007D7104" w:rsidRPr="006601BC" w:rsidRDefault="007D7104" w:rsidP="00190BB5">
            <w:pPr>
              <w:spacing w:before="60" w:after="60"/>
              <w:ind w:right="-29"/>
              <w:jc w:val="center"/>
              <w:rPr>
                <w:noProof/>
                <w:sz w:val="18"/>
                <w:szCs w:val="18"/>
              </w:rPr>
            </w:pPr>
          </w:p>
        </w:tc>
        <w:tc>
          <w:tcPr>
            <w:tcW w:w="540" w:type="dxa"/>
            <w:tcBorders>
              <w:top w:val="nil"/>
              <w:left w:val="nil"/>
              <w:bottom w:val="nil"/>
              <w:right w:val="nil"/>
            </w:tcBorders>
          </w:tcPr>
          <w:p w14:paraId="0777CFDD" w14:textId="77777777" w:rsidR="007D7104" w:rsidRPr="006601BC" w:rsidRDefault="007D7104" w:rsidP="00190BB5">
            <w:pPr>
              <w:spacing w:before="60" w:after="60"/>
              <w:ind w:right="-29"/>
              <w:jc w:val="center"/>
              <w:rPr>
                <w:noProof/>
                <w:sz w:val="18"/>
                <w:szCs w:val="18"/>
              </w:rPr>
            </w:pPr>
          </w:p>
        </w:tc>
        <w:tc>
          <w:tcPr>
            <w:tcW w:w="720" w:type="dxa"/>
            <w:tcBorders>
              <w:top w:val="nil"/>
              <w:left w:val="nil"/>
              <w:bottom w:val="nil"/>
              <w:right w:val="nil"/>
            </w:tcBorders>
          </w:tcPr>
          <w:p w14:paraId="1A6E0630" w14:textId="77777777" w:rsidR="007D7104" w:rsidRPr="006601BC" w:rsidRDefault="007D7104" w:rsidP="00190BB5">
            <w:pPr>
              <w:spacing w:before="60" w:after="60"/>
              <w:ind w:right="-29"/>
              <w:jc w:val="center"/>
              <w:rPr>
                <w:noProof/>
                <w:sz w:val="18"/>
                <w:szCs w:val="18"/>
              </w:rPr>
            </w:pPr>
          </w:p>
        </w:tc>
        <w:tc>
          <w:tcPr>
            <w:tcW w:w="720" w:type="dxa"/>
            <w:tcBorders>
              <w:top w:val="nil"/>
              <w:left w:val="nil"/>
              <w:bottom w:val="nil"/>
              <w:right w:val="nil"/>
            </w:tcBorders>
          </w:tcPr>
          <w:p w14:paraId="09F01C0F" w14:textId="77777777" w:rsidR="007D7104" w:rsidRPr="006601BC" w:rsidRDefault="007D7104" w:rsidP="00190BB5">
            <w:pPr>
              <w:spacing w:before="60" w:after="60"/>
              <w:ind w:right="-29"/>
              <w:jc w:val="center"/>
              <w:rPr>
                <w:noProof/>
                <w:sz w:val="18"/>
                <w:szCs w:val="18"/>
              </w:rPr>
            </w:pPr>
          </w:p>
        </w:tc>
        <w:tc>
          <w:tcPr>
            <w:tcW w:w="720" w:type="dxa"/>
            <w:tcBorders>
              <w:top w:val="nil"/>
              <w:left w:val="nil"/>
              <w:bottom w:val="nil"/>
              <w:right w:val="nil"/>
            </w:tcBorders>
          </w:tcPr>
          <w:p w14:paraId="5B711CE7" w14:textId="77777777" w:rsidR="007D7104" w:rsidRPr="006601BC" w:rsidRDefault="007D7104" w:rsidP="00190BB5">
            <w:pPr>
              <w:spacing w:before="60" w:after="60"/>
              <w:ind w:right="-29"/>
              <w:jc w:val="center"/>
              <w:rPr>
                <w:noProof/>
                <w:sz w:val="18"/>
                <w:szCs w:val="18"/>
              </w:rPr>
            </w:pPr>
          </w:p>
        </w:tc>
        <w:tc>
          <w:tcPr>
            <w:tcW w:w="900" w:type="dxa"/>
            <w:tcBorders>
              <w:top w:val="nil"/>
              <w:left w:val="nil"/>
              <w:bottom w:val="nil"/>
              <w:right w:val="nil"/>
            </w:tcBorders>
          </w:tcPr>
          <w:p w14:paraId="1D6E9F44" w14:textId="77777777" w:rsidR="007D7104" w:rsidRPr="006601BC" w:rsidRDefault="007D7104" w:rsidP="00190BB5">
            <w:pPr>
              <w:spacing w:before="60" w:after="60"/>
              <w:ind w:right="-29"/>
              <w:jc w:val="center"/>
              <w:rPr>
                <w:noProof/>
                <w:sz w:val="18"/>
                <w:szCs w:val="18"/>
              </w:rPr>
            </w:pPr>
          </w:p>
        </w:tc>
        <w:tc>
          <w:tcPr>
            <w:tcW w:w="720" w:type="dxa"/>
            <w:gridSpan w:val="2"/>
            <w:tcBorders>
              <w:top w:val="nil"/>
              <w:left w:val="nil"/>
              <w:bottom w:val="nil"/>
              <w:right w:val="nil"/>
            </w:tcBorders>
          </w:tcPr>
          <w:p w14:paraId="37E0A2E9" w14:textId="77777777" w:rsidR="007D7104" w:rsidRPr="006601BC" w:rsidRDefault="007D7104" w:rsidP="00190BB5">
            <w:pPr>
              <w:spacing w:before="60" w:after="60"/>
              <w:ind w:right="-29"/>
              <w:jc w:val="center"/>
              <w:rPr>
                <w:noProof/>
                <w:sz w:val="18"/>
                <w:szCs w:val="18"/>
              </w:rPr>
            </w:pPr>
          </w:p>
        </w:tc>
        <w:tc>
          <w:tcPr>
            <w:tcW w:w="540" w:type="dxa"/>
            <w:tcBorders>
              <w:top w:val="nil"/>
              <w:left w:val="nil"/>
              <w:bottom w:val="nil"/>
              <w:right w:val="nil"/>
            </w:tcBorders>
          </w:tcPr>
          <w:p w14:paraId="3FD688C1" w14:textId="77777777" w:rsidR="007D7104" w:rsidRPr="006601BC" w:rsidRDefault="007D7104" w:rsidP="00190BB5">
            <w:pPr>
              <w:spacing w:before="60" w:after="60"/>
              <w:ind w:right="-29"/>
              <w:jc w:val="center"/>
              <w:rPr>
                <w:noProof/>
                <w:sz w:val="18"/>
                <w:szCs w:val="18"/>
              </w:rPr>
            </w:pPr>
          </w:p>
        </w:tc>
        <w:tc>
          <w:tcPr>
            <w:tcW w:w="648" w:type="dxa"/>
            <w:tcBorders>
              <w:top w:val="nil"/>
              <w:left w:val="nil"/>
              <w:bottom w:val="nil"/>
              <w:right w:val="nil"/>
            </w:tcBorders>
          </w:tcPr>
          <w:p w14:paraId="2449323A" w14:textId="77777777" w:rsidR="007D7104" w:rsidRPr="006601BC" w:rsidRDefault="007D7104" w:rsidP="00190BB5">
            <w:pPr>
              <w:spacing w:before="60" w:after="60"/>
              <w:ind w:right="-29"/>
              <w:jc w:val="center"/>
              <w:rPr>
                <w:noProof/>
                <w:sz w:val="18"/>
                <w:szCs w:val="18"/>
              </w:rPr>
            </w:pPr>
          </w:p>
        </w:tc>
        <w:tc>
          <w:tcPr>
            <w:tcW w:w="432" w:type="dxa"/>
            <w:gridSpan w:val="2"/>
            <w:tcBorders>
              <w:top w:val="nil"/>
              <w:left w:val="nil"/>
              <w:bottom w:val="nil"/>
              <w:right w:val="nil"/>
            </w:tcBorders>
          </w:tcPr>
          <w:p w14:paraId="271893F1" w14:textId="77777777" w:rsidR="007D7104" w:rsidRPr="006601BC" w:rsidRDefault="007D7104" w:rsidP="00190BB5">
            <w:pPr>
              <w:spacing w:before="60" w:after="60"/>
              <w:ind w:right="-29"/>
              <w:jc w:val="center"/>
              <w:rPr>
                <w:noProof/>
                <w:sz w:val="18"/>
                <w:szCs w:val="18"/>
              </w:rPr>
            </w:pPr>
          </w:p>
        </w:tc>
        <w:tc>
          <w:tcPr>
            <w:tcW w:w="720" w:type="dxa"/>
            <w:tcBorders>
              <w:top w:val="nil"/>
              <w:left w:val="nil"/>
              <w:bottom w:val="nil"/>
              <w:right w:val="nil"/>
            </w:tcBorders>
          </w:tcPr>
          <w:p w14:paraId="74F05938" w14:textId="77777777" w:rsidR="007D7104" w:rsidRPr="006601BC" w:rsidRDefault="007D7104" w:rsidP="00190BB5">
            <w:pPr>
              <w:spacing w:before="60" w:after="60"/>
              <w:ind w:right="-29"/>
              <w:jc w:val="center"/>
              <w:rPr>
                <w:noProof/>
                <w:sz w:val="18"/>
                <w:szCs w:val="18"/>
              </w:rPr>
            </w:pPr>
          </w:p>
        </w:tc>
        <w:tc>
          <w:tcPr>
            <w:tcW w:w="540" w:type="dxa"/>
            <w:gridSpan w:val="2"/>
            <w:tcBorders>
              <w:top w:val="nil"/>
              <w:left w:val="nil"/>
              <w:bottom w:val="nil"/>
              <w:right w:val="nil"/>
            </w:tcBorders>
          </w:tcPr>
          <w:p w14:paraId="439B9CEC" w14:textId="77777777" w:rsidR="007D7104" w:rsidRPr="006601BC" w:rsidRDefault="007D7104" w:rsidP="00190BB5">
            <w:pPr>
              <w:spacing w:before="60" w:after="60"/>
              <w:ind w:right="-29"/>
              <w:jc w:val="center"/>
              <w:rPr>
                <w:noProof/>
                <w:sz w:val="18"/>
                <w:szCs w:val="18"/>
              </w:rPr>
            </w:pPr>
          </w:p>
        </w:tc>
        <w:tc>
          <w:tcPr>
            <w:tcW w:w="720" w:type="dxa"/>
            <w:tcBorders>
              <w:top w:val="nil"/>
              <w:left w:val="nil"/>
              <w:bottom w:val="nil"/>
              <w:right w:val="nil"/>
            </w:tcBorders>
          </w:tcPr>
          <w:p w14:paraId="43DFF302" w14:textId="77777777" w:rsidR="007D7104" w:rsidRPr="006601BC" w:rsidRDefault="007D7104" w:rsidP="00190BB5">
            <w:pPr>
              <w:spacing w:before="60" w:after="60"/>
              <w:ind w:right="-29"/>
              <w:jc w:val="center"/>
              <w:rPr>
                <w:noProof/>
                <w:sz w:val="18"/>
                <w:szCs w:val="18"/>
              </w:rPr>
            </w:pPr>
          </w:p>
        </w:tc>
        <w:tc>
          <w:tcPr>
            <w:tcW w:w="720" w:type="dxa"/>
            <w:tcBorders>
              <w:top w:val="nil"/>
              <w:left w:val="nil"/>
              <w:bottom w:val="nil"/>
              <w:right w:val="nil"/>
            </w:tcBorders>
          </w:tcPr>
          <w:p w14:paraId="017A7570" w14:textId="77777777" w:rsidR="007D7104" w:rsidRPr="006601BC" w:rsidRDefault="007D7104" w:rsidP="00190BB5">
            <w:pPr>
              <w:spacing w:before="60" w:after="60"/>
              <w:ind w:right="-29"/>
              <w:jc w:val="center"/>
              <w:rPr>
                <w:noProof/>
                <w:sz w:val="18"/>
                <w:szCs w:val="18"/>
              </w:rPr>
            </w:pPr>
          </w:p>
        </w:tc>
        <w:tc>
          <w:tcPr>
            <w:tcW w:w="900" w:type="dxa"/>
            <w:tcBorders>
              <w:top w:val="nil"/>
              <w:left w:val="nil"/>
              <w:bottom w:val="nil"/>
              <w:right w:val="nil"/>
            </w:tcBorders>
          </w:tcPr>
          <w:p w14:paraId="51F7F7C5" w14:textId="77777777" w:rsidR="007D7104" w:rsidRPr="006601BC" w:rsidRDefault="007D7104" w:rsidP="00190BB5">
            <w:pPr>
              <w:spacing w:before="60" w:after="60"/>
              <w:ind w:right="-29"/>
              <w:jc w:val="center"/>
              <w:rPr>
                <w:noProof/>
                <w:sz w:val="18"/>
                <w:szCs w:val="18"/>
              </w:rPr>
            </w:pPr>
          </w:p>
        </w:tc>
      </w:tr>
      <w:tr w:rsidR="007D7104" w:rsidRPr="006601BC" w14:paraId="626585B5" w14:textId="77777777" w:rsidTr="00190BB5">
        <w:trPr>
          <w:trHeight w:hRule="exact" w:val="369"/>
          <w:jc w:val="center"/>
        </w:trPr>
        <w:tc>
          <w:tcPr>
            <w:tcW w:w="1423" w:type="dxa"/>
          </w:tcPr>
          <w:p w14:paraId="77FA982F" w14:textId="77777777" w:rsidR="007D7104" w:rsidRPr="006601BC" w:rsidRDefault="007D7104" w:rsidP="00190BB5">
            <w:pPr>
              <w:ind w:right="-29"/>
              <w:jc w:val="center"/>
              <w:rPr>
                <w:noProof/>
                <w:sz w:val="18"/>
                <w:szCs w:val="18"/>
              </w:rPr>
            </w:pPr>
            <w:r w:rsidRPr="006601BC">
              <w:rPr>
                <w:noProof/>
                <w:sz w:val="18"/>
              </w:rPr>
              <w:t>- Kimenet</w:t>
            </w:r>
          </w:p>
        </w:tc>
        <w:tc>
          <w:tcPr>
            <w:tcW w:w="720" w:type="dxa"/>
          </w:tcPr>
          <w:p w14:paraId="63AD3B08" w14:textId="77777777" w:rsidR="007D7104" w:rsidRPr="006601BC" w:rsidRDefault="007D7104" w:rsidP="00190BB5">
            <w:pPr>
              <w:ind w:right="-29"/>
              <w:jc w:val="center"/>
              <w:rPr>
                <w:noProof/>
                <w:sz w:val="18"/>
                <w:szCs w:val="18"/>
              </w:rPr>
            </w:pPr>
          </w:p>
        </w:tc>
        <w:tc>
          <w:tcPr>
            <w:tcW w:w="701" w:type="dxa"/>
          </w:tcPr>
          <w:p w14:paraId="07BE9AC5" w14:textId="77777777" w:rsidR="007D7104" w:rsidRPr="006601BC" w:rsidRDefault="007D7104" w:rsidP="00190BB5">
            <w:pPr>
              <w:ind w:right="-29"/>
              <w:jc w:val="center"/>
              <w:rPr>
                <w:noProof/>
                <w:sz w:val="18"/>
                <w:szCs w:val="18"/>
              </w:rPr>
            </w:pPr>
          </w:p>
        </w:tc>
        <w:tc>
          <w:tcPr>
            <w:tcW w:w="504" w:type="dxa"/>
            <w:tcBorders>
              <w:right w:val="dashSmallGap" w:sz="4" w:space="0" w:color="auto"/>
            </w:tcBorders>
          </w:tcPr>
          <w:p w14:paraId="36442A85" w14:textId="77777777" w:rsidR="007D7104" w:rsidRPr="006601BC" w:rsidRDefault="007D7104" w:rsidP="00190BB5">
            <w:pPr>
              <w:ind w:right="-29"/>
              <w:jc w:val="center"/>
              <w:rPr>
                <w:noProof/>
                <w:sz w:val="18"/>
                <w:szCs w:val="18"/>
              </w:rPr>
            </w:pPr>
          </w:p>
        </w:tc>
        <w:tc>
          <w:tcPr>
            <w:tcW w:w="720" w:type="dxa"/>
            <w:tcBorders>
              <w:left w:val="dashSmallGap" w:sz="4" w:space="0" w:color="auto"/>
            </w:tcBorders>
          </w:tcPr>
          <w:p w14:paraId="701FF792" w14:textId="77777777" w:rsidR="007D7104" w:rsidRPr="006601BC" w:rsidRDefault="007D7104" w:rsidP="00190BB5">
            <w:pPr>
              <w:ind w:right="-29"/>
              <w:jc w:val="center"/>
              <w:rPr>
                <w:noProof/>
                <w:sz w:val="18"/>
                <w:szCs w:val="18"/>
              </w:rPr>
            </w:pPr>
          </w:p>
        </w:tc>
        <w:tc>
          <w:tcPr>
            <w:tcW w:w="540" w:type="dxa"/>
            <w:tcBorders>
              <w:right w:val="dashSmallGap" w:sz="4" w:space="0" w:color="auto"/>
            </w:tcBorders>
          </w:tcPr>
          <w:p w14:paraId="15699247" w14:textId="77777777" w:rsidR="007D7104" w:rsidRPr="006601BC" w:rsidRDefault="007D7104" w:rsidP="00190BB5">
            <w:pPr>
              <w:ind w:right="-29"/>
              <w:jc w:val="center"/>
              <w:rPr>
                <w:noProof/>
                <w:sz w:val="18"/>
                <w:szCs w:val="18"/>
              </w:rPr>
            </w:pPr>
          </w:p>
        </w:tc>
        <w:tc>
          <w:tcPr>
            <w:tcW w:w="720" w:type="dxa"/>
            <w:tcBorders>
              <w:left w:val="dashSmallGap" w:sz="4" w:space="0" w:color="auto"/>
            </w:tcBorders>
          </w:tcPr>
          <w:p w14:paraId="0E1D798D" w14:textId="77777777" w:rsidR="007D7104" w:rsidRPr="006601BC" w:rsidRDefault="007D7104" w:rsidP="00190BB5">
            <w:pPr>
              <w:ind w:right="-29"/>
              <w:jc w:val="center"/>
              <w:rPr>
                <w:noProof/>
                <w:sz w:val="18"/>
                <w:szCs w:val="18"/>
              </w:rPr>
            </w:pPr>
          </w:p>
        </w:tc>
        <w:tc>
          <w:tcPr>
            <w:tcW w:w="720" w:type="dxa"/>
            <w:tcBorders>
              <w:right w:val="dashSmallGap" w:sz="4" w:space="0" w:color="auto"/>
            </w:tcBorders>
          </w:tcPr>
          <w:p w14:paraId="1BCCBBD7" w14:textId="77777777" w:rsidR="007D7104" w:rsidRPr="006601BC" w:rsidRDefault="007D7104" w:rsidP="00190BB5">
            <w:pPr>
              <w:ind w:right="-29"/>
              <w:jc w:val="center"/>
              <w:rPr>
                <w:noProof/>
                <w:sz w:val="18"/>
                <w:szCs w:val="18"/>
              </w:rPr>
            </w:pPr>
          </w:p>
        </w:tc>
        <w:tc>
          <w:tcPr>
            <w:tcW w:w="720" w:type="dxa"/>
            <w:tcBorders>
              <w:left w:val="dashSmallGap" w:sz="4" w:space="0" w:color="auto"/>
            </w:tcBorders>
          </w:tcPr>
          <w:p w14:paraId="184EE1A1" w14:textId="77777777" w:rsidR="007D7104" w:rsidRPr="006601BC" w:rsidRDefault="007D7104" w:rsidP="00190BB5">
            <w:pPr>
              <w:ind w:right="-29"/>
              <w:jc w:val="center"/>
              <w:rPr>
                <w:noProof/>
                <w:sz w:val="18"/>
                <w:szCs w:val="18"/>
              </w:rPr>
            </w:pPr>
          </w:p>
        </w:tc>
        <w:tc>
          <w:tcPr>
            <w:tcW w:w="900" w:type="dxa"/>
            <w:tcBorders>
              <w:right w:val="dashSmallGap" w:sz="4" w:space="0" w:color="auto"/>
            </w:tcBorders>
          </w:tcPr>
          <w:p w14:paraId="25328BA5" w14:textId="77777777" w:rsidR="007D7104" w:rsidRPr="006601BC" w:rsidRDefault="007D7104" w:rsidP="00190BB5">
            <w:pPr>
              <w:ind w:right="-29"/>
              <w:jc w:val="center"/>
              <w:rPr>
                <w:noProof/>
                <w:sz w:val="18"/>
                <w:szCs w:val="18"/>
              </w:rPr>
            </w:pPr>
          </w:p>
        </w:tc>
        <w:tc>
          <w:tcPr>
            <w:tcW w:w="720" w:type="dxa"/>
            <w:gridSpan w:val="2"/>
            <w:tcBorders>
              <w:left w:val="dashSmallGap" w:sz="4" w:space="0" w:color="auto"/>
            </w:tcBorders>
          </w:tcPr>
          <w:p w14:paraId="1F240E96" w14:textId="77777777" w:rsidR="007D7104" w:rsidRPr="006601BC" w:rsidRDefault="007D7104" w:rsidP="00190BB5">
            <w:pPr>
              <w:ind w:right="-29"/>
              <w:jc w:val="center"/>
              <w:rPr>
                <w:noProof/>
                <w:sz w:val="18"/>
                <w:szCs w:val="18"/>
              </w:rPr>
            </w:pPr>
          </w:p>
        </w:tc>
        <w:tc>
          <w:tcPr>
            <w:tcW w:w="540" w:type="dxa"/>
            <w:tcBorders>
              <w:right w:val="dashSmallGap" w:sz="4" w:space="0" w:color="auto"/>
            </w:tcBorders>
          </w:tcPr>
          <w:p w14:paraId="45505B92" w14:textId="77777777" w:rsidR="007D7104" w:rsidRPr="006601BC" w:rsidRDefault="007D7104" w:rsidP="00190BB5">
            <w:pPr>
              <w:ind w:right="-29"/>
              <w:jc w:val="center"/>
              <w:rPr>
                <w:noProof/>
                <w:sz w:val="18"/>
                <w:szCs w:val="18"/>
              </w:rPr>
            </w:pPr>
          </w:p>
        </w:tc>
        <w:tc>
          <w:tcPr>
            <w:tcW w:w="648" w:type="dxa"/>
            <w:tcBorders>
              <w:left w:val="dashSmallGap" w:sz="4" w:space="0" w:color="auto"/>
            </w:tcBorders>
          </w:tcPr>
          <w:p w14:paraId="36D5CA07" w14:textId="77777777" w:rsidR="007D7104" w:rsidRPr="006601BC" w:rsidRDefault="007D7104" w:rsidP="00190BB5">
            <w:pPr>
              <w:ind w:right="-29"/>
              <w:jc w:val="center"/>
              <w:rPr>
                <w:noProof/>
                <w:sz w:val="18"/>
                <w:szCs w:val="18"/>
              </w:rPr>
            </w:pPr>
          </w:p>
        </w:tc>
        <w:tc>
          <w:tcPr>
            <w:tcW w:w="432" w:type="dxa"/>
            <w:gridSpan w:val="2"/>
            <w:tcBorders>
              <w:right w:val="dashSmallGap" w:sz="4" w:space="0" w:color="auto"/>
            </w:tcBorders>
          </w:tcPr>
          <w:p w14:paraId="42B44E27" w14:textId="77777777" w:rsidR="007D7104" w:rsidRPr="006601BC" w:rsidRDefault="007D7104" w:rsidP="00190BB5">
            <w:pPr>
              <w:ind w:right="-29"/>
              <w:jc w:val="center"/>
              <w:rPr>
                <w:noProof/>
                <w:sz w:val="18"/>
                <w:szCs w:val="18"/>
              </w:rPr>
            </w:pPr>
          </w:p>
        </w:tc>
        <w:tc>
          <w:tcPr>
            <w:tcW w:w="720" w:type="dxa"/>
            <w:tcBorders>
              <w:left w:val="dashSmallGap" w:sz="4" w:space="0" w:color="auto"/>
            </w:tcBorders>
          </w:tcPr>
          <w:p w14:paraId="1A26FF51" w14:textId="77777777" w:rsidR="007D7104" w:rsidRPr="006601BC" w:rsidRDefault="007D7104" w:rsidP="00190BB5">
            <w:pPr>
              <w:ind w:right="-29"/>
              <w:jc w:val="center"/>
              <w:rPr>
                <w:noProof/>
                <w:sz w:val="18"/>
                <w:szCs w:val="18"/>
              </w:rPr>
            </w:pPr>
          </w:p>
        </w:tc>
        <w:tc>
          <w:tcPr>
            <w:tcW w:w="540" w:type="dxa"/>
            <w:gridSpan w:val="2"/>
            <w:tcBorders>
              <w:right w:val="dashSmallGap" w:sz="4" w:space="0" w:color="auto"/>
            </w:tcBorders>
          </w:tcPr>
          <w:p w14:paraId="651D9566" w14:textId="77777777" w:rsidR="007D7104" w:rsidRPr="006601BC" w:rsidRDefault="007D7104" w:rsidP="00190BB5">
            <w:pPr>
              <w:ind w:right="-29"/>
              <w:jc w:val="center"/>
              <w:rPr>
                <w:noProof/>
                <w:sz w:val="18"/>
                <w:szCs w:val="18"/>
              </w:rPr>
            </w:pPr>
          </w:p>
        </w:tc>
        <w:tc>
          <w:tcPr>
            <w:tcW w:w="720" w:type="dxa"/>
            <w:tcBorders>
              <w:left w:val="dashSmallGap" w:sz="4" w:space="0" w:color="auto"/>
            </w:tcBorders>
          </w:tcPr>
          <w:p w14:paraId="3AF95521" w14:textId="77777777" w:rsidR="007D7104" w:rsidRPr="006601BC" w:rsidRDefault="007D7104" w:rsidP="00190BB5">
            <w:pPr>
              <w:ind w:right="-29"/>
              <w:jc w:val="center"/>
              <w:rPr>
                <w:noProof/>
                <w:sz w:val="18"/>
                <w:szCs w:val="18"/>
              </w:rPr>
            </w:pPr>
          </w:p>
        </w:tc>
        <w:tc>
          <w:tcPr>
            <w:tcW w:w="720" w:type="dxa"/>
          </w:tcPr>
          <w:p w14:paraId="0A439C1F" w14:textId="77777777" w:rsidR="007D7104" w:rsidRPr="006601BC" w:rsidRDefault="007D7104" w:rsidP="00190BB5">
            <w:pPr>
              <w:ind w:right="-29"/>
              <w:jc w:val="center"/>
              <w:rPr>
                <w:noProof/>
                <w:sz w:val="18"/>
                <w:szCs w:val="18"/>
              </w:rPr>
            </w:pPr>
          </w:p>
        </w:tc>
        <w:tc>
          <w:tcPr>
            <w:tcW w:w="900" w:type="dxa"/>
          </w:tcPr>
          <w:p w14:paraId="5EC90F87" w14:textId="77777777" w:rsidR="007D7104" w:rsidRPr="006601BC" w:rsidRDefault="007D7104" w:rsidP="00190BB5">
            <w:pPr>
              <w:ind w:right="-29"/>
              <w:jc w:val="center"/>
              <w:rPr>
                <w:noProof/>
                <w:sz w:val="18"/>
                <w:szCs w:val="18"/>
              </w:rPr>
            </w:pPr>
          </w:p>
        </w:tc>
      </w:tr>
      <w:tr w:rsidR="007D7104" w:rsidRPr="006601BC" w14:paraId="517A1501" w14:textId="77777777" w:rsidTr="00190BB5">
        <w:trPr>
          <w:trHeight w:hRule="exact" w:val="369"/>
          <w:jc w:val="center"/>
        </w:trPr>
        <w:tc>
          <w:tcPr>
            <w:tcW w:w="1423" w:type="dxa"/>
          </w:tcPr>
          <w:p w14:paraId="6BC75E86" w14:textId="77777777" w:rsidR="007D7104" w:rsidRPr="006601BC" w:rsidRDefault="007D7104" w:rsidP="00190BB5">
            <w:pPr>
              <w:ind w:right="-29"/>
              <w:jc w:val="center"/>
              <w:rPr>
                <w:noProof/>
                <w:sz w:val="18"/>
                <w:szCs w:val="18"/>
              </w:rPr>
            </w:pPr>
            <w:r w:rsidRPr="006601BC">
              <w:rPr>
                <w:noProof/>
                <w:sz w:val="18"/>
              </w:rPr>
              <w:t>- Kimenet</w:t>
            </w:r>
          </w:p>
        </w:tc>
        <w:tc>
          <w:tcPr>
            <w:tcW w:w="720" w:type="dxa"/>
          </w:tcPr>
          <w:p w14:paraId="5A82187D" w14:textId="77777777" w:rsidR="007D7104" w:rsidRPr="006601BC" w:rsidRDefault="007D7104" w:rsidP="00190BB5">
            <w:pPr>
              <w:ind w:right="-29"/>
              <w:jc w:val="center"/>
              <w:rPr>
                <w:noProof/>
                <w:sz w:val="18"/>
                <w:szCs w:val="18"/>
              </w:rPr>
            </w:pPr>
          </w:p>
        </w:tc>
        <w:tc>
          <w:tcPr>
            <w:tcW w:w="701" w:type="dxa"/>
          </w:tcPr>
          <w:p w14:paraId="4BF25D22" w14:textId="77777777" w:rsidR="007D7104" w:rsidRPr="006601BC" w:rsidRDefault="007D7104" w:rsidP="00190BB5">
            <w:pPr>
              <w:ind w:right="-29"/>
              <w:jc w:val="center"/>
              <w:rPr>
                <w:noProof/>
                <w:sz w:val="18"/>
                <w:szCs w:val="18"/>
              </w:rPr>
            </w:pPr>
          </w:p>
        </w:tc>
        <w:tc>
          <w:tcPr>
            <w:tcW w:w="504" w:type="dxa"/>
            <w:tcBorders>
              <w:right w:val="dashSmallGap" w:sz="4" w:space="0" w:color="auto"/>
            </w:tcBorders>
          </w:tcPr>
          <w:p w14:paraId="2BEBC682" w14:textId="77777777" w:rsidR="007D7104" w:rsidRPr="006601BC" w:rsidRDefault="007D7104" w:rsidP="00190BB5">
            <w:pPr>
              <w:ind w:right="-29"/>
              <w:jc w:val="center"/>
              <w:rPr>
                <w:noProof/>
                <w:sz w:val="18"/>
                <w:szCs w:val="18"/>
              </w:rPr>
            </w:pPr>
          </w:p>
        </w:tc>
        <w:tc>
          <w:tcPr>
            <w:tcW w:w="720" w:type="dxa"/>
            <w:tcBorders>
              <w:left w:val="dashSmallGap" w:sz="4" w:space="0" w:color="auto"/>
            </w:tcBorders>
          </w:tcPr>
          <w:p w14:paraId="0F2B24F3" w14:textId="77777777" w:rsidR="007D7104" w:rsidRPr="006601BC" w:rsidRDefault="007D7104" w:rsidP="00190BB5">
            <w:pPr>
              <w:ind w:right="-29"/>
              <w:jc w:val="center"/>
              <w:rPr>
                <w:noProof/>
                <w:sz w:val="18"/>
                <w:szCs w:val="18"/>
              </w:rPr>
            </w:pPr>
          </w:p>
        </w:tc>
        <w:tc>
          <w:tcPr>
            <w:tcW w:w="540" w:type="dxa"/>
            <w:tcBorders>
              <w:right w:val="dashSmallGap" w:sz="4" w:space="0" w:color="auto"/>
            </w:tcBorders>
          </w:tcPr>
          <w:p w14:paraId="053528D7" w14:textId="77777777" w:rsidR="007D7104" w:rsidRPr="006601BC" w:rsidRDefault="007D7104" w:rsidP="00190BB5">
            <w:pPr>
              <w:ind w:right="-29"/>
              <w:jc w:val="center"/>
              <w:rPr>
                <w:noProof/>
                <w:sz w:val="18"/>
                <w:szCs w:val="18"/>
              </w:rPr>
            </w:pPr>
          </w:p>
        </w:tc>
        <w:tc>
          <w:tcPr>
            <w:tcW w:w="720" w:type="dxa"/>
            <w:tcBorders>
              <w:left w:val="dashSmallGap" w:sz="4" w:space="0" w:color="auto"/>
            </w:tcBorders>
          </w:tcPr>
          <w:p w14:paraId="636C7A2C" w14:textId="77777777" w:rsidR="007D7104" w:rsidRPr="006601BC" w:rsidRDefault="007D7104" w:rsidP="00190BB5">
            <w:pPr>
              <w:ind w:right="-29"/>
              <w:jc w:val="center"/>
              <w:rPr>
                <w:noProof/>
                <w:sz w:val="18"/>
                <w:szCs w:val="18"/>
              </w:rPr>
            </w:pPr>
          </w:p>
        </w:tc>
        <w:tc>
          <w:tcPr>
            <w:tcW w:w="720" w:type="dxa"/>
            <w:tcBorders>
              <w:right w:val="dashSmallGap" w:sz="4" w:space="0" w:color="auto"/>
            </w:tcBorders>
          </w:tcPr>
          <w:p w14:paraId="5397E16B" w14:textId="77777777" w:rsidR="007D7104" w:rsidRPr="006601BC" w:rsidRDefault="007D7104" w:rsidP="00190BB5">
            <w:pPr>
              <w:ind w:right="-29"/>
              <w:jc w:val="center"/>
              <w:rPr>
                <w:noProof/>
                <w:sz w:val="18"/>
                <w:szCs w:val="18"/>
              </w:rPr>
            </w:pPr>
          </w:p>
        </w:tc>
        <w:tc>
          <w:tcPr>
            <w:tcW w:w="720" w:type="dxa"/>
            <w:tcBorders>
              <w:left w:val="dashSmallGap" w:sz="4" w:space="0" w:color="auto"/>
            </w:tcBorders>
          </w:tcPr>
          <w:p w14:paraId="04AFB43F" w14:textId="77777777" w:rsidR="007D7104" w:rsidRPr="006601BC" w:rsidRDefault="007D7104" w:rsidP="00190BB5">
            <w:pPr>
              <w:ind w:right="-29"/>
              <w:jc w:val="center"/>
              <w:rPr>
                <w:noProof/>
                <w:sz w:val="18"/>
                <w:szCs w:val="18"/>
              </w:rPr>
            </w:pPr>
          </w:p>
        </w:tc>
        <w:tc>
          <w:tcPr>
            <w:tcW w:w="900" w:type="dxa"/>
            <w:tcBorders>
              <w:right w:val="dashSmallGap" w:sz="4" w:space="0" w:color="auto"/>
            </w:tcBorders>
          </w:tcPr>
          <w:p w14:paraId="63A2775A" w14:textId="77777777" w:rsidR="007D7104" w:rsidRPr="006601BC" w:rsidRDefault="007D7104" w:rsidP="00190BB5">
            <w:pPr>
              <w:ind w:right="-29"/>
              <w:jc w:val="center"/>
              <w:rPr>
                <w:noProof/>
                <w:sz w:val="18"/>
                <w:szCs w:val="18"/>
              </w:rPr>
            </w:pPr>
          </w:p>
        </w:tc>
        <w:tc>
          <w:tcPr>
            <w:tcW w:w="720" w:type="dxa"/>
            <w:gridSpan w:val="2"/>
            <w:tcBorders>
              <w:left w:val="dashSmallGap" w:sz="4" w:space="0" w:color="auto"/>
            </w:tcBorders>
          </w:tcPr>
          <w:p w14:paraId="6AC9A6D0" w14:textId="77777777" w:rsidR="007D7104" w:rsidRPr="006601BC" w:rsidRDefault="007D7104" w:rsidP="00190BB5">
            <w:pPr>
              <w:ind w:right="-29"/>
              <w:jc w:val="center"/>
              <w:rPr>
                <w:noProof/>
                <w:sz w:val="18"/>
                <w:szCs w:val="18"/>
              </w:rPr>
            </w:pPr>
          </w:p>
        </w:tc>
        <w:tc>
          <w:tcPr>
            <w:tcW w:w="540" w:type="dxa"/>
            <w:tcBorders>
              <w:right w:val="dashSmallGap" w:sz="4" w:space="0" w:color="auto"/>
            </w:tcBorders>
          </w:tcPr>
          <w:p w14:paraId="551161B6" w14:textId="77777777" w:rsidR="007D7104" w:rsidRPr="006601BC" w:rsidRDefault="007D7104" w:rsidP="00190BB5">
            <w:pPr>
              <w:ind w:right="-29"/>
              <w:jc w:val="center"/>
              <w:rPr>
                <w:noProof/>
                <w:sz w:val="18"/>
                <w:szCs w:val="18"/>
              </w:rPr>
            </w:pPr>
          </w:p>
        </w:tc>
        <w:tc>
          <w:tcPr>
            <w:tcW w:w="648" w:type="dxa"/>
            <w:tcBorders>
              <w:left w:val="dashSmallGap" w:sz="4" w:space="0" w:color="auto"/>
            </w:tcBorders>
          </w:tcPr>
          <w:p w14:paraId="16DE6F8B" w14:textId="77777777" w:rsidR="007D7104" w:rsidRPr="006601BC" w:rsidRDefault="007D7104" w:rsidP="00190BB5">
            <w:pPr>
              <w:ind w:right="-29"/>
              <w:jc w:val="center"/>
              <w:rPr>
                <w:noProof/>
                <w:sz w:val="18"/>
                <w:szCs w:val="18"/>
              </w:rPr>
            </w:pPr>
          </w:p>
        </w:tc>
        <w:tc>
          <w:tcPr>
            <w:tcW w:w="432" w:type="dxa"/>
            <w:gridSpan w:val="2"/>
            <w:tcBorders>
              <w:right w:val="dashSmallGap" w:sz="4" w:space="0" w:color="auto"/>
            </w:tcBorders>
          </w:tcPr>
          <w:p w14:paraId="6E69D49A" w14:textId="77777777" w:rsidR="007D7104" w:rsidRPr="006601BC" w:rsidRDefault="007D7104" w:rsidP="00190BB5">
            <w:pPr>
              <w:ind w:right="-29"/>
              <w:jc w:val="center"/>
              <w:rPr>
                <w:noProof/>
                <w:sz w:val="18"/>
                <w:szCs w:val="18"/>
              </w:rPr>
            </w:pPr>
          </w:p>
        </w:tc>
        <w:tc>
          <w:tcPr>
            <w:tcW w:w="720" w:type="dxa"/>
            <w:tcBorders>
              <w:left w:val="dashSmallGap" w:sz="4" w:space="0" w:color="auto"/>
            </w:tcBorders>
          </w:tcPr>
          <w:p w14:paraId="6D0DFF1F" w14:textId="77777777" w:rsidR="007D7104" w:rsidRPr="006601BC" w:rsidRDefault="007D7104" w:rsidP="00190BB5">
            <w:pPr>
              <w:ind w:right="-29"/>
              <w:jc w:val="center"/>
              <w:rPr>
                <w:noProof/>
                <w:sz w:val="18"/>
                <w:szCs w:val="18"/>
              </w:rPr>
            </w:pPr>
          </w:p>
        </w:tc>
        <w:tc>
          <w:tcPr>
            <w:tcW w:w="540" w:type="dxa"/>
            <w:gridSpan w:val="2"/>
            <w:tcBorders>
              <w:right w:val="dashSmallGap" w:sz="4" w:space="0" w:color="auto"/>
            </w:tcBorders>
          </w:tcPr>
          <w:p w14:paraId="4D0126BF" w14:textId="77777777" w:rsidR="007D7104" w:rsidRPr="006601BC" w:rsidRDefault="007D7104" w:rsidP="00190BB5">
            <w:pPr>
              <w:ind w:right="-29"/>
              <w:jc w:val="center"/>
              <w:rPr>
                <w:noProof/>
                <w:sz w:val="18"/>
                <w:szCs w:val="18"/>
              </w:rPr>
            </w:pPr>
          </w:p>
        </w:tc>
        <w:tc>
          <w:tcPr>
            <w:tcW w:w="720" w:type="dxa"/>
            <w:tcBorders>
              <w:left w:val="dashSmallGap" w:sz="4" w:space="0" w:color="auto"/>
            </w:tcBorders>
          </w:tcPr>
          <w:p w14:paraId="4038492D" w14:textId="77777777" w:rsidR="007D7104" w:rsidRPr="006601BC" w:rsidRDefault="007D7104" w:rsidP="00190BB5">
            <w:pPr>
              <w:ind w:right="-29"/>
              <w:jc w:val="center"/>
              <w:rPr>
                <w:noProof/>
                <w:sz w:val="18"/>
                <w:szCs w:val="18"/>
              </w:rPr>
            </w:pPr>
          </w:p>
        </w:tc>
        <w:tc>
          <w:tcPr>
            <w:tcW w:w="720" w:type="dxa"/>
          </w:tcPr>
          <w:p w14:paraId="4A5C0A61" w14:textId="77777777" w:rsidR="007D7104" w:rsidRPr="006601BC" w:rsidRDefault="007D7104" w:rsidP="00190BB5">
            <w:pPr>
              <w:ind w:right="-29"/>
              <w:jc w:val="center"/>
              <w:rPr>
                <w:noProof/>
                <w:sz w:val="18"/>
                <w:szCs w:val="18"/>
              </w:rPr>
            </w:pPr>
          </w:p>
        </w:tc>
        <w:tc>
          <w:tcPr>
            <w:tcW w:w="900" w:type="dxa"/>
          </w:tcPr>
          <w:p w14:paraId="48070C92" w14:textId="77777777" w:rsidR="007D7104" w:rsidRPr="006601BC" w:rsidRDefault="007D7104" w:rsidP="00190BB5">
            <w:pPr>
              <w:ind w:right="-29"/>
              <w:jc w:val="center"/>
              <w:rPr>
                <w:noProof/>
                <w:sz w:val="18"/>
                <w:szCs w:val="18"/>
              </w:rPr>
            </w:pPr>
          </w:p>
        </w:tc>
      </w:tr>
      <w:tr w:rsidR="007D7104" w:rsidRPr="006601BC" w14:paraId="04006504" w14:textId="77777777" w:rsidTr="00190BB5">
        <w:trPr>
          <w:trHeight w:hRule="exact" w:val="369"/>
          <w:jc w:val="center"/>
        </w:trPr>
        <w:tc>
          <w:tcPr>
            <w:tcW w:w="1423" w:type="dxa"/>
          </w:tcPr>
          <w:p w14:paraId="5384AAA4" w14:textId="77777777" w:rsidR="007D7104" w:rsidRPr="006601BC" w:rsidRDefault="007D7104" w:rsidP="00190BB5">
            <w:pPr>
              <w:ind w:right="-29"/>
              <w:jc w:val="center"/>
              <w:rPr>
                <w:noProof/>
                <w:sz w:val="18"/>
                <w:szCs w:val="18"/>
              </w:rPr>
            </w:pPr>
            <w:r w:rsidRPr="006601BC">
              <w:rPr>
                <w:noProof/>
                <w:sz w:val="18"/>
              </w:rPr>
              <w:t>- Kimenet</w:t>
            </w:r>
          </w:p>
        </w:tc>
        <w:tc>
          <w:tcPr>
            <w:tcW w:w="720" w:type="dxa"/>
          </w:tcPr>
          <w:p w14:paraId="23934945" w14:textId="77777777" w:rsidR="007D7104" w:rsidRPr="006601BC" w:rsidRDefault="007D7104" w:rsidP="00190BB5">
            <w:pPr>
              <w:ind w:right="-29"/>
              <w:jc w:val="center"/>
              <w:rPr>
                <w:noProof/>
                <w:sz w:val="18"/>
                <w:szCs w:val="18"/>
              </w:rPr>
            </w:pPr>
          </w:p>
        </w:tc>
        <w:tc>
          <w:tcPr>
            <w:tcW w:w="701" w:type="dxa"/>
          </w:tcPr>
          <w:p w14:paraId="646EA0EC" w14:textId="77777777" w:rsidR="007D7104" w:rsidRPr="006601BC" w:rsidRDefault="007D7104" w:rsidP="00190BB5">
            <w:pPr>
              <w:ind w:right="-29"/>
              <w:jc w:val="center"/>
              <w:rPr>
                <w:noProof/>
                <w:sz w:val="18"/>
                <w:szCs w:val="18"/>
              </w:rPr>
            </w:pPr>
          </w:p>
        </w:tc>
        <w:tc>
          <w:tcPr>
            <w:tcW w:w="504" w:type="dxa"/>
          </w:tcPr>
          <w:p w14:paraId="03207B2B" w14:textId="77777777" w:rsidR="007D7104" w:rsidRPr="006601BC" w:rsidRDefault="007D7104" w:rsidP="00190BB5">
            <w:pPr>
              <w:ind w:right="-29"/>
              <w:jc w:val="center"/>
              <w:rPr>
                <w:noProof/>
                <w:sz w:val="18"/>
                <w:szCs w:val="18"/>
              </w:rPr>
            </w:pPr>
          </w:p>
        </w:tc>
        <w:tc>
          <w:tcPr>
            <w:tcW w:w="720" w:type="dxa"/>
          </w:tcPr>
          <w:p w14:paraId="1021D6A6" w14:textId="77777777" w:rsidR="007D7104" w:rsidRPr="006601BC" w:rsidRDefault="007D7104" w:rsidP="00190BB5">
            <w:pPr>
              <w:ind w:right="-29"/>
              <w:jc w:val="center"/>
              <w:rPr>
                <w:noProof/>
                <w:sz w:val="18"/>
                <w:szCs w:val="18"/>
              </w:rPr>
            </w:pPr>
          </w:p>
        </w:tc>
        <w:tc>
          <w:tcPr>
            <w:tcW w:w="540" w:type="dxa"/>
          </w:tcPr>
          <w:p w14:paraId="7D34505B" w14:textId="77777777" w:rsidR="007D7104" w:rsidRPr="006601BC" w:rsidRDefault="007D7104" w:rsidP="00190BB5">
            <w:pPr>
              <w:ind w:right="-29"/>
              <w:jc w:val="center"/>
              <w:rPr>
                <w:noProof/>
                <w:sz w:val="18"/>
                <w:szCs w:val="18"/>
              </w:rPr>
            </w:pPr>
          </w:p>
        </w:tc>
        <w:tc>
          <w:tcPr>
            <w:tcW w:w="720" w:type="dxa"/>
          </w:tcPr>
          <w:p w14:paraId="5AFBB0C9" w14:textId="77777777" w:rsidR="007D7104" w:rsidRPr="006601BC" w:rsidRDefault="007D7104" w:rsidP="00190BB5">
            <w:pPr>
              <w:ind w:right="-29"/>
              <w:jc w:val="center"/>
              <w:rPr>
                <w:noProof/>
                <w:sz w:val="18"/>
                <w:szCs w:val="18"/>
              </w:rPr>
            </w:pPr>
          </w:p>
        </w:tc>
        <w:tc>
          <w:tcPr>
            <w:tcW w:w="720" w:type="dxa"/>
          </w:tcPr>
          <w:p w14:paraId="04BA076F" w14:textId="77777777" w:rsidR="007D7104" w:rsidRPr="006601BC" w:rsidRDefault="007D7104" w:rsidP="00190BB5">
            <w:pPr>
              <w:ind w:right="-29"/>
              <w:jc w:val="center"/>
              <w:rPr>
                <w:noProof/>
                <w:sz w:val="18"/>
                <w:szCs w:val="18"/>
              </w:rPr>
            </w:pPr>
          </w:p>
        </w:tc>
        <w:tc>
          <w:tcPr>
            <w:tcW w:w="720" w:type="dxa"/>
          </w:tcPr>
          <w:p w14:paraId="6FBBDCD4" w14:textId="77777777" w:rsidR="007D7104" w:rsidRPr="006601BC" w:rsidRDefault="007D7104" w:rsidP="00190BB5">
            <w:pPr>
              <w:ind w:right="-29"/>
              <w:jc w:val="center"/>
              <w:rPr>
                <w:noProof/>
                <w:sz w:val="18"/>
                <w:szCs w:val="18"/>
              </w:rPr>
            </w:pPr>
          </w:p>
        </w:tc>
        <w:tc>
          <w:tcPr>
            <w:tcW w:w="900" w:type="dxa"/>
          </w:tcPr>
          <w:p w14:paraId="15139100" w14:textId="77777777" w:rsidR="007D7104" w:rsidRPr="006601BC" w:rsidRDefault="007D7104" w:rsidP="00190BB5">
            <w:pPr>
              <w:ind w:right="-29"/>
              <w:jc w:val="center"/>
              <w:rPr>
                <w:noProof/>
                <w:sz w:val="18"/>
                <w:szCs w:val="18"/>
              </w:rPr>
            </w:pPr>
          </w:p>
        </w:tc>
        <w:tc>
          <w:tcPr>
            <w:tcW w:w="720" w:type="dxa"/>
            <w:gridSpan w:val="2"/>
          </w:tcPr>
          <w:p w14:paraId="2AAE7AB4" w14:textId="77777777" w:rsidR="007D7104" w:rsidRPr="006601BC" w:rsidRDefault="007D7104" w:rsidP="00190BB5">
            <w:pPr>
              <w:ind w:right="-29"/>
              <w:jc w:val="center"/>
              <w:rPr>
                <w:noProof/>
                <w:sz w:val="18"/>
                <w:szCs w:val="18"/>
              </w:rPr>
            </w:pPr>
          </w:p>
        </w:tc>
        <w:tc>
          <w:tcPr>
            <w:tcW w:w="540" w:type="dxa"/>
          </w:tcPr>
          <w:p w14:paraId="02A60CBB" w14:textId="77777777" w:rsidR="007D7104" w:rsidRPr="006601BC" w:rsidRDefault="007D7104" w:rsidP="00190BB5">
            <w:pPr>
              <w:ind w:right="-29"/>
              <w:jc w:val="center"/>
              <w:rPr>
                <w:noProof/>
                <w:sz w:val="18"/>
                <w:szCs w:val="18"/>
              </w:rPr>
            </w:pPr>
          </w:p>
        </w:tc>
        <w:tc>
          <w:tcPr>
            <w:tcW w:w="648" w:type="dxa"/>
          </w:tcPr>
          <w:p w14:paraId="37432465" w14:textId="77777777" w:rsidR="007D7104" w:rsidRPr="006601BC" w:rsidRDefault="007D7104" w:rsidP="00190BB5">
            <w:pPr>
              <w:ind w:right="-29"/>
              <w:jc w:val="center"/>
              <w:rPr>
                <w:noProof/>
                <w:sz w:val="18"/>
                <w:szCs w:val="18"/>
              </w:rPr>
            </w:pPr>
          </w:p>
        </w:tc>
        <w:tc>
          <w:tcPr>
            <w:tcW w:w="432" w:type="dxa"/>
            <w:gridSpan w:val="2"/>
          </w:tcPr>
          <w:p w14:paraId="25D814F5" w14:textId="77777777" w:rsidR="007D7104" w:rsidRPr="006601BC" w:rsidRDefault="007D7104" w:rsidP="00190BB5">
            <w:pPr>
              <w:ind w:right="-29"/>
              <w:jc w:val="center"/>
              <w:rPr>
                <w:noProof/>
                <w:sz w:val="18"/>
                <w:szCs w:val="18"/>
              </w:rPr>
            </w:pPr>
          </w:p>
        </w:tc>
        <w:tc>
          <w:tcPr>
            <w:tcW w:w="720" w:type="dxa"/>
          </w:tcPr>
          <w:p w14:paraId="6DA8B273" w14:textId="77777777" w:rsidR="007D7104" w:rsidRPr="006601BC" w:rsidRDefault="007D7104" w:rsidP="00190BB5">
            <w:pPr>
              <w:ind w:right="-29"/>
              <w:jc w:val="center"/>
              <w:rPr>
                <w:noProof/>
                <w:sz w:val="18"/>
                <w:szCs w:val="18"/>
              </w:rPr>
            </w:pPr>
          </w:p>
        </w:tc>
        <w:tc>
          <w:tcPr>
            <w:tcW w:w="540" w:type="dxa"/>
            <w:gridSpan w:val="2"/>
          </w:tcPr>
          <w:p w14:paraId="7BD2CF7F" w14:textId="77777777" w:rsidR="007D7104" w:rsidRPr="006601BC" w:rsidRDefault="007D7104" w:rsidP="00190BB5">
            <w:pPr>
              <w:ind w:right="-29"/>
              <w:jc w:val="center"/>
              <w:rPr>
                <w:noProof/>
                <w:sz w:val="18"/>
                <w:szCs w:val="18"/>
              </w:rPr>
            </w:pPr>
          </w:p>
        </w:tc>
        <w:tc>
          <w:tcPr>
            <w:tcW w:w="720" w:type="dxa"/>
          </w:tcPr>
          <w:p w14:paraId="616F46BA" w14:textId="77777777" w:rsidR="007D7104" w:rsidRPr="006601BC" w:rsidRDefault="007D7104" w:rsidP="00190BB5">
            <w:pPr>
              <w:ind w:right="-29"/>
              <w:jc w:val="center"/>
              <w:rPr>
                <w:noProof/>
                <w:sz w:val="18"/>
                <w:szCs w:val="18"/>
              </w:rPr>
            </w:pPr>
          </w:p>
        </w:tc>
        <w:tc>
          <w:tcPr>
            <w:tcW w:w="720" w:type="dxa"/>
          </w:tcPr>
          <w:p w14:paraId="04F936B3" w14:textId="77777777" w:rsidR="007D7104" w:rsidRPr="006601BC" w:rsidRDefault="007D7104" w:rsidP="00190BB5">
            <w:pPr>
              <w:ind w:right="-29"/>
              <w:jc w:val="center"/>
              <w:rPr>
                <w:noProof/>
                <w:sz w:val="18"/>
                <w:szCs w:val="18"/>
              </w:rPr>
            </w:pPr>
          </w:p>
        </w:tc>
        <w:tc>
          <w:tcPr>
            <w:tcW w:w="900" w:type="dxa"/>
          </w:tcPr>
          <w:p w14:paraId="67B41E6F" w14:textId="77777777" w:rsidR="007D7104" w:rsidRPr="006601BC" w:rsidRDefault="007D7104" w:rsidP="00190BB5">
            <w:pPr>
              <w:ind w:right="-29"/>
              <w:jc w:val="center"/>
              <w:rPr>
                <w:noProof/>
                <w:sz w:val="18"/>
                <w:szCs w:val="18"/>
              </w:rPr>
            </w:pPr>
          </w:p>
        </w:tc>
      </w:tr>
      <w:tr w:rsidR="007D7104" w:rsidRPr="006601BC" w14:paraId="77D5519A" w14:textId="77777777" w:rsidTr="00190BB5">
        <w:trPr>
          <w:trHeight w:val="77"/>
          <w:jc w:val="center"/>
        </w:trPr>
        <w:tc>
          <w:tcPr>
            <w:tcW w:w="2844" w:type="dxa"/>
            <w:gridSpan w:val="3"/>
            <w:tcBorders>
              <w:bottom w:val="single" w:sz="12" w:space="0" w:color="auto"/>
            </w:tcBorders>
            <w:vAlign w:val="center"/>
          </w:tcPr>
          <w:p w14:paraId="1E2FF205" w14:textId="77777777" w:rsidR="007D7104" w:rsidRPr="006601BC" w:rsidRDefault="007D7104" w:rsidP="00190BB5">
            <w:pPr>
              <w:ind w:right="-29"/>
              <w:jc w:val="center"/>
              <w:rPr>
                <w:noProof/>
                <w:sz w:val="18"/>
                <w:szCs w:val="18"/>
              </w:rPr>
            </w:pPr>
            <w:r w:rsidRPr="006601BC">
              <w:rPr>
                <w:noProof/>
                <w:sz w:val="18"/>
              </w:rPr>
              <w:t>1. konkrét célkitűzés részösszege</w:t>
            </w:r>
          </w:p>
        </w:tc>
        <w:tc>
          <w:tcPr>
            <w:tcW w:w="504" w:type="dxa"/>
            <w:tcBorders>
              <w:bottom w:val="single" w:sz="12" w:space="0" w:color="auto"/>
            </w:tcBorders>
          </w:tcPr>
          <w:p w14:paraId="306459B2" w14:textId="77777777" w:rsidR="007D7104" w:rsidRPr="006601BC" w:rsidRDefault="007D7104" w:rsidP="00190BB5">
            <w:pPr>
              <w:ind w:right="-29"/>
              <w:jc w:val="center"/>
              <w:rPr>
                <w:noProof/>
                <w:sz w:val="18"/>
                <w:szCs w:val="18"/>
              </w:rPr>
            </w:pPr>
          </w:p>
        </w:tc>
        <w:tc>
          <w:tcPr>
            <w:tcW w:w="720" w:type="dxa"/>
            <w:tcBorders>
              <w:bottom w:val="single" w:sz="12" w:space="0" w:color="auto"/>
            </w:tcBorders>
          </w:tcPr>
          <w:p w14:paraId="14D1DE21" w14:textId="77777777" w:rsidR="007D7104" w:rsidRPr="006601BC" w:rsidRDefault="007D7104" w:rsidP="00190BB5">
            <w:pPr>
              <w:ind w:right="-29"/>
              <w:jc w:val="center"/>
              <w:rPr>
                <w:noProof/>
                <w:sz w:val="18"/>
                <w:szCs w:val="18"/>
              </w:rPr>
            </w:pPr>
          </w:p>
        </w:tc>
        <w:tc>
          <w:tcPr>
            <w:tcW w:w="540" w:type="dxa"/>
            <w:tcBorders>
              <w:bottom w:val="single" w:sz="12" w:space="0" w:color="auto"/>
            </w:tcBorders>
          </w:tcPr>
          <w:p w14:paraId="52435102" w14:textId="77777777" w:rsidR="007D7104" w:rsidRPr="006601BC" w:rsidRDefault="007D7104" w:rsidP="00190BB5">
            <w:pPr>
              <w:ind w:right="-29"/>
              <w:jc w:val="center"/>
              <w:rPr>
                <w:noProof/>
                <w:sz w:val="18"/>
                <w:szCs w:val="18"/>
              </w:rPr>
            </w:pPr>
          </w:p>
        </w:tc>
        <w:tc>
          <w:tcPr>
            <w:tcW w:w="720" w:type="dxa"/>
            <w:tcBorders>
              <w:bottom w:val="single" w:sz="12" w:space="0" w:color="auto"/>
            </w:tcBorders>
          </w:tcPr>
          <w:p w14:paraId="7B879C54" w14:textId="77777777" w:rsidR="007D7104" w:rsidRPr="006601BC" w:rsidRDefault="007D7104" w:rsidP="00190BB5">
            <w:pPr>
              <w:ind w:right="-29"/>
              <w:jc w:val="center"/>
              <w:rPr>
                <w:noProof/>
                <w:sz w:val="18"/>
                <w:szCs w:val="18"/>
              </w:rPr>
            </w:pPr>
          </w:p>
        </w:tc>
        <w:tc>
          <w:tcPr>
            <w:tcW w:w="720" w:type="dxa"/>
            <w:tcBorders>
              <w:bottom w:val="single" w:sz="12" w:space="0" w:color="auto"/>
            </w:tcBorders>
          </w:tcPr>
          <w:p w14:paraId="1C854438" w14:textId="77777777" w:rsidR="007D7104" w:rsidRPr="006601BC" w:rsidRDefault="007D7104" w:rsidP="00190BB5">
            <w:pPr>
              <w:ind w:right="-29"/>
              <w:jc w:val="center"/>
              <w:rPr>
                <w:noProof/>
                <w:sz w:val="18"/>
                <w:szCs w:val="18"/>
              </w:rPr>
            </w:pPr>
          </w:p>
        </w:tc>
        <w:tc>
          <w:tcPr>
            <w:tcW w:w="720" w:type="dxa"/>
            <w:tcBorders>
              <w:bottom w:val="single" w:sz="12" w:space="0" w:color="auto"/>
            </w:tcBorders>
          </w:tcPr>
          <w:p w14:paraId="3F96DC01" w14:textId="77777777" w:rsidR="007D7104" w:rsidRPr="006601BC" w:rsidRDefault="007D7104" w:rsidP="00190BB5">
            <w:pPr>
              <w:ind w:right="-29"/>
              <w:jc w:val="center"/>
              <w:rPr>
                <w:noProof/>
                <w:sz w:val="18"/>
                <w:szCs w:val="18"/>
              </w:rPr>
            </w:pPr>
          </w:p>
        </w:tc>
        <w:tc>
          <w:tcPr>
            <w:tcW w:w="900" w:type="dxa"/>
            <w:tcBorders>
              <w:bottom w:val="single" w:sz="12" w:space="0" w:color="auto"/>
            </w:tcBorders>
          </w:tcPr>
          <w:p w14:paraId="1982ED07" w14:textId="77777777" w:rsidR="007D7104" w:rsidRPr="006601BC" w:rsidRDefault="007D7104" w:rsidP="00190BB5">
            <w:pPr>
              <w:ind w:right="-29"/>
              <w:jc w:val="center"/>
              <w:rPr>
                <w:noProof/>
                <w:sz w:val="18"/>
                <w:szCs w:val="18"/>
              </w:rPr>
            </w:pPr>
          </w:p>
        </w:tc>
        <w:tc>
          <w:tcPr>
            <w:tcW w:w="720" w:type="dxa"/>
            <w:gridSpan w:val="2"/>
            <w:tcBorders>
              <w:bottom w:val="single" w:sz="12" w:space="0" w:color="auto"/>
            </w:tcBorders>
          </w:tcPr>
          <w:p w14:paraId="4ECBF724" w14:textId="77777777" w:rsidR="007D7104" w:rsidRPr="006601BC" w:rsidRDefault="007D7104" w:rsidP="00190BB5">
            <w:pPr>
              <w:ind w:right="-29"/>
              <w:jc w:val="center"/>
              <w:rPr>
                <w:noProof/>
                <w:sz w:val="18"/>
                <w:szCs w:val="18"/>
              </w:rPr>
            </w:pPr>
          </w:p>
        </w:tc>
        <w:tc>
          <w:tcPr>
            <w:tcW w:w="540" w:type="dxa"/>
            <w:tcBorders>
              <w:bottom w:val="single" w:sz="12" w:space="0" w:color="auto"/>
            </w:tcBorders>
          </w:tcPr>
          <w:p w14:paraId="01D4F281" w14:textId="77777777" w:rsidR="007D7104" w:rsidRPr="006601BC" w:rsidRDefault="007D7104" w:rsidP="00190BB5">
            <w:pPr>
              <w:ind w:right="-29"/>
              <w:jc w:val="center"/>
              <w:rPr>
                <w:noProof/>
                <w:sz w:val="18"/>
                <w:szCs w:val="18"/>
              </w:rPr>
            </w:pPr>
          </w:p>
        </w:tc>
        <w:tc>
          <w:tcPr>
            <w:tcW w:w="648" w:type="dxa"/>
            <w:tcBorders>
              <w:bottom w:val="single" w:sz="12" w:space="0" w:color="auto"/>
            </w:tcBorders>
          </w:tcPr>
          <w:p w14:paraId="6167EAD8" w14:textId="77777777" w:rsidR="007D7104" w:rsidRPr="006601BC" w:rsidRDefault="007D7104" w:rsidP="00190BB5">
            <w:pPr>
              <w:ind w:right="-29"/>
              <w:jc w:val="center"/>
              <w:rPr>
                <w:noProof/>
                <w:sz w:val="18"/>
                <w:szCs w:val="18"/>
              </w:rPr>
            </w:pPr>
          </w:p>
        </w:tc>
        <w:tc>
          <w:tcPr>
            <w:tcW w:w="432" w:type="dxa"/>
            <w:gridSpan w:val="2"/>
            <w:tcBorders>
              <w:bottom w:val="single" w:sz="12" w:space="0" w:color="auto"/>
            </w:tcBorders>
          </w:tcPr>
          <w:p w14:paraId="6AA95236" w14:textId="77777777" w:rsidR="007D7104" w:rsidRPr="006601BC" w:rsidRDefault="007D7104" w:rsidP="00190BB5">
            <w:pPr>
              <w:ind w:right="-29"/>
              <w:jc w:val="center"/>
              <w:rPr>
                <w:noProof/>
                <w:sz w:val="18"/>
                <w:szCs w:val="18"/>
              </w:rPr>
            </w:pPr>
          </w:p>
        </w:tc>
        <w:tc>
          <w:tcPr>
            <w:tcW w:w="720" w:type="dxa"/>
            <w:tcBorders>
              <w:bottom w:val="single" w:sz="12" w:space="0" w:color="auto"/>
            </w:tcBorders>
          </w:tcPr>
          <w:p w14:paraId="7CC3C81E" w14:textId="77777777" w:rsidR="007D7104" w:rsidRPr="006601BC" w:rsidRDefault="007D7104" w:rsidP="00190BB5">
            <w:pPr>
              <w:ind w:right="-29"/>
              <w:jc w:val="center"/>
              <w:rPr>
                <w:noProof/>
                <w:sz w:val="18"/>
                <w:szCs w:val="18"/>
              </w:rPr>
            </w:pPr>
          </w:p>
        </w:tc>
        <w:tc>
          <w:tcPr>
            <w:tcW w:w="540" w:type="dxa"/>
            <w:gridSpan w:val="2"/>
            <w:tcBorders>
              <w:bottom w:val="single" w:sz="12" w:space="0" w:color="auto"/>
            </w:tcBorders>
          </w:tcPr>
          <w:p w14:paraId="7DE11351" w14:textId="77777777" w:rsidR="007D7104" w:rsidRPr="006601BC" w:rsidRDefault="007D7104" w:rsidP="00190BB5">
            <w:pPr>
              <w:ind w:right="-29"/>
              <w:jc w:val="center"/>
              <w:rPr>
                <w:noProof/>
                <w:sz w:val="18"/>
                <w:szCs w:val="18"/>
              </w:rPr>
            </w:pPr>
          </w:p>
        </w:tc>
        <w:tc>
          <w:tcPr>
            <w:tcW w:w="720" w:type="dxa"/>
            <w:tcBorders>
              <w:bottom w:val="single" w:sz="12" w:space="0" w:color="auto"/>
            </w:tcBorders>
          </w:tcPr>
          <w:p w14:paraId="3EAF0456" w14:textId="77777777" w:rsidR="007D7104" w:rsidRPr="006601BC" w:rsidRDefault="007D7104" w:rsidP="00190BB5">
            <w:pPr>
              <w:ind w:right="-29"/>
              <w:jc w:val="center"/>
              <w:rPr>
                <w:noProof/>
                <w:sz w:val="18"/>
                <w:szCs w:val="18"/>
              </w:rPr>
            </w:pPr>
          </w:p>
        </w:tc>
        <w:tc>
          <w:tcPr>
            <w:tcW w:w="720" w:type="dxa"/>
            <w:tcBorders>
              <w:bottom w:val="single" w:sz="12" w:space="0" w:color="auto"/>
            </w:tcBorders>
          </w:tcPr>
          <w:p w14:paraId="5B461F19" w14:textId="77777777" w:rsidR="007D7104" w:rsidRPr="006601BC" w:rsidRDefault="007D7104" w:rsidP="00190BB5">
            <w:pPr>
              <w:ind w:right="-29"/>
              <w:jc w:val="center"/>
              <w:rPr>
                <w:noProof/>
                <w:sz w:val="18"/>
                <w:szCs w:val="18"/>
              </w:rPr>
            </w:pPr>
          </w:p>
        </w:tc>
        <w:tc>
          <w:tcPr>
            <w:tcW w:w="900" w:type="dxa"/>
            <w:tcBorders>
              <w:bottom w:val="single" w:sz="12" w:space="0" w:color="auto"/>
            </w:tcBorders>
          </w:tcPr>
          <w:p w14:paraId="2C23E357" w14:textId="77777777" w:rsidR="007D7104" w:rsidRPr="006601BC" w:rsidRDefault="007D7104" w:rsidP="00190BB5">
            <w:pPr>
              <w:ind w:right="-29"/>
              <w:jc w:val="center"/>
              <w:rPr>
                <w:noProof/>
                <w:sz w:val="18"/>
                <w:szCs w:val="18"/>
              </w:rPr>
            </w:pPr>
          </w:p>
        </w:tc>
      </w:tr>
      <w:tr w:rsidR="007D7104" w:rsidRPr="006601BC" w14:paraId="2F493A0E" w14:textId="77777777" w:rsidTr="00190BB5">
        <w:trPr>
          <w:jc w:val="center"/>
        </w:trPr>
        <w:tc>
          <w:tcPr>
            <w:tcW w:w="2844" w:type="dxa"/>
            <w:gridSpan w:val="3"/>
            <w:vAlign w:val="center"/>
          </w:tcPr>
          <w:p w14:paraId="4DA86859" w14:textId="77777777" w:rsidR="007D7104" w:rsidRPr="006601BC" w:rsidRDefault="007D7104" w:rsidP="00190BB5">
            <w:pPr>
              <w:spacing w:before="60" w:after="60"/>
              <w:ind w:right="-29"/>
              <w:jc w:val="center"/>
              <w:rPr>
                <w:noProof/>
                <w:sz w:val="18"/>
                <w:szCs w:val="18"/>
              </w:rPr>
            </w:pPr>
            <w:r w:rsidRPr="006601BC">
              <w:rPr>
                <w:noProof/>
                <w:sz w:val="18"/>
              </w:rPr>
              <w:t>2. KONKRÉT CÉLKITŰZÉS …</w:t>
            </w:r>
          </w:p>
        </w:tc>
        <w:tc>
          <w:tcPr>
            <w:tcW w:w="504" w:type="dxa"/>
            <w:tcBorders>
              <w:top w:val="nil"/>
              <w:left w:val="nil"/>
              <w:bottom w:val="nil"/>
              <w:right w:val="nil"/>
            </w:tcBorders>
          </w:tcPr>
          <w:p w14:paraId="50B7EB48" w14:textId="77777777" w:rsidR="007D7104" w:rsidRPr="006601BC" w:rsidRDefault="007D7104" w:rsidP="00190BB5">
            <w:pPr>
              <w:spacing w:before="60" w:after="60"/>
              <w:ind w:right="-29"/>
              <w:jc w:val="center"/>
              <w:rPr>
                <w:noProof/>
                <w:sz w:val="18"/>
                <w:szCs w:val="18"/>
              </w:rPr>
            </w:pPr>
          </w:p>
        </w:tc>
        <w:tc>
          <w:tcPr>
            <w:tcW w:w="720" w:type="dxa"/>
            <w:tcBorders>
              <w:top w:val="nil"/>
              <w:left w:val="nil"/>
              <w:bottom w:val="nil"/>
              <w:right w:val="nil"/>
            </w:tcBorders>
          </w:tcPr>
          <w:p w14:paraId="3ACA17E7" w14:textId="77777777" w:rsidR="007D7104" w:rsidRPr="006601BC" w:rsidRDefault="007D7104" w:rsidP="00190BB5">
            <w:pPr>
              <w:spacing w:before="60" w:after="60"/>
              <w:ind w:right="-29"/>
              <w:jc w:val="center"/>
              <w:rPr>
                <w:noProof/>
                <w:sz w:val="18"/>
                <w:szCs w:val="18"/>
              </w:rPr>
            </w:pPr>
          </w:p>
        </w:tc>
        <w:tc>
          <w:tcPr>
            <w:tcW w:w="540" w:type="dxa"/>
            <w:tcBorders>
              <w:top w:val="nil"/>
              <w:left w:val="nil"/>
              <w:bottom w:val="nil"/>
              <w:right w:val="nil"/>
            </w:tcBorders>
          </w:tcPr>
          <w:p w14:paraId="7603BE39" w14:textId="77777777" w:rsidR="007D7104" w:rsidRPr="006601BC" w:rsidRDefault="007D7104" w:rsidP="00190BB5">
            <w:pPr>
              <w:spacing w:before="60" w:after="60"/>
              <w:ind w:right="-29"/>
              <w:jc w:val="center"/>
              <w:rPr>
                <w:noProof/>
                <w:sz w:val="18"/>
                <w:szCs w:val="18"/>
              </w:rPr>
            </w:pPr>
          </w:p>
        </w:tc>
        <w:tc>
          <w:tcPr>
            <w:tcW w:w="720" w:type="dxa"/>
            <w:tcBorders>
              <w:top w:val="nil"/>
              <w:left w:val="nil"/>
              <w:bottom w:val="nil"/>
              <w:right w:val="nil"/>
            </w:tcBorders>
          </w:tcPr>
          <w:p w14:paraId="08A59196" w14:textId="77777777" w:rsidR="007D7104" w:rsidRPr="006601BC" w:rsidRDefault="007D7104" w:rsidP="00190BB5">
            <w:pPr>
              <w:spacing w:before="60" w:after="60"/>
              <w:ind w:right="-29"/>
              <w:jc w:val="center"/>
              <w:rPr>
                <w:noProof/>
                <w:sz w:val="18"/>
                <w:szCs w:val="18"/>
              </w:rPr>
            </w:pPr>
          </w:p>
        </w:tc>
        <w:tc>
          <w:tcPr>
            <w:tcW w:w="720" w:type="dxa"/>
            <w:tcBorders>
              <w:top w:val="nil"/>
              <w:left w:val="nil"/>
              <w:bottom w:val="nil"/>
              <w:right w:val="nil"/>
            </w:tcBorders>
          </w:tcPr>
          <w:p w14:paraId="52CEEB27" w14:textId="77777777" w:rsidR="007D7104" w:rsidRPr="006601BC" w:rsidRDefault="007D7104" w:rsidP="00190BB5">
            <w:pPr>
              <w:spacing w:before="60" w:after="60"/>
              <w:ind w:right="-29"/>
              <w:jc w:val="center"/>
              <w:rPr>
                <w:noProof/>
                <w:sz w:val="18"/>
                <w:szCs w:val="18"/>
              </w:rPr>
            </w:pPr>
          </w:p>
        </w:tc>
        <w:tc>
          <w:tcPr>
            <w:tcW w:w="720" w:type="dxa"/>
            <w:tcBorders>
              <w:top w:val="nil"/>
              <w:left w:val="nil"/>
              <w:bottom w:val="nil"/>
              <w:right w:val="nil"/>
            </w:tcBorders>
          </w:tcPr>
          <w:p w14:paraId="672011D4" w14:textId="77777777" w:rsidR="007D7104" w:rsidRPr="006601BC" w:rsidRDefault="007D7104" w:rsidP="00190BB5">
            <w:pPr>
              <w:spacing w:before="60" w:after="60"/>
              <w:ind w:right="-29"/>
              <w:jc w:val="center"/>
              <w:rPr>
                <w:noProof/>
                <w:sz w:val="18"/>
                <w:szCs w:val="18"/>
              </w:rPr>
            </w:pPr>
          </w:p>
        </w:tc>
        <w:tc>
          <w:tcPr>
            <w:tcW w:w="900" w:type="dxa"/>
            <w:tcBorders>
              <w:top w:val="nil"/>
              <w:left w:val="nil"/>
              <w:bottom w:val="nil"/>
              <w:right w:val="nil"/>
            </w:tcBorders>
          </w:tcPr>
          <w:p w14:paraId="5458E9FA" w14:textId="77777777" w:rsidR="007D7104" w:rsidRPr="006601BC" w:rsidRDefault="007D7104" w:rsidP="00190BB5">
            <w:pPr>
              <w:spacing w:before="60" w:after="60"/>
              <w:ind w:right="-29"/>
              <w:jc w:val="center"/>
              <w:rPr>
                <w:noProof/>
                <w:sz w:val="18"/>
                <w:szCs w:val="18"/>
              </w:rPr>
            </w:pPr>
          </w:p>
        </w:tc>
        <w:tc>
          <w:tcPr>
            <w:tcW w:w="720" w:type="dxa"/>
            <w:gridSpan w:val="2"/>
            <w:tcBorders>
              <w:top w:val="nil"/>
              <w:left w:val="nil"/>
              <w:bottom w:val="nil"/>
              <w:right w:val="nil"/>
            </w:tcBorders>
          </w:tcPr>
          <w:p w14:paraId="7214EE3D" w14:textId="77777777" w:rsidR="007D7104" w:rsidRPr="006601BC" w:rsidRDefault="007D7104" w:rsidP="00190BB5">
            <w:pPr>
              <w:spacing w:before="60" w:after="60"/>
              <w:ind w:right="-29"/>
              <w:jc w:val="center"/>
              <w:rPr>
                <w:noProof/>
                <w:sz w:val="18"/>
                <w:szCs w:val="18"/>
              </w:rPr>
            </w:pPr>
          </w:p>
        </w:tc>
        <w:tc>
          <w:tcPr>
            <w:tcW w:w="540" w:type="dxa"/>
            <w:tcBorders>
              <w:top w:val="nil"/>
              <w:left w:val="nil"/>
              <w:bottom w:val="nil"/>
              <w:right w:val="nil"/>
            </w:tcBorders>
          </w:tcPr>
          <w:p w14:paraId="280492DF" w14:textId="77777777" w:rsidR="007D7104" w:rsidRPr="006601BC" w:rsidRDefault="007D7104" w:rsidP="00190BB5">
            <w:pPr>
              <w:spacing w:before="60" w:after="60"/>
              <w:ind w:right="-29"/>
              <w:jc w:val="center"/>
              <w:rPr>
                <w:noProof/>
                <w:sz w:val="18"/>
                <w:szCs w:val="18"/>
              </w:rPr>
            </w:pPr>
          </w:p>
        </w:tc>
        <w:tc>
          <w:tcPr>
            <w:tcW w:w="648" w:type="dxa"/>
            <w:tcBorders>
              <w:top w:val="nil"/>
              <w:left w:val="nil"/>
              <w:bottom w:val="nil"/>
              <w:right w:val="nil"/>
            </w:tcBorders>
          </w:tcPr>
          <w:p w14:paraId="52834077" w14:textId="77777777" w:rsidR="007D7104" w:rsidRPr="006601BC" w:rsidRDefault="007D7104" w:rsidP="00190BB5">
            <w:pPr>
              <w:spacing w:before="60" w:after="60"/>
              <w:ind w:right="-29"/>
              <w:jc w:val="center"/>
              <w:rPr>
                <w:noProof/>
                <w:sz w:val="18"/>
                <w:szCs w:val="18"/>
              </w:rPr>
            </w:pPr>
          </w:p>
        </w:tc>
        <w:tc>
          <w:tcPr>
            <w:tcW w:w="432" w:type="dxa"/>
            <w:gridSpan w:val="2"/>
            <w:tcBorders>
              <w:top w:val="nil"/>
              <w:left w:val="nil"/>
              <w:bottom w:val="nil"/>
              <w:right w:val="nil"/>
            </w:tcBorders>
          </w:tcPr>
          <w:p w14:paraId="104CEBB3" w14:textId="77777777" w:rsidR="007D7104" w:rsidRPr="006601BC" w:rsidRDefault="007D7104" w:rsidP="00190BB5">
            <w:pPr>
              <w:spacing w:before="60" w:after="60"/>
              <w:ind w:right="-29"/>
              <w:jc w:val="center"/>
              <w:rPr>
                <w:noProof/>
                <w:sz w:val="18"/>
                <w:szCs w:val="18"/>
              </w:rPr>
            </w:pPr>
          </w:p>
        </w:tc>
        <w:tc>
          <w:tcPr>
            <w:tcW w:w="720" w:type="dxa"/>
            <w:tcBorders>
              <w:top w:val="nil"/>
              <w:left w:val="nil"/>
              <w:bottom w:val="nil"/>
              <w:right w:val="nil"/>
            </w:tcBorders>
          </w:tcPr>
          <w:p w14:paraId="71FAFD07" w14:textId="77777777" w:rsidR="007D7104" w:rsidRPr="006601BC" w:rsidRDefault="007D7104" w:rsidP="00190BB5">
            <w:pPr>
              <w:spacing w:before="60" w:after="60"/>
              <w:ind w:right="-29"/>
              <w:jc w:val="center"/>
              <w:rPr>
                <w:noProof/>
                <w:sz w:val="18"/>
                <w:szCs w:val="18"/>
              </w:rPr>
            </w:pPr>
          </w:p>
        </w:tc>
        <w:tc>
          <w:tcPr>
            <w:tcW w:w="540" w:type="dxa"/>
            <w:gridSpan w:val="2"/>
            <w:tcBorders>
              <w:top w:val="nil"/>
              <w:left w:val="nil"/>
              <w:bottom w:val="nil"/>
              <w:right w:val="nil"/>
            </w:tcBorders>
          </w:tcPr>
          <w:p w14:paraId="44C9EEED" w14:textId="77777777" w:rsidR="007D7104" w:rsidRPr="006601BC" w:rsidRDefault="007D7104" w:rsidP="00190BB5">
            <w:pPr>
              <w:spacing w:before="60" w:after="60"/>
              <w:ind w:right="-29"/>
              <w:jc w:val="center"/>
              <w:rPr>
                <w:noProof/>
                <w:sz w:val="18"/>
                <w:szCs w:val="18"/>
              </w:rPr>
            </w:pPr>
          </w:p>
        </w:tc>
        <w:tc>
          <w:tcPr>
            <w:tcW w:w="720" w:type="dxa"/>
            <w:tcBorders>
              <w:top w:val="nil"/>
              <w:left w:val="nil"/>
              <w:bottom w:val="nil"/>
              <w:right w:val="nil"/>
            </w:tcBorders>
          </w:tcPr>
          <w:p w14:paraId="11DFDDD5" w14:textId="77777777" w:rsidR="007D7104" w:rsidRPr="006601BC" w:rsidRDefault="007D7104" w:rsidP="00190BB5">
            <w:pPr>
              <w:spacing w:before="60" w:after="60"/>
              <w:ind w:right="-29"/>
              <w:jc w:val="center"/>
              <w:rPr>
                <w:noProof/>
                <w:sz w:val="18"/>
                <w:szCs w:val="18"/>
              </w:rPr>
            </w:pPr>
          </w:p>
        </w:tc>
        <w:tc>
          <w:tcPr>
            <w:tcW w:w="720" w:type="dxa"/>
            <w:tcBorders>
              <w:top w:val="nil"/>
              <w:left w:val="nil"/>
              <w:bottom w:val="nil"/>
              <w:right w:val="nil"/>
            </w:tcBorders>
          </w:tcPr>
          <w:p w14:paraId="544DDECA" w14:textId="77777777" w:rsidR="007D7104" w:rsidRPr="006601BC" w:rsidRDefault="007D7104" w:rsidP="00190BB5">
            <w:pPr>
              <w:spacing w:before="60" w:after="60"/>
              <w:ind w:right="-29"/>
              <w:jc w:val="center"/>
              <w:rPr>
                <w:noProof/>
                <w:sz w:val="18"/>
                <w:szCs w:val="18"/>
              </w:rPr>
            </w:pPr>
          </w:p>
        </w:tc>
        <w:tc>
          <w:tcPr>
            <w:tcW w:w="900" w:type="dxa"/>
            <w:tcBorders>
              <w:top w:val="nil"/>
              <w:left w:val="nil"/>
              <w:bottom w:val="nil"/>
              <w:right w:val="nil"/>
            </w:tcBorders>
          </w:tcPr>
          <w:p w14:paraId="4A68BDE1" w14:textId="77777777" w:rsidR="007D7104" w:rsidRPr="006601BC" w:rsidRDefault="007D7104" w:rsidP="00190BB5">
            <w:pPr>
              <w:spacing w:before="60" w:after="60"/>
              <w:ind w:right="-29"/>
              <w:jc w:val="center"/>
              <w:rPr>
                <w:noProof/>
                <w:sz w:val="18"/>
                <w:szCs w:val="18"/>
              </w:rPr>
            </w:pPr>
          </w:p>
        </w:tc>
      </w:tr>
      <w:tr w:rsidR="007D7104" w:rsidRPr="006601BC" w14:paraId="5544AE79" w14:textId="77777777" w:rsidTr="00190BB5">
        <w:trPr>
          <w:trHeight w:hRule="exact" w:val="369"/>
          <w:jc w:val="center"/>
        </w:trPr>
        <w:tc>
          <w:tcPr>
            <w:tcW w:w="1423" w:type="dxa"/>
          </w:tcPr>
          <w:p w14:paraId="2744F258" w14:textId="77777777" w:rsidR="007D7104" w:rsidRPr="006601BC" w:rsidRDefault="007D7104" w:rsidP="00190BB5">
            <w:pPr>
              <w:ind w:right="-29"/>
              <w:jc w:val="center"/>
              <w:rPr>
                <w:noProof/>
                <w:sz w:val="18"/>
                <w:szCs w:val="18"/>
              </w:rPr>
            </w:pPr>
            <w:r w:rsidRPr="006601BC">
              <w:rPr>
                <w:noProof/>
                <w:sz w:val="18"/>
              </w:rPr>
              <w:t>- Kimenet</w:t>
            </w:r>
          </w:p>
        </w:tc>
        <w:tc>
          <w:tcPr>
            <w:tcW w:w="720" w:type="dxa"/>
          </w:tcPr>
          <w:p w14:paraId="1B11E9D8" w14:textId="77777777" w:rsidR="007D7104" w:rsidRPr="006601BC" w:rsidRDefault="007D7104" w:rsidP="00190BB5">
            <w:pPr>
              <w:ind w:right="-29"/>
              <w:jc w:val="center"/>
              <w:rPr>
                <w:noProof/>
                <w:sz w:val="18"/>
                <w:szCs w:val="18"/>
              </w:rPr>
            </w:pPr>
          </w:p>
        </w:tc>
        <w:tc>
          <w:tcPr>
            <w:tcW w:w="701" w:type="dxa"/>
          </w:tcPr>
          <w:p w14:paraId="1944CF13" w14:textId="77777777" w:rsidR="007D7104" w:rsidRPr="006601BC" w:rsidRDefault="007D7104" w:rsidP="00190BB5">
            <w:pPr>
              <w:ind w:right="-29"/>
              <w:jc w:val="center"/>
              <w:rPr>
                <w:noProof/>
                <w:sz w:val="18"/>
                <w:szCs w:val="18"/>
              </w:rPr>
            </w:pPr>
          </w:p>
        </w:tc>
        <w:tc>
          <w:tcPr>
            <w:tcW w:w="504" w:type="dxa"/>
          </w:tcPr>
          <w:p w14:paraId="7FC8C9F0" w14:textId="77777777" w:rsidR="007D7104" w:rsidRPr="006601BC" w:rsidRDefault="007D7104" w:rsidP="00190BB5">
            <w:pPr>
              <w:ind w:right="-29"/>
              <w:jc w:val="center"/>
              <w:rPr>
                <w:noProof/>
                <w:sz w:val="18"/>
                <w:szCs w:val="18"/>
              </w:rPr>
            </w:pPr>
          </w:p>
        </w:tc>
        <w:tc>
          <w:tcPr>
            <w:tcW w:w="720" w:type="dxa"/>
          </w:tcPr>
          <w:p w14:paraId="54F80BAD" w14:textId="77777777" w:rsidR="007D7104" w:rsidRPr="006601BC" w:rsidRDefault="007D7104" w:rsidP="00190BB5">
            <w:pPr>
              <w:ind w:right="-29"/>
              <w:jc w:val="center"/>
              <w:rPr>
                <w:noProof/>
                <w:sz w:val="18"/>
                <w:szCs w:val="18"/>
              </w:rPr>
            </w:pPr>
          </w:p>
        </w:tc>
        <w:tc>
          <w:tcPr>
            <w:tcW w:w="540" w:type="dxa"/>
          </w:tcPr>
          <w:p w14:paraId="4AE4BFB1" w14:textId="77777777" w:rsidR="007D7104" w:rsidRPr="006601BC" w:rsidRDefault="007D7104" w:rsidP="00190BB5">
            <w:pPr>
              <w:ind w:right="-29"/>
              <w:jc w:val="center"/>
              <w:rPr>
                <w:noProof/>
                <w:sz w:val="18"/>
                <w:szCs w:val="18"/>
              </w:rPr>
            </w:pPr>
          </w:p>
        </w:tc>
        <w:tc>
          <w:tcPr>
            <w:tcW w:w="720" w:type="dxa"/>
          </w:tcPr>
          <w:p w14:paraId="449ACCF5" w14:textId="77777777" w:rsidR="007D7104" w:rsidRPr="006601BC" w:rsidRDefault="007D7104" w:rsidP="00190BB5">
            <w:pPr>
              <w:ind w:right="-29"/>
              <w:jc w:val="center"/>
              <w:rPr>
                <w:noProof/>
                <w:sz w:val="18"/>
                <w:szCs w:val="18"/>
              </w:rPr>
            </w:pPr>
          </w:p>
        </w:tc>
        <w:tc>
          <w:tcPr>
            <w:tcW w:w="720" w:type="dxa"/>
          </w:tcPr>
          <w:p w14:paraId="01B59CD0" w14:textId="77777777" w:rsidR="007D7104" w:rsidRPr="006601BC" w:rsidRDefault="007D7104" w:rsidP="00190BB5">
            <w:pPr>
              <w:ind w:right="-29"/>
              <w:jc w:val="center"/>
              <w:rPr>
                <w:noProof/>
                <w:sz w:val="18"/>
                <w:szCs w:val="18"/>
              </w:rPr>
            </w:pPr>
          </w:p>
        </w:tc>
        <w:tc>
          <w:tcPr>
            <w:tcW w:w="720" w:type="dxa"/>
          </w:tcPr>
          <w:p w14:paraId="2F4D87D1" w14:textId="77777777" w:rsidR="007D7104" w:rsidRPr="006601BC" w:rsidRDefault="007D7104" w:rsidP="00190BB5">
            <w:pPr>
              <w:ind w:right="-29"/>
              <w:jc w:val="center"/>
              <w:rPr>
                <w:noProof/>
                <w:sz w:val="18"/>
                <w:szCs w:val="18"/>
              </w:rPr>
            </w:pPr>
          </w:p>
        </w:tc>
        <w:tc>
          <w:tcPr>
            <w:tcW w:w="900" w:type="dxa"/>
          </w:tcPr>
          <w:p w14:paraId="4C6035DE" w14:textId="77777777" w:rsidR="007D7104" w:rsidRPr="006601BC" w:rsidRDefault="007D7104" w:rsidP="00190BB5">
            <w:pPr>
              <w:ind w:right="-29"/>
              <w:jc w:val="center"/>
              <w:rPr>
                <w:noProof/>
                <w:sz w:val="18"/>
                <w:szCs w:val="18"/>
              </w:rPr>
            </w:pPr>
          </w:p>
        </w:tc>
        <w:tc>
          <w:tcPr>
            <w:tcW w:w="720" w:type="dxa"/>
            <w:gridSpan w:val="2"/>
          </w:tcPr>
          <w:p w14:paraId="21FF676F" w14:textId="77777777" w:rsidR="007D7104" w:rsidRPr="006601BC" w:rsidRDefault="007D7104" w:rsidP="00190BB5">
            <w:pPr>
              <w:ind w:right="-29"/>
              <w:jc w:val="center"/>
              <w:rPr>
                <w:noProof/>
                <w:sz w:val="18"/>
                <w:szCs w:val="18"/>
              </w:rPr>
            </w:pPr>
          </w:p>
        </w:tc>
        <w:tc>
          <w:tcPr>
            <w:tcW w:w="540" w:type="dxa"/>
          </w:tcPr>
          <w:p w14:paraId="5E2FC25F" w14:textId="77777777" w:rsidR="007D7104" w:rsidRPr="006601BC" w:rsidRDefault="007D7104" w:rsidP="00190BB5">
            <w:pPr>
              <w:ind w:right="-29"/>
              <w:jc w:val="center"/>
              <w:rPr>
                <w:noProof/>
                <w:sz w:val="18"/>
                <w:szCs w:val="18"/>
              </w:rPr>
            </w:pPr>
          </w:p>
        </w:tc>
        <w:tc>
          <w:tcPr>
            <w:tcW w:w="648" w:type="dxa"/>
          </w:tcPr>
          <w:p w14:paraId="6940A76D" w14:textId="77777777" w:rsidR="007D7104" w:rsidRPr="006601BC" w:rsidRDefault="007D7104" w:rsidP="00190BB5">
            <w:pPr>
              <w:ind w:right="-29"/>
              <w:jc w:val="center"/>
              <w:rPr>
                <w:noProof/>
                <w:sz w:val="18"/>
                <w:szCs w:val="18"/>
              </w:rPr>
            </w:pPr>
          </w:p>
        </w:tc>
        <w:tc>
          <w:tcPr>
            <w:tcW w:w="432" w:type="dxa"/>
            <w:gridSpan w:val="2"/>
          </w:tcPr>
          <w:p w14:paraId="7063F688" w14:textId="77777777" w:rsidR="007D7104" w:rsidRPr="006601BC" w:rsidRDefault="007D7104" w:rsidP="00190BB5">
            <w:pPr>
              <w:ind w:right="-29"/>
              <w:jc w:val="center"/>
              <w:rPr>
                <w:noProof/>
                <w:sz w:val="18"/>
                <w:szCs w:val="18"/>
              </w:rPr>
            </w:pPr>
          </w:p>
        </w:tc>
        <w:tc>
          <w:tcPr>
            <w:tcW w:w="720" w:type="dxa"/>
          </w:tcPr>
          <w:p w14:paraId="45F5BBDD" w14:textId="77777777" w:rsidR="007D7104" w:rsidRPr="006601BC" w:rsidRDefault="007D7104" w:rsidP="00190BB5">
            <w:pPr>
              <w:ind w:right="-29"/>
              <w:jc w:val="center"/>
              <w:rPr>
                <w:noProof/>
                <w:sz w:val="18"/>
                <w:szCs w:val="18"/>
              </w:rPr>
            </w:pPr>
          </w:p>
        </w:tc>
        <w:tc>
          <w:tcPr>
            <w:tcW w:w="540" w:type="dxa"/>
            <w:gridSpan w:val="2"/>
          </w:tcPr>
          <w:p w14:paraId="7F34DBE2" w14:textId="77777777" w:rsidR="007D7104" w:rsidRPr="006601BC" w:rsidRDefault="007D7104" w:rsidP="00190BB5">
            <w:pPr>
              <w:ind w:right="-29"/>
              <w:jc w:val="center"/>
              <w:rPr>
                <w:noProof/>
                <w:sz w:val="18"/>
                <w:szCs w:val="18"/>
              </w:rPr>
            </w:pPr>
          </w:p>
        </w:tc>
        <w:tc>
          <w:tcPr>
            <w:tcW w:w="720" w:type="dxa"/>
          </w:tcPr>
          <w:p w14:paraId="29E45BB3" w14:textId="77777777" w:rsidR="007D7104" w:rsidRPr="006601BC" w:rsidRDefault="007D7104" w:rsidP="00190BB5">
            <w:pPr>
              <w:ind w:right="-29"/>
              <w:jc w:val="center"/>
              <w:rPr>
                <w:noProof/>
                <w:sz w:val="18"/>
                <w:szCs w:val="18"/>
              </w:rPr>
            </w:pPr>
          </w:p>
        </w:tc>
        <w:tc>
          <w:tcPr>
            <w:tcW w:w="720" w:type="dxa"/>
          </w:tcPr>
          <w:p w14:paraId="389E9966" w14:textId="77777777" w:rsidR="007D7104" w:rsidRPr="006601BC" w:rsidRDefault="007D7104" w:rsidP="00190BB5">
            <w:pPr>
              <w:ind w:right="-29"/>
              <w:jc w:val="center"/>
              <w:rPr>
                <w:noProof/>
                <w:sz w:val="18"/>
                <w:szCs w:val="18"/>
              </w:rPr>
            </w:pPr>
          </w:p>
        </w:tc>
        <w:tc>
          <w:tcPr>
            <w:tcW w:w="900" w:type="dxa"/>
          </w:tcPr>
          <w:p w14:paraId="376FC0D0" w14:textId="77777777" w:rsidR="007D7104" w:rsidRPr="006601BC" w:rsidRDefault="007D7104" w:rsidP="00190BB5">
            <w:pPr>
              <w:ind w:right="-29"/>
              <w:jc w:val="center"/>
              <w:rPr>
                <w:noProof/>
                <w:sz w:val="18"/>
                <w:szCs w:val="18"/>
              </w:rPr>
            </w:pPr>
          </w:p>
        </w:tc>
      </w:tr>
      <w:tr w:rsidR="007D7104" w:rsidRPr="006601BC" w14:paraId="71D46483" w14:textId="77777777" w:rsidTr="00190BB5">
        <w:trPr>
          <w:jc w:val="center"/>
        </w:trPr>
        <w:tc>
          <w:tcPr>
            <w:tcW w:w="2844" w:type="dxa"/>
            <w:gridSpan w:val="3"/>
            <w:tcBorders>
              <w:bottom w:val="single" w:sz="12" w:space="0" w:color="auto"/>
            </w:tcBorders>
            <w:vAlign w:val="center"/>
          </w:tcPr>
          <w:p w14:paraId="46E639AA" w14:textId="77777777" w:rsidR="007D7104" w:rsidRPr="006601BC" w:rsidRDefault="007D7104" w:rsidP="00190BB5">
            <w:pPr>
              <w:jc w:val="center"/>
              <w:rPr>
                <w:noProof/>
                <w:sz w:val="18"/>
                <w:szCs w:val="18"/>
              </w:rPr>
            </w:pPr>
            <w:r w:rsidRPr="006601BC">
              <w:rPr>
                <w:noProof/>
                <w:sz w:val="18"/>
              </w:rPr>
              <w:t>2. konkrét célkitűzés részösszege</w:t>
            </w:r>
          </w:p>
        </w:tc>
        <w:tc>
          <w:tcPr>
            <w:tcW w:w="504" w:type="dxa"/>
            <w:tcBorders>
              <w:bottom w:val="single" w:sz="12" w:space="0" w:color="auto"/>
            </w:tcBorders>
          </w:tcPr>
          <w:p w14:paraId="093F0335" w14:textId="77777777" w:rsidR="007D7104" w:rsidRPr="006601BC" w:rsidRDefault="007D7104" w:rsidP="00190BB5">
            <w:pPr>
              <w:ind w:right="-29"/>
              <w:jc w:val="center"/>
              <w:rPr>
                <w:noProof/>
                <w:sz w:val="18"/>
                <w:szCs w:val="18"/>
              </w:rPr>
            </w:pPr>
          </w:p>
        </w:tc>
        <w:tc>
          <w:tcPr>
            <w:tcW w:w="720" w:type="dxa"/>
            <w:tcBorders>
              <w:bottom w:val="single" w:sz="12" w:space="0" w:color="auto"/>
            </w:tcBorders>
          </w:tcPr>
          <w:p w14:paraId="516AB091" w14:textId="77777777" w:rsidR="007D7104" w:rsidRPr="006601BC" w:rsidRDefault="007D7104" w:rsidP="00190BB5">
            <w:pPr>
              <w:ind w:right="-29"/>
              <w:jc w:val="center"/>
              <w:rPr>
                <w:noProof/>
                <w:sz w:val="18"/>
                <w:szCs w:val="18"/>
              </w:rPr>
            </w:pPr>
          </w:p>
        </w:tc>
        <w:tc>
          <w:tcPr>
            <w:tcW w:w="540" w:type="dxa"/>
            <w:tcBorders>
              <w:bottom w:val="single" w:sz="12" w:space="0" w:color="auto"/>
            </w:tcBorders>
          </w:tcPr>
          <w:p w14:paraId="050479E1" w14:textId="77777777" w:rsidR="007D7104" w:rsidRPr="006601BC" w:rsidRDefault="007D7104" w:rsidP="00190BB5">
            <w:pPr>
              <w:ind w:right="-29"/>
              <w:jc w:val="center"/>
              <w:rPr>
                <w:noProof/>
                <w:sz w:val="18"/>
                <w:szCs w:val="18"/>
              </w:rPr>
            </w:pPr>
          </w:p>
        </w:tc>
        <w:tc>
          <w:tcPr>
            <w:tcW w:w="720" w:type="dxa"/>
            <w:tcBorders>
              <w:bottom w:val="single" w:sz="12" w:space="0" w:color="auto"/>
            </w:tcBorders>
          </w:tcPr>
          <w:p w14:paraId="17C45FFE" w14:textId="77777777" w:rsidR="007D7104" w:rsidRPr="006601BC" w:rsidRDefault="007D7104" w:rsidP="00190BB5">
            <w:pPr>
              <w:ind w:right="-29"/>
              <w:jc w:val="center"/>
              <w:rPr>
                <w:noProof/>
                <w:sz w:val="18"/>
                <w:szCs w:val="18"/>
              </w:rPr>
            </w:pPr>
          </w:p>
        </w:tc>
        <w:tc>
          <w:tcPr>
            <w:tcW w:w="720" w:type="dxa"/>
            <w:tcBorders>
              <w:bottom w:val="single" w:sz="12" w:space="0" w:color="auto"/>
            </w:tcBorders>
          </w:tcPr>
          <w:p w14:paraId="63A3500A" w14:textId="77777777" w:rsidR="007D7104" w:rsidRPr="006601BC" w:rsidRDefault="007D7104" w:rsidP="00190BB5">
            <w:pPr>
              <w:ind w:right="-29"/>
              <w:jc w:val="center"/>
              <w:rPr>
                <w:noProof/>
                <w:sz w:val="18"/>
                <w:szCs w:val="18"/>
              </w:rPr>
            </w:pPr>
          </w:p>
        </w:tc>
        <w:tc>
          <w:tcPr>
            <w:tcW w:w="720" w:type="dxa"/>
            <w:tcBorders>
              <w:bottom w:val="single" w:sz="12" w:space="0" w:color="auto"/>
            </w:tcBorders>
          </w:tcPr>
          <w:p w14:paraId="0B427564" w14:textId="77777777" w:rsidR="007D7104" w:rsidRPr="006601BC" w:rsidRDefault="007D7104" w:rsidP="00190BB5">
            <w:pPr>
              <w:ind w:right="-29"/>
              <w:jc w:val="center"/>
              <w:rPr>
                <w:noProof/>
                <w:sz w:val="18"/>
                <w:szCs w:val="18"/>
              </w:rPr>
            </w:pPr>
          </w:p>
        </w:tc>
        <w:tc>
          <w:tcPr>
            <w:tcW w:w="951" w:type="dxa"/>
            <w:gridSpan w:val="2"/>
            <w:tcBorders>
              <w:bottom w:val="single" w:sz="12" w:space="0" w:color="auto"/>
            </w:tcBorders>
          </w:tcPr>
          <w:p w14:paraId="0F9E2412" w14:textId="77777777" w:rsidR="007D7104" w:rsidRPr="006601BC" w:rsidRDefault="007D7104" w:rsidP="00190BB5">
            <w:pPr>
              <w:ind w:right="-29"/>
              <w:jc w:val="center"/>
              <w:rPr>
                <w:noProof/>
                <w:sz w:val="18"/>
                <w:szCs w:val="18"/>
              </w:rPr>
            </w:pPr>
          </w:p>
        </w:tc>
        <w:tc>
          <w:tcPr>
            <w:tcW w:w="669" w:type="dxa"/>
            <w:tcBorders>
              <w:bottom w:val="single" w:sz="12" w:space="0" w:color="auto"/>
            </w:tcBorders>
          </w:tcPr>
          <w:p w14:paraId="40DA767E" w14:textId="77777777" w:rsidR="007D7104" w:rsidRPr="006601BC" w:rsidRDefault="007D7104" w:rsidP="00190BB5">
            <w:pPr>
              <w:ind w:right="-29"/>
              <w:jc w:val="center"/>
              <w:rPr>
                <w:noProof/>
                <w:sz w:val="18"/>
                <w:szCs w:val="18"/>
              </w:rPr>
            </w:pPr>
          </w:p>
        </w:tc>
        <w:tc>
          <w:tcPr>
            <w:tcW w:w="540" w:type="dxa"/>
            <w:tcBorders>
              <w:bottom w:val="single" w:sz="12" w:space="0" w:color="auto"/>
            </w:tcBorders>
          </w:tcPr>
          <w:p w14:paraId="1800A335" w14:textId="77777777" w:rsidR="007D7104" w:rsidRPr="006601BC" w:rsidRDefault="007D7104" w:rsidP="00190BB5">
            <w:pPr>
              <w:ind w:right="-29"/>
              <w:jc w:val="center"/>
              <w:rPr>
                <w:noProof/>
                <w:sz w:val="18"/>
                <w:szCs w:val="18"/>
              </w:rPr>
            </w:pPr>
          </w:p>
        </w:tc>
        <w:tc>
          <w:tcPr>
            <w:tcW w:w="648" w:type="dxa"/>
            <w:tcBorders>
              <w:bottom w:val="single" w:sz="12" w:space="0" w:color="auto"/>
            </w:tcBorders>
          </w:tcPr>
          <w:p w14:paraId="6B81DD27" w14:textId="77777777" w:rsidR="007D7104" w:rsidRPr="006601BC" w:rsidRDefault="007D7104" w:rsidP="00190BB5">
            <w:pPr>
              <w:ind w:right="-29"/>
              <w:jc w:val="center"/>
              <w:rPr>
                <w:noProof/>
                <w:sz w:val="18"/>
                <w:szCs w:val="18"/>
              </w:rPr>
            </w:pPr>
          </w:p>
        </w:tc>
        <w:tc>
          <w:tcPr>
            <w:tcW w:w="432" w:type="dxa"/>
            <w:gridSpan w:val="2"/>
            <w:tcBorders>
              <w:bottom w:val="single" w:sz="12" w:space="0" w:color="auto"/>
            </w:tcBorders>
          </w:tcPr>
          <w:p w14:paraId="700E0425" w14:textId="77777777" w:rsidR="007D7104" w:rsidRPr="006601BC" w:rsidRDefault="007D7104" w:rsidP="00190BB5">
            <w:pPr>
              <w:ind w:right="-29"/>
              <w:jc w:val="center"/>
              <w:rPr>
                <w:noProof/>
                <w:sz w:val="18"/>
                <w:szCs w:val="18"/>
              </w:rPr>
            </w:pPr>
          </w:p>
        </w:tc>
        <w:tc>
          <w:tcPr>
            <w:tcW w:w="720" w:type="dxa"/>
            <w:tcBorders>
              <w:bottom w:val="single" w:sz="12" w:space="0" w:color="auto"/>
            </w:tcBorders>
          </w:tcPr>
          <w:p w14:paraId="64C1FDB2" w14:textId="77777777" w:rsidR="007D7104" w:rsidRPr="006601BC" w:rsidRDefault="007D7104" w:rsidP="00190BB5">
            <w:pPr>
              <w:ind w:right="-29"/>
              <w:jc w:val="center"/>
              <w:rPr>
                <w:noProof/>
                <w:sz w:val="18"/>
                <w:szCs w:val="18"/>
              </w:rPr>
            </w:pPr>
          </w:p>
        </w:tc>
        <w:tc>
          <w:tcPr>
            <w:tcW w:w="540" w:type="dxa"/>
            <w:gridSpan w:val="2"/>
            <w:tcBorders>
              <w:bottom w:val="single" w:sz="12" w:space="0" w:color="auto"/>
            </w:tcBorders>
          </w:tcPr>
          <w:p w14:paraId="012E720E" w14:textId="77777777" w:rsidR="007D7104" w:rsidRPr="006601BC" w:rsidRDefault="007D7104" w:rsidP="00190BB5">
            <w:pPr>
              <w:ind w:right="-29"/>
              <w:jc w:val="center"/>
              <w:rPr>
                <w:noProof/>
                <w:sz w:val="18"/>
                <w:szCs w:val="18"/>
              </w:rPr>
            </w:pPr>
          </w:p>
        </w:tc>
        <w:tc>
          <w:tcPr>
            <w:tcW w:w="720" w:type="dxa"/>
            <w:tcBorders>
              <w:bottom w:val="single" w:sz="12" w:space="0" w:color="auto"/>
            </w:tcBorders>
          </w:tcPr>
          <w:p w14:paraId="6DDA3523" w14:textId="77777777" w:rsidR="007D7104" w:rsidRPr="006601BC" w:rsidRDefault="007D7104" w:rsidP="00190BB5">
            <w:pPr>
              <w:ind w:right="-29"/>
              <w:jc w:val="center"/>
              <w:rPr>
                <w:noProof/>
                <w:sz w:val="18"/>
                <w:szCs w:val="18"/>
              </w:rPr>
            </w:pPr>
          </w:p>
        </w:tc>
        <w:tc>
          <w:tcPr>
            <w:tcW w:w="720" w:type="dxa"/>
            <w:tcBorders>
              <w:bottom w:val="single" w:sz="12" w:space="0" w:color="auto"/>
            </w:tcBorders>
          </w:tcPr>
          <w:p w14:paraId="67356671" w14:textId="77777777" w:rsidR="007D7104" w:rsidRPr="006601BC" w:rsidRDefault="007D7104" w:rsidP="00190BB5">
            <w:pPr>
              <w:ind w:right="-29"/>
              <w:jc w:val="center"/>
              <w:rPr>
                <w:noProof/>
                <w:sz w:val="18"/>
                <w:szCs w:val="18"/>
              </w:rPr>
            </w:pPr>
          </w:p>
        </w:tc>
        <w:tc>
          <w:tcPr>
            <w:tcW w:w="900" w:type="dxa"/>
            <w:tcBorders>
              <w:bottom w:val="single" w:sz="12" w:space="0" w:color="auto"/>
            </w:tcBorders>
          </w:tcPr>
          <w:p w14:paraId="06A7E3A2" w14:textId="77777777" w:rsidR="007D7104" w:rsidRPr="006601BC" w:rsidRDefault="007D7104" w:rsidP="00190BB5">
            <w:pPr>
              <w:ind w:right="-29"/>
              <w:jc w:val="center"/>
              <w:rPr>
                <w:noProof/>
                <w:sz w:val="18"/>
                <w:szCs w:val="18"/>
              </w:rPr>
            </w:pPr>
          </w:p>
        </w:tc>
      </w:tr>
      <w:tr w:rsidR="007D7104" w:rsidRPr="006601BC" w14:paraId="5822D999" w14:textId="77777777" w:rsidTr="00190BB5">
        <w:trPr>
          <w:jc w:val="center"/>
        </w:trPr>
        <w:tc>
          <w:tcPr>
            <w:tcW w:w="2844" w:type="dxa"/>
            <w:gridSpan w:val="3"/>
            <w:tcBorders>
              <w:top w:val="single" w:sz="12" w:space="0" w:color="auto"/>
              <w:left w:val="single" w:sz="12" w:space="0" w:color="auto"/>
              <w:bottom w:val="single" w:sz="12" w:space="0" w:color="auto"/>
            </w:tcBorders>
            <w:vAlign w:val="center"/>
          </w:tcPr>
          <w:p w14:paraId="7C20EB4D" w14:textId="77777777" w:rsidR="007D7104" w:rsidRPr="006601BC" w:rsidRDefault="007D7104" w:rsidP="00190BB5">
            <w:pPr>
              <w:ind w:right="-29"/>
              <w:jc w:val="center"/>
              <w:rPr>
                <w:noProof/>
                <w:sz w:val="18"/>
                <w:szCs w:val="18"/>
              </w:rPr>
            </w:pPr>
            <w:r w:rsidRPr="006601BC">
              <w:rPr>
                <w:b/>
                <w:noProof/>
                <w:sz w:val="18"/>
              </w:rPr>
              <w:t>ÖSSZESEN</w:t>
            </w:r>
          </w:p>
        </w:tc>
        <w:tc>
          <w:tcPr>
            <w:tcW w:w="504" w:type="dxa"/>
            <w:tcBorders>
              <w:top w:val="single" w:sz="12" w:space="0" w:color="auto"/>
              <w:bottom w:val="single" w:sz="12" w:space="0" w:color="auto"/>
            </w:tcBorders>
          </w:tcPr>
          <w:p w14:paraId="15EFD09A" w14:textId="77777777" w:rsidR="007D7104" w:rsidRPr="006601BC" w:rsidRDefault="007D7104" w:rsidP="00190BB5">
            <w:pPr>
              <w:spacing w:before="180" w:after="180"/>
              <w:ind w:right="-29"/>
              <w:jc w:val="center"/>
              <w:rPr>
                <w:noProof/>
                <w:sz w:val="18"/>
                <w:szCs w:val="18"/>
              </w:rPr>
            </w:pPr>
          </w:p>
        </w:tc>
        <w:tc>
          <w:tcPr>
            <w:tcW w:w="720" w:type="dxa"/>
            <w:tcBorders>
              <w:top w:val="single" w:sz="12" w:space="0" w:color="auto"/>
              <w:bottom w:val="single" w:sz="12" w:space="0" w:color="auto"/>
            </w:tcBorders>
          </w:tcPr>
          <w:p w14:paraId="2C225F84" w14:textId="77777777" w:rsidR="007D7104" w:rsidRPr="006601BC" w:rsidRDefault="007D7104" w:rsidP="00190BB5">
            <w:pPr>
              <w:spacing w:before="180" w:after="180"/>
              <w:ind w:right="-29"/>
              <w:jc w:val="center"/>
              <w:rPr>
                <w:noProof/>
                <w:sz w:val="18"/>
                <w:szCs w:val="18"/>
              </w:rPr>
            </w:pPr>
          </w:p>
        </w:tc>
        <w:tc>
          <w:tcPr>
            <w:tcW w:w="540" w:type="dxa"/>
            <w:tcBorders>
              <w:top w:val="single" w:sz="12" w:space="0" w:color="auto"/>
              <w:bottom w:val="single" w:sz="12" w:space="0" w:color="auto"/>
            </w:tcBorders>
          </w:tcPr>
          <w:p w14:paraId="3DB70DF1" w14:textId="77777777" w:rsidR="007D7104" w:rsidRPr="006601BC" w:rsidRDefault="007D7104" w:rsidP="00190BB5">
            <w:pPr>
              <w:spacing w:before="180" w:after="180"/>
              <w:ind w:right="-29"/>
              <w:jc w:val="center"/>
              <w:rPr>
                <w:noProof/>
                <w:sz w:val="18"/>
                <w:szCs w:val="18"/>
              </w:rPr>
            </w:pPr>
          </w:p>
        </w:tc>
        <w:tc>
          <w:tcPr>
            <w:tcW w:w="720" w:type="dxa"/>
            <w:tcBorders>
              <w:top w:val="single" w:sz="12" w:space="0" w:color="auto"/>
              <w:bottom w:val="single" w:sz="12" w:space="0" w:color="auto"/>
            </w:tcBorders>
          </w:tcPr>
          <w:p w14:paraId="329E98DD" w14:textId="77777777" w:rsidR="007D7104" w:rsidRPr="006601BC" w:rsidRDefault="007D7104" w:rsidP="00190BB5">
            <w:pPr>
              <w:spacing w:before="180" w:after="180"/>
              <w:ind w:right="-29"/>
              <w:jc w:val="center"/>
              <w:rPr>
                <w:noProof/>
                <w:sz w:val="18"/>
                <w:szCs w:val="18"/>
              </w:rPr>
            </w:pPr>
          </w:p>
        </w:tc>
        <w:tc>
          <w:tcPr>
            <w:tcW w:w="720" w:type="dxa"/>
            <w:tcBorders>
              <w:top w:val="single" w:sz="12" w:space="0" w:color="auto"/>
              <w:bottom w:val="single" w:sz="12" w:space="0" w:color="auto"/>
            </w:tcBorders>
          </w:tcPr>
          <w:p w14:paraId="095B269D" w14:textId="77777777" w:rsidR="007D7104" w:rsidRPr="006601BC" w:rsidRDefault="007D7104" w:rsidP="00190BB5">
            <w:pPr>
              <w:spacing w:before="180" w:after="180"/>
              <w:ind w:right="-29"/>
              <w:jc w:val="center"/>
              <w:rPr>
                <w:noProof/>
                <w:sz w:val="18"/>
                <w:szCs w:val="18"/>
              </w:rPr>
            </w:pPr>
          </w:p>
        </w:tc>
        <w:tc>
          <w:tcPr>
            <w:tcW w:w="720" w:type="dxa"/>
            <w:tcBorders>
              <w:top w:val="single" w:sz="12" w:space="0" w:color="auto"/>
              <w:bottom w:val="single" w:sz="12" w:space="0" w:color="auto"/>
            </w:tcBorders>
          </w:tcPr>
          <w:p w14:paraId="08E4FDBA" w14:textId="77777777" w:rsidR="007D7104" w:rsidRPr="006601BC" w:rsidRDefault="007D7104" w:rsidP="00190BB5">
            <w:pPr>
              <w:spacing w:before="180" w:after="180"/>
              <w:ind w:right="-29"/>
              <w:jc w:val="center"/>
              <w:rPr>
                <w:noProof/>
                <w:sz w:val="18"/>
                <w:szCs w:val="18"/>
              </w:rPr>
            </w:pPr>
          </w:p>
        </w:tc>
        <w:tc>
          <w:tcPr>
            <w:tcW w:w="900" w:type="dxa"/>
            <w:tcBorders>
              <w:top w:val="single" w:sz="12" w:space="0" w:color="auto"/>
              <w:bottom w:val="single" w:sz="12" w:space="0" w:color="auto"/>
            </w:tcBorders>
          </w:tcPr>
          <w:p w14:paraId="53E66DE2" w14:textId="77777777" w:rsidR="007D7104" w:rsidRPr="006601BC" w:rsidRDefault="007D7104" w:rsidP="00190BB5">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4A126279" w14:textId="77777777" w:rsidR="007D7104" w:rsidRPr="006601BC" w:rsidRDefault="007D7104" w:rsidP="00190BB5">
            <w:pPr>
              <w:spacing w:before="180" w:after="180"/>
              <w:ind w:right="-29"/>
              <w:jc w:val="center"/>
              <w:rPr>
                <w:noProof/>
                <w:sz w:val="18"/>
                <w:szCs w:val="18"/>
              </w:rPr>
            </w:pPr>
          </w:p>
        </w:tc>
        <w:tc>
          <w:tcPr>
            <w:tcW w:w="540" w:type="dxa"/>
            <w:tcBorders>
              <w:top w:val="single" w:sz="12" w:space="0" w:color="auto"/>
              <w:bottom w:val="single" w:sz="12" w:space="0" w:color="auto"/>
            </w:tcBorders>
          </w:tcPr>
          <w:p w14:paraId="3E58A0F6" w14:textId="77777777" w:rsidR="007D7104" w:rsidRPr="006601BC" w:rsidRDefault="007D7104" w:rsidP="00190BB5">
            <w:pPr>
              <w:spacing w:before="180" w:after="180"/>
              <w:ind w:right="-29"/>
              <w:jc w:val="center"/>
              <w:rPr>
                <w:noProof/>
                <w:sz w:val="18"/>
                <w:szCs w:val="18"/>
              </w:rPr>
            </w:pPr>
          </w:p>
        </w:tc>
        <w:tc>
          <w:tcPr>
            <w:tcW w:w="648" w:type="dxa"/>
            <w:tcBorders>
              <w:top w:val="single" w:sz="12" w:space="0" w:color="auto"/>
              <w:bottom w:val="single" w:sz="12" w:space="0" w:color="auto"/>
            </w:tcBorders>
          </w:tcPr>
          <w:p w14:paraId="6923D182" w14:textId="77777777" w:rsidR="007D7104" w:rsidRPr="006601BC" w:rsidRDefault="007D7104" w:rsidP="00190BB5">
            <w:pPr>
              <w:spacing w:before="180" w:after="180"/>
              <w:ind w:right="-29"/>
              <w:jc w:val="center"/>
              <w:rPr>
                <w:noProof/>
                <w:sz w:val="18"/>
                <w:szCs w:val="18"/>
              </w:rPr>
            </w:pPr>
          </w:p>
        </w:tc>
        <w:tc>
          <w:tcPr>
            <w:tcW w:w="432" w:type="dxa"/>
            <w:gridSpan w:val="2"/>
            <w:tcBorders>
              <w:top w:val="single" w:sz="12" w:space="0" w:color="auto"/>
              <w:bottom w:val="single" w:sz="12" w:space="0" w:color="auto"/>
            </w:tcBorders>
          </w:tcPr>
          <w:p w14:paraId="1E2967C2" w14:textId="77777777" w:rsidR="007D7104" w:rsidRPr="006601BC" w:rsidRDefault="007D7104" w:rsidP="00190BB5">
            <w:pPr>
              <w:spacing w:before="180" w:after="180"/>
              <w:ind w:right="-29"/>
              <w:jc w:val="center"/>
              <w:rPr>
                <w:noProof/>
                <w:sz w:val="18"/>
                <w:szCs w:val="18"/>
              </w:rPr>
            </w:pPr>
          </w:p>
        </w:tc>
        <w:tc>
          <w:tcPr>
            <w:tcW w:w="720" w:type="dxa"/>
            <w:tcBorders>
              <w:top w:val="single" w:sz="12" w:space="0" w:color="auto"/>
              <w:bottom w:val="single" w:sz="12" w:space="0" w:color="auto"/>
            </w:tcBorders>
          </w:tcPr>
          <w:p w14:paraId="357E36CC" w14:textId="77777777" w:rsidR="007D7104" w:rsidRPr="006601BC" w:rsidRDefault="007D7104" w:rsidP="00190BB5">
            <w:pPr>
              <w:spacing w:before="180" w:after="180"/>
              <w:ind w:right="-29"/>
              <w:jc w:val="center"/>
              <w:rPr>
                <w:noProof/>
                <w:sz w:val="18"/>
                <w:szCs w:val="18"/>
              </w:rPr>
            </w:pPr>
          </w:p>
        </w:tc>
        <w:tc>
          <w:tcPr>
            <w:tcW w:w="540" w:type="dxa"/>
            <w:gridSpan w:val="2"/>
            <w:tcBorders>
              <w:top w:val="single" w:sz="12" w:space="0" w:color="auto"/>
              <w:bottom w:val="single" w:sz="12" w:space="0" w:color="auto"/>
            </w:tcBorders>
          </w:tcPr>
          <w:p w14:paraId="4609083A" w14:textId="77777777" w:rsidR="007D7104" w:rsidRPr="006601BC" w:rsidRDefault="007D7104" w:rsidP="00190BB5">
            <w:pPr>
              <w:spacing w:before="180" w:after="180"/>
              <w:ind w:right="-29"/>
              <w:jc w:val="center"/>
              <w:rPr>
                <w:noProof/>
                <w:sz w:val="18"/>
                <w:szCs w:val="18"/>
              </w:rPr>
            </w:pPr>
          </w:p>
        </w:tc>
        <w:tc>
          <w:tcPr>
            <w:tcW w:w="720" w:type="dxa"/>
            <w:tcBorders>
              <w:top w:val="single" w:sz="12" w:space="0" w:color="auto"/>
              <w:bottom w:val="single" w:sz="12" w:space="0" w:color="auto"/>
            </w:tcBorders>
          </w:tcPr>
          <w:p w14:paraId="638D63EC" w14:textId="77777777" w:rsidR="007D7104" w:rsidRPr="006601BC" w:rsidRDefault="007D7104" w:rsidP="00190BB5">
            <w:pPr>
              <w:spacing w:before="180" w:after="180"/>
              <w:ind w:right="-29"/>
              <w:jc w:val="center"/>
              <w:rPr>
                <w:noProof/>
                <w:sz w:val="18"/>
                <w:szCs w:val="18"/>
              </w:rPr>
            </w:pPr>
          </w:p>
        </w:tc>
        <w:tc>
          <w:tcPr>
            <w:tcW w:w="720" w:type="dxa"/>
            <w:tcBorders>
              <w:top w:val="single" w:sz="12" w:space="0" w:color="auto"/>
              <w:bottom w:val="single" w:sz="12" w:space="0" w:color="auto"/>
            </w:tcBorders>
          </w:tcPr>
          <w:p w14:paraId="423F402F" w14:textId="77777777" w:rsidR="007D7104" w:rsidRPr="006601BC" w:rsidRDefault="007D7104" w:rsidP="00190BB5">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0F8E10B0" w14:textId="77777777" w:rsidR="007D7104" w:rsidRPr="006601BC" w:rsidRDefault="007D7104" w:rsidP="00190BB5">
            <w:pPr>
              <w:spacing w:before="180" w:after="180"/>
              <w:ind w:right="-29"/>
              <w:jc w:val="center"/>
              <w:rPr>
                <w:noProof/>
                <w:sz w:val="18"/>
                <w:szCs w:val="18"/>
              </w:rPr>
            </w:pPr>
          </w:p>
        </w:tc>
      </w:tr>
    </w:tbl>
    <w:p w14:paraId="4C029C1F" w14:textId="77777777" w:rsidR="007D7104" w:rsidRPr="006601BC" w:rsidRDefault="007D7104" w:rsidP="007D7104">
      <w:pPr>
        <w:rPr>
          <w:noProof/>
        </w:rPr>
        <w:sectPr w:rsidR="007D7104" w:rsidRPr="006601BC" w:rsidSect="00EF5D4F">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14:paraId="1B2C2D6D" w14:textId="7127D505" w:rsidR="007D7104" w:rsidRPr="006601BC" w:rsidRDefault="00BB68C4" w:rsidP="00BB68C4">
      <w:pPr>
        <w:pStyle w:val="ManualHeading3"/>
        <w:rPr>
          <w:bCs/>
          <w:noProof/>
          <w:szCs w:val="24"/>
        </w:rPr>
      </w:pPr>
      <w:bookmarkStart w:id="76" w:name="_Toc514938055"/>
      <w:bookmarkStart w:id="77" w:name="_Toc86321177"/>
      <w:r w:rsidRPr="00BB68C4">
        <w:t>3.2.3.</w:t>
      </w:r>
      <w:r w:rsidRPr="00BB68C4">
        <w:tab/>
      </w:r>
      <w:r w:rsidR="007D7104" w:rsidRPr="006601BC">
        <w:rPr>
          <w:noProof/>
        </w:rPr>
        <w:t>Az igazgatási előirányzatokra gyakorolt becsült hatás összefoglalása</w:t>
      </w:r>
      <w:bookmarkEnd w:id="76"/>
      <w:bookmarkEnd w:id="77"/>
      <w:r w:rsidR="007D7104" w:rsidRPr="006601BC">
        <w:rPr>
          <w:noProof/>
        </w:rPr>
        <w:t xml:space="preserve"> </w:t>
      </w:r>
    </w:p>
    <w:p w14:paraId="08D7721D" w14:textId="77777777" w:rsidR="007D7104" w:rsidRPr="006601BC" w:rsidRDefault="007D7104" w:rsidP="0073554F">
      <w:pPr>
        <w:pStyle w:val="ListDash1"/>
        <w:numPr>
          <w:ilvl w:val="0"/>
          <w:numId w:val="18"/>
        </w:numPr>
        <w:spacing w:before="120" w:after="120"/>
        <w:rPr>
          <w:noProof/>
        </w:rPr>
      </w:pPr>
      <w:r w:rsidRPr="006601BC">
        <w:rPr>
          <w:noProof/>
        </w:rPr>
        <w:sym w:font="Wingdings" w:char="F0A8"/>
      </w:r>
      <w:r w:rsidRPr="006601BC">
        <w:rPr>
          <w:noProof/>
        </w:rPr>
        <w:tab/>
        <w:t xml:space="preserve">A javaslat/kezdeményezés nem vonja maga után igazgatási jellegű előirányzatok felhasználását. </w:t>
      </w:r>
    </w:p>
    <w:p w14:paraId="4C4168E6" w14:textId="77777777" w:rsidR="007D7104" w:rsidRPr="006601BC" w:rsidRDefault="007D7104" w:rsidP="0073554F">
      <w:pPr>
        <w:pStyle w:val="ListDash1"/>
        <w:numPr>
          <w:ilvl w:val="0"/>
          <w:numId w:val="18"/>
        </w:numPr>
        <w:spacing w:before="120" w:after="120"/>
        <w:rPr>
          <w:noProof/>
        </w:rPr>
      </w:pPr>
      <w:r w:rsidRPr="006601BC">
        <w:rPr>
          <w:noProof/>
        </w:rPr>
        <w:t>X</w:t>
      </w:r>
      <w:r w:rsidRPr="006601BC">
        <w:rPr>
          <w:noProof/>
        </w:rPr>
        <w:tab/>
        <w:t>A javaslat/kezdeményezés az alábbi igazgatási előirányzatok felhasználását vonja maga után:</w:t>
      </w:r>
    </w:p>
    <w:p w14:paraId="04621966" w14:textId="77777777" w:rsidR="007D7104" w:rsidRPr="006601BC" w:rsidRDefault="007D7104" w:rsidP="007D7104">
      <w:pPr>
        <w:jc w:val="right"/>
        <w:rPr>
          <w:noProof/>
          <w:sz w:val="20"/>
        </w:rPr>
      </w:pPr>
      <w:r w:rsidRPr="006601BC">
        <w:rPr>
          <w:noProof/>
          <w:sz w:val="20"/>
        </w:rPr>
        <w:t>millió EUR (három tizedesjegyig)</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D7104" w:rsidRPr="006601BC" w14:paraId="0DF29444" w14:textId="77777777" w:rsidTr="00190BB5">
        <w:trPr>
          <w:trHeight w:val="585"/>
        </w:trPr>
        <w:tc>
          <w:tcPr>
            <w:tcW w:w="1980" w:type="dxa"/>
          </w:tcPr>
          <w:p w14:paraId="4275095D" w14:textId="77777777" w:rsidR="007D7104" w:rsidRPr="006601BC" w:rsidRDefault="007D7104" w:rsidP="00190BB5">
            <w:pPr>
              <w:spacing w:before="60" w:after="60" w:line="200" w:lineRule="exact"/>
              <w:rPr>
                <w:noProof/>
                <w:sz w:val="16"/>
                <w:szCs w:val="16"/>
              </w:rPr>
            </w:pPr>
          </w:p>
        </w:tc>
        <w:tc>
          <w:tcPr>
            <w:tcW w:w="1080" w:type="dxa"/>
            <w:vAlign w:val="center"/>
          </w:tcPr>
          <w:p w14:paraId="1EF50E2D" w14:textId="77777777" w:rsidR="007D7104" w:rsidRPr="006601BC" w:rsidRDefault="007D7104" w:rsidP="00190BB5">
            <w:pPr>
              <w:spacing w:before="60" w:after="60" w:line="200" w:lineRule="exact"/>
              <w:jc w:val="center"/>
              <w:rPr>
                <w:noProof/>
                <w:sz w:val="16"/>
                <w:szCs w:val="16"/>
              </w:rPr>
            </w:pPr>
            <w:r w:rsidRPr="006601BC">
              <w:rPr>
                <w:b/>
                <w:noProof/>
                <w:sz w:val="20"/>
              </w:rPr>
              <w:t>2021</w:t>
            </w:r>
          </w:p>
        </w:tc>
        <w:tc>
          <w:tcPr>
            <w:tcW w:w="1080" w:type="dxa"/>
            <w:vAlign w:val="center"/>
          </w:tcPr>
          <w:p w14:paraId="3A2DA293" w14:textId="77777777" w:rsidR="007D7104" w:rsidRPr="006601BC" w:rsidRDefault="007D7104" w:rsidP="00190BB5">
            <w:pPr>
              <w:spacing w:before="60" w:after="60" w:line="200" w:lineRule="exact"/>
              <w:jc w:val="center"/>
              <w:rPr>
                <w:noProof/>
                <w:sz w:val="16"/>
                <w:szCs w:val="16"/>
              </w:rPr>
            </w:pPr>
            <w:r w:rsidRPr="006601BC">
              <w:rPr>
                <w:b/>
                <w:noProof/>
                <w:sz w:val="20"/>
              </w:rPr>
              <w:t>2022</w:t>
            </w:r>
          </w:p>
        </w:tc>
        <w:tc>
          <w:tcPr>
            <w:tcW w:w="1080" w:type="dxa"/>
            <w:vAlign w:val="center"/>
          </w:tcPr>
          <w:p w14:paraId="03C2AD29" w14:textId="77777777" w:rsidR="007D7104" w:rsidRPr="006601BC" w:rsidRDefault="007D7104" w:rsidP="00190BB5">
            <w:pPr>
              <w:spacing w:before="60" w:after="60" w:line="200" w:lineRule="exact"/>
              <w:jc w:val="center"/>
              <w:rPr>
                <w:noProof/>
                <w:sz w:val="16"/>
                <w:szCs w:val="16"/>
              </w:rPr>
            </w:pPr>
            <w:r w:rsidRPr="006601BC">
              <w:rPr>
                <w:b/>
                <w:noProof/>
                <w:sz w:val="20"/>
              </w:rPr>
              <w:t>2023</w:t>
            </w:r>
          </w:p>
        </w:tc>
        <w:tc>
          <w:tcPr>
            <w:tcW w:w="1080" w:type="dxa"/>
            <w:vAlign w:val="center"/>
          </w:tcPr>
          <w:p w14:paraId="5E79A382" w14:textId="77777777" w:rsidR="007D7104" w:rsidRPr="006601BC" w:rsidRDefault="007D7104" w:rsidP="00190BB5">
            <w:pPr>
              <w:spacing w:before="60" w:after="60" w:line="200" w:lineRule="exact"/>
              <w:jc w:val="center"/>
              <w:rPr>
                <w:noProof/>
                <w:sz w:val="16"/>
                <w:szCs w:val="16"/>
              </w:rPr>
            </w:pPr>
            <w:r w:rsidRPr="006601BC">
              <w:rPr>
                <w:b/>
                <w:noProof/>
                <w:sz w:val="20"/>
              </w:rPr>
              <w:t>2024</w:t>
            </w:r>
          </w:p>
        </w:tc>
        <w:tc>
          <w:tcPr>
            <w:tcW w:w="1080" w:type="dxa"/>
            <w:vAlign w:val="center"/>
          </w:tcPr>
          <w:p w14:paraId="7B82931B" w14:textId="77777777" w:rsidR="007D7104" w:rsidRPr="006601BC" w:rsidRDefault="007D7104" w:rsidP="00190BB5">
            <w:pPr>
              <w:spacing w:line="200" w:lineRule="exact"/>
              <w:jc w:val="center"/>
              <w:rPr>
                <w:b/>
                <w:noProof/>
                <w:sz w:val="16"/>
                <w:szCs w:val="16"/>
              </w:rPr>
            </w:pPr>
            <w:r w:rsidRPr="006601BC">
              <w:rPr>
                <w:b/>
                <w:noProof/>
                <w:sz w:val="18"/>
              </w:rPr>
              <w:t>2025</w:t>
            </w:r>
          </w:p>
        </w:tc>
        <w:tc>
          <w:tcPr>
            <w:tcW w:w="1080" w:type="dxa"/>
            <w:vAlign w:val="center"/>
          </w:tcPr>
          <w:p w14:paraId="5B526DB1" w14:textId="77777777" w:rsidR="007D7104" w:rsidRPr="006601BC" w:rsidRDefault="007D7104" w:rsidP="00190BB5">
            <w:pPr>
              <w:spacing w:line="200" w:lineRule="exact"/>
              <w:jc w:val="center"/>
              <w:rPr>
                <w:b/>
                <w:noProof/>
                <w:sz w:val="16"/>
                <w:szCs w:val="16"/>
              </w:rPr>
            </w:pPr>
            <w:r w:rsidRPr="006601BC">
              <w:rPr>
                <w:b/>
                <w:noProof/>
                <w:sz w:val="16"/>
                <w:szCs w:val="16"/>
              </w:rPr>
              <w:t>2026</w:t>
            </w:r>
          </w:p>
        </w:tc>
        <w:tc>
          <w:tcPr>
            <w:tcW w:w="1080" w:type="dxa"/>
            <w:vAlign w:val="center"/>
          </w:tcPr>
          <w:p w14:paraId="0446F4F3" w14:textId="77777777" w:rsidR="007D7104" w:rsidRPr="006601BC" w:rsidRDefault="007D7104" w:rsidP="00190BB5">
            <w:pPr>
              <w:spacing w:line="200" w:lineRule="exact"/>
              <w:jc w:val="center"/>
              <w:rPr>
                <w:b/>
                <w:noProof/>
                <w:sz w:val="16"/>
                <w:szCs w:val="16"/>
              </w:rPr>
            </w:pPr>
            <w:r w:rsidRPr="006601BC">
              <w:rPr>
                <w:b/>
                <w:noProof/>
                <w:sz w:val="16"/>
                <w:szCs w:val="16"/>
              </w:rPr>
              <w:t>2027</w:t>
            </w:r>
          </w:p>
        </w:tc>
        <w:tc>
          <w:tcPr>
            <w:tcW w:w="1080" w:type="dxa"/>
            <w:vAlign w:val="center"/>
          </w:tcPr>
          <w:p w14:paraId="312FB2FE" w14:textId="77777777" w:rsidR="007D7104" w:rsidRPr="006601BC" w:rsidRDefault="007D7104" w:rsidP="00190BB5">
            <w:pPr>
              <w:spacing w:before="60" w:after="60" w:line="200" w:lineRule="exact"/>
              <w:jc w:val="center"/>
              <w:rPr>
                <w:b/>
                <w:noProof/>
                <w:sz w:val="16"/>
                <w:szCs w:val="16"/>
              </w:rPr>
            </w:pPr>
            <w:r w:rsidRPr="006601BC">
              <w:rPr>
                <w:b/>
                <w:noProof/>
                <w:sz w:val="16"/>
              </w:rPr>
              <w:t>ÖSSZESEN</w:t>
            </w:r>
          </w:p>
        </w:tc>
      </w:tr>
    </w:tbl>
    <w:p w14:paraId="2E2EADF3" w14:textId="77777777" w:rsidR="007D7104" w:rsidRPr="006601BC" w:rsidRDefault="007D7104" w:rsidP="007D7104">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D7104" w:rsidRPr="006601BC" w14:paraId="1F2BB52E" w14:textId="77777777" w:rsidTr="00190BB5">
        <w:trPr>
          <w:trHeight w:val="585"/>
        </w:trPr>
        <w:tc>
          <w:tcPr>
            <w:tcW w:w="1980" w:type="dxa"/>
            <w:shd w:val="clear" w:color="auto" w:fill="CCCCCC"/>
            <w:vAlign w:val="center"/>
          </w:tcPr>
          <w:p w14:paraId="4FD4146D" w14:textId="77777777" w:rsidR="007D7104" w:rsidRPr="006601BC" w:rsidRDefault="007D7104" w:rsidP="00190BB5">
            <w:pPr>
              <w:spacing w:before="60" w:after="60" w:line="200" w:lineRule="exact"/>
              <w:jc w:val="center"/>
              <w:rPr>
                <w:b/>
                <w:noProof/>
                <w:sz w:val="16"/>
                <w:szCs w:val="16"/>
              </w:rPr>
            </w:pPr>
            <w:r w:rsidRPr="006601BC">
              <w:rPr>
                <w:b/>
                <w:noProof/>
                <w:sz w:val="16"/>
              </w:rPr>
              <w:t>A többéves pénzügyi keret</w:t>
            </w:r>
            <w:r w:rsidRPr="006601BC">
              <w:rPr>
                <w:noProof/>
              </w:rPr>
              <w:t xml:space="preserve"> </w:t>
            </w:r>
            <w:r w:rsidRPr="006601BC">
              <w:rPr>
                <w:noProof/>
              </w:rPr>
              <w:br/>
            </w:r>
            <w:r w:rsidRPr="006601BC">
              <w:rPr>
                <w:b/>
                <w:noProof/>
                <w:sz w:val="16"/>
              </w:rPr>
              <w:t>7. FEJEZETE</w:t>
            </w:r>
          </w:p>
        </w:tc>
        <w:tc>
          <w:tcPr>
            <w:tcW w:w="1080" w:type="dxa"/>
            <w:vAlign w:val="center"/>
          </w:tcPr>
          <w:p w14:paraId="16206893" w14:textId="77777777" w:rsidR="007D7104" w:rsidRPr="006601BC" w:rsidRDefault="007D7104" w:rsidP="00190BB5">
            <w:pPr>
              <w:spacing w:before="60" w:after="60" w:line="200" w:lineRule="exact"/>
              <w:jc w:val="right"/>
              <w:rPr>
                <w:noProof/>
                <w:sz w:val="16"/>
                <w:szCs w:val="16"/>
              </w:rPr>
            </w:pPr>
          </w:p>
        </w:tc>
        <w:tc>
          <w:tcPr>
            <w:tcW w:w="1080" w:type="dxa"/>
            <w:vAlign w:val="center"/>
          </w:tcPr>
          <w:p w14:paraId="7458941C" w14:textId="77777777" w:rsidR="007D7104" w:rsidRPr="006601BC" w:rsidRDefault="007D7104" w:rsidP="00190BB5">
            <w:pPr>
              <w:spacing w:before="60" w:after="60" w:line="200" w:lineRule="exact"/>
              <w:jc w:val="right"/>
              <w:rPr>
                <w:noProof/>
                <w:sz w:val="16"/>
                <w:szCs w:val="16"/>
              </w:rPr>
            </w:pPr>
          </w:p>
        </w:tc>
        <w:tc>
          <w:tcPr>
            <w:tcW w:w="1080" w:type="dxa"/>
            <w:vAlign w:val="center"/>
          </w:tcPr>
          <w:p w14:paraId="0536E5AB" w14:textId="77777777" w:rsidR="007D7104" w:rsidRPr="006601BC" w:rsidRDefault="007D7104" w:rsidP="00190BB5">
            <w:pPr>
              <w:spacing w:before="60" w:after="60" w:line="200" w:lineRule="exact"/>
              <w:jc w:val="right"/>
              <w:rPr>
                <w:noProof/>
                <w:sz w:val="16"/>
                <w:szCs w:val="16"/>
              </w:rPr>
            </w:pPr>
          </w:p>
        </w:tc>
        <w:tc>
          <w:tcPr>
            <w:tcW w:w="1080" w:type="dxa"/>
            <w:vAlign w:val="center"/>
          </w:tcPr>
          <w:p w14:paraId="26158F63" w14:textId="77777777" w:rsidR="007D7104" w:rsidRPr="006601BC" w:rsidRDefault="007D7104" w:rsidP="00190BB5">
            <w:pPr>
              <w:spacing w:before="60" w:after="60" w:line="200" w:lineRule="exact"/>
              <w:jc w:val="right"/>
              <w:rPr>
                <w:noProof/>
                <w:sz w:val="16"/>
                <w:szCs w:val="16"/>
              </w:rPr>
            </w:pPr>
          </w:p>
        </w:tc>
        <w:tc>
          <w:tcPr>
            <w:tcW w:w="1080" w:type="dxa"/>
            <w:vAlign w:val="center"/>
          </w:tcPr>
          <w:p w14:paraId="242AA0A2" w14:textId="77777777" w:rsidR="007D7104" w:rsidRPr="006601BC" w:rsidRDefault="007D7104" w:rsidP="00190BB5">
            <w:pPr>
              <w:spacing w:before="60" w:after="60" w:line="200" w:lineRule="exact"/>
              <w:jc w:val="right"/>
              <w:rPr>
                <w:noProof/>
                <w:sz w:val="16"/>
                <w:szCs w:val="16"/>
              </w:rPr>
            </w:pPr>
          </w:p>
        </w:tc>
        <w:tc>
          <w:tcPr>
            <w:tcW w:w="1080" w:type="dxa"/>
            <w:vAlign w:val="center"/>
          </w:tcPr>
          <w:p w14:paraId="12612E43" w14:textId="77777777" w:rsidR="007D7104" w:rsidRPr="006601BC" w:rsidRDefault="007D7104" w:rsidP="00190BB5">
            <w:pPr>
              <w:spacing w:before="60" w:after="60" w:line="200" w:lineRule="exact"/>
              <w:jc w:val="right"/>
              <w:rPr>
                <w:noProof/>
                <w:sz w:val="16"/>
                <w:szCs w:val="16"/>
              </w:rPr>
            </w:pPr>
          </w:p>
        </w:tc>
        <w:tc>
          <w:tcPr>
            <w:tcW w:w="1080" w:type="dxa"/>
            <w:vAlign w:val="center"/>
          </w:tcPr>
          <w:p w14:paraId="353877CA" w14:textId="77777777" w:rsidR="007D7104" w:rsidRPr="006601BC" w:rsidRDefault="007D7104" w:rsidP="00190BB5">
            <w:pPr>
              <w:spacing w:before="60" w:after="60" w:line="200" w:lineRule="exact"/>
              <w:jc w:val="right"/>
              <w:rPr>
                <w:b/>
                <w:noProof/>
                <w:sz w:val="16"/>
                <w:szCs w:val="16"/>
              </w:rPr>
            </w:pPr>
          </w:p>
        </w:tc>
        <w:tc>
          <w:tcPr>
            <w:tcW w:w="1080" w:type="dxa"/>
            <w:vAlign w:val="center"/>
          </w:tcPr>
          <w:p w14:paraId="525843BE" w14:textId="77777777" w:rsidR="007D7104" w:rsidRPr="006601BC" w:rsidRDefault="007D7104" w:rsidP="00190BB5">
            <w:pPr>
              <w:spacing w:before="60" w:after="60" w:line="200" w:lineRule="exact"/>
              <w:jc w:val="right"/>
              <w:rPr>
                <w:b/>
                <w:noProof/>
                <w:sz w:val="16"/>
                <w:szCs w:val="16"/>
              </w:rPr>
            </w:pPr>
          </w:p>
        </w:tc>
      </w:tr>
      <w:tr w:rsidR="007D7104" w:rsidRPr="006601BC" w14:paraId="13EDF4BA" w14:textId="77777777" w:rsidTr="00190BB5">
        <w:trPr>
          <w:trHeight w:val="585"/>
        </w:trPr>
        <w:tc>
          <w:tcPr>
            <w:tcW w:w="1980" w:type="dxa"/>
            <w:vAlign w:val="center"/>
          </w:tcPr>
          <w:p w14:paraId="6AD2616D" w14:textId="77777777" w:rsidR="007D7104" w:rsidRPr="006601BC" w:rsidRDefault="007D7104" w:rsidP="00190BB5">
            <w:pPr>
              <w:spacing w:before="60" w:after="60" w:line="200" w:lineRule="exact"/>
              <w:ind w:left="72"/>
              <w:jc w:val="left"/>
              <w:rPr>
                <w:noProof/>
                <w:sz w:val="16"/>
                <w:szCs w:val="16"/>
              </w:rPr>
            </w:pPr>
            <w:r w:rsidRPr="006601BC">
              <w:rPr>
                <w:noProof/>
                <w:sz w:val="16"/>
              </w:rPr>
              <w:t xml:space="preserve">Humánerőforrás </w:t>
            </w:r>
          </w:p>
        </w:tc>
        <w:tc>
          <w:tcPr>
            <w:tcW w:w="1080" w:type="dxa"/>
            <w:vAlign w:val="bottom"/>
          </w:tcPr>
          <w:p w14:paraId="23F089E3"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5,776</w:t>
            </w:r>
          </w:p>
        </w:tc>
        <w:tc>
          <w:tcPr>
            <w:tcW w:w="1080" w:type="dxa"/>
            <w:vAlign w:val="bottom"/>
          </w:tcPr>
          <w:p w14:paraId="5DE68388"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11,148</w:t>
            </w:r>
          </w:p>
        </w:tc>
        <w:tc>
          <w:tcPr>
            <w:tcW w:w="1080" w:type="dxa"/>
            <w:vAlign w:val="bottom"/>
          </w:tcPr>
          <w:p w14:paraId="6F50EFD7"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14,644</w:t>
            </w:r>
          </w:p>
        </w:tc>
        <w:tc>
          <w:tcPr>
            <w:tcW w:w="1080" w:type="dxa"/>
            <w:vAlign w:val="bottom"/>
          </w:tcPr>
          <w:p w14:paraId="0F0DF97A"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14,644</w:t>
            </w:r>
          </w:p>
        </w:tc>
        <w:tc>
          <w:tcPr>
            <w:tcW w:w="1080" w:type="dxa"/>
            <w:vAlign w:val="bottom"/>
          </w:tcPr>
          <w:p w14:paraId="2628863A"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14,644</w:t>
            </w:r>
          </w:p>
        </w:tc>
        <w:tc>
          <w:tcPr>
            <w:tcW w:w="1080" w:type="dxa"/>
            <w:vAlign w:val="bottom"/>
          </w:tcPr>
          <w:p w14:paraId="7BB22ECA"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14,644</w:t>
            </w:r>
          </w:p>
        </w:tc>
        <w:tc>
          <w:tcPr>
            <w:tcW w:w="1080" w:type="dxa"/>
            <w:vAlign w:val="bottom"/>
          </w:tcPr>
          <w:p w14:paraId="7DBA05C6"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14,644</w:t>
            </w:r>
          </w:p>
        </w:tc>
        <w:tc>
          <w:tcPr>
            <w:tcW w:w="1080" w:type="dxa"/>
            <w:vAlign w:val="bottom"/>
          </w:tcPr>
          <w:p w14:paraId="647C69A6"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90,144</w:t>
            </w:r>
          </w:p>
        </w:tc>
      </w:tr>
      <w:tr w:rsidR="007D7104" w:rsidRPr="006601BC" w14:paraId="2DC72C0F" w14:textId="77777777" w:rsidTr="00190BB5">
        <w:trPr>
          <w:trHeight w:val="585"/>
        </w:trPr>
        <w:tc>
          <w:tcPr>
            <w:tcW w:w="1980" w:type="dxa"/>
            <w:vAlign w:val="center"/>
          </w:tcPr>
          <w:p w14:paraId="2AD23ADE" w14:textId="77777777" w:rsidR="007D7104" w:rsidRPr="006601BC" w:rsidRDefault="007D7104" w:rsidP="00190BB5">
            <w:pPr>
              <w:spacing w:before="60" w:after="60" w:line="200" w:lineRule="exact"/>
              <w:ind w:left="72"/>
              <w:jc w:val="left"/>
              <w:rPr>
                <w:noProof/>
                <w:sz w:val="16"/>
                <w:szCs w:val="16"/>
              </w:rPr>
            </w:pPr>
            <w:r w:rsidRPr="006601BC">
              <w:rPr>
                <w:noProof/>
                <w:sz w:val="16"/>
              </w:rPr>
              <w:t xml:space="preserve">Egyéb igazgatási kiadások </w:t>
            </w:r>
          </w:p>
        </w:tc>
        <w:tc>
          <w:tcPr>
            <w:tcW w:w="1080" w:type="dxa"/>
            <w:vAlign w:val="bottom"/>
          </w:tcPr>
          <w:p w14:paraId="5E29326F" w14:textId="77777777" w:rsidR="007D7104" w:rsidRPr="006601BC" w:rsidRDefault="007D7104" w:rsidP="00190BB5">
            <w:pPr>
              <w:spacing w:before="60" w:after="60" w:line="200" w:lineRule="exact"/>
              <w:jc w:val="right"/>
              <w:rPr>
                <w:noProof/>
                <w:sz w:val="16"/>
                <w:szCs w:val="16"/>
              </w:rPr>
            </w:pPr>
          </w:p>
        </w:tc>
        <w:tc>
          <w:tcPr>
            <w:tcW w:w="1080" w:type="dxa"/>
            <w:vAlign w:val="bottom"/>
          </w:tcPr>
          <w:p w14:paraId="6D80B9B8"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0,818</w:t>
            </w:r>
          </w:p>
        </w:tc>
        <w:tc>
          <w:tcPr>
            <w:tcW w:w="1080" w:type="dxa"/>
            <w:vAlign w:val="bottom"/>
          </w:tcPr>
          <w:p w14:paraId="7E61A92C"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0,864</w:t>
            </w:r>
          </w:p>
        </w:tc>
        <w:tc>
          <w:tcPr>
            <w:tcW w:w="1080" w:type="dxa"/>
            <w:vAlign w:val="bottom"/>
          </w:tcPr>
          <w:p w14:paraId="03A3FB64"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0,864</w:t>
            </w:r>
          </w:p>
        </w:tc>
        <w:tc>
          <w:tcPr>
            <w:tcW w:w="1080" w:type="dxa"/>
            <w:vAlign w:val="bottom"/>
          </w:tcPr>
          <w:p w14:paraId="44EFEF4A"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0,864</w:t>
            </w:r>
          </w:p>
        </w:tc>
        <w:tc>
          <w:tcPr>
            <w:tcW w:w="1080" w:type="dxa"/>
            <w:vAlign w:val="bottom"/>
          </w:tcPr>
          <w:p w14:paraId="43BBBA0E"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0,864</w:t>
            </w:r>
          </w:p>
        </w:tc>
        <w:tc>
          <w:tcPr>
            <w:tcW w:w="1080" w:type="dxa"/>
            <w:vAlign w:val="bottom"/>
          </w:tcPr>
          <w:p w14:paraId="13DD9291"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0,864</w:t>
            </w:r>
          </w:p>
        </w:tc>
        <w:tc>
          <w:tcPr>
            <w:tcW w:w="1080" w:type="dxa"/>
            <w:vAlign w:val="bottom"/>
          </w:tcPr>
          <w:p w14:paraId="364C723C"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5,138</w:t>
            </w:r>
          </w:p>
        </w:tc>
      </w:tr>
      <w:tr w:rsidR="007D7104" w:rsidRPr="006601BC" w14:paraId="731527D3" w14:textId="77777777" w:rsidTr="00190BB5">
        <w:trPr>
          <w:trHeight w:val="585"/>
        </w:trPr>
        <w:tc>
          <w:tcPr>
            <w:tcW w:w="1980" w:type="dxa"/>
            <w:shd w:val="clear" w:color="auto" w:fill="CCCCCC"/>
            <w:vAlign w:val="center"/>
          </w:tcPr>
          <w:p w14:paraId="4CF20122" w14:textId="77777777" w:rsidR="007D7104" w:rsidRPr="006601BC" w:rsidRDefault="007D7104" w:rsidP="00190BB5">
            <w:pPr>
              <w:spacing w:before="60" w:after="60" w:line="200" w:lineRule="exact"/>
              <w:jc w:val="center"/>
              <w:rPr>
                <w:b/>
                <w:noProof/>
                <w:sz w:val="16"/>
                <w:szCs w:val="16"/>
              </w:rPr>
            </w:pPr>
            <w:r w:rsidRPr="006601BC">
              <w:rPr>
                <w:b/>
                <w:noProof/>
                <w:sz w:val="16"/>
              </w:rPr>
              <w:t>A többéves pénzügyi keret</w:t>
            </w:r>
            <w:r w:rsidRPr="006601BC">
              <w:rPr>
                <w:noProof/>
              </w:rPr>
              <w:t xml:space="preserve"> </w:t>
            </w:r>
            <w:r w:rsidRPr="006601BC">
              <w:rPr>
                <w:noProof/>
              </w:rPr>
              <w:br/>
            </w:r>
            <w:r w:rsidRPr="006601BC">
              <w:rPr>
                <w:b/>
                <w:noProof/>
                <w:sz w:val="16"/>
              </w:rPr>
              <w:t xml:space="preserve">7. FEJEZETÉNEK részösszege </w:t>
            </w:r>
          </w:p>
        </w:tc>
        <w:tc>
          <w:tcPr>
            <w:tcW w:w="1080" w:type="dxa"/>
            <w:vAlign w:val="bottom"/>
          </w:tcPr>
          <w:p w14:paraId="7B224C57"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5,776</w:t>
            </w:r>
          </w:p>
        </w:tc>
        <w:tc>
          <w:tcPr>
            <w:tcW w:w="1080" w:type="dxa"/>
            <w:vAlign w:val="bottom"/>
          </w:tcPr>
          <w:p w14:paraId="6DD7A162"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11,966</w:t>
            </w:r>
          </w:p>
        </w:tc>
        <w:tc>
          <w:tcPr>
            <w:tcW w:w="1080" w:type="dxa"/>
            <w:vAlign w:val="bottom"/>
          </w:tcPr>
          <w:p w14:paraId="04572F81"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15,508</w:t>
            </w:r>
          </w:p>
        </w:tc>
        <w:tc>
          <w:tcPr>
            <w:tcW w:w="1080" w:type="dxa"/>
            <w:vAlign w:val="bottom"/>
          </w:tcPr>
          <w:p w14:paraId="1FC627EE"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15,508</w:t>
            </w:r>
          </w:p>
        </w:tc>
        <w:tc>
          <w:tcPr>
            <w:tcW w:w="1080" w:type="dxa"/>
            <w:vAlign w:val="bottom"/>
          </w:tcPr>
          <w:p w14:paraId="0FF6948E"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15,508</w:t>
            </w:r>
          </w:p>
        </w:tc>
        <w:tc>
          <w:tcPr>
            <w:tcW w:w="1080" w:type="dxa"/>
            <w:vAlign w:val="bottom"/>
          </w:tcPr>
          <w:p w14:paraId="01ADBCD1"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15,508</w:t>
            </w:r>
          </w:p>
        </w:tc>
        <w:tc>
          <w:tcPr>
            <w:tcW w:w="1080" w:type="dxa"/>
            <w:vAlign w:val="bottom"/>
          </w:tcPr>
          <w:p w14:paraId="01315E5E"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15,508</w:t>
            </w:r>
          </w:p>
        </w:tc>
        <w:tc>
          <w:tcPr>
            <w:tcW w:w="1080" w:type="dxa"/>
            <w:vAlign w:val="bottom"/>
          </w:tcPr>
          <w:p w14:paraId="5DFDF7B8"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95,282</w:t>
            </w:r>
          </w:p>
        </w:tc>
      </w:tr>
    </w:tbl>
    <w:p w14:paraId="0DA5BC85" w14:textId="77777777" w:rsidR="007D7104" w:rsidRPr="006601BC" w:rsidRDefault="007D7104" w:rsidP="007D7104">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D7104" w:rsidRPr="006601BC" w14:paraId="77C8932F" w14:textId="77777777" w:rsidTr="00190BB5">
        <w:trPr>
          <w:trHeight w:val="585"/>
        </w:trPr>
        <w:tc>
          <w:tcPr>
            <w:tcW w:w="1980" w:type="dxa"/>
            <w:shd w:val="clear" w:color="auto" w:fill="CCCCCC"/>
            <w:vAlign w:val="center"/>
          </w:tcPr>
          <w:p w14:paraId="2A3DFF54" w14:textId="6C58880D" w:rsidR="007D7104" w:rsidRPr="006601BC" w:rsidRDefault="007D7104" w:rsidP="00190BB5">
            <w:pPr>
              <w:spacing w:before="60" w:after="60" w:line="200" w:lineRule="exact"/>
              <w:jc w:val="center"/>
              <w:rPr>
                <w:noProof/>
                <w:sz w:val="16"/>
                <w:szCs w:val="16"/>
              </w:rPr>
            </w:pPr>
            <w:r w:rsidRPr="006601BC">
              <w:rPr>
                <w:b/>
                <w:noProof/>
                <w:sz w:val="16"/>
              </w:rPr>
              <w:t>A többéves pénzügyi keret 7. FEJEZETÉN kívül</w:t>
            </w:r>
            <w:r w:rsidRPr="006601BC">
              <w:rPr>
                <w:rStyle w:val="FootnoteReference"/>
                <w:b/>
                <w:noProof/>
                <w:sz w:val="16"/>
              </w:rPr>
              <w:footnoteReference w:id="43"/>
            </w:r>
            <w:r w:rsidRPr="006601BC">
              <w:rPr>
                <w:b/>
                <w:noProof/>
                <w:sz w:val="16"/>
              </w:rPr>
              <w:t xml:space="preserve"> </w:t>
            </w:r>
          </w:p>
          <w:p w14:paraId="2778F828" w14:textId="77777777" w:rsidR="007D7104" w:rsidRPr="006601BC" w:rsidRDefault="007D7104" w:rsidP="00190BB5">
            <w:pPr>
              <w:spacing w:before="0" w:after="0" w:line="200" w:lineRule="exact"/>
              <w:jc w:val="center"/>
              <w:rPr>
                <w:b/>
                <w:noProof/>
                <w:sz w:val="16"/>
                <w:szCs w:val="16"/>
              </w:rPr>
            </w:pPr>
          </w:p>
        </w:tc>
        <w:tc>
          <w:tcPr>
            <w:tcW w:w="1080" w:type="dxa"/>
            <w:vAlign w:val="center"/>
          </w:tcPr>
          <w:p w14:paraId="66D4EAAC" w14:textId="77777777" w:rsidR="007D7104" w:rsidRPr="006601BC" w:rsidRDefault="007D7104" w:rsidP="00190BB5">
            <w:pPr>
              <w:spacing w:before="60" w:after="60" w:line="200" w:lineRule="exact"/>
              <w:jc w:val="right"/>
              <w:rPr>
                <w:noProof/>
                <w:sz w:val="16"/>
                <w:szCs w:val="16"/>
              </w:rPr>
            </w:pPr>
          </w:p>
        </w:tc>
        <w:tc>
          <w:tcPr>
            <w:tcW w:w="1080" w:type="dxa"/>
            <w:vAlign w:val="center"/>
          </w:tcPr>
          <w:p w14:paraId="113BC804" w14:textId="77777777" w:rsidR="007D7104" w:rsidRPr="006601BC" w:rsidRDefault="007D7104" w:rsidP="00190BB5">
            <w:pPr>
              <w:spacing w:before="60" w:after="60" w:line="200" w:lineRule="exact"/>
              <w:jc w:val="right"/>
              <w:rPr>
                <w:noProof/>
                <w:sz w:val="16"/>
                <w:szCs w:val="16"/>
              </w:rPr>
            </w:pPr>
          </w:p>
        </w:tc>
        <w:tc>
          <w:tcPr>
            <w:tcW w:w="1080" w:type="dxa"/>
            <w:vAlign w:val="center"/>
          </w:tcPr>
          <w:p w14:paraId="3D74FAC6" w14:textId="77777777" w:rsidR="007D7104" w:rsidRPr="006601BC" w:rsidRDefault="007D7104" w:rsidP="00190BB5">
            <w:pPr>
              <w:spacing w:before="60" w:after="60" w:line="200" w:lineRule="exact"/>
              <w:jc w:val="right"/>
              <w:rPr>
                <w:noProof/>
                <w:sz w:val="16"/>
                <w:szCs w:val="16"/>
              </w:rPr>
            </w:pPr>
          </w:p>
        </w:tc>
        <w:tc>
          <w:tcPr>
            <w:tcW w:w="1080" w:type="dxa"/>
            <w:vAlign w:val="center"/>
          </w:tcPr>
          <w:p w14:paraId="4BC5560C" w14:textId="77777777" w:rsidR="007D7104" w:rsidRPr="006601BC" w:rsidRDefault="007D7104" w:rsidP="00190BB5">
            <w:pPr>
              <w:spacing w:before="60" w:after="60" w:line="200" w:lineRule="exact"/>
              <w:jc w:val="right"/>
              <w:rPr>
                <w:noProof/>
                <w:sz w:val="16"/>
                <w:szCs w:val="16"/>
              </w:rPr>
            </w:pPr>
          </w:p>
        </w:tc>
        <w:tc>
          <w:tcPr>
            <w:tcW w:w="1080" w:type="dxa"/>
            <w:vAlign w:val="center"/>
          </w:tcPr>
          <w:p w14:paraId="6C82D536" w14:textId="77777777" w:rsidR="007D7104" w:rsidRPr="006601BC" w:rsidRDefault="007D7104" w:rsidP="00190BB5">
            <w:pPr>
              <w:spacing w:before="60" w:after="60" w:line="200" w:lineRule="exact"/>
              <w:jc w:val="right"/>
              <w:rPr>
                <w:noProof/>
                <w:sz w:val="16"/>
                <w:szCs w:val="16"/>
              </w:rPr>
            </w:pPr>
          </w:p>
        </w:tc>
        <w:tc>
          <w:tcPr>
            <w:tcW w:w="1080" w:type="dxa"/>
            <w:vAlign w:val="center"/>
          </w:tcPr>
          <w:p w14:paraId="723A6410" w14:textId="77777777" w:rsidR="007D7104" w:rsidRPr="006601BC" w:rsidRDefault="007D7104" w:rsidP="00190BB5">
            <w:pPr>
              <w:spacing w:before="60" w:after="60" w:line="200" w:lineRule="exact"/>
              <w:jc w:val="right"/>
              <w:rPr>
                <w:noProof/>
                <w:sz w:val="16"/>
                <w:szCs w:val="16"/>
              </w:rPr>
            </w:pPr>
          </w:p>
        </w:tc>
        <w:tc>
          <w:tcPr>
            <w:tcW w:w="1080" w:type="dxa"/>
            <w:vAlign w:val="center"/>
          </w:tcPr>
          <w:p w14:paraId="451DA5EF" w14:textId="77777777" w:rsidR="007D7104" w:rsidRPr="006601BC" w:rsidRDefault="007D7104" w:rsidP="00190BB5">
            <w:pPr>
              <w:spacing w:before="60" w:after="60" w:line="200" w:lineRule="exact"/>
              <w:jc w:val="right"/>
              <w:rPr>
                <w:b/>
                <w:noProof/>
                <w:sz w:val="16"/>
                <w:szCs w:val="16"/>
              </w:rPr>
            </w:pPr>
          </w:p>
        </w:tc>
        <w:tc>
          <w:tcPr>
            <w:tcW w:w="1080" w:type="dxa"/>
            <w:vAlign w:val="center"/>
          </w:tcPr>
          <w:p w14:paraId="1D739FDD" w14:textId="77777777" w:rsidR="007D7104" w:rsidRPr="006601BC" w:rsidRDefault="007D7104" w:rsidP="00190BB5">
            <w:pPr>
              <w:spacing w:before="60" w:after="60" w:line="200" w:lineRule="exact"/>
              <w:jc w:val="right"/>
              <w:rPr>
                <w:b/>
                <w:noProof/>
                <w:sz w:val="16"/>
                <w:szCs w:val="16"/>
              </w:rPr>
            </w:pPr>
          </w:p>
        </w:tc>
      </w:tr>
      <w:tr w:rsidR="007D7104" w:rsidRPr="006601BC" w14:paraId="7D0C007C" w14:textId="77777777" w:rsidTr="00190BB5">
        <w:trPr>
          <w:trHeight w:val="585"/>
        </w:trPr>
        <w:tc>
          <w:tcPr>
            <w:tcW w:w="1980" w:type="dxa"/>
            <w:vAlign w:val="center"/>
          </w:tcPr>
          <w:p w14:paraId="64C3713A" w14:textId="77777777" w:rsidR="007D7104" w:rsidRPr="006601BC" w:rsidRDefault="007D7104" w:rsidP="00190BB5">
            <w:pPr>
              <w:spacing w:before="60" w:after="60" w:line="200" w:lineRule="exact"/>
              <w:ind w:left="72"/>
              <w:jc w:val="left"/>
              <w:rPr>
                <w:noProof/>
                <w:sz w:val="16"/>
                <w:szCs w:val="16"/>
              </w:rPr>
            </w:pPr>
            <w:r w:rsidRPr="006601BC">
              <w:rPr>
                <w:noProof/>
                <w:sz w:val="16"/>
              </w:rPr>
              <w:t xml:space="preserve">Humánerőforrás </w:t>
            </w:r>
          </w:p>
        </w:tc>
        <w:tc>
          <w:tcPr>
            <w:tcW w:w="1080" w:type="dxa"/>
            <w:vAlign w:val="bottom"/>
          </w:tcPr>
          <w:p w14:paraId="38DBA15A"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1,240</w:t>
            </w:r>
          </w:p>
        </w:tc>
        <w:tc>
          <w:tcPr>
            <w:tcW w:w="1080" w:type="dxa"/>
            <w:vAlign w:val="bottom"/>
          </w:tcPr>
          <w:p w14:paraId="5CC9C705"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1,322</w:t>
            </w:r>
          </w:p>
        </w:tc>
        <w:tc>
          <w:tcPr>
            <w:tcW w:w="1080" w:type="dxa"/>
            <w:vAlign w:val="bottom"/>
          </w:tcPr>
          <w:p w14:paraId="43E4F60A"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1,474</w:t>
            </w:r>
          </w:p>
        </w:tc>
        <w:tc>
          <w:tcPr>
            <w:tcW w:w="1080" w:type="dxa"/>
            <w:vAlign w:val="bottom"/>
          </w:tcPr>
          <w:p w14:paraId="41BFB4B3"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1,474</w:t>
            </w:r>
          </w:p>
        </w:tc>
        <w:tc>
          <w:tcPr>
            <w:tcW w:w="1080" w:type="dxa"/>
            <w:vAlign w:val="bottom"/>
          </w:tcPr>
          <w:p w14:paraId="72841369"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1,474</w:t>
            </w:r>
          </w:p>
        </w:tc>
        <w:tc>
          <w:tcPr>
            <w:tcW w:w="1080" w:type="dxa"/>
            <w:vAlign w:val="bottom"/>
          </w:tcPr>
          <w:p w14:paraId="4FE9A1EC"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1,474</w:t>
            </w:r>
          </w:p>
        </w:tc>
        <w:tc>
          <w:tcPr>
            <w:tcW w:w="1080" w:type="dxa"/>
            <w:vAlign w:val="bottom"/>
          </w:tcPr>
          <w:p w14:paraId="50F5C176"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1,474</w:t>
            </w:r>
          </w:p>
        </w:tc>
        <w:tc>
          <w:tcPr>
            <w:tcW w:w="1080" w:type="dxa"/>
            <w:vAlign w:val="bottom"/>
          </w:tcPr>
          <w:p w14:paraId="7F0BA6D4" w14:textId="77777777" w:rsidR="007D7104" w:rsidRPr="006601BC" w:rsidRDefault="007D7104" w:rsidP="00190BB5">
            <w:pPr>
              <w:spacing w:before="60" w:after="60" w:line="200" w:lineRule="exact"/>
              <w:jc w:val="right"/>
              <w:rPr>
                <w:noProof/>
                <w:sz w:val="16"/>
                <w:szCs w:val="16"/>
              </w:rPr>
            </w:pPr>
            <w:r w:rsidRPr="006601BC">
              <w:rPr>
                <w:rFonts w:ascii="Calibri" w:hAnsi="Calibri"/>
                <w:bCs/>
                <w:noProof/>
                <w:color w:val="000000"/>
                <w:sz w:val="22"/>
              </w:rPr>
              <w:t>9,932</w:t>
            </w:r>
          </w:p>
        </w:tc>
      </w:tr>
      <w:tr w:rsidR="007D7104" w:rsidRPr="006601BC" w14:paraId="02291B8C" w14:textId="77777777" w:rsidTr="00190BB5">
        <w:trPr>
          <w:trHeight w:val="585"/>
        </w:trPr>
        <w:tc>
          <w:tcPr>
            <w:tcW w:w="1980" w:type="dxa"/>
            <w:vAlign w:val="center"/>
          </w:tcPr>
          <w:p w14:paraId="507B7D6C" w14:textId="77777777" w:rsidR="007D7104" w:rsidRPr="006601BC" w:rsidRDefault="007D7104" w:rsidP="00190BB5">
            <w:pPr>
              <w:spacing w:before="60" w:after="60" w:line="200" w:lineRule="exact"/>
              <w:ind w:left="72"/>
              <w:jc w:val="left"/>
              <w:rPr>
                <w:noProof/>
                <w:sz w:val="16"/>
                <w:szCs w:val="16"/>
              </w:rPr>
            </w:pPr>
            <w:r w:rsidRPr="006601BC">
              <w:rPr>
                <w:noProof/>
                <w:sz w:val="16"/>
              </w:rPr>
              <w:t xml:space="preserve">Egyéb igazgatási </w:t>
            </w:r>
            <w:r w:rsidRPr="006601BC">
              <w:rPr>
                <w:noProof/>
              </w:rPr>
              <w:t xml:space="preserve"> </w:t>
            </w:r>
            <w:r w:rsidRPr="006601BC">
              <w:rPr>
                <w:noProof/>
              </w:rPr>
              <w:br/>
            </w:r>
            <w:r w:rsidRPr="006601BC">
              <w:rPr>
                <w:noProof/>
                <w:sz w:val="16"/>
              </w:rPr>
              <w:t>jellegű kiadások</w:t>
            </w:r>
          </w:p>
        </w:tc>
        <w:tc>
          <w:tcPr>
            <w:tcW w:w="1080" w:type="dxa"/>
            <w:vAlign w:val="bottom"/>
          </w:tcPr>
          <w:p w14:paraId="2C877320" w14:textId="77777777" w:rsidR="007D7104" w:rsidRPr="006601BC" w:rsidRDefault="007D7104" w:rsidP="00190BB5">
            <w:pPr>
              <w:spacing w:before="60" w:after="60" w:line="200" w:lineRule="exact"/>
              <w:jc w:val="right"/>
              <w:rPr>
                <w:noProof/>
                <w:sz w:val="16"/>
                <w:szCs w:val="16"/>
              </w:rPr>
            </w:pPr>
          </w:p>
        </w:tc>
        <w:tc>
          <w:tcPr>
            <w:tcW w:w="1080" w:type="dxa"/>
            <w:vAlign w:val="bottom"/>
          </w:tcPr>
          <w:p w14:paraId="635852C3" w14:textId="77777777" w:rsidR="007D7104" w:rsidRPr="006601BC" w:rsidRDefault="007D7104" w:rsidP="00190BB5">
            <w:pPr>
              <w:spacing w:before="60" w:after="60" w:line="200" w:lineRule="exact"/>
              <w:jc w:val="right"/>
              <w:rPr>
                <w:noProof/>
                <w:sz w:val="16"/>
                <w:szCs w:val="16"/>
              </w:rPr>
            </w:pPr>
            <w:r w:rsidRPr="006601BC">
              <w:rPr>
                <w:rFonts w:ascii="Calibri" w:hAnsi="Calibri"/>
                <w:noProof/>
                <w:color w:val="000000"/>
                <w:sz w:val="22"/>
              </w:rPr>
              <w:t>0,022</w:t>
            </w:r>
          </w:p>
        </w:tc>
        <w:tc>
          <w:tcPr>
            <w:tcW w:w="1080" w:type="dxa"/>
            <w:vAlign w:val="bottom"/>
          </w:tcPr>
          <w:p w14:paraId="4E6BEF43" w14:textId="77777777" w:rsidR="007D7104" w:rsidRPr="006601BC" w:rsidRDefault="007D7104" w:rsidP="00190BB5">
            <w:pPr>
              <w:spacing w:before="60" w:after="60" w:line="200" w:lineRule="exact"/>
              <w:jc w:val="right"/>
              <w:rPr>
                <w:noProof/>
                <w:sz w:val="16"/>
                <w:szCs w:val="16"/>
              </w:rPr>
            </w:pPr>
            <w:r w:rsidRPr="006601BC">
              <w:rPr>
                <w:rFonts w:ascii="Calibri" w:hAnsi="Calibri"/>
                <w:noProof/>
                <w:color w:val="000000"/>
                <w:sz w:val="22"/>
              </w:rPr>
              <w:t>0,024</w:t>
            </w:r>
          </w:p>
        </w:tc>
        <w:tc>
          <w:tcPr>
            <w:tcW w:w="1080" w:type="dxa"/>
            <w:vAlign w:val="bottom"/>
          </w:tcPr>
          <w:p w14:paraId="1DC6B0D0" w14:textId="77777777" w:rsidR="007D7104" w:rsidRPr="006601BC" w:rsidRDefault="007D7104" w:rsidP="00190BB5">
            <w:pPr>
              <w:spacing w:before="60" w:after="60" w:line="200" w:lineRule="exact"/>
              <w:jc w:val="right"/>
              <w:rPr>
                <w:noProof/>
                <w:sz w:val="16"/>
                <w:szCs w:val="16"/>
              </w:rPr>
            </w:pPr>
            <w:r w:rsidRPr="006601BC">
              <w:rPr>
                <w:rFonts w:ascii="Calibri" w:hAnsi="Calibri"/>
                <w:noProof/>
                <w:color w:val="000000"/>
                <w:sz w:val="22"/>
              </w:rPr>
              <w:t>0,024</w:t>
            </w:r>
          </w:p>
        </w:tc>
        <w:tc>
          <w:tcPr>
            <w:tcW w:w="1080" w:type="dxa"/>
            <w:vAlign w:val="bottom"/>
          </w:tcPr>
          <w:p w14:paraId="6A79DC60" w14:textId="77777777" w:rsidR="007D7104" w:rsidRPr="006601BC" w:rsidRDefault="007D7104" w:rsidP="00190BB5">
            <w:pPr>
              <w:spacing w:before="60" w:after="60" w:line="200" w:lineRule="exact"/>
              <w:jc w:val="right"/>
              <w:rPr>
                <w:noProof/>
                <w:sz w:val="16"/>
                <w:szCs w:val="16"/>
              </w:rPr>
            </w:pPr>
            <w:r w:rsidRPr="006601BC">
              <w:rPr>
                <w:rFonts w:ascii="Calibri" w:hAnsi="Calibri"/>
                <w:noProof/>
                <w:color w:val="000000"/>
                <w:sz w:val="22"/>
              </w:rPr>
              <w:t>0,024</w:t>
            </w:r>
          </w:p>
        </w:tc>
        <w:tc>
          <w:tcPr>
            <w:tcW w:w="1080" w:type="dxa"/>
            <w:vAlign w:val="bottom"/>
          </w:tcPr>
          <w:p w14:paraId="60082D48" w14:textId="77777777" w:rsidR="007D7104" w:rsidRPr="006601BC" w:rsidRDefault="007D7104" w:rsidP="00190BB5">
            <w:pPr>
              <w:spacing w:before="60" w:after="60" w:line="200" w:lineRule="exact"/>
              <w:jc w:val="right"/>
              <w:rPr>
                <w:noProof/>
                <w:sz w:val="16"/>
                <w:szCs w:val="16"/>
              </w:rPr>
            </w:pPr>
            <w:r w:rsidRPr="006601BC">
              <w:rPr>
                <w:rFonts w:ascii="Calibri" w:hAnsi="Calibri"/>
                <w:noProof/>
                <w:color w:val="000000"/>
                <w:sz w:val="22"/>
              </w:rPr>
              <w:t>0,024</w:t>
            </w:r>
          </w:p>
        </w:tc>
        <w:tc>
          <w:tcPr>
            <w:tcW w:w="1080" w:type="dxa"/>
            <w:vAlign w:val="bottom"/>
          </w:tcPr>
          <w:p w14:paraId="34BE1E44" w14:textId="77777777" w:rsidR="007D7104" w:rsidRPr="006601BC" w:rsidRDefault="007D7104" w:rsidP="00190BB5">
            <w:pPr>
              <w:spacing w:before="60" w:after="60" w:line="200" w:lineRule="exact"/>
              <w:jc w:val="right"/>
              <w:rPr>
                <w:b/>
                <w:noProof/>
                <w:sz w:val="16"/>
                <w:szCs w:val="16"/>
              </w:rPr>
            </w:pPr>
            <w:r w:rsidRPr="006601BC">
              <w:rPr>
                <w:rFonts w:ascii="Calibri" w:hAnsi="Calibri"/>
                <w:noProof/>
                <w:color w:val="000000"/>
                <w:sz w:val="22"/>
              </w:rPr>
              <w:t>0,024</w:t>
            </w:r>
          </w:p>
        </w:tc>
        <w:tc>
          <w:tcPr>
            <w:tcW w:w="1080" w:type="dxa"/>
            <w:vAlign w:val="bottom"/>
          </w:tcPr>
          <w:p w14:paraId="7C9BDAE2" w14:textId="77777777" w:rsidR="007D7104" w:rsidRPr="006601BC" w:rsidRDefault="007D7104" w:rsidP="00190BB5">
            <w:pPr>
              <w:spacing w:before="60" w:after="60" w:line="200" w:lineRule="exact"/>
              <w:jc w:val="right"/>
              <w:rPr>
                <w:b/>
                <w:noProof/>
                <w:sz w:val="16"/>
                <w:szCs w:val="16"/>
              </w:rPr>
            </w:pPr>
            <w:r w:rsidRPr="006601BC">
              <w:rPr>
                <w:rFonts w:ascii="Calibri" w:hAnsi="Calibri"/>
                <w:noProof/>
                <w:color w:val="000000"/>
                <w:sz w:val="22"/>
              </w:rPr>
              <w:t>0,142</w:t>
            </w:r>
          </w:p>
        </w:tc>
      </w:tr>
      <w:tr w:rsidR="007D7104" w:rsidRPr="006601BC" w14:paraId="25DF8A5B" w14:textId="77777777" w:rsidTr="00190BB5">
        <w:trPr>
          <w:trHeight w:val="585"/>
        </w:trPr>
        <w:tc>
          <w:tcPr>
            <w:tcW w:w="1980" w:type="dxa"/>
            <w:shd w:val="clear" w:color="auto" w:fill="CCCCCC"/>
            <w:vAlign w:val="center"/>
          </w:tcPr>
          <w:p w14:paraId="7E127EAE" w14:textId="77777777" w:rsidR="007D7104" w:rsidRPr="006601BC" w:rsidRDefault="007D7104" w:rsidP="00190BB5">
            <w:pPr>
              <w:spacing w:before="60" w:after="60" w:line="200" w:lineRule="exact"/>
              <w:jc w:val="center"/>
              <w:rPr>
                <w:b/>
                <w:noProof/>
                <w:sz w:val="16"/>
                <w:szCs w:val="16"/>
              </w:rPr>
            </w:pPr>
            <w:r w:rsidRPr="006601BC">
              <w:rPr>
                <w:b/>
                <w:noProof/>
                <w:sz w:val="16"/>
              </w:rPr>
              <w:t xml:space="preserve">A többéves pénzügyi keret </w:t>
            </w:r>
            <w:r w:rsidRPr="006601BC">
              <w:rPr>
                <w:noProof/>
              </w:rPr>
              <w:t xml:space="preserve"> </w:t>
            </w:r>
            <w:r w:rsidRPr="006601BC">
              <w:rPr>
                <w:noProof/>
              </w:rPr>
              <w:br/>
            </w:r>
            <w:r w:rsidRPr="006601BC">
              <w:rPr>
                <w:b/>
                <w:noProof/>
                <w:sz w:val="16"/>
              </w:rPr>
              <w:t xml:space="preserve"> 7. FEJEZETÉBE bele nem tartozó</w:t>
            </w:r>
            <w:r w:rsidRPr="006601BC">
              <w:rPr>
                <w:noProof/>
              </w:rPr>
              <w:t xml:space="preserve"> </w:t>
            </w:r>
            <w:r w:rsidRPr="006601BC">
              <w:rPr>
                <w:noProof/>
              </w:rPr>
              <w:br/>
            </w:r>
            <w:r w:rsidRPr="006601BC">
              <w:rPr>
                <w:b/>
                <w:noProof/>
                <w:sz w:val="16"/>
              </w:rPr>
              <w:t xml:space="preserve">előirányzatok részösszege </w:t>
            </w:r>
          </w:p>
        </w:tc>
        <w:tc>
          <w:tcPr>
            <w:tcW w:w="1080" w:type="dxa"/>
            <w:vAlign w:val="bottom"/>
          </w:tcPr>
          <w:p w14:paraId="2692DB97" w14:textId="77777777" w:rsidR="007D7104" w:rsidRPr="006601BC" w:rsidRDefault="007D7104" w:rsidP="00190BB5">
            <w:pPr>
              <w:spacing w:before="60" w:after="60" w:line="200" w:lineRule="exact"/>
              <w:jc w:val="right"/>
              <w:rPr>
                <w:noProof/>
                <w:sz w:val="16"/>
                <w:szCs w:val="16"/>
              </w:rPr>
            </w:pPr>
            <w:r w:rsidRPr="006601BC">
              <w:rPr>
                <w:rFonts w:ascii="Calibri" w:hAnsi="Calibri"/>
                <w:b/>
                <w:bCs/>
                <w:noProof/>
                <w:color w:val="000000"/>
                <w:sz w:val="22"/>
              </w:rPr>
              <w:t>1,240</w:t>
            </w:r>
          </w:p>
        </w:tc>
        <w:tc>
          <w:tcPr>
            <w:tcW w:w="1080" w:type="dxa"/>
            <w:vAlign w:val="bottom"/>
          </w:tcPr>
          <w:p w14:paraId="6AFEFC81"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1,344</w:t>
            </w:r>
          </w:p>
        </w:tc>
        <w:tc>
          <w:tcPr>
            <w:tcW w:w="1080" w:type="dxa"/>
            <w:vAlign w:val="bottom"/>
          </w:tcPr>
          <w:p w14:paraId="5329DA19"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1,498</w:t>
            </w:r>
          </w:p>
        </w:tc>
        <w:tc>
          <w:tcPr>
            <w:tcW w:w="1080" w:type="dxa"/>
            <w:vAlign w:val="bottom"/>
          </w:tcPr>
          <w:p w14:paraId="07A0C707"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1,498</w:t>
            </w:r>
          </w:p>
        </w:tc>
        <w:tc>
          <w:tcPr>
            <w:tcW w:w="1080" w:type="dxa"/>
            <w:vAlign w:val="bottom"/>
          </w:tcPr>
          <w:p w14:paraId="3E001822"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1,498</w:t>
            </w:r>
          </w:p>
        </w:tc>
        <w:tc>
          <w:tcPr>
            <w:tcW w:w="1080" w:type="dxa"/>
            <w:vAlign w:val="bottom"/>
          </w:tcPr>
          <w:p w14:paraId="24AA99DC"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1,498</w:t>
            </w:r>
          </w:p>
        </w:tc>
        <w:tc>
          <w:tcPr>
            <w:tcW w:w="1080" w:type="dxa"/>
            <w:vAlign w:val="bottom"/>
          </w:tcPr>
          <w:p w14:paraId="3FDD47AA"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1,498</w:t>
            </w:r>
          </w:p>
        </w:tc>
        <w:tc>
          <w:tcPr>
            <w:tcW w:w="1080" w:type="dxa"/>
            <w:vAlign w:val="bottom"/>
          </w:tcPr>
          <w:p w14:paraId="27132E2F"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10,074</w:t>
            </w:r>
          </w:p>
        </w:tc>
      </w:tr>
    </w:tbl>
    <w:p w14:paraId="0BCB9144" w14:textId="77777777" w:rsidR="007D7104" w:rsidRPr="006601BC" w:rsidRDefault="007D7104" w:rsidP="007D7104">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D7104" w:rsidRPr="006601BC" w14:paraId="5F0A820E" w14:textId="77777777" w:rsidTr="00190BB5">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1B9086C4" w14:textId="77777777" w:rsidR="007D7104" w:rsidRPr="006601BC" w:rsidRDefault="007D7104" w:rsidP="00190BB5">
            <w:pPr>
              <w:spacing w:before="60" w:after="60" w:line="200" w:lineRule="exact"/>
              <w:jc w:val="center"/>
              <w:rPr>
                <w:noProof/>
                <w:sz w:val="16"/>
                <w:szCs w:val="16"/>
              </w:rPr>
            </w:pPr>
            <w:r w:rsidRPr="006601BC">
              <w:rPr>
                <w:b/>
                <w:noProof/>
                <w:sz w:val="16"/>
              </w:rPr>
              <w:t>ÖSSZESEN</w:t>
            </w:r>
          </w:p>
        </w:tc>
        <w:tc>
          <w:tcPr>
            <w:tcW w:w="1080" w:type="dxa"/>
            <w:tcBorders>
              <w:top w:val="single" w:sz="12" w:space="0" w:color="auto"/>
              <w:left w:val="single" w:sz="2" w:space="0" w:color="auto"/>
              <w:bottom w:val="single" w:sz="12" w:space="0" w:color="auto"/>
              <w:right w:val="single" w:sz="2" w:space="0" w:color="auto"/>
            </w:tcBorders>
            <w:vAlign w:val="bottom"/>
          </w:tcPr>
          <w:p w14:paraId="128ED55D"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7,016</w:t>
            </w:r>
          </w:p>
        </w:tc>
        <w:tc>
          <w:tcPr>
            <w:tcW w:w="1080" w:type="dxa"/>
            <w:tcBorders>
              <w:top w:val="single" w:sz="12" w:space="0" w:color="auto"/>
              <w:left w:val="single" w:sz="2" w:space="0" w:color="auto"/>
              <w:bottom w:val="single" w:sz="12" w:space="0" w:color="auto"/>
              <w:right w:val="single" w:sz="2" w:space="0" w:color="auto"/>
            </w:tcBorders>
            <w:vAlign w:val="bottom"/>
          </w:tcPr>
          <w:p w14:paraId="0C9C0131"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13,310</w:t>
            </w:r>
          </w:p>
        </w:tc>
        <w:tc>
          <w:tcPr>
            <w:tcW w:w="1080" w:type="dxa"/>
            <w:tcBorders>
              <w:top w:val="single" w:sz="12" w:space="0" w:color="auto"/>
              <w:left w:val="single" w:sz="2" w:space="0" w:color="auto"/>
              <w:bottom w:val="single" w:sz="12" w:space="0" w:color="auto"/>
              <w:right w:val="single" w:sz="2" w:space="0" w:color="auto"/>
            </w:tcBorders>
            <w:vAlign w:val="bottom"/>
          </w:tcPr>
          <w:p w14:paraId="57E67550"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17,006</w:t>
            </w:r>
          </w:p>
        </w:tc>
        <w:tc>
          <w:tcPr>
            <w:tcW w:w="1080" w:type="dxa"/>
            <w:tcBorders>
              <w:top w:val="single" w:sz="12" w:space="0" w:color="auto"/>
              <w:left w:val="single" w:sz="2" w:space="0" w:color="auto"/>
              <w:bottom w:val="single" w:sz="12" w:space="0" w:color="auto"/>
              <w:right w:val="single" w:sz="2" w:space="0" w:color="auto"/>
            </w:tcBorders>
            <w:vAlign w:val="bottom"/>
          </w:tcPr>
          <w:p w14:paraId="3F2F66F6"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17,006</w:t>
            </w:r>
          </w:p>
        </w:tc>
        <w:tc>
          <w:tcPr>
            <w:tcW w:w="1080" w:type="dxa"/>
            <w:tcBorders>
              <w:top w:val="single" w:sz="12" w:space="0" w:color="auto"/>
              <w:left w:val="single" w:sz="2" w:space="0" w:color="auto"/>
              <w:bottom w:val="single" w:sz="12" w:space="0" w:color="auto"/>
              <w:right w:val="single" w:sz="2" w:space="0" w:color="auto"/>
            </w:tcBorders>
            <w:vAlign w:val="bottom"/>
          </w:tcPr>
          <w:p w14:paraId="188DD099"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17,006</w:t>
            </w:r>
          </w:p>
        </w:tc>
        <w:tc>
          <w:tcPr>
            <w:tcW w:w="1080" w:type="dxa"/>
            <w:tcBorders>
              <w:top w:val="single" w:sz="12" w:space="0" w:color="auto"/>
              <w:left w:val="single" w:sz="2" w:space="0" w:color="auto"/>
              <w:bottom w:val="single" w:sz="12" w:space="0" w:color="auto"/>
              <w:right w:val="single" w:sz="2" w:space="0" w:color="auto"/>
            </w:tcBorders>
            <w:vAlign w:val="bottom"/>
          </w:tcPr>
          <w:p w14:paraId="13884045"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17,006</w:t>
            </w:r>
          </w:p>
        </w:tc>
        <w:tc>
          <w:tcPr>
            <w:tcW w:w="1080" w:type="dxa"/>
            <w:tcBorders>
              <w:top w:val="single" w:sz="12" w:space="0" w:color="auto"/>
              <w:left w:val="single" w:sz="2" w:space="0" w:color="auto"/>
              <w:bottom w:val="single" w:sz="12" w:space="0" w:color="auto"/>
              <w:right w:val="single" w:sz="2" w:space="0" w:color="auto"/>
            </w:tcBorders>
            <w:vAlign w:val="bottom"/>
          </w:tcPr>
          <w:p w14:paraId="6D1663DE"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17,006</w:t>
            </w:r>
          </w:p>
        </w:tc>
        <w:tc>
          <w:tcPr>
            <w:tcW w:w="1080" w:type="dxa"/>
            <w:tcBorders>
              <w:top w:val="single" w:sz="12" w:space="0" w:color="auto"/>
              <w:left w:val="single" w:sz="2" w:space="0" w:color="auto"/>
              <w:bottom w:val="single" w:sz="12" w:space="0" w:color="auto"/>
              <w:right w:val="single" w:sz="12" w:space="0" w:color="auto"/>
            </w:tcBorders>
            <w:vAlign w:val="bottom"/>
          </w:tcPr>
          <w:p w14:paraId="0F021C76" w14:textId="77777777" w:rsidR="007D7104" w:rsidRPr="006601BC" w:rsidRDefault="007D7104" w:rsidP="00190BB5">
            <w:pPr>
              <w:spacing w:before="60" w:after="60" w:line="200" w:lineRule="exact"/>
              <w:jc w:val="right"/>
              <w:rPr>
                <w:b/>
                <w:noProof/>
                <w:sz w:val="16"/>
                <w:szCs w:val="16"/>
              </w:rPr>
            </w:pPr>
            <w:r w:rsidRPr="006601BC">
              <w:rPr>
                <w:rFonts w:ascii="Calibri" w:hAnsi="Calibri"/>
                <w:b/>
                <w:bCs/>
                <w:noProof/>
                <w:color w:val="000000"/>
                <w:sz w:val="22"/>
              </w:rPr>
              <w:t>105,356</w:t>
            </w:r>
          </w:p>
        </w:tc>
      </w:tr>
    </w:tbl>
    <w:p w14:paraId="312C2CDA" w14:textId="77777777" w:rsidR="007D7104" w:rsidRPr="006601BC" w:rsidRDefault="007D7104" w:rsidP="007D7104">
      <w:pPr>
        <w:rPr>
          <w:noProof/>
          <w:sz w:val="18"/>
        </w:rPr>
      </w:pPr>
      <w:r w:rsidRPr="006601BC">
        <w:rPr>
          <w:noProof/>
          <w:sz w:val="18"/>
        </w:rPr>
        <w:t>A humánerőforrással és más igazgatási jellegű kiadásokkal kapcsolatos előirányzat-igényeket a Bizottság rendelkezésére álló, az intézkedés irányításához rendelt előirányzatokkal és/vagy a Bizottságon belüli átcsoportosítással kell teljesíteni. A források adott esetben a költségvetési korlátok betartása mellett kiegészíthetők az éves elosztási eljárás keretében az irányító főigazgatósághoz rendelt további allokációkkal.</w:t>
      </w:r>
    </w:p>
    <w:p w14:paraId="06C171E7" w14:textId="77777777" w:rsidR="007D7104" w:rsidRPr="006601BC" w:rsidRDefault="007D7104" w:rsidP="007D7104">
      <w:pPr>
        <w:rPr>
          <w:noProof/>
          <w:sz w:val="18"/>
        </w:rPr>
      </w:pPr>
    </w:p>
    <w:p w14:paraId="463B6211" w14:textId="77777777" w:rsidR="007D7104" w:rsidRPr="006601BC" w:rsidRDefault="007D7104" w:rsidP="007D7104">
      <w:pPr>
        <w:rPr>
          <w:noProof/>
          <w:sz w:val="18"/>
        </w:rPr>
      </w:pPr>
    </w:p>
    <w:p w14:paraId="6F2DF406" w14:textId="77777777" w:rsidR="007D7104" w:rsidRPr="006601BC" w:rsidRDefault="007D7104" w:rsidP="007D7104">
      <w:pPr>
        <w:rPr>
          <w:noProof/>
          <w:sz w:val="18"/>
        </w:rPr>
      </w:pPr>
    </w:p>
    <w:p w14:paraId="50F77FD1" w14:textId="42592687" w:rsidR="007D7104" w:rsidRPr="006601BC" w:rsidRDefault="00BB68C4" w:rsidP="00BB68C4">
      <w:pPr>
        <w:pStyle w:val="ManualHeading4"/>
        <w:rPr>
          <w:bCs/>
          <w:noProof/>
          <w:szCs w:val="24"/>
        </w:rPr>
      </w:pPr>
      <w:r w:rsidRPr="00BB68C4">
        <w:t>3.2.3.1.</w:t>
      </w:r>
      <w:r w:rsidRPr="00BB68C4">
        <w:tab/>
      </w:r>
      <w:r w:rsidR="007D7104" w:rsidRPr="006601BC">
        <w:rPr>
          <w:noProof/>
        </w:rPr>
        <w:t xml:space="preserve">Becsült humánerőforrás-szükségletek </w:t>
      </w:r>
    </w:p>
    <w:p w14:paraId="41EF55A9" w14:textId="77777777" w:rsidR="007D7104" w:rsidRPr="006601BC" w:rsidRDefault="007D7104" w:rsidP="0073554F">
      <w:pPr>
        <w:pStyle w:val="ListDash1"/>
        <w:numPr>
          <w:ilvl w:val="0"/>
          <w:numId w:val="18"/>
        </w:numPr>
        <w:spacing w:before="120" w:after="120"/>
        <w:rPr>
          <w:noProof/>
        </w:rPr>
      </w:pPr>
      <w:r w:rsidRPr="006601BC">
        <w:rPr>
          <w:noProof/>
        </w:rPr>
        <w:sym w:font="Wingdings" w:char="F0A8"/>
      </w:r>
      <w:r w:rsidRPr="006601BC">
        <w:rPr>
          <w:noProof/>
        </w:rPr>
        <w:tab/>
        <w:t xml:space="preserve">A javaslat/kezdeményezés nem igényel humánerőforrást. </w:t>
      </w:r>
    </w:p>
    <w:p w14:paraId="15B5FAFB" w14:textId="77777777" w:rsidR="007D7104" w:rsidRPr="006601BC" w:rsidRDefault="007D7104" w:rsidP="0073554F">
      <w:pPr>
        <w:pStyle w:val="ListDash1"/>
        <w:numPr>
          <w:ilvl w:val="0"/>
          <w:numId w:val="18"/>
        </w:numPr>
        <w:spacing w:before="120" w:after="120"/>
        <w:rPr>
          <w:noProof/>
        </w:rPr>
      </w:pPr>
      <w:r w:rsidRPr="006601BC">
        <w:rPr>
          <w:noProof/>
        </w:rPr>
        <w:t>X</w:t>
      </w:r>
      <w:r w:rsidRPr="006601BC">
        <w:rPr>
          <w:noProof/>
        </w:rPr>
        <w:tab/>
        <w:t>A javaslat/kezdeményezés az alábbi humánerőforrás-igénnyel jár:</w:t>
      </w:r>
    </w:p>
    <w:p w14:paraId="016A26B6" w14:textId="77777777" w:rsidR="007D7104" w:rsidRPr="006601BC" w:rsidRDefault="007D7104" w:rsidP="007D7104">
      <w:pPr>
        <w:spacing w:after="60"/>
        <w:jc w:val="right"/>
        <w:rPr>
          <w:i/>
          <w:noProof/>
          <w:sz w:val="20"/>
        </w:rPr>
      </w:pPr>
      <w:r w:rsidRPr="006601BC">
        <w:rPr>
          <w:i/>
          <w:noProof/>
          <w:sz w:val="20"/>
        </w:rPr>
        <w:t>A becsléseket teljes munkaidős egyenértékben kell kifejezni</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7D7104" w:rsidRPr="006601BC" w14:paraId="2D8E413D" w14:textId="77777777" w:rsidTr="00190BB5">
        <w:trPr>
          <w:gridBefore w:val="1"/>
          <w:wBefore w:w="15" w:type="dxa"/>
          <w:trHeight w:val="289"/>
          <w:jc w:val="center"/>
        </w:trPr>
        <w:tc>
          <w:tcPr>
            <w:tcW w:w="4754" w:type="dxa"/>
            <w:gridSpan w:val="2"/>
            <w:shd w:val="clear" w:color="auto" w:fill="auto"/>
          </w:tcPr>
          <w:p w14:paraId="605BB815" w14:textId="77777777" w:rsidR="007D7104" w:rsidRPr="006601BC" w:rsidRDefault="007D7104" w:rsidP="00190BB5">
            <w:pPr>
              <w:pStyle w:val="Text1"/>
              <w:spacing w:before="40" w:after="40"/>
              <w:ind w:left="0"/>
              <w:jc w:val="center"/>
              <w:rPr>
                <w:i/>
                <w:noProof/>
                <w:sz w:val="16"/>
                <w:szCs w:val="16"/>
              </w:rPr>
            </w:pPr>
          </w:p>
        </w:tc>
        <w:tc>
          <w:tcPr>
            <w:tcW w:w="731" w:type="dxa"/>
            <w:shd w:val="clear" w:color="auto" w:fill="auto"/>
            <w:vAlign w:val="center"/>
          </w:tcPr>
          <w:p w14:paraId="39B1DEAA" w14:textId="77777777" w:rsidR="007D7104" w:rsidRPr="006601BC" w:rsidRDefault="007D7104" w:rsidP="00190BB5">
            <w:pPr>
              <w:spacing w:before="20" w:after="20"/>
              <w:jc w:val="center"/>
              <w:rPr>
                <w:noProof/>
                <w:sz w:val="16"/>
                <w:szCs w:val="16"/>
              </w:rPr>
            </w:pPr>
            <w:r w:rsidRPr="006601BC">
              <w:rPr>
                <w:b/>
                <w:noProof/>
                <w:sz w:val="20"/>
              </w:rPr>
              <w:t>2021</w:t>
            </w:r>
          </w:p>
        </w:tc>
        <w:tc>
          <w:tcPr>
            <w:tcW w:w="731" w:type="dxa"/>
            <w:shd w:val="clear" w:color="auto" w:fill="auto"/>
            <w:vAlign w:val="center"/>
          </w:tcPr>
          <w:p w14:paraId="77B7E750" w14:textId="77777777" w:rsidR="007D7104" w:rsidRPr="006601BC" w:rsidRDefault="007D7104" w:rsidP="00190BB5">
            <w:pPr>
              <w:spacing w:before="20" w:after="20"/>
              <w:jc w:val="center"/>
              <w:rPr>
                <w:noProof/>
                <w:sz w:val="16"/>
                <w:szCs w:val="16"/>
              </w:rPr>
            </w:pPr>
            <w:r w:rsidRPr="006601BC">
              <w:rPr>
                <w:b/>
                <w:noProof/>
                <w:sz w:val="20"/>
              </w:rPr>
              <w:t>2022</w:t>
            </w:r>
          </w:p>
        </w:tc>
        <w:tc>
          <w:tcPr>
            <w:tcW w:w="731" w:type="dxa"/>
            <w:shd w:val="clear" w:color="auto" w:fill="auto"/>
            <w:vAlign w:val="center"/>
          </w:tcPr>
          <w:p w14:paraId="6531D3CF" w14:textId="77777777" w:rsidR="007D7104" w:rsidRPr="006601BC" w:rsidRDefault="007D7104" w:rsidP="00190BB5">
            <w:pPr>
              <w:spacing w:before="20" w:after="20"/>
              <w:jc w:val="center"/>
              <w:rPr>
                <w:noProof/>
                <w:sz w:val="16"/>
                <w:szCs w:val="16"/>
              </w:rPr>
            </w:pPr>
            <w:r w:rsidRPr="006601BC">
              <w:rPr>
                <w:b/>
                <w:noProof/>
                <w:sz w:val="20"/>
              </w:rPr>
              <w:t>2023</w:t>
            </w:r>
          </w:p>
        </w:tc>
        <w:tc>
          <w:tcPr>
            <w:tcW w:w="731" w:type="dxa"/>
            <w:shd w:val="clear" w:color="auto" w:fill="auto"/>
            <w:vAlign w:val="center"/>
          </w:tcPr>
          <w:p w14:paraId="43978DD5" w14:textId="77777777" w:rsidR="007D7104" w:rsidRPr="006601BC" w:rsidRDefault="007D7104" w:rsidP="00190BB5">
            <w:pPr>
              <w:spacing w:before="20" w:after="20"/>
              <w:jc w:val="center"/>
              <w:rPr>
                <w:noProof/>
                <w:sz w:val="16"/>
                <w:szCs w:val="16"/>
              </w:rPr>
            </w:pPr>
            <w:r w:rsidRPr="006601BC">
              <w:rPr>
                <w:b/>
                <w:noProof/>
                <w:sz w:val="20"/>
              </w:rPr>
              <w:t>2024</w:t>
            </w:r>
          </w:p>
        </w:tc>
        <w:tc>
          <w:tcPr>
            <w:tcW w:w="731" w:type="dxa"/>
            <w:shd w:val="clear" w:color="auto" w:fill="auto"/>
            <w:vAlign w:val="center"/>
          </w:tcPr>
          <w:p w14:paraId="2828F1DB" w14:textId="77777777" w:rsidR="007D7104" w:rsidRPr="006601BC" w:rsidRDefault="007D7104" w:rsidP="00190BB5">
            <w:pPr>
              <w:jc w:val="center"/>
              <w:rPr>
                <w:b/>
                <w:noProof/>
                <w:sz w:val="16"/>
                <w:szCs w:val="16"/>
              </w:rPr>
            </w:pPr>
            <w:r w:rsidRPr="006601BC">
              <w:rPr>
                <w:b/>
                <w:noProof/>
                <w:sz w:val="18"/>
              </w:rPr>
              <w:t>2025</w:t>
            </w:r>
          </w:p>
        </w:tc>
        <w:tc>
          <w:tcPr>
            <w:tcW w:w="731" w:type="dxa"/>
            <w:shd w:val="clear" w:color="auto" w:fill="auto"/>
            <w:vAlign w:val="center"/>
          </w:tcPr>
          <w:p w14:paraId="45D3315B" w14:textId="77777777" w:rsidR="007D7104" w:rsidRPr="006601BC" w:rsidRDefault="007D7104" w:rsidP="00190BB5">
            <w:pPr>
              <w:jc w:val="center"/>
              <w:rPr>
                <w:b/>
                <w:noProof/>
                <w:sz w:val="16"/>
                <w:szCs w:val="16"/>
              </w:rPr>
            </w:pPr>
            <w:r w:rsidRPr="006601BC">
              <w:rPr>
                <w:b/>
                <w:noProof/>
                <w:sz w:val="16"/>
                <w:szCs w:val="16"/>
              </w:rPr>
              <w:t>2026</w:t>
            </w:r>
          </w:p>
        </w:tc>
        <w:tc>
          <w:tcPr>
            <w:tcW w:w="731" w:type="dxa"/>
            <w:shd w:val="clear" w:color="auto" w:fill="auto"/>
            <w:vAlign w:val="center"/>
          </w:tcPr>
          <w:p w14:paraId="52193EE2" w14:textId="77777777" w:rsidR="007D7104" w:rsidRPr="006601BC" w:rsidRDefault="007D7104" w:rsidP="00190BB5">
            <w:pPr>
              <w:jc w:val="center"/>
              <w:rPr>
                <w:b/>
                <w:noProof/>
                <w:sz w:val="16"/>
                <w:szCs w:val="16"/>
              </w:rPr>
            </w:pPr>
            <w:r w:rsidRPr="006601BC">
              <w:rPr>
                <w:b/>
                <w:noProof/>
                <w:sz w:val="16"/>
                <w:szCs w:val="16"/>
              </w:rPr>
              <w:t>2027</w:t>
            </w:r>
          </w:p>
        </w:tc>
      </w:tr>
      <w:tr w:rsidR="007D7104" w:rsidRPr="006601BC" w14:paraId="7E274F48" w14:textId="77777777" w:rsidTr="00190BB5">
        <w:trPr>
          <w:gridBefore w:val="1"/>
          <w:wBefore w:w="15" w:type="dxa"/>
          <w:trHeight w:val="289"/>
          <w:jc w:val="center"/>
        </w:trPr>
        <w:tc>
          <w:tcPr>
            <w:tcW w:w="9871" w:type="dxa"/>
            <w:gridSpan w:val="9"/>
            <w:shd w:val="clear" w:color="auto" w:fill="auto"/>
          </w:tcPr>
          <w:p w14:paraId="45699288" w14:textId="77777777" w:rsidR="007D7104" w:rsidRPr="006601BC" w:rsidRDefault="007D7104" w:rsidP="00190BB5">
            <w:pPr>
              <w:jc w:val="left"/>
              <w:rPr>
                <w:noProof/>
                <w:sz w:val="16"/>
                <w:szCs w:val="16"/>
              </w:rPr>
            </w:pPr>
            <w:r w:rsidRPr="006601BC">
              <w:rPr>
                <w:b/>
                <w:noProof/>
                <w:sz w:val="16"/>
              </w:rPr>
              <w:sym w:font="Wingdings" w:char="F09F"/>
            </w:r>
            <w:r w:rsidRPr="006601BC">
              <w:rPr>
                <w:b/>
                <w:noProof/>
                <w:sz w:val="16"/>
              </w:rPr>
              <w:t xml:space="preserve"> A létszámtervben szereplő álláshelyek (tisztviselők és ideiglenes alkalmazottak)</w:t>
            </w:r>
          </w:p>
        </w:tc>
      </w:tr>
      <w:tr w:rsidR="007D7104" w:rsidRPr="006601BC" w14:paraId="4C7D83D8" w14:textId="77777777" w:rsidTr="00190BB5">
        <w:trPr>
          <w:gridBefore w:val="1"/>
          <w:wBefore w:w="15" w:type="dxa"/>
          <w:trHeight w:val="289"/>
          <w:jc w:val="center"/>
        </w:trPr>
        <w:tc>
          <w:tcPr>
            <w:tcW w:w="4754" w:type="dxa"/>
            <w:gridSpan w:val="2"/>
            <w:shd w:val="clear" w:color="auto" w:fill="auto"/>
            <w:vAlign w:val="center"/>
          </w:tcPr>
          <w:p w14:paraId="4519823B" w14:textId="77777777" w:rsidR="007D7104" w:rsidRPr="006601BC" w:rsidRDefault="007D7104" w:rsidP="00190BB5">
            <w:pPr>
              <w:pStyle w:val="Text1"/>
              <w:spacing w:beforeLines="20" w:before="48" w:afterLines="20" w:after="48"/>
              <w:ind w:left="134"/>
              <w:jc w:val="left"/>
              <w:rPr>
                <w:b/>
                <w:noProof/>
                <w:sz w:val="16"/>
                <w:szCs w:val="16"/>
              </w:rPr>
            </w:pPr>
            <w:r w:rsidRPr="006601BC">
              <w:rPr>
                <w:noProof/>
                <w:sz w:val="16"/>
              </w:rPr>
              <w:t>20 01 02 01</w:t>
            </w:r>
            <w:r w:rsidRPr="006601BC">
              <w:rPr>
                <w:rFonts w:ascii="Arial Narrow" w:hAnsi="Arial Narrow"/>
                <w:noProof/>
                <w:color w:val="000000"/>
                <w:sz w:val="20"/>
                <w:szCs w:val="20"/>
              </w:rPr>
              <w:t xml:space="preserve"> </w:t>
            </w:r>
            <w:r w:rsidRPr="006601BC">
              <w:rPr>
                <w:noProof/>
                <w:sz w:val="16"/>
              </w:rPr>
              <w:t>(a központban és a bizottsági képviseleteken)</w:t>
            </w:r>
          </w:p>
        </w:tc>
        <w:tc>
          <w:tcPr>
            <w:tcW w:w="731" w:type="dxa"/>
            <w:shd w:val="clear" w:color="auto" w:fill="auto"/>
            <w:vAlign w:val="center"/>
          </w:tcPr>
          <w:p w14:paraId="7EA5DBAF" w14:textId="77777777" w:rsidR="007D7104" w:rsidRPr="006601BC" w:rsidRDefault="007D7104" w:rsidP="00190BB5">
            <w:pPr>
              <w:spacing w:beforeLines="20" w:before="48" w:afterLines="20" w:after="48"/>
              <w:jc w:val="center"/>
              <w:rPr>
                <w:noProof/>
                <w:sz w:val="16"/>
                <w:szCs w:val="16"/>
              </w:rPr>
            </w:pPr>
            <w:r w:rsidRPr="006601BC">
              <w:rPr>
                <w:noProof/>
                <w:sz w:val="16"/>
                <w:szCs w:val="16"/>
              </w:rPr>
              <w:t>38</w:t>
            </w:r>
          </w:p>
        </w:tc>
        <w:tc>
          <w:tcPr>
            <w:tcW w:w="731" w:type="dxa"/>
            <w:shd w:val="clear" w:color="auto" w:fill="auto"/>
            <w:vAlign w:val="center"/>
          </w:tcPr>
          <w:p w14:paraId="3BE9C900" w14:textId="77777777" w:rsidR="007D7104" w:rsidRPr="006601BC" w:rsidRDefault="007D7104" w:rsidP="00190BB5">
            <w:pPr>
              <w:spacing w:beforeLines="20" w:before="48" w:afterLines="20" w:after="48"/>
              <w:jc w:val="center"/>
              <w:rPr>
                <w:noProof/>
                <w:sz w:val="16"/>
                <w:szCs w:val="16"/>
              </w:rPr>
            </w:pPr>
            <w:r w:rsidRPr="006601BC">
              <w:rPr>
                <w:noProof/>
                <w:sz w:val="16"/>
                <w:szCs w:val="16"/>
              </w:rPr>
              <w:t>59</w:t>
            </w:r>
          </w:p>
        </w:tc>
        <w:tc>
          <w:tcPr>
            <w:tcW w:w="731" w:type="dxa"/>
            <w:shd w:val="clear" w:color="auto" w:fill="auto"/>
          </w:tcPr>
          <w:p w14:paraId="12D0EBBB" w14:textId="77777777" w:rsidR="007D7104" w:rsidRPr="006601BC" w:rsidRDefault="007D7104" w:rsidP="00190BB5">
            <w:pPr>
              <w:spacing w:beforeLines="20" w:before="48" w:afterLines="20" w:after="48"/>
              <w:jc w:val="center"/>
              <w:rPr>
                <w:noProof/>
                <w:sz w:val="16"/>
                <w:szCs w:val="16"/>
              </w:rPr>
            </w:pPr>
            <w:r w:rsidRPr="006601BC">
              <w:rPr>
                <w:noProof/>
                <w:sz w:val="16"/>
                <w:szCs w:val="16"/>
              </w:rPr>
              <w:t>82</w:t>
            </w:r>
          </w:p>
        </w:tc>
        <w:tc>
          <w:tcPr>
            <w:tcW w:w="731" w:type="dxa"/>
            <w:shd w:val="clear" w:color="auto" w:fill="auto"/>
          </w:tcPr>
          <w:p w14:paraId="73F01988" w14:textId="77777777" w:rsidR="007D7104" w:rsidRPr="006601BC" w:rsidRDefault="007D7104" w:rsidP="00190BB5">
            <w:pPr>
              <w:spacing w:beforeLines="20" w:before="48" w:afterLines="20" w:after="48"/>
              <w:jc w:val="center"/>
              <w:rPr>
                <w:noProof/>
                <w:sz w:val="16"/>
                <w:szCs w:val="16"/>
              </w:rPr>
            </w:pPr>
            <w:r w:rsidRPr="006601BC">
              <w:rPr>
                <w:noProof/>
                <w:sz w:val="16"/>
                <w:szCs w:val="16"/>
              </w:rPr>
              <w:t>82</w:t>
            </w:r>
          </w:p>
        </w:tc>
        <w:tc>
          <w:tcPr>
            <w:tcW w:w="731" w:type="dxa"/>
            <w:shd w:val="clear" w:color="auto" w:fill="auto"/>
          </w:tcPr>
          <w:p w14:paraId="5D1063E0" w14:textId="77777777" w:rsidR="007D7104" w:rsidRPr="006601BC" w:rsidRDefault="007D7104" w:rsidP="00190BB5">
            <w:pPr>
              <w:spacing w:beforeLines="20" w:before="48" w:afterLines="20" w:after="48"/>
              <w:jc w:val="center"/>
              <w:rPr>
                <w:noProof/>
                <w:sz w:val="16"/>
                <w:szCs w:val="16"/>
              </w:rPr>
            </w:pPr>
            <w:r w:rsidRPr="006601BC">
              <w:rPr>
                <w:noProof/>
                <w:sz w:val="16"/>
                <w:szCs w:val="16"/>
              </w:rPr>
              <w:t>82</w:t>
            </w:r>
          </w:p>
        </w:tc>
        <w:tc>
          <w:tcPr>
            <w:tcW w:w="731" w:type="dxa"/>
            <w:shd w:val="clear" w:color="auto" w:fill="auto"/>
          </w:tcPr>
          <w:p w14:paraId="58D470C0" w14:textId="77777777" w:rsidR="007D7104" w:rsidRPr="006601BC" w:rsidRDefault="007D7104" w:rsidP="00190BB5">
            <w:pPr>
              <w:spacing w:beforeLines="20" w:before="48" w:afterLines="20" w:after="48"/>
              <w:jc w:val="center"/>
              <w:rPr>
                <w:noProof/>
                <w:sz w:val="16"/>
                <w:szCs w:val="16"/>
              </w:rPr>
            </w:pPr>
            <w:r w:rsidRPr="006601BC">
              <w:rPr>
                <w:noProof/>
                <w:sz w:val="16"/>
                <w:szCs w:val="16"/>
              </w:rPr>
              <w:t>82</w:t>
            </w:r>
          </w:p>
        </w:tc>
        <w:tc>
          <w:tcPr>
            <w:tcW w:w="731" w:type="dxa"/>
            <w:shd w:val="clear" w:color="auto" w:fill="auto"/>
          </w:tcPr>
          <w:p w14:paraId="68F65090" w14:textId="77777777" w:rsidR="007D7104" w:rsidRPr="006601BC" w:rsidRDefault="007D7104" w:rsidP="00190BB5">
            <w:pPr>
              <w:spacing w:beforeLines="20" w:before="48" w:afterLines="20" w:after="48"/>
              <w:jc w:val="center"/>
              <w:rPr>
                <w:noProof/>
                <w:sz w:val="16"/>
                <w:szCs w:val="16"/>
              </w:rPr>
            </w:pPr>
            <w:r w:rsidRPr="006601BC">
              <w:rPr>
                <w:noProof/>
                <w:sz w:val="16"/>
                <w:szCs w:val="16"/>
              </w:rPr>
              <w:t>82</w:t>
            </w:r>
          </w:p>
        </w:tc>
      </w:tr>
      <w:tr w:rsidR="007D7104" w:rsidRPr="006601BC" w14:paraId="55C033BD" w14:textId="77777777" w:rsidTr="00190BB5">
        <w:trPr>
          <w:gridBefore w:val="1"/>
          <w:wBefore w:w="15" w:type="dxa"/>
          <w:trHeight w:val="289"/>
          <w:jc w:val="center"/>
        </w:trPr>
        <w:tc>
          <w:tcPr>
            <w:tcW w:w="4754" w:type="dxa"/>
            <w:gridSpan w:val="2"/>
            <w:shd w:val="clear" w:color="auto" w:fill="auto"/>
            <w:vAlign w:val="center"/>
          </w:tcPr>
          <w:p w14:paraId="0637E604" w14:textId="77777777" w:rsidR="007D7104" w:rsidRPr="006601BC" w:rsidRDefault="007D7104" w:rsidP="00190BB5">
            <w:pPr>
              <w:pStyle w:val="Text1"/>
              <w:spacing w:beforeLines="20" w:before="48" w:afterLines="20" w:after="48"/>
              <w:ind w:left="134"/>
              <w:jc w:val="left"/>
              <w:rPr>
                <w:noProof/>
                <w:sz w:val="16"/>
              </w:rPr>
            </w:pPr>
            <w:r w:rsidRPr="006601BC">
              <w:rPr>
                <w:noProof/>
                <w:sz w:val="16"/>
              </w:rPr>
              <w:t>20 01 02 03 (a küldöttségeknél)</w:t>
            </w:r>
          </w:p>
        </w:tc>
        <w:tc>
          <w:tcPr>
            <w:tcW w:w="731" w:type="dxa"/>
            <w:shd w:val="clear" w:color="auto" w:fill="auto"/>
            <w:vAlign w:val="center"/>
          </w:tcPr>
          <w:p w14:paraId="297FD430"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27FBF9C6"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08A9ED96"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7A0C3FFF"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430015CB"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7550E5D5"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3B8E1B75" w14:textId="77777777" w:rsidR="007D7104" w:rsidRPr="006601BC" w:rsidRDefault="007D7104" w:rsidP="00190BB5">
            <w:pPr>
              <w:spacing w:beforeLines="20" w:before="48" w:afterLines="20" w:after="48"/>
              <w:jc w:val="center"/>
              <w:rPr>
                <w:noProof/>
                <w:sz w:val="16"/>
                <w:szCs w:val="16"/>
              </w:rPr>
            </w:pPr>
          </w:p>
        </w:tc>
      </w:tr>
      <w:tr w:rsidR="007D7104" w:rsidRPr="006601BC" w14:paraId="5E843BDB" w14:textId="77777777" w:rsidTr="00190BB5">
        <w:trPr>
          <w:gridBefore w:val="1"/>
          <w:wBefore w:w="15" w:type="dxa"/>
          <w:trHeight w:val="289"/>
          <w:jc w:val="center"/>
        </w:trPr>
        <w:tc>
          <w:tcPr>
            <w:tcW w:w="4754" w:type="dxa"/>
            <w:gridSpan w:val="2"/>
            <w:shd w:val="clear" w:color="auto" w:fill="auto"/>
            <w:vAlign w:val="center"/>
          </w:tcPr>
          <w:p w14:paraId="498DCA80" w14:textId="77777777" w:rsidR="007D7104" w:rsidRPr="006F251E" w:rsidRDefault="007D7104" w:rsidP="00190BB5">
            <w:pPr>
              <w:pStyle w:val="Text1"/>
              <w:spacing w:beforeLines="20" w:before="48" w:afterLines="20" w:after="48"/>
              <w:ind w:left="134"/>
              <w:jc w:val="left"/>
              <w:rPr>
                <w:noProof/>
                <w:sz w:val="16"/>
                <w:szCs w:val="16"/>
              </w:rPr>
            </w:pPr>
            <w:r w:rsidRPr="006F251E">
              <w:rPr>
                <w:noProof/>
                <w:sz w:val="16"/>
                <w:szCs w:val="16"/>
              </w:rPr>
              <w:t>01 01 01 01 (közvetett kutatás)</w:t>
            </w:r>
          </w:p>
        </w:tc>
        <w:tc>
          <w:tcPr>
            <w:tcW w:w="731" w:type="dxa"/>
            <w:shd w:val="clear" w:color="auto" w:fill="auto"/>
            <w:vAlign w:val="center"/>
          </w:tcPr>
          <w:p w14:paraId="5F9E7F78" w14:textId="77777777" w:rsidR="007D7104" w:rsidRPr="006601BC" w:rsidRDefault="007D7104" w:rsidP="00190BB5">
            <w:pPr>
              <w:spacing w:beforeLines="20" w:before="48" w:afterLines="20" w:after="48"/>
              <w:jc w:val="center"/>
              <w:rPr>
                <w:noProof/>
                <w:sz w:val="16"/>
                <w:szCs w:val="16"/>
              </w:rPr>
            </w:pPr>
            <w:r w:rsidRPr="006601BC">
              <w:rPr>
                <w:noProof/>
                <w:sz w:val="16"/>
                <w:szCs w:val="16"/>
              </w:rPr>
              <w:t>6</w:t>
            </w:r>
          </w:p>
        </w:tc>
        <w:tc>
          <w:tcPr>
            <w:tcW w:w="731" w:type="dxa"/>
            <w:shd w:val="clear" w:color="auto" w:fill="auto"/>
            <w:vAlign w:val="center"/>
          </w:tcPr>
          <w:p w14:paraId="5E8CF8CE" w14:textId="77777777" w:rsidR="007D7104" w:rsidRPr="006601BC" w:rsidRDefault="007D7104" w:rsidP="00190BB5">
            <w:pPr>
              <w:spacing w:beforeLines="20" w:before="48" w:afterLines="20" w:after="48"/>
              <w:jc w:val="center"/>
              <w:rPr>
                <w:noProof/>
                <w:sz w:val="16"/>
                <w:szCs w:val="16"/>
              </w:rPr>
            </w:pPr>
            <w:r w:rsidRPr="006601BC">
              <w:rPr>
                <w:noProof/>
                <w:sz w:val="16"/>
                <w:szCs w:val="16"/>
              </w:rPr>
              <w:t>6</w:t>
            </w:r>
          </w:p>
        </w:tc>
        <w:tc>
          <w:tcPr>
            <w:tcW w:w="731" w:type="dxa"/>
            <w:shd w:val="clear" w:color="auto" w:fill="auto"/>
            <w:vAlign w:val="center"/>
          </w:tcPr>
          <w:p w14:paraId="6131EB59" w14:textId="77777777" w:rsidR="007D7104" w:rsidRPr="006601BC" w:rsidRDefault="007D7104" w:rsidP="00190BB5">
            <w:pPr>
              <w:spacing w:beforeLines="20" w:before="48" w:afterLines="20" w:after="48"/>
              <w:jc w:val="center"/>
              <w:rPr>
                <w:noProof/>
                <w:sz w:val="16"/>
                <w:szCs w:val="16"/>
              </w:rPr>
            </w:pPr>
            <w:r w:rsidRPr="006601BC">
              <w:rPr>
                <w:noProof/>
                <w:sz w:val="16"/>
                <w:szCs w:val="16"/>
              </w:rPr>
              <w:t>7</w:t>
            </w:r>
          </w:p>
        </w:tc>
        <w:tc>
          <w:tcPr>
            <w:tcW w:w="731" w:type="dxa"/>
            <w:shd w:val="clear" w:color="auto" w:fill="auto"/>
          </w:tcPr>
          <w:p w14:paraId="531EA07B" w14:textId="77777777" w:rsidR="007D7104" w:rsidRPr="006601BC" w:rsidRDefault="007D7104" w:rsidP="00190BB5">
            <w:pPr>
              <w:spacing w:beforeLines="20" w:before="48" w:afterLines="20" w:after="48"/>
              <w:jc w:val="center"/>
              <w:rPr>
                <w:noProof/>
                <w:sz w:val="16"/>
                <w:szCs w:val="16"/>
              </w:rPr>
            </w:pPr>
            <w:r w:rsidRPr="006601BC">
              <w:rPr>
                <w:noProof/>
                <w:sz w:val="16"/>
                <w:szCs w:val="16"/>
              </w:rPr>
              <w:t>7</w:t>
            </w:r>
          </w:p>
        </w:tc>
        <w:tc>
          <w:tcPr>
            <w:tcW w:w="731" w:type="dxa"/>
            <w:shd w:val="clear" w:color="auto" w:fill="auto"/>
          </w:tcPr>
          <w:p w14:paraId="58FF5EC8" w14:textId="77777777" w:rsidR="007D7104" w:rsidRPr="006601BC" w:rsidRDefault="007D7104" w:rsidP="00190BB5">
            <w:pPr>
              <w:spacing w:beforeLines="20" w:before="48" w:afterLines="20" w:after="48"/>
              <w:jc w:val="center"/>
              <w:rPr>
                <w:noProof/>
                <w:sz w:val="16"/>
                <w:szCs w:val="16"/>
              </w:rPr>
            </w:pPr>
            <w:r w:rsidRPr="006601BC">
              <w:rPr>
                <w:noProof/>
                <w:sz w:val="16"/>
                <w:szCs w:val="16"/>
              </w:rPr>
              <w:t>7</w:t>
            </w:r>
          </w:p>
        </w:tc>
        <w:tc>
          <w:tcPr>
            <w:tcW w:w="731" w:type="dxa"/>
            <w:shd w:val="clear" w:color="auto" w:fill="auto"/>
          </w:tcPr>
          <w:p w14:paraId="57E3FF2A" w14:textId="77777777" w:rsidR="007D7104" w:rsidRPr="006601BC" w:rsidRDefault="007D7104" w:rsidP="00190BB5">
            <w:pPr>
              <w:spacing w:beforeLines="20" w:before="48" w:afterLines="20" w:after="48"/>
              <w:jc w:val="center"/>
              <w:rPr>
                <w:noProof/>
                <w:sz w:val="16"/>
                <w:szCs w:val="16"/>
              </w:rPr>
            </w:pPr>
            <w:r w:rsidRPr="006601BC">
              <w:rPr>
                <w:noProof/>
                <w:sz w:val="16"/>
                <w:szCs w:val="16"/>
              </w:rPr>
              <w:t>7</w:t>
            </w:r>
          </w:p>
        </w:tc>
        <w:tc>
          <w:tcPr>
            <w:tcW w:w="731" w:type="dxa"/>
            <w:shd w:val="clear" w:color="auto" w:fill="auto"/>
          </w:tcPr>
          <w:p w14:paraId="60C0C64C" w14:textId="77777777" w:rsidR="007D7104" w:rsidRPr="006601BC" w:rsidRDefault="007D7104" w:rsidP="00190BB5">
            <w:pPr>
              <w:spacing w:beforeLines="20" w:before="48" w:afterLines="20" w:after="48"/>
              <w:jc w:val="center"/>
              <w:rPr>
                <w:noProof/>
                <w:sz w:val="16"/>
                <w:szCs w:val="16"/>
              </w:rPr>
            </w:pPr>
            <w:r w:rsidRPr="006601BC">
              <w:rPr>
                <w:noProof/>
                <w:sz w:val="16"/>
                <w:szCs w:val="16"/>
              </w:rPr>
              <w:t>7</w:t>
            </w:r>
          </w:p>
        </w:tc>
      </w:tr>
      <w:tr w:rsidR="007D7104" w:rsidRPr="006601BC" w14:paraId="17EE6EAF" w14:textId="77777777" w:rsidTr="00190BB5">
        <w:trPr>
          <w:gridBefore w:val="1"/>
          <w:wBefore w:w="15" w:type="dxa"/>
          <w:trHeight w:val="289"/>
          <w:jc w:val="center"/>
        </w:trPr>
        <w:tc>
          <w:tcPr>
            <w:tcW w:w="4754" w:type="dxa"/>
            <w:gridSpan w:val="2"/>
            <w:shd w:val="clear" w:color="auto" w:fill="auto"/>
            <w:vAlign w:val="center"/>
          </w:tcPr>
          <w:p w14:paraId="11F93021" w14:textId="77777777" w:rsidR="007D7104" w:rsidRPr="006601BC" w:rsidRDefault="007D7104" w:rsidP="00190BB5">
            <w:pPr>
              <w:pStyle w:val="Text1"/>
              <w:spacing w:beforeLines="20" w:before="48" w:afterLines="20" w:after="48"/>
              <w:ind w:left="134"/>
              <w:jc w:val="left"/>
              <w:rPr>
                <w:noProof/>
                <w:sz w:val="16"/>
                <w:szCs w:val="16"/>
              </w:rPr>
            </w:pPr>
            <w:r w:rsidRPr="006601BC">
              <w:rPr>
                <w:noProof/>
                <w:sz w:val="16"/>
              </w:rPr>
              <w:t xml:space="preserve"> 01 01 01 11 (közvetlen kutatás)</w:t>
            </w:r>
          </w:p>
        </w:tc>
        <w:tc>
          <w:tcPr>
            <w:tcW w:w="731" w:type="dxa"/>
            <w:shd w:val="clear" w:color="auto" w:fill="auto"/>
            <w:vAlign w:val="center"/>
          </w:tcPr>
          <w:p w14:paraId="1FB82739"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76C58940"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132F4A66"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1845DF22"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4B8DD80B"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1BA5FCC8"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49DF55E1" w14:textId="77777777" w:rsidR="007D7104" w:rsidRPr="006601BC" w:rsidRDefault="007D7104" w:rsidP="00190BB5">
            <w:pPr>
              <w:spacing w:beforeLines="20" w:before="48" w:afterLines="20" w:after="48"/>
              <w:jc w:val="center"/>
              <w:rPr>
                <w:noProof/>
                <w:sz w:val="16"/>
                <w:szCs w:val="16"/>
              </w:rPr>
            </w:pPr>
          </w:p>
        </w:tc>
      </w:tr>
      <w:tr w:rsidR="007D7104" w:rsidRPr="006601BC" w14:paraId="784A9E38" w14:textId="77777777" w:rsidTr="00190BB5">
        <w:trPr>
          <w:gridBefore w:val="1"/>
          <w:wBefore w:w="15" w:type="dxa"/>
          <w:trHeight w:val="289"/>
          <w:jc w:val="center"/>
        </w:trPr>
        <w:tc>
          <w:tcPr>
            <w:tcW w:w="4754" w:type="dxa"/>
            <w:gridSpan w:val="2"/>
            <w:shd w:val="clear" w:color="auto" w:fill="auto"/>
            <w:vAlign w:val="center"/>
          </w:tcPr>
          <w:p w14:paraId="3118F02A" w14:textId="77777777" w:rsidR="007D7104" w:rsidRPr="006601BC" w:rsidRDefault="007D7104" w:rsidP="00190BB5">
            <w:pPr>
              <w:pStyle w:val="Text1"/>
              <w:spacing w:beforeLines="20" w:before="48" w:afterLines="20" w:after="48"/>
              <w:ind w:left="134"/>
              <w:jc w:val="left"/>
              <w:rPr>
                <w:noProof/>
                <w:sz w:val="16"/>
              </w:rPr>
            </w:pPr>
            <w:r w:rsidRPr="006601BC">
              <w:rPr>
                <w:noProof/>
                <w:sz w:val="16"/>
              </w:rPr>
              <w:t>Egyéb költségvetési sor (kérjük megnevezni)</w:t>
            </w:r>
          </w:p>
        </w:tc>
        <w:tc>
          <w:tcPr>
            <w:tcW w:w="731" w:type="dxa"/>
            <w:shd w:val="clear" w:color="auto" w:fill="auto"/>
            <w:vAlign w:val="center"/>
          </w:tcPr>
          <w:p w14:paraId="24C244C4"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4BD4CDF2"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3DEDA657"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611320E2"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35E170AB"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24AC1F8C"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7A430603" w14:textId="77777777" w:rsidR="007D7104" w:rsidRPr="006601BC" w:rsidRDefault="007D7104" w:rsidP="00190BB5">
            <w:pPr>
              <w:spacing w:beforeLines="20" w:before="48" w:afterLines="20" w:after="48"/>
              <w:jc w:val="center"/>
              <w:rPr>
                <w:noProof/>
                <w:sz w:val="16"/>
                <w:szCs w:val="16"/>
              </w:rPr>
            </w:pPr>
          </w:p>
        </w:tc>
      </w:tr>
      <w:tr w:rsidR="007D7104" w:rsidRPr="006601BC" w14:paraId="47CCD567" w14:textId="77777777" w:rsidTr="00190BB5">
        <w:trPr>
          <w:trHeight w:val="248"/>
          <w:jc w:val="center"/>
        </w:trPr>
        <w:tc>
          <w:tcPr>
            <w:tcW w:w="9886" w:type="dxa"/>
            <w:gridSpan w:val="10"/>
            <w:shd w:val="clear" w:color="auto" w:fill="auto"/>
            <w:vAlign w:val="center"/>
          </w:tcPr>
          <w:p w14:paraId="61A4B15E" w14:textId="77777777" w:rsidR="007D7104" w:rsidRPr="006601BC" w:rsidRDefault="007D7104" w:rsidP="00190BB5">
            <w:pPr>
              <w:pStyle w:val="Text1"/>
              <w:spacing w:before="60" w:after="60"/>
              <w:ind w:left="0"/>
              <w:jc w:val="left"/>
              <w:rPr>
                <w:b/>
                <w:noProof/>
                <w:sz w:val="16"/>
                <w:szCs w:val="16"/>
              </w:rPr>
            </w:pPr>
            <w:r w:rsidRPr="006601BC">
              <w:rPr>
                <w:b/>
                <w:noProof/>
                <w:sz w:val="16"/>
              </w:rPr>
              <w:sym w:font="Wingdings" w:char="F09F"/>
            </w:r>
            <w:r w:rsidRPr="006601BC">
              <w:rPr>
                <w:b/>
                <w:noProof/>
                <w:sz w:val="16"/>
              </w:rPr>
              <w:t>Külső munkatársak teljes munkaidős egyenértékben (FTE) kifejezve</w:t>
            </w:r>
            <w:r w:rsidRPr="006601BC">
              <w:rPr>
                <w:rStyle w:val="FootnoteReference"/>
                <w:b/>
                <w:noProof/>
                <w:sz w:val="16"/>
              </w:rPr>
              <w:footnoteReference w:id="44"/>
            </w:r>
          </w:p>
          <w:p w14:paraId="06355A10" w14:textId="77777777" w:rsidR="007D7104" w:rsidRPr="006601BC" w:rsidRDefault="007D7104" w:rsidP="00190BB5">
            <w:pPr>
              <w:pStyle w:val="Text1"/>
              <w:spacing w:before="0" w:after="0"/>
              <w:ind w:left="0"/>
              <w:jc w:val="left"/>
              <w:rPr>
                <w:noProof/>
                <w:sz w:val="16"/>
                <w:szCs w:val="16"/>
              </w:rPr>
            </w:pPr>
          </w:p>
        </w:tc>
      </w:tr>
      <w:tr w:rsidR="007D7104" w:rsidRPr="006601BC" w14:paraId="79AA0AB9" w14:textId="77777777" w:rsidTr="00190BB5">
        <w:trPr>
          <w:gridBefore w:val="1"/>
          <w:wBefore w:w="15" w:type="dxa"/>
          <w:trHeight w:val="289"/>
          <w:jc w:val="center"/>
        </w:trPr>
        <w:tc>
          <w:tcPr>
            <w:tcW w:w="4754" w:type="dxa"/>
            <w:gridSpan w:val="2"/>
            <w:shd w:val="clear" w:color="auto" w:fill="auto"/>
            <w:vAlign w:val="center"/>
          </w:tcPr>
          <w:p w14:paraId="1823B619" w14:textId="77777777" w:rsidR="007D7104" w:rsidRPr="006601BC" w:rsidRDefault="007D7104" w:rsidP="00190BB5">
            <w:pPr>
              <w:pStyle w:val="Text1"/>
              <w:spacing w:beforeLines="20" w:before="48" w:afterLines="20" w:after="48"/>
              <w:ind w:left="136"/>
              <w:jc w:val="left"/>
              <w:rPr>
                <w:b/>
                <w:noProof/>
                <w:sz w:val="16"/>
                <w:szCs w:val="16"/>
              </w:rPr>
            </w:pPr>
            <w:r w:rsidRPr="006601BC">
              <w:rPr>
                <w:noProof/>
                <w:sz w:val="16"/>
              </w:rPr>
              <w:t>20 02 01</w:t>
            </w:r>
            <w:r w:rsidRPr="006601BC">
              <w:rPr>
                <w:rFonts w:ascii="Arial Narrow" w:hAnsi="Arial Narrow"/>
                <w:noProof/>
                <w:color w:val="000000"/>
                <w:sz w:val="20"/>
                <w:szCs w:val="20"/>
              </w:rPr>
              <w:t xml:space="preserve"> </w:t>
            </w:r>
            <w:r w:rsidRPr="006601BC">
              <w:rPr>
                <w:noProof/>
                <w:sz w:val="16"/>
              </w:rPr>
              <w:t>(AC, END, INT a teljes keretből)</w:t>
            </w:r>
          </w:p>
        </w:tc>
        <w:tc>
          <w:tcPr>
            <w:tcW w:w="731" w:type="dxa"/>
            <w:shd w:val="clear" w:color="auto" w:fill="auto"/>
            <w:vAlign w:val="center"/>
          </w:tcPr>
          <w:p w14:paraId="2D0DA337"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7F3B4F6A" w14:textId="77777777" w:rsidR="007D7104" w:rsidRPr="006601BC" w:rsidRDefault="007D7104" w:rsidP="00190BB5">
            <w:pPr>
              <w:spacing w:beforeLines="20" w:before="48" w:afterLines="20" w:after="48"/>
              <w:jc w:val="center"/>
              <w:rPr>
                <w:noProof/>
                <w:sz w:val="16"/>
                <w:szCs w:val="16"/>
              </w:rPr>
            </w:pPr>
            <w:r w:rsidRPr="006601BC">
              <w:rPr>
                <w:noProof/>
                <w:sz w:val="16"/>
                <w:szCs w:val="16"/>
              </w:rPr>
              <w:t>26</w:t>
            </w:r>
          </w:p>
        </w:tc>
        <w:tc>
          <w:tcPr>
            <w:tcW w:w="731" w:type="dxa"/>
            <w:shd w:val="clear" w:color="auto" w:fill="auto"/>
          </w:tcPr>
          <w:p w14:paraId="21629EEE" w14:textId="77777777" w:rsidR="007D7104" w:rsidRPr="006601BC" w:rsidRDefault="007D7104" w:rsidP="00190BB5">
            <w:pPr>
              <w:spacing w:beforeLines="20" w:before="48" w:afterLines="20" w:after="48"/>
              <w:jc w:val="center"/>
              <w:rPr>
                <w:noProof/>
                <w:sz w:val="16"/>
                <w:szCs w:val="16"/>
              </w:rPr>
            </w:pPr>
            <w:r w:rsidRPr="006601BC">
              <w:rPr>
                <w:noProof/>
                <w:sz w:val="16"/>
                <w:szCs w:val="16"/>
              </w:rPr>
              <w:t>26</w:t>
            </w:r>
          </w:p>
        </w:tc>
        <w:tc>
          <w:tcPr>
            <w:tcW w:w="731" w:type="dxa"/>
            <w:shd w:val="clear" w:color="auto" w:fill="auto"/>
          </w:tcPr>
          <w:p w14:paraId="5F77C908" w14:textId="77777777" w:rsidR="007D7104" w:rsidRPr="006601BC" w:rsidRDefault="007D7104" w:rsidP="00190BB5">
            <w:pPr>
              <w:spacing w:beforeLines="20" w:before="48" w:afterLines="20" w:after="48"/>
              <w:jc w:val="center"/>
              <w:rPr>
                <w:noProof/>
                <w:sz w:val="16"/>
                <w:szCs w:val="16"/>
              </w:rPr>
            </w:pPr>
            <w:r w:rsidRPr="006601BC">
              <w:rPr>
                <w:noProof/>
                <w:sz w:val="16"/>
                <w:szCs w:val="16"/>
              </w:rPr>
              <w:t>26</w:t>
            </w:r>
          </w:p>
        </w:tc>
        <w:tc>
          <w:tcPr>
            <w:tcW w:w="731" w:type="dxa"/>
            <w:shd w:val="clear" w:color="auto" w:fill="auto"/>
          </w:tcPr>
          <w:p w14:paraId="11681711" w14:textId="77777777" w:rsidR="007D7104" w:rsidRPr="006601BC" w:rsidRDefault="007D7104" w:rsidP="00190BB5">
            <w:pPr>
              <w:spacing w:beforeLines="20" w:before="48" w:afterLines="20" w:after="48"/>
              <w:jc w:val="center"/>
              <w:rPr>
                <w:noProof/>
                <w:sz w:val="16"/>
                <w:szCs w:val="16"/>
              </w:rPr>
            </w:pPr>
            <w:r w:rsidRPr="006601BC">
              <w:rPr>
                <w:noProof/>
                <w:sz w:val="16"/>
                <w:szCs w:val="16"/>
              </w:rPr>
              <w:t>26</w:t>
            </w:r>
          </w:p>
        </w:tc>
        <w:tc>
          <w:tcPr>
            <w:tcW w:w="731" w:type="dxa"/>
            <w:shd w:val="clear" w:color="auto" w:fill="auto"/>
          </w:tcPr>
          <w:p w14:paraId="6149B4E0" w14:textId="77777777" w:rsidR="007D7104" w:rsidRPr="006601BC" w:rsidRDefault="007D7104" w:rsidP="00190BB5">
            <w:pPr>
              <w:spacing w:beforeLines="20" w:before="48" w:afterLines="20" w:after="48"/>
              <w:jc w:val="center"/>
              <w:rPr>
                <w:noProof/>
                <w:sz w:val="16"/>
                <w:szCs w:val="16"/>
              </w:rPr>
            </w:pPr>
            <w:r w:rsidRPr="006601BC">
              <w:rPr>
                <w:noProof/>
                <w:sz w:val="16"/>
                <w:szCs w:val="16"/>
              </w:rPr>
              <w:t>26</w:t>
            </w:r>
          </w:p>
        </w:tc>
        <w:tc>
          <w:tcPr>
            <w:tcW w:w="731" w:type="dxa"/>
            <w:shd w:val="clear" w:color="auto" w:fill="auto"/>
          </w:tcPr>
          <w:p w14:paraId="63ACDD13" w14:textId="77777777" w:rsidR="007D7104" w:rsidRPr="006601BC" w:rsidRDefault="007D7104" w:rsidP="00190BB5">
            <w:pPr>
              <w:spacing w:beforeLines="20" w:before="48" w:afterLines="20" w:after="48"/>
              <w:jc w:val="center"/>
              <w:rPr>
                <w:noProof/>
                <w:sz w:val="16"/>
                <w:szCs w:val="16"/>
              </w:rPr>
            </w:pPr>
            <w:r w:rsidRPr="006601BC">
              <w:rPr>
                <w:noProof/>
                <w:sz w:val="16"/>
                <w:szCs w:val="16"/>
              </w:rPr>
              <w:t>26</w:t>
            </w:r>
          </w:p>
        </w:tc>
      </w:tr>
      <w:tr w:rsidR="007D7104" w:rsidRPr="006601BC" w14:paraId="11B900C0" w14:textId="77777777" w:rsidTr="00190BB5">
        <w:trPr>
          <w:gridBefore w:val="1"/>
          <w:wBefore w:w="15" w:type="dxa"/>
          <w:trHeight w:val="289"/>
          <w:jc w:val="center"/>
        </w:trPr>
        <w:tc>
          <w:tcPr>
            <w:tcW w:w="4754" w:type="dxa"/>
            <w:gridSpan w:val="2"/>
            <w:shd w:val="clear" w:color="auto" w:fill="auto"/>
            <w:vAlign w:val="center"/>
          </w:tcPr>
          <w:p w14:paraId="0B6A5FD5" w14:textId="77777777" w:rsidR="007D7104" w:rsidRPr="006601BC" w:rsidRDefault="007D7104" w:rsidP="00190BB5">
            <w:pPr>
              <w:pStyle w:val="Text1"/>
              <w:spacing w:beforeLines="20" w:before="48" w:afterLines="20" w:after="48"/>
              <w:ind w:left="136"/>
              <w:jc w:val="left"/>
              <w:rPr>
                <w:noProof/>
                <w:sz w:val="16"/>
              </w:rPr>
            </w:pPr>
            <w:r w:rsidRPr="006601BC">
              <w:rPr>
                <w:noProof/>
                <w:sz w:val="16"/>
              </w:rPr>
              <w:t>20 02 03 (AC, AL, END, INT és JPD a küldöttségeknél)</w:t>
            </w:r>
          </w:p>
        </w:tc>
        <w:tc>
          <w:tcPr>
            <w:tcW w:w="731" w:type="dxa"/>
            <w:shd w:val="clear" w:color="auto" w:fill="auto"/>
            <w:vAlign w:val="center"/>
          </w:tcPr>
          <w:p w14:paraId="0AEB3557"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7C69FE9A"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09595C66"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443A71AC"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1127AB4E"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39E37E51"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6771BEFE" w14:textId="77777777" w:rsidR="007D7104" w:rsidRPr="006601BC" w:rsidRDefault="007D7104" w:rsidP="00190BB5">
            <w:pPr>
              <w:spacing w:beforeLines="20" w:before="48" w:afterLines="20" w:after="48"/>
              <w:jc w:val="center"/>
              <w:rPr>
                <w:noProof/>
                <w:sz w:val="16"/>
                <w:szCs w:val="16"/>
              </w:rPr>
            </w:pPr>
          </w:p>
        </w:tc>
      </w:tr>
      <w:tr w:rsidR="007D7104" w:rsidRPr="006601BC" w14:paraId="19228EFE" w14:textId="77777777" w:rsidTr="00190BB5">
        <w:trPr>
          <w:gridBefore w:val="1"/>
          <w:wBefore w:w="15" w:type="dxa"/>
          <w:trHeight w:val="289"/>
          <w:jc w:val="center"/>
        </w:trPr>
        <w:tc>
          <w:tcPr>
            <w:tcW w:w="2376" w:type="dxa"/>
            <w:vMerge w:val="restart"/>
            <w:shd w:val="clear" w:color="auto" w:fill="auto"/>
            <w:vAlign w:val="center"/>
          </w:tcPr>
          <w:p w14:paraId="015E7D80" w14:textId="77777777" w:rsidR="007D7104" w:rsidRPr="006601BC" w:rsidRDefault="007D7104" w:rsidP="00190BB5">
            <w:pPr>
              <w:pStyle w:val="Text1"/>
              <w:spacing w:beforeLines="20" w:before="48" w:afterLines="20" w:after="48"/>
              <w:ind w:left="136"/>
              <w:jc w:val="left"/>
              <w:rPr>
                <w:b/>
                <w:noProof/>
                <w:sz w:val="16"/>
                <w:szCs w:val="16"/>
              </w:rPr>
            </w:pPr>
            <w:r w:rsidRPr="006601BC">
              <w:rPr>
                <w:b/>
                <w:noProof/>
                <w:sz w:val="16"/>
                <w:szCs w:val="16"/>
              </w:rPr>
              <w:t>XX</w:t>
            </w:r>
            <w:r w:rsidRPr="006601BC">
              <w:rPr>
                <w:noProof/>
                <w:sz w:val="16"/>
                <w:szCs w:val="16"/>
              </w:rPr>
              <w:t xml:space="preserve"> 01  xx </w:t>
            </w:r>
            <w:r w:rsidRPr="006601BC">
              <w:rPr>
                <w:b/>
                <w:noProof/>
                <w:sz w:val="16"/>
                <w:szCs w:val="16"/>
              </w:rPr>
              <w:t xml:space="preserve">yy zz </w:t>
            </w:r>
            <w:r w:rsidRPr="006601BC">
              <w:rPr>
                <w:b/>
                <w:i/>
                <w:noProof/>
                <w:sz w:val="16"/>
              </w:rPr>
              <w:t xml:space="preserve"> </w:t>
            </w:r>
            <w:r w:rsidRPr="006601BC">
              <w:rPr>
                <w:rStyle w:val="FootnoteReference"/>
                <w:b/>
                <w:i/>
                <w:noProof/>
                <w:sz w:val="16"/>
              </w:rPr>
              <w:footnoteReference w:id="45"/>
            </w:r>
          </w:p>
          <w:p w14:paraId="2101505F" w14:textId="77777777" w:rsidR="007D7104" w:rsidRPr="006601BC" w:rsidRDefault="007D7104" w:rsidP="00190BB5">
            <w:pPr>
              <w:pStyle w:val="Text1"/>
              <w:spacing w:beforeLines="20" w:before="48" w:afterLines="20" w:after="48"/>
              <w:ind w:left="136"/>
              <w:jc w:val="left"/>
              <w:rPr>
                <w:b/>
                <w:noProof/>
                <w:sz w:val="16"/>
                <w:szCs w:val="16"/>
              </w:rPr>
            </w:pPr>
          </w:p>
        </w:tc>
        <w:tc>
          <w:tcPr>
            <w:tcW w:w="2378" w:type="dxa"/>
            <w:shd w:val="clear" w:color="auto" w:fill="auto"/>
            <w:vAlign w:val="center"/>
          </w:tcPr>
          <w:p w14:paraId="4A75212E" w14:textId="77777777" w:rsidR="007D7104" w:rsidRPr="006601BC" w:rsidRDefault="007D7104" w:rsidP="00190BB5">
            <w:pPr>
              <w:pStyle w:val="Text1"/>
              <w:spacing w:beforeLines="20" w:before="48" w:afterLines="20" w:after="48"/>
              <w:ind w:left="136"/>
              <w:jc w:val="left"/>
              <w:rPr>
                <w:b/>
                <w:noProof/>
                <w:sz w:val="16"/>
                <w:szCs w:val="16"/>
              </w:rPr>
            </w:pPr>
            <w:r w:rsidRPr="006601BC">
              <w:rPr>
                <w:noProof/>
                <w:sz w:val="16"/>
              </w:rPr>
              <w:t>- a központban</w:t>
            </w:r>
          </w:p>
          <w:p w14:paraId="0A86D0CC" w14:textId="77777777" w:rsidR="007D7104" w:rsidRPr="006601BC" w:rsidRDefault="007D7104" w:rsidP="00190BB5">
            <w:pPr>
              <w:pStyle w:val="Text1"/>
              <w:spacing w:beforeLines="20" w:before="48" w:afterLines="20" w:after="48"/>
              <w:ind w:left="136"/>
              <w:jc w:val="left"/>
              <w:rPr>
                <w:b/>
                <w:noProof/>
                <w:sz w:val="16"/>
                <w:szCs w:val="16"/>
              </w:rPr>
            </w:pPr>
          </w:p>
        </w:tc>
        <w:tc>
          <w:tcPr>
            <w:tcW w:w="731" w:type="dxa"/>
            <w:shd w:val="clear" w:color="auto" w:fill="auto"/>
            <w:vAlign w:val="center"/>
          </w:tcPr>
          <w:p w14:paraId="7104CD44" w14:textId="77777777" w:rsidR="007D7104" w:rsidRPr="006601BC" w:rsidRDefault="007D7104" w:rsidP="00190BB5">
            <w:pPr>
              <w:pStyle w:val="Text1"/>
              <w:spacing w:beforeLines="20" w:before="48" w:afterLines="20" w:after="48"/>
              <w:ind w:left="0"/>
              <w:rPr>
                <w:noProof/>
                <w:sz w:val="16"/>
                <w:szCs w:val="16"/>
              </w:rPr>
            </w:pPr>
          </w:p>
        </w:tc>
        <w:tc>
          <w:tcPr>
            <w:tcW w:w="731" w:type="dxa"/>
            <w:shd w:val="clear" w:color="auto" w:fill="auto"/>
            <w:vAlign w:val="center"/>
          </w:tcPr>
          <w:p w14:paraId="60439B84"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1CB213DC"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76B0B0E4"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737F1017"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6C992688"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4A682A10" w14:textId="77777777" w:rsidR="007D7104" w:rsidRPr="006601BC" w:rsidRDefault="007D7104" w:rsidP="00190BB5">
            <w:pPr>
              <w:spacing w:beforeLines="20" w:before="48" w:afterLines="20" w:after="48"/>
              <w:jc w:val="center"/>
              <w:rPr>
                <w:noProof/>
                <w:sz w:val="16"/>
                <w:szCs w:val="16"/>
              </w:rPr>
            </w:pPr>
          </w:p>
        </w:tc>
      </w:tr>
      <w:tr w:rsidR="007D7104" w:rsidRPr="006601BC" w14:paraId="0AB7E06E" w14:textId="77777777" w:rsidTr="00190BB5">
        <w:trPr>
          <w:gridBefore w:val="1"/>
          <w:wBefore w:w="15" w:type="dxa"/>
          <w:trHeight w:val="289"/>
          <w:jc w:val="center"/>
        </w:trPr>
        <w:tc>
          <w:tcPr>
            <w:tcW w:w="2376" w:type="dxa"/>
            <w:vMerge/>
            <w:shd w:val="clear" w:color="auto" w:fill="auto"/>
            <w:vAlign w:val="center"/>
          </w:tcPr>
          <w:p w14:paraId="5DD45E51" w14:textId="77777777" w:rsidR="007D7104" w:rsidRPr="006601BC" w:rsidRDefault="007D7104" w:rsidP="00190BB5">
            <w:pPr>
              <w:pStyle w:val="Text1"/>
              <w:spacing w:beforeLines="20" w:before="48" w:afterLines="20" w:after="48"/>
              <w:ind w:left="136"/>
              <w:jc w:val="left"/>
              <w:rPr>
                <w:b/>
                <w:noProof/>
                <w:sz w:val="16"/>
                <w:szCs w:val="16"/>
              </w:rPr>
            </w:pPr>
          </w:p>
        </w:tc>
        <w:tc>
          <w:tcPr>
            <w:tcW w:w="2378" w:type="dxa"/>
            <w:shd w:val="clear" w:color="auto" w:fill="auto"/>
            <w:vAlign w:val="center"/>
          </w:tcPr>
          <w:p w14:paraId="37334489" w14:textId="77777777" w:rsidR="007D7104" w:rsidRPr="006601BC" w:rsidRDefault="007D7104" w:rsidP="00190BB5">
            <w:pPr>
              <w:pStyle w:val="Text1"/>
              <w:spacing w:beforeLines="20" w:before="48" w:afterLines="20" w:after="48"/>
              <w:ind w:left="136"/>
              <w:jc w:val="left"/>
              <w:rPr>
                <w:b/>
                <w:noProof/>
                <w:sz w:val="16"/>
                <w:szCs w:val="16"/>
              </w:rPr>
            </w:pPr>
            <w:r w:rsidRPr="006601BC">
              <w:rPr>
                <w:noProof/>
                <w:sz w:val="16"/>
              </w:rPr>
              <w:t xml:space="preserve">- a küldöttségeknél </w:t>
            </w:r>
          </w:p>
        </w:tc>
        <w:tc>
          <w:tcPr>
            <w:tcW w:w="731" w:type="dxa"/>
            <w:shd w:val="clear" w:color="auto" w:fill="auto"/>
            <w:vAlign w:val="center"/>
          </w:tcPr>
          <w:p w14:paraId="44D8FFF4" w14:textId="77777777" w:rsidR="007D7104" w:rsidRPr="006601BC" w:rsidRDefault="007D7104" w:rsidP="00190BB5">
            <w:pPr>
              <w:pStyle w:val="Text1"/>
              <w:spacing w:beforeLines="20" w:before="48" w:afterLines="20" w:after="48"/>
              <w:ind w:left="0"/>
              <w:rPr>
                <w:noProof/>
                <w:sz w:val="16"/>
                <w:szCs w:val="16"/>
              </w:rPr>
            </w:pPr>
          </w:p>
        </w:tc>
        <w:tc>
          <w:tcPr>
            <w:tcW w:w="731" w:type="dxa"/>
            <w:shd w:val="clear" w:color="auto" w:fill="auto"/>
            <w:vAlign w:val="center"/>
          </w:tcPr>
          <w:p w14:paraId="53E018B8"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572125F5"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2DB9FD0D"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532D956B"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16C9FE78"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5E33F7D7" w14:textId="77777777" w:rsidR="007D7104" w:rsidRPr="006601BC" w:rsidRDefault="007D7104" w:rsidP="00190BB5">
            <w:pPr>
              <w:spacing w:beforeLines="20" w:before="48" w:afterLines="20" w:after="48"/>
              <w:jc w:val="center"/>
              <w:rPr>
                <w:noProof/>
                <w:sz w:val="16"/>
                <w:szCs w:val="16"/>
              </w:rPr>
            </w:pPr>
          </w:p>
        </w:tc>
      </w:tr>
      <w:tr w:rsidR="007D7104" w:rsidRPr="006601BC" w14:paraId="5CAEC272" w14:textId="77777777" w:rsidTr="00190BB5">
        <w:trPr>
          <w:gridBefore w:val="1"/>
          <w:wBefore w:w="15" w:type="dxa"/>
          <w:trHeight w:val="289"/>
          <w:jc w:val="center"/>
        </w:trPr>
        <w:tc>
          <w:tcPr>
            <w:tcW w:w="4754" w:type="dxa"/>
            <w:gridSpan w:val="2"/>
            <w:shd w:val="clear" w:color="auto" w:fill="auto"/>
            <w:vAlign w:val="center"/>
          </w:tcPr>
          <w:p w14:paraId="4B298FF6" w14:textId="77777777" w:rsidR="007D7104" w:rsidRPr="006601BC" w:rsidRDefault="007D7104" w:rsidP="00190BB5">
            <w:pPr>
              <w:pStyle w:val="Text1"/>
              <w:spacing w:beforeLines="20" w:before="48" w:afterLines="20" w:after="48"/>
              <w:ind w:left="136"/>
              <w:jc w:val="left"/>
              <w:rPr>
                <w:noProof/>
                <w:sz w:val="16"/>
                <w:szCs w:val="16"/>
              </w:rPr>
            </w:pPr>
            <w:r w:rsidRPr="006601BC">
              <w:rPr>
                <w:noProof/>
                <w:sz w:val="16"/>
              </w:rPr>
              <w:t>01 01 01 02</w:t>
            </w:r>
            <w:r w:rsidRPr="006601BC">
              <w:rPr>
                <w:rFonts w:ascii="Arial Narrow" w:hAnsi="Arial Narrow"/>
                <w:noProof/>
                <w:color w:val="000000"/>
                <w:sz w:val="20"/>
                <w:szCs w:val="20"/>
              </w:rPr>
              <w:t xml:space="preserve"> </w:t>
            </w:r>
            <w:r w:rsidRPr="006601BC">
              <w:rPr>
                <w:noProof/>
                <w:sz w:val="16"/>
                <w:szCs w:val="16"/>
              </w:rPr>
              <w:t>(AC, END, INT – közvetett kutatás)</w:t>
            </w:r>
          </w:p>
        </w:tc>
        <w:tc>
          <w:tcPr>
            <w:tcW w:w="731" w:type="dxa"/>
            <w:shd w:val="clear" w:color="auto" w:fill="auto"/>
            <w:vAlign w:val="center"/>
          </w:tcPr>
          <w:p w14:paraId="1484AC75" w14:textId="77777777" w:rsidR="007D7104" w:rsidRPr="006601BC" w:rsidRDefault="007D7104" w:rsidP="00190BB5">
            <w:pPr>
              <w:spacing w:beforeLines="20" w:before="48" w:afterLines="20" w:after="48"/>
              <w:jc w:val="center"/>
              <w:rPr>
                <w:noProof/>
                <w:sz w:val="16"/>
                <w:szCs w:val="16"/>
              </w:rPr>
            </w:pPr>
            <w:r w:rsidRPr="006601BC">
              <w:rPr>
                <w:noProof/>
                <w:sz w:val="16"/>
                <w:szCs w:val="16"/>
              </w:rPr>
              <w:t>4</w:t>
            </w:r>
          </w:p>
        </w:tc>
        <w:tc>
          <w:tcPr>
            <w:tcW w:w="731" w:type="dxa"/>
            <w:shd w:val="clear" w:color="auto" w:fill="auto"/>
          </w:tcPr>
          <w:p w14:paraId="40D8C10C" w14:textId="77777777" w:rsidR="007D7104" w:rsidRPr="006601BC" w:rsidRDefault="007D7104" w:rsidP="00190BB5">
            <w:pPr>
              <w:spacing w:beforeLines="20" w:before="48" w:afterLines="20" w:after="48"/>
              <w:jc w:val="center"/>
              <w:rPr>
                <w:noProof/>
                <w:sz w:val="16"/>
                <w:szCs w:val="16"/>
              </w:rPr>
            </w:pPr>
            <w:r w:rsidRPr="006601BC">
              <w:rPr>
                <w:noProof/>
                <w:sz w:val="16"/>
                <w:szCs w:val="16"/>
              </w:rPr>
              <w:t>5</w:t>
            </w:r>
          </w:p>
        </w:tc>
        <w:tc>
          <w:tcPr>
            <w:tcW w:w="731" w:type="dxa"/>
            <w:shd w:val="clear" w:color="auto" w:fill="auto"/>
          </w:tcPr>
          <w:p w14:paraId="5672BA35" w14:textId="77777777" w:rsidR="007D7104" w:rsidRPr="006601BC" w:rsidRDefault="007D7104" w:rsidP="00190BB5">
            <w:pPr>
              <w:spacing w:beforeLines="20" w:before="48" w:afterLines="20" w:after="48"/>
              <w:jc w:val="center"/>
              <w:rPr>
                <w:noProof/>
                <w:sz w:val="16"/>
                <w:szCs w:val="16"/>
              </w:rPr>
            </w:pPr>
            <w:r w:rsidRPr="006601BC">
              <w:rPr>
                <w:noProof/>
                <w:sz w:val="16"/>
                <w:szCs w:val="16"/>
              </w:rPr>
              <w:t>5</w:t>
            </w:r>
          </w:p>
        </w:tc>
        <w:tc>
          <w:tcPr>
            <w:tcW w:w="731" w:type="dxa"/>
            <w:shd w:val="clear" w:color="auto" w:fill="auto"/>
          </w:tcPr>
          <w:p w14:paraId="0A5E5CB9" w14:textId="77777777" w:rsidR="007D7104" w:rsidRPr="006601BC" w:rsidRDefault="007D7104" w:rsidP="00190BB5">
            <w:pPr>
              <w:spacing w:beforeLines="20" w:before="48" w:afterLines="20" w:after="48"/>
              <w:jc w:val="center"/>
              <w:rPr>
                <w:noProof/>
                <w:sz w:val="16"/>
                <w:szCs w:val="16"/>
              </w:rPr>
            </w:pPr>
            <w:r w:rsidRPr="006601BC">
              <w:rPr>
                <w:noProof/>
                <w:sz w:val="16"/>
                <w:szCs w:val="16"/>
              </w:rPr>
              <w:t>5</w:t>
            </w:r>
          </w:p>
        </w:tc>
        <w:tc>
          <w:tcPr>
            <w:tcW w:w="731" w:type="dxa"/>
            <w:shd w:val="clear" w:color="auto" w:fill="auto"/>
          </w:tcPr>
          <w:p w14:paraId="6117D409" w14:textId="77777777" w:rsidR="007D7104" w:rsidRPr="006601BC" w:rsidRDefault="007D7104" w:rsidP="00190BB5">
            <w:pPr>
              <w:spacing w:beforeLines="20" w:before="48" w:afterLines="20" w:after="48"/>
              <w:jc w:val="center"/>
              <w:rPr>
                <w:noProof/>
                <w:sz w:val="16"/>
                <w:szCs w:val="16"/>
              </w:rPr>
            </w:pPr>
            <w:r w:rsidRPr="006601BC">
              <w:rPr>
                <w:noProof/>
                <w:sz w:val="16"/>
                <w:szCs w:val="16"/>
              </w:rPr>
              <w:t>5</w:t>
            </w:r>
          </w:p>
        </w:tc>
        <w:tc>
          <w:tcPr>
            <w:tcW w:w="731" w:type="dxa"/>
            <w:shd w:val="clear" w:color="auto" w:fill="auto"/>
          </w:tcPr>
          <w:p w14:paraId="6A2E4B43" w14:textId="77777777" w:rsidR="007D7104" w:rsidRPr="006601BC" w:rsidRDefault="007D7104" w:rsidP="00190BB5">
            <w:pPr>
              <w:spacing w:beforeLines="20" w:before="48" w:afterLines="20" w:after="48"/>
              <w:jc w:val="center"/>
              <w:rPr>
                <w:noProof/>
                <w:sz w:val="16"/>
                <w:szCs w:val="16"/>
              </w:rPr>
            </w:pPr>
            <w:r w:rsidRPr="006601BC">
              <w:rPr>
                <w:noProof/>
                <w:sz w:val="16"/>
                <w:szCs w:val="16"/>
              </w:rPr>
              <w:t>5</w:t>
            </w:r>
          </w:p>
        </w:tc>
        <w:tc>
          <w:tcPr>
            <w:tcW w:w="731" w:type="dxa"/>
            <w:shd w:val="clear" w:color="auto" w:fill="auto"/>
          </w:tcPr>
          <w:p w14:paraId="0D0A3C0F" w14:textId="77777777" w:rsidR="007D7104" w:rsidRPr="006601BC" w:rsidRDefault="007D7104" w:rsidP="00190BB5">
            <w:pPr>
              <w:spacing w:beforeLines="20" w:before="48" w:afterLines="20" w:after="48"/>
              <w:jc w:val="center"/>
              <w:rPr>
                <w:noProof/>
                <w:sz w:val="16"/>
                <w:szCs w:val="16"/>
              </w:rPr>
            </w:pPr>
            <w:r w:rsidRPr="006601BC">
              <w:rPr>
                <w:noProof/>
                <w:sz w:val="16"/>
                <w:szCs w:val="16"/>
              </w:rPr>
              <w:t>5</w:t>
            </w:r>
          </w:p>
        </w:tc>
      </w:tr>
      <w:tr w:rsidR="007D7104" w:rsidRPr="006601BC" w14:paraId="397E13A6" w14:textId="77777777" w:rsidTr="00190BB5">
        <w:trPr>
          <w:gridBefore w:val="1"/>
          <w:wBefore w:w="15" w:type="dxa"/>
          <w:trHeight w:val="289"/>
          <w:jc w:val="center"/>
        </w:trPr>
        <w:tc>
          <w:tcPr>
            <w:tcW w:w="4754" w:type="dxa"/>
            <w:gridSpan w:val="2"/>
            <w:shd w:val="clear" w:color="auto" w:fill="auto"/>
            <w:vAlign w:val="center"/>
          </w:tcPr>
          <w:p w14:paraId="376675B1" w14:textId="77777777" w:rsidR="007D7104" w:rsidRPr="006601BC" w:rsidRDefault="007D7104" w:rsidP="00190BB5">
            <w:pPr>
              <w:pStyle w:val="Text1"/>
              <w:spacing w:beforeLines="20" w:before="48" w:afterLines="20" w:after="48"/>
              <w:ind w:left="136"/>
              <w:jc w:val="left"/>
              <w:rPr>
                <w:noProof/>
                <w:color w:val="FF0000"/>
                <w:sz w:val="16"/>
                <w:szCs w:val="16"/>
              </w:rPr>
            </w:pPr>
            <w:r w:rsidRPr="006601BC">
              <w:rPr>
                <w:noProof/>
                <w:sz w:val="16"/>
              </w:rPr>
              <w:t xml:space="preserve"> 01 01 01 12 (AC, END, INT – közvetlen kutatás)</w:t>
            </w:r>
          </w:p>
        </w:tc>
        <w:tc>
          <w:tcPr>
            <w:tcW w:w="731" w:type="dxa"/>
            <w:shd w:val="clear" w:color="auto" w:fill="auto"/>
            <w:vAlign w:val="center"/>
          </w:tcPr>
          <w:p w14:paraId="70BDDED0"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3F19D7C2"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5D77139A"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3C37EAE4"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483AEE8A"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17DE0970"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3C1CD758" w14:textId="77777777" w:rsidR="007D7104" w:rsidRPr="006601BC" w:rsidRDefault="007D7104" w:rsidP="00190BB5">
            <w:pPr>
              <w:spacing w:beforeLines="20" w:before="48" w:afterLines="20" w:after="48"/>
              <w:jc w:val="center"/>
              <w:rPr>
                <w:noProof/>
                <w:sz w:val="16"/>
                <w:szCs w:val="16"/>
              </w:rPr>
            </w:pPr>
          </w:p>
        </w:tc>
      </w:tr>
      <w:tr w:rsidR="007D7104" w:rsidRPr="006601BC" w14:paraId="227E8FDD" w14:textId="77777777" w:rsidTr="00190BB5">
        <w:trPr>
          <w:gridBefore w:val="1"/>
          <w:wBefore w:w="15" w:type="dxa"/>
          <w:trHeight w:val="289"/>
          <w:jc w:val="center"/>
        </w:trPr>
        <w:tc>
          <w:tcPr>
            <w:tcW w:w="4754" w:type="dxa"/>
            <w:gridSpan w:val="2"/>
            <w:shd w:val="clear" w:color="auto" w:fill="auto"/>
            <w:vAlign w:val="center"/>
          </w:tcPr>
          <w:p w14:paraId="34C4A87D" w14:textId="77777777" w:rsidR="007D7104" w:rsidRPr="006601BC" w:rsidRDefault="007D7104" w:rsidP="00190BB5">
            <w:pPr>
              <w:pStyle w:val="Text1"/>
              <w:spacing w:beforeLines="20" w:before="48" w:afterLines="20" w:after="48"/>
              <w:ind w:left="136"/>
              <w:jc w:val="left"/>
              <w:rPr>
                <w:noProof/>
                <w:sz w:val="16"/>
              </w:rPr>
            </w:pPr>
            <w:r w:rsidRPr="006601BC">
              <w:rPr>
                <w:noProof/>
                <w:sz w:val="16"/>
              </w:rPr>
              <w:t>Egyéb költségvetési sor (kérjük megnevezni)</w:t>
            </w:r>
          </w:p>
        </w:tc>
        <w:tc>
          <w:tcPr>
            <w:tcW w:w="731" w:type="dxa"/>
            <w:shd w:val="clear" w:color="auto" w:fill="auto"/>
            <w:vAlign w:val="center"/>
          </w:tcPr>
          <w:p w14:paraId="77808D70"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19BEED36"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4C9EFD45"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0A6712F1"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2F4E56FB"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6B6BB432" w14:textId="77777777" w:rsidR="007D7104" w:rsidRPr="006601BC" w:rsidRDefault="007D7104" w:rsidP="00190BB5">
            <w:pPr>
              <w:spacing w:beforeLines="20" w:before="48" w:afterLines="20" w:after="48"/>
              <w:jc w:val="center"/>
              <w:rPr>
                <w:noProof/>
                <w:sz w:val="16"/>
                <w:szCs w:val="16"/>
              </w:rPr>
            </w:pPr>
          </w:p>
        </w:tc>
        <w:tc>
          <w:tcPr>
            <w:tcW w:w="731" w:type="dxa"/>
            <w:shd w:val="clear" w:color="auto" w:fill="auto"/>
            <w:vAlign w:val="center"/>
          </w:tcPr>
          <w:p w14:paraId="1DECDA47" w14:textId="77777777" w:rsidR="007D7104" w:rsidRPr="006601BC" w:rsidRDefault="007D7104" w:rsidP="00190BB5">
            <w:pPr>
              <w:spacing w:beforeLines="20" w:before="48" w:afterLines="20" w:after="48"/>
              <w:jc w:val="center"/>
              <w:rPr>
                <w:noProof/>
                <w:sz w:val="16"/>
                <w:szCs w:val="16"/>
              </w:rPr>
            </w:pPr>
          </w:p>
        </w:tc>
      </w:tr>
      <w:tr w:rsidR="007D7104" w:rsidRPr="006601BC" w14:paraId="1FA4A3B7" w14:textId="77777777" w:rsidTr="00190BB5">
        <w:trPr>
          <w:gridBefore w:val="1"/>
          <w:wBefore w:w="15" w:type="dxa"/>
          <w:trHeight w:val="289"/>
          <w:jc w:val="center"/>
        </w:trPr>
        <w:tc>
          <w:tcPr>
            <w:tcW w:w="4754" w:type="dxa"/>
            <w:gridSpan w:val="2"/>
            <w:tcBorders>
              <w:top w:val="double" w:sz="4" w:space="0" w:color="auto"/>
            </w:tcBorders>
            <w:shd w:val="clear" w:color="auto" w:fill="auto"/>
            <w:vAlign w:val="center"/>
          </w:tcPr>
          <w:p w14:paraId="6C61E25B" w14:textId="77777777" w:rsidR="007D7104" w:rsidRPr="006601BC" w:rsidRDefault="007D7104" w:rsidP="00190BB5">
            <w:pPr>
              <w:pStyle w:val="Text1"/>
              <w:spacing w:beforeLines="20" w:before="48" w:afterLines="20" w:after="48"/>
              <w:ind w:left="136"/>
              <w:jc w:val="left"/>
              <w:rPr>
                <w:noProof/>
                <w:sz w:val="16"/>
                <w:szCs w:val="16"/>
              </w:rPr>
            </w:pPr>
            <w:r w:rsidRPr="006601BC">
              <w:rPr>
                <w:b/>
                <w:noProof/>
                <w:sz w:val="16"/>
              </w:rPr>
              <w:t>ÖSSZESEN</w:t>
            </w:r>
          </w:p>
        </w:tc>
        <w:tc>
          <w:tcPr>
            <w:tcW w:w="731" w:type="dxa"/>
            <w:tcBorders>
              <w:top w:val="double" w:sz="4" w:space="0" w:color="auto"/>
            </w:tcBorders>
            <w:shd w:val="clear" w:color="auto" w:fill="auto"/>
            <w:vAlign w:val="center"/>
          </w:tcPr>
          <w:p w14:paraId="0235AB6F" w14:textId="77777777" w:rsidR="007D7104" w:rsidRPr="006601BC" w:rsidRDefault="007D7104" w:rsidP="00190BB5">
            <w:pPr>
              <w:spacing w:beforeLines="20" w:before="48" w:afterLines="20" w:after="48"/>
              <w:jc w:val="center"/>
              <w:rPr>
                <w:b/>
                <w:noProof/>
                <w:sz w:val="16"/>
                <w:szCs w:val="16"/>
              </w:rPr>
            </w:pPr>
            <w:r w:rsidRPr="006601BC">
              <w:rPr>
                <w:b/>
                <w:noProof/>
                <w:sz w:val="16"/>
                <w:szCs w:val="16"/>
              </w:rPr>
              <w:t>48</w:t>
            </w:r>
          </w:p>
        </w:tc>
        <w:tc>
          <w:tcPr>
            <w:tcW w:w="731" w:type="dxa"/>
            <w:tcBorders>
              <w:top w:val="double" w:sz="4" w:space="0" w:color="auto"/>
            </w:tcBorders>
            <w:shd w:val="clear" w:color="auto" w:fill="auto"/>
            <w:vAlign w:val="center"/>
          </w:tcPr>
          <w:p w14:paraId="5FFE63DD" w14:textId="77777777" w:rsidR="007D7104" w:rsidRPr="006601BC" w:rsidRDefault="007D7104" w:rsidP="00190BB5">
            <w:pPr>
              <w:spacing w:beforeLines="20" w:before="48" w:afterLines="20" w:after="48"/>
              <w:jc w:val="center"/>
              <w:rPr>
                <w:b/>
                <w:noProof/>
                <w:sz w:val="16"/>
                <w:szCs w:val="16"/>
              </w:rPr>
            </w:pPr>
            <w:r w:rsidRPr="006601BC">
              <w:rPr>
                <w:b/>
                <w:noProof/>
                <w:sz w:val="16"/>
                <w:szCs w:val="16"/>
              </w:rPr>
              <w:t>96</w:t>
            </w:r>
          </w:p>
        </w:tc>
        <w:tc>
          <w:tcPr>
            <w:tcW w:w="731" w:type="dxa"/>
            <w:tcBorders>
              <w:top w:val="double" w:sz="4" w:space="0" w:color="auto"/>
            </w:tcBorders>
            <w:shd w:val="clear" w:color="auto" w:fill="auto"/>
          </w:tcPr>
          <w:p w14:paraId="3D4A0B60" w14:textId="77777777" w:rsidR="007D7104" w:rsidRPr="006601BC" w:rsidRDefault="007D7104" w:rsidP="00190BB5">
            <w:pPr>
              <w:spacing w:beforeLines="20" w:before="48" w:afterLines="20" w:after="48"/>
              <w:jc w:val="center"/>
              <w:rPr>
                <w:b/>
                <w:noProof/>
                <w:sz w:val="16"/>
                <w:szCs w:val="16"/>
              </w:rPr>
            </w:pPr>
            <w:r w:rsidRPr="006601BC">
              <w:rPr>
                <w:b/>
                <w:noProof/>
                <w:sz w:val="16"/>
                <w:szCs w:val="16"/>
              </w:rPr>
              <w:t>120</w:t>
            </w:r>
          </w:p>
        </w:tc>
        <w:tc>
          <w:tcPr>
            <w:tcW w:w="731" w:type="dxa"/>
            <w:tcBorders>
              <w:top w:val="double" w:sz="4" w:space="0" w:color="auto"/>
            </w:tcBorders>
            <w:shd w:val="clear" w:color="auto" w:fill="auto"/>
          </w:tcPr>
          <w:p w14:paraId="5CA3368B" w14:textId="77777777" w:rsidR="007D7104" w:rsidRPr="006601BC" w:rsidRDefault="007D7104" w:rsidP="00190BB5">
            <w:pPr>
              <w:spacing w:beforeLines="20" w:before="48" w:afterLines="20" w:after="48"/>
              <w:jc w:val="center"/>
              <w:rPr>
                <w:b/>
                <w:noProof/>
                <w:sz w:val="16"/>
                <w:szCs w:val="16"/>
              </w:rPr>
            </w:pPr>
            <w:r w:rsidRPr="006601BC">
              <w:rPr>
                <w:b/>
                <w:noProof/>
                <w:sz w:val="16"/>
                <w:szCs w:val="16"/>
              </w:rPr>
              <w:t>120</w:t>
            </w:r>
          </w:p>
        </w:tc>
        <w:tc>
          <w:tcPr>
            <w:tcW w:w="731" w:type="dxa"/>
            <w:tcBorders>
              <w:top w:val="double" w:sz="4" w:space="0" w:color="auto"/>
            </w:tcBorders>
            <w:shd w:val="clear" w:color="auto" w:fill="auto"/>
          </w:tcPr>
          <w:p w14:paraId="7C705613" w14:textId="77777777" w:rsidR="007D7104" w:rsidRPr="006601BC" w:rsidRDefault="007D7104" w:rsidP="00190BB5">
            <w:pPr>
              <w:spacing w:beforeLines="20" w:before="48" w:afterLines="20" w:after="48"/>
              <w:jc w:val="center"/>
              <w:rPr>
                <w:b/>
                <w:noProof/>
                <w:sz w:val="16"/>
                <w:szCs w:val="16"/>
              </w:rPr>
            </w:pPr>
            <w:r w:rsidRPr="006601BC">
              <w:rPr>
                <w:b/>
                <w:noProof/>
                <w:sz w:val="16"/>
                <w:szCs w:val="16"/>
              </w:rPr>
              <w:t>120</w:t>
            </w:r>
          </w:p>
        </w:tc>
        <w:tc>
          <w:tcPr>
            <w:tcW w:w="731" w:type="dxa"/>
            <w:tcBorders>
              <w:top w:val="double" w:sz="4" w:space="0" w:color="auto"/>
            </w:tcBorders>
            <w:shd w:val="clear" w:color="auto" w:fill="auto"/>
          </w:tcPr>
          <w:p w14:paraId="7CA30019" w14:textId="77777777" w:rsidR="007D7104" w:rsidRPr="006601BC" w:rsidRDefault="007D7104" w:rsidP="00190BB5">
            <w:pPr>
              <w:spacing w:beforeLines="20" w:before="48" w:afterLines="20" w:after="48"/>
              <w:jc w:val="center"/>
              <w:rPr>
                <w:b/>
                <w:noProof/>
                <w:sz w:val="16"/>
                <w:szCs w:val="16"/>
              </w:rPr>
            </w:pPr>
            <w:r w:rsidRPr="006601BC">
              <w:rPr>
                <w:b/>
                <w:noProof/>
                <w:sz w:val="16"/>
                <w:szCs w:val="16"/>
              </w:rPr>
              <w:t>120</w:t>
            </w:r>
          </w:p>
        </w:tc>
        <w:tc>
          <w:tcPr>
            <w:tcW w:w="731" w:type="dxa"/>
            <w:tcBorders>
              <w:top w:val="double" w:sz="4" w:space="0" w:color="auto"/>
            </w:tcBorders>
            <w:shd w:val="clear" w:color="auto" w:fill="auto"/>
          </w:tcPr>
          <w:p w14:paraId="1447C030" w14:textId="77777777" w:rsidR="007D7104" w:rsidRPr="006601BC" w:rsidRDefault="007D7104" w:rsidP="00190BB5">
            <w:pPr>
              <w:spacing w:beforeLines="20" w:before="48" w:afterLines="20" w:after="48"/>
              <w:jc w:val="center"/>
              <w:rPr>
                <w:b/>
                <w:noProof/>
                <w:sz w:val="16"/>
                <w:szCs w:val="16"/>
              </w:rPr>
            </w:pPr>
            <w:r w:rsidRPr="006601BC">
              <w:rPr>
                <w:b/>
                <w:noProof/>
                <w:sz w:val="16"/>
                <w:szCs w:val="16"/>
              </w:rPr>
              <w:t>120</w:t>
            </w:r>
          </w:p>
        </w:tc>
      </w:tr>
    </w:tbl>
    <w:p w14:paraId="0A2978C1" w14:textId="77777777" w:rsidR="007D7104" w:rsidRPr="006601BC" w:rsidRDefault="007D7104" w:rsidP="007D7104">
      <w:pPr>
        <w:pStyle w:val="Text1"/>
        <w:spacing w:before="60" w:after="60"/>
        <w:ind w:left="851"/>
        <w:rPr>
          <w:noProof/>
          <w:sz w:val="18"/>
          <w:szCs w:val="18"/>
        </w:rPr>
      </w:pPr>
      <w:r w:rsidRPr="006601BC">
        <w:rPr>
          <w:b/>
          <w:noProof/>
          <w:sz w:val="18"/>
          <w:szCs w:val="18"/>
        </w:rPr>
        <w:t>XX</w:t>
      </w:r>
      <w:r w:rsidRPr="006601BC">
        <w:rPr>
          <w:noProof/>
          <w:sz w:val="18"/>
          <w:szCs w:val="18"/>
        </w:rPr>
        <w:t xml:space="preserve"> az érintett szakpolitikai terület vagy költségvetési cím.</w:t>
      </w:r>
    </w:p>
    <w:p w14:paraId="740A2C59" w14:textId="77777777" w:rsidR="007D7104" w:rsidRPr="006601BC" w:rsidRDefault="007D7104" w:rsidP="007D7104">
      <w:pPr>
        <w:pStyle w:val="Text1"/>
        <w:rPr>
          <w:noProof/>
          <w:sz w:val="18"/>
        </w:rPr>
      </w:pPr>
      <w:r w:rsidRPr="006601BC">
        <w:rPr>
          <w:noProof/>
          <w:sz w:val="18"/>
        </w:rPr>
        <w:t>A humánerőforrással és más igazgatási jellegű kiadásokkal kapcsolatos előirányzat-igényeket a Bizottság rendelkezésére álló, az intézkedés irányításához rendelt előirányzatokkal és/vagy a Bizottságon belüli átcsoportosítással kell teljesíteni. A források adott esetben a költségvetési korlátok betartása mellett kiegészíthetők az éves elosztási eljárás keretében az irányító főigazgatósághoz rendelt további allokációkkal.</w:t>
      </w:r>
    </w:p>
    <w:p w14:paraId="455440ED" w14:textId="77777777" w:rsidR="007D7104" w:rsidRPr="006601BC" w:rsidRDefault="007D7104" w:rsidP="007D7104">
      <w:pPr>
        <w:pStyle w:val="Text1"/>
        <w:rPr>
          <w:noProof/>
          <w:sz w:val="18"/>
        </w:rPr>
      </w:pPr>
    </w:p>
    <w:p w14:paraId="4C4BA1D5" w14:textId="6DA6277C" w:rsidR="007D7104" w:rsidRPr="006601BC" w:rsidRDefault="007D7104" w:rsidP="007D7104">
      <w:pPr>
        <w:jc w:val="left"/>
        <w:rPr>
          <w:noProof/>
          <w:sz w:val="18"/>
        </w:rPr>
        <w:sectPr w:rsidR="007D7104" w:rsidRPr="006601BC" w:rsidSect="00EF5D4F">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r w:rsidRPr="006601BC">
        <w:rPr>
          <w:noProof/>
        </w:rPr>
        <w:tab/>
      </w:r>
      <w:r w:rsidRPr="006601BC">
        <w:rPr>
          <w:noProof/>
          <w:sz w:val="18"/>
        </w:rPr>
        <w:t>A HERA és a SANTE egyetértési megállapodást ír alá a</w:t>
      </w:r>
      <w:r w:rsidRPr="006601BC">
        <w:rPr>
          <w:noProof/>
        </w:rPr>
        <w:t xml:space="preserve"> </w:t>
      </w:r>
      <w:r w:rsidRPr="006601BC">
        <w:rPr>
          <w:noProof/>
          <w:sz w:val="18"/>
        </w:rPr>
        <w:t>HERA feladataihoz</w:t>
      </w:r>
      <w:r w:rsidRPr="006601BC">
        <w:rPr>
          <w:noProof/>
        </w:rPr>
        <w:t xml:space="preserve"> </w:t>
      </w:r>
      <w:r w:rsidRPr="006601BC">
        <w:rPr>
          <w:noProof/>
          <w:sz w:val="18"/>
        </w:rPr>
        <w:t>szükséges adminisztratív támogatás biztosítása érdekében. E tekintetben 10 álláshely marad az Egészségügyi és Élelmiszerbiztonsági Főigazgatóságon belül (a HERA 120 álláshelyén kívül) a költségvetés és a pénzgazdálkodás, a dokumentumkezelés, az informatikai szolgáltatások, az adatvédelem terén és/vagy egyéb területeken végzendő, később meghatározandó feladatokra.</w:t>
      </w:r>
    </w:p>
    <w:p w14:paraId="0C8C4B23" w14:textId="77777777" w:rsidR="007D7104" w:rsidRPr="006601BC" w:rsidRDefault="007D7104" w:rsidP="007D7104">
      <w:pPr>
        <w:pStyle w:val="Text1"/>
        <w:rPr>
          <w:noProof/>
          <w:sz w:val="18"/>
        </w:rPr>
      </w:pPr>
    </w:p>
    <w:p w14:paraId="7D2B409F" w14:textId="77777777" w:rsidR="007D7104" w:rsidRPr="006601BC" w:rsidRDefault="007D7104" w:rsidP="007D7104">
      <w:pPr>
        <w:pStyle w:val="Text1"/>
        <w:rPr>
          <w:noProof/>
          <w:sz w:val="18"/>
        </w:rPr>
      </w:pPr>
    </w:p>
    <w:p w14:paraId="7F5B1BD4" w14:textId="77777777" w:rsidR="007D7104" w:rsidRPr="006601BC" w:rsidRDefault="007D7104" w:rsidP="007D7104">
      <w:pPr>
        <w:pStyle w:val="Text1"/>
        <w:rPr>
          <w:noProof/>
          <w:sz w:val="18"/>
        </w:rPr>
      </w:pPr>
    </w:p>
    <w:p w14:paraId="65478ED2" w14:textId="77777777" w:rsidR="007D7104" w:rsidRPr="006601BC" w:rsidRDefault="007D7104" w:rsidP="007D7104">
      <w:pPr>
        <w:pStyle w:val="Text1"/>
        <w:rPr>
          <w:noProof/>
          <w:sz w:val="18"/>
          <w:szCs w:val="18"/>
        </w:rPr>
      </w:pPr>
    </w:p>
    <w:p w14:paraId="053F0368" w14:textId="77777777" w:rsidR="007D7104" w:rsidRPr="006601BC" w:rsidRDefault="007D7104" w:rsidP="007D7104">
      <w:pPr>
        <w:rPr>
          <w:noProof/>
          <w:sz w:val="20"/>
        </w:rPr>
      </w:pPr>
      <w:r w:rsidRPr="006601BC">
        <w:rPr>
          <w:noProof/>
          <w:sz w:val="20"/>
        </w:rPr>
        <w:t>Az elvégzendő feladatok leírása: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7D7104" w:rsidRPr="006601BC" w14:paraId="516752F4" w14:textId="77777777" w:rsidTr="00190BB5">
        <w:tc>
          <w:tcPr>
            <w:tcW w:w="3240" w:type="dxa"/>
          </w:tcPr>
          <w:p w14:paraId="5D725C96" w14:textId="77777777" w:rsidR="007D7104" w:rsidRPr="006601BC" w:rsidRDefault="007D7104" w:rsidP="00190BB5">
            <w:pPr>
              <w:rPr>
                <w:noProof/>
                <w:sz w:val="20"/>
              </w:rPr>
            </w:pPr>
            <w:r w:rsidRPr="006601BC">
              <w:rPr>
                <w:noProof/>
                <w:sz w:val="20"/>
              </w:rPr>
              <w:t>Tisztviselők és ideiglenes alkalmazottak</w:t>
            </w:r>
          </w:p>
        </w:tc>
        <w:tc>
          <w:tcPr>
            <w:tcW w:w="7200" w:type="dxa"/>
          </w:tcPr>
          <w:p w14:paraId="0756BBFD" w14:textId="77777777" w:rsidR="007D7104" w:rsidRPr="006601BC" w:rsidRDefault="007D7104" w:rsidP="00190BB5">
            <w:pPr>
              <w:pStyle w:val="NormalWeb"/>
              <w:jc w:val="both"/>
              <w:rPr>
                <w:noProof/>
                <w:sz w:val="20"/>
                <w:szCs w:val="20"/>
              </w:rPr>
            </w:pPr>
            <w:r w:rsidRPr="006601BC">
              <w:rPr>
                <w:noProof/>
                <w:sz w:val="20"/>
                <w:szCs w:val="20"/>
              </w:rPr>
              <w:t>A HERA személyzetét elsősorban a következő (AD-szintű) szakértők fogják alkotni: klinikai tudósok, fertőző betegségek szakértői, virológusok, járványügyi szakértők, adatkutatók, mérnökök, szabályozó és minőségügyi szakértők, gyártási, logisztikai és ellátásilánc-irányítási szakértők, jogi szakértők (pl. beszerzési szakértők, uniós jogi gyógyszerészeti szakértők stb.), projektmenedzserek, egészségügyi szükséghelyzetekben jártas szakértők, népegészségügyi szakértők, a globális egészségügyi politika szakértői, egészségügyi rendszerek szakértői és kommunikációs szakértők.</w:t>
            </w:r>
          </w:p>
          <w:p w14:paraId="2576960E" w14:textId="77777777" w:rsidR="007D7104" w:rsidRPr="006601BC" w:rsidRDefault="007D7104" w:rsidP="00190BB5">
            <w:pPr>
              <w:pStyle w:val="NormalWeb"/>
              <w:jc w:val="both"/>
              <w:rPr>
                <w:noProof/>
                <w:sz w:val="20"/>
                <w:szCs w:val="20"/>
              </w:rPr>
            </w:pPr>
            <w:r w:rsidRPr="006601BC">
              <w:rPr>
                <w:noProof/>
                <w:sz w:val="20"/>
                <w:szCs w:val="20"/>
              </w:rPr>
              <w:t>Folyamatban van egy egészségügyi szakértők számára kiírt speciális versenyvizsga. A nyertesek kiválasztása 2022 folyamán fejeződik be. Abban az esetben, ha nem találnak elegendő számú tisztviselőt az álláshelyek betöltéséhe, ideiglenes alkalmazottak kiválasztására kerülhet sor, és/vagy ideiglenes alkalmazottat (2b fokozat) vesznek fel az állandó álláshelyekre.</w:t>
            </w:r>
          </w:p>
        </w:tc>
      </w:tr>
      <w:tr w:rsidR="007D7104" w:rsidRPr="006601BC" w14:paraId="4585471F" w14:textId="77777777" w:rsidTr="00190BB5">
        <w:tc>
          <w:tcPr>
            <w:tcW w:w="3240" w:type="dxa"/>
          </w:tcPr>
          <w:p w14:paraId="03E63981" w14:textId="77777777" w:rsidR="007D7104" w:rsidRPr="006601BC" w:rsidRDefault="007D7104" w:rsidP="00190BB5">
            <w:pPr>
              <w:spacing w:before="60" w:after="60"/>
              <w:rPr>
                <w:noProof/>
                <w:sz w:val="20"/>
              </w:rPr>
            </w:pPr>
            <w:r w:rsidRPr="006601BC">
              <w:rPr>
                <w:noProof/>
                <w:sz w:val="20"/>
              </w:rPr>
              <w:t>Külső munkatársak</w:t>
            </w:r>
          </w:p>
        </w:tc>
        <w:tc>
          <w:tcPr>
            <w:tcW w:w="7200" w:type="dxa"/>
          </w:tcPr>
          <w:p w14:paraId="3238BBB1" w14:textId="77777777" w:rsidR="007D7104" w:rsidRPr="006601BC" w:rsidRDefault="007D7104" w:rsidP="00190BB5">
            <w:pPr>
              <w:rPr>
                <w:rFonts w:ascii="Calibri" w:hAnsi="Calibri" w:cs="Calibri"/>
                <w:noProof/>
                <w:color w:val="1F497D"/>
                <w:sz w:val="22"/>
              </w:rPr>
            </w:pPr>
            <w:r w:rsidRPr="006601BC">
              <w:rPr>
                <w:noProof/>
                <w:sz w:val="20"/>
                <w:szCs w:val="20"/>
              </w:rPr>
              <w:t>A HERA-nak szorosan együtt kell majd működnie a tagállamokkal. 12 END álláshely létrehozása fog hozzájárulni ezen együttműködés megvalósításához, lehetővé téve a nemzeti közigazgatások szakértőinek bevonását is. Emellett 20 szerződéses alkalmazott fogja ellátni az operatív adminisztratív és technikai támogatási feladatokat.</w:t>
            </w:r>
          </w:p>
        </w:tc>
      </w:tr>
    </w:tbl>
    <w:p w14:paraId="25065797" w14:textId="77777777" w:rsidR="007D7104" w:rsidRPr="006601BC" w:rsidRDefault="007D7104" w:rsidP="007D7104">
      <w:pPr>
        <w:rPr>
          <w:noProof/>
        </w:rPr>
        <w:sectPr w:rsidR="007D7104" w:rsidRPr="006601BC" w:rsidSect="00EF5D4F">
          <w:pgSz w:w="11907" w:h="16840"/>
          <w:pgMar w:top="1134" w:right="1418" w:bottom="1134" w:left="1418" w:header="709" w:footer="709" w:gutter="0"/>
          <w:cols w:space="708"/>
          <w:docGrid w:linePitch="360"/>
        </w:sectPr>
      </w:pPr>
    </w:p>
    <w:p w14:paraId="7F5B01D6" w14:textId="0075CD7F" w:rsidR="007D7104" w:rsidRPr="006601BC" w:rsidRDefault="00BB68C4" w:rsidP="00BB68C4">
      <w:pPr>
        <w:pStyle w:val="ManualHeading3"/>
        <w:rPr>
          <w:noProof/>
        </w:rPr>
      </w:pPr>
      <w:bookmarkStart w:id="78" w:name="_Toc514938056"/>
      <w:bookmarkStart w:id="79" w:name="_Toc86321178"/>
      <w:r w:rsidRPr="00BB68C4">
        <w:t>3.2.4.</w:t>
      </w:r>
      <w:r w:rsidRPr="00BB68C4">
        <w:tab/>
      </w:r>
      <w:r w:rsidR="007D7104" w:rsidRPr="006601BC">
        <w:rPr>
          <w:noProof/>
        </w:rPr>
        <w:t>A jelenlegi többéves pénzügyi kerettel való összeegyeztethetőség</w:t>
      </w:r>
      <w:bookmarkEnd w:id="78"/>
      <w:bookmarkEnd w:id="79"/>
      <w:r w:rsidR="007D7104" w:rsidRPr="006601BC">
        <w:rPr>
          <w:noProof/>
        </w:rPr>
        <w:t xml:space="preserve"> </w:t>
      </w:r>
    </w:p>
    <w:p w14:paraId="6162619B" w14:textId="77777777" w:rsidR="007D7104" w:rsidRPr="006601BC" w:rsidRDefault="007D7104" w:rsidP="007D7104">
      <w:pPr>
        <w:pStyle w:val="Text1"/>
        <w:rPr>
          <w:noProof/>
        </w:rPr>
      </w:pPr>
      <w:r w:rsidRPr="006601BC">
        <w:rPr>
          <w:noProof/>
        </w:rPr>
        <w:t>A javaslat/kezdeményezés</w:t>
      </w:r>
    </w:p>
    <w:p w14:paraId="164762AF" w14:textId="77777777" w:rsidR="007D7104" w:rsidRPr="006601BC" w:rsidRDefault="007D7104" w:rsidP="0073554F">
      <w:pPr>
        <w:pStyle w:val="ListDash1"/>
        <w:numPr>
          <w:ilvl w:val="0"/>
          <w:numId w:val="18"/>
        </w:numPr>
        <w:spacing w:before="120" w:after="120"/>
        <w:rPr>
          <w:noProof/>
        </w:rPr>
      </w:pPr>
      <w:r w:rsidRPr="006601BC">
        <w:rPr>
          <w:noProof/>
        </w:rPr>
        <w:t>X</w:t>
      </w:r>
      <w:r w:rsidRPr="006601BC">
        <w:rPr>
          <w:noProof/>
        </w:rPr>
        <w:tab/>
        <w:t>teljes mértékben finanszírozható a többéves pénzügyi keret érintett fejezetén belüli átcsoportosítás révén.</w:t>
      </w:r>
    </w:p>
    <w:p w14:paraId="4BA19237"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sz w:val="20"/>
        </w:rPr>
      </w:pPr>
      <w:r w:rsidRPr="006601BC">
        <w:rPr>
          <w:noProof/>
          <w:sz w:val="20"/>
        </w:rPr>
        <w:t>Előirányzatok újraelosztása a Horizont egészségügyi klaszter, az UCPM és „az EU az egészségügyért” program keretében; emellett korlátozottabb mértékű újraelosztások más programokban (részletesebben meg kell még határozni, de magukban foglalhatják a Digitális Európa programot, az Egységes piac programot stb.).</w:t>
      </w:r>
    </w:p>
    <w:p w14:paraId="10731C21" w14:textId="77777777" w:rsidR="007D7104" w:rsidRPr="006601BC" w:rsidRDefault="007D7104" w:rsidP="0073554F">
      <w:pPr>
        <w:pStyle w:val="ListDash1"/>
        <w:numPr>
          <w:ilvl w:val="0"/>
          <w:numId w:val="18"/>
        </w:numPr>
        <w:spacing w:before="120" w:after="120"/>
        <w:rPr>
          <w:noProof/>
        </w:rPr>
      </w:pPr>
      <w:r w:rsidRPr="006601BC">
        <w:rPr>
          <w:noProof/>
        </w:rPr>
        <w:t>és/vagy a többéves pénzügyi keretről szóló rendeletben meghatározott speciális eszközök használata.</w:t>
      </w:r>
    </w:p>
    <w:p w14:paraId="2B0AD0CB"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sz w:val="20"/>
        </w:rPr>
      </w:pPr>
      <w:r w:rsidRPr="006601BC">
        <w:rPr>
          <w:noProof/>
          <w:sz w:val="20"/>
        </w:rPr>
        <w:t>Válság idején a Szükséghelyzeti Támogatási Eszközt többek között a vonatkozó fejezet vagy a speciális eszközök keretében rendelkezésre álló tartalékkeretből lehetne mozgósítani és finanszírozni.</w:t>
      </w:r>
    </w:p>
    <w:p w14:paraId="58F8B511" w14:textId="77777777" w:rsidR="007D7104" w:rsidRPr="006601BC" w:rsidRDefault="007D7104" w:rsidP="0073554F">
      <w:pPr>
        <w:pStyle w:val="ListDash1"/>
        <w:numPr>
          <w:ilvl w:val="0"/>
          <w:numId w:val="18"/>
        </w:numPr>
        <w:spacing w:before="120" w:after="120"/>
        <w:rPr>
          <w:noProof/>
        </w:rPr>
      </w:pPr>
      <w:r w:rsidRPr="006601BC">
        <w:rPr>
          <w:noProof/>
        </w:rPr>
        <w:sym w:font="Wingdings" w:char="F0A8"/>
      </w:r>
      <w:r w:rsidRPr="006601BC">
        <w:rPr>
          <w:noProof/>
        </w:rPr>
        <w:tab/>
        <w:t>a többéves pénzügyi keret módosítását teszi szükségessé.</w:t>
      </w:r>
    </w:p>
    <w:p w14:paraId="5847254A"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sz w:val="20"/>
        </w:rPr>
      </w:pPr>
      <w:r w:rsidRPr="006601BC">
        <w:rPr>
          <w:noProof/>
          <w:sz w:val="20"/>
        </w:rPr>
        <w:t>Fejtse ki a szükségleteket: tüntesse fel az érintett fejezeteket és költségvetési sorokat és a megfelelő összegeket.</w:t>
      </w:r>
    </w:p>
    <w:p w14:paraId="3C6E791A" w14:textId="75740F24" w:rsidR="007D7104" w:rsidRPr="006601BC" w:rsidRDefault="00BB68C4" w:rsidP="00BB68C4">
      <w:pPr>
        <w:pStyle w:val="ManualHeading3"/>
        <w:rPr>
          <w:bCs/>
          <w:noProof/>
          <w:szCs w:val="24"/>
        </w:rPr>
      </w:pPr>
      <w:bookmarkStart w:id="80" w:name="_Toc514938058"/>
      <w:bookmarkStart w:id="81" w:name="_Toc86321179"/>
      <w:r w:rsidRPr="00BB68C4">
        <w:t>3.2.5.</w:t>
      </w:r>
      <w:r w:rsidRPr="00BB68C4">
        <w:tab/>
      </w:r>
      <w:r w:rsidR="007D7104" w:rsidRPr="006601BC">
        <w:rPr>
          <w:noProof/>
        </w:rPr>
        <w:t>Harmadik felek részvétele a finanszírozásban</w:t>
      </w:r>
      <w:bookmarkEnd w:id="80"/>
      <w:bookmarkEnd w:id="81"/>
      <w:r w:rsidR="007D7104" w:rsidRPr="006601BC">
        <w:rPr>
          <w:noProof/>
        </w:rPr>
        <w:t xml:space="preserve"> </w:t>
      </w:r>
    </w:p>
    <w:p w14:paraId="75289F87" w14:textId="77777777" w:rsidR="007D7104" w:rsidRPr="006601BC" w:rsidRDefault="007D7104" w:rsidP="007D7104">
      <w:pPr>
        <w:pStyle w:val="Text1"/>
        <w:rPr>
          <w:noProof/>
        </w:rPr>
      </w:pPr>
      <w:r w:rsidRPr="006601BC">
        <w:rPr>
          <w:noProof/>
        </w:rPr>
        <w:t>A javaslat/kezdeményezés</w:t>
      </w:r>
    </w:p>
    <w:p w14:paraId="327CEA04" w14:textId="77777777" w:rsidR="007D7104" w:rsidRPr="006601BC" w:rsidRDefault="007D7104" w:rsidP="0073554F">
      <w:pPr>
        <w:pStyle w:val="ListDash1"/>
        <w:numPr>
          <w:ilvl w:val="0"/>
          <w:numId w:val="18"/>
        </w:numPr>
        <w:spacing w:before="120" w:after="120"/>
        <w:rPr>
          <w:noProof/>
        </w:rPr>
      </w:pPr>
      <w:r w:rsidRPr="006601BC">
        <w:rPr>
          <w:noProof/>
        </w:rPr>
        <w:sym w:font="Wingdings" w:char="F0FE"/>
      </w:r>
      <w:r w:rsidRPr="006601BC">
        <w:rPr>
          <w:noProof/>
        </w:rPr>
        <w:tab/>
        <w:t>nem irányoz elő harmadik felek általi társfinanszírozást.</w:t>
      </w:r>
    </w:p>
    <w:p w14:paraId="7D2A6B8C" w14:textId="77777777" w:rsidR="007D7104" w:rsidRPr="006601BC" w:rsidRDefault="007D7104" w:rsidP="0073554F">
      <w:pPr>
        <w:pStyle w:val="ListDash1"/>
        <w:numPr>
          <w:ilvl w:val="0"/>
          <w:numId w:val="18"/>
        </w:numPr>
        <w:spacing w:before="120" w:after="120"/>
        <w:rPr>
          <w:noProof/>
        </w:rPr>
      </w:pPr>
      <w:r w:rsidRPr="006601BC">
        <w:rPr>
          <w:noProof/>
        </w:rPr>
        <w:sym w:font="Wingdings" w:char="F0A8"/>
      </w:r>
      <w:r w:rsidRPr="006601BC">
        <w:rPr>
          <w:noProof/>
        </w:rPr>
        <w:tab/>
        <w:t>előirányoz harmadik felek általi társfinanszírozást az alábbi becslések szerint:</w:t>
      </w:r>
    </w:p>
    <w:p w14:paraId="5F6CE0BB" w14:textId="77777777" w:rsidR="007D7104" w:rsidRPr="006601BC" w:rsidRDefault="007D7104" w:rsidP="007D7104">
      <w:pPr>
        <w:jc w:val="right"/>
        <w:rPr>
          <w:noProof/>
          <w:sz w:val="20"/>
        </w:rPr>
      </w:pPr>
      <w:r w:rsidRPr="006601BC">
        <w:rPr>
          <w:noProof/>
          <w:sz w:val="20"/>
        </w:rPr>
        <w:t>előirányzatok, millió EUR (három tizedesjegyig)</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7D7104" w:rsidRPr="006601BC" w14:paraId="7F61F5F5" w14:textId="77777777" w:rsidTr="00190BB5">
        <w:trPr>
          <w:cantSplit/>
        </w:trPr>
        <w:tc>
          <w:tcPr>
            <w:tcW w:w="2340" w:type="dxa"/>
          </w:tcPr>
          <w:p w14:paraId="6EF63DF9" w14:textId="77777777" w:rsidR="007D7104" w:rsidRPr="006601BC" w:rsidRDefault="007D7104" w:rsidP="00190BB5">
            <w:pPr>
              <w:spacing w:before="60" w:after="60"/>
              <w:rPr>
                <w:noProof/>
                <w:sz w:val="20"/>
              </w:rPr>
            </w:pPr>
          </w:p>
        </w:tc>
        <w:tc>
          <w:tcPr>
            <w:tcW w:w="964" w:type="dxa"/>
            <w:vAlign w:val="center"/>
          </w:tcPr>
          <w:p w14:paraId="77B463B4" w14:textId="77777777" w:rsidR="007D7104" w:rsidRPr="006601BC" w:rsidRDefault="007D7104" w:rsidP="00190BB5">
            <w:pPr>
              <w:jc w:val="center"/>
              <w:rPr>
                <w:noProof/>
                <w:sz w:val="20"/>
              </w:rPr>
            </w:pPr>
            <w:r w:rsidRPr="006601BC">
              <w:rPr>
                <w:b/>
                <w:noProof/>
                <w:sz w:val="20"/>
              </w:rPr>
              <w:t>2021</w:t>
            </w:r>
          </w:p>
        </w:tc>
        <w:tc>
          <w:tcPr>
            <w:tcW w:w="964" w:type="dxa"/>
            <w:vAlign w:val="center"/>
          </w:tcPr>
          <w:p w14:paraId="5E61E01B" w14:textId="77777777" w:rsidR="007D7104" w:rsidRPr="006601BC" w:rsidRDefault="007D7104" w:rsidP="00190BB5">
            <w:pPr>
              <w:jc w:val="center"/>
              <w:rPr>
                <w:noProof/>
                <w:sz w:val="20"/>
              </w:rPr>
            </w:pPr>
            <w:r w:rsidRPr="006601BC">
              <w:rPr>
                <w:b/>
                <w:noProof/>
                <w:sz w:val="20"/>
              </w:rPr>
              <w:t>2022</w:t>
            </w:r>
          </w:p>
        </w:tc>
        <w:tc>
          <w:tcPr>
            <w:tcW w:w="964" w:type="dxa"/>
            <w:vAlign w:val="center"/>
          </w:tcPr>
          <w:p w14:paraId="6BDF656A" w14:textId="77777777" w:rsidR="007D7104" w:rsidRPr="006601BC" w:rsidRDefault="007D7104" w:rsidP="00190BB5">
            <w:pPr>
              <w:jc w:val="center"/>
              <w:rPr>
                <w:noProof/>
                <w:sz w:val="20"/>
              </w:rPr>
            </w:pPr>
            <w:r w:rsidRPr="006601BC">
              <w:rPr>
                <w:b/>
                <w:noProof/>
                <w:sz w:val="20"/>
              </w:rPr>
              <w:t>2023</w:t>
            </w:r>
          </w:p>
        </w:tc>
        <w:tc>
          <w:tcPr>
            <w:tcW w:w="964" w:type="dxa"/>
            <w:vAlign w:val="center"/>
          </w:tcPr>
          <w:p w14:paraId="74428C24" w14:textId="77777777" w:rsidR="007D7104" w:rsidRPr="006601BC" w:rsidRDefault="007D7104" w:rsidP="00190BB5">
            <w:pPr>
              <w:jc w:val="center"/>
              <w:rPr>
                <w:noProof/>
                <w:sz w:val="20"/>
              </w:rPr>
            </w:pPr>
            <w:r w:rsidRPr="006601BC">
              <w:rPr>
                <w:b/>
                <w:noProof/>
                <w:sz w:val="20"/>
              </w:rPr>
              <w:t>2024</w:t>
            </w:r>
          </w:p>
        </w:tc>
        <w:tc>
          <w:tcPr>
            <w:tcW w:w="964" w:type="dxa"/>
            <w:vAlign w:val="center"/>
          </w:tcPr>
          <w:p w14:paraId="38072C00" w14:textId="77777777" w:rsidR="007D7104" w:rsidRPr="006601BC" w:rsidRDefault="007D7104" w:rsidP="00190BB5">
            <w:pPr>
              <w:jc w:val="center"/>
              <w:rPr>
                <w:b/>
                <w:noProof/>
                <w:sz w:val="20"/>
              </w:rPr>
            </w:pPr>
            <w:r w:rsidRPr="006601BC">
              <w:rPr>
                <w:b/>
                <w:noProof/>
                <w:sz w:val="18"/>
              </w:rPr>
              <w:t>2025</w:t>
            </w:r>
          </w:p>
        </w:tc>
        <w:tc>
          <w:tcPr>
            <w:tcW w:w="964" w:type="dxa"/>
            <w:vAlign w:val="center"/>
          </w:tcPr>
          <w:p w14:paraId="062FDDA3" w14:textId="77777777" w:rsidR="007D7104" w:rsidRPr="006601BC" w:rsidRDefault="007D7104" w:rsidP="00190BB5">
            <w:pPr>
              <w:jc w:val="center"/>
              <w:rPr>
                <w:b/>
                <w:noProof/>
                <w:sz w:val="20"/>
              </w:rPr>
            </w:pPr>
            <w:r w:rsidRPr="006601BC">
              <w:rPr>
                <w:b/>
                <w:noProof/>
                <w:sz w:val="20"/>
              </w:rPr>
              <w:t>2026</w:t>
            </w:r>
          </w:p>
        </w:tc>
        <w:tc>
          <w:tcPr>
            <w:tcW w:w="964" w:type="dxa"/>
            <w:vAlign w:val="center"/>
          </w:tcPr>
          <w:p w14:paraId="75565D53" w14:textId="77777777" w:rsidR="007D7104" w:rsidRPr="006601BC" w:rsidRDefault="007D7104" w:rsidP="00190BB5">
            <w:pPr>
              <w:jc w:val="center"/>
              <w:rPr>
                <w:b/>
                <w:noProof/>
                <w:sz w:val="20"/>
              </w:rPr>
            </w:pPr>
            <w:r w:rsidRPr="006601BC">
              <w:rPr>
                <w:b/>
                <w:noProof/>
                <w:sz w:val="20"/>
              </w:rPr>
              <w:t>2027</w:t>
            </w:r>
          </w:p>
        </w:tc>
        <w:tc>
          <w:tcPr>
            <w:tcW w:w="1158" w:type="dxa"/>
            <w:vAlign w:val="center"/>
          </w:tcPr>
          <w:p w14:paraId="0D473251" w14:textId="77777777" w:rsidR="007D7104" w:rsidRPr="006601BC" w:rsidRDefault="007D7104" w:rsidP="00190BB5">
            <w:pPr>
              <w:spacing w:before="60" w:after="60"/>
              <w:jc w:val="center"/>
              <w:rPr>
                <w:noProof/>
                <w:sz w:val="20"/>
              </w:rPr>
            </w:pPr>
            <w:r w:rsidRPr="006601BC">
              <w:rPr>
                <w:noProof/>
                <w:sz w:val="20"/>
              </w:rPr>
              <w:t>Összesen</w:t>
            </w:r>
          </w:p>
        </w:tc>
      </w:tr>
      <w:tr w:rsidR="007D7104" w:rsidRPr="006601BC" w14:paraId="44F64780" w14:textId="77777777" w:rsidTr="00190BB5">
        <w:trPr>
          <w:cantSplit/>
        </w:trPr>
        <w:tc>
          <w:tcPr>
            <w:tcW w:w="2340" w:type="dxa"/>
          </w:tcPr>
          <w:p w14:paraId="6C25C278" w14:textId="77777777" w:rsidR="007D7104" w:rsidRPr="006601BC" w:rsidRDefault="007D7104" w:rsidP="00190BB5">
            <w:pPr>
              <w:rPr>
                <w:noProof/>
              </w:rPr>
            </w:pPr>
            <w:r w:rsidRPr="006601BC">
              <w:rPr>
                <w:noProof/>
                <w:sz w:val="20"/>
              </w:rPr>
              <w:t>Tüntesse fel a társfinanszírozó szervet</w:t>
            </w:r>
            <w:r w:rsidRPr="006601BC">
              <w:rPr>
                <w:i/>
                <w:noProof/>
                <w:sz w:val="20"/>
              </w:rPr>
              <w:t xml:space="preserve"> </w:t>
            </w:r>
          </w:p>
        </w:tc>
        <w:tc>
          <w:tcPr>
            <w:tcW w:w="964" w:type="dxa"/>
            <w:vAlign w:val="center"/>
          </w:tcPr>
          <w:p w14:paraId="7FA26934" w14:textId="77777777" w:rsidR="007D7104" w:rsidRPr="006601BC" w:rsidRDefault="007D7104" w:rsidP="00190BB5">
            <w:pPr>
              <w:spacing w:before="60" w:after="60"/>
              <w:jc w:val="center"/>
              <w:rPr>
                <w:noProof/>
                <w:sz w:val="20"/>
              </w:rPr>
            </w:pPr>
          </w:p>
        </w:tc>
        <w:tc>
          <w:tcPr>
            <w:tcW w:w="964" w:type="dxa"/>
            <w:vAlign w:val="center"/>
          </w:tcPr>
          <w:p w14:paraId="14AAFA96" w14:textId="77777777" w:rsidR="007D7104" w:rsidRPr="006601BC" w:rsidRDefault="007D7104" w:rsidP="00190BB5">
            <w:pPr>
              <w:spacing w:before="60" w:after="60"/>
              <w:jc w:val="center"/>
              <w:rPr>
                <w:noProof/>
                <w:sz w:val="20"/>
              </w:rPr>
            </w:pPr>
          </w:p>
        </w:tc>
        <w:tc>
          <w:tcPr>
            <w:tcW w:w="964" w:type="dxa"/>
            <w:vAlign w:val="center"/>
          </w:tcPr>
          <w:p w14:paraId="7E5C085B" w14:textId="77777777" w:rsidR="007D7104" w:rsidRPr="006601BC" w:rsidRDefault="007D7104" w:rsidP="00190BB5">
            <w:pPr>
              <w:spacing w:before="60" w:after="60"/>
              <w:jc w:val="center"/>
              <w:rPr>
                <w:noProof/>
                <w:sz w:val="20"/>
              </w:rPr>
            </w:pPr>
          </w:p>
        </w:tc>
        <w:tc>
          <w:tcPr>
            <w:tcW w:w="964" w:type="dxa"/>
            <w:vAlign w:val="center"/>
          </w:tcPr>
          <w:p w14:paraId="2BB99048" w14:textId="77777777" w:rsidR="007D7104" w:rsidRPr="006601BC" w:rsidRDefault="007D7104" w:rsidP="00190BB5">
            <w:pPr>
              <w:spacing w:before="60" w:after="60"/>
              <w:jc w:val="center"/>
              <w:rPr>
                <w:noProof/>
                <w:sz w:val="20"/>
              </w:rPr>
            </w:pPr>
          </w:p>
        </w:tc>
        <w:tc>
          <w:tcPr>
            <w:tcW w:w="964" w:type="dxa"/>
            <w:vAlign w:val="center"/>
          </w:tcPr>
          <w:p w14:paraId="08E0F280" w14:textId="77777777" w:rsidR="007D7104" w:rsidRPr="006601BC" w:rsidRDefault="007D7104" w:rsidP="00190BB5">
            <w:pPr>
              <w:spacing w:before="60" w:after="60"/>
              <w:jc w:val="center"/>
              <w:rPr>
                <w:noProof/>
                <w:sz w:val="20"/>
              </w:rPr>
            </w:pPr>
          </w:p>
        </w:tc>
        <w:tc>
          <w:tcPr>
            <w:tcW w:w="964" w:type="dxa"/>
            <w:vAlign w:val="center"/>
          </w:tcPr>
          <w:p w14:paraId="38C3D1E5" w14:textId="77777777" w:rsidR="007D7104" w:rsidRPr="006601BC" w:rsidRDefault="007D7104" w:rsidP="00190BB5">
            <w:pPr>
              <w:spacing w:before="60" w:after="60"/>
              <w:jc w:val="center"/>
              <w:rPr>
                <w:noProof/>
                <w:sz w:val="20"/>
              </w:rPr>
            </w:pPr>
          </w:p>
        </w:tc>
        <w:tc>
          <w:tcPr>
            <w:tcW w:w="964" w:type="dxa"/>
            <w:vAlign w:val="center"/>
          </w:tcPr>
          <w:p w14:paraId="4B581D46" w14:textId="77777777" w:rsidR="007D7104" w:rsidRPr="006601BC" w:rsidRDefault="007D7104" w:rsidP="00190BB5">
            <w:pPr>
              <w:spacing w:before="60" w:after="60"/>
              <w:jc w:val="center"/>
              <w:rPr>
                <w:noProof/>
                <w:sz w:val="20"/>
              </w:rPr>
            </w:pPr>
          </w:p>
        </w:tc>
        <w:tc>
          <w:tcPr>
            <w:tcW w:w="1158" w:type="dxa"/>
            <w:vAlign w:val="center"/>
          </w:tcPr>
          <w:p w14:paraId="0E67F387" w14:textId="77777777" w:rsidR="007D7104" w:rsidRPr="006601BC" w:rsidRDefault="007D7104" w:rsidP="00190BB5">
            <w:pPr>
              <w:spacing w:before="60" w:after="60"/>
              <w:jc w:val="center"/>
              <w:rPr>
                <w:noProof/>
                <w:sz w:val="20"/>
              </w:rPr>
            </w:pPr>
          </w:p>
        </w:tc>
      </w:tr>
      <w:tr w:rsidR="007D7104" w:rsidRPr="006601BC" w14:paraId="3CEE31C5" w14:textId="77777777" w:rsidTr="00190BB5">
        <w:trPr>
          <w:cantSplit/>
        </w:trPr>
        <w:tc>
          <w:tcPr>
            <w:tcW w:w="2340" w:type="dxa"/>
          </w:tcPr>
          <w:p w14:paraId="3721E1F3" w14:textId="77777777" w:rsidR="007D7104" w:rsidRPr="006601BC" w:rsidRDefault="007D7104" w:rsidP="00190BB5">
            <w:pPr>
              <w:spacing w:before="60" w:after="60"/>
              <w:jc w:val="left"/>
              <w:rPr>
                <w:noProof/>
                <w:sz w:val="20"/>
              </w:rPr>
            </w:pPr>
            <w:r w:rsidRPr="006601BC">
              <w:rPr>
                <w:noProof/>
                <w:sz w:val="20"/>
              </w:rPr>
              <w:t xml:space="preserve">Társfinanszírozott előirányzatok ÖSSZESEN </w:t>
            </w:r>
          </w:p>
        </w:tc>
        <w:tc>
          <w:tcPr>
            <w:tcW w:w="964" w:type="dxa"/>
            <w:vAlign w:val="center"/>
          </w:tcPr>
          <w:p w14:paraId="29E6090F" w14:textId="77777777" w:rsidR="007D7104" w:rsidRPr="006601BC" w:rsidRDefault="007D7104" w:rsidP="00190BB5">
            <w:pPr>
              <w:spacing w:before="60" w:after="60"/>
              <w:jc w:val="center"/>
              <w:rPr>
                <w:noProof/>
                <w:sz w:val="20"/>
              </w:rPr>
            </w:pPr>
          </w:p>
        </w:tc>
        <w:tc>
          <w:tcPr>
            <w:tcW w:w="964" w:type="dxa"/>
            <w:vAlign w:val="center"/>
          </w:tcPr>
          <w:p w14:paraId="78F65FDC" w14:textId="77777777" w:rsidR="007D7104" w:rsidRPr="006601BC" w:rsidRDefault="007D7104" w:rsidP="00190BB5">
            <w:pPr>
              <w:spacing w:before="60" w:after="60"/>
              <w:jc w:val="center"/>
              <w:rPr>
                <w:noProof/>
                <w:sz w:val="20"/>
              </w:rPr>
            </w:pPr>
          </w:p>
        </w:tc>
        <w:tc>
          <w:tcPr>
            <w:tcW w:w="964" w:type="dxa"/>
            <w:vAlign w:val="center"/>
          </w:tcPr>
          <w:p w14:paraId="1EC86BD7" w14:textId="77777777" w:rsidR="007D7104" w:rsidRPr="006601BC" w:rsidRDefault="007D7104" w:rsidP="00190BB5">
            <w:pPr>
              <w:spacing w:before="60" w:after="60"/>
              <w:jc w:val="center"/>
              <w:rPr>
                <w:noProof/>
                <w:sz w:val="20"/>
              </w:rPr>
            </w:pPr>
          </w:p>
        </w:tc>
        <w:tc>
          <w:tcPr>
            <w:tcW w:w="964" w:type="dxa"/>
            <w:vAlign w:val="center"/>
          </w:tcPr>
          <w:p w14:paraId="09DDE6C2" w14:textId="77777777" w:rsidR="007D7104" w:rsidRPr="006601BC" w:rsidRDefault="007D7104" w:rsidP="00190BB5">
            <w:pPr>
              <w:spacing w:before="60" w:after="60"/>
              <w:jc w:val="center"/>
              <w:rPr>
                <w:noProof/>
                <w:sz w:val="20"/>
              </w:rPr>
            </w:pPr>
          </w:p>
        </w:tc>
        <w:tc>
          <w:tcPr>
            <w:tcW w:w="964" w:type="dxa"/>
            <w:vAlign w:val="center"/>
          </w:tcPr>
          <w:p w14:paraId="20EA572D" w14:textId="77777777" w:rsidR="007D7104" w:rsidRPr="006601BC" w:rsidRDefault="007D7104" w:rsidP="00190BB5">
            <w:pPr>
              <w:spacing w:before="60" w:after="60"/>
              <w:jc w:val="center"/>
              <w:rPr>
                <w:noProof/>
                <w:sz w:val="20"/>
              </w:rPr>
            </w:pPr>
          </w:p>
        </w:tc>
        <w:tc>
          <w:tcPr>
            <w:tcW w:w="964" w:type="dxa"/>
            <w:vAlign w:val="center"/>
          </w:tcPr>
          <w:p w14:paraId="591F23C0" w14:textId="77777777" w:rsidR="007D7104" w:rsidRPr="006601BC" w:rsidRDefault="007D7104" w:rsidP="00190BB5">
            <w:pPr>
              <w:spacing w:before="60" w:after="60"/>
              <w:jc w:val="center"/>
              <w:rPr>
                <w:noProof/>
                <w:sz w:val="20"/>
              </w:rPr>
            </w:pPr>
          </w:p>
        </w:tc>
        <w:tc>
          <w:tcPr>
            <w:tcW w:w="964" w:type="dxa"/>
            <w:vAlign w:val="center"/>
          </w:tcPr>
          <w:p w14:paraId="1AAB64C1" w14:textId="77777777" w:rsidR="007D7104" w:rsidRPr="006601BC" w:rsidRDefault="007D7104" w:rsidP="00190BB5">
            <w:pPr>
              <w:spacing w:before="60" w:after="60"/>
              <w:jc w:val="center"/>
              <w:rPr>
                <w:noProof/>
                <w:sz w:val="20"/>
              </w:rPr>
            </w:pPr>
          </w:p>
        </w:tc>
        <w:tc>
          <w:tcPr>
            <w:tcW w:w="1158" w:type="dxa"/>
            <w:vAlign w:val="center"/>
          </w:tcPr>
          <w:p w14:paraId="3C44F816" w14:textId="77777777" w:rsidR="007D7104" w:rsidRPr="006601BC" w:rsidRDefault="007D7104" w:rsidP="00190BB5">
            <w:pPr>
              <w:spacing w:before="60" w:after="60"/>
              <w:jc w:val="center"/>
              <w:rPr>
                <w:noProof/>
                <w:sz w:val="20"/>
              </w:rPr>
            </w:pPr>
          </w:p>
        </w:tc>
      </w:tr>
    </w:tbl>
    <w:p w14:paraId="18F81AE0" w14:textId="77777777" w:rsidR="007D7104" w:rsidRPr="006601BC" w:rsidRDefault="007D7104" w:rsidP="007D7104">
      <w:pPr>
        <w:rPr>
          <w:noProof/>
        </w:rPr>
      </w:pPr>
      <w:r w:rsidRPr="006601BC">
        <w:rPr>
          <w:noProof/>
        </w:rPr>
        <w:t xml:space="preserve"> </w:t>
      </w:r>
      <w:r w:rsidRPr="006601BC">
        <w:rPr>
          <w:noProof/>
        </w:rPr>
        <w:br/>
      </w:r>
    </w:p>
    <w:p w14:paraId="012BC1B8" w14:textId="729C68F9" w:rsidR="007D7104" w:rsidRPr="006601BC" w:rsidRDefault="007D7104" w:rsidP="00BB68C4">
      <w:pPr>
        <w:pStyle w:val="ManualHeading2"/>
        <w:rPr>
          <w:bCs/>
          <w:noProof/>
          <w:szCs w:val="24"/>
        </w:rPr>
      </w:pPr>
      <w:r w:rsidRPr="006601BC">
        <w:rPr>
          <w:noProof/>
        </w:rPr>
        <w:br w:type="page"/>
      </w:r>
      <w:bookmarkStart w:id="82" w:name="_Toc514938059"/>
      <w:bookmarkStart w:id="83" w:name="_Toc86321180"/>
      <w:r w:rsidR="00BB68C4" w:rsidRPr="00BB68C4">
        <w:t>3.3.</w:t>
      </w:r>
      <w:r w:rsidR="00BB68C4" w:rsidRPr="00BB68C4">
        <w:tab/>
      </w:r>
      <w:r w:rsidRPr="006601BC">
        <w:rPr>
          <w:noProof/>
        </w:rPr>
        <w:t>A bevételre gyakorolt becsült hatás</w:t>
      </w:r>
      <w:bookmarkEnd w:id="82"/>
      <w:bookmarkEnd w:id="83"/>
      <w:r w:rsidRPr="006601BC">
        <w:rPr>
          <w:noProof/>
        </w:rPr>
        <w:t xml:space="preserve"> </w:t>
      </w:r>
    </w:p>
    <w:p w14:paraId="06B3681E" w14:textId="77777777" w:rsidR="007D7104" w:rsidRPr="006601BC" w:rsidRDefault="007D7104" w:rsidP="0073554F">
      <w:pPr>
        <w:pStyle w:val="ListDash1"/>
        <w:numPr>
          <w:ilvl w:val="0"/>
          <w:numId w:val="18"/>
        </w:numPr>
        <w:spacing w:before="120" w:after="120"/>
        <w:rPr>
          <w:noProof/>
        </w:rPr>
      </w:pPr>
      <w:r w:rsidRPr="006601BC">
        <w:rPr>
          <w:noProof/>
        </w:rPr>
        <w:t>X</w:t>
      </w:r>
      <w:r w:rsidRPr="006601BC">
        <w:rPr>
          <w:noProof/>
        </w:rPr>
        <w:tab/>
        <w:t>A javaslatnak/kezdeményezésnek nincs pénzügyi hatása a bevételre.</w:t>
      </w:r>
    </w:p>
    <w:p w14:paraId="2BAE0A30" w14:textId="77777777" w:rsidR="007D7104" w:rsidRPr="006601BC" w:rsidRDefault="007D7104" w:rsidP="0073554F">
      <w:pPr>
        <w:pStyle w:val="ListDash1"/>
        <w:numPr>
          <w:ilvl w:val="0"/>
          <w:numId w:val="18"/>
        </w:numPr>
        <w:spacing w:before="120" w:after="120"/>
        <w:rPr>
          <w:noProof/>
        </w:rPr>
      </w:pPr>
      <w:r w:rsidRPr="006601BC">
        <w:rPr>
          <w:noProof/>
        </w:rPr>
        <w:sym w:font="Wingdings" w:char="F0A8"/>
      </w:r>
      <w:r w:rsidRPr="006601BC">
        <w:rPr>
          <w:noProof/>
        </w:rPr>
        <w:tab/>
        <w:t>A javaslatnak/kezdeményezésnek van pénzügyi hatása – a bevételre gyakorolt hatása a következő:</w:t>
      </w:r>
    </w:p>
    <w:p w14:paraId="4EC996C3" w14:textId="2E3E7A38" w:rsidR="007D7104" w:rsidRPr="006601BC" w:rsidRDefault="007D7104" w:rsidP="0073554F">
      <w:pPr>
        <w:pStyle w:val="Tiret2"/>
        <w:numPr>
          <w:ilvl w:val="0"/>
          <w:numId w:val="20"/>
        </w:numPr>
        <w:rPr>
          <w:noProof/>
        </w:rPr>
      </w:pPr>
      <w:r w:rsidRPr="006601BC">
        <w:rPr>
          <w:noProof/>
        </w:rPr>
        <w:sym w:font="Wingdings" w:char="F0A8"/>
      </w:r>
      <w:r w:rsidRPr="006601BC">
        <w:rPr>
          <w:noProof/>
        </w:rPr>
        <w:tab/>
        <w:t xml:space="preserve">a javaslat a saját forrásokra gyakorol hatást </w:t>
      </w:r>
    </w:p>
    <w:p w14:paraId="26A98554" w14:textId="0D1C7864" w:rsidR="007D7104" w:rsidRPr="006601BC" w:rsidRDefault="007D7104" w:rsidP="00C54C48">
      <w:pPr>
        <w:pStyle w:val="Tiret2"/>
        <w:rPr>
          <w:noProof/>
        </w:rPr>
      </w:pPr>
      <w:r w:rsidRPr="006601BC">
        <w:rPr>
          <w:noProof/>
        </w:rPr>
        <w:sym w:font="Wingdings" w:char="F0A8"/>
      </w:r>
      <w:r w:rsidRPr="006601BC">
        <w:rPr>
          <w:noProof/>
        </w:rPr>
        <w:tab/>
        <w:t>a javaslat az egyéb bevételekre gyakorol hatást</w:t>
      </w:r>
    </w:p>
    <w:p w14:paraId="506CB870" w14:textId="662C9244" w:rsidR="007D7104" w:rsidRPr="006601BC" w:rsidRDefault="007D7104" w:rsidP="00C54C48">
      <w:pPr>
        <w:pStyle w:val="Tiret2"/>
        <w:rPr>
          <w:noProof/>
        </w:rPr>
      </w:pPr>
      <w:r w:rsidRPr="006601BC">
        <w:rPr>
          <w:noProof/>
        </w:rPr>
        <w:t xml:space="preserve">kérjük adja meg, hogy a bevétel kiadási sorhoz van-e rendelve </w:t>
      </w:r>
      <w:r w:rsidRPr="006601BC">
        <w:rPr>
          <w:noProof/>
        </w:rPr>
        <w:sym w:font="Wingdings" w:char="F0A8"/>
      </w:r>
      <w:r w:rsidRPr="006601BC">
        <w:rPr>
          <w:noProof/>
        </w:rPr>
        <w:tab/>
      </w:r>
    </w:p>
    <w:p w14:paraId="75EC811E" w14:textId="77777777" w:rsidR="007D7104" w:rsidRPr="006601BC" w:rsidRDefault="007D7104" w:rsidP="007D7104">
      <w:pPr>
        <w:ind w:left="4320"/>
        <w:rPr>
          <w:i/>
          <w:noProof/>
          <w:sz w:val="20"/>
        </w:rPr>
      </w:pPr>
      <w:r w:rsidRPr="006601BC">
        <w:rPr>
          <w:noProof/>
        </w:rPr>
        <w:t xml:space="preserve">     millió EUR (három tizedesjegyig)</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7D7104" w:rsidRPr="006601BC" w14:paraId="6BE78450" w14:textId="77777777" w:rsidTr="00190BB5">
        <w:trPr>
          <w:trHeight w:val="388"/>
        </w:trPr>
        <w:tc>
          <w:tcPr>
            <w:tcW w:w="2144" w:type="dxa"/>
            <w:vMerge w:val="restart"/>
            <w:vAlign w:val="center"/>
          </w:tcPr>
          <w:p w14:paraId="0D225356" w14:textId="77777777" w:rsidR="007D7104" w:rsidRPr="006601BC" w:rsidRDefault="007D7104" w:rsidP="00190BB5">
            <w:pPr>
              <w:spacing w:before="40" w:after="40"/>
              <w:rPr>
                <w:noProof/>
                <w:sz w:val="18"/>
              </w:rPr>
            </w:pPr>
            <w:r w:rsidRPr="006601BC">
              <w:rPr>
                <w:noProof/>
                <w:sz w:val="18"/>
              </w:rPr>
              <w:t>Bevételi költségvetési sor:</w:t>
            </w:r>
          </w:p>
        </w:tc>
        <w:tc>
          <w:tcPr>
            <w:tcW w:w="1325" w:type="dxa"/>
            <w:vMerge w:val="restart"/>
            <w:vAlign w:val="center"/>
          </w:tcPr>
          <w:p w14:paraId="78E3D265" w14:textId="77777777" w:rsidR="007D7104" w:rsidRPr="006601BC" w:rsidRDefault="007D7104" w:rsidP="00190BB5">
            <w:pPr>
              <w:jc w:val="center"/>
              <w:rPr>
                <w:noProof/>
                <w:sz w:val="18"/>
              </w:rPr>
            </w:pPr>
            <w:r w:rsidRPr="006601BC">
              <w:rPr>
                <w:noProof/>
                <w:sz w:val="18"/>
              </w:rPr>
              <w:t>Az aktuális költségvetési évben rendelkezésre álló előirányzatok</w:t>
            </w:r>
          </w:p>
        </w:tc>
        <w:tc>
          <w:tcPr>
            <w:tcW w:w="7151" w:type="dxa"/>
            <w:gridSpan w:val="7"/>
            <w:vAlign w:val="center"/>
          </w:tcPr>
          <w:p w14:paraId="570B69D2" w14:textId="77777777" w:rsidR="007D7104" w:rsidRPr="006601BC" w:rsidRDefault="007D7104" w:rsidP="00190BB5">
            <w:pPr>
              <w:jc w:val="center"/>
              <w:rPr>
                <w:noProof/>
                <w:sz w:val="18"/>
              </w:rPr>
            </w:pPr>
            <w:r w:rsidRPr="006601BC">
              <w:rPr>
                <w:noProof/>
                <w:sz w:val="18"/>
              </w:rPr>
              <w:t>A javaslat/kezdeményezés hatása</w:t>
            </w:r>
            <w:r w:rsidRPr="006601BC">
              <w:rPr>
                <w:rStyle w:val="FootnoteReference"/>
                <w:noProof/>
                <w:sz w:val="18"/>
              </w:rPr>
              <w:footnoteReference w:id="46"/>
            </w:r>
          </w:p>
        </w:tc>
      </w:tr>
      <w:tr w:rsidR="007D7104" w:rsidRPr="006601BC" w14:paraId="4B46770C" w14:textId="77777777" w:rsidTr="00190BB5">
        <w:trPr>
          <w:trHeight w:val="388"/>
        </w:trPr>
        <w:tc>
          <w:tcPr>
            <w:tcW w:w="2144" w:type="dxa"/>
            <w:vMerge/>
          </w:tcPr>
          <w:p w14:paraId="2BCBE7E6" w14:textId="77777777" w:rsidR="007D7104" w:rsidRPr="006601BC" w:rsidRDefault="007D7104" w:rsidP="00190BB5">
            <w:pPr>
              <w:spacing w:before="40" w:after="40"/>
              <w:rPr>
                <w:noProof/>
                <w:sz w:val="18"/>
              </w:rPr>
            </w:pPr>
          </w:p>
        </w:tc>
        <w:tc>
          <w:tcPr>
            <w:tcW w:w="1325" w:type="dxa"/>
            <w:vMerge/>
          </w:tcPr>
          <w:p w14:paraId="488C3FB1" w14:textId="77777777" w:rsidR="007D7104" w:rsidRPr="006601BC" w:rsidRDefault="007D7104" w:rsidP="00190BB5">
            <w:pPr>
              <w:spacing w:beforeLines="40" w:before="96" w:afterLines="40" w:after="96"/>
              <w:rPr>
                <w:i/>
                <w:noProof/>
                <w:sz w:val="18"/>
              </w:rPr>
            </w:pPr>
          </w:p>
        </w:tc>
        <w:tc>
          <w:tcPr>
            <w:tcW w:w="1031" w:type="dxa"/>
            <w:vAlign w:val="center"/>
          </w:tcPr>
          <w:p w14:paraId="47743AAC" w14:textId="77777777" w:rsidR="007D7104" w:rsidRPr="006601BC" w:rsidRDefault="007D7104" w:rsidP="00190BB5">
            <w:pPr>
              <w:jc w:val="center"/>
              <w:rPr>
                <w:noProof/>
                <w:sz w:val="18"/>
              </w:rPr>
            </w:pPr>
            <w:r w:rsidRPr="006601BC">
              <w:rPr>
                <w:b/>
                <w:noProof/>
                <w:sz w:val="20"/>
              </w:rPr>
              <w:t>2021</w:t>
            </w:r>
          </w:p>
        </w:tc>
        <w:tc>
          <w:tcPr>
            <w:tcW w:w="900" w:type="dxa"/>
            <w:vAlign w:val="center"/>
          </w:tcPr>
          <w:p w14:paraId="50FBBC5D" w14:textId="77777777" w:rsidR="007D7104" w:rsidRPr="006601BC" w:rsidRDefault="007D7104" w:rsidP="00190BB5">
            <w:pPr>
              <w:jc w:val="center"/>
              <w:rPr>
                <w:noProof/>
                <w:sz w:val="18"/>
              </w:rPr>
            </w:pPr>
            <w:r w:rsidRPr="006601BC">
              <w:rPr>
                <w:b/>
                <w:noProof/>
                <w:sz w:val="20"/>
              </w:rPr>
              <w:t>2022</w:t>
            </w:r>
          </w:p>
        </w:tc>
        <w:tc>
          <w:tcPr>
            <w:tcW w:w="900" w:type="dxa"/>
            <w:vAlign w:val="center"/>
          </w:tcPr>
          <w:p w14:paraId="64761A7E" w14:textId="77777777" w:rsidR="007D7104" w:rsidRPr="006601BC" w:rsidRDefault="007D7104" w:rsidP="00190BB5">
            <w:pPr>
              <w:jc w:val="center"/>
              <w:rPr>
                <w:noProof/>
                <w:sz w:val="18"/>
              </w:rPr>
            </w:pPr>
            <w:r w:rsidRPr="006601BC">
              <w:rPr>
                <w:b/>
                <w:noProof/>
                <w:sz w:val="20"/>
              </w:rPr>
              <w:t>2023</w:t>
            </w:r>
          </w:p>
        </w:tc>
        <w:tc>
          <w:tcPr>
            <w:tcW w:w="1080" w:type="dxa"/>
            <w:vAlign w:val="center"/>
          </w:tcPr>
          <w:p w14:paraId="21E34465" w14:textId="77777777" w:rsidR="007D7104" w:rsidRPr="006601BC" w:rsidRDefault="007D7104" w:rsidP="00190BB5">
            <w:pPr>
              <w:jc w:val="center"/>
              <w:rPr>
                <w:noProof/>
                <w:sz w:val="18"/>
              </w:rPr>
            </w:pPr>
            <w:r w:rsidRPr="006601BC">
              <w:rPr>
                <w:b/>
                <w:noProof/>
                <w:sz w:val="20"/>
              </w:rPr>
              <w:t>2024</w:t>
            </w:r>
          </w:p>
        </w:tc>
        <w:tc>
          <w:tcPr>
            <w:tcW w:w="1080" w:type="dxa"/>
            <w:vAlign w:val="center"/>
          </w:tcPr>
          <w:p w14:paraId="26C38A65" w14:textId="77777777" w:rsidR="007D7104" w:rsidRPr="006601BC" w:rsidRDefault="007D7104" w:rsidP="00190BB5">
            <w:pPr>
              <w:jc w:val="center"/>
              <w:rPr>
                <w:b/>
                <w:noProof/>
                <w:sz w:val="18"/>
              </w:rPr>
            </w:pPr>
            <w:r w:rsidRPr="006601BC">
              <w:rPr>
                <w:b/>
                <w:noProof/>
                <w:sz w:val="18"/>
              </w:rPr>
              <w:t>2025</w:t>
            </w:r>
          </w:p>
        </w:tc>
        <w:tc>
          <w:tcPr>
            <w:tcW w:w="1080" w:type="dxa"/>
            <w:vAlign w:val="center"/>
          </w:tcPr>
          <w:p w14:paraId="36A104E8" w14:textId="77777777" w:rsidR="007D7104" w:rsidRPr="006601BC" w:rsidRDefault="007D7104" w:rsidP="00190BB5">
            <w:pPr>
              <w:jc w:val="center"/>
              <w:rPr>
                <w:b/>
                <w:noProof/>
                <w:sz w:val="18"/>
              </w:rPr>
            </w:pPr>
            <w:r w:rsidRPr="006601BC">
              <w:rPr>
                <w:b/>
                <w:noProof/>
                <w:sz w:val="18"/>
              </w:rPr>
              <w:t>2026</w:t>
            </w:r>
          </w:p>
        </w:tc>
        <w:tc>
          <w:tcPr>
            <w:tcW w:w="1080" w:type="dxa"/>
            <w:vAlign w:val="center"/>
          </w:tcPr>
          <w:p w14:paraId="5A46054E" w14:textId="77777777" w:rsidR="007D7104" w:rsidRPr="006601BC" w:rsidRDefault="007D7104" w:rsidP="00190BB5">
            <w:pPr>
              <w:jc w:val="center"/>
              <w:rPr>
                <w:b/>
                <w:noProof/>
                <w:sz w:val="18"/>
              </w:rPr>
            </w:pPr>
            <w:r w:rsidRPr="006601BC">
              <w:rPr>
                <w:b/>
                <w:noProof/>
                <w:sz w:val="18"/>
              </w:rPr>
              <w:t>2027</w:t>
            </w:r>
          </w:p>
        </w:tc>
      </w:tr>
      <w:tr w:rsidR="007D7104" w:rsidRPr="006601BC" w14:paraId="495FBD94" w14:textId="77777777" w:rsidTr="00190BB5">
        <w:trPr>
          <w:trHeight w:val="388"/>
        </w:trPr>
        <w:tc>
          <w:tcPr>
            <w:tcW w:w="2144" w:type="dxa"/>
            <w:vAlign w:val="center"/>
          </w:tcPr>
          <w:p w14:paraId="6951EEE8" w14:textId="77777777" w:rsidR="007D7104" w:rsidRPr="006601BC" w:rsidRDefault="007D7104" w:rsidP="00190BB5">
            <w:pPr>
              <w:spacing w:before="40" w:after="40"/>
              <w:rPr>
                <w:noProof/>
                <w:sz w:val="18"/>
              </w:rPr>
            </w:pPr>
            <w:r w:rsidRPr="006601BC">
              <w:rPr>
                <w:noProof/>
                <w:sz w:val="18"/>
              </w:rPr>
              <w:t>… jogcímcsoport</w:t>
            </w:r>
          </w:p>
        </w:tc>
        <w:tc>
          <w:tcPr>
            <w:tcW w:w="1325" w:type="dxa"/>
          </w:tcPr>
          <w:p w14:paraId="07473B89" w14:textId="77777777" w:rsidR="007D7104" w:rsidRPr="006601BC" w:rsidRDefault="007D7104" w:rsidP="00190BB5">
            <w:pPr>
              <w:spacing w:beforeLines="40" w:before="96" w:afterLines="40" w:after="96"/>
              <w:jc w:val="center"/>
              <w:rPr>
                <w:i/>
                <w:noProof/>
                <w:sz w:val="18"/>
              </w:rPr>
            </w:pPr>
          </w:p>
        </w:tc>
        <w:tc>
          <w:tcPr>
            <w:tcW w:w="1031" w:type="dxa"/>
          </w:tcPr>
          <w:p w14:paraId="52C3B6E8" w14:textId="77777777" w:rsidR="007D7104" w:rsidRPr="006601BC" w:rsidRDefault="007D7104" w:rsidP="00190BB5">
            <w:pPr>
              <w:spacing w:beforeLines="40" w:before="96" w:afterLines="40" w:after="96"/>
              <w:jc w:val="center"/>
              <w:rPr>
                <w:noProof/>
                <w:sz w:val="18"/>
              </w:rPr>
            </w:pPr>
          </w:p>
        </w:tc>
        <w:tc>
          <w:tcPr>
            <w:tcW w:w="900" w:type="dxa"/>
          </w:tcPr>
          <w:p w14:paraId="394CCEB4" w14:textId="77777777" w:rsidR="007D7104" w:rsidRPr="006601BC" w:rsidRDefault="007D7104" w:rsidP="00190BB5">
            <w:pPr>
              <w:spacing w:beforeLines="40" w:before="96" w:afterLines="40" w:after="96"/>
              <w:jc w:val="center"/>
              <w:rPr>
                <w:noProof/>
                <w:sz w:val="18"/>
              </w:rPr>
            </w:pPr>
          </w:p>
        </w:tc>
        <w:tc>
          <w:tcPr>
            <w:tcW w:w="900" w:type="dxa"/>
          </w:tcPr>
          <w:p w14:paraId="52A2A2DC" w14:textId="77777777" w:rsidR="007D7104" w:rsidRPr="006601BC" w:rsidRDefault="007D7104" w:rsidP="00190BB5">
            <w:pPr>
              <w:spacing w:beforeLines="40" w:before="96" w:afterLines="40" w:after="96"/>
              <w:jc w:val="center"/>
              <w:rPr>
                <w:noProof/>
                <w:sz w:val="18"/>
              </w:rPr>
            </w:pPr>
          </w:p>
        </w:tc>
        <w:tc>
          <w:tcPr>
            <w:tcW w:w="1080" w:type="dxa"/>
          </w:tcPr>
          <w:p w14:paraId="444EB919" w14:textId="77777777" w:rsidR="007D7104" w:rsidRPr="006601BC" w:rsidRDefault="007D7104" w:rsidP="00190BB5">
            <w:pPr>
              <w:spacing w:beforeLines="40" w:before="96" w:afterLines="40" w:after="96"/>
              <w:jc w:val="center"/>
              <w:rPr>
                <w:noProof/>
                <w:sz w:val="18"/>
              </w:rPr>
            </w:pPr>
          </w:p>
        </w:tc>
        <w:tc>
          <w:tcPr>
            <w:tcW w:w="1080" w:type="dxa"/>
          </w:tcPr>
          <w:p w14:paraId="1B1FD27F" w14:textId="77777777" w:rsidR="007D7104" w:rsidRPr="006601BC" w:rsidRDefault="007D7104" w:rsidP="00190BB5">
            <w:pPr>
              <w:spacing w:beforeLines="40" w:before="96" w:afterLines="40" w:after="96"/>
              <w:jc w:val="center"/>
              <w:rPr>
                <w:noProof/>
                <w:sz w:val="18"/>
              </w:rPr>
            </w:pPr>
          </w:p>
        </w:tc>
        <w:tc>
          <w:tcPr>
            <w:tcW w:w="1080" w:type="dxa"/>
          </w:tcPr>
          <w:p w14:paraId="2EDB0085" w14:textId="77777777" w:rsidR="007D7104" w:rsidRPr="006601BC" w:rsidRDefault="007D7104" w:rsidP="00190BB5">
            <w:pPr>
              <w:spacing w:beforeLines="40" w:before="96" w:afterLines="40" w:after="96"/>
              <w:jc w:val="center"/>
              <w:rPr>
                <w:noProof/>
                <w:sz w:val="18"/>
              </w:rPr>
            </w:pPr>
          </w:p>
        </w:tc>
        <w:tc>
          <w:tcPr>
            <w:tcW w:w="1080" w:type="dxa"/>
          </w:tcPr>
          <w:p w14:paraId="22AFB281" w14:textId="77777777" w:rsidR="007D7104" w:rsidRPr="006601BC" w:rsidRDefault="007D7104" w:rsidP="00190BB5">
            <w:pPr>
              <w:spacing w:beforeLines="40" w:before="96" w:afterLines="40" w:after="96"/>
              <w:jc w:val="center"/>
              <w:rPr>
                <w:noProof/>
                <w:sz w:val="18"/>
              </w:rPr>
            </w:pPr>
          </w:p>
        </w:tc>
      </w:tr>
    </w:tbl>
    <w:p w14:paraId="78F8B1E0" w14:textId="77777777" w:rsidR="007D7104" w:rsidRPr="006601BC" w:rsidRDefault="007D7104" w:rsidP="007D7104">
      <w:pPr>
        <w:pStyle w:val="Text1"/>
        <w:rPr>
          <w:noProof/>
          <w:sz w:val="20"/>
        </w:rPr>
      </w:pPr>
      <w:r w:rsidRPr="006601BC">
        <w:rPr>
          <w:noProof/>
          <w:sz w:val="20"/>
        </w:rPr>
        <w:t>A címzett bevételek esetében tüntesse fel az érintett kiadáshoz tartozó költségvetési sor(oka)t.</w:t>
      </w:r>
    </w:p>
    <w:p w14:paraId="77CCD9C7"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w:t>
      </w:r>
    </w:p>
    <w:p w14:paraId="08CBADCB" w14:textId="77777777" w:rsidR="007D7104" w:rsidRPr="006601BC" w:rsidRDefault="007D7104" w:rsidP="007D7104">
      <w:pPr>
        <w:pStyle w:val="Text1"/>
        <w:rPr>
          <w:noProof/>
          <w:sz w:val="20"/>
        </w:rPr>
      </w:pPr>
      <w:r w:rsidRPr="006601BC">
        <w:rPr>
          <w:noProof/>
          <w:sz w:val="20"/>
        </w:rPr>
        <w:t>Egyéb megjegyzések (pl. a bevételre gyakorolt hatás számítására használt módszer/képlet vagy egyéb más információ).</w:t>
      </w:r>
    </w:p>
    <w:p w14:paraId="08D6FA06" w14:textId="77777777" w:rsidR="007D7104" w:rsidRPr="006601BC" w:rsidRDefault="007D7104" w:rsidP="007D7104">
      <w:pPr>
        <w:pStyle w:val="Text1"/>
        <w:pBdr>
          <w:top w:val="single" w:sz="4" w:space="1" w:color="auto"/>
          <w:left w:val="single" w:sz="4" w:space="4" w:color="auto"/>
          <w:bottom w:val="single" w:sz="4" w:space="1" w:color="auto"/>
          <w:right w:val="single" w:sz="4" w:space="4" w:color="auto"/>
        </w:pBdr>
        <w:rPr>
          <w:noProof/>
        </w:rPr>
      </w:pPr>
      <w:r w:rsidRPr="006601BC">
        <w:rPr>
          <w:noProof/>
        </w:rPr>
        <w:t>[...]</w:t>
      </w:r>
    </w:p>
    <w:sectPr w:rsidR="007D7104" w:rsidRPr="006601BC" w:rsidSect="00EF5D4F">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4432D" w14:textId="77777777" w:rsidR="004E73F1" w:rsidRDefault="004E73F1" w:rsidP="00D96A4B">
      <w:pPr>
        <w:spacing w:before="0" w:after="0"/>
      </w:pPr>
      <w:r>
        <w:separator/>
      </w:r>
    </w:p>
  </w:endnote>
  <w:endnote w:type="continuationSeparator" w:id="0">
    <w:p w14:paraId="38CAC697" w14:textId="77777777" w:rsidR="004E73F1" w:rsidRDefault="004E73F1" w:rsidP="00D96A4B">
      <w:pPr>
        <w:spacing w:before="0" w:after="0"/>
      </w:pPr>
      <w:r>
        <w:continuationSeparator/>
      </w:r>
    </w:p>
  </w:endnote>
  <w:endnote w:type="continuationNotice" w:id="1">
    <w:p w14:paraId="4119FFDF" w14:textId="77777777" w:rsidR="004E73F1" w:rsidRDefault="004E73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41A04" w14:textId="50C8F077" w:rsidR="006601BC" w:rsidRPr="00EF5D4F" w:rsidRDefault="00EF5D4F" w:rsidP="00EF5D4F">
    <w:pPr>
      <w:pStyle w:val="Footer"/>
      <w:rPr>
        <w:rFonts w:ascii="Arial" w:hAnsi="Arial" w:cs="Arial"/>
        <w:b/>
        <w:sz w:val="48"/>
      </w:rPr>
    </w:pPr>
    <w:r w:rsidRPr="00EF5D4F">
      <w:rPr>
        <w:rFonts w:ascii="Arial" w:hAnsi="Arial" w:cs="Arial"/>
        <w:b/>
        <w:sz w:val="48"/>
      </w:rPr>
      <w:t>HU</w:t>
    </w:r>
    <w:r w:rsidRPr="00EF5D4F">
      <w:rPr>
        <w:rFonts w:ascii="Arial" w:hAnsi="Arial" w:cs="Arial"/>
        <w:b/>
        <w:sz w:val="48"/>
      </w:rPr>
      <w:tab/>
    </w:r>
    <w:r w:rsidRPr="00EF5D4F">
      <w:rPr>
        <w:rFonts w:ascii="Arial" w:hAnsi="Arial" w:cs="Arial"/>
        <w:b/>
        <w:sz w:val="48"/>
      </w:rPr>
      <w:tab/>
    </w:r>
    <w:r w:rsidRPr="00EF5D4F">
      <w:tab/>
    </w:r>
    <w:r w:rsidRPr="00EF5D4F">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1510B" w14:textId="777D1CD6" w:rsidR="00EF5D4F" w:rsidRPr="00EF5D4F" w:rsidRDefault="00EF5D4F" w:rsidP="00EF5D4F">
    <w:pPr>
      <w:pStyle w:val="Footer"/>
      <w:rPr>
        <w:rFonts w:ascii="Arial" w:hAnsi="Arial" w:cs="Arial"/>
        <w:b/>
        <w:sz w:val="48"/>
      </w:rPr>
    </w:pPr>
    <w:r w:rsidRPr="00EF5D4F">
      <w:rPr>
        <w:rFonts w:ascii="Arial" w:hAnsi="Arial" w:cs="Arial"/>
        <w:b/>
        <w:sz w:val="48"/>
      </w:rPr>
      <w:t>HU</w:t>
    </w:r>
    <w:r w:rsidRPr="00EF5D4F">
      <w:rPr>
        <w:rFonts w:ascii="Arial" w:hAnsi="Arial" w:cs="Arial"/>
        <w:b/>
        <w:sz w:val="48"/>
      </w:rPr>
      <w:tab/>
    </w:r>
    <w:r>
      <w:fldChar w:fldCharType="begin"/>
    </w:r>
    <w:r>
      <w:instrText xml:space="preserve"> PAGE  \* MERGEFORMAT </w:instrText>
    </w:r>
    <w:r>
      <w:fldChar w:fldCharType="separate"/>
    </w:r>
    <w:r w:rsidR="00F54AB5">
      <w:rPr>
        <w:noProof/>
      </w:rPr>
      <w:t>21</w:t>
    </w:r>
    <w:r>
      <w:fldChar w:fldCharType="end"/>
    </w:r>
    <w:r>
      <w:tab/>
    </w:r>
    <w:r w:rsidRPr="00EF5D4F">
      <w:tab/>
    </w:r>
    <w:r w:rsidRPr="00EF5D4F">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1D5A5" w14:textId="77777777" w:rsidR="00EF5D4F" w:rsidRPr="00EF5D4F" w:rsidRDefault="00EF5D4F" w:rsidP="00EF5D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01A08" w14:textId="29FD1CDF" w:rsidR="00EF5D4F" w:rsidRPr="00EF5D4F" w:rsidRDefault="00EF5D4F" w:rsidP="00EF5D4F">
    <w:pPr>
      <w:pStyle w:val="FooterLandscape"/>
      <w:rPr>
        <w:rFonts w:ascii="Arial" w:hAnsi="Arial" w:cs="Arial"/>
        <w:b/>
        <w:sz w:val="48"/>
      </w:rPr>
    </w:pPr>
    <w:r w:rsidRPr="00EF5D4F">
      <w:rPr>
        <w:rFonts w:ascii="Arial" w:hAnsi="Arial" w:cs="Arial"/>
        <w:b/>
        <w:sz w:val="48"/>
      </w:rPr>
      <w:t>HU</w:t>
    </w:r>
    <w:r w:rsidRPr="00EF5D4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F5D4F">
      <w:tab/>
    </w:r>
    <w:r w:rsidRPr="00EF5D4F">
      <w:rPr>
        <w:rFonts w:ascii="Arial" w:hAnsi="Arial" w:cs="Arial"/>
        <w:b/>
        <w:sz w:val="48"/>
      </w:rPr>
      <w:t>HU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4A46A" w14:textId="77777777" w:rsidR="00EF5D4F" w:rsidRPr="00EF5D4F" w:rsidRDefault="00EF5D4F" w:rsidP="00EF5D4F">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944A3" w14:textId="6F0DBA0D" w:rsidR="00315135" w:rsidRPr="00EF5D4F" w:rsidRDefault="00EF5D4F" w:rsidP="00EF5D4F">
    <w:pPr>
      <w:pStyle w:val="Footer"/>
      <w:rPr>
        <w:rFonts w:ascii="Arial" w:hAnsi="Arial" w:cs="Arial"/>
        <w:b/>
        <w:sz w:val="48"/>
      </w:rPr>
    </w:pPr>
    <w:r w:rsidRPr="00EF5D4F">
      <w:rPr>
        <w:rFonts w:ascii="Arial" w:hAnsi="Arial" w:cs="Arial"/>
        <w:b/>
        <w:sz w:val="48"/>
      </w:rPr>
      <w:t>HU</w:t>
    </w:r>
    <w:r w:rsidRPr="00EF5D4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F5D4F">
      <w:tab/>
    </w:r>
    <w:r w:rsidRPr="00EF5D4F">
      <w:rPr>
        <w:rFonts w:ascii="Arial" w:hAnsi="Arial" w:cs="Arial"/>
        <w:b/>
        <w:sz w:val="48"/>
      </w:rPr>
      <w:t>HU</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61494" w14:textId="77777777" w:rsidR="00EF5D4F" w:rsidRPr="00EF5D4F" w:rsidRDefault="00EF5D4F" w:rsidP="00EF5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37F7B" w14:textId="77777777" w:rsidR="004E73F1" w:rsidRDefault="004E73F1" w:rsidP="00D96A4B">
      <w:pPr>
        <w:spacing w:before="0" w:after="0"/>
      </w:pPr>
      <w:r>
        <w:separator/>
      </w:r>
    </w:p>
  </w:footnote>
  <w:footnote w:type="continuationSeparator" w:id="0">
    <w:p w14:paraId="0C70DF38" w14:textId="77777777" w:rsidR="004E73F1" w:rsidRDefault="004E73F1" w:rsidP="00D96A4B">
      <w:pPr>
        <w:spacing w:before="0" w:after="0"/>
      </w:pPr>
      <w:r>
        <w:continuationSeparator/>
      </w:r>
    </w:p>
  </w:footnote>
  <w:footnote w:type="continuationNotice" w:id="1">
    <w:p w14:paraId="103F1C69" w14:textId="77777777" w:rsidR="004E73F1" w:rsidRDefault="004E73F1">
      <w:pPr>
        <w:spacing w:before="0" w:after="0"/>
      </w:pPr>
    </w:p>
  </w:footnote>
  <w:footnote w:id="2">
    <w:p w14:paraId="415886A8" w14:textId="70C03317" w:rsidR="0009633A" w:rsidRPr="00783446" w:rsidRDefault="0009633A" w:rsidP="00027891">
      <w:pPr>
        <w:pStyle w:val="FootnoteText"/>
      </w:pPr>
      <w:r>
        <w:rPr>
          <w:rStyle w:val="FootnoteReference"/>
        </w:rPr>
        <w:footnoteRef/>
      </w:r>
      <w:r>
        <w:tab/>
        <w:t xml:space="preserve">COM(2021)380 </w:t>
      </w:r>
    </w:p>
  </w:footnote>
  <w:footnote w:id="3">
    <w:p w14:paraId="7C32BA1D" w14:textId="134CCCEC" w:rsidR="0009633A" w:rsidRDefault="0009633A" w:rsidP="008E7215">
      <w:pPr>
        <w:pStyle w:val="FootnoteText"/>
      </w:pPr>
      <w:r>
        <w:rPr>
          <w:rStyle w:val="FootnoteReference"/>
        </w:rPr>
        <w:footnoteRef/>
      </w:r>
      <w:r>
        <w:tab/>
        <w:t>Ezek a 2001/83/EK irányelvben meghatározott, emberi felhasználásra szánt gyógyszerek és az (EU) 2017/745 rendeletben meghatározott orvostechnikai eszközök, illetve a határokon át terjedő súlyos egészségügyi veszélyekre való felkészültséghez és reagáláshoz szükséges más áruk vagy szolgáltatások.</w:t>
      </w:r>
    </w:p>
  </w:footnote>
  <w:footnote w:id="4">
    <w:p w14:paraId="653996CA" w14:textId="27365FB1" w:rsidR="008E1D14" w:rsidRPr="00902C3C" w:rsidRDefault="008E1D14">
      <w:pPr>
        <w:pStyle w:val="FootnoteText"/>
      </w:pPr>
      <w:r>
        <w:rPr>
          <w:rStyle w:val="FootnoteReference"/>
        </w:rPr>
        <w:footnoteRef/>
      </w:r>
      <w:r>
        <w:tab/>
        <w:t>A határokon át terjedő súlyos egészségügyi veszélyekről és az 1082/2013/EU határozat hatályon kívül helyezéséről szóló európai parlamenti és tanácsi rendeletre irányuló javaslat (COM/2020/727 final).</w:t>
      </w:r>
    </w:p>
  </w:footnote>
  <w:footnote w:id="5">
    <w:p w14:paraId="4142D07F" w14:textId="1A3DE9C3" w:rsidR="008E1D14" w:rsidRPr="00902C3C" w:rsidRDefault="008E1D14" w:rsidP="00AD4A32">
      <w:pPr>
        <w:pStyle w:val="FootnoteText"/>
      </w:pPr>
      <w:r>
        <w:rPr>
          <w:rStyle w:val="FootnoteReference"/>
        </w:rPr>
        <w:footnoteRef/>
      </w:r>
      <w:r>
        <w:tab/>
        <w:t>Az Európai Betegségmegelőzési és Járványvédelmi Központ létrehozásáról szóló 851/2004/EK rendelet módosításáról szóló európai parlamenti és tanácsi rendeletre irányuló javaslat (COM/2020/726 final).</w:t>
      </w:r>
    </w:p>
  </w:footnote>
  <w:footnote w:id="6">
    <w:p w14:paraId="5CB429F7" w14:textId="580B2CF6" w:rsidR="008E1D14" w:rsidRPr="00902C3C" w:rsidRDefault="008E1D14">
      <w:pPr>
        <w:pStyle w:val="FootnoteText"/>
      </w:pPr>
      <w:r>
        <w:rPr>
          <w:rStyle w:val="FootnoteReference"/>
        </w:rPr>
        <w:footnoteRef/>
      </w:r>
      <w:r>
        <w:tab/>
        <w:t>Az Európai Gyógyszerügynökség által a gyógyszerek és orvostechnikai eszközök tekintetében a válsághelyzetekre való felkészültség és a válságkezelés terén betöltött szerep megerősítéséről szóló európai parlamenti és tanácsi rendeletre irányuló javaslat (COM/2020/725 final).</w:t>
      </w:r>
    </w:p>
  </w:footnote>
  <w:footnote w:id="7">
    <w:p w14:paraId="677E769D" w14:textId="11A10927" w:rsidR="00AD4A32" w:rsidRPr="00902C3C" w:rsidRDefault="00AD4A32">
      <w:pPr>
        <w:pStyle w:val="FootnoteText"/>
      </w:pPr>
      <w:r>
        <w:rPr>
          <w:rStyle w:val="FootnoteReference"/>
        </w:rPr>
        <w:footnoteRef/>
      </w:r>
      <w:r>
        <w:tab/>
        <w:t>COM/2020/725 final.</w:t>
      </w:r>
    </w:p>
  </w:footnote>
  <w:footnote w:id="8">
    <w:p w14:paraId="411AD7A2" w14:textId="18C7C95F" w:rsidR="0009633A" w:rsidRPr="00D255F3" w:rsidRDefault="0009633A" w:rsidP="008E7215">
      <w:pPr>
        <w:pStyle w:val="FootnoteText"/>
      </w:pPr>
      <w:r>
        <w:rPr>
          <w:rStyle w:val="FootnoteReference"/>
        </w:rPr>
        <w:footnoteRef/>
      </w:r>
      <w:r>
        <w:tab/>
        <w:t>HL L 107., 2021.3.26., 1. o.</w:t>
      </w:r>
    </w:p>
  </w:footnote>
  <w:footnote w:id="9">
    <w:p w14:paraId="3DCF2750" w14:textId="4AD258FF" w:rsidR="0009633A" w:rsidRPr="00126BAD" w:rsidRDefault="0009633A" w:rsidP="008E7215">
      <w:pPr>
        <w:pStyle w:val="FootnoteText"/>
      </w:pPr>
      <w:r>
        <w:rPr>
          <w:rStyle w:val="FootnoteReference"/>
        </w:rPr>
        <w:footnoteRef/>
      </w:r>
      <w:r>
        <w:tab/>
        <w:t>HL L 347., 2013.12.20., 924. o.</w:t>
      </w:r>
    </w:p>
  </w:footnote>
  <w:footnote w:id="10">
    <w:p w14:paraId="4F23EA26" w14:textId="45EC983D" w:rsidR="0009633A" w:rsidRPr="00126BAD" w:rsidRDefault="0009633A" w:rsidP="008E7215">
      <w:pPr>
        <w:pStyle w:val="FootnoteText"/>
      </w:pPr>
      <w:r>
        <w:rPr>
          <w:rStyle w:val="FootnoteReference"/>
        </w:rPr>
        <w:footnoteRef/>
      </w:r>
      <w:r>
        <w:tab/>
        <w:t>HL L 70., 2016.3.16., 1. o.</w:t>
      </w:r>
    </w:p>
  </w:footnote>
  <w:footnote w:id="11">
    <w:p w14:paraId="2FDA9596" w14:textId="281B09EB" w:rsidR="0009633A" w:rsidRPr="00D255F3" w:rsidRDefault="0009633A" w:rsidP="008E7215">
      <w:pPr>
        <w:pStyle w:val="FootnoteText"/>
      </w:pPr>
      <w:r>
        <w:rPr>
          <w:rStyle w:val="FootnoteReference"/>
        </w:rPr>
        <w:footnoteRef/>
      </w:r>
      <w:r>
        <w:tab/>
        <w:t>COM(2020) 761</w:t>
      </w:r>
    </w:p>
  </w:footnote>
  <w:footnote w:id="12">
    <w:p w14:paraId="6FA976E7" w14:textId="23327686" w:rsidR="0009633A" w:rsidRPr="006D4ECE" w:rsidRDefault="0009633A" w:rsidP="008E7215">
      <w:pPr>
        <w:pStyle w:val="FootnoteText"/>
      </w:pPr>
      <w:r>
        <w:rPr>
          <w:rStyle w:val="FootnoteReference"/>
        </w:rPr>
        <w:footnoteRef/>
      </w:r>
      <w:r>
        <w:tab/>
        <w:t>COM(2019) 640 final.</w:t>
      </w:r>
    </w:p>
  </w:footnote>
  <w:footnote w:id="13">
    <w:p w14:paraId="3C4FA4B0" w14:textId="259304DB" w:rsidR="00CE6D2C" w:rsidRDefault="00CE6D2C" w:rsidP="00CE6D2C">
      <w:pPr>
        <w:pStyle w:val="FootnoteText"/>
      </w:pPr>
      <w:r>
        <w:rPr>
          <w:rStyle w:val="FootnoteReference"/>
        </w:rPr>
        <w:footnoteRef/>
      </w:r>
      <w:r>
        <w:tab/>
        <w:t xml:space="preserve">COM(2021) 323 final, Az Európai Unió 2021–2027-es munkahelyi biztonsági és egészségvédelmi stratégiai kerete.  </w:t>
      </w:r>
    </w:p>
    <w:p w14:paraId="034F8627" w14:textId="67C69B47" w:rsidR="00CE6D2C" w:rsidRPr="00F05847" w:rsidRDefault="00CE6D2C" w:rsidP="00F05847">
      <w:pPr>
        <w:pStyle w:val="FootnoteText"/>
        <w:ind w:firstLine="0"/>
      </w:pPr>
      <w:r>
        <w:t>Munkahelyi egészségvédelem és biztonság a munka változó világában</w:t>
      </w:r>
    </w:p>
  </w:footnote>
  <w:footnote w:id="14">
    <w:p w14:paraId="5E7B6263" w14:textId="507FE450" w:rsidR="0009633A" w:rsidRPr="006D4ECE" w:rsidRDefault="0009633A" w:rsidP="008E7215">
      <w:pPr>
        <w:pStyle w:val="FootnoteText"/>
      </w:pPr>
      <w:r>
        <w:rPr>
          <w:rStyle w:val="FootnoteReference"/>
        </w:rPr>
        <w:footnoteRef/>
      </w:r>
      <w:r>
        <w:tab/>
      </w:r>
      <w:hyperlink r:id="rId1" w:history="1">
        <w:r>
          <w:rPr>
            <w:rStyle w:val="Hyperlink"/>
          </w:rPr>
          <w:t>https://ec.europa.eu/health/sites/health/files/antimicrobial_resistance/docs/amr_2017_action-plan.pdf</w:t>
        </w:r>
      </w:hyperlink>
      <w:r>
        <w:t xml:space="preserve">. </w:t>
      </w:r>
    </w:p>
  </w:footnote>
  <w:footnote w:id="15">
    <w:p w14:paraId="3E7A60BB" w14:textId="47EC1F7A" w:rsidR="0009633A" w:rsidRPr="00124998" w:rsidRDefault="0009633A" w:rsidP="008E7215">
      <w:pPr>
        <w:pStyle w:val="FootnoteText"/>
      </w:pPr>
      <w:r>
        <w:rPr>
          <w:rStyle w:val="FootnoteReference"/>
        </w:rPr>
        <w:footnoteRef/>
      </w:r>
      <w:r>
        <w:tab/>
        <w:t>COM(2017) 610 final.</w:t>
      </w:r>
    </w:p>
  </w:footnote>
  <w:footnote w:id="16">
    <w:p w14:paraId="1AF18536" w14:textId="355A9BEA" w:rsidR="00F5172B" w:rsidRPr="00124998" w:rsidRDefault="00F5172B" w:rsidP="00F5172B">
      <w:pPr>
        <w:pStyle w:val="FootnoteText"/>
      </w:pPr>
      <w:r>
        <w:rPr>
          <w:rStyle w:val="FootnoteReference"/>
        </w:rPr>
        <w:footnoteRef/>
      </w:r>
      <w:r>
        <w:tab/>
        <w:t xml:space="preserve">Tényeken alapuló összefoglaló jelentés az Egészségügyi Szükséghelyzet-felkészültségi és -reagálási Hatóságról (HERA) folytatott nyilvános konzultációról: </w:t>
      </w:r>
      <w:hyperlink r:id="rId2" w:history="1">
        <w:r>
          <w:rPr>
            <w:rStyle w:val="Hyperlink"/>
          </w:rPr>
          <w:t>https://ec.europa.eu/info/law/better-regulation/have-your-say/initiatives/12870-European-Health-Emergency-Preparedness-and-Response-Authority-HERA-/public-consultation_hu</w:t>
        </w:r>
      </w:hyperlink>
      <w:r>
        <w:t xml:space="preserve">. </w:t>
      </w:r>
    </w:p>
  </w:footnote>
  <w:footnote w:id="17">
    <w:p w14:paraId="13322829" w14:textId="2AA221A1" w:rsidR="0009633A" w:rsidRPr="0080542A" w:rsidRDefault="0009633A" w:rsidP="007A2B1E">
      <w:pPr>
        <w:pStyle w:val="FootnoteText"/>
      </w:pPr>
      <w:r>
        <w:rPr>
          <w:rStyle w:val="FootnoteReference"/>
        </w:rPr>
        <w:footnoteRef/>
      </w:r>
      <w:r>
        <w:tab/>
      </w:r>
      <w:r>
        <w:rPr>
          <w:shd w:val="clear" w:color="auto" w:fill="FFFFFF"/>
        </w:rPr>
        <w:t>Az Európai Parlament és a Tanács (EU) 2017/745 rendelete (2017. április 5.) az orvostechnikai eszközökről, a 2001/83/EK irányelv, a 178/2002/EK rendelet és az 1223/2009/EK rendelet módosításáról, valamint a 90/385/EGK és a 93/42/EGK tanácsi irányelv hatályon kívül helyezéséről</w:t>
      </w:r>
      <w:r>
        <w:t xml:space="preserve"> (HL L 117., 2017.5.5., 1. o.).</w:t>
      </w:r>
    </w:p>
  </w:footnote>
  <w:footnote w:id="18">
    <w:p w14:paraId="063B7AC0" w14:textId="7A2898E7" w:rsidR="0009633A" w:rsidRPr="0099179D" w:rsidRDefault="0009633A" w:rsidP="007A2B1E">
      <w:pPr>
        <w:pStyle w:val="FootnoteText"/>
      </w:pPr>
      <w:r>
        <w:rPr>
          <w:rStyle w:val="FootnoteReference"/>
        </w:rPr>
        <w:footnoteRef/>
      </w:r>
      <w:r>
        <w:tab/>
      </w:r>
      <w:r>
        <w:rPr>
          <w:sz w:val="21"/>
          <w:szCs w:val="21"/>
          <w:shd w:val="clear" w:color="auto" w:fill="FFFFFF"/>
        </w:rPr>
        <w:t xml:space="preserve">Az Európai Parlament és a Tanács (EU) 2017/746 rendelete (2017. április 5.) az </w:t>
      </w:r>
      <w:r>
        <w:rPr>
          <w:i/>
          <w:iCs/>
          <w:sz w:val="21"/>
          <w:szCs w:val="21"/>
          <w:shd w:val="clear" w:color="auto" w:fill="FFFFFF"/>
        </w:rPr>
        <w:t>in vitro</w:t>
      </w:r>
      <w:r>
        <w:rPr>
          <w:sz w:val="21"/>
          <w:szCs w:val="21"/>
          <w:shd w:val="clear" w:color="auto" w:fill="FFFFFF"/>
        </w:rPr>
        <w:t xml:space="preserve"> diagnosztikai orvostechnikai eszközökről, valamint a 98/79/EK irányelv és a 2010/227/EU bizottsági határozat hatályon kívül helyezéséről</w:t>
      </w:r>
      <w:r>
        <w:t xml:space="preserve"> (HL L 117., 2017.5.5., 176. o.).</w:t>
      </w:r>
    </w:p>
  </w:footnote>
  <w:footnote w:id="19">
    <w:p w14:paraId="32E0C0A9" w14:textId="3F72E7A2" w:rsidR="0009633A" w:rsidRPr="0099179D" w:rsidRDefault="0009633A">
      <w:pPr>
        <w:pStyle w:val="FootnoteText"/>
      </w:pPr>
      <w:r>
        <w:rPr>
          <w:rStyle w:val="FootnoteReference"/>
        </w:rPr>
        <w:footnoteRef/>
      </w:r>
      <w:r>
        <w:tab/>
        <w:t>https://op.europa.eu/en/publication-detail/-/publication/a1016d77-2562-11eb-9d7e-01aa75ed71a1</w:t>
      </w:r>
    </w:p>
  </w:footnote>
  <w:footnote w:id="20">
    <w:p w14:paraId="734BF3F9" w14:textId="5C1D7BA6" w:rsidR="0009633A" w:rsidRPr="0080542A" w:rsidRDefault="0009633A" w:rsidP="007A2B1E">
      <w:pPr>
        <w:pStyle w:val="FootnoteText"/>
      </w:pPr>
      <w:r>
        <w:rPr>
          <w:rStyle w:val="FootnoteReference"/>
        </w:rPr>
        <w:footnoteRef/>
      </w:r>
      <w:r>
        <w:tab/>
      </w:r>
      <w:r>
        <w:rPr>
          <w:shd w:val="clear" w:color="auto" w:fill="FFFFFF"/>
        </w:rPr>
        <w:t>Az Európai Parlament és a Tanács (EU) 2018/1725 rendelete (2018. október 23.) a természetes személyeknek a személyes adatok uniós intézmények, szervek, hivatalok és ügynökségek általi kezelése tekintetében való védelméről és az ilyen adatok szabad áramlásáról, valamint a 45/2001/EK rendelet és az 1247/2002/EK határozat hatályon kívül helyezéséről (HL L 295., 2018.11.21., 39. o.).</w:t>
      </w:r>
    </w:p>
  </w:footnote>
  <w:footnote w:id="21">
    <w:p w14:paraId="43DB9CD4" w14:textId="466CA85E" w:rsidR="0009633A" w:rsidRDefault="0009633A" w:rsidP="0010042F">
      <w:pPr>
        <w:pStyle w:val="FootnoteText"/>
      </w:pPr>
      <w:r>
        <w:rPr>
          <w:rStyle w:val="FootnoteReference"/>
        </w:rPr>
        <w:footnoteRef/>
      </w:r>
      <w:r>
        <w:tab/>
        <w:t xml:space="preserve">Az Európai Parlament és a Tanács (EU) 2016/679 rendelete (2016. április 27.) a </w:t>
      </w:r>
      <w:r>
        <w:rPr>
          <w:shd w:val="clear" w:color="auto" w:fill="FFFFFF"/>
        </w:rPr>
        <w:t>természetes személyeknek a személyes adatok kezelése tekintetében történő védelméről és az ilyen adatok szabad áramlásáról, valamint a 95/46/EK irányelv hatályon kívül helyezéséről (HL L 119., 2016.5.4., 1. o.).</w:t>
      </w:r>
    </w:p>
  </w:footnote>
  <w:footnote w:id="22">
    <w:p w14:paraId="005F9AE3" w14:textId="4ADF92D1" w:rsidR="005A2BD3" w:rsidRPr="00902C3C" w:rsidRDefault="005A2BD3" w:rsidP="00902C3C">
      <w:pPr>
        <w:pStyle w:val="FootnoteText"/>
      </w:pPr>
      <w:r>
        <w:rPr>
          <w:rStyle w:val="FootnoteReference"/>
        </w:rPr>
        <w:footnoteRef/>
      </w:r>
      <w:r>
        <w:tab/>
        <w:t>A Tanács (EU) 2016/369 rendelete (2016. március 15.) az Unión belül szükséghelyzeti támogatás nyújtásáról (HL L 70., 2016.3.16., 1. o.).</w:t>
      </w:r>
    </w:p>
  </w:footnote>
  <w:footnote w:id="23">
    <w:p w14:paraId="6909A855" w14:textId="43305A83" w:rsidR="005A2BD3" w:rsidRPr="005A2BD3" w:rsidRDefault="005A2BD3">
      <w:pPr>
        <w:pStyle w:val="FootnoteText"/>
      </w:pPr>
      <w:r>
        <w:rPr>
          <w:rStyle w:val="FootnoteReference"/>
        </w:rPr>
        <w:footnoteRef/>
      </w:r>
      <w:r>
        <w:tab/>
        <w:t>Az Európai Parlament és a Tanács (EU, Euratom) 2018/1046 rendelete (2018. július 18.) 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PE/13/2018/REV/1 (HL L 193., 2018.7.30., 1. o.).</w:t>
      </w:r>
    </w:p>
  </w:footnote>
  <w:footnote w:id="24">
    <w:p w14:paraId="47580608" w14:textId="5E92494A" w:rsidR="007B0C0C" w:rsidRPr="00902C3C" w:rsidRDefault="007B0C0C">
      <w:pPr>
        <w:pStyle w:val="FootnoteText"/>
      </w:pPr>
      <w:r>
        <w:rPr>
          <w:rStyle w:val="FootnoteReference"/>
        </w:rPr>
        <w:footnoteRef/>
      </w:r>
      <w:r>
        <w:tab/>
      </w:r>
      <w:r>
        <w:rPr>
          <w:color w:val="1F497D"/>
        </w:rPr>
        <w:t>Az Európai Parlament és a Tanács (EU) .../... rendelete (...) az Európai Gyógyszerügynökség által a gyógyszerek és orvostechnikai eszközök tekintetében a válsághelyzetekre való felkészültség és a válságkezelés terén betöltött szerep megerősítéséről [HL: Kérjük, illesszék be a rendelet számát, időpontját és a közzétételi hivatkozását].</w:t>
      </w:r>
    </w:p>
  </w:footnote>
  <w:footnote w:id="25">
    <w:p w14:paraId="6A99667D" w14:textId="3CB31868" w:rsidR="007B0C0C" w:rsidRPr="00902C3C" w:rsidRDefault="007B0C0C">
      <w:pPr>
        <w:pStyle w:val="FootnoteText"/>
      </w:pPr>
      <w:r>
        <w:rPr>
          <w:rStyle w:val="FootnoteReference"/>
        </w:rPr>
        <w:footnoteRef/>
      </w:r>
      <w:r>
        <w:tab/>
      </w:r>
      <w:r>
        <w:rPr>
          <w:color w:val="1F497D"/>
        </w:rPr>
        <w:t>Az Európai Parlament és a Tanács (EU) .../... rendelete (...) a határokon át terjedő súlyos egészségügyi veszélyekről és az 1082/2013/EU határozat hatályon kívül helyezéséről [HL: Kérjük, illesszék be a rendelet számát, időpontját és a közzétételi hivatkozását].</w:t>
      </w:r>
    </w:p>
  </w:footnote>
  <w:footnote w:id="26">
    <w:p w14:paraId="2EE2094B" w14:textId="77A1C0E9" w:rsidR="007B0C0C" w:rsidRPr="00902C3C" w:rsidRDefault="007B0C0C">
      <w:pPr>
        <w:pStyle w:val="FootnoteText"/>
      </w:pPr>
      <w:r>
        <w:rPr>
          <w:rStyle w:val="FootnoteReference"/>
        </w:rPr>
        <w:footnoteRef/>
      </w:r>
      <w:r>
        <w:tab/>
      </w:r>
      <w:r>
        <w:rPr>
          <w:color w:val="1F497D"/>
        </w:rPr>
        <w:t>Az Európai Parlament és a Tanács (EU) .../... rendelete (...)</w:t>
      </w:r>
      <w:r>
        <w:rPr>
          <w:color w:val="444444"/>
          <w:sz w:val="21"/>
          <w:szCs w:val="21"/>
        </w:rPr>
        <w:t xml:space="preserve"> az Európai Betegségmegelőzési és Járványvédelmi Központ létrehozásáról szóló 851/2004/EK rendelet módosításáról [HL:</w:t>
      </w:r>
      <w:r>
        <w:rPr>
          <w:color w:val="1F497D"/>
        </w:rPr>
        <w:t xml:space="preserve"> Kérjük, illesszék be a rendelet számát, időpontját és a közzétételi hivatkozását].</w:t>
      </w:r>
    </w:p>
  </w:footnote>
  <w:footnote w:id="27">
    <w:p w14:paraId="6947F005" w14:textId="2652ADEF" w:rsidR="0009633A" w:rsidRPr="0017112D" w:rsidRDefault="0009633A" w:rsidP="007A2B1E">
      <w:pPr>
        <w:pStyle w:val="FootnoteText"/>
        <w:rPr>
          <w:color w:val="444444"/>
        </w:rPr>
      </w:pPr>
      <w:r>
        <w:rPr>
          <w:rStyle w:val="FootnoteReference"/>
        </w:rPr>
        <w:footnoteRef/>
      </w:r>
      <w:r>
        <w:tab/>
      </w:r>
      <w:r>
        <w:rPr>
          <w:color w:val="444444"/>
        </w:rPr>
        <w:t xml:space="preserve">Az Európai Parlament és a Tanács (EU, Euratom) 2018/1046 rendelete (2018. július 18.) 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PE/13/2018/REV/1 </w:t>
      </w:r>
      <w:r>
        <w:rPr>
          <w:rStyle w:val="Emphasis"/>
          <w:i w:val="0"/>
          <w:color w:val="444444"/>
        </w:rPr>
        <w:t>(HL L 193., 2018.7.30., 1. o.</w:t>
      </w:r>
      <w:r>
        <w:rPr>
          <w:rStyle w:val="Emphasis"/>
          <w:color w:val="444444"/>
        </w:rPr>
        <w:t>)</w:t>
      </w:r>
      <w:r>
        <w:rPr>
          <w:rStyle w:val="Emphasis"/>
          <w:i w:val="0"/>
          <w:color w:val="444444"/>
        </w:rPr>
        <w:t>.</w:t>
      </w:r>
    </w:p>
  </w:footnote>
  <w:footnote w:id="28">
    <w:p w14:paraId="4815E426" w14:textId="0A07826D" w:rsidR="00C46D36" w:rsidRDefault="00C46D36" w:rsidP="000D00D5">
      <w:pPr>
        <w:pStyle w:val="FootnoteText"/>
      </w:pPr>
      <w:r>
        <w:rPr>
          <w:rStyle w:val="FootnoteReference"/>
        </w:rPr>
        <w:footnoteRef/>
      </w:r>
      <w:r>
        <w:tab/>
        <w:t>A Tanács (EU) 2016/369 rendelete (2016. március 15.) az Unión belül szükséghelyzeti támogatás nyújtásáról (HL L 70., 2016.3.16., 1. o.).</w:t>
      </w:r>
    </w:p>
  </w:footnote>
  <w:footnote w:id="29">
    <w:p w14:paraId="07CFD7E5" w14:textId="1B645723" w:rsidR="0009633A" w:rsidRPr="001C796A" w:rsidRDefault="0009633A" w:rsidP="008535BF">
      <w:pPr>
        <w:pStyle w:val="NormalWeb"/>
        <w:shd w:val="clear" w:color="auto" w:fill="FFFFFF"/>
        <w:spacing w:before="0" w:beforeAutospacing="0" w:after="0" w:afterAutospacing="0"/>
        <w:rPr>
          <w:color w:val="444444"/>
          <w:sz w:val="20"/>
          <w:szCs w:val="20"/>
        </w:rPr>
      </w:pPr>
      <w:r>
        <w:rPr>
          <w:rStyle w:val="FootnoteReference"/>
        </w:rPr>
        <w:footnoteRef/>
      </w:r>
      <w:r>
        <w:tab/>
      </w:r>
      <w:r>
        <w:rPr>
          <w:color w:val="444444"/>
          <w:sz w:val="20"/>
          <w:szCs w:val="20"/>
        </w:rPr>
        <w:t>COM/2021/78 final.</w:t>
      </w:r>
    </w:p>
  </w:footnote>
  <w:footnote w:id="30">
    <w:p w14:paraId="4B9A2B21" w14:textId="0D94EF46" w:rsidR="0009633A" w:rsidRPr="001C796A" w:rsidRDefault="0009633A" w:rsidP="001C796A">
      <w:pPr>
        <w:pStyle w:val="FootnoteText"/>
      </w:pPr>
      <w:r>
        <w:rPr>
          <w:rStyle w:val="FootnoteReference"/>
        </w:rPr>
        <w:footnoteRef/>
      </w:r>
      <w:r>
        <w:tab/>
        <w:t>A Tanács (EU) 2016/369 rendelete (2016. március 15.) az Unión belül szükséghelyzeti támogatás nyújtásáról (HL L 70., 2016.3.16., 1. o.).</w:t>
      </w:r>
    </w:p>
  </w:footnote>
  <w:footnote w:id="31">
    <w:p w14:paraId="5AE2F268" w14:textId="76B73C36" w:rsidR="0009633A" w:rsidRPr="00D255F3" w:rsidRDefault="0009633A" w:rsidP="007A2B1E">
      <w:pPr>
        <w:pStyle w:val="FootnoteText"/>
      </w:pPr>
      <w:r>
        <w:rPr>
          <w:rStyle w:val="FootnoteReference"/>
        </w:rPr>
        <w:footnoteRef/>
      </w:r>
      <w:r>
        <w:tab/>
        <w:t xml:space="preserve">Az Európai Parlament és a Tanács 1313/2013/EU határozata (2013. december 17.) az uniós polgári védelmi mechanizmusról </w:t>
      </w:r>
      <w:r>
        <w:rPr>
          <w:rStyle w:val="Emphasis"/>
          <w:i w:val="0"/>
        </w:rPr>
        <w:t>(HL L 347., 2013.12.20., 924. o.).</w:t>
      </w:r>
    </w:p>
    <w:p w14:paraId="4F7A611D" w14:textId="77777777" w:rsidR="0009633A" w:rsidRPr="00247BDC" w:rsidRDefault="0009633A">
      <w:pPr>
        <w:pStyle w:val="FootnoteText"/>
      </w:pPr>
    </w:p>
  </w:footnote>
  <w:footnote w:id="32">
    <w:p w14:paraId="24EC6D81" w14:textId="7D67F330" w:rsidR="0009633A" w:rsidRPr="00A41D6E" w:rsidRDefault="0009633A" w:rsidP="00D272D0">
      <w:pPr>
        <w:pStyle w:val="FootnoteText"/>
      </w:pPr>
      <w:r>
        <w:rPr>
          <w:rStyle w:val="FootnoteReference"/>
        </w:rPr>
        <w:footnoteRef/>
      </w:r>
      <w:r>
        <w:tab/>
        <w:t>A Tanács (EU) 2018/1993 végrehajtási határozata (2018. december 11.) az uniós politikai szintű integrált válságelhárítási mechanizmusról</w:t>
      </w:r>
      <w:r>
        <w:rPr>
          <w:i/>
          <w:szCs w:val="24"/>
        </w:rPr>
        <w:t xml:space="preserve"> </w:t>
      </w:r>
      <w:r>
        <w:t>(</w:t>
      </w:r>
      <w:r>
        <w:rPr>
          <w:rStyle w:val="Emphasis"/>
          <w:i w:val="0"/>
        </w:rPr>
        <w:t>HL L 320., 2018.12.17., 28. o.)</w:t>
      </w:r>
      <w:r>
        <w:rPr>
          <w:rStyle w:val="Emphasis"/>
        </w:rPr>
        <w:t>.</w:t>
      </w:r>
    </w:p>
  </w:footnote>
  <w:footnote w:id="33">
    <w:p w14:paraId="4B8E845F" w14:textId="31A0D21D" w:rsidR="0003275F" w:rsidRPr="00687379" w:rsidRDefault="0003275F">
      <w:pPr>
        <w:pStyle w:val="FootnoteText"/>
      </w:pPr>
      <w:r>
        <w:rPr>
          <w:rStyle w:val="FootnoteReference"/>
        </w:rPr>
        <w:footnoteRef/>
      </w:r>
      <w:r>
        <w:tab/>
        <w:t>Az Európai Parlament és a Tanács (EU, Euratom) 2018/1046 rendelete (2018. július 18.) 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(HL L 193., 2018.7.30., 1. o.).</w:t>
      </w:r>
    </w:p>
  </w:footnote>
  <w:footnote w:id="34">
    <w:p w14:paraId="066F2195" w14:textId="77777777" w:rsidR="007D7104" w:rsidRDefault="007D7104" w:rsidP="007D7104">
      <w:pPr>
        <w:pStyle w:val="FootnoteText"/>
        <w:rPr>
          <w:szCs w:val="24"/>
        </w:rPr>
      </w:pPr>
      <w:r>
        <w:rPr>
          <w:rStyle w:val="FootnoteReference"/>
        </w:rPr>
        <w:footnoteRef/>
      </w:r>
      <w:r>
        <w:tab/>
        <w:t>A költségvetési rendelet 58. cikke (2) bekezdésének a) vagy b) pontja szerint.</w:t>
      </w:r>
    </w:p>
  </w:footnote>
  <w:footnote w:id="35">
    <w:p w14:paraId="70681516" w14:textId="77777777" w:rsidR="007D7104" w:rsidRDefault="007D7104" w:rsidP="007D7104">
      <w:pPr>
        <w:pStyle w:val="FootnoteText"/>
        <w:jc w:val="left"/>
        <w:rPr>
          <w:szCs w:val="24"/>
        </w:rPr>
      </w:pPr>
      <w:r>
        <w:rPr>
          <w:rStyle w:val="FootnoteReference"/>
        </w:rPr>
        <w:footnoteRef/>
      </w:r>
      <w:r>
        <w:tab/>
        <w:t xml:space="preserve">Az egyes irányítási módszerek ismertetése, valamint a költségvetési rendeletre való megfelelő hivatkozások megtalálhatók a BudgWeb oldalon: </w:t>
      </w:r>
      <w:hyperlink r:id="rId3" w:history="1">
        <w:r>
          <w:rPr>
            <w:rStyle w:val="Hyperlink"/>
          </w:rPr>
          <w:t>https://myintracomm.ec.europa.eu/budgweb/EN/man/budgmanag/Pages/budgmanag.aspx</w:t>
        </w:r>
      </w:hyperlink>
      <w:r>
        <w:t xml:space="preserve"> </w:t>
      </w:r>
    </w:p>
  </w:footnote>
  <w:footnote w:id="36">
    <w:p w14:paraId="63FDE387" w14:textId="39162FA2" w:rsidR="007D7104" w:rsidRPr="00EE347A" w:rsidRDefault="007D7104" w:rsidP="007D7104">
      <w:pPr>
        <w:pStyle w:val="FootnoteText"/>
      </w:pPr>
      <w:r>
        <w:rPr>
          <w:rStyle w:val="FootnoteReference"/>
        </w:rPr>
        <w:footnoteRef/>
      </w:r>
      <w:r>
        <w:tab/>
        <w:t>A Horizont Európa program más költségvetési tételei is hozzájárulhatnak</w:t>
      </w:r>
    </w:p>
  </w:footnote>
  <w:footnote w:id="37">
    <w:p w14:paraId="1E0E99AC" w14:textId="77777777" w:rsidR="007D7104" w:rsidRDefault="007D7104" w:rsidP="007D7104">
      <w:pPr>
        <w:pStyle w:val="FootnoteText"/>
        <w:rPr>
          <w:szCs w:val="24"/>
        </w:rPr>
      </w:pPr>
      <w:r>
        <w:rPr>
          <w:rStyle w:val="FootnoteReference"/>
        </w:rPr>
        <w:footnoteRef/>
      </w:r>
      <w:r>
        <w:tab/>
        <w:t xml:space="preserve">Ez az összeg magában foglalja az, egy végrehajtó ügynökségnek nyújtott potenciális hozzájárulást, valamint a technikai és/vagy igazgatási segítségnyújtást, továbbá az uniós programok és/vagy intézkedések végrehajtását támogató kiadásokat (korábban: BA-tételek), a közvetett kutatást, a közvetlen kutatást, amelyet a támogatási kiadási tételekre terhelnek (p.m.). </w:t>
      </w:r>
    </w:p>
  </w:footnote>
  <w:footnote w:id="38">
    <w:p w14:paraId="312A16FB" w14:textId="77777777" w:rsidR="007D7104" w:rsidRDefault="007D7104" w:rsidP="007D7104">
      <w:pPr>
        <w:pStyle w:val="FootnoteText"/>
        <w:rPr>
          <w:szCs w:val="24"/>
        </w:rPr>
      </w:pPr>
      <w:r>
        <w:rPr>
          <w:rStyle w:val="FootnoteReference"/>
        </w:rPr>
        <w:footnoteRef/>
      </w:r>
      <w:r>
        <w:tab/>
        <w:t>Ez az összeg magában foglalja a végrehajtó ügynökségnek nyújtott potenciális hozzájárulást, valamint a technikai és/vagy igazgatási segítségnyújtást, továbbá az uniós programok és/vagy intézkedések végrehajtásához biztosított támogatási kiadásokat (korábban: BA-tételek), a közvetett kutatást, a közvetlen kutatást, amelyet a támogatási kiadási tételre terhelnek (p.m.).</w:t>
      </w:r>
    </w:p>
  </w:footnote>
  <w:footnote w:id="39">
    <w:p w14:paraId="36C05734" w14:textId="77777777" w:rsidR="007D7104" w:rsidRDefault="007D7104" w:rsidP="007D7104">
      <w:pPr>
        <w:pStyle w:val="FootnoteText"/>
      </w:pPr>
      <w:r>
        <w:rPr>
          <w:rStyle w:val="FootnoteReference"/>
        </w:rPr>
        <w:footnoteRef/>
      </w:r>
      <w:r>
        <w:tab/>
      </w:r>
    </w:p>
    <w:p w14:paraId="0BDE2C54" w14:textId="77777777" w:rsidR="007D7104" w:rsidRDefault="007D7104" w:rsidP="007D7104">
      <w:pPr>
        <w:pStyle w:val="FootnoteText"/>
        <w:ind w:left="0" w:firstLine="0"/>
        <w:rPr>
          <w:szCs w:val="24"/>
        </w:rPr>
      </w:pPr>
      <w:r>
        <w:t>Ez az összeg magában foglalja a technikai és/vagy igazgatási segítségnyújtás költségeit, valamint az uniós programok és/vagy intézkedések végrehajtását támogató kiadásokat (korábban: BA-tételek), a közvetett kutatásokat és a közvetlen kutatásokat, amelyeket a támogatási kiadási tételre terhelnek (p.m.).</w:t>
      </w:r>
    </w:p>
    <w:p w14:paraId="65573C19" w14:textId="77777777" w:rsidR="007D7104" w:rsidRDefault="007D7104" w:rsidP="007D7104">
      <w:pPr>
        <w:pStyle w:val="FootnoteText"/>
        <w:rPr>
          <w:szCs w:val="24"/>
        </w:rPr>
      </w:pPr>
    </w:p>
  </w:footnote>
  <w:footnote w:id="40">
    <w:p w14:paraId="5EA98404" w14:textId="77777777" w:rsidR="007D7104" w:rsidRDefault="007D7104" w:rsidP="007D7104">
      <w:pPr>
        <w:pStyle w:val="FootnoteText"/>
        <w:rPr>
          <w:szCs w:val="24"/>
        </w:rPr>
      </w:pPr>
      <w:r>
        <w:rPr>
          <w:rStyle w:val="FootnoteReference"/>
        </w:rPr>
        <w:footnoteRef/>
      </w:r>
      <w:r>
        <w:tab/>
        <w:t xml:space="preserve">Technikai és/vagy igazgatási segítségnyújtás, valamint uniós programok és/vagy intézkedések végrehajtásához biztosított támogatási kiadások (korábban: BA-tételek), közvetett kutatás, közvetlen kutatás. Ez az összeg magában foglalja a végrehajtó ügynökséghez való lehetséges hozzájárulást is. </w:t>
      </w:r>
    </w:p>
  </w:footnote>
  <w:footnote w:id="41">
    <w:p w14:paraId="283A6DBD" w14:textId="77777777" w:rsidR="007D7104" w:rsidRDefault="007D7104" w:rsidP="007D7104">
      <w:pPr>
        <w:pStyle w:val="FootnoteText"/>
        <w:rPr>
          <w:szCs w:val="24"/>
        </w:rPr>
      </w:pPr>
      <w:r>
        <w:rPr>
          <w:rStyle w:val="FootnoteReference"/>
        </w:rPr>
        <w:footnoteRef/>
      </w:r>
      <w:r>
        <w:tab/>
        <w:t>A kimenetek a nyújtandó termékek és szolgáltatások (pl. finanszírozott diákcserék száma, épített utak hossza kilométerben stb.).</w:t>
      </w:r>
    </w:p>
  </w:footnote>
  <w:footnote w:id="42">
    <w:p w14:paraId="6490AECB" w14:textId="77777777" w:rsidR="007D7104" w:rsidRDefault="007D7104" w:rsidP="007D7104">
      <w:pPr>
        <w:pStyle w:val="FootnoteText"/>
        <w:rPr>
          <w:szCs w:val="24"/>
        </w:rPr>
      </w:pPr>
      <w:r>
        <w:rPr>
          <w:rStyle w:val="FootnoteReference"/>
        </w:rPr>
        <w:footnoteRef/>
      </w:r>
      <w:r>
        <w:tab/>
        <w:t xml:space="preserve">Az 1.4.2. pontban leírtak szerint. „Konkrét célkitűzés(ek)…”. </w:t>
      </w:r>
    </w:p>
  </w:footnote>
  <w:footnote w:id="43">
    <w:p w14:paraId="1D8E985C" w14:textId="77777777" w:rsidR="007D7104" w:rsidRDefault="007D7104" w:rsidP="007D7104">
      <w:pPr>
        <w:pStyle w:val="FootnoteText"/>
        <w:rPr>
          <w:szCs w:val="24"/>
        </w:rPr>
      </w:pPr>
      <w:r>
        <w:rPr>
          <w:rStyle w:val="FootnoteReference"/>
        </w:rPr>
        <w:footnoteRef/>
      </w:r>
      <w:r>
        <w:tab/>
      </w:r>
      <w:r>
        <w:rPr>
          <w:sz w:val="18"/>
          <w:szCs w:val="18"/>
        </w:rPr>
        <w:t>Technikai és/vagy igazgatási segítségnyújtás, valamint uniós programok és/vagy intézkedések végrehajtásához biztosított támogatási kiadások (korábban: BA-tételek), közvetett kutatás, közvetlen kutatás.</w:t>
      </w:r>
    </w:p>
  </w:footnote>
  <w:footnote w:id="44">
    <w:p w14:paraId="0277C982" w14:textId="77777777" w:rsidR="007D7104" w:rsidRDefault="007D7104" w:rsidP="007D7104">
      <w:pPr>
        <w:pStyle w:val="FootnoteText"/>
        <w:rPr>
          <w:szCs w:val="24"/>
        </w:rPr>
      </w:pPr>
      <w:r>
        <w:rPr>
          <w:rStyle w:val="FootnoteReference"/>
        </w:rPr>
        <w:footnoteRef/>
      </w:r>
      <w:r>
        <w:tab/>
        <w:t xml:space="preserve">AC = szerződéses alkalmazott; AL = helyi alkalmazott; END = kirendelt nemzeti szakértő; INT = kölcsönmunkaerő (átmeneti alkalmazott); JPD = küldöttségi pályakezdő szakértő. </w:t>
      </w:r>
    </w:p>
  </w:footnote>
  <w:footnote w:id="45">
    <w:p w14:paraId="487A29A9" w14:textId="77777777" w:rsidR="007D7104" w:rsidRDefault="007D7104" w:rsidP="007D7104">
      <w:pPr>
        <w:pStyle w:val="FootnoteText"/>
        <w:rPr>
          <w:szCs w:val="24"/>
        </w:rPr>
      </w:pPr>
      <w:r>
        <w:rPr>
          <w:rStyle w:val="FootnoteReference"/>
        </w:rPr>
        <w:footnoteRef/>
      </w:r>
      <w:r>
        <w:tab/>
        <w:t>Az operatív előirányzatokból finanszírozott külső munkatársakra vonatkozó részleges felső határérték (korábban: BA-tételek).</w:t>
      </w:r>
    </w:p>
  </w:footnote>
  <w:footnote w:id="46">
    <w:p w14:paraId="119D2366" w14:textId="77777777" w:rsidR="007D7104" w:rsidRDefault="007D7104" w:rsidP="007D7104">
      <w:pPr>
        <w:pStyle w:val="FootnoteText"/>
        <w:rPr>
          <w:szCs w:val="24"/>
        </w:rPr>
      </w:pPr>
      <w:r>
        <w:rPr>
          <w:rStyle w:val="FootnoteReference"/>
        </w:rPr>
        <w:footnoteRef/>
      </w:r>
      <w:r>
        <w:tab/>
        <w:t>A tradicionális saját források (vámok, cukorilletékek) tekintetében nettó összeget kell megadni, amely a 20 %-kal (beszedési költségek) csökkentett bruttó összegnek felel meg.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834BD" w14:textId="77777777" w:rsidR="00EF5D4F" w:rsidRPr="00EF5D4F" w:rsidRDefault="00EF5D4F" w:rsidP="00EF5D4F">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FF4D7" w14:textId="77777777" w:rsidR="00EF5D4F" w:rsidRPr="00EF5D4F" w:rsidRDefault="00EF5D4F" w:rsidP="00EF5D4F">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31C85" w14:textId="77777777" w:rsidR="00315135" w:rsidRPr="00315135" w:rsidRDefault="00315135" w:rsidP="00EF5D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E96AE" w14:textId="77777777" w:rsidR="00EF5D4F" w:rsidRPr="00EF5D4F" w:rsidRDefault="00EF5D4F" w:rsidP="00EF5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36869D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F8A566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2C2DD5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E728F9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66E256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7CEC25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A2EF73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27A1F5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6"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4D0C058A"/>
    <w:multiLevelType w:val="singleLevel"/>
    <w:tmpl w:val="BAE8D90E"/>
    <w:name w:val="List Dash 1"/>
    <w:lvl w:ilvl="0">
      <w:start w:val="1"/>
      <w:numFmt w:val="bullet"/>
      <w:lvlRestart w:val="0"/>
      <w:lvlText w:val="–"/>
      <w:lvlJc w:val="left"/>
      <w:pPr>
        <w:tabs>
          <w:tab w:val="num" w:pos="1134"/>
        </w:tabs>
        <w:ind w:left="1134" w:hanging="283"/>
      </w:pPr>
      <w:rPr>
        <w:rFonts w:ascii="Times New Roman" w:hAnsi="Times New Roman"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8"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7"/>
  </w:num>
  <w:num w:numId="6">
    <w:abstractNumId w:val="17"/>
    <w:lvlOverride w:ilvl="0">
      <w:startOverride w:val="1"/>
    </w:lvlOverride>
  </w:num>
  <w:num w:numId="7">
    <w:abstractNumId w:val="30"/>
    <w:lvlOverride w:ilvl="0">
      <w:startOverride w:val="1"/>
    </w:lvlOverride>
  </w:num>
  <w:num w:numId="8">
    <w:abstractNumId w:val="6"/>
  </w:num>
  <w:num w:numId="9">
    <w:abstractNumId w:val="2"/>
  </w:num>
  <w:num w:numId="10">
    <w:abstractNumId w:val="1"/>
  </w:num>
  <w:num w:numId="11">
    <w:abstractNumId w:val="0"/>
  </w:num>
  <w:num w:numId="12">
    <w:abstractNumId w:val="8"/>
  </w:num>
  <w:num w:numId="13">
    <w:abstractNumId w:val="15"/>
  </w:num>
  <w:num w:numId="14">
    <w:abstractNumId w:val="21"/>
  </w:num>
  <w:num w:numId="15">
    <w:abstractNumId w:val="9"/>
  </w:num>
  <w:num w:numId="16">
    <w:abstractNumId w:val="16"/>
  </w:num>
  <w:num w:numId="17">
    <w:abstractNumId w:val="10"/>
  </w:num>
  <w:num w:numId="18">
    <w:abstractNumId w:val="22"/>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7"/>
  </w:num>
  <w:num w:numId="26">
    <w:abstractNumId w:val="29"/>
  </w:num>
  <w:num w:numId="27">
    <w:abstractNumId w:val="14"/>
  </w:num>
  <w:num w:numId="28">
    <w:abstractNumId w:val="18"/>
  </w:num>
  <w:num w:numId="29">
    <w:abstractNumId w:val="12"/>
  </w:num>
  <w:num w:numId="30">
    <w:abstractNumId w:val="28"/>
  </w:num>
  <w:num w:numId="31">
    <w:abstractNumId w:val="11"/>
  </w:num>
  <w:num w:numId="32">
    <w:abstractNumId w:val="20"/>
  </w:num>
  <w:num w:numId="33">
    <w:abstractNumId w:val="24"/>
  </w:num>
  <w:num w:numId="34">
    <w:abstractNumId w:val="25"/>
  </w:num>
  <w:num w:numId="35">
    <w:abstractNumId w:val="13"/>
  </w:num>
  <w:num w:numId="36">
    <w:abstractNumId w:val="23"/>
  </w:num>
  <w:num w:numId="37">
    <w:abstractNumId w:val="30"/>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8"/>
  </w:num>
  <w:num w:numId="41">
    <w:abstractNumId w:val="28"/>
  </w:num>
  <w:num w:numId="42">
    <w:abstractNumId w:val="19"/>
  </w:num>
  <w:num w:numId="43">
    <w:abstractNumId w:val="12"/>
  </w:num>
  <w:num w:numId="44">
    <w:abstractNumId w:val="12"/>
  </w:num>
  <w:num w:numId="45">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nl-NL"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BE" w:vendorID="64" w:dllVersion="131078" w:nlCheck="1" w:checkStyle="0"/>
  <w:activeWritingStyle w:appName="MSWord" w:lang="de-DE" w:vendorID="64" w:dllVersion="131078" w:nlCheck="1" w:checkStyle="0"/>
  <w:attachedTemplate r:id="rId1"/>
  <w:revisionView w:markup="0"/>
  <w:defaultTabStop w:val="720"/>
  <w:hyphenationZone w:val="425"/>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05 08:38:32"/>
    <w:docVar w:name="DQCResult_Distribution" w:val="0;2"/>
    <w:docVar w:name="DQCResult_DocumentContent" w:val="0;0"/>
    <w:docVar w:name="DQCResult_DocumentSize" w:val="0;0"/>
    <w:docVar w:name="DQCResult_DocumentVersions" w:val="0;0"/>
    <w:docVar w:name="DQCResult_InvalidFootnotes" w:val="0;0"/>
    <w:docVar w:name="DQCResult_LinkedStyles" w:val="0;0"/>
    <w:docVar w:name="DQCResult_ModifiedMargins" w:val="0;38"/>
    <w:docVar w:name="DQCResult_ModifiedMarkers" w:val="0;0"/>
    <w:docVar w:name="DQCResult_ModifiedNumbering" w:val="0;0"/>
    <w:docVar w:name="DQCResult_Objects" w:val="0;0"/>
    <w:docVar w:name="DQCResult_Sections" w:val="0;1"/>
    <w:docVar w:name="DQCResult_StructureCheck" w:val="0;0"/>
    <w:docVar w:name="DQCResult_SuperfluousWhitespace" w:val="0;39"/>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8509C8BC-ADF6-4359-95D0-94BF72138046"/>
    <w:docVar w:name="LW_COVERPAGE_TYPE" w:val="1"/>
    <w:docVar w:name="LW_CROSSREFERENCE" w:val="&lt;UNUSED&gt;"/>
    <w:docVar w:name="LW_DocType" w:val="COM"/>
    <w:docVar w:name="LW_EMISSION" w:val="2021.9.16."/>
    <w:docVar w:name="LW_EMISSION_ISODATE" w:val="2021-09-16"/>
    <w:docVar w:name="LW_EMISSION_LOCATION" w:val="BRX"/>
    <w:docVar w:name="LW_EMISSION_PREFIX" w:val="Brüsszel,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NLE"/>
    <w:docVar w:name="LW_REF.II.NEW.CP_NUMBER" w:val="0294"/>
    <w:docVar w:name="LW_REF.II.NEW.CP_YEAR" w:val="2021"/>
    <w:docVar w:name="LW_REF.INST.NEW" w:val="COM"/>
    <w:docVar w:name="LW_REF.INST.NEW_ADOPTED" w:val="final"/>
    <w:docVar w:name="LW_REF.INST.NEW_TEXT" w:val="(2021) 5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z uniós szint\u369? népegészségügyi szükséghelyzet esetén a válság szempontjából releváns egészségügyi ellenintézkedésekkel való ellátás biztosítását szolgáló intézkedések keretér\u337?l"/>
    <w:docVar w:name="LW_TYPE.DOC.CP" w:val="A TANÁCS RENDELETE"/>
    <w:docVar w:name="LwApiVersions" w:val="LW4CoDe 1.23.1.0; LW 8.0, Build 20210728"/>
  </w:docVars>
  <w:rsids>
    <w:rsidRoot w:val="00D96A4B"/>
    <w:rsid w:val="000000A4"/>
    <w:rsid w:val="000028B2"/>
    <w:rsid w:val="00012121"/>
    <w:rsid w:val="000128CE"/>
    <w:rsid w:val="00015891"/>
    <w:rsid w:val="00015BC9"/>
    <w:rsid w:val="00016A21"/>
    <w:rsid w:val="000216EC"/>
    <w:rsid w:val="00022BFF"/>
    <w:rsid w:val="00027891"/>
    <w:rsid w:val="00031B80"/>
    <w:rsid w:val="00032458"/>
    <w:rsid w:val="0003275F"/>
    <w:rsid w:val="00037F0D"/>
    <w:rsid w:val="00040078"/>
    <w:rsid w:val="00042160"/>
    <w:rsid w:val="000438B2"/>
    <w:rsid w:val="000519C6"/>
    <w:rsid w:val="00052909"/>
    <w:rsid w:val="000600B3"/>
    <w:rsid w:val="00062EB6"/>
    <w:rsid w:val="00063548"/>
    <w:rsid w:val="00066F90"/>
    <w:rsid w:val="00075CC0"/>
    <w:rsid w:val="0008096C"/>
    <w:rsid w:val="000821AA"/>
    <w:rsid w:val="00082419"/>
    <w:rsid w:val="00083D0F"/>
    <w:rsid w:val="00085098"/>
    <w:rsid w:val="0009178F"/>
    <w:rsid w:val="0009343F"/>
    <w:rsid w:val="00094326"/>
    <w:rsid w:val="00094515"/>
    <w:rsid w:val="0009500A"/>
    <w:rsid w:val="00095C7C"/>
    <w:rsid w:val="0009633A"/>
    <w:rsid w:val="000A01DA"/>
    <w:rsid w:val="000A4C5E"/>
    <w:rsid w:val="000A7517"/>
    <w:rsid w:val="000B732E"/>
    <w:rsid w:val="000C0042"/>
    <w:rsid w:val="000C13F9"/>
    <w:rsid w:val="000C5DBB"/>
    <w:rsid w:val="000C608A"/>
    <w:rsid w:val="000D00D5"/>
    <w:rsid w:val="000D02F5"/>
    <w:rsid w:val="000D1D8B"/>
    <w:rsid w:val="000D3E96"/>
    <w:rsid w:val="000E198E"/>
    <w:rsid w:val="000E4F4F"/>
    <w:rsid w:val="000F20CC"/>
    <w:rsid w:val="000F6410"/>
    <w:rsid w:val="000F775B"/>
    <w:rsid w:val="0010042F"/>
    <w:rsid w:val="001022EF"/>
    <w:rsid w:val="00111142"/>
    <w:rsid w:val="00115C62"/>
    <w:rsid w:val="00117262"/>
    <w:rsid w:val="00117504"/>
    <w:rsid w:val="00124998"/>
    <w:rsid w:val="00124B76"/>
    <w:rsid w:val="00126BAD"/>
    <w:rsid w:val="001278A5"/>
    <w:rsid w:val="00131CE2"/>
    <w:rsid w:val="00131D67"/>
    <w:rsid w:val="001325CA"/>
    <w:rsid w:val="00133C49"/>
    <w:rsid w:val="00136A68"/>
    <w:rsid w:val="00136C11"/>
    <w:rsid w:val="0014012D"/>
    <w:rsid w:val="001409E6"/>
    <w:rsid w:val="0014237F"/>
    <w:rsid w:val="00143FBE"/>
    <w:rsid w:val="00146077"/>
    <w:rsid w:val="0016587F"/>
    <w:rsid w:val="0017112D"/>
    <w:rsid w:val="00171BDA"/>
    <w:rsid w:val="00171F09"/>
    <w:rsid w:val="001757DE"/>
    <w:rsid w:val="00175B2D"/>
    <w:rsid w:val="00180A7E"/>
    <w:rsid w:val="00181523"/>
    <w:rsid w:val="00181C5A"/>
    <w:rsid w:val="00184F7A"/>
    <w:rsid w:val="001854B1"/>
    <w:rsid w:val="00186DE6"/>
    <w:rsid w:val="00186F07"/>
    <w:rsid w:val="001903D7"/>
    <w:rsid w:val="00193B2A"/>
    <w:rsid w:val="001A2690"/>
    <w:rsid w:val="001A313B"/>
    <w:rsid w:val="001A4C24"/>
    <w:rsid w:val="001A553A"/>
    <w:rsid w:val="001A5D9C"/>
    <w:rsid w:val="001B0041"/>
    <w:rsid w:val="001B077E"/>
    <w:rsid w:val="001B3A52"/>
    <w:rsid w:val="001B5D4E"/>
    <w:rsid w:val="001B6F40"/>
    <w:rsid w:val="001C0A66"/>
    <w:rsid w:val="001C2816"/>
    <w:rsid w:val="001C5857"/>
    <w:rsid w:val="001C796A"/>
    <w:rsid w:val="001D5A6C"/>
    <w:rsid w:val="001D6F30"/>
    <w:rsid w:val="001E130B"/>
    <w:rsid w:val="001E2B4B"/>
    <w:rsid w:val="001E2FFC"/>
    <w:rsid w:val="001E6014"/>
    <w:rsid w:val="001E6987"/>
    <w:rsid w:val="001F10F0"/>
    <w:rsid w:val="001F3C4F"/>
    <w:rsid w:val="001F440F"/>
    <w:rsid w:val="002010B9"/>
    <w:rsid w:val="002010DC"/>
    <w:rsid w:val="002055D3"/>
    <w:rsid w:val="002056CB"/>
    <w:rsid w:val="00205D16"/>
    <w:rsid w:val="00205DD3"/>
    <w:rsid w:val="00206F69"/>
    <w:rsid w:val="00211DF2"/>
    <w:rsid w:val="00214483"/>
    <w:rsid w:val="00214DCD"/>
    <w:rsid w:val="0021527E"/>
    <w:rsid w:val="002206FE"/>
    <w:rsid w:val="00222E36"/>
    <w:rsid w:val="00222E80"/>
    <w:rsid w:val="00224B64"/>
    <w:rsid w:val="00226F3E"/>
    <w:rsid w:val="002305E8"/>
    <w:rsid w:val="00232C60"/>
    <w:rsid w:val="00232E98"/>
    <w:rsid w:val="002348C1"/>
    <w:rsid w:val="002415EF"/>
    <w:rsid w:val="00241DB6"/>
    <w:rsid w:val="002441DD"/>
    <w:rsid w:val="002452A8"/>
    <w:rsid w:val="00245633"/>
    <w:rsid w:val="00247BDC"/>
    <w:rsid w:val="002517E4"/>
    <w:rsid w:val="00254F06"/>
    <w:rsid w:val="00256DF7"/>
    <w:rsid w:val="00264D56"/>
    <w:rsid w:val="002668C4"/>
    <w:rsid w:val="00271E10"/>
    <w:rsid w:val="00280EA5"/>
    <w:rsid w:val="00282056"/>
    <w:rsid w:val="00294C32"/>
    <w:rsid w:val="0029773E"/>
    <w:rsid w:val="002A0FBD"/>
    <w:rsid w:val="002A24B1"/>
    <w:rsid w:val="002A474B"/>
    <w:rsid w:val="002A7FCA"/>
    <w:rsid w:val="002B1CB1"/>
    <w:rsid w:val="002B3E80"/>
    <w:rsid w:val="002B4557"/>
    <w:rsid w:val="002B7DB5"/>
    <w:rsid w:val="002C03C0"/>
    <w:rsid w:val="002C140B"/>
    <w:rsid w:val="002C2C6B"/>
    <w:rsid w:val="002C51D9"/>
    <w:rsid w:val="002C534D"/>
    <w:rsid w:val="002D05B4"/>
    <w:rsid w:val="002D0799"/>
    <w:rsid w:val="002D3C0F"/>
    <w:rsid w:val="002D425D"/>
    <w:rsid w:val="002D529A"/>
    <w:rsid w:val="002D674B"/>
    <w:rsid w:val="002E3EBD"/>
    <w:rsid w:val="002F1F01"/>
    <w:rsid w:val="002F2439"/>
    <w:rsid w:val="00300E10"/>
    <w:rsid w:val="0030195A"/>
    <w:rsid w:val="00301AE9"/>
    <w:rsid w:val="00307DC5"/>
    <w:rsid w:val="00310A79"/>
    <w:rsid w:val="00310DFB"/>
    <w:rsid w:val="00312901"/>
    <w:rsid w:val="00315135"/>
    <w:rsid w:val="0031531F"/>
    <w:rsid w:val="0033703E"/>
    <w:rsid w:val="003420E7"/>
    <w:rsid w:val="003437E1"/>
    <w:rsid w:val="0034447D"/>
    <w:rsid w:val="00346729"/>
    <w:rsid w:val="003469BF"/>
    <w:rsid w:val="00346BED"/>
    <w:rsid w:val="0035008D"/>
    <w:rsid w:val="0035253C"/>
    <w:rsid w:val="00352EEB"/>
    <w:rsid w:val="0035347F"/>
    <w:rsid w:val="00355D6D"/>
    <w:rsid w:val="00356AAD"/>
    <w:rsid w:val="00357009"/>
    <w:rsid w:val="00360531"/>
    <w:rsid w:val="0036445F"/>
    <w:rsid w:val="003648B8"/>
    <w:rsid w:val="00370659"/>
    <w:rsid w:val="003827BB"/>
    <w:rsid w:val="00384788"/>
    <w:rsid w:val="00387062"/>
    <w:rsid w:val="0039085F"/>
    <w:rsid w:val="0039291C"/>
    <w:rsid w:val="0039300B"/>
    <w:rsid w:val="003A12AD"/>
    <w:rsid w:val="003A1E44"/>
    <w:rsid w:val="003A209D"/>
    <w:rsid w:val="003A36A2"/>
    <w:rsid w:val="003A7FC5"/>
    <w:rsid w:val="003B16AE"/>
    <w:rsid w:val="003B1AAA"/>
    <w:rsid w:val="003B2020"/>
    <w:rsid w:val="003B76FD"/>
    <w:rsid w:val="003B7FCE"/>
    <w:rsid w:val="003C003C"/>
    <w:rsid w:val="003C0884"/>
    <w:rsid w:val="003C08A5"/>
    <w:rsid w:val="003C28FD"/>
    <w:rsid w:val="003C3876"/>
    <w:rsid w:val="003C5A22"/>
    <w:rsid w:val="003C5F21"/>
    <w:rsid w:val="003C6308"/>
    <w:rsid w:val="003D2578"/>
    <w:rsid w:val="003D2DF3"/>
    <w:rsid w:val="003D3D9B"/>
    <w:rsid w:val="003D7A65"/>
    <w:rsid w:val="003D7F63"/>
    <w:rsid w:val="003E01D7"/>
    <w:rsid w:val="003E01F6"/>
    <w:rsid w:val="003E0965"/>
    <w:rsid w:val="003E3A41"/>
    <w:rsid w:val="003E4F88"/>
    <w:rsid w:val="003E5291"/>
    <w:rsid w:val="003F0A74"/>
    <w:rsid w:val="003F0B79"/>
    <w:rsid w:val="003F3434"/>
    <w:rsid w:val="003F610D"/>
    <w:rsid w:val="00406B68"/>
    <w:rsid w:val="00413CC5"/>
    <w:rsid w:val="00415178"/>
    <w:rsid w:val="0041565A"/>
    <w:rsid w:val="00420C93"/>
    <w:rsid w:val="0042486B"/>
    <w:rsid w:val="0042535A"/>
    <w:rsid w:val="00426765"/>
    <w:rsid w:val="004276F2"/>
    <w:rsid w:val="004301AD"/>
    <w:rsid w:val="004334C5"/>
    <w:rsid w:val="00436705"/>
    <w:rsid w:val="00442F15"/>
    <w:rsid w:val="004438D7"/>
    <w:rsid w:val="00452192"/>
    <w:rsid w:val="00452EEB"/>
    <w:rsid w:val="00455813"/>
    <w:rsid w:val="00460356"/>
    <w:rsid w:val="00462BC2"/>
    <w:rsid w:val="00471778"/>
    <w:rsid w:val="004749D4"/>
    <w:rsid w:val="004774B1"/>
    <w:rsid w:val="00483024"/>
    <w:rsid w:val="00486418"/>
    <w:rsid w:val="004A4409"/>
    <w:rsid w:val="004A5BA2"/>
    <w:rsid w:val="004B138F"/>
    <w:rsid w:val="004B2A17"/>
    <w:rsid w:val="004B54AB"/>
    <w:rsid w:val="004C25CB"/>
    <w:rsid w:val="004C4848"/>
    <w:rsid w:val="004C53CE"/>
    <w:rsid w:val="004C6B01"/>
    <w:rsid w:val="004C7E19"/>
    <w:rsid w:val="004D0F00"/>
    <w:rsid w:val="004D74D5"/>
    <w:rsid w:val="004D7966"/>
    <w:rsid w:val="004E204C"/>
    <w:rsid w:val="004E2F2D"/>
    <w:rsid w:val="004E73F1"/>
    <w:rsid w:val="004F2EBC"/>
    <w:rsid w:val="004F3491"/>
    <w:rsid w:val="004F66C1"/>
    <w:rsid w:val="004F6873"/>
    <w:rsid w:val="004F721B"/>
    <w:rsid w:val="004F7D9D"/>
    <w:rsid w:val="00503041"/>
    <w:rsid w:val="005033B8"/>
    <w:rsid w:val="00505E8F"/>
    <w:rsid w:val="00506BE6"/>
    <w:rsid w:val="00507E32"/>
    <w:rsid w:val="00511DD1"/>
    <w:rsid w:val="00513A28"/>
    <w:rsid w:val="005148DE"/>
    <w:rsid w:val="00521318"/>
    <w:rsid w:val="00522708"/>
    <w:rsid w:val="005232B1"/>
    <w:rsid w:val="00525497"/>
    <w:rsid w:val="00533A40"/>
    <w:rsid w:val="00535196"/>
    <w:rsid w:val="005375AD"/>
    <w:rsid w:val="00544A69"/>
    <w:rsid w:val="00545346"/>
    <w:rsid w:val="00547F15"/>
    <w:rsid w:val="0055051C"/>
    <w:rsid w:val="00555BC8"/>
    <w:rsid w:val="005574B2"/>
    <w:rsid w:val="00562ACC"/>
    <w:rsid w:val="00563293"/>
    <w:rsid w:val="00572B96"/>
    <w:rsid w:val="00583370"/>
    <w:rsid w:val="0058437F"/>
    <w:rsid w:val="00584F32"/>
    <w:rsid w:val="00592BE1"/>
    <w:rsid w:val="0059362B"/>
    <w:rsid w:val="005942F5"/>
    <w:rsid w:val="005948C7"/>
    <w:rsid w:val="00595722"/>
    <w:rsid w:val="005A2927"/>
    <w:rsid w:val="005A2BD3"/>
    <w:rsid w:val="005A31BD"/>
    <w:rsid w:val="005A39FD"/>
    <w:rsid w:val="005A454C"/>
    <w:rsid w:val="005A55D9"/>
    <w:rsid w:val="005A6DB5"/>
    <w:rsid w:val="005A7C31"/>
    <w:rsid w:val="005B3D02"/>
    <w:rsid w:val="005B7B17"/>
    <w:rsid w:val="005C10B8"/>
    <w:rsid w:val="005C1270"/>
    <w:rsid w:val="005C349D"/>
    <w:rsid w:val="005C3AC1"/>
    <w:rsid w:val="005D0DF1"/>
    <w:rsid w:val="005D2C50"/>
    <w:rsid w:val="005D5192"/>
    <w:rsid w:val="005D5FFE"/>
    <w:rsid w:val="005D6333"/>
    <w:rsid w:val="005E21B4"/>
    <w:rsid w:val="005E5AB2"/>
    <w:rsid w:val="005E6324"/>
    <w:rsid w:val="005F49DF"/>
    <w:rsid w:val="005F540A"/>
    <w:rsid w:val="005F7277"/>
    <w:rsid w:val="005F75BD"/>
    <w:rsid w:val="00601E06"/>
    <w:rsid w:val="00603AD5"/>
    <w:rsid w:val="0061048E"/>
    <w:rsid w:val="00611D81"/>
    <w:rsid w:val="00612747"/>
    <w:rsid w:val="00614818"/>
    <w:rsid w:val="00615E6D"/>
    <w:rsid w:val="00620AF2"/>
    <w:rsid w:val="00622D37"/>
    <w:rsid w:val="00623772"/>
    <w:rsid w:val="0063456E"/>
    <w:rsid w:val="006369D8"/>
    <w:rsid w:val="006377D6"/>
    <w:rsid w:val="00641659"/>
    <w:rsid w:val="0064212F"/>
    <w:rsid w:val="006432E6"/>
    <w:rsid w:val="00644D79"/>
    <w:rsid w:val="00646738"/>
    <w:rsid w:val="00650C7D"/>
    <w:rsid w:val="006525ED"/>
    <w:rsid w:val="00652D12"/>
    <w:rsid w:val="00656817"/>
    <w:rsid w:val="006601BC"/>
    <w:rsid w:val="00672107"/>
    <w:rsid w:val="00672478"/>
    <w:rsid w:val="006737CE"/>
    <w:rsid w:val="00674ADA"/>
    <w:rsid w:val="006765C5"/>
    <w:rsid w:val="00685EFB"/>
    <w:rsid w:val="00687379"/>
    <w:rsid w:val="00687D09"/>
    <w:rsid w:val="00690754"/>
    <w:rsid w:val="00691005"/>
    <w:rsid w:val="00694AE6"/>
    <w:rsid w:val="006968F8"/>
    <w:rsid w:val="006A044C"/>
    <w:rsid w:val="006A2830"/>
    <w:rsid w:val="006A593F"/>
    <w:rsid w:val="006B1FCE"/>
    <w:rsid w:val="006B2917"/>
    <w:rsid w:val="006B424F"/>
    <w:rsid w:val="006B64E4"/>
    <w:rsid w:val="006B6CB2"/>
    <w:rsid w:val="006B6DD0"/>
    <w:rsid w:val="006B7BE1"/>
    <w:rsid w:val="006C231A"/>
    <w:rsid w:val="006C2F74"/>
    <w:rsid w:val="006C338A"/>
    <w:rsid w:val="006D1E68"/>
    <w:rsid w:val="006D378A"/>
    <w:rsid w:val="006D4ECE"/>
    <w:rsid w:val="006D5CB0"/>
    <w:rsid w:val="006D749F"/>
    <w:rsid w:val="006E1139"/>
    <w:rsid w:val="006E2EB4"/>
    <w:rsid w:val="006E73EB"/>
    <w:rsid w:val="006F0467"/>
    <w:rsid w:val="006F251E"/>
    <w:rsid w:val="006F274E"/>
    <w:rsid w:val="006F4FB1"/>
    <w:rsid w:val="0070128F"/>
    <w:rsid w:val="00712240"/>
    <w:rsid w:val="00720BB0"/>
    <w:rsid w:val="0072185C"/>
    <w:rsid w:val="0072252C"/>
    <w:rsid w:val="0072297F"/>
    <w:rsid w:val="00725B1F"/>
    <w:rsid w:val="0072720A"/>
    <w:rsid w:val="0072760F"/>
    <w:rsid w:val="00734D14"/>
    <w:rsid w:val="0073554F"/>
    <w:rsid w:val="00735E92"/>
    <w:rsid w:val="00737FA7"/>
    <w:rsid w:val="0074221D"/>
    <w:rsid w:val="0074445B"/>
    <w:rsid w:val="007453BA"/>
    <w:rsid w:val="0074556C"/>
    <w:rsid w:val="007458A5"/>
    <w:rsid w:val="00746233"/>
    <w:rsid w:val="007476D1"/>
    <w:rsid w:val="00750E0A"/>
    <w:rsid w:val="0075324F"/>
    <w:rsid w:val="00764B23"/>
    <w:rsid w:val="00767EEE"/>
    <w:rsid w:val="00780B9B"/>
    <w:rsid w:val="007813F3"/>
    <w:rsid w:val="007866B9"/>
    <w:rsid w:val="00791029"/>
    <w:rsid w:val="00791857"/>
    <w:rsid w:val="00797E08"/>
    <w:rsid w:val="007A19E3"/>
    <w:rsid w:val="007A2B1E"/>
    <w:rsid w:val="007A689D"/>
    <w:rsid w:val="007A74C3"/>
    <w:rsid w:val="007A7EC1"/>
    <w:rsid w:val="007B0890"/>
    <w:rsid w:val="007B0C0C"/>
    <w:rsid w:val="007B28F2"/>
    <w:rsid w:val="007B4FAD"/>
    <w:rsid w:val="007C06F6"/>
    <w:rsid w:val="007C3464"/>
    <w:rsid w:val="007C3D07"/>
    <w:rsid w:val="007C442D"/>
    <w:rsid w:val="007C53E3"/>
    <w:rsid w:val="007C6E97"/>
    <w:rsid w:val="007D7104"/>
    <w:rsid w:val="007E524A"/>
    <w:rsid w:val="007F0EA5"/>
    <w:rsid w:val="007F0F22"/>
    <w:rsid w:val="007F2DB2"/>
    <w:rsid w:val="007F43A3"/>
    <w:rsid w:val="00805024"/>
    <w:rsid w:val="0080542A"/>
    <w:rsid w:val="00806C5C"/>
    <w:rsid w:val="00810D7C"/>
    <w:rsid w:val="008176BA"/>
    <w:rsid w:val="00822FE1"/>
    <w:rsid w:val="008311EF"/>
    <w:rsid w:val="00832DE4"/>
    <w:rsid w:val="008336DD"/>
    <w:rsid w:val="008416CE"/>
    <w:rsid w:val="00841C76"/>
    <w:rsid w:val="00842447"/>
    <w:rsid w:val="00845729"/>
    <w:rsid w:val="00846F93"/>
    <w:rsid w:val="008535BF"/>
    <w:rsid w:val="00854B17"/>
    <w:rsid w:val="00860188"/>
    <w:rsid w:val="00862685"/>
    <w:rsid w:val="00863137"/>
    <w:rsid w:val="008633AE"/>
    <w:rsid w:val="00863AC2"/>
    <w:rsid w:val="008678AD"/>
    <w:rsid w:val="00870295"/>
    <w:rsid w:val="0087030D"/>
    <w:rsid w:val="00874022"/>
    <w:rsid w:val="00880D88"/>
    <w:rsid w:val="00883C3A"/>
    <w:rsid w:val="0088587D"/>
    <w:rsid w:val="00885B7B"/>
    <w:rsid w:val="00885CC7"/>
    <w:rsid w:val="00886FFF"/>
    <w:rsid w:val="00890ECF"/>
    <w:rsid w:val="00892426"/>
    <w:rsid w:val="00892A4B"/>
    <w:rsid w:val="00896F6D"/>
    <w:rsid w:val="008A31C2"/>
    <w:rsid w:val="008A5D85"/>
    <w:rsid w:val="008B1189"/>
    <w:rsid w:val="008B127A"/>
    <w:rsid w:val="008B256C"/>
    <w:rsid w:val="008B3641"/>
    <w:rsid w:val="008C048F"/>
    <w:rsid w:val="008C0B68"/>
    <w:rsid w:val="008C2186"/>
    <w:rsid w:val="008C2C86"/>
    <w:rsid w:val="008C525C"/>
    <w:rsid w:val="008C70D8"/>
    <w:rsid w:val="008C79DD"/>
    <w:rsid w:val="008C7A55"/>
    <w:rsid w:val="008D33F1"/>
    <w:rsid w:val="008D37B6"/>
    <w:rsid w:val="008D7797"/>
    <w:rsid w:val="008E1D14"/>
    <w:rsid w:val="008E244B"/>
    <w:rsid w:val="008E39AF"/>
    <w:rsid w:val="008E6B2C"/>
    <w:rsid w:val="008E7215"/>
    <w:rsid w:val="008E756D"/>
    <w:rsid w:val="008F038B"/>
    <w:rsid w:val="008F038D"/>
    <w:rsid w:val="008F1896"/>
    <w:rsid w:val="008F1ED5"/>
    <w:rsid w:val="00902C3C"/>
    <w:rsid w:val="00913960"/>
    <w:rsid w:val="009164F4"/>
    <w:rsid w:val="00916A92"/>
    <w:rsid w:val="0092799B"/>
    <w:rsid w:val="0093004B"/>
    <w:rsid w:val="00930B30"/>
    <w:rsid w:val="00931F81"/>
    <w:rsid w:val="009335CC"/>
    <w:rsid w:val="00934881"/>
    <w:rsid w:val="009416F8"/>
    <w:rsid w:val="00942541"/>
    <w:rsid w:val="00942543"/>
    <w:rsid w:val="00943CC3"/>
    <w:rsid w:val="0094410C"/>
    <w:rsid w:val="009455E3"/>
    <w:rsid w:val="00957E93"/>
    <w:rsid w:val="0096210E"/>
    <w:rsid w:val="009623DA"/>
    <w:rsid w:val="0096422F"/>
    <w:rsid w:val="00965D36"/>
    <w:rsid w:val="0096622E"/>
    <w:rsid w:val="00966BD1"/>
    <w:rsid w:val="00971AC1"/>
    <w:rsid w:val="00973F3E"/>
    <w:rsid w:val="009740F7"/>
    <w:rsid w:val="009750C5"/>
    <w:rsid w:val="0098147A"/>
    <w:rsid w:val="0098244E"/>
    <w:rsid w:val="00986B33"/>
    <w:rsid w:val="00987AD5"/>
    <w:rsid w:val="00990B16"/>
    <w:rsid w:val="0099179D"/>
    <w:rsid w:val="009935AE"/>
    <w:rsid w:val="00993B8C"/>
    <w:rsid w:val="00996415"/>
    <w:rsid w:val="009966C5"/>
    <w:rsid w:val="00997FB6"/>
    <w:rsid w:val="009A33B5"/>
    <w:rsid w:val="009A4775"/>
    <w:rsid w:val="009A75D0"/>
    <w:rsid w:val="009A7A4D"/>
    <w:rsid w:val="009B5F53"/>
    <w:rsid w:val="009B7138"/>
    <w:rsid w:val="009B7158"/>
    <w:rsid w:val="009C11A5"/>
    <w:rsid w:val="009C17B5"/>
    <w:rsid w:val="009C3802"/>
    <w:rsid w:val="009D0752"/>
    <w:rsid w:val="009E1CF5"/>
    <w:rsid w:val="009E40A6"/>
    <w:rsid w:val="009E7797"/>
    <w:rsid w:val="009E7E4A"/>
    <w:rsid w:val="009F3B10"/>
    <w:rsid w:val="009F617A"/>
    <w:rsid w:val="009F663C"/>
    <w:rsid w:val="00A0062E"/>
    <w:rsid w:val="00A01FC0"/>
    <w:rsid w:val="00A04591"/>
    <w:rsid w:val="00A11456"/>
    <w:rsid w:val="00A11BF9"/>
    <w:rsid w:val="00A11E69"/>
    <w:rsid w:val="00A12FDB"/>
    <w:rsid w:val="00A15788"/>
    <w:rsid w:val="00A15AAB"/>
    <w:rsid w:val="00A21E98"/>
    <w:rsid w:val="00A27D52"/>
    <w:rsid w:val="00A34CB9"/>
    <w:rsid w:val="00A351FC"/>
    <w:rsid w:val="00A4129D"/>
    <w:rsid w:val="00A41D6E"/>
    <w:rsid w:val="00A43D20"/>
    <w:rsid w:val="00A457EF"/>
    <w:rsid w:val="00A501E0"/>
    <w:rsid w:val="00A5113F"/>
    <w:rsid w:val="00A524FD"/>
    <w:rsid w:val="00A5292E"/>
    <w:rsid w:val="00A56AFC"/>
    <w:rsid w:val="00A57BFA"/>
    <w:rsid w:val="00A60F69"/>
    <w:rsid w:val="00A67D0C"/>
    <w:rsid w:val="00A70C08"/>
    <w:rsid w:val="00A714E7"/>
    <w:rsid w:val="00A71991"/>
    <w:rsid w:val="00A729B1"/>
    <w:rsid w:val="00A753BF"/>
    <w:rsid w:val="00A8556F"/>
    <w:rsid w:val="00A96169"/>
    <w:rsid w:val="00AA2059"/>
    <w:rsid w:val="00AA3ACB"/>
    <w:rsid w:val="00AA7F53"/>
    <w:rsid w:val="00AB1889"/>
    <w:rsid w:val="00AB66B1"/>
    <w:rsid w:val="00AC0731"/>
    <w:rsid w:val="00AC47B0"/>
    <w:rsid w:val="00AC5CD7"/>
    <w:rsid w:val="00AC6666"/>
    <w:rsid w:val="00AD3EDB"/>
    <w:rsid w:val="00AD476E"/>
    <w:rsid w:val="00AD4A32"/>
    <w:rsid w:val="00AD788C"/>
    <w:rsid w:val="00AE2D47"/>
    <w:rsid w:val="00AE34C8"/>
    <w:rsid w:val="00AE5303"/>
    <w:rsid w:val="00AE653E"/>
    <w:rsid w:val="00AF48BC"/>
    <w:rsid w:val="00AF7A09"/>
    <w:rsid w:val="00AF7D05"/>
    <w:rsid w:val="00B00015"/>
    <w:rsid w:val="00B00BCC"/>
    <w:rsid w:val="00B07454"/>
    <w:rsid w:val="00B1023D"/>
    <w:rsid w:val="00B116EE"/>
    <w:rsid w:val="00B14C36"/>
    <w:rsid w:val="00B16E1B"/>
    <w:rsid w:val="00B16E5D"/>
    <w:rsid w:val="00B27724"/>
    <w:rsid w:val="00B3191F"/>
    <w:rsid w:val="00B35B47"/>
    <w:rsid w:val="00B37CFD"/>
    <w:rsid w:val="00B40B7C"/>
    <w:rsid w:val="00B419AE"/>
    <w:rsid w:val="00B4314A"/>
    <w:rsid w:val="00B451EF"/>
    <w:rsid w:val="00B47148"/>
    <w:rsid w:val="00B47A8A"/>
    <w:rsid w:val="00B55744"/>
    <w:rsid w:val="00B61489"/>
    <w:rsid w:val="00B635FC"/>
    <w:rsid w:val="00B669AE"/>
    <w:rsid w:val="00B73A30"/>
    <w:rsid w:val="00B816D0"/>
    <w:rsid w:val="00B85C99"/>
    <w:rsid w:val="00B933AD"/>
    <w:rsid w:val="00B949C9"/>
    <w:rsid w:val="00B972E0"/>
    <w:rsid w:val="00B976F9"/>
    <w:rsid w:val="00BA16BC"/>
    <w:rsid w:val="00BA31D9"/>
    <w:rsid w:val="00BA568E"/>
    <w:rsid w:val="00BB5574"/>
    <w:rsid w:val="00BB5FB8"/>
    <w:rsid w:val="00BB68C4"/>
    <w:rsid w:val="00BB69EF"/>
    <w:rsid w:val="00BC232C"/>
    <w:rsid w:val="00BC313E"/>
    <w:rsid w:val="00BC3E01"/>
    <w:rsid w:val="00BC3EBC"/>
    <w:rsid w:val="00BD407D"/>
    <w:rsid w:val="00BD5469"/>
    <w:rsid w:val="00BE014B"/>
    <w:rsid w:val="00BE0197"/>
    <w:rsid w:val="00BE246D"/>
    <w:rsid w:val="00BE490F"/>
    <w:rsid w:val="00BE4C07"/>
    <w:rsid w:val="00BE66E9"/>
    <w:rsid w:val="00BE7337"/>
    <w:rsid w:val="00BE76BA"/>
    <w:rsid w:val="00BF17AA"/>
    <w:rsid w:val="00BF504C"/>
    <w:rsid w:val="00BF679C"/>
    <w:rsid w:val="00BF6E26"/>
    <w:rsid w:val="00BF7AC5"/>
    <w:rsid w:val="00C026F5"/>
    <w:rsid w:val="00C02787"/>
    <w:rsid w:val="00C063C0"/>
    <w:rsid w:val="00C06527"/>
    <w:rsid w:val="00C0725C"/>
    <w:rsid w:val="00C15BED"/>
    <w:rsid w:val="00C16789"/>
    <w:rsid w:val="00C2083F"/>
    <w:rsid w:val="00C20AED"/>
    <w:rsid w:val="00C2230D"/>
    <w:rsid w:val="00C22687"/>
    <w:rsid w:val="00C24556"/>
    <w:rsid w:val="00C2533A"/>
    <w:rsid w:val="00C25A6A"/>
    <w:rsid w:val="00C25EF5"/>
    <w:rsid w:val="00C30418"/>
    <w:rsid w:val="00C31DAE"/>
    <w:rsid w:val="00C325CA"/>
    <w:rsid w:val="00C35E67"/>
    <w:rsid w:val="00C415B4"/>
    <w:rsid w:val="00C41928"/>
    <w:rsid w:val="00C43D5D"/>
    <w:rsid w:val="00C45F6E"/>
    <w:rsid w:val="00C46D36"/>
    <w:rsid w:val="00C46DE2"/>
    <w:rsid w:val="00C54A28"/>
    <w:rsid w:val="00C54C48"/>
    <w:rsid w:val="00C71DF5"/>
    <w:rsid w:val="00C75F1A"/>
    <w:rsid w:val="00C7677D"/>
    <w:rsid w:val="00C81A4F"/>
    <w:rsid w:val="00C92303"/>
    <w:rsid w:val="00C92935"/>
    <w:rsid w:val="00C92D7B"/>
    <w:rsid w:val="00C96BE4"/>
    <w:rsid w:val="00C97B0B"/>
    <w:rsid w:val="00CA47B4"/>
    <w:rsid w:val="00CB0F72"/>
    <w:rsid w:val="00CB3C27"/>
    <w:rsid w:val="00CB5BBD"/>
    <w:rsid w:val="00CC0612"/>
    <w:rsid w:val="00CC171E"/>
    <w:rsid w:val="00CC1808"/>
    <w:rsid w:val="00CC26B7"/>
    <w:rsid w:val="00CD018F"/>
    <w:rsid w:val="00CD3FF7"/>
    <w:rsid w:val="00CE24D9"/>
    <w:rsid w:val="00CE4B25"/>
    <w:rsid w:val="00CE5781"/>
    <w:rsid w:val="00CE6D2C"/>
    <w:rsid w:val="00CF0324"/>
    <w:rsid w:val="00CF14AE"/>
    <w:rsid w:val="00CF4297"/>
    <w:rsid w:val="00D03501"/>
    <w:rsid w:val="00D044F2"/>
    <w:rsid w:val="00D0687B"/>
    <w:rsid w:val="00D15CE5"/>
    <w:rsid w:val="00D1626B"/>
    <w:rsid w:val="00D16D3E"/>
    <w:rsid w:val="00D176DE"/>
    <w:rsid w:val="00D22359"/>
    <w:rsid w:val="00D22797"/>
    <w:rsid w:val="00D23A0C"/>
    <w:rsid w:val="00D255F3"/>
    <w:rsid w:val="00D272D0"/>
    <w:rsid w:val="00D2774E"/>
    <w:rsid w:val="00D27D58"/>
    <w:rsid w:val="00D37187"/>
    <w:rsid w:val="00D371B0"/>
    <w:rsid w:val="00D37300"/>
    <w:rsid w:val="00D37A07"/>
    <w:rsid w:val="00D41044"/>
    <w:rsid w:val="00D43F20"/>
    <w:rsid w:val="00D52F18"/>
    <w:rsid w:val="00D54CB9"/>
    <w:rsid w:val="00D572F0"/>
    <w:rsid w:val="00D6466A"/>
    <w:rsid w:val="00D65B37"/>
    <w:rsid w:val="00D65F27"/>
    <w:rsid w:val="00D703D1"/>
    <w:rsid w:val="00D7412B"/>
    <w:rsid w:val="00D767E2"/>
    <w:rsid w:val="00D77656"/>
    <w:rsid w:val="00D779CF"/>
    <w:rsid w:val="00D77EE5"/>
    <w:rsid w:val="00D91910"/>
    <w:rsid w:val="00D94622"/>
    <w:rsid w:val="00D96A4B"/>
    <w:rsid w:val="00DA0B15"/>
    <w:rsid w:val="00DA47BA"/>
    <w:rsid w:val="00DA7019"/>
    <w:rsid w:val="00DA7FFC"/>
    <w:rsid w:val="00DB36FA"/>
    <w:rsid w:val="00DB5C16"/>
    <w:rsid w:val="00DC298A"/>
    <w:rsid w:val="00DC2F45"/>
    <w:rsid w:val="00DD12D9"/>
    <w:rsid w:val="00DD1BD0"/>
    <w:rsid w:val="00DD427E"/>
    <w:rsid w:val="00DD5527"/>
    <w:rsid w:val="00DE039B"/>
    <w:rsid w:val="00DE14AD"/>
    <w:rsid w:val="00DE4456"/>
    <w:rsid w:val="00DE4883"/>
    <w:rsid w:val="00DE6E99"/>
    <w:rsid w:val="00DF02A5"/>
    <w:rsid w:val="00DF1811"/>
    <w:rsid w:val="00DF2015"/>
    <w:rsid w:val="00DF2018"/>
    <w:rsid w:val="00DF4020"/>
    <w:rsid w:val="00DF5E2D"/>
    <w:rsid w:val="00DF5FB8"/>
    <w:rsid w:val="00E02F2F"/>
    <w:rsid w:val="00E152EF"/>
    <w:rsid w:val="00E15D06"/>
    <w:rsid w:val="00E15EDB"/>
    <w:rsid w:val="00E20CE8"/>
    <w:rsid w:val="00E20F29"/>
    <w:rsid w:val="00E230C0"/>
    <w:rsid w:val="00E253C7"/>
    <w:rsid w:val="00E301E5"/>
    <w:rsid w:val="00E316BA"/>
    <w:rsid w:val="00E3172C"/>
    <w:rsid w:val="00E34006"/>
    <w:rsid w:val="00E40517"/>
    <w:rsid w:val="00E40826"/>
    <w:rsid w:val="00E41214"/>
    <w:rsid w:val="00E44EB2"/>
    <w:rsid w:val="00E50ABE"/>
    <w:rsid w:val="00E539CF"/>
    <w:rsid w:val="00E615B5"/>
    <w:rsid w:val="00E71EC1"/>
    <w:rsid w:val="00E71FA5"/>
    <w:rsid w:val="00E7278C"/>
    <w:rsid w:val="00E80F0A"/>
    <w:rsid w:val="00E81C77"/>
    <w:rsid w:val="00E8773C"/>
    <w:rsid w:val="00E91948"/>
    <w:rsid w:val="00E93405"/>
    <w:rsid w:val="00E97607"/>
    <w:rsid w:val="00EA1DA7"/>
    <w:rsid w:val="00EA2438"/>
    <w:rsid w:val="00EA31B3"/>
    <w:rsid w:val="00EA39C7"/>
    <w:rsid w:val="00EA571B"/>
    <w:rsid w:val="00EA5F8A"/>
    <w:rsid w:val="00EB0C4C"/>
    <w:rsid w:val="00EB5EF8"/>
    <w:rsid w:val="00EB70BA"/>
    <w:rsid w:val="00EB7E2E"/>
    <w:rsid w:val="00EC07CD"/>
    <w:rsid w:val="00EC2B53"/>
    <w:rsid w:val="00ED0099"/>
    <w:rsid w:val="00ED0854"/>
    <w:rsid w:val="00ED3B1B"/>
    <w:rsid w:val="00ED4702"/>
    <w:rsid w:val="00EE3928"/>
    <w:rsid w:val="00EE3EEF"/>
    <w:rsid w:val="00EF16F6"/>
    <w:rsid w:val="00EF4363"/>
    <w:rsid w:val="00EF5D4F"/>
    <w:rsid w:val="00F00562"/>
    <w:rsid w:val="00F03022"/>
    <w:rsid w:val="00F03182"/>
    <w:rsid w:val="00F04333"/>
    <w:rsid w:val="00F05847"/>
    <w:rsid w:val="00F06D4C"/>
    <w:rsid w:val="00F074A7"/>
    <w:rsid w:val="00F10ADD"/>
    <w:rsid w:val="00F125D0"/>
    <w:rsid w:val="00F13F09"/>
    <w:rsid w:val="00F20062"/>
    <w:rsid w:val="00F264E1"/>
    <w:rsid w:val="00F2772A"/>
    <w:rsid w:val="00F31430"/>
    <w:rsid w:val="00F31567"/>
    <w:rsid w:val="00F459B0"/>
    <w:rsid w:val="00F5089A"/>
    <w:rsid w:val="00F5172B"/>
    <w:rsid w:val="00F5210F"/>
    <w:rsid w:val="00F54AB5"/>
    <w:rsid w:val="00F565B6"/>
    <w:rsid w:val="00F57BFF"/>
    <w:rsid w:val="00F57F03"/>
    <w:rsid w:val="00F60E28"/>
    <w:rsid w:val="00F61029"/>
    <w:rsid w:val="00F63A17"/>
    <w:rsid w:val="00F642D2"/>
    <w:rsid w:val="00F66EBD"/>
    <w:rsid w:val="00F67133"/>
    <w:rsid w:val="00F75671"/>
    <w:rsid w:val="00F83606"/>
    <w:rsid w:val="00F84541"/>
    <w:rsid w:val="00F859B6"/>
    <w:rsid w:val="00F87333"/>
    <w:rsid w:val="00F94030"/>
    <w:rsid w:val="00F95791"/>
    <w:rsid w:val="00F96315"/>
    <w:rsid w:val="00FA5C56"/>
    <w:rsid w:val="00FA64F0"/>
    <w:rsid w:val="00FB5161"/>
    <w:rsid w:val="00FB65C5"/>
    <w:rsid w:val="00FC011A"/>
    <w:rsid w:val="00FC2DA9"/>
    <w:rsid w:val="00FD132F"/>
    <w:rsid w:val="00FD448E"/>
    <w:rsid w:val="00FD7E36"/>
    <w:rsid w:val="00FF2A58"/>
    <w:rsid w:val="00FF3956"/>
    <w:rsid w:val="00FF5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EF3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rsid w:val="009B7138"/>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B37CFD"/>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rsid w:val="00B37CFD"/>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rsid w:val="00B37CFD"/>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96A4B"/>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D96A4B"/>
    <w:rPr>
      <w:rFonts w:ascii="Segoe UI" w:hAnsi="Segoe UI" w:cs="Segoe UI"/>
      <w:sz w:val="18"/>
      <w:szCs w:val="18"/>
      <w:lang w:val="hu-HU"/>
    </w:rPr>
  </w:style>
  <w:style w:type="character" w:customStyle="1" w:styleId="Aucun">
    <w:name w:val="Aucun"/>
    <w:rsid w:val="00D96A4B"/>
  </w:style>
  <w:style w:type="character" w:styleId="CommentReference">
    <w:name w:val="annotation reference"/>
    <w:basedOn w:val="DefaultParagraphFont"/>
    <w:uiPriority w:val="99"/>
    <w:unhideWhenUsed/>
    <w:rsid w:val="00D96A4B"/>
    <w:rPr>
      <w:sz w:val="16"/>
      <w:szCs w:val="16"/>
    </w:rPr>
  </w:style>
  <w:style w:type="paragraph" w:styleId="CommentText">
    <w:name w:val="annotation text"/>
    <w:basedOn w:val="Normal"/>
    <w:link w:val="CommentTextChar"/>
    <w:uiPriority w:val="99"/>
    <w:unhideWhenUsed/>
    <w:rsid w:val="00D96A4B"/>
    <w:rPr>
      <w:sz w:val="20"/>
      <w:szCs w:val="20"/>
    </w:rPr>
  </w:style>
  <w:style w:type="character" w:customStyle="1" w:styleId="CommentTextChar">
    <w:name w:val="Comment Text Char"/>
    <w:basedOn w:val="DefaultParagraphFont"/>
    <w:link w:val="CommentText"/>
    <w:uiPriority w:val="99"/>
    <w:rsid w:val="00D96A4B"/>
    <w:rPr>
      <w:rFonts w:ascii="Times New Roman" w:hAnsi="Times New Roman" w:cs="Times New Roman"/>
      <w:sz w:val="20"/>
      <w:szCs w:val="20"/>
      <w:lang w:val="hu-HU"/>
    </w:rPr>
  </w:style>
  <w:style w:type="character" w:styleId="Hyperlink">
    <w:name w:val="Hyperlink"/>
    <w:basedOn w:val="DefaultParagraphFont"/>
    <w:uiPriority w:val="99"/>
    <w:unhideWhenUsed/>
    <w:rsid w:val="00D96A4B"/>
    <w:rPr>
      <w:color w:val="0000FF" w:themeColor="hyperlink"/>
      <w:u w:val="single"/>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L,CV text"/>
    <w:basedOn w:val="Normal"/>
    <w:link w:val="ListParagraphChar"/>
    <w:uiPriority w:val="34"/>
    <w:qFormat/>
    <w:rsid w:val="00D96A4B"/>
    <w:pPr>
      <w:ind w:left="720"/>
      <w:contextualSpacing/>
    </w:p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L Char"/>
    <w:link w:val="ListParagraph"/>
    <w:uiPriority w:val="34"/>
    <w:qFormat/>
    <w:locked/>
    <w:rsid w:val="00D96A4B"/>
    <w:rPr>
      <w:rFonts w:ascii="Times New Roman" w:hAnsi="Times New Roman" w:cs="Times New Roman"/>
      <w:sz w:val="24"/>
      <w:lang w:val="hu-HU"/>
    </w:rPr>
  </w:style>
  <w:style w:type="paragraph" w:styleId="ListBullet">
    <w:name w:val="List Bullet"/>
    <w:basedOn w:val="Normal"/>
    <w:unhideWhenUsed/>
    <w:rsid w:val="0030195A"/>
    <w:pPr>
      <w:numPr>
        <w:numId w:val="1"/>
      </w:numPr>
      <w:contextualSpacing/>
    </w:pPr>
  </w:style>
  <w:style w:type="paragraph" w:styleId="ListBullet2">
    <w:name w:val="List Bullet 2"/>
    <w:basedOn w:val="Normal"/>
    <w:unhideWhenUsed/>
    <w:rsid w:val="0030195A"/>
    <w:pPr>
      <w:numPr>
        <w:numId w:val="2"/>
      </w:numPr>
      <w:contextualSpacing/>
    </w:pPr>
  </w:style>
  <w:style w:type="paragraph" w:styleId="ListBullet3">
    <w:name w:val="List Bullet 3"/>
    <w:basedOn w:val="Normal"/>
    <w:unhideWhenUsed/>
    <w:rsid w:val="0030195A"/>
    <w:pPr>
      <w:numPr>
        <w:numId w:val="3"/>
      </w:numPr>
      <w:contextualSpacing/>
    </w:pPr>
  </w:style>
  <w:style w:type="paragraph" w:styleId="ListBullet4">
    <w:name w:val="List Bullet 4"/>
    <w:basedOn w:val="Normal"/>
    <w:unhideWhenUsed/>
    <w:rsid w:val="0030195A"/>
    <w:pPr>
      <w:numPr>
        <w:numId w:val="4"/>
      </w:numPr>
      <w:contextualSpacing/>
    </w:pPr>
  </w:style>
  <w:style w:type="paragraph" w:customStyle="1" w:styleId="ListDash1">
    <w:name w:val="List Dash 1"/>
    <w:basedOn w:val="Text1"/>
    <w:rsid w:val="00595722"/>
    <w:pPr>
      <w:numPr>
        <w:numId w:val="5"/>
      </w:numPr>
      <w:spacing w:before="0" w:after="240"/>
    </w:pPr>
    <w:rPr>
      <w:rFonts w:eastAsia="Times New Roman"/>
      <w:szCs w:val="20"/>
    </w:rPr>
  </w:style>
  <w:style w:type="paragraph" w:customStyle="1" w:styleId="ecl-u-type-paragraph-m">
    <w:name w:val="ecl-u-type-paragraph-m"/>
    <w:basedOn w:val="Normal"/>
    <w:rsid w:val="001B5D4E"/>
    <w:pPr>
      <w:spacing w:before="100" w:beforeAutospacing="1" w:after="100" w:afterAutospacing="1"/>
      <w:jc w:val="left"/>
    </w:pPr>
    <w:rPr>
      <w:rFonts w:eastAsia="Times New Roman"/>
      <w:szCs w:val="24"/>
      <w:lang w:eastAsia="en-GB"/>
    </w:rPr>
  </w:style>
  <w:style w:type="paragraph" w:styleId="CommentSubject">
    <w:name w:val="annotation subject"/>
    <w:basedOn w:val="CommentText"/>
    <w:next w:val="CommentText"/>
    <w:link w:val="CommentSubjectChar"/>
    <w:unhideWhenUsed/>
    <w:rsid w:val="005148DE"/>
    <w:rPr>
      <w:b/>
      <w:bCs/>
    </w:rPr>
  </w:style>
  <w:style w:type="character" w:customStyle="1" w:styleId="CommentSubjectChar">
    <w:name w:val="Comment Subject Char"/>
    <w:basedOn w:val="CommentTextChar"/>
    <w:link w:val="CommentSubject"/>
    <w:rsid w:val="005148DE"/>
    <w:rPr>
      <w:rFonts w:ascii="Times New Roman" w:hAnsi="Times New Roman" w:cs="Times New Roman"/>
      <w:b/>
      <w:bCs/>
      <w:sz w:val="20"/>
      <w:szCs w:val="20"/>
      <w:lang w:val="hu-HU"/>
    </w:rPr>
  </w:style>
  <w:style w:type="paragraph" w:styleId="Revision">
    <w:name w:val="Revision"/>
    <w:hidden/>
    <w:uiPriority w:val="99"/>
    <w:semiHidden/>
    <w:rsid w:val="009C11A5"/>
    <w:pPr>
      <w:spacing w:after="0" w:line="240" w:lineRule="auto"/>
    </w:pPr>
    <w:rPr>
      <w:rFonts w:ascii="Times New Roman" w:hAnsi="Times New Roman" w:cs="Times New Roman"/>
      <w:sz w:val="24"/>
    </w:rPr>
  </w:style>
  <w:style w:type="character" w:customStyle="1" w:styleId="highlight">
    <w:name w:val="highlight"/>
    <w:basedOn w:val="DefaultParagraphFont"/>
    <w:rsid w:val="00256DF7"/>
  </w:style>
  <w:style w:type="character" w:styleId="Emphasis">
    <w:name w:val="Emphasis"/>
    <w:basedOn w:val="DefaultParagraphFont"/>
    <w:uiPriority w:val="20"/>
    <w:qFormat/>
    <w:rsid w:val="00A70C08"/>
    <w:rPr>
      <w:i/>
      <w:iCs/>
    </w:rPr>
  </w:style>
  <w:style w:type="paragraph" w:styleId="NormalWeb">
    <w:name w:val="Normal (Web)"/>
    <w:basedOn w:val="Normal"/>
    <w:uiPriority w:val="99"/>
    <w:unhideWhenUsed/>
    <w:rsid w:val="001C796A"/>
    <w:pPr>
      <w:spacing w:before="100" w:beforeAutospacing="1" w:after="100" w:afterAutospacing="1"/>
      <w:jc w:val="left"/>
    </w:pPr>
    <w:rPr>
      <w:rFonts w:eastAsia="Times New Roman"/>
      <w:szCs w:val="24"/>
      <w:lang w:eastAsia="en-IE"/>
    </w:rPr>
  </w:style>
  <w:style w:type="paragraph" w:styleId="Caption">
    <w:name w:val="caption"/>
    <w:basedOn w:val="Normal"/>
    <w:next w:val="Normal"/>
    <w:unhideWhenUsed/>
    <w:qFormat/>
    <w:rsid w:val="005A55D9"/>
    <w:pPr>
      <w:spacing w:before="0" w:after="200"/>
    </w:pPr>
    <w:rPr>
      <w:i/>
      <w:iCs/>
      <w:color w:val="1F497D" w:themeColor="text2"/>
      <w:sz w:val="18"/>
      <w:szCs w:val="18"/>
    </w:rPr>
  </w:style>
  <w:style w:type="paragraph" w:styleId="TableofFigures">
    <w:name w:val="table of figures"/>
    <w:basedOn w:val="Normal"/>
    <w:next w:val="Normal"/>
    <w:unhideWhenUsed/>
    <w:rsid w:val="005A55D9"/>
    <w:pPr>
      <w:spacing w:after="0"/>
    </w:pPr>
  </w:style>
  <w:style w:type="paragraph" w:styleId="ListNumber">
    <w:name w:val="List Number"/>
    <w:basedOn w:val="Normal"/>
    <w:unhideWhenUsed/>
    <w:rsid w:val="005A55D9"/>
    <w:pPr>
      <w:numPr>
        <w:numId w:val="8"/>
      </w:numPr>
      <w:contextualSpacing/>
    </w:pPr>
  </w:style>
  <w:style w:type="paragraph" w:styleId="ListNumber2">
    <w:name w:val="List Number 2"/>
    <w:basedOn w:val="Normal"/>
    <w:unhideWhenUsed/>
    <w:rsid w:val="005A55D9"/>
    <w:pPr>
      <w:numPr>
        <w:numId w:val="9"/>
      </w:numPr>
      <w:contextualSpacing/>
    </w:pPr>
  </w:style>
  <w:style w:type="paragraph" w:styleId="ListNumber3">
    <w:name w:val="List Number 3"/>
    <w:basedOn w:val="Normal"/>
    <w:unhideWhenUsed/>
    <w:rsid w:val="005A55D9"/>
    <w:pPr>
      <w:numPr>
        <w:numId w:val="10"/>
      </w:numPr>
      <w:contextualSpacing/>
    </w:pPr>
  </w:style>
  <w:style w:type="paragraph" w:styleId="ListNumber4">
    <w:name w:val="List Number 4"/>
    <w:basedOn w:val="Normal"/>
    <w:unhideWhenUsed/>
    <w:rsid w:val="005A55D9"/>
    <w:pPr>
      <w:numPr>
        <w:numId w:val="11"/>
      </w:numPr>
      <w:contextualSpacing/>
    </w:pPr>
  </w:style>
  <w:style w:type="paragraph" w:customStyle="1" w:styleId="ListBullet1">
    <w:name w:val="List Bullet 1"/>
    <w:basedOn w:val="Normal"/>
    <w:rsid w:val="00BC3EBC"/>
    <w:pPr>
      <w:numPr>
        <w:numId w:val="12"/>
      </w:numPr>
    </w:pPr>
    <w:rPr>
      <w:rFonts w:eastAsia="Times New Roman"/>
      <w:lang w:eastAsia="de-DE"/>
    </w:rPr>
  </w:style>
  <w:style w:type="paragraph" w:customStyle="1" w:styleId="ListDash">
    <w:name w:val="List Dash"/>
    <w:basedOn w:val="Normal"/>
    <w:rsid w:val="00BC3EBC"/>
    <w:pPr>
      <w:numPr>
        <w:numId w:val="13"/>
      </w:numPr>
    </w:pPr>
    <w:rPr>
      <w:rFonts w:eastAsia="Times New Roman"/>
      <w:lang w:eastAsia="de-DE"/>
    </w:rPr>
  </w:style>
  <w:style w:type="paragraph" w:customStyle="1" w:styleId="ListDash2">
    <w:name w:val="List Dash 2"/>
    <w:basedOn w:val="Normal"/>
    <w:rsid w:val="00BC3EBC"/>
    <w:pPr>
      <w:numPr>
        <w:numId w:val="14"/>
      </w:numPr>
    </w:pPr>
    <w:rPr>
      <w:rFonts w:eastAsia="Times New Roman"/>
      <w:lang w:eastAsia="de-DE"/>
    </w:rPr>
  </w:style>
  <w:style w:type="paragraph" w:customStyle="1" w:styleId="ListNumberLevel2">
    <w:name w:val="List Number (Level 2)"/>
    <w:basedOn w:val="Normal"/>
    <w:rsid w:val="00BC3EBC"/>
    <w:pPr>
      <w:tabs>
        <w:tab w:val="num" w:pos="1417"/>
      </w:tabs>
      <w:ind w:left="1417" w:hanging="708"/>
    </w:pPr>
    <w:rPr>
      <w:rFonts w:eastAsia="Times New Roman"/>
      <w:lang w:eastAsia="de-DE"/>
    </w:rPr>
  </w:style>
  <w:style w:type="paragraph" w:customStyle="1" w:styleId="ListNumberLevel3">
    <w:name w:val="List Number (Level 3)"/>
    <w:basedOn w:val="Normal"/>
    <w:rsid w:val="00BC3EBC"/>
    <w:pPr>
      <w:tabs>
        <w:tab w:val="num" w:pos="2126"/>
      </w:tabs>
      <w:ind w:left="2126" w:hanging="709"/>
    </w:pPr>
    <w:rPr>
      <w:rFonts w:eastAsia="Times New Roman"/>
      <w:lang w:eastAsia="de-DE"/>
    </w:rPr>
  </w:style>
  <w:style w:type="paragraph" w:customStyle="1" w:styleId="ListNumberLevel4">
    <w:name w:val="List Number (Level 4)"/>
    <w:basedOn w:val="Normal"/>
    <w:rsid w:val="00BC3EBC"/>
    <w:pPr>
      <w:tabs>
        <w:tab w:val="num" w:pos="2835"/>
      </w:tabs>
      <w:ind w:left="2835" w:hanging="709"/>
    </w:pPr>
    <w:rPr>
      <w:rFonts w:eastAsia="Times New Roman"/>
      <w:lang w:eastAsia="de-DE"/>
    </w:rPr>
  </w:style>
  <w:style w:type="table" w:styleId="TableGrid">
    <w:name w:val="Table Grid"/>
    <w:basedOn w:val="TableNormal"/>
    <w:rsid w:val="00BC3EBC"/>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3">
    <w:name w:val="List Dash 3"/>
    <w:basedOn w:val="Normal"/>
    <w:rsid w:val="00BC3EBC"/>
    <w:pPr>
      <w:numPr>
        <w:numId w:val="15"/>
      </w:numPr>
    </w:pPr>
    <w:rPr>
      <w:rFonts w:eastAsia="Times New Roman"/>
      <w:lang w:eastAsia="en-GB"/>
    </w:rPr>
  </w:style>
  <w:style w:type="paragraph" w:customStyle="1" w:styleId="ListDash4">
    <w:name w:val="List Dash 4"/>
    <w:basedOn w:val="Normal"/>
    <w:rsid w:val="00BC3EBC"/>
    <w:pPr>
      <w:numPr>
        <w:numId w:val="16"/>
      </w:numPr>
    </w:pPr>
    <w:rPr>
      <w:rFonts w:eastAsia="Times New Roman"/>
      <w:lang w:eastAsia="en-GB"/>
    </w:rPr>
  </w:style>
  <w:style w:type="paragraph" w:customStyle="1" w:styleId="ListNumber1">
    <w:name w:val="List Number 1"/>
    <w:basedOn w:val="Text1"/>
    <w:rsid w:val="00BC3EBC"/>
    <w:pPr>
      <w:numPr>
        <w:numId w:val="17"/>
      </w:numPr>
    </w:pPr>
    <w:rPr>
      <w:rFonts w:eastAsia="Times New Roman"/>
      <w:lang w:eastAsia="en-GB"/>
    </w:rPr>
  </w:style>
  <w:style w:type="paragraph" w:customStyle="1" w:styleId="ListNumber1Level2">
    <w:name w:val="List Number 1 (Level 2)"/>
    <w:basedOn w:val="Text1"/>
    <w:rsid w:val="00BC3EBC"/>
    <w:pPr>
      <w:numPr>
        <w:ilvl w:val="1"/>
        <w:numId w:val="17"/>
      </w:numPr>
    </w:pPr>
    <w:rPr>
      <w:rFonts w:eastAsia="Times New Roman"/>
      <w:lang w:eastAsia="en-GB"/>
    </w:rPr>
  </w:style>
  <w:style w:type="paragraph" w:customStyle="1" w:styleId="ListNumber2Level2">
    <w:name w:val="List Number 2 (Level 2)"/>
    <w:basedOn w:val="Text2"/>
    <w:rsid w:val="00BC3EBC"/>
    <w:pPr>
      <w:tabs>
        <w:tab w:val="num" w:pos="2268"/>
      </w:tabs>
      <w:ind w:left="2268" w:hanging="708"/>
    </w:pPr>
    <w:rPr>
      <w:rFonts w:eastAsia="Times New Roman"/>
      <w:lang w:eastAsia="en-GB"/>
    </w:rPr>
  </w:style>
  <w:style w:type="paragraph" w:customStyle="1" w:styleId="ListNumber3Level2">
    <w:name w:val="List Number 3 (Level 2)"/>
    <w:basedOn w:val="Text3"/>
    <w:rsid w:val="00BC3EBC"/>
    <w:pPr>
      <w:tabs>
        <w:tab w:val="num" w:pos="2268"/>
      </w:tabs>
      <w:ind w:left="2268" w:hanging="708"/>
    </w:pPr>
    <w:rPr>
      <w:rFonts w:eastAsia="Times New Roman"/>
      <w:lang w:eastAsia="en-GB"/>
    </w:rPr>
  </w:style>
  <w:style w:type="paragraph" w:customStyle="1" w:styleId="ListNumber4Level2">
    <w:name w:val="List Number 4 (Level 2)"/>
    <w:basedOn w:val="Text4"/>
    <w:rsid w:val="00BC3EBC"/>
    <w:pPr>
      <w:tabs>
        <w:tab w:val="num" w:pos="2268"/>
      </w:tabs>
      <w:ind w:left="2268" w:hanging="708"/>
    </w:pPr>
    <w:rPr>
      <w:rFonts w:eastAsia="Times New Roman"/>
      <w:lang w:eastAsia="en-GB"/>
    </w:rPr>
  </w:style>
  <w:style w:type="paragraph" w:customStyle="1" w:styleId="ListNumber1Level3">
    <w:name w:val="List Number 1 (Level 3)"/>
    <w:basedOn w:val="Text1"/>
    <w:rsid w:val="00BC3EBC"/>
    <w:pPr>
      <w:numPr>
        <w:ilvl w:val="2"/>
        <w:numId w:val="17"/>
      </w:numPr>
    </w:pPr>
    <w:rPr>
      <w:rFonts w:eastAsia="Times New Roman"/>
      <w:lang w:eastAsia="en-GB"/>
    </w:rPr>
  </w:style>
  <w:style w:type="paragraph" w:customStyle="1" w:styleId="ListNumber2Level3">
    <w:name w:val="List Number 2 (Level 3)"/>
    <w:basedOn w:val="Text2"/>
    <w:rsid w:val="00BC3EBC"/>
    <w:pPr>
      <w:tabs>
        <w:tab w:val="num" w:pos="2977"/>
      </w:tabs>
      <w:ind w:left="2977" w:hanging="709"/>
    </w:pPr>
    <w:rPr>
      <w:rFonts w:eastAsia="Times New Roman"/>
      <w:lang w:eastAsia="en-GB"/>
    </w:rPr>
  </w:style>
  <w:style w:type="paragraph" w:customStyle="1" w:styleId="ListNumber3Level3">
    <w:name w:val="List Number 3 (Level 3)"/>
    <w:basedOn w:val="Text3"/>
    <w:rsid w:val="00BC3EBC"/>
    <w:pPr>
      <w:tabs>
        <w:tab w:val="num" w:pos="2977"/>
      </w:tabs>
      <w:ind w:left="2977" w:hanging="709"/>
    </w:pPr>
    <w:rPr>
      <w:rFonts w:eastAsia="Times New Roman"/>
      <w:lang w:eastAsia="en-GB"/>
    </w:rPr>
  </w:style>
  <w:style w:type="paragraph" w:customStyle="1" w:styleId="ListNumber4Level3">
    <w:name w:val="List Number 4 (Level 3)"/>
    <w:basedOn w:val="Text4"/>
    <w:rsid w:val="00BC3EBC"/>
    <w:pPr>
      <w:tabs>
        <w:tab w:val="num" w:pos="2977"/>
      </w:tabs>
      <w:ind w:left="2977" w:hanging="709"/>
    </w:pPr>
    <w:rPr>
      <w:rFonts w:eastAsia="Times New Roman"/>
      <w:lang w:eastAsia="en-GB"/>
    </w:rPr>
  </w:style>
  <w:style w:type="paragraph" w:customStyle="1" w:styleId="ListNumber1Level4">
    <w:name w:val="List Number 1 (Level 4)"/>
    <w:basedOn w:val="Text1"/>
    <w:rsid w:val="00BC3EBC"/>
    <w:pPr>
      <w:numPr>
        <w:ilvl w:val="3"/>
        <w:numId w:val="17"/>
      </w:numPr>
    </w:pPr>
    <w:rPr>
      <w:rFonts w:eastAsia="Times New Roman"/>
      <w:lang w:eastAsia="en-GB"/>
    </w:rPr>
  </w:style>
  <w:style w:type="paragraph" w:customStyle="1" w:styleId="ListNumber2Level4">
    <w:name w:val="List Number 2 (Level 4)"/>
    <w:basedOn w:val="Text2"/>
    <w:rsid w:val="00BC3EBC"/>
    <w:pPr>
      <w:tabs>
        <w:tab w:val="num" w:pos="3686"/>
      </w:tabs>
      <w:ind w:left="3686" w:hanging="709"/>
    </w:pPr>
    <w:rPr>
      <w:rFonts w:eastAsia="Times New Roman"/>
      <w:lang w:eastAsia="en-GB"/>
    </w:rPr>
  </w:style>
  <w:style w:type="paragraph" w:customStyle="1" w:styleId="ListNumber3Level4">
    <w:name w:val="List Number 3 (Level 4)"/>
    <w:basedOn w:val="Text3"/>
    <w:rsid w:val="00BC3EBC"/>
    <w:pPr>
      <w:tabs>
        <w:tab w:val="num" w:pos="3686"/>
      </w:tabs>
      <w:ind w:left="3686" w:hanging="709"/>
    </w:pPr>
    <w:rPr>
      <w:rFonts w:eastAsia="Times New Roman"/>
      <w:lang w:eastAsia="en-GB"/>
    </w:rPr>
  </w:style>
  <w:style w:type="paragraph" w:customStyle="1" w:styleId="ListNumber4Level4">
    <w:name w:val="List Number 4 (Level 4)"/>
    <w:basedOn w:val="Text4"/>
    <w:rsid w:val="00BC3EBC"/>
    <w:pPr>
      <w:tabs>
        <w:tab w:val="num" w:pos="3686"/>
      </w:tabs>
      <w:ind w:left="3686" w:hanging="709"/>
    </w:pPr>
    <w:rPr>
      <w:rFonts w:eastAsia="Times New Roman"/>
      <w:lang w:eastAsia="en-GB"/>
    </w:rPr>
  </w:style>
  <w:style w:type="paragraph" w:customStyle="1" w:styleId="Annexetitreacte">
    <w:name w:val="Annexe titre (acte)"/>
    <w:basedOn w:val="Normal"/>
    <w:next w:val="Normal"/>
    <w:rsid w:val="00BC3EBC"/>
    <w:pPr>
      <w:jc w:val="center"/>
    </w:pPr>
    <w:rPr>
      <w:rFonts w:eastAsia="Times New Roman"/>
      <w:b/>
      <w:u w:val="single"/>
      <w:lang w:eastAsia="en-GB"/>
    </w:rPr>
  </w:style>
  <w:style w:type="paragraph" w:customStyle="1" w:styleId="Annexetitreexposglobal">
    <w:name w:val="Annexe titre (exposé global)"/>
    <w:basedOn w:val="Normal"/>
    <w:next w:val="Normal"/>
    <w:rsid w:val="00BC3EBC"/>
    <w:pPr>
      <w:jc w:val="center"/>
    </w:pPr>
    <w:rPr>
      <w:rFonts w:eastAsia="Times New Roman"/>
      <w:b/>
      <w:u w:val="single"/>
      <w:lang w:eastAsia="en-GB"/>
    </w:rPr>
  </w:style>
  <w:style w:type="paragraph" w:customStyle="1" w:styleId="Annexetitrefichefinacte">
    <w:name w:val="Annexe titre (fiche fin. acte)"/>
    <w:basedOn w:val="Normal"/>
    <w:next w:val="Normal"/>
    <w:rsid w:val="00BC3EBC"/>
    <w:pPr>
      <w:jc w:val="center"/>
    </w:pPr>
    <w:rPr>
      <w:rFonts w:eastAsia="Times New Roman"/>
      <w:b/>
      <w:u w:val="single"/>
      <w:lang w:eastAsia="en-GB"/>
    </w:rPr>
  </w:style>
  <w:style w:type="paragraph" w:customStyle="1" w:styleId="Annexetitrefichefinglobale">
    <w:name w:val="Annexe titre (fiche fin. globale)"/>
    <w:basedOn w:val="Normal"/>
    <w:next w:val="Normal"/>
    <w:rsid w:val="00BC3EBC"/>
    <w:pPr>
      <w:jc w:val="center"/>
    </w:pPr>
    <w:rPr>
      <w:rFonts w:eastAsia="Times New Roman"/>
      <w:b/>
      <w:u w:val="single"/>
      <w:lang w:eastAsia="en-GB"/>
    </w:rPr>
  </w:style>
  <w:style w:type="paragraph" w:customStyle="1" w:styleId="Annexetitreglobale">
    <w:name w:val="Annexe titre (globale)"/>
    <w:basedOn w:val="Normal"/>
    <w:next w:val="Normal"/>
    <w:rsid w:val="00BC3EBC"/>
    <w:pPr>
      <w:jc w:val="center"/>
    </w:pPr>
    <w:rPr>
      <w:rFonts w:eastAsia="Times New Roman"/>
      <w:b/>
      <w:u w:val="single"/>
      <w:lang w:eastAsia="en-GB"/>
    </w:rPr>
  </w:style>
  <w:style w:type="paragraph" w:customStyle="1" w:styleId="Exposdesmotifstitreglobal">
    <w:name w:val="Exposé des motifs titre (global)"/>
    <w:basedOn w:val="Normal"/>
    <w:next w:val="Normal"/>
    <w:rsid w:val="00BC3EBC"/>
    <w:pPr>
      <w:jc w:val="center"/>
    </w:pPr>
    <w:rPr>
      <w:rFonts w:eastAsia="Times New Roman"/>
      <w:b/>
      <w:u w:val="single"/>
      <w:lang w:eastAsia="en-GB"/>
    </w:rPr>
  </w:style>
  <w:style w:type="paragraph" w:customStyle="1" w:styleId="Langueoriginale">
    <w:name w:val="Langue originale"/>
    <w:basedOn w:val="Normal"/>
    <w:rsid w:val="00BC3EBC"/>
    <w:pPr>
      <w:spacing w:before="360"/>
      <w:jc w:val="center"/>
    </w:pPr>
    <w:rPr>
      <w:rFonts w:eastAsia="Times New Roman"/>
      <w:caps/>
      <w:lang w:eastAsia="en-GB"/>
    </w:rPr>
  </w:style>
  <w:style w:type="paragraph" w:customStyle="1" w:styleId="Phrasefinale">
    <w:name w:val="Phrase finale"/>
    <w:basedOn w:val="Normal"/>
    <w:next w:val="Normal"/>
    <w:rsid w:val="00BC3EBC"/>
    <w:pPr>
      <w:spacing w:before="360" w:after="0"/>
      <w:jc w:val="center"/>
    </w:pPr>
    <w:rPr>
      <w:rFonts w:eastAsia="Times New Roman"/>
      <w:lang w:eastAsia="en-GB"/>
    </w:rPr>
  </w:style>
  <w:style w:type="paragraph" w:customStyle="1" w:styleId="Prliminairetitre">
    <w:name w:val="Préliminaire titre"/>
    <w:basedOn w:val="Normal"/>
    <w:next w:val="Normal"/>
    <w:rsid w:val="00BC3EBC"/>
    <w:pPr>
      <w:spacing w:before="360" w:after="360"/>
      <w:jc w:val="center"/>
    </w:pPr>
    <w:rPr>
      <w:rFonts w:eastAsia="Times New Roman"/>
      <w:b/>
      <w:lang w:eastAsia="en-GB"/>
    </w:rPr>
  </w:style>
  <w:style w:type="paragraph" w:customStyle="1" w:styleId="Prliminairetype">
    <w:name w:val="Préliminaire type"/>
    <w:basedOn w:val="Normal"/>
    <w:next w:val="Normal"/>
    <w:rsid w:val="00BC3EBC"/>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BC3EBC"/>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BC3EBC"/>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BC3EBC"/>
    <w:pPr>
      <w:spacing w:before="0" w:after="0"/>
      <w:ind w:left="5103"/>
      <w:jc w:val="left"/>
    </w:pPr>
    <w:rPr>
      <w:rFonts w:eastAsia="Times New Roman"/>
      <w:lang w:eastAsia="en-GB"/>
    </w:rPr>
  </w:style>
  <w:style w:type="paragraph" w:customStyle="1" w:styleId="Sous-titreobjetprliminaire">
    <w:name w:val="Sous-titre objet (préliminaire)"/>
    <w:basedOn w:val="Normal"/>
    <w:rsid w:val="00BC3EBC"/>
    <w:pPr>
      <w:spacing w:before="0" w:after="0"/>
      <w:jc w:val="center"/>
    </w:pPr>
    <w:rPr>
      <w:rFonts w:eastAsia="Times New Roman"/>
      <w:b/>
      <w:lang w:eastAsia="en-GB"/>
    </w:rPr>
  </w:style>
  <w:style w:type="paragraph" w:customStyle="1" w:styleId="Statutprliminaire">
    <w:name w:val="Statut (préliminaire)"/>
    <w:basedOn w:val="Normal"/>
    <w:next w:val="Normal"/>
    <w:rsid w:val="00BC3EBC"/>
    <w:pPr>
      <w:spacing w:before="360" w:after="0"/>
      <w:jc w:val="center"/>
    </w:pPr>
    <w:rPr>
      <w:rFonts w:eastAsia="Times New Roman"/>
      <w:lang w:eastAsia="en-GB"/>
    </w:rPr>
  </w:style>
  <w:style w:type="paragraph" w:customStyle="1" w:styleId="Titreobjetprliminaire">
    <w:name w:val="Titre objet (préliminaire)"/>
    <w:basedOn w:val="Normal"/>
    <w:next w:val="Normal"/>
    <w:rsid w:val="00BC3EBC"/>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BC3EBC"/>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BC3EBC"/>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BC3EBC"/>
    <w:pPr>
      <w:jc w:val="center"/>
    </w:pPr>
    <w:rPr>
      <w:rFonts w:eastAsia="Times New Roman"/>
      <w:b/>
      <w:u w:val="single"/>
      <w:lang w:eastAsia="en-GB"/>
    </w:rPr>
  </w:style>
  <w:style w:type="paragraph" w:customStyle="1" w:styleId="Fichefinanciretravailtitre">
    <w:name w:val="Fiche financière (travail) titre"/>
    <w:basedOn w:val="Normal"/>
    <w:next w:val="Normal"/>
    <w:rsid w:val="00BC3EBC"/>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BC3EBC"/>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BC3EBC"/>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BC3EBC"/>
    <w:pPr>
      <w:jc w:val="center"/>
    </w:pPr>
    <w:rPr>
      <w:rFonts w:eastAsia="Times New Roman"/>
      <w:b/>
      <w:u w:val="single"/>
      <w:lang w:eastAsia="en-GB"/>
    </w:rPr>
  </w:style>
  <w:style w:type="character" w:styleId="PageNumber">
    <w:name w:val="page number"/>
    <w:rsid w:val="00BC3EBC"/>
  </w:style>
  <w:style w:type="character" w:customStyle="1" w:styleId="tw4winMark">
    <w:name w:val="tw4winMark"/>
    <w:rsid w:val="00BC3EBC"/>
    <w:rPr>
      <w:vanish/>
      <w:color w:val="800080"/>
      <w:vertAlign w:val="subscript"/>
    </w:rPr>
  </w:style>
  <w:style w:type="character" w:styleId="FollowedHyperlink">
    <w:name w:val="FollowedHyperlink"/>
    <w:rsid w:val="00BC3EBC"/>
    <w:rPr>
      <w:color w:val="800080"/>
      <w:u w:val="single"/>
    </w:rPr>
  </w:style>
  <w:style w:type="paragraph" w:customStyle="1" w:styleId="Sous-titreobjet">
    <w:name w:val="Sous-titre objet"/>
    <w:basedOn w:val="Normal"/>
    <w:rsid w:val="00BC3EBC"/>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BC3EBC"/>
  </w:style>
  <w:style w:type="paragraph" w:customStyle="1" w:styleId="FooterCoverPage">
    <w:name w:val="Footer Cover Page"/>
    <w:basedOn w:val="Normal"/>
    <w:link w:val="FooterCoverPageChar"/>
    <w:rsid w:val="00BC3EBC"/>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BC3EBC"/>
    <w:rPr>
      <w:rFonts w:ascii="Times New Roman" w:hAnsi="Times New Roman" w:cs="Times New Roman"/>
      <w:b/>
      <w:sz w:val="28"/>
      <w:lang w:val="hu-HU"/>
    </w:rPr>
  </w:style>
  <w:style w:type="character" w:customStyle="1" w:styleId="FooterCoverPageChar">
    <w:name w:val="Footer Cover Page Char"/>
    <w:link w:val="FooterCoverPage"/>
    <w:rsid w:val="00BC3EBC"/>
    <w:rPr>
      <w:rFonts w:ascii="Times New Roman" w:eastAsia="Calibri" w:hAnsi="Times New Roman" w:cs="Times New Roman"/>
      <w:sz w:val="24"/>
      <w:lang w:val="hu-HU" w:eastAsia="en-GB"/>
    </w:rPr>
  </w:style>
  <w:style w:type="paragraph" w:customStyle="1" w:styleId="HeaderCoverPage">
    <w:name w:val="Header Cover Page"/>
    <w:basedOn w:val="Normal"/>
    <w:link w:val="HeaderCoverPageChar"/>
    <w:rsid w:val="00BC3EBC"/>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BC3EBC"/>
    <w:rPr>
      <w:rFonts w:ascii="Times New Roman" w:eastAsia="Calibri" w:hAnsi="Times New Roman" w:cs="Times New Roman"/>
      <w:sz w:val="24"/>
      <w:lang w:val="hu-HU" w:eastAsia="en-GB"/>
    </w:rPr>
  </w:style>
  <w:style w:type="character" w:styleId="Strong">
    <w:name w:val="Strong"/>
    <w:basedOn w:val="DefaultParagraphFont"/>
    <w:uiPriority w:val="22"/>
    <w:qFormat/>
    <w:rsid w:val="007D7104"/>
    <w:rPr>
      <w:b/>
      <w:bCs/>
    </w:rPr>
  </w:style>
  <w:style w:type="paragraph" w:styleId="Header">
    <w:name w:val="header"/>
    <w:basedOn w:val="Normal"/>
    <w:link w:val="HeaderChar"/>
    <w:uiPriority w:val="99"/>
    <w:unhideWhenUsed/>
    <w:rsid w:val="00EF5D4F"/>
    <w:pPr>
      <w:tabs>
        <w:tab w:val="center" w:pos="4535"/>
        <w:tab w:val="right" w:pos="9071"/>
      </w:tabs>
      <w:spacing w:before="0"/>
    </w:pPr>
  </w:style>
  <w:style w:type="character" w:customStyle="1" w:styleId="HeaderChar">
    <w:name w:val="Header Char"/>
    <w:basedOn w:val="DefaultParagraphFont"/>
    <w:link w:val="Header"/>
    <w:uiPriority w:val="99"/>
    <w:rsid w:val="00EF5D4F"/>
    <w:rPr>
      <w:rFonts w:ascii="Times New Roman" w:hAnsi="Times New Roman" w:cs="Times New Roman"/>
      <w:sz w:val="24"/>
      <w:lang w:val="hu-HU"/>
    </w:rPr>
  </w:style>
  <w:style w:type="paragraph" w:styleId="Footer">
    <w:name w:val="footer"/>
    <w:basedOn w:val="Normal"/>
    <w:link w:val="FooterChar"/>
    <w:uiPriority w:val="99"/>
    <w:unhideWhenUsed/>
    <w:rsid w:val="00EF5D4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F5D4F"/>
    <w:rPr>
      <w:rFonts w:ascii="Times New Roman" w:hAnsi="Times New Roman" w:cs="Times New Roman"/>
      <w:sz w:val="24"/>
      <w:lang w:val="hu-HU"/>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EF5D4F"/>
    <w:pPr>
      <w:tabs>
        <w:tab w:val="center" w:pos="7285"/>
        <w:tab w:val="right" w:pos="14003"/>
      </w:tabs>
      <w:spacing w:before="0"/>
    </w:pPr>
  </w:style>
  <w:style w:type="paragraph" w:customStyle="1" w:styleId="FooterLandscape">
    <w:name w:val="FooterLandscape"/>
    <w:basedOn w:val="Normal"/>
    <w:rsid w:val="00EF5D4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EF5D4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F5D4F"/>
    <w:pPr>
      <w:spacing w:before="0"/>
      <w:jc w:val="right"/>
    </w:pPr>
    <w:rPr>
      <w:sz w:val="28"/>
    </w:rPr>
  </w:style>
  <w:style w:type="paragraph" w:customStyle="1" w:styleId="FooterSensitivity">
    <w:name w:val="Footer Sensitivity"/>
    <w:basedOn w:val="Normal"/>
    <w:rsid w:val="00EF5D4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4"/>
      </w:numPr>
    </w:pPr>
  </w:style>
  <w:style w:type="paragraph" w:customStyle="1" w:styleId="Tiret1">
    <w:name w:val="Tiret 1"/>
    <w:basedOn w:val="Point1"/>
    <w:rsid w:val="009B7138"/>
    <w:pPr>
      <w:numPr>
        <w:numId w:val="25"/>
      </w:numPr>
    </w:pPr>
  </w:style>
  <w:style w:type="paragraph" w:customStyle="1" w:styleId="Tiret2">
    <w:name w:val="Tiret 2"/>
    <w:basedOn w:val="Point2"/>
    <w:rsid w:val="009B7138"/>
    <w:pPr>
      <w:numPr>
        <w:numId w:val="26"/>
      </w:numPr>
    </w:pPr>
  </w:style>
  <w:style w:type="paragraph" w:customStyle="1" w:styleId="Tiret3">
    <w:name w:val="Tiret 3"/>
    <w:basedOn w:val="Point3"/>
    <w:rsid w:val="009B7138"/>
    <w:pPr>
      <w:numPr>
        <w:numId w:val="27"/>
      </w:numPr>
    </w:pPr>
  </w:style>
  <w:style w:type="paragraph" w:customStyle="1" w:styleId="Tiret4">
    <w:name w:val="Tiret 4"/>
    <w:basedOn w:val="Point4"/>
    <w:rsid w:val="009B7138"/>
    <w:pPr>
      <w:numPr>
        <w:numId w:val="2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5"/>
      </w:numPr>
    </w:pPr>
  </w:style>
  <w:style w:type="paragraph" w:customStyle="1" w:styleId="NumPar2">
    <w:name w:val="NumPar 2"/>
    <w:basedOn w:val="Normal"/>
    <w:next w:val="Text1"/>
    <w:rsid w:val="009B7138"/>
    <w:pPr>
      <w:numPr>
        <w:ilvl w:val="1"/>
        <w:numId w:val="45"/>
      </w:numPr>
    </w:pPr>
  </w:style>
  <w:style w:type="paragraph" w:customStyle="1" w:styleId="NumPar3">
    <w:name w:val="NumPar 3"/>
    <w:basedOn w:val="Normal"/>
    <w:next w:val="Text1"/>
    <w:rsid w:val="009B7138"/>
    <w:pPr>
      <w:numPr>
        <w:ilvl w:val="2"/>
        <w:numId w:val="45"/>
      </w:numPr>
    </w:pPr>
  </w:style>
  <w:style w:type="paragraph" w:customStyle="1" w:styleId="NumPar4">
    <w:name w:val="NumPar 4"/>
    <w:basedOn w:val="Normal"/>
    <w:next w:val="Text1"/>
    <w:rsid w:val="009B7138"/>
    <w:pPr>
      <w:numPr>
        <w:ilvl w:val="3"/>
        <w:numId w:val="4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B47A8A"/>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1"/>
      </w:numPr>
    </w:pPr>
  </w:style>
  <w:style w:type="paragraph" w:customStyle="1" w:styleId="Point1number">
    <w:name w:val="Point 1 (number)"/>
    <w:basedOn w:val="Normal"/>
    <w:rsid w:val="009B7138"/>
    <w:pPr>
      <w:numPr>
        <w:ilvl w:val="2"/>
        <w:numId w:val="31"/>
      </w:numPr>
    </w:pPr>
  </w:style>
  <w:style w:type="paragraph" w:customStyle="1" w:styleId="Point2number">
    <w:name w:val="Point 2 (number)"/>
    <w:basedOn w:val="Normal"/>
    <w:rsid w:val="009B7138"/>
    <w:pPr>
      <w:numPr>
        <w:ilvl w:val="4"/>
        <w:numId w:val="31"/>
      </w:numPr>
    </w:pPr>
  </w:style>
  <w:style w:type="paragraph" w:customStyle="1" w:styleId="Point3number">
    <w:name w:val="Point 3 (number)"/>
    <w:basedOn w:val="Normal"/>
    <w:rsid w:val="009B7138"/>
    <w:pPr>
      <w:numPr>
        <w:ilvl w:val="6"/>
        <w:numId w:val="31"/>
      </w:numPr>
    </w:pPr>
  </w:style>
  <w:style w:type="paragraph" w:customStyle="1" w:styleId="Point0letter">
    <w:name w:val="Point 0 (letter)"/>
    <w:basedOn w:val="Normal"/>
    <w:rsid w:val="009B7138"/>
    <w:pPr>
      <w:numPr>
        <w:ilvl w:val="1"/>
        <w:numId w:val="31"/>
      </w:numPr>
    </w:pPr>
  </w:style>
  <w:style w:type="paragraph" w:customStyle="1" w:styleId="Point1letter">
    <w:name w:val="Point 1 (letter)"/>
    <w:basedOn w:val="Normal"/>
    <w:rsid w:val="009B7138"/>
    <w:pPr>
      <w:numPr>
        <w:ilvl w:val="3"/>
        <w:numId w:val="31"/>
      </w:numPr>
    </w:pPr>
  </w:style>
  <w:style w:type="paragraph" w:customStyle="1" w:styleId="Point2letter">
    <w:name w:val="Point 2 (letter)"/>
    <w:basedOn w:val="Normal"/>
    <w:rsid w:val="009B7138"/>
    <w:pPr>
      <w:numPr>
        <w:ilvl w:val="5"/>
        <w:numId w:val="31"/>
      </w:numPr>
    </w:pPr>
  </w:style>
  <w:style w:type="paragraph" w:customStyle="1" w:styleId="Point3letter">
    <w:name w:val="Point 3 (letter)"/>
    <w:basedOn w:val="Normal"/>
    <w:rsid w:val="009B7138"/>
    <w:pPr>
      <w:numPr>
        <w:ilvl w:val="7"/>
        <w:numId w:val="31"/>
      </w:numPr>
    </w:pPr>
  </w:style>
  <w:style w:type="paragraph" w:customStyle="1" w:styleId="Point4letter">
    <w:name w:val="Point 4 (letter)"/>
    <w:basedOn w:val="Normal"/>
    <w:rsid w:val="009B7138"/>
    <w:pPr>
      <w:numPr>
        <w:ilvl w:val="8"/>
        <w:numId w:val="31"/>
      </w:numPr>
    </w:pPr>
  </w:style>
  <w:style w:type="paragraph" w:customStyle="1" w:styleId="Bullet0">
    <w:name w:val="Bullet 0"/>
    <w:basedOn w:val="Normal"/>
    <w:rsid w:val="009B7138"/>
    <w:pPr>
      <w:numPr>
        <w:numId w:val="32"/>
      </w:numPr>
    </w:pPr>
  </w:style>
  <w:style w:type="paragraph" w:customStyle="1" w:styleId="Bullet1">
    <w:name w:val="Bullet 1"/>
    <w:basedOn w:val="Normal"/>
    <w:rsid w:val="009B7138"/>
    <w:pPr>
      <w:numPr>
        <w:numId w:val="33"/>
      </w:numPr>
    </w:pPr>
  </w:style>
  <w:style w:type="paragraph" w:customStyle="1" w:styleId="Bullet2">
    <w:name w:val="Bullet 2"/>
    <w:basedOn w:val="Normal"/>
    <w:rsid w:val="009B7138"/>
    <w:pPr>
      <w:numPr>
        <w:numId w:val="34"/>
      </w:numPr>
    </w:pPr>
  </w:style>
  <w:style w:type="paragraph" w:customStyle="1" w:styleId="Bullet3">
    <w:name w:val="Bullet 3"/>
    <w:basedOn w:val="Normal"/>
    <w:rsid w:val="009B7138"/>
    <w:pPr>
      <w:numPr>
        <w:numId w:val="35"/>
      </w:numPr>
    </w:pPr>
  </w:style>
  <w:style w:type="paragraph" w:customStyle="1" w:styleId="Bullet4">
    <w:name w:val="Bullet 4"/>
    <w:basedOn w:val="Normal"/>
    <w:rsid w:val="009B7138"/>
    <w:pPr>
      <w:numPr>
        <w:numId w:val="3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B37CFD"/>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sid w:val="00B37CFD"/>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sid w:val="00B37CFD"/>
    <w:rPr>
      <w:rFonts w:ascii="Times New Roman" w:eastAsiaTheme="majorEastAsia" w:hAnsi="Times New Roman" w:cs="Times New Roman"/>
      <w:iCs/>
      <w:sz w:val="24"/>
      <w:lang w:val="hu-HU"/>
    </w:rPr>
  </w:style>
  <w:style w:type="paragraph" w:customStyle="1" w:styleId="ManualHeading5">
    <w:name w:val="Manual Heading 5"/>
    <w:basedOn w:val="Normal"/>
    <w:next w:val="Text2"/>
    <w:rsid w:val="00B37CFD"/>
    <w:pPr>
      <w:keepNext/>
      <w:tabs>
        <w:tab w:val="left" w:pos="1417"/>
      </w:tabs>
      <w:ind w:left="1417" w:hanging="1417"/>
      <w:outlineLvl w:val="4"/>
    </w:pPr>
  </w:style>
  <w:style w:type="paragraph" w:customStyle="1" w:styleId="ManualHeading6">
    <w:name w:val="Manual Heading 6"/>
    <w:basedOn w:val="Normal"/>
    <w:next w:val="Text2"/>
    <w:rsid w:val="00B37CFD"/>
    <w:pPr>
      <w:keepNext/>
      <w:tabs>
        <w:tab w:val="left" w:pos="1417"/>
      </w:tabs>
      <w:ind w:left="1417" w:hanging="1417"/>
      <w:outlineLvl w:val="5"/>
    </w:pPr>
  </w:style>
  <w:style w:type="paragraph" w:customStyle="1" w:styleId="ManualHeading7">
    <w:name w:val="Manual Heading 7"/>
    <w:basedOn w:val="Normal"/>
    <w:next w:val="Text2"/>
    <w:rsid w:val="00B37CFD"/>
    <w:pPr>
      <w:keepNext/>
      <w:tabs>
        <w:tab w:val="left" w:pos="1417"/>
      </w:tabs>
      <w:ind w:left="1417" w:hanging="1417"/>
      <w:outlineLvl w:val="6"/>
    </w:pPr>
  </w:style>
  <w:style w:type="paragraph" w:customStyle="1" w:styleId="Text5">
    <w:name w:val="Text 5"/>
    <w:basedOn w:val="Normal"/>
    <w:rsid w:val="00B37CFD"/>
    <w:pPr>
      <w:ind w:left="3118"/>
    </w:pPr>
  </w:style>
  <w:style w:type="paragraph" w:customStyle="1" w:styleId="Text6">
    <w:name w:val="Text 6"/>
    <w:basedOn w:val="Normal"/>
    <w:rsid w:val="00B37CFD"/>
    <w:pPr>
      <w:ind w:left="3685"/>
    </w:pPr>
  </w:style>
  <w:style w:type="paragraph" w:customStyle="1" w:styleId="Point5">
    <w:name w:val="Point 5"/>
    <w:basedOn w:val="Normal"/>
    <w:rsid w:val="00B37CFD"/>
    <w:pPr>
      <w:ind w:left="3685" w:hanging="567"/>
    </w:pPr>
  </w:style>
  <w:style w:type="paragraph" w:customStyle="1" w:styleId="Tiret5">
    <w:name w:val="Tiret 5"/>
    <w:basedOn w:val="Point5"/>
    <w:rsid w:val="00B37CFD"/>
    <w:pPr>
      <w:numPr>
        <w:numId w:val="42"/>
      </w:numPr>
    </w:pPr>
  </w:style>
  <w:style w:type="paragraph" w:customStyle="1" w:styleId="NumPar5">
    <w:name w:val="NumPar 5"/>
    <w:basedOn w:val="Normal"/>
    <w:next w:val="Text2"/>
    <w:rsid w:val="00B37CFD"/>
    <w:pPr>
      <w:numPr>
        <w:ilvl w:val="4"/>
        <w:numId w:val="45"/>
      </w:numPr>
    </w:pPr>
  </w:style>
  <w:style w:type="paragraph" w:customStyle="1" w:styleId="NumPar6">
    <w:name w:val="NumPar 6"/>
    <w:basedOn w:val="Normal"/>
    <w:next w:val="Text2"/>
    <w:rsid w:val="00B37CFD"/>
    <w:pPr>
      <w:numPr>
        <w:ilvl w:val="5"/>
        <w:numId w:val="45"/>
      </w:numPr>
    </w:pPr>
  </w:style>
  <w:style w:type="paragraph" w:customStyle="1" w:styleId="NumPar7">
    <w:name w:val="NumPar 7"/>
    <w:basedOn w:val="Normal"/>
    <w:next w:val="Text2"/>
    <w:rsid w:val="00B37CFD"/>
    <w:pPr>
      <w:numPr>
        <w:ilvl w:val="6"/>
        <w:numId w:val="45"/>
      </w:numPr>
    </w:pPr>
  </w:style>
  <w:style w:type="paragraph" w:customStyle="1" w:styleId="ManualNumPar5">
    <w:name w:val="Manual NumPar 5"/>
    <w:basedOn w:val="Normal"/>
    <w:next w:val="Text2"/>
    <w:rsid w:val="00B37CFD"/>
    <w:pPr>
      <w:ind w:left="1417" w:hanging="1417"/>
    </w:pPr>
  </w:style>
  <w:style w:type="paragraph" w:customStyle="1" w:styleId="ManualNumPar6">
    <w:name w:val="Manual NumPar 6"/>
    <w:basedOn w:val="Normal"/>
    <w:next w:val="Text2"/>
    <w:rsid w:val="00B37CFD"/>
    <w:pPr>
      <w:ind w:left="1417" w:hanging="1417"/>
    </w:pPr>
  </w:style>
  <w:style w:type="paragraph" w:customStyle="1" w:styleId="ManualNumPar7">
    <w:name w:val="Manual NumPar 7"/>
    <w:basedOn w:val="Normal"/>
    <w:next w:val="Text2"/>
    <w:rsid w:val="00B37CFD"/>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558">
      <w:bodyDiv w:val="1"/>
      <w:marLeft w:val="0"/>
      <w:marRight w:val="0"/>
      <w:marTop w:val="0"/>
      <w:marBottom w:val="0"/>
      <w:divBdr>
        <w:top w:val="none" w:sz="0" w:space="0" w:color="auto"/>
        <w:left w:val="none" w:sz="0" w:space="0" w:color="auto"/>
        <w:bottom w:val="none" w:sz="0" w:space="0" w:color="auto"/>
        <w:right w:val="none" w:sz="0" w:space="0" w:color="auto"/>
      </w:divBdr>
    </w:div>
    <w:div w:id="81071234">
      <w:bodyDiv w:val="1"/>
      <w:marLeft w:val="0"/>
      <w:marRight w:val="0"/>
      <w:marTop w:val="0"/>
      <w:marBottom w:val="0"/>
      <w:divBdr>
        <w:top w:val="none" w:sz="0" w:space="0" w:color="auto"/>
        <w:left w:val="none" w:sz="0" w:space="0" w:color="auto"/>
        <w:bottom w:val="none" w:sz="0" w:space="0" w:color="auto"/>
        <w:right w:val="none" w:sz="0" w:space="0" w:color="auto"/>
      </w:divBdr>
    </w:div>
    <w:div w:id="100804367">
      <w:bodyDiv w:val="1"/>
      <w:marLeft w:val="0"/>
      <w:marRight w:val="0"/>
      <w:marTop w:val="0"/>
      <w:marBottom w:val="0"/>
      <w:divBdr>
        <w:top w:val="none" w:sz="0" w:space="0" w:color="auto"/>
        <w:left w:val="none" w:sz="0" w:space="0" w:color="auto"/>
        <w:bottom w:val="none" w:sz="0" w:space="0" w:color="auto"/>
        <w:right w:val="none" w:sz="0" w:space="0" w:color="auto"/>
      </w:divBdr>
    </w:div>
    <w:div w:id="248268764">
      <w:bodyDiv w:val="1"/>
      <w:marLeft w:val="0"/>
      <w:marRight w:val="0"/>
      <w:marTop w:val="0"/>
      <w:marBottom w:val="0"/>
      <w:divBdr>
        <w:top w:val="none" w:sz="0" w:space="0" w:color="auto"/>
        <w:left w:val="none" w:sz="0" w:space="0" w:color="auto"/>
        <w:bottom w:val="none" w:sz="0" w:space="0" w:color="auto"/>
        <w:right w:val="none" w:sz="0" w:space="0" w:color="auto"/>
      </w:divBdr>
    </w:div>
    <w:div w:id="383722061">
      <w:bodyDiv w:val="1"/>
      <w:marLeft w:val="0"/>
      <w:marRight w:val="0"/>
      <w:marTop w:val="0"/>
      <w:marBottom w:val="0"/>
      <w:divBdr>
        <w:top w:val="none" w:sz="0" w:space="0" w:color="auto"/>
        <w:left w:val="none" w:sz="0" w:space="0" w:color="auto"/>
        <w:bottom w:val="none" w:sz="0" w:space="0" w:color="auto"/>
        <w:right w:val="none" w:sz="0" w:space="0" w:color="auto"/>
      </w:divBdr>
    </w:div>
    <w:div w:id="455102367">
      <w:bodyDiv w:val="1"/>
      <w:marLeft w:val="0"/>
      <w:marRight w:val="0"/>
      <w:marTop w:val="0"/>
      <w:marBottom w:val="0"/>
      <w:divBdr>
        <w:top w:val="none" w:sz="0" w:space="0" w:color="auto"/>
        <w:left w:val="none" w:sz="0" w:space="0" w:color="auto"/>
        <w:bottom w:val="none" w:sz="0" w:space="0" w:color="auto"/>
        <w:right w:val="none" w:sz="0" w:space="0" w:color="auto"/>
      </w:divBdr>
    </w:div>
    <w:div w:id="485898896">
      <w:bodyDiv w:val="1"/>
      <w:marLeft w:val="0"/>
      <w:marRight w:val="0"/>
      <w:marTop w:val="0"/>
      <w:marBottom w:val="0"/>
      <w:divBdr>
        <w:top w:val="none" w:sz="0" w:space="0" w:color="auto"/>
        <w:left w:val="none" w:sz="0" w:space="0" w:color="auto"/>
        <w:bottom w:val="none" w:sz="0" w:space="0" w:color="auto"/>
        <w:right w:val="none" w:sz="0" w:space="0" w:color="auto"/>
      </w:divBdr>
    </w:div>
    <w:div w:id="489055276">
      <w:bodyDiv w:val="1"/>
      <w:marLeft w:val="0"/>
      <w:marRight w:val="0"/>
      <w:marTop w:val="0"/>
      <w:marBottom w:val="0"/>
      <w:divBdr>
        <w:top w:val="none" w:sz="0" w:space="0" w:color="auto"/>
        <w:left w:val="none" w:sz="0" w:space="0" w:color="auto"/>
        <w:bottom w:val="none" w:sz="0" w:space="0" w:color="auto"/>
        <w:right w:val="none" w:sz="0" w:space="0" w:color="auto"/>
      </w:divBdr>
    </w:div>
    <w:div w:id="489061051">
      <w:bodyDiv w:val="1"/>
      <w:marLeft w:val="0"/>
      <w:marRight w:val="0"/>
      <w:marTop w:val="0"/>
      <w:marBottom w:val="0"/>
      <w:divBdr>
        <w:top w:val="none" w:sz="0" w:space="0" w:color="auto"/>
        <w:left w:val="none" w:sz="0" w:space="0" w:color="auto"/>
        <w:bottom w:val="none" w:sz="0" w:space="0" w:color="auto"/>
        <w:right w:val="none" w:sz="0" w:space="0" w:color="auto"/>
      </w:divBdr>
    </w:div>
    <w:div w:id="513690020">
      <w:bodyDiv w:val="1"/>
      <w:marLeft w:val="0"/>
      <w:marRight w:val="0"/>
      <w:marTop w:val="0"/>
      <w:marBottom w:val="0"/>
      <w:divBdr>
        <w:top w:val="none" w:sz="0" w:space="0" w:color="auto"/>
        <w:left w:val="none" w:sz="0" w:space="0" w:color="auto"/>
        <w:bottom w:val="none" w:sz="0" w:space="0" w:color="auto"/>
        <w:right w:val="none" w:sz="0" w:space="0" w:color="auto"/>
      </w:divBdr>
    </w:div>
    <w:div w:id="571039153">
      <w:bodyDiv w:val="1"/>
      <w:marLeft w:val="0"/>
      <w:marRight w:val="0"/>
      <w:marTop w:val="0"/>
      <w:marBottom w:val="0"/>
      <w:divBdr>
        <w:top w:val="none" w:sz="0" w:space="0" w:color="auto"/>
        <w:left w:val="none" w:sz="0" w:space="0" w:color="auto"/>
        <w:bottom w:val="none" w:sz="0" w:space="0" w:color="auto"/>
        <w:right w:val="none" w:sz="0" w:space="0" w:color="auto"/>
      </w:divBdr>
    </w:div>
    <w:div w:id="615332754">
      <w:bodyDiv w:val="1"/>
      <w:marLeft w:val="0"/>
      <w:marRight w:val="0"/>
      <w:marTop w:val="0"/>
      <w:marBottom w:val="0"/>
      <w:divBdr>
        <w:top w:val="none" w:sz="0" w:space="0" w:color="auto"/>
        <w:left w:val="none" w:sz="0" w:space="0" w:color="auto"/>
        <w:bottom w:val="none" w:sz="0" w:space="0" w:color="auto"/>
        <w:right w:val="none" w:sz="0" w:space="0" w:color="auto"/>
      </w:divBdr>
    </w:div>
    <w:div w:id="643894495">
      <w:bodyDiv w:val="1"/>
      <w:marLeft w:val="0"/>
      <w:marRight w:val="0"/>
      <w:marTop w:val="0"/>
      <w:marBottom w:val="0"/>
      <w:divBdr>
        <w:top w:val="none" w:sz="0" w:space="0" w:color="auto"/>
        <w:left w:val="none" w:sz="0" w:space="0" w:color="auto"/>
        <w:bottom w:val="none" w:sz="0" w:space="0" w:color="auto"/>
        <w:right w:val="none" w:sz="0" w:space="0" w:color="auto"/>
      </w:divBdr>
    </w:div>
    <w:div w:id="829105182">
      <w:bodyDiv w:val="1"/>
      <w:marLeft w:val="0"/>
      <w:marRight w:val="0"/>
      <w:marTop w:val="0"/>
      <w:marBottom w:val="0"/>
      <w:divBdr>
        <w:top w:val="none" w:sz="0" w:space="0" w:color="auto"/>
        <w:left w:val="none" w:sz="0" w:space="0" w:color="auto"/>
        <w:bottom w:val="none" w:sz="0" w:space="0" w:color="auto"/>
        <w:right w:val="none" w:sz="0" w:space="0" w:color="auto"/>
      </w:divBdr>
    </w:div>
    <w:div w:id="839737754">
      <w:bodyDiv w:val="1"/>
      <w:marLeft w:val="0"/>
      <w:marRight w:val="0"/>
      <w:marTop w:val="0"/>
      <w:marBottom w:val="0"/>
      <w:divBdr>
        <w:top w:val="none" w:sz="0" w:space="0" w:color="auto"/>
        <w:left w:val="none" w:sz="0" w:space="0" w:color="auto"/>
        <w:bottom w:val="none" w:sz="0" w:space="0" w:color="auto"/>
        <w:right w:val="none" w:sz="0" w:space="0" w:color="auto"/>
      </w:divBdr>
    </w:div>
    <w:div w:id="855657550">
      <w:bodyDiv w:val="1"/>
      <w:marLeft w:val="0"/>
      <w:marRight w:val="0"/>
      <w:marTop w:val="0"/>
      <w:marBottom w:val="0"/>
      <w:divBdr>
        <w:top w:val="none" w:sz="0" w:space="0" w:color="auto"/>
        <w:left w:val="none" w:sz="0" w:space="0" w:color="auto"/>
        <w:bottom w:val="none" w:sz="0" w:space="0" w:color="auto"/>
        <w:right w:val="none" w:sz="0" w:space="0" w:color="auto"/>
      </w:divBdr>
    </w:div>
    <w:div w:id="920023127">
      <w:bodyDiv w:val="1"/>
      <w:marLeft w:val="0"/>
      <w:marRight w:val="0"/>
      <w:marTop w:val="0"/>
      <w:marBottom w:val="0"/>
      <w:divBdr>
        <w:top w:val="none" w:sz="0" w:space="0" w:color="auto"/>
        <w:left w:val="none" w:sz="0" w:space="0" w:color="auto"/>
        <w:bottom w:val="none" w:sz="0" w:space="0" w:color="auto"/>
        <w:right w:val="none" w:sz="0" w:space="0" w:color="auto"/>
      </w:divBdr>
    </w:div>
    <w:div w:id="1038430631">
      <w:bodyDiv w:val="1"/>
      <w:marLeft w:val="0"/>
      <w:marRight w:val="0"/>
      <w:marTop w:val="0"/>
      <w:marBottom w:val="0"/>
      <w:divBdr>
        <w:top w:val="none" w:sz="0" w:space="0" w:color="auto"/>
        <w:left w:val="none" w:sz="0" w:space="0" w:color="auto"/>
        <w:bottom w:val="none" w:sz="0" w:space="0" w:color="auto"/>
        <w:right w:val="none" w:sz="0" w:space="0" w:color="auto"/>
      </w:divBdr>
    </w:div>
    <w:div w:id="1108543201">
      <w:bodyDiv w:val="1"/>
      <w:marLeft w:val="0"/>
      <w:marRight w:val="0"/>
      <w:marTop w:val="0"/>
      <w:marBottom w:val="0"/>
      <w:divBdr>
        <w:top w:val="none" w:sz="0" w:space="0" w:color="auto"/>
        <w:left w:val="none" w:sz="0" w:space="0" w:color="auto"/>
        <w:bottom w:val="none" w:sz="0" w:space="0" w:color="auto"/>
        <w:right w:val="none" w:sz="0" w:space="0" w:color="auto"/>
      </w:divBdr>
    </w:div>
    <w:div w:id="1170366949">
      <w:bodyDiv w:val="1"/>
      <w:marLeft w:val="0"/>
      <w:marRight w:val="0"/>
      <w:marTop w:val="0"/>
      <w:marBottom w:val="0"/>
      <w:divBdr>
        <w:top w:val="none" w:sz="0" w:space="0" w:color="auto"/>
        <w:left w:val="none" w:sz="0" w:space="0" w:color="auto"/>
        <w:bottom w:val="none" w:sz="0" w:space="0" w:color="auto"/>
        <w:right w:val="none" w:sz="0" w:space="0" w:color="auto"/>
      </w:divBdr>
    </w:div>
    <w:div w:id="1204438703">
      <w:bodyDiv w:val="1"/>
      <w:marLeft w:val="0"/>
      <w:marRight w:val="0"/>
      <w:marTop w:val="0"/>
      <w:marBottom w:val="0"/>
      <w:divBdr>
        <w:top w:val="none" w:sz="0" w:space="0" w:color="auto"/>
        <w:left w:val="none" w:sz="0" w:space="0" w:color="auto"/>
        <w:bottom w:val="none" w:sz="0" w:space="0" w:color="auto"/>
        <w:right w:val="none" w:sz="0" w:space="0" w:color="auto"/>
      </w:divBdr>
    </w:div>
    <w:div w:id="1236547573">
      <w:bodyDiv w:val="1"/>
      <w:marLeft w:val="0"/>
      <w:marRight w:val="0"/>
      <w:marTop w:val="0"/>
      <w:marBottom w:val="0"/>
      <w:divBdr>
        <w:top w:val="none" w:sz="0" w:space="0" w:color="auto"/>
        <w:left w:val="none" w:sz="0" w:space="0" w:color="auto"/>
        <w:bottom w:val="none" w:sz="0" w:space="0" w:color="auto"/>
        <w:right w:val="none" w:sz="0" w:space="0" w:color="auto"/>
      </w:divBdr>
    </w:div>
    <w:div w:id="1284382093">
      <w:bodyDiv w:val="1"/>
      <w:marLeft w:val="0"/>
      <w:marRight w:val="0"/>
      <w:marTop w:val="0"/>
      <w:marBottom w:val="0"/>
      <w:divBdr>
        <w:top w:val="none" w:sz="0" w:space="0" w:color="auto"/>
        <w:left w:val="none" w:sz="0" w:space="0" w:color="auto"/>
        <w:bottom w:val="none" w:sz="0" w:space="0" w:color="auto"/>
        <w:right w:val="none" w:sz="0" w:space="0" w:color="auto"/>
      </w:divBdr>
    </w:div>
    <w:div w:id="1366099494">
      <w:bodyDiv w:val="1"/>
      <w:marLeft w:val="0"/>
      <w:marRight w:val="0"/>
      <w:marTop w:val="0"/>
      <w:marBottom w:val="0"/>
      <w:divBdr>
        <w:top w:val="none" w:sz="0" w:space="0" w:color="auto"/>
        <w:left w:val="none" w:sz="0" w:space="0" w:color="auto"/>
        <w:bottom w:val="none" w:sz="0" w:space="0" w:color="auto"/>
        <w:right w:val="none" w:sz="0" w:space="0" w:color="auto"/>
      </w:divBdr>
    </w:div>
    <w:div w:id="1484272984">
      <w:bodyDiv w:val="1"/>
      <w:marLeft w:val="0"/>
      <w:marRight w:val="0"/>
      <w:marTop w:val="0"/>
      <w:marBottom w:val="0"/>
      <w:divBdr>
        <w:top w:val="none" w:sz="0" w:space="0" w:color="auto"/>
        <w:left w:val="none" w:sz="0" w:space="0" w:color="auto"/>
        <w:bottom w:val="none" w:sz="0" w:space="0" w:color="auto"/>
        <w:right w:val="none" w:sz="0" w:space="0" w:color="auto"/>
      </w:divBdr>
    </w:div>
    <w:div w:id="1530339055">
      <w:bodyDiv w:val="1"/>
      <w:marLeft w:val="0"/>
      <w:marRight w:val="0"/>
      <w:marTop w:val="0"/>
      <w:marBottom w:val="0"/>
      <w:divBdr>
        <w:top w:val="none" w:sz="0" w:space="0" w:color="auto"/>
        <w:left w:val="none" w:sz="0" w:space="0" w:color="auto"/>
        <w:bottom w:val="none" w:sz="0" w:space="0" w:color="auto"/>
        <w:right w:val="none" w:sz="0" w:space="0" w:color="auto"/>
      </w:divBdr>
    </w:div>
    <w:div w:id="1568417664">
      <w:bodyDiv w:val="1"/>
      <w:marLeft w:val="0"/>
      <w:marRight w:val="0"/>
      <w:marTop w:val="0"/>
      <w:marBottom w:val="0"/>
      <w:divBdr>
        <w:top w:val="none" w:sz="0" w:space="0" w:color="auto"/>
        <w:left w:val="none" w:sz="0" w:space="0" w:color="auto"/>
        <w:bottom w:val="none" w:sz="0" w:space="0" w:color="auto"/>
        <w:right w:val="none" w:sz="0" w:space="0" w:color="auto"/>
      </w:divBdr>
    </w:div>
    <w:div w:id="1683583134">
      <w:bodyDiv w:val="1"/>
      <w:marLeft w:val="0"/>
      <w:marRight w:val="0"/>
      <w:marTop w:val="0"/>
      <w:marBottom w:val="0"/>
      <w:divBdr>
        <w:top w:val="none" w:sz="0" w:space="0" w:color="auto"/>
        <w:left w:val="none" w:sz="0" w:space="0" w:color="auto"/>
        <w:bottom w:val="none" w:sz="0" w:space="0" w:color="auto"/>
        <w:right w:val="none" w:sz="0" w:space="0" w:color="auto"/>
      </w:divBdr>
    </w:div>
    <w:div w:id="1928996816">
      <w:bodyDiv w:val="1"/>
      <w:marLeft w:val="0"/>
      <w:marRight w:val="0"/>
      <w:marTop w:val="0"/>
      <w:marBottom w:val="0"/>
      <w:divBdr>
        <w:top w:val="none" w:sz="0" w:space="0" w:color="auto"/>
        <w:left w:val="none" w:sz="0" w:space="0" w:color="auto"/>
        <w:bottom w:val="none" w:sz="0" w:space="0" w:color="auto"/>
        <w:right w:val="none" w:sz="0" w:space="0" w:color="auto"/>
      </w:divBdr>
    </w:div>
    <w:div w:id="1929541511">
      <w:bodyDiv w:val="1"/>
      <w:marLeft w:val="0"/>
      <w:marRight w:val="0"/>
      <w:marTop w:val="0"/>
      <w:marBottom w:val="0"/>
      <w:divBdr>
        <w:top w:val="none" w:sz="0" w:space="0" w:color="auto"/>
        <w:left w:val="none" w:sz="0" w:space="0" w:color="auto"/>
        <w:bottom w:val="none" w:sz="0" w:space="0" w:color="auto"/>
        <w:right w:val="none" w:sz="0" w:space="0" w:color="auto"/>
      </w:divBdr>
    </w:div>
    <w:div w:id="1943874035">
      <w:bodyDiv w:val="1"/>
      <w:marLeft w:val="0"/>
      <w:marRight w:val="0"/>
      <w:marTop w:val="0"/>
      <w:marBottom w:val="0"/>
      <w:divBdr>
        <w:top w:val="none" w:sz="0" w:space="0" w:color="auto"/>
        <w:left w:val="none" w:sz="0" w:space="0" w:color="auto"/>
        <w:bottom w:val="none" w:sz="0" w:space="0" w:color="auto"/>
        <w:right w:val="none" w:sz="0" w:space="0" w:color="auto"/>
      </w:divBdr>
    </w:div>
    <w:div w:id="2014142543">
      <w:bodyDiv w:val="1"/>
      <w:marLeft w:val="0"/>
      <w:marRight w:val="0"/>
      <w:marTop w:val="0"/>
      <w:marBottom w:val="0"/>
      <w:divBdr>
        <w:top w:val="none" w:sz="0" w:space="0" w:color="auto"/>
        <w:left w:val="none" w:sz="0" w:space="0" w:color="auto"/>
        <w:bottom w:val="none" w:sz="0" w:space="0" w:color="auto"/>
        <w:right w:val="none" w:sz="0" w:space="0" w:color="auto"/>
      </w:divBdr>
    </w:div>
    <w:div w:id="20678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intracomm.ec.europa.eu/budgweb/EN/leg/internal/Documents/2016-5-legislative-financial-statement-ann-en.docx"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myintracomm.ec.europa.eu/budgweb/EN/man/budgmanag/Pages/budgmanag.aspx" TargetMode="External"/><Relationship Id="rId2" Type="http://schemas.openxmlformats.org/officeDocument/2006/relationships/hyperlink" Target="https://ec.europa.eu/info/law/better-regulation/have-your-say/initiatives/12870-European-Health-Emergency-Preparedness-and-Response-Authority-HERA-/public-consultation_hu" TargetMode="External"/><Relationship Id="rId1" Type="http://schemas.openxmlformats.org/officeDocument/2006/relationships/hyperlink" Target="https://ec.europa.eu/health/sites/health/files/antimicrobial_resistance/docs/amr_2017_action-pla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C979FCFF9A1646A489B55A91E07731" ma:contentTypeVersion="0" ma:contentTypeDescription="Create a new document." ma:contentTypeScope="" ma:versionID="17c4ca5f170444313d4aa05738ea4e53">
  <xsd:schema xmlns:xsd="http://www.w3.org/2001/XMLSchema" xmlns:xs="http://www.w3.org/2001/XMLSchema" xmlns:p="http://schemas.microsoft.com/office/2006/metadata/properties" targetNamespace="http://schemas.microsoft.com/office/2006/metadata/properties" ma:root="true" ma:fieldsID="e48191fb7b3fb89ae80cd9d64393ad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9DDC4CF-0AAA-4C4A-A4D6-D14FC7015E97}">
  <ds:schemaRefs>
    <ds:schemaRef ds:uri="http://schemas.microsoft.com/sharepoint/v3/contenttype/forms"/>
  </ds:schemaRefs>
</ds:datastoreItem>
</file>

<file path=customXml/itemProps2.xml><?xml version="1.0" encoding="utf-8"?>
<ds:datastoreItem xmlns:ds="http://schemas.openxmlformats.org/officeDocument/2006/customXml" ds:itemID="{95FD80FF-B057-4EC4-834E-59DCD612A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EB522A-CEB5-4C9D-90E9-38668D3A6998}">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6377731-23FE-423D-8D1D-665CAD13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48</Pages>
  <Words>11631</Words>
  <Characters>86653</Characters>
  <Application>Microsoft Office Word</Application>
  <DocSecurity>0</DocSecurity>
  <Lines>2795</Lines>
  <Paragraphs>1310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2021-10-28T13:31:00Z</dcterms:created>
  <dcterms:modified xsi:type="dcterms:W3CDTF">2021-11-05T07:38:00Z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ContentTypeId">
    <vt:lpwstr>0x0101008FC979FCFF9A1646A489B55A91E07731</vt:lpwstr>
  </property>
  <property fmtid="{D5CDD505-2E9C-101B-9397-08002B2CF9AE}" pid="6" name="IsMyDocuments">
    <vt:bool>true</vt:bool>
  </property>
  <property fmtid="{D5CDD505-2E9C-101B-9397-08002B2CF9AE}" pid="7" name="Part">
    <vt:lpwstr>1</vt:lpwstr>
  </property>
  <property fmtid="{D5CDD505-2E9C-101B-9397-08002B2CF9AE}" pid="8" name="Total parts">
    <vt:lpwstr>1</vt:lpwstr>
  </property>
  <property fmtid="{D5CDD505-2E9C-101B-9397-08002B2CF9AE}" pid="9" name="LWTemplateID">
    <vt:lpwstr>SJ-016</vt:lpwstr>
  </property>
  <property fmtid="{D5CDD505-2E9C-101B-9397-08002B2CF9AE}" pid="10" name="DQCStatus">
    <vt:lpwstr>Green (DQC version 03)</vt:lpwstr>
  </property>
</Properties>
</file>