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E87C780A-0F67-43FA-AEDB-C36E2F60731C" style="width:450.8pt;height:320.55pt">
            <v:imagedata r:id="rId8" o:title=""/>
          </v:shape>
        </w:pict>
      </w:r>
    </w:p>
    <w:bookmarkEnd w:id="0"/>
    <w:p>
      <w:pPr>
        <w:rPr>
          <w:noProof/>
          <w:lang w:val="en-GB"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noProof/>
          <w:sz w:val="24"/>
          <w:szCs w:val="24"/>
        </w:rPr>
        <w:lastRenderedPageBreak/>
        <w:t>2014 májusában az Európai Parlament és a Tanács elfogadott egy 300 millió EUR összegű makroszintű pénzügyi támogatási műveletet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footnoteReference w:id="1"/>
      </w:r>
      <w:r>
        <w:rPr>
          <w:rFonts w:ascii="Times New Roman" w:hAnsi="Times New Roman"/>
          <w:noProof/>
          <w:sz w:val="24"/>
          <w:szCs w:val="24"/>
        </w:rPr>
        <w:t xml:space="preserve"> (a továbbiakban: MFA-művelet) Tunézia fizetésimérleg-válságának kezeléséhez, amely a 2011-es jázminos forradalom és az azt követő politikai és gazdasági átmenet után tovább súlyosbodott. A művelethez tartozó összeget 2015 májusa és 2017 júliusa között teljes egészében, három részletben folyósították.</w:t>
      </w:r>
    </w:p>
    <w:p>
      <w:pPr>
        <w:pStyle w:val="Default"/>
        <w:jc w:val="both"/>
        <w:rPr>
          <w:noProof/>
          <w:color w:val="auto"/>
        </w:rPr>
      </w:pPr>
      <w:r>
        <w:rPr>
          <w:bCs/>
          <w:noProof/>
          <w:color w:val="auto"/>
        </w:rPr>
        <w:t xml:space="preserve">A Cambridge Econometrics-szel együttműködésben az ICF lett kijelölve külső vállalkozónak, hogy elvégezze a tunéziai MFA I utólagos értékelését, amelyen a csatolt bizottsági szolgálati munkadokumentum (SWD) alapul. </w:t>
      </w:r>
      <w:r>
        <w:rPr>
          <w:noProof/>
          <w:color w:val="auto"/>
        </w:rPr>
        <w:t>A külső értékelés célja az MFA-művelet relevanciájának, hatékonyságának, eredményességének, koherenciájának és uniós hozzáadott értékének értékelése volt. Emellett a program társadalmi hatását és Tunézia államadósságának fenntarthatóságára gyakorolt hatását is megvizsgálta. A szóban forgó értékelés különböző mennyiségi és minőségi kutatási technikák – többek között a legfontosabb érdekelt felekkel folytatott konzultációk – segítségével gyűjtött bizonyítékokra épül. Számos módszertani korlátot azonosítottak; ezek azonban az értékelő elemzés általános megbízhatóságát nem befolyásolják. Az azonosított kockázatokat és korlátokat számos forrás, különböző értékelési technikák, alternatív forgatókönyvek és többszörös visszajelzés alkalmazásával enyhítették.</w:t>
      </w:r>
    </w:p>
    <w:p>
      <w:pPr>
        <w:pStyle w:val="Default"/>
        <w:jc w:val="both"/>
        <w:rPr>
          <w:noProof/>
          <w:color w:val="auto"/>
        </w:rPr>
      </w:pPr>
    </w:p>
    <w:p>
      <w:pPr>
        <w:spacing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 külső értékelés és a bizottsági szolgálati munkadokumentum célja, hogy (1) tájékoztatást adjon az MFA-eszköz jövőbeli alkalmazásáról; és (2) a költségvetési rendelettel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footnoteReference w:id="2"/>
      </w:r>
      <w:r>
        <w:rPr>
          <w:rFonts w:ascii="Times New Roman" w:hAnsi="Times New Roman"/>
          <w:noProof/>
          <w:sz w:val="24"/>
          <w:szCs w:val="24"/>
        </w:rPr>
        <w:t xml:space="preserve"> és a Tunéziára vonatkozó MFA-határozattal összhangban biztosítsa az átláthatóságot és az elszámoltathatóságot.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Az értékelés megállapította, hogy az MFA I célkitűzései, pénzügyi keretösszege és strukturális feltételei szempontjából </w:t>
      </w:r>
      <w:r>
        <w:rPr>
          <w:rFonts w:ascii="Times New Roman" w:hAnsi="Times New Roman"/>
          <w:b/>
          <w:noProof/>
          <w:sz w:val="24"/>
          <w:szCs w:val="24"/>
        </w:rPr>
        <w:t>releváns</w:t>
      </w:r>
      <w:r>
        <w:rPr>
          <w:rFonts w:ascii="Times New Roman" w:hAnsi="Times New Roman"/>
          <w:noProof/>
          <w:sz w:val="24"/>
          <w:szCs w:val="24"/>
        </w:rPr>
        <w:t xml:space="preserve"> volt. Az MFA szakpolitikai feltételrendszere a legrelevánsabb tunéziai reformtörekvésekre terjedt ki, nevezetesen a következő területekre: adózás, államháztartási gazdálkodás, szociális biztonsági háló, pénzügyi szektor, állami statisztikai rendszer és kereskedelem. Bár az ország az összes elfogadott reformfeltételt sikeresen teljesítette, a szociális biztonsági háló és a kereskedelmi reformok terén felmerültek nehézségek. A külső értékelés arra a következtetésre jutott, hogy az érintett tunéziai intézmények nagyobb kapacitása megkönnyítette volna ezen intézkedések jobb megvalósítását, tekintettel azokra a kihívásokra, amelyekkel a még mindig fiatal tunéziai intézmények az instabil politikai környezetben szembesülnek az adminisztratív kapacitás és a felelősségvállalás terén. Ez a megállapítás azt is kiemelte, hogy a reformok megtervezésénél elérhető célokat kell kitűzni, figyelembe véve a törékeny intézményi környezetet és a széttagolt politikai szerkezetet, ami késleltetheti a reformprogram végrehajtását, amint az a 2015–2017-es időszakban is tapasztalható volt. Az, hogy az MFA I számos feltétele (az adózás, az államháztartási gazdálkodás, a szociális biztonsági háló és a pénzügyi szektor terén) később átkerült az MFA II-be is, hangsúlyozza az EU és a tunéziai kormány azon közös szándékát, hogy az erőfeszítéseket az ezeken a kritikus reformterületeken történő folyamatos előrelépésre összpontosítsa.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Az MFA I </w:t>
      </w:r>
      <w:r>
        <w:rPr>
          <w:rFonts w:ascii="Times New Roman" w:hAnsi="Times New Roman"/>
          <w:b/>
          <w:noProof/>
          <w:sz w:val="24"/>
          <w:szCs w:val="24"/>
        </w:rPr>
        <w:t>eredményesen</w:t>
      </w:r>
      <w:r>
        <w:rPr>
          <w:rFonts w:ascii="Times New Roman" w:hAnsi="Times New Roman"/>
          <w:noProof/>
          <w:sz w:val="24"/>
          <w:szCs w:val="24"/>
        </w:rPr>
        <w:t xml:space="preserve"> járult hozzá Tunézia fizetési mérlegének javításához, valamint a rendkívül kedvező pénzügyi és szakpolitikai feltételek révén támogatta a költségvetési konszolidációt. A makroszintű pénzügyi támogatás a 2015–2016-os időszakban fennmaradó finanszírozási hiány mintegy 11,3%-át fedezte, és (a piaci alapú finanszírozási költségek </w:t>
      </w:r>
      <w:r>
        <w:rPr>
          <w:rFonts w:ascii="Times New Roman" w:hAnsi="Times New Roman"/>
          <w:noProof/>
          <w:sz w:val="24"/>
          <w:szCs w:val="24"/>
        </w:rPr>
        <w:lastRenderedPageBreak/>
        <w:t>csökkentésével és a nemzeti valuta stabilizálásának segítésével) erősítette a tunéziai gazdaságba vetett bizalmat.</w:t>
      </w:r>
    </w:p>
    <w:p>
      <w:pPr>
        <w:spacing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Az MFA I </w:t>
      </w:r>
      <w:r>
        <w:rPr>
          <w:rFonts w:ascii="Times New Roman" w:hAnsi="Times New Roman"/>
          <w:b/>
          <w:noProof/>
          <w:sz w:val="24"/>
          <w:szCs w:val="24"/>
        </w:rPr>
        <w:t>hatékonyan</w:t>
      </w:r>
      <w:r>
        <w:rPr>
          <w:rFonts w:ascii="Times New Roman" w:hAnsi="Times New Roman"/>
          <w:noProof/>
          <w:sz w:val="24"/>
          <w:szCs w:val="24"/>
        </w:rPr>
        <w:t xml:space="preserve"> lett kialakítva és végrehajtva, és </w:t>
      </w:r>
      <w:r>
        <w:rPr>
          <w:rFonts w:ascii="Times New Roman" w:hAnsi="Times New Roman"/>
          <w:b/>
          <w:noProof/>
          <w:sz w:val="24"/>
          <w:szCs w:val="24"/>
        </w:rPr>
        <w:t>összhangban állt</w:t>
      </w:r>
      <w:r>
        <w:rPr>
          <w:rFonts w:ascii="Times New Roman" w:hAnsi="Times New Roman"/>
          <w:noProof/>
          <w:sz w:val="24"/>
          <w:szCs w:val="24"/>
        </w:rPr>
        <w:t xml:space="preserve"> az EU–Tunézia kapcsolatokra irányadó átfogó szakpolitikai kerettel. A más nemzetközi adományozóktól érkező beavatkozásokkal fennálló külső koherencia is erős. A makroszintű pénzügyi támogatás nem csak a Nemzetközi Valutaalappal (IMF) és más adományozókkal való „tehermegosztás” pénzügyi vonatkozásához járult hozzá, hanem – keresztfeltételek és kiegészítő feltételek alkalmazásával – az IMF és a Világbank által előmozdított reformokat is megerősítette. A keresztfeltételek csökkentésére irányuló eredeti szándék ellenére az értékelés megerősítette, hogy a kulcsfontosságú reformterületekre való összpontosítás sikeres volt, még akkor is, ha azok kezelésének már másutt is nekiláttak. Hasonló megfontolásokat szorgalmazunk a jövőbeli beavatkozások esetében is.</w:t>
      </w:r>
    </w:p>
    <w:p>
      <w:pPr>
        <w:pStyle w:val="Bullet1Space"/>
        <w:tabs>
          <w:tab w:val="clear" w:pos="283"/>
        </w:tabs>
        <w:ind w:left="0" w:firstLine="0"/>
        <w:jc w:val="both"/>
        <w:rPr>
          <w:rFonts w:ascii="Times New Roman" w:hAnsi="Times New Roman"/>
          <w:noProof/>
          <w:color w:val="auto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w:t xml:space="preserve">Az </w:t>
      </w:r>
      <w:r>
        <w:rPr>
          <w:rFonts w:ascii="Times New Roman" w:hAnsi="Times New Roman"/>
          <w:b/>
          <w:noProof/>
          <w:color w:val="auto"/>
          <w:sz w:val="24"/>
          <w:szCs w:val="24"/>
        </w:rPr>
        <w:t>uniós hozzáadott érték</w:t>
      </w:r>
      <w:r>
        <w:rPr>
          <w:rFonts w:ascii="Times New Roman" w:hAnsi="Times New Roman"/>
          <w:noProof/>
          <w:color w:val="auto"/>
          <w:sz w:val="24"/>
          <w:szCs w:val="24"/>
        </w:rPr>
        <w:t xml:space="preserve"> elsősorban a tunéziai gazdaságnak jelentett pénzügyi hasznot, mivel az MFA-hitelek rendkívül kedvezményes feltételei lehetővé teszik a költségvetési megtakarításokat és az elsődleges államháztartási hiány fokozatos kiigazítását. Egyes reformterületeken az MFA további biztatást jelentett azon reformok végrehajtásához, amelyeket az IMF (a pénzügyi szektor reformjai) és a Világbank (a szociális biztonsági háló reformjai) ösztönzött. Az MFA ezzel hozzájárult ahhoz, hogy a helyi hatóságok tartósan foglalkozzanak ezekkel a kérdésekkel. Emellett az MFA I volt az egyetlen olyan eszköz, amely előmozdította az egyszerűsített nyereségadó-bevallási rendszer bevezetését (átalányadózás).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hAnsi="Times New Roman"/>
          <w:noProof/>
          <w:sz w:val="24"/>
          <w:szCs w:val="24"/>
        </w:rPr>
        <w:t xml:space="preserve">A makroszintű pénzügyi támogatás </w:t>
      </w:r>
      <w:r>
        <w:rPr>
          <w:rFonts w:ascii="Times New Roman" w:hAnsi="Times New Roman"/>
          <w:b/>
          <w:noProof/>
          <w:sz w:val="24"/>
          <w:szCs w:val="24"/>
        </w:rPr>
        <w:t>szociális hatásáról</w:t>
      </w:r>
      <w:r>
        <w:rPr>
          <w:rFonts w:ascii="Times New Roman" w:hAnsi="Times New Roman"/>
          <w:noProof/>
          <w:sz w:val="24"/>
          <w:szCs w:val="24"/>
        </w:rPr>
        <w:t xml:space="preserve"> készített kontrafaktuális elemzés arra enged következtetni, hogy amennyiben a makroszintű pénzügyi támogatás nem valósul meg, az IMF-támogatás viszont folytatódik, a tunéziai szociális helyzetre gyakorolt közvetett hatások korlátozottak lettek volna. Az MFA nagyobb hatással járt </w:t>
      </w:r>
      <w:r>
        <w:rPr>
          <w:rFonts w:ascii="Times New Roman" w:hAnsi="Times New Roman"/>
          <w:i/>
          <w:noProof/>
          <w:sz w:val="24"/>
          <w:szCs w:val="24"/>
        </w:rPr>
        <w:t>közvetlen csatornákon</w:t>
      </w:r>
      <w:r>
        <w:rPr>
          <w:rFonts w:ascii="Times New Roman" w:hAnsi="Times New Roman"/>
          <w:noProof/>
          <w:sz w:val="24"/>
          <w:szCs w:val="24"/>
        </w:rPr>
        <w:t>, nevezetesen az egyetértési megállapodásban foglalt, a szociális biztonsági háló reformjára vonatkozó feltételeken keresztül.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Végezetül az értékelés megállapította, hogy az MFA I pozitív hatást gyakorolt </w:t>
      </w:r>
      <w:r>
        <w:rPr>
          <w:rFonts w:ascii="Times New Roman" w:hAnsi="Times New Roman"/>
          <w:b/>
          <w:noProof/>
          <w:sz w:val="24"/>
          <w:szCs w:val="24"/>
        </w:rPr>
        <w:t>Tunézia államadósságának fenntarthatóságára</w:t>
      </w:r>
      <w:r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A művelet – rendkívül kedvező pénzügyi feltételeiből adódóan – költségvetési megtakarításokat tett lehetővé, és hozzájárult Tunézia kiigazítási pályájához azáltal, hogy költségvetési mozgásteret teremtett más reformokhoz és a szociális kiadások fenntartásához. Viszonylag korlátozott mérete miatt mindazonáltal nem valószínű, hogy az MFA I hiánya jelentősen befolyásolta volna a tunéziai államadósság fenntarthatóságát.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Összefoglalva, a 2011-es jázminos forradalom és az azt követő politikai átmenet után az MFA I fontos szerepet játszott Tunézia gazdasági helyreállításának támogatásában, költségvetési megtakarításokat és pénzügyi hasznot eredményezett, valamint fokozta a magánszektor bizalmát. Az MFA feltételrendszercsomagja teljes mértékben összhangban állt a vonatkozó IMF-programmal, és politikailag erősítő hatást hozott létre, amely hozzájárult ahhoz, hogy a helyi hatóságok foglalkozzanak a kulcsfontosságú reformokkal még azokon a területeken is, amelyekre más nemzetközi adományozói programok nem terjedtek ki. Az e jelentés alapjául szolgáló bizottsági szolgálati munkadokumentum részletesen és átfogóan értékeli az MFA-beavatkozást.</w:t>
      </w:r>
    </w:p>
    <w:sectPr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HU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HU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2689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Az Európai Parlament és a Tanács 534/2014/EU határozata (2014. május 15.) a Tunéziai Köztársaságnak nyújtandó makroszintű pénzügyi támogatásról. A következő címen érhető el: </w:t>
      </w:r>
      <w:hyperlink r:id="rId1" w:history="1">
        <w:r>
          <w:rPr>
            <w:rStyle w:val="Hyperlink"/>
            <w:rFonts w:ascii="Times New Roman" w:hAnsi="Times New Roman"/>
            <w:color w:val="auto"/>
          </w:rPr>
          <w:t>https://eur-lex.europa.eu/legal-content/HU/ALL/?uri=CELEX:32014D0534</w:t>
        </w:r>
      </w:hyperlink>
    </w:p>
  </w:footnote>
  <w:footnote w:id="2">
    <w:p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2" w:history="1">
        <w:r>
          <w:rPr>
            <w:rStyle w:val="Hyperlink"/>
            <w:rFonts w:ascii="Times New Roman" w:hAnsi="Times New Roman"/>
            <w:color w:val="auto"/>
          </w:rPr>
          <w:t>https://eur-lex.europa.eu/legal-content/HU/ALL/?uri=CELEX:32018R1046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E87C780A-0F67-43FA-AEDB-C36E2F60731C"/>
    <w:docVar w:name="LW_COVERPAGE_TYPE" w:val="1"/>
    <w:docVar w:name="LW_CROSSREFERENCE" w:val="{SWD(2021) 8 final}"/>
    <w:docVar w:name="LW_DocType" w:val="NORMAL"/>
    <w:docVar w:name="LW_EMISSION" w:val="2021.1.29."/>
    <w:docVar w:name="LW_EMISSION_ISODATE" w:val="2021-01-29"/>
    <w:docVar w:name="LW_EMISSION_LOCATION" w:val="BRX"/>
    <w:docVar w:name="LW_EMISSION_PREFIX" w:val="Brüsszel, "/>
    <w:docVar w:name="LW_EMISSION_SUFFIX" w:val=" "/>
    <w:docVar w:name="LW_ID_DOCTYPE_NONLW" w:val="CP-006"/>
    <w:docVar w:name="LW_LANGUE" w:val="HU"/>
    <w:docVar w:name="LW_LEVEL_OF_SENSITIVITY" w:val="Standard treatment"/>
    <w:docVar w:name="LW_NOM.INST" w:val="EURÓPAI BIZOTTSÁG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1) 3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&lt;FMT:Bold&gt;A Tunéziai Köztársaságnak nyújtandó makroszint\u369? pénzügyi támogatásról szóló, 2014. május 15-i 534/2014/EU európai parlamenti és tanácsi határozat értékelése&lt;/FMT&gt;"/>
    <w:docVar w:name="LW_TYPE.DOC.CP" w:val="A BIZOTTSÁG JELENTÉSE AZ EURÓPAI PARLAMENTNEK ÉS A TANÁCSNAK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n,Footnotes,Footnote ak,Footnote text,Footnote Text Char Char Char Char,Footnote Text Char Char,Footnote Text Char Char Char Char Char,Footnote Text Char Char Char,Char,o"/>
    <w:basedOn w:val="Normal"/>
    <w:link w:val="FootnoteTextChar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Footnote text Char,Footnote Text Char Char Char Char Char1,Footnote Text Char Char Char1,Char Char,o Char"/>
    <w:basedOn w:val="DefaultParagraphFont"/>
    <w:link w:val="FootnoteText"/>
    <w:rPr>
      <w:sz w:val="20"/>
      <w:szCs w:val="20"/>
      <w:lang w:val="hu-HU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hu-HU"/>
    </w:rPr>
  </w:style>
  <w:style w:type="paragraph" w:styleId="BodyText">
    <w:name w:val="Body Text"/>
    <w:aliases w:val="Document,Doc,Body Text2,doc,Standard paragraph,BodyText,(Norm),Body Text 12,bt,gl,uvlaka 2,heading3,Body Text - Level 2,1body,BodText,body text,Body Txt,Body Text-10,Body Text Char2,Text Char1,Text,Τίτλος Μελέτης,- TF,b,F4 Main Text,-"/>
    <w:basedOn w:val="Normal"/>
    <w:link w:val="BodyTextChar"/>
    <w:uiPriority w:val="1"/>
    <w:qFormat/>
    <w:pPr>
      <w:spacing w:before="120" w:after="120" w:line="260" w:lineRule="atLeast"/>
      <w:ind w:left="851"/>
    </w:pPr>
    <w:rPr>
      <w:rFonts w:ascii="Arial" w:hAnsi="Arial" w:cs="Times New Roman"/>
      <w:szCs w:val="24"/>
    </w:rPr>
  </w:style>
  <w:style w:type="character" w:customStyle="1" w:styleId="BodyTextChar">
    <w:name w:val="Body Text Char"/>
    <w:aliases w:val="Document Char,Doc Char,Body Text2 Char,doc Char,Standard paragraph Char,BodyText Char,(Norm) Char,Body Text 12 Char,bt Char,gl Char,uvlaka 2 Char,heading3 Char,Body Text - Level 2 Char,1body Char,BodText Char,body text Char,Body Txt Char"/>
    <w:basedOn w:val="DefaultParagraphFont"/>
    <w:link w:val="BodyText"/>
    <w:uiPriority w:val="1"/>
    <w:rPr>
      <w:rFonts w:ascii="Arial" w:hAnsi="Arial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sz w:val="20"/>
      <w:szCs w:val="20"/>
      <w:lang w:val="hu-HU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hu-H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hu-HU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DefaultText">
    <w:name w:val="Default Text"/>
    <w:basedOn w:val="Normal"/>
    <w:link w:val="DefaultTextChar"/>
    <w:qFormat/>
    <w:pPr>
      <w:spacing w:after="0" w:line="280" w:lineRule="atLeast"/>
    </w:pPr>
    <w:rPr>
      <w:rFonts w:ascii="Arial" w:eastAsia="Times New Roman" w:hAnsi="Arial" w:cs="Times New Roman"/>
      <w:sz w:val="18"/>
      <w:szCs w:val="24"/>
      <w:lang w:eastAsia="nl-NL"/>
    </w:rPr>
  </w:style>
  <w:style w:type="character" w:customStyle="1" w:styleId="DefaultTextChar">
    <w:name w:val="Default Text Char"/>
    <w:basedOn w:val="DefaultParagraphFont"/>
    <w:link w:val="DefaultText"/>
    <w:rPr>
      <w:rFonts w:ascii="Arial" w:eastAsia="Times New Roman" w:hAnsi="Arial" w:cs="Times New Roman"/>
      <w:sz w:val="18"/>
      <w:szCs w:val="24"/>
      <w:lang w:eastAsia="nl-NL"/>
    </w:rPr>
  </w:style>
  <w:style w:type="paragraph" w:customStyle="1" w:styleId="Bullet1Space">
    <w:name w:val="Bullet 1 Space"/>
    <w:aliases w:val="Bullet1Last,BTBullet1Last"/>
    <w:basedOn w:val="Normal"/>
    <w:link w:val="BTBullet1LastChar"/>
    <w:uiPriority w:val="6"/>
    <w:qFormat/>
    <w:pPr>
      <w:tabs>
        <w:tab w:val="num" w:pos="283"/>
      </w:tabs>
      <w:spacing w:before="120" w:after="120" w:line="240" w:lineRule="auto"/>
      <w:ind w:left="283" w:hanging="283"/>
    </w:pPr>
    <w:rPr>
      <w:rFonts w:ascii="Verdana" w:hAnsi="Verdana"/>
      <w:color w:val="000000" w:themeColor="text1"/>
      <w:sz w:val="20"/>
    </w:rPr>
  </w:style>
  <w:style w:type="character" w:customStyle="1" w:styleId="BTBullet1LastChar">
    <w:name w:val="BTBullet1Last Char"/>
    <w:link w:val="Bullet1Space"/>
    <w:uiPriority w:val="6"/>
    <w:locked/>
    <w:rPr>
      <w:rFonts w:ascii="Verdana" w:hAnsi="Verdana"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SecurityMarking">
    <w:name w:val="SecurityMarking"/>
    <w:basedOn w:val="Normal"/>
    <w:pPr>
      <w:spacing w:after="0"/>
      <w:ind w:left="5103"/>
    </w:pPr>
    <w:rPr>
      <w:rFonts w:ascii="Times New Roman" w:hAnsi="Times New Roman" w:cs="Times New Roman"/>
      <w:sz w:val="28"/>
    </w:rPr>
  </w:style>
  <w:style w:type="paragraph" w:customStyle="1" w:styleId="DateMarking">
    <w:name w:val="DateMarking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ReleasableTo">
    <w:name w:val="ReleasableTo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  <w:style w:type="character" w:styleId="FootnoteReference">
    <w:name w:val="footnote reference"/>
    <w:basedOn w:val="DefaultParagraphFont"/>
    <w:semiHidden/>
    <w:unhideWhenUsed/>
    <w:qFormat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n,Footnotes,Footnote ak,Footnote text,Footnote Text Char Char Char Char,Footnote Text Char Char,Footnote Text Char Char Char Char Char,Footnote Text Char Char Char,Char,o"/>
    <w:basedOn w:val="Normal"/>
    <w:link w:val="FootnoteTextChar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Footnote text Char,Footnote Text Char Char Char Char Char1,Footnote Text Char Char Char1,Char Char,o Char"/>
    <w:basedOn w:val="DefaultParagraphFont"/>
    <w:link w:val="FootnoteText"/>
    <w:rPr>
      <w:sz w:val="20"/>
      <w:szCs w:val="20"/>
      <w:lang w:val="hu-HU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hu-HU"/>
    </w:rPr>
  </w:style>
  <w:style w:type="paragraph" w:styleId="BodyText">
    <w:name w:val="Body Text"/>
    <w:aliases w:val="Document,Doc,Body Text2,doc,Standard paragraph,BodyText,(Norm),Body Text 12,bt,gl,uvlaka 2,heading3,Body Text - Level 2,1body,BodText,body text,Body Txt,Body Text-10,Body Text Char2,Text Char1,Text,Τίτλος Μελέτης,- TF,b,F4 Main Text,-"/>
    <w:basedOn w:val="Normal"/>
    <w:link w:val="BodyTextChar"/>
    <w:uiPriority w:val="1"/>
    <w:qFormat/>
    <w:pPr>
      <w:spacing w:before="120" w:after="120" w:line="260" w:lineRule="atLeast"/>
      <w:ind w:left="851"/>
    </w:pPr>
    <w:rPr>
      <w:rFonts w:ascii="Arial" w:hAnsi="Arial" w:cs="Times New Roman"/>
      <w:szCs w:val="24"/>
    </w:rPr>
  </w:style>
  <w:style w:type="character" w:customStyle="1" w:styleId="BodyTextChar">
    <w:name w:val="Body Text Char"/>
    <w:aliases w:val="Document Char,Doc Char,Body Text2 Char,doc Char,Standard paragraph Char,BodyText Char,(Norm) Char,Body Text 12 Char,bt Char,gl Char,uvlaka 2 Char,heading3 Char,Body Text - Level 2 Char,1body Char,BodText Char,body text Char,Body Txt Char"/>
    <w:basedOn w:val="DefaultParagraphFont"/>
    <w:link w:val="BodyText"/>
    <w:uiPriority w:val="1"/>
    <w:rPr>
      <w:rFonts w:ascii="Arial" w:hAnsi="Arial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sz w:val="20"/>
      <w:szCs w:val="20"/>
      <w:lang w:val="hu-HU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hu-H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hu-HU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DefaultText">
    <w:name w:val="Default Text"/>
    <w:basedOn w:val="Normal"/>
    <w:link w:val="DefaultTextChar"/>
    <w:qFormat/>
    <w:pPr>
      <w:spacing w:after="0" w:line="280" w:lineRule="atLeast"/>
    </w:pPr>
    <w:rPr>
      <w:rFonts w:ascii="Arial" w:eastAsia="Times New Roman" w:hAnsi="Arial" w:cs="Times New Roman"/>
      <w:sz w:val="18"/>
      <w:szCs w:val="24"/>
      <w:lang w:eastAsia="nl-NL"/>
    </w:rPr>
  </w:style>
  <w:style w:type="character" w:customStyle="1" w:styleId="DefaultTextChar">
    <w:name w:val="Default Text Char"/>
    <w:basedOn w:val="DefaultParagraphFont"/>
    <w:link w:val="DefaultText"/>
    <w:rPr>
      <w:rFonts w:ascii="Arial" w:eastAsia="Times New Roman" w:hAnsi="Arial" w:cs="Times New Roman"/>
      <w:sz w:val="18"/>
      <w:szCs w:val="24"/>
      <w:lang w:eastAsia="nl-NL"/>
    </w:rPr>
  </w:style>
  <w:style w:type="paragraph" w:customStyle="1" w:styleId="Bullet1Space">
    <w:name w:val="Bullet 1 Space"/>
    <w:aliases w:val="Bullet1Last,BTBullet1Last"/>
    <w:basedOn w:val="Normal"/>
    <w:link w:val="BTBullet1LastChar"/>
    <w:uiPriority w:val="6"/>
    <w:qFormat/>
    <w:pPr>
      <w:tabs>
        <w:tab w:val="num" w:pos="283"/>
      </w:tabs>
      <w:spacing w:before="120" w:after="120" w:line="240" w:lineRule="auto"/>
      <w:ind w:left="283" w:hanging="283"/>
    </w:pPr>
    <w:rPr>
      <w:rFonts w:ascii="Verdana" w:hAnsi="Verdana"/>
      <w:color w:val="000000" w:themeColor="text1"/>
      <w:sz w:val="20"/>
    </w:rPr>
  </w:style>
  <w:style w:type="character" w:customStyle="1" w:styleId="BTBullet1LastChar">
    <w:name w:val="BTBullet1Last Char"/>
    <w:link w:val="Bullet1Space"/>
    <w:uiPriority w:val="6"/>
    <w:locked/>
    <w:rPr>
      <w:rFonts w:ascii="Verdana" w:hAnsi="Verdana"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SecurityMarking">
    <w:name w:val="SecurityMarking"/>
    <w:basedOn w:val="Normal"/>
    <w:pPr>
      <w:spacing w:after="0"/>
      <w:ind w:left="5103"/>
    </w:pPr>
    <w:rPr>
      <w:rFonts w:ascii="Times New Roman" w:hAnsi="Times New Roman" w:cs="Times New Roman"/>
      <w:sz w:val="28"/>
    </w:rPr>
  </w:style>
  <w:style w:type="paragraph" w:customStyle="1" w:styleId="DateMarking">
    <w:name w:val="DateMarking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ReleasableTo">
    <w:name w:val="ReleasableTo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  <w:style w:type="character" w:styleId="FootnoteReference">
    <w:name w:val="footnote reference"/>
    <w:basedOn w:val="DefaultParagraphFont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notes.xml.rels><?xml version='1.0' encoding='UTF-8' standalone='yes'?>
<Relationships xmlns="http://schemas.openxmlformats.org/package/2006/relationships"><Relationship Id="rId2" Type="http://schemas.openxmlformats.org/officeDocument/2006/relationships/hyperlink" Target="https://eur-lex.europa.eu/legal-content/HU/ALL/?uri=CELEX:32018R1046" TargetMode="External"/><Relationship Id="rId1" Type="http://schemas.openxmlformats.org/officeDocument/2006/relationships/hyperlink" Target="https://eur-lex.europa.eu/legal-content/HU/ALL/?uri=CELEX:32014D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3B857A4-5EEC-4E8A-BFBB-48D01138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837</Words>
  <Characters>6167</Characters>
  <Application>Microsoft Office Word</Application>
  <DocSecurity>0</DocSecurity>
  <Lines>88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17</cp:revision>
  <dcterms:created xsi:type="dcterms:W3CDTF">2021-01-21T09:46:00Z</dcterms:created>
  <dcterms:modified xsi:type="dcterms:W3CDTF">2021-01-26T06:35:00Z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CP-006</vt:lpwstr>
  </property>
  <property fmtid="{D5CDD505-2E9C-101B-9397-08002B2CF9AE}" pid="7" name="Last edited using">
    <vt:lpwstr>LW 7.0.1, Build 20190916</vt:lpwstr>
  </property>
  <property fmtid="{D5CDD505-2E9C-101B-9397-08002B2CF9AE}" pid="8" name="Created using">
    <vt:lpwstr>LW 6.0.1, Build 20180503</vt:lpwstr>
  </property>
  <property name="OP_sanitized" fmtid="{D5CDD505-2E9C-101B-9397-08002B2CF9AE}" pid="9">
    <vt:lpwstr>True</vt:lpwstr>
  </property>
</Properties>
</file>