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6C85DC1-98B2-4E44-8CEA-46A74F23F5AD" style="width:451.35pt;height:393.3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INDOKOLÁS</w:t>
      </w:r>
    </w:p>
    <w:p>
      <w:pPr>
        <w:pStyle w:val="ManualHeading1"/>
        <w:rPr>
          <w:noProof/>
        </w:rPr>
      </w:pPr>
      <w:bookmarkStart w:id="1" w:name="_Toc484762486"/>
      <w:r>
        <w:rPr>
          <w:noProof/>
        </w:rPr>
        <w:t>1.</w:t>
      </w:r>
      <w:r>
        <w:rPr>
          <w:noProof/>
        </w:rPr>
        <w:tab/>
        <w:t>A javaslat háttere</w:t>
      </w:r>
      <w:bookmarkEnd w:id="1"/>
    </w:p>
    <w:p>
      <w:pPr>
        <w:rPr>
          <w:noProof/>
        </w:rPr>
      </w:pPr>
      <w:r>
        <w:rPr>
          <w:noProof/>
        </w:rPr>
        <w:t>E határozat tárgya az Európai Unió Szolidaritási Alapjának (a továbbiakban: az EUSZA) a 2012/2002/EK tanácsi rendelet</w:t>
      </w:r>
      <w:r>
        <w:rPr>
          <w:rStyle w:val="FootnoteReference"/>
          <w:noProof/>
        </w:rPr>
        <w:footnoteReference w:id="1"/>
      </w:r>
      <w:r>
        <w:rPr>
          <w:noProof/>
        </w:rPr>
        <w:t xml:space="preserve"> (a továbbiakban: a rendelet) szerinti igénybevétele 823 548 633 EUR összegben, mely a Horvátországnak és Lengyelországnak a 2020-ban ott bekövetkezett természeti katasztrófákkal, valamint a hét tagországnak (Horvátországnak, Németországnak, Görögországnak, Magyarországnak, Írországnak, Portugáliának és Spanyolországnak) a Covid19-világjárvány által 2020 elején okozott jelentős népegészségügyi szükséghelyzettel kapcsolatban történő támogatásnyújtást szolgálja. A javaslatot kísérő 9/2020. számú költségvetés-módosítási tervezetben</w:t>
      </w:r>
      <w:r>
        <w:rPr>
          <w:rStyle w:val="FootnoteReference"/>
          <w:noProof/>
        </w:rPr>
        <w:footnoteReference w:id="2"/>
      </w:r>
      <w:r>
        <w:rPr>
          <w:noProof/>
        </w:rPr>
        <w:t xml:space="preserve"> a Bizottság javasolja a szükséges kötelezettségvállalási és kifizetési előirányzatok beállítását a 2020. évi általános költségvetésbe.</w:t>
      </w:r>
    </w:p>
    <w:p>
      <w:pPr>
        <w:pStyle w:val="ManualHeading1"/>
        <w:rPr>
          <w:noProof/>
        </w:rPr>
      </w:pPr>
      <w:bookmarkStart w:id="2" w:name="_Toc484762487"/>
      <w:r>
        <w:rPr>
          <w:noProof/>
        </w:rPr>
        <w:t>2.</w:t>
      </w:r>
      <w:r>
        <w:rPr>
          <w:noProof/>
        </w:rPr>
        <w:tab/>
        <w:t>Információk és feltételek</w:t>
      </w:r>
      <w:bookmarkEnd w:id="2"/>
    </w:p>
    <w:p>
      <w:pPr>
        <w:pStyle w:val="ManualHeading2"/>
        <w:spacing w:before="240"/>
        <w:ind w:left="851" w:hanging="851"/>
        <w:rPr>
          <w:noProof/>
        </w:rPr>
      </w:pPr>
      <w:r>
        <w:rPr>
          <w:noProof/>
        </w:rPr>
        <w:t>2.1.</w:t>
      </w:r>
      <w:r>
        <w:rPr>
          <w:noProof/>
        </w:rPr>
        <w:tab/>
        <w:t>Horvátország – a Zágráb városát, valamint a Zágráb és a Krapina-Zagorje megyét sújtó, 2020. márciusi földrengés</w:t>
      </w:r>
    </w:p>
    <w:p>
      <w:pPr>
        <w:pStyle w:val="Point0"/>
        <w:rPr>
          <w:noProof/>
        </w:rPr>
      </w:pPr>
      <w:r>
        <w:t>(1)</w:t>
      </w:r>
      <w:r>
        <w:tab/>
      </w:r>
      <w:r>
        <w:rPr>
          <w:noProof/>
        </w:rPr>
        <w:t>2020. június 10-én a Horvát Köztársaság (a továbbiakban: Horvátország) az EUSZA-ból származó hozzájárulás iránti kérelmet nyújtott be a Zágráb városát, valamint a Zágráb és a Krapina-Zagorje megyét sújtó 2020. március 22-i földrengést követő szükségintézkedések és helyreállítási intézkedések finanszírozására.</w:t>
      </w:r>
    </w:p>
    <w:p>
      <w:pPr>
        <w:pStyle w:val="Point0"/>
        <w:rPr>
          <w:noProof/>
        </w:rPr>
      </w:pPr>
      <w:r>
        <w:t>(2)</w:t>
      </w:r>
      <w:r>
        <w:tab/>
      </w:r>
      <w:r>
        <w:rPr>
          <w:noProof/>
        </w:rPr>
        <w:t>A kérelmet a katasztrófa által okozott első káreseményt követő tizenkét héten belül nyújtották be, és a kérelem a rendelet 4. cikkében előírt valamennyi információt tartalmazza.</w:t>
      </w:r>
    </w:p>
    <w:p>
      <w:pPr>
        <w:pStyle w:val="Point0"/>
        <w:rPr>
          <w:noProof/>
        </w:rPr>
      </w:pPr>
      <w:r>
        <w:t>(3)</w:t>
      </w:r>
      <w:r>
        <w:tab/>
      </w:r>
      <w:r>
        <w:rPr>
          <w:noProof/>
        </w:rPr>
        <w:t>A földrengés természeti eredetű, így az EUSZA alkalmazási területének hatálya alá tartozik.</w:t>
      </w:r>
    </w:p>
    <w:p>
      <w:pPr>
        <w:pStyle w:val="Point0"/>
        <w:rPr>
          <w:noProof/>
        </w:rPr>
      </w:pPr>
      <w:r>
        <w:t>(4)</w:t>
      </w:r>
      <w:r>
        <w:tab/>
      </w:r>
      <w:r>
        <w:rPr>
          <w:noProof/>
        </w:rPr>
        <w:t>A horvát hatóságok a teljes közvetlen kárt 11 572 586 387 EUR-ra becsülték. Ez az összeg Horvátország bruttó nemzeti jövedelmének (GNI) 22,9 %-át teszi ki, és meghaladja az EUSZA igénybevételéhez szükséges, a „jelentős katasztrófa” küszöbértéket, mely 303,3 millió EUR (Horvátország 2020. évi GNI-jének 0,6 %-a). A katasztrófa ezért „jelentős természeti katasztrófának” minősül, így a rendelet alkalmazási területének hatálya alá tartozik.</w:t>
      </w:r>
    </w:p>
    <w:p>
      <w:pPr>
        <w:pStyle w:val="Point0"/>
        <w:rPr>
          <w:noProof/>
        </w:rPr>
      </w:pPr>
      <w:r>
        <w:t>(5)</w:t>
      </w:r>
      <w:r>
        <w:tab/>
      </w:r>
      <w:r>
        <w:rPr>
          <w:noProof/>
        </w:rPr>
        <w:t>Az EUSZA-ból nyújtandó pénzügyi hozzájárulás összege kiszámításának alapját a teljes közvetlen kár képezi. A pénzügyi hozzájárulás csak a rendelet 3. cikkében meghatározott szükségintézkedésekre fordítható.</w:t>
      </w:r>
    </w:p>
    <w:p>
      <w:pPr>
        <w:pStyle w:val="Point0"/>
        <w:rPr>
          <w:noProof/>
        </w:rPr>
      </w:pPr>
      <w:r>
        <w:t>(6)</w:t>
      </w:r>
      <w:r>
        <w:tab/>
      </w:r>
      <w:r>
        <w:rPr>
          <w:noProof/>
        </w:rPr>
        <w:t>A bizottsági szolgálatok a rendelettel és különösen annak 2., 3. és 4. cikkével összhangban alaposan megvizsgálták a kérelmet. 2020. július 17-én a Bizottság kiegészítő tájékoztatást kért Horvátországtól a lakóépületek és oktatási létesítmények javítási költségeinek becsléséhez használt módszertanról. Horvátország 2020. július 28-án és 31-én benyújtotta a kért információkat, lehetővé téve a Bizottság számára, hogy véglegesítse értékelését.</w:t>
      </w:r>
    </w:p>
    <w:p>
      <w:pPr>
        <w:spacing w:before="0" w:after="200" w:line="276" w:lineRule="auto"/>
        <w:jc w:val="left"/>
        <w:rPr>
          <w:noProof/>
        </w:rPr>
      </w:pPr>
      <w:r>
        <w:rPr>
          <w:noProof/>
        </w:rPr>
        <w:br w:type="page"/>
      </w:r>
    </w:p>
    <w:p>
      <w:pPr>
        <w:pStyle w:val="Point0"/>
        <w:rPr>
          <w:noProof/>
        </w:rPr>
      </w:pPr>
      <w:r>
        <w:lastRenderedPageBreak/>
        <w:t>(7)</w:t>
      </w:r>
      <w:r>
        <w:tab/>
      </w:r>
      <w:r>
        <w:rPr>
          <w:noProof/>
        </w:rPr>
        <w:t>Kérelmükben a horvát hatóságok részletesen ismertetik a kárt okozó eseményt és a kár jellegét. A leginkább érintett terület Zágráb városa, valamint Zágráb és Krapina-Zagorje megye, amelyek 1,23 millió lakost számlálnak, közülük 1,18 millióan olyan településeken és városokban élnek, ahol természeti katasztrófát jelentettek be. A Richter-skála szerinti 5,5-ös erősségű földrengés volt 1880 óta a legerősebb, amely Zágrábot sújtotta. 27 személy sebesült meg, egy pedig a sérülések miatt meghalt.</w:t>
      </w:r>
    </w:p>
    <w:p>
      <w:pPr>
        <w:pStyle w:val="Point0"/>
        <w:rPr>
          <w:noProof/>
        </w:rPr>
      </w:pPr>
      <w:r>
        <w:t>(8)</w:t>
      </w:r>
      <w:r>
        <w:tab/>
      </w:r>
      <w:r>
        <w:rPr>
          <w:noProof/>
        </w:rPr>
        <w:t>A földrengés jelentős strukturális károkat okozott az épületállományban, elsősorban a lakó- és középületekben (pl. oktatási létesítményekben, kórházakban, intézmények épületeiben). A horvát hatóságok becslése szerint 26 000 épületben keletkezett kár (az épületek körülbelül 5 %-ában súlyos, 20 %-ában mérsékelt és 74 %-ában enyhe a kár). Becslések szerint 30 000 ember kényszerült elhagyni lakóhelyét; a horvát kormány támogatást nyújtott számukra átmeneti szálláshelyek bérléséhez.</w:t>
      </w:r>
    </w:p>
    <w:p>
      <w:pPr>
        <w:pStyle w:val="Point0"/>
        <w:rPr>
          <w:noProof/>
        </w:rPr>
      </w:pPr>
      <w:r>
        <w:t>(9)</w:t>
      </w:r>
      <w:r>
        <w:tab/>
      </w:r>
      <w:r>
        <w:rPr>
          <w:noProof/>
        </w:rPr>
        <w:t>A földrengés jelentős károkat okozott a Zágráb történelmi városkomplexumában található épületek többségében, valamint egyes kulturális ingatlanokban, főként a külvárosi területeken és a szomszédos megyékben épült templomokban. A Zágráb emblematikus kulturális jelképeként számon tartott katedrális két tornyának egyike összeomlott. A kórházi épületek több mint 80 %-át érintette közvetlenül a földrengés, 17 %-át pedig ideiglenesen vagy tartósan használhatatlannak minősítették. A földrengés számos oktatási létesítményben okozott kárt. Az első értékelés szerint 106, óvodának szánt épületben, 214 iskolaépületben és oktatási központban, valamint 12 kollégiumban keletkezett kár. Ezenkívül a Zágrábi Egyetemet alkotó 36 egység 142 épületben okozott kárról számolt be. Kár érte a 29 tudományos intézetnek otthont adó épületeket is. A teljes kárra, a kapcsolódó költségekre, valamint a katasztrófa társadalmi-gazdasági hatására vonatkozó részletes információkat a „Croatia Earthquake. Rapid Damage and Needs Assessment 2020 (Horvátországi földrengés. 2020. évi gyors kár- és igényfelmérés)” című, a horvát kormány által a Világbank támogatásával készített jelentés tartalmazza.</w:t>
      </w:r>
    </w:p>
    <w:p>
      <w:pPr>
        <w:pStyle w:val="Point0"/>
        <w:rPr>
          <w:noProof/>
        </w:rPr>
      </w:pPr>
      <w:r>
        <w:t>(10)</w:t>
      </w:r>
      <w:r>
        <w:tab/>
      </w:r>
      <w:r>
        <w:rPr>
          <w:noProof/>
        </w:rPr>
        <w:t>A Bizottság szolgálatai által végzett független értékelés megerősítette az érintett területet, valamint a katasztrófa sújtotta lakosság összlétszámát. A közvagyonban és a lakóépületekben okozott károk elemzése megerősítette a károk térbeli eloszlását és az oktatási létesítményekben okozott károkra vonatkozó konkrét számokat. A Bizottság szolgálatainak megkeresésére Horvátország kiegészítő információkkal szolgált, melyek pontosabb képet nyújtottak a kérelemben szereplő teljes költség összetételéről. A Közös Kutatóközpont által kidolgozott és az említett költséget alkalmazó bizottsági költségbecslési módszertannal megállapított teljes közvetlen kár a horvát hatóságok által becsült nagyságrenden belül van.</w:t>
      </w:r>
    </w:p>
    <w:p>
      <w:pPr>
        <w:pStyle w:val="Point0"/>
        <w:rPr>
          <w:noProof/>
        </w:rPr>
      </w:pPr>
      <w:r>
        <w:t>(11)</w:t>
      </w:r>
      <w:r>
        <w:tab/>
      </w:r>
      <w:r>
        <w:rPr>
          <w:noProof/>
        </w:rPr>
        <w:t>Horvátország a rendelet 3. cikkének (2) bekezdése szerinti szükségintézkedések és helyreállítási intézkedések elszámolható költségeit 2 270,1 millió EUR-ra becsülte és intézkedéstípusokra bontotta. A legnagyobb rész az – elsősorban oktatási és egészségügyi – infrastruktúra működőképességének helyreállításával, valamint az átmeneti szállással kapcsolatos költségeket érinti.</w:t>
      </w:r>
    </w:p>
    <w:p>
      <w:pPr>
        <w:pStyle w:val="Point0"/>
        <w:rPr>
          <w:noProof/>
        </w:rPr>
      </w:pPr>
      <w:r>
        <w:t>(12)</w:t>
      </w:r>
      <w:r>
        <w:tab/>
      </w:r>
      <w:r>
        <w:rPr>
          <w:noProof/>
        </w:rPr>
        <w:t>A horvát hatóságok megerősítették, hogy az elszámolható költségeknek nincs biztosítási fedezete.</w:t>
      </w:r>
    </w:p>
    <w:p>
      <w:pPr>
        <w:pStyle w:val="Point0"/>
        <w:rPr>
          <w:noProof/>
        </w:rPr>
      </w:pPr>
      <w:r>
        <w:t>(13)</w:t>
      </w:r>
      <w:r>
        <w:tab/>
      </w:r>
      <w:r>
        <w:rPr>
          <w:noProof/>
        </w:rPr>
        <w:t>2020. június 10-i kérelmében Horvátország kérte a rendelet 4a. cikkében foglaltak szerinti előleg kifizetését. 2020. augusztus 10-én a Bizottság elfogadta a C(2020) 5575 végrehajtási határozatot, melyben Horvátországnak az EUSZA-ból 88 951 877 EUR előleget ítélt meg, melyet ezt követően kifizetett.</w:t>
      </w:r>
    </w:p>
    <w:p>
      <w:pPr>
        <w:pStyle w:val="Point0"/>
        <w:rPr>
          <w:noProof/>
        </w:rPr>
      </w:pPr>
      <w:r>
        <w:lastRenderedPageBreak/>
        <w:t>(14)</w:t>
      </w:r>
      <w:r>
        <w:tab/>
      </w:r>
      <w:r>
        <w:rPr>
          <w:noProof/>
        </w:rPr>
        <w:t>A katasztrófakockázat-megelőzésre és -kezelésre vonatkozó uniós jogszabályok végrehajtása tekintetében jelenleg nincs folyamatban kötelezettségszegési eljárás az országgal szemben.</w:t>
      </w:r>
    </w:p>
    <w:p>
      <w:pPr>
        <w:pStyle w:val="Point0"/>
        <w:rPr>
          <w:noProof/>
        </w:rPr>
      </w:pPr>
      <w:r>
        <w:t>(15)</w:t>
      </w:r>
      <w:r>
        <w:tab/>
      </w:r>
      <w:r>
        <w:rPr>
          <w:noProof/>
        </w:rPr>
        <w:t>A horvát építési törvény 2019. december 28-án hatályba lépett módosításainak 47a. cikke előírja, hogy hosszú távú stratégiát kell elfogadni az épületállomány helyreállítására vonatkozóan, olyan politikákat és intézkedéseket is beleértve, amelyek hozzájárulnak az épületek élettartamát befolyásoló földrengésekkel kapcsolatos kockázatok elleni védelem fokozásához.</w:t>
      </w:r>
    </w:p>
    <w:p>
      <w:pPr>
        <w:pStyle w:val="ManualHeading2"/>
        <w:spacing w:before="240"/>
        <w:ind w:left="851" w:hanging="851"/>
        <w:rPr>
          <w:noProof/>
        </w:rPr>
      </w:pPr>
      <w:r>
        <w:rPr>
          <w:noProof/>
        </w:rPr>
        <w:t>2.2.</w:t>
      </w:r>
      <w:r>
        <w:rPr>
          <w:noProof/>
        </w:rPr>
        <w:tab/>
        <w:t>Lengyelország – a Lengyel-Kárpátalja (Podkarpackie) vajdaságot sújtó, 2020. júniusi árvizek</w:t>
      </w:r>
    </w:p>
    <w:p>
      <w:pPr>
        <w:pStyle w:val="Point0"/>
        <w:rPr>
          <w:noProof/>
        </w:rPr>
      </w:pPr>
      <w:r>
        <w:t>(1)</w:t>
      </w:r>
      <w:r>
        <w:tab/>
      </w:r>
      <w:r>
        <w:rPr>
          <w:noProof/>
        </w:rPr>
        <w:t>2020. augusztus 24-én a Lengyel Köztársaság (a továbbiakban: Lengyelország) az EUSZA-ból való hozzájárulás iránti kérelmet nyújtott be a Lengyel-Kárpátalja (Podkarpackie) vajdaságot sújtó, 2020. júniusi árvizekkel kapcsolatban.</w:t>
      </w:r>
    </w:p>
    <w:p>
      <w:pPr>
        <w:pStyle w:val="Point0"/>
        <w:rPr>
          <w:noProof/>
        </w:rPr>
      </w:pPr>
      <w:r>
        <w:t>(2)</w:t>
      </w:r>
      <w:r>
        <w:tab/>
      </w:r>
      <w:r>
        <w:rPr>
          <w:noProof/>
        </w:rPr>
        <w:t>A kérelmet a katasztrófa által okozott első káreseményt követő tizenkét héten belül nyújtották be, és a kérelem a rendelet 4. cikkében előírt valamennyi információt tartalmazza.</w:t>
      </w:r>
    </w:p>
    <w:p>
      <w:pPr>
        <w:pStyle w:val="Point0"/>
        <w:rPr>
          <w:noProof/>
        </w:rPr>
      </w:pPr>
      <w:r>
        <w:t>(3)</w:t>
      </w:r>
      <w:r>
        <w:tab/>
      </w:r>
      <w:r>
        <w:rPr>
          <w:noProof/>
        </w:rPr>
        <w:t>A nagy mennyiségű csapadék okozta árvíz természeti eredetű, így az EUSZA alkalmazási területének hatálya alá tartozik.</w:t>
      </w:r>
    </w:p>
    <w:p>
      <w:pPr>
        <w:pStyle w:val="Point0"/>
        <w:rPr>
          <w:noProof/>
        </w:rPr>
      </w:pPr>
      <w:r>
        <w:t>(4)</w:t>
      </w:r>
      <w:r>
        <w:tab/>
      </w:r>
      <w:r>
        <w:rPr>
          <w:noProof/>
        </w:rPr>
        <w:t>A kérelemben az eseményt a rendelet 2. cikkének (3) bekezdése szerinti „regionális természeti katasztrófának” minősítették, mely bármely olyan természeti katasztrófa, amely egy támogatható állam NUTS 2 szintű régiójában olyan közvetlen kárt eredményez, amelynek értéke meghaladja az adott régió bruttó hazai termékének (GDP) 1,5 %-át. A lengyel hatóságok a teljes közvetlen kárt 282 851 202 EUR-ra becsülték. Az okozott kár az érintett Lengyel-Kárpátalja (Podkarpackie) NUTS 2 szintű régió GDP-jének 1,56 %-át teszi ki, amely meghaladja a 270 961 950 EUR küszöbértéket (a regionális GDP 1,5 %-át). Lengyelország kérelme ezért jogosult az EUSZA-ból való támogatásra.</w:t>
      </w:r>
    </w:p>
    <w:p>
      <w:pPr>
        <w:pStyle w:val="Point0"/>
        <w:rPr>
          <w:noProof/>
        </w:rPr>
      </w:pPr>
      <w:r>
        <w:t>(5)</w:t>
      </w:r>
      <w:r>
        <w:tab/>
      </w:r>
      <w:r>
        <w:rPr>
          <w:noProof/>
        </w:rPr>
        <w:t>Az EUSZA-ból nyújtandó pénzügyi hozzájárulási összeg kiszámításának alapját a teljes közvetlen kár képezi. A pénzügyi hozzájárulás csak a rendelet 3. cikkében meghatározott szükségintézkedésekre fordítható.</w:t>
      </w:r>
    </w:p>
    <w:p>
      <w:pPr>
        <w:pStyle w:val="Point0"/>
        <w:rPr>
          <w:noProof/>
        </w:rPr>
      </w:pPr>
      <w:r>
        <w:t>(6)</w:t>
      </w:r>
      <w:r>
        <w:tab/>
      </w:r>
      <w:r>
        <w:rPr>
          <w:noProof/>
        </w:rPr>
        <w:t>Lengyelország nem kérte előleg kifizetését.</w:t>
      </w:r>
    </w:p>
    <w:p>
      <w:pPr>
        <w:pStyle w:val="Point0"/>
        <w:rPr>
          <w:noProof/>
        </w:rPr>
      </w:pPr>
      <w:r>
        <w:t>(7)</w:t>
      </w:r>
      <w:r>
        <w:tab/>
      </w:r>
      <w:r>
        <w:rPr>
          <w:noProof/>
        </w:rPr>
        <w:t>A bizottsági szolgálatok a rendelettel és különösen annak 2., 3. és 4. cikkével összhangban alaposan megvizsgálták a kérelmet. 2020. szeptember 3-án a Bizottság kiegészítő információkat kért Lengyelországtól a vállalkozásoknak, a mezőgazdaságnak és az erdészetnek okozott károk közé tartozó kártípusok (altételek) részletesebb bontásával kapcsolatban. Lengyelország 2020. szeptember 7-én benyújtotta a kért információkat, lehetővé téve a Bizottság számára, hogy véglegesítse értékelését.</w:t>
      </w:r>
    </w:p>
    <w:p>
      <w:pPr>
        <w:spacing w:before="0" w:after="200" w:line="276" w:lineRule="auto"/>
        <w:jc w:val="left"/>
        <w:rPr>
          <w:noProof/>
        </w:rPr>
      </w:pPr>
      <w:r>
        <w:rPr>
          <w:noProof/>
        </w:rPr>
        <w:br w:type="page"/>
      </w:r>
    </w:p>
    <w:p>
      <w:pPr>
        <w:pStyle w:val="Point0"/>
        <w:rPr>
          <w:noProof/>
        </w:rPr>
      </w:pPr>
      <w:r>
        <w:lastRenderedPageBreak/>
        <w:t>(8)</w:t>
      </w:r>
      <w:r>
        <w:tab/>
      </w:r>
      <w:r>
        <w:rPr>
          <w:noProof/>
        </w:rPr>
        <w:t>A kérelem részletesen ismerteti a kárt okozó eseményt és a kár jellegét. 2020. június 7. és 2020. június 29. között Lengyel-Kárpátalja (Podkarpackie) vajdaság egész területét időjárási események sorozata sújtotta, melyek erős széllel és heves esőzéssel járó pusztító viharfrontok formáját öltötték. A nagy mennyiségű csapadék okozta hirtelen árvíz a vajdaság déli, délnyugati, délkeleti és központi részét érintette. A heves esőzések miatt gyorsan megemelkedett a fő folyók kis vízfolyásainak és mellékfolyóinak vízszintje, és medrükből kilépve hirtelen elárasztottak több mint 2 000 lakó-, mezőgazdasági és közüzemi épületet. Ebben az időszakban az Állami Tűzoltó Szolgálat és az Önkéntes Tűzoltó Szolgálat egységeit összesen 4 569 eseményhez riasztották, amelyek töltéskoronák erősítéséhez és magasításához, emberek (több mint 400) és ingatlanok evakuálásához, épületek kiszivattyúzásához, közúti csőátereszek tisztításához, kidőlt fák és lehullott ágak eltávolításához kapcsolódtak. Összesen mintegy 4 300 ember villamosenergia-ellátásában keletkezett átmeneti zavar.</w:t>
      </w:r>
    </w:p>
    <w:p>
      <w:pPr>
        <w:pStyle w:val="Point0"/>
        <w:rPr>
          <w:noProof/>
        </w:rPr>
      </w:pPr>
      <w:r>
        <w:t>(9)</w:t>
      </w:r>
      <w:r>
        <w:tab/>
      </w:r>
      <w:r>
        <w:rPr>
          <w:noProof/>
        </w:rPr>
        <w:t>Az árvizek következtében mintegy 251 km szabályozott és szabályozatlan vízfolyás semmisült meg vagy sérült meg. Az árvizek károkat okoztak a hálózati infrastruktúrában, valamint az érintett területen működő vállalkozásokban; az árvíz számos gyártelepet, raktárcsarnokot, gépet és berendezést tett használhatatlanná vagy sodort el. Több mint 2 000 mezőgazdasági termelő is jelentős károkat szenvedett, az érintett terményterület körülbelül 9 000 hektár volt, és számos gazdasági épületben és gépben esett kár.</w:t>
      </w:r>
    </w:p>
    <w:p>
      <w:pPr>
        <w:pStyle w:val="Point0"/>
        <w:rPr>
          <w:noProof/>
        </w:rPr>
      </w:pPr>
      <w:r>
        <w:t>(10)</w:t>
      </w:r>
      <w:r>
        <w:tab/>
      </w:r>
      <w:r>
        <w:rPr>
          <w:noProof/>
        </w:rPr>
        <w:t>Lengyelország a rendelet 3. cikkének (2) bekezdése szerinti szükségintézkedések és helyreállítási intézkedések elszámolható költségeit 216 180 849 EUR-ra becsülte és intézkedéstípusokra bontotta. A legnagyobb rész a közlekedési infrastruktúra működőképességének helyreállításával, a megelőző infrastruktúra biztosításával, valamint az érintett természeti övezeteknek a talajerózió azonnali hatásainak elkerülése érdekében történő azonnali helyreállításával kapcsolatos költségeket érinti.</w:t>
      </w:r>
    </w:p>
    <w:p>
      <w:pPr>
        <w:pStyle w:val="Point0"/>
        <w:rPr>
          <w:noProof/>
        </w:rPr>
      </w:pPr>
      <w:r>
        <w:t>(11)</w:t>
      </w:r>
      <w:r>
        <w:tab/>
      </w:r>
      <w:r>
        <w:rPr>
          <w:noProof/>
        </w:rPr>
        <w:t>A lengyel hatóságok megerősítették, hogy az elszámolható költségeknek nincs biztosítási fedezete.</w:t>
      </w:r>
    </w:p>
    <w:p>
      <w:pPr>
        <w:pStyle w:val="Point0"/>
        <w:rPr>
          <w:noProof/>
        </w:rPr>
      </w:pPr>
      <w:r>
        <w:t>(12)</w:t>
      </w:r>
      <w:r>
        <w:tab/>
      </w:r>
      <w:r>
        <w:rPr>
          <w:noProof/>
        </w:rPr>
        <w:t>A katasztrófakockázat-megelőzésre és -kezelésre vonatkozó uniós jogszabályok végrehajtása tekintetében jelenleg nincs folyamatban kötelezettségszegési eljárás az országgal szemben.</w:t>
      </w:r>
    </w:p>
    <w:p>
      <w:pPr>
        <w:pStyle w:val="ManualHeading2"/>
        <w:spacing w:before="240"/>
        <w:ind w:left="851" w:hanging="851"/>
        <w:rPr>
          <w:noProof/>
        </w:rPr>
      </w:pPr>
      <w:bookmarkStart w:id="3" w:name="_Toc484762488"/>
      <w:r>
        <w:rPr>
          <w:noProof/>
        </w:rPr>
        <w:t>2.3.</w:t>
      </w:r>
      <w:r>
        <w:rPr>
          <w:noProof/>
        </w:rPr>
        <w:tab/>
        <w:t>Horvátország, Németország, Görögország, Magyarország, Írország, Portugália és Spanyolország – a Covid19-világjárvány által 2020 elején okozott jelentős népegészségügyi szükséghelyzet</w:t>
      </w:r>
    </w:p>
    <w:p>
      <w:pPr>
        <w:rPr>
          <w:noProof/>
        </w:rPr>
      </w:pPr>
      <w:r>
        <w:rPr>
          <w:noProof/>
        </w:rPr>
        <w:t>2019 decemberében ismeretlen eredetű tüdőgyulladásjárványt jelentettek a WHO-nak a kínai Wuhanból. A vírust később a koronavírus új törzseként – koronavírus-betegség 2019 (Covid19) – azonosították, melyet korábban emberekben nem mutattak ki, és amely a súlyos akut légzőszervi szindróma 2 (SARS-CoV-2) által okozott fertőző betegség. A lakosságnak nincs immunitása az új vírussal szemben. A vírus cseppfertőzés útján terjed személyről személyre, és viszonylag gyorsan, nagy számban okoz elsősorban légzőszervi tünetekkel járó megbetegedéseket. 2020. január 30-án a WHO nemzetközi szintű járványügyi szükséghelyzetet hirdetett ki az új koronavírus-járvány miatt.</w:t>
      </w:r>
    </w:p>
    <w:p>
      <w:pPr>
        <w:rPr>
          <w:noProof/>
        </w:rPr>
      </w:pPr>
      <w:r>
        <w:rPr>
          <w:noProof/>
        </w:rPr>
        <w:t xml:space="preserve">2020-ban a koronavírusra való reagálást célzó beruházási kezdeményezés (CRII) részeként a rendeletet módosították, ami lehetővé tette az átfogó uniós reagálást jelentős népegészségügyi </w:t>
      </w:r>
      <w:r>
        <w:rPr>
          <w:noProof/>
        </w:rPr>
        <w:lastRenderedPageBreak/>
        <w:t>szükséghelyzetben azáltal, hogy az uniós szolidaritási alapelvet kiterjesztette a jelentős népegészségügyi szükséghelyzetekre</w:t>
      </w:r>
      <w:r>
        <w:rPr>
          <w:rStyle w:val="FootnoteReference"/>
          <w:noProof/>
        </w:rPr>
        <w:footnoteReference w:id="3"/>
      </w:r>
      <w:r>
        <w:rPr>
          <w:noProof/>
        </w:rPr>
        <w:t>.</w:t>
      </w:r>
    </w:p>
    <w:p>
      <w:pPr>
        <w:rPr>
          <w:noProof/>
        </w:rPr>
      </w:pPr>
      <w:r>
        <w:rPr>
          <w:noProof/>
        </w:rPr>
        <w:t>Ezt követően a 2020. június 24-i határidőig a Bizottsághoz 22 kérelem érkezett az alapból származó pénzügyi hozzájárulás iránt a Covid19-világjárvány által 2020 elején okozott jelentős népegészségügyi szükséghelyzet miatt.</w:t>
      </w:r>
    </w:p>
    <w:p>
      <w:pPr>
        <w:pStyle w:val="Point0"/>
        <w:rPr>
          <w:noProof/>
        </w:rPr>
      </w:pPr>
      <w:r>
        <w:t>(1)</w:t>
      </w:r>
      <w:r>
        <w:tab/>
      </w:r>
      <w:r>
        <w:rPr>
          <w:noProof/>
        </w:rPr>
        <w:t>Összesen 19 uniós tagállam (Ausztria, Belgium, Horvátország, Csehország, Észtország, Franciaország, Görögország, Írország, Lengyelország, Lettország, Litvánia, Luxemburg, Magyarország, Németország, Olaszország, Portugália, Románia, Spanyolország és Szlovénia) és három csatlakozásra váró ország (Albánia, Montenegró és Szerbia) kért segítséget.</w:t>
      </w:r>
    </w:p>
    <w:p>
      <w:pPr>
        <w:pStyle w:val="Point0"/>
        <w:rPr>
          <w:noProof/>
        </w:rPr>
      </w:pPr>
      <w:r>
        <w:t>(2)</w:t>
      </w:r>
      <w:r>
        <w:tab/>
      </w:r>
      <w:r>
        <w:rPr>
          <w:noProof/>
        </w:rPr>
        <w:t>Hét uniós tagállam (Horvátország, Németország, Görögország, Magyarország, Írország, Portugália és Spanyolország) előlegfizetést kért az EUSZA-ból származó várható hozzájárulásból. A rendelet csak a tagállamok számára teszi lehetővé, hogy az EUSZA keretében előlegfizetést kérjenek.</w:t>
      </w:r>
    </w:p>
    <w:p>
      <w:pPr>
        <w:pStyle w:val="Point0"/>
        <w:rPr>
          <w:noProof/>
        </w:rPr>
      </w:pPr>
      <w:r>
        <w:t>(3)</w:t>
      </w:r>
      <w:r>
        <w:tab/>
      </w:r>
      <w:r>
        <w:rPr>
          <w:noProof/>
        </w:rPr>
        <w:t>A Covid19-világjárvány jelentős népegészségügyi szükséghelyzet, így az EUSZA alkalmazási területének hatálya alá tartozik.</w:t>
      </w:r>
    </w:p>
    <w:p>
      <w:pPr>
        <w:pStyle w:val="Point0"/>
        <w:rPr>
          <w:noProof/>
        </w:rPr>
      </w:pPr>
      <w:r>
        <w:t>(4)</w:t>
      </w:r>
      <w:r>
        <w:tab/>
      </w:r>
      <w:r>
        <w:rPr>
          <w:noProof/>
        </w:rPr>
        <w:t>A Bizottság szolgálatai előzetesen értékelték a fent említett hét tagállamtól beérkezett kérelmeket, és arra a következtetésre jutottak, hogy az EUSZA-ból történő előlegfizetés feltételei mind a hét kérelem esetében teljesülnek.</w:t>
      </w:r>
    </w:p>
    <w:p>
      <w:pPr>
        <w:pStyle w:val="Point0"/>
        <w:rPr>
          <w:noProof/>
        </w:rPr>
      </w:pPr>
      <w:r>
        <w:t>(5)</w:t>
      </w:r>
      <w:r>
        <w:tab/>
      </w:r>
      <w:r>
        <w:rPr>
          <w:noProof/>
        </w:rPr>
        <w:t>A rendelet 4a. cikkének (2) bekezdése értelmében az előleg összege nem haladhatja meg a pénzügyi hozzájárulás várt összegének 25 %-át, és egyetlen esetben sem haladhatja meg a 100 millió EUR-t. Mivel a 2020. évi költségvetésben eredetileg rendelkezésre álló, EUSZA-előlegkifizetésekre vonatkozó előirányzatokat már teljes mértékben felhasználták, a Bizottság a szükséges további források igénybevételét javasolja az EUSZA-ra meghatározott éves felső határon belül.</w:t>
      </w:r>
    </w:p>
    <w:p>
      <w:pPr>
        <w:pStyle w:val="Point0"/>
        <w:rPr>
          <w:noProof/>
        </w:rPr>
      </w:pPr>
      <w:r>
        <w:t>(6)</w:t>
      </w:r>
      <w:r>
        <w:tab/>
      </w:r>
      <w:r>
        <w:rPr>
          <w:noProof/>
        </w:rPr>
        <w:t>Az előzetes értékelés alapján a Bizottság szolgálatai Horvátország, Németország, Görögország, Magyarország, Írország, Portugália és Spanyolország esetében meghatározták az ideiglenesen elfogadott teljes kiadást, kizárólag a fizetendő előleg megállapítása céljából. Abban az esetben, amikor a Bizottság a kiadások egy részét nem elszámolhatónak minősítette, az érintett összeget levonta a teljes összegből. Az előleg kifizetése nem befolyásolja a Bizottság szolgálatai által elvégzendő teljes körű értékelés eredményeit.</w:t>
      </w:r>
    </w:p>
    <w:p>
      <w:pPr>
        <w:pStyle w:val="Point0"/>
        <w:rPr>
          <w:noProof/>
        </w:rPr>
      </w:pPr>
      <w:r>
        <w:t>(7)</w:t>
      </w:r>
      <w:r>
        <w:tab/>
      </w:r>
      <w:r>
        <w:rPr>
          <w:noProof/>
        </w:rPr>
        <w:t>Az előleg összegét figyelembe kell venni, mielőtt a hozzájárulás fennmaradó része kifizetésre kerül a kedvezményezett állam részére.</w:t>
      </w:r>
    </w:p>
    <w:p>
      <w:pPr>
        <w:pStyle w:val="Point0"/>
        <w:rPr>
          <w:noProof/>
        </w:rPr>
      </w:pPr>
      <w:r>
        <w:t>(8)</w:t>
      </w:r>
      <w:r>
        <w:tab/>
      </w:r>
      <w:r>
        <w:rPr>
          <w:noProof/>
        </w:rPr>
        <w:t>A Bizottság visszafizetteti a jogosulatlanul kifizetett előlegeket.</w:t>
      </w:r>
    </w:p>
    <w:p>
      <w:pPr>
        <w:pStyle w:val="Point0"/>
        <w:rPr>
          <w:noProof/>
        </w:rPr>
      </w:pPr>
      <w:r>
        <w:t>(9)</w:t>
      </w:r>
      <w:r>
        <w:tab/>
      </w:r>
      <w:r>
        <w:rPr>
          <w:noProof/>
        </w:rPr>
        <w:t>A rendelet 3. cikkével, 5. cikkének (3) bekezdésével és 6. cikkével összhangban a kedvezményezett állam felelős az egyes intézkedések kiválasztásáért és az EUSZA-ból származó hozzájárulás előlegének végrehajtásáért.</w:t>
      </w:r>
    </w:p>
    <w:p>
      <w:pPr>
        <w:rPr>
          <w:noProof/>
        </w:rPr>
      </w:pPr>
      <w:r>
        <w:rPr>
          <w:noProof/>
        </w:rPr>
        <w:t>Következésképpen a Horvátországnak, Németországnak, Görögországnak, Magyarországnak, Írországnak, Portugáliának és Spanyolországnak történő előlegfizetés feltételei mind a hét, az EUSZA-ból nyújtandó pénzügyi hozzájárulás iránti, a Covid19-világjárvány által 2020 elején okozott jelentős népegészségügyi szükséghelyzethez kapcsolódó kérelem esetében teljesülnek.</w:t>
      </w:r>
    </w:p>
    <w:p>
      <w:pPr>
        <w:pStyle w:val="ManualHeading2"/>
        <w:spacing w:before="240"/>
        <w:ind w:left="851" w:hanging="851"/>
        <w:rPr>
          <w:noProof/>
        </w:rPr>
      </w:pPr>
      <w:r>
        <w:rPr>
          <w:noProof/>
        </w:rPr>
        <w:lastRenderedPageBreak/>
        <w:t>2.4.</w:t>
      </w:r>
      <w:r>
        <w:rPr>
          <w:noProof/>
        </w:rPr>
        <w:tab/>
        <w:t>Következtetés</w:t>
      </w:r>
    </w:p>
    <w:p>
      <w:pPr>
        <w:rPr>
          <w:noProof/>
        </w:rPr>
      </w:pPr>
      <w:r>
        <w:rPr>
          <w:noProof/>
        </w:rPr>
        <w:t>A fent ismertetett okokból kifolyólag a Horvátország és Lengyelország által benyújtott kérelmekben említett katasztrófák, valamint a Covid19-világjárvánnyal kapcsolatos hét kérelem eleget tesz a rendeletben meghatározott feltételeknek.</w:t>
      </w:r>
    </w:p>
    <w:p>
      <w:pPr>
        <w:spacing w:before="0" w:after="200" w:line="276" w:lineRule="auto"/>
        <w:jc w:val="left"/>
        <w:rPr>
          <w:b/>
          <w:smallCaps/>
          <w:noProof/>
        </w:rPr>
      </w:pPr>
      <w:r>
        <w:rPr>
          <w:noProof/>
        </w:rPr>
        <w:br w:type="page"/>
      </w:r>
    </w:p>
    <w:p>
      <w:pPr>
        <w:pStyle w:val="ManualHeading1"/>
        <w:rPr>
          <w:noProof/>
        </w:rPr>
      </w:pPr>
      <w:r>
        <w:rPr>
          <w:noProof/>
        </w:rPr>
        <w:lastRenderedPageBreak/>
        <w:t>3.</w:t>
      </w:r>
      <w:r>
        <w:rPr>
          <w:noProof/>
        </w:rPr>
        <w:tab/>
        <w:t xml:space="preserve">Finanszírozás a </w:t>
      </w:r>
      <w:bookmarkEnd w:id="3"/>
      <w:r>
        <w:rPr>
          <w:noProof/>
        </w:rPr>
        <w:t>2020. évi EUSZA-allokációkból</w:t>
      </w:r>
    </w:p>
    <w:p>
      <w:pPr>
        <w:rPr>
          <w:noProof/>
        </w:rPr>
      </w:pPr>
      <w:r>
        <w:rPr>
          <w:noProof/>
        </w:rPr>
        <w:t>A 2014–2020-as időszakra vonatkozó többéves pénzügyi keretről szóló, 2013. december 2-i 1311/2013/EU, Euratom tanácsi rendelet</w:t>
      </w:r>
      <w:r>
        <w:rPr>
          <w:rStyle w:val="FootnoteReference"/>
          <w:noProof/>
        </w:rPr>
        <w:footnoteReference w:id="4"/>
      </w:r>
      <w:r>
        <w:rPr>
          <w:noProof/>
        </w:rPr>
        <w:t xml:space="preserve"> (a továbbiakban: a többéves pénzügyi keretről szóló rendelet) és különösen annak 10. cikke – 2011. évi árakon – évi 500 000 000 EUR-s felső határig engedélyezi az Európai Unió Szolidaritási Alapjának igénybevételét. Az EUSZA igénybevételének módozatait az Európai Parlament, a Tanács és a Bizottság közötti, a költségvetési fegyelemről, a költségvetési ügyekben való együttműködésről és a hatékony és eredményes pénzgazdálkodásról szóló, 2013. december 2-i intézményközi megállapodás</w:t>
      </w:r>
      <w:r>
        <w:rPr>
          <w:rStyle w:val="FootnoteReference"/>
          <w:noProof/>
        </w:rPr>
        <w:footnoteReference w:id="5"/>
      </w:r>
      <w:r>
        <w:rPr>
          <w:noProof/>
        </w:rPr>
        <w:t xml:space="preserve"> (a továbbiakban: az intézményközi megállapodás) 11. pontja határozza meg.</w:t>
      </w:r>
    </w:p>
    <w:p>
      <w:pPr>
        <w:rPr>
          <w:noProof/>
          <w:snapToGrid w:val="0"/>
        </w:rPr>
      </w:pPr>
      <w:r>
        <w:rPr>
          <w:noProof/>
          <w:snapToGrid w:val="0"/>
        </w:rPr>
        <w:t>Mivel az EUSZA létrehozásának meghatározó oka a szolidaritás, a Bizottság azt az álláspontot képviseli, hogy a támogatást progresszív alapon kell nyújtani. Ez azt jelenti, hogy – a korábbi gyakorlatnak megfelelően – az EUSZA igénybevételét kiváltó „jelentős természeti katasztrófa” küszöbértékét (azaz a 2011. évi árakon számított GNI 0,6 %-a, illetve 3 milliárd EUR közül az alacsonyabbik összeget) meghaladó kárrészre magasabb támogatási intenzitást kell alkalmazni, mint a küszöbértéket nem meghaladó kárrészre. A jelentős katasztrófák esetén odaítélt támogatás meghatározásához eddig a küszöbérték alatt a teljes közvetlen kár 2,5 %-át, a küszöbérték feletti részre pedig a teljes közvetlen kár 6 %-át használták. A regionális katasztrófák és a „szomszédos országokra” vonatkozó rendelkezés alapján elfogadott katasztrófák esetében az arány 2,5 %.</w:t>
      </w:r>
    </w:p>
    <w:p>
      <w:pPr>
        <w:rPr>
          <w:noProof/>
          <w:snapToGrid w:val="0"/>
        </w:rPr>
      </w:pPr>
      <w:r>
        <w:rPr>
          <w:noProof/>
          <w:snapToGrid w:val="0"/>
        </w:rPr>
        <w:t>A hozzájárulás nem haladhatja meg a támogatható intézkedések becsült összes költségét. A támogatást az EUSZA-ról szóló 2002–2003-as éves jelentésben meghatározott, és a Tanács és az Európai Parlament által elfogadott módszer alapján számítják ki.</w:t>
      </w:r>
    </w:p>
    <w:p>
      <w:pPr>
        <w:rPr>
          <w:noProof/>
        </w:rPr>
      </w:pPr>
      <w:r>
        <w:rPr>
          <w:noProof/>
        </w:rPr>
        <w:t>A Horvátország és Lengyelország által benyújtott kérelmek alapján az EUSZA-ból nyújtandó támogatás a keletkezett teljes közvetlen kár becsült összértéke alapján a következő:</w:t>
      </w:r>
    </w:p>
    <w:p>
      <w:pPr>
        <w:rPr>
          <w:noProof/>
        </w:rPr>
      </w:pPr>
    </w:p>
    <w:tbl>
      <w:tblPr>
        <w:tblW w:w="10774"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77"/>
        <w:gridCol w:w="1275"/>
        <w:gridCol w:w="993"/>
        <w:gridCol w:w="1275"/>
        <w:gridCol w:w="1276"/>
        <w:gridCol w:w="1276"/>
        <w:gridCol w:w="1276"/>
        <w:gridCol w:w="1152"/>
        <w:gridCol w:w="974"/>
      </w:tblGrid>
      <w:tr>
        <w:trPr>
          <w:trHeight w:val="648"/>
          <w:jc w:val="center"/>
        </w:trPr>
        <w:tc>
          <w:tcPr>
            <w:tcW w:w="1277" w:type="dxa"/>
            <w:tcBorders>
              <w:top w:val="single" w:sz="4" w:space="0" w:color="auto"/>
              <w:left w:val="single" w:sz="4" w:space="0" w:color="auto"/>
              <w:bottom w:val="dotted" w:sz="4" w:space="0" w:color="auto"/>
            </w:tcBorders>
            <w:shd w:val="clear" w:color="auto" w:fill="EEECE1"/>
            <w:vAlign w:val="center"/>
            <w:hideMark/>
          </w:tcPr>
          <w:p>
            <w:pPr>
              <w:spacing w:after="0"/>
              <w:rPr>
                <w:b/>
                <w:noProof/>
                <w:snapToGrid w:val="0"/>
                <w:sz w:val="18"/>
                <w:szCs w:val="18"/>
              </w:rPr>
            </w:pPr>
            <w:r>
              <w:rPr>
                <w:b/>
                <w:noProof/>
                <w:snapToGrid w:val="0"/>
                <w:sz w:val="18"/>
                <w:szCs w:val="18"/>
              </w:rPr>
              <w:t>Tagállam</w:t>
            </w:r>
          </w:p>
        </w:tc>
        <w:tc>
          <w:tcPr>
            <w:tcW w:w="1275"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A katasztrófa minősítése</w:t>
            </w:r>
          </w:p>
        </w:tc>
        <w:tc>
          <w:tcPr>
            <w:tcW w:w="993"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Teljes közvetlen kár</w:t>
            </w:r>
          </w:p>
          <w:p>
            <w:pPr>
              <w:spacing w:before="0" w:after="0"/>
              <w:ind w:right="59"/>
              <w:jc w:val="center"/>
              <w:rPr>
                <w:i/>
                <w:noProof/>
                <w:snapToGrid w:val="0"/>
                <w:sz w:val="18"/>
                <w:szCs w:val="18"/>
              </w:rPr>
            </w:pPr>
          </w:p>
          <w:p>
            <w:pPr>
              <w:spacing w:before="0" w:after="0"/>
              <w:ind w:right="59"/>
              <w:jc w:val="center"/>
              <w:rPr>
                <w:i/>
                <w:noProof/>
                <w:snapToGrid w:val="0"/>
                <w:sz w:val="18"/>
                <w:szCs w:val="18"/>
              </w:rPr>
            </w:pPr>
          </w:p>
          <w:p>
            <w:pPr>
              <w:spacing w:before="0" w:after="0"/>
              <w:ind w:right="59"/>
              <w:jc w:val="center"/>
              <w:rPr>
                <w:i/>
                <w:noProof/>
                <w:snapToGrid w:val="0"/>
                <w:sz w:val="18"/>
                <w:szCs w:val="18"/>
              </w:rPr>
            </w:pPr>
            <w:r>
              <w:rPr>
                <w:i/>
                <w:noProof/>
                <w:snapToGrid w:val="0"/>
                <w:sz w:val="18"/>
                <w:szCs w:val="18"/>
              </w:rPr>
              <w:t>(millió EUR)</w:t>
            </w:r>
          </w:p>
        </w:tc>
        <w:tc>
          <w:tcPr>
            <w:tcW w:w="1275" w:type="dxa"/>
            <w:tcBorders>
              <w:top w:val="single" w:sz="4" w:space="0" w:color="auto"/>
            </w:tcBorders>
            <w:shd w:val="clear" w:color="auto" w:fill="EEECE1"/>
          </w:tcPr>
          <w:p>
            <w:pPr>
              <w:spacing w:before="0" w:after="0"/>
              <w:jc w:val="center"/>
              <w:rPr>
                <w:i/>
                <w:noProof/>
                <w:snapToGrid w:val="0"/>
                <w:sz w:val="18"/>
                <w:szCs w:val="18"/>
              </w:rPr>
            </w:pPr>
            <w:r>
              <w:rPr>
                <w:i/>
                <w:noProof/>
                <w:snapToGrid w:val="0"/>
                <w:sz w:val="18"/>
                <w:szCs w:val="18"/>
              </w:rPr>
              <w:t xml:space="preserve">Az alkalmazott „regionális katasztrófa” küszöbérték </w:t>
            </w:r>
            <w:r>
              <w:rPr>
                <w:i/>
                <w:noProof/>
                <w:snapToGrid w:val="0"/>
                <w:sz w:val="18"/>
                <w:szCs w:val="18"/>
              </w:rPr>
              <w:br/>
              <w:t xml:space="preserve">[A GDP 1,5 %-a/ </w:t>
            </w:r>
            <w:r>
              <w:rPr>
                <w:i/>
                <w:noProof/>
                <w:snapToGrid w:val="0"/>
                <w:sz w:val="18"/>
                <w:szCs w:val="18"/>
              </w:rPr>
              <w:br/>
              <w:t xml:space="preserve">A legkülső régiók GDP-jének 1 %-a] </w:t>
            </w:r>
            <w:r>
              <w:rPr>
                <w:i/>
                <w:noProof/>
                <w:snapToGrid w:val="0"/>
                <w:sz w:val="18"/>
                <w:szCs w:val="18"/>
              </w:rPr>
              <w:br/>
              <w:t xml:space="preserve"> </w:t>
            </w:r>
            <w:r>
              <w:rPr>
                <w:i/>
                <w:noProof/>
                <w:snapToGrid w:val="0"/>
                <w:sz w:val="18"/>
                <w:szCs w:val="18"/>
              </w:rPr>
              <w:br/>
              <w:t>(millió 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A</w:t>
            </w:r>
          </w:p>
          <w:p>
            <w:pPr>
              <w:spacing w:before="0" w:after="0"/>
              <w:jc w:val="center"/>
              <w:rPr>
                <w:i/>
                <w:noProof/>
                <w:snapToGrid w:val="0"/>
                <w:sz w:val="18"/>
                <w:szCs w:val="18"/>
              </w:rPr>
            </w:pPr>
            <w:r>
              <w:rPr>
                <w:i/>
                <w:noProof/>
                <w:snapToGrid w:val="0"/>
                <w:sz w:val="18"/>
                <w:szCs w:val="18"/>
              </w:rPr>
              <w:t>„jelentős</w:t>
            </w:r>
          </w:p>
          <w:p>
            <w:pPr>
              <w:spacing w:before="0" w:after="0"/>
              <w:jc w:val="center"/>
              <w:rPr>
                <w:i/>
                <w:noProof/>
                <w:snapToGrid w:val="0"/>
                <w:sz w:val="18"/>
                <w:szCs w:val="18"/>
              </w:rPr>
            </w:pPr>
            <w:r>
              <w:rPr>
                <w:i/>
                <w:noProof/>
                <w:snapToGrid w:val="0"/>
                <w:sz w:val="18"/>
                <w:szCs w:val="18"/>
              </w:rPr>
              <w:t>katasztrófa”</w:t>
            </w:r>
          </w:p>
          <w:p>
            <w:pPr>
              <w:spacing w:before="0" w:after="0"/>
              <w:jc w:val="center"/>
              <w:rPr>
                <w:i/>
                <w:noProof/>
                <w:snapToGrid w:val="0"/>
                <w:sz w:val="18"/>
                <w:szCs w:val="18"/>
              </w:rPr>
            </w:pPr>
            <w:r>
              <w:rPr>
                <w:i/>
                <w:noProof/>
                <w:snapToGrid w:val="0"/>
                <w:sz w:val="18"/>
                <w:szCs w:val="18"/>
              </w:rPr>
              <w:t>küszöbérték</w:t>
            </w: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(millió 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 xml:space="preserve">Az összes közvetlen kár 2,5 %-a a küszöbértékig </w:t>
            </w: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Az összes</w:t>
            </w:r>
          </w:p>
          <w:p>
            <w:pPr>
              <w:spacing w:before="0" w:after="0"/>
              <w:jc w:val="center"/>
              <w:rPr>
                <w:i/>
                <w:noProof/>
                <w:snapToGrid w:val="0"/>
                <w:sz w:val="18"/>
                <w:szCs w:val="18"/>
              </w:rPr>
            </w:pPr>
            <w:r>
              <w:rPr>
                <w:i/>
                <w:noProof/>
                <w:snapToGrid w:val="0"/>
                <w:sz w:val="18"/>
                <w:szCs w:val="18"/>
              </w:rPr>
              <w:t>közvetlen</w:t>
            </w:r>
          </w:p>
          <w:p>
            <w:pPr>
              <w:spacing w:before="0" w:after="0"/>
              <w:jc w:val="center"/>
              <w:rPr>
                <w:i/>
                <w:noProof/>
                <w:snapToGrid w:val="0"/>
                <w:sz w:val="18"/>
                <w:szCs w:val="18"/>
              </w:rPr>
            </w:pPr>
            <w:r>
              <w:rPr>
                <w:i/>
                <w:noProof/>
                <w:snapToGrid w:val="0"/>
                <w:sz w:val="18"/>
                <w:szCs w:val="18"/>
              </w:rPr>
              <w:t>kár 6 %-a</w:t>
            </w:r>
          </w:p>
          <w:p>
            <w:pPr>
              <w:spacing w:before="0" w:after="0"/>
              <w:jc w:val="center"/>
              <w:rPr>
                <w:i/>
                <w:noProof/>
                <w:snapToGrid w:val="0"/>
                <w:sz w:val="18"/>
                <w:szCs w:val="18"/>
              </w:rPr>
            </w:pPr>
            <w:r>
              <w:rPr>
                <w:i/>
                <w:noProof/>
                <w:snapToGrid w:val="0"/>
                <w:sz w:val="18"/>
                <w:szCs w:val="18"/>
              </w:rPr>
              <w:t>a küszöbérték</w:t>
            </w:r>
          </w:p>
          <w:p>
            <w:pPr>
              <w:spacing w:before="0" w:after="0"/>
              <w:jc w:val="center"/>
              <w:rPr>
                <w:rFonts w:ascii="Arial" w:eastAsia="Times New Roman" w:hAnsi="Arial" w:cs="Arial"/>
                <w:noProof/>
                <w:sz w:val="15"/>
                <w:szCs w:val="15"/>
                <w:lang w:val="en-US"/>
              </w:rPr>
            </w:pPr>
            <w:r>
              <w:rPr>
                <w:i/>
                <w:noProof/>
                <w:snapToGrid w:val="0"/>
                <w:sz w:val="18"/>
                <w:szCs w:val="18"/>
              </w:rPr>
              <w:t>felett</w:t>
            </w: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b/>
                <w:i/>
                <w:noProof/>
                <w:snapToGrid w:val="0"/>
                <w:sz w:val="18"/>
                <w:szCs w:val="18"/>
              </w:rPr>
            </w:pPr>
            <w:r>
              <w:rPr>
                <w:i/>
                <w:noProof/>
                <w:snapToGrid w:val="0"/>
                <w:sz w:val="18"/>
                <w:szCs w:val="18"/>
              </w:rPr>
              <w:t>(EUR)</w:t>
            </w:r>
          </w:p>
        </w:tc>
        <w:tc>
          <w:tcPr>
            <w:tcW w:w="1152" w:type="dxa"/>
            <w:tcBorders>
              <w:top w:val="single" w:sz="4" w:space="0" w:color="auto"/>
              <w:bottom w:val="dotted" w:sz="4" w:space="0" w:color="auto"/>
            </w:tcBorders>
            <w:shd w:val="clear" w:color="auto" w:fill="EEECE1"/>
          </w:tcPr>
          <w:p>
            <w:pPr>
              <w:spacing w:before="0" w:after="0"/>
              <w:jc w:val="center"/>
              <w:rPr>
                <w:b/>
                <w:i/>
                <w:noProof/>
                <w:snapToGrid w:val="0"/>
                <w:sz w:val="18"/>
                <w:szCs w:val="18"/>
              </w:rPr>
            </w:pPr>
            <w:r>
              <w:rPr>
                <w:b/>
                <w:i/>
                <w:noProof/>
                <w:snapToGrid w:val="0"/>
                <w:sz w:val="18"/>
                <w:szCs w:val="18"/>
              </w:rPr>
              <w:t>A javasolt támogatás teljes összege</w:t>
            </w:r>
          </w:p>
          <w:p>
            <w:pPr>
              <w:spacing w:before="0" w:after="0"/>
              <w:jc w:val="center"/>
              <w:rPr>
                <w:i/>
                <w:noProof/>
                <w:snapToGrid w:val="0"/>
                <w:sz w:val="18"/>
                <w:szCs w:val="18"/>
              </w:rPr>
            </w:pPr>
            <w:r>
              <w:rPr>
                <w:b/>
                <w:i/>
                <w:noProof/>
                <w:snapToGrid w:val="0"/>
                <w:sz w:val="18"/>
                <w:szCs w:val="18"/>
              </w:rPr>
              <w:t>(EUR)</w:t>
            </w:r>
          </w:p>
        </w:tc>
        <w:tc>
          <w:tcPr>
            <w:tcW w:w="974" w:type="dxa"/>
            <w:tcBorders>
              <w:top w:val="single" w:sz="4" w:space="0" w:color="auto"/>
              <w:bottom w:val="dotted" w:sz="4" w:space="0" w:color="auto"/>
              <w:right w:val="single" w:sz="4" w:space="0" w:color="auto"/>
            </w:tcBorders>
            <w:shd w:val="clear" w:color="auto" w:fill="EEECE1"/>
          </w:tcPr>
          <w:p>
            <w:pPr>
              <w:spacing w:before="0" w:after="0"/>
              <w:jc w:val="center"/>
              <w:rPr>
                <w:b/>
                <w:i/>
                <w:noProof/>
                <w:snapToGrid w:val="0"/>
                <w:sz w:val="18"/>
                <w:szCs w:val="18"/>
              </w:rPr>
            </w:pPr>
            <w:r>
              <w:rPr>
                <w:b/>
                <w:i/>
                <w:noProof/>
                <w:snapToGrid w:val="0"/>
                <w:sz w:val="18"/>
                <w:szCs w:val="18"/>
              </w:rPr>
              <w:t>Kifizetett előlegek</w:t>
            </w:r>
          </w:p>
          <w:p>
            <w:pPr>
              <w:spacing w:before="0" w:after="0"/>
              <w:jc w:val="center"/>
              <w:rPr>
                <w:b/>
                <w:i/>
                <w:noProof/>
                <w:snapToGrid w:val="0"/>
                <w:sz w:val="18"/>
                <w:szCs w:val="18"/>
              </w:rPr>
            </w:pPr>
          </w:p>
          <w:p>
            <w:pPr>
              <w:spacing w:before="0" w:after="0"/>
              <w:jc w:val="center"/>
              <w:rPr>
                <w:b/>
                <w:i/>
                <w:noProof/>
                <w:snapToGrid w:val="0"/>
                <w:sz w:val="18"/>
                <w:szCs w:val="18"/>
              </w:rPr>
            </w:pPr>
          </w:p>
          <w:p>
            <w:pPr>
              <w:spacing w:before="0" w:after="0"/>
              <w:jc w:val="center"/>
              <w:rPr>
                <w:b/>
                <w:i/>
                <w:noProof/>
                <w:snapToGrid w:val="0"/>
                <w:sz w:val="18"/>
                <w:szCs w:val="18"/>
              </w:rPr>
            </w:pPr>
            <w:r>
              <w:rPr>
                <w:b/>
                <w:i/>
                <w:noProof/>
                <w:snapToGrid w:val="0"/>
                <w:sz w:val="18"/>
                <w:szCs w:val="18"/>
              </w:rPr>
              <w:t>(EUR)</w:t>
            </w:r>
          </w:p>
        </w:tc>
      </w:tr>
      <w:tr>
        <w:trPr>
          <w:trHeight w:val="436"/>
          <w:jc w:val="center"/>
        </w:trPr>
        <w:tc>
          <w:tcPr>
            <w:tcW w:w="1277" w:type="dxa"/>
            <w:tcBorders>
              <w:top w:val="dotted" w:sz="4" w:space="0" w:color="auto"/>
              <w:left w:val="single" w:sz="4" w:space="0" w:color="auto"/>
              <w:bottom w:val="dotted" w:sz="4" w:space="0" w:color="auto"/>
            </w:tcBorders>
            <w:shd w:val="clear" w:color="auto" w:fill="EEECE1"/>
            <w:vAlign w:val="center"/>
            <w:hideMark/>
          </w:tcPr>
          <w:p>
            <w:pPr>
              <w:spacing w:before="0" w:after="0"/>
              <w:jc w:val="left"/>
              <w:rPr>
                <w:noProof/>
                <w:snapToGrid w:val="0"/>
                <w:sz w:val="18"/>
                <w:szCs w:val="18"/>
              </w:rPr>
            </w:pPr>
            <w:r>
              <w:rPr>
                <w:noProof/>
                <w:snapToGrid w:val="0"/>
                <w:sz w:val="18"/>
                <w:szCs w:val="18"/>
              </w:rPr>
              <w:t>HORVÁTORSZÁG</w:t>
            </w:r>
          </w:p>
        </w:tc>
        <w:tc>
          <w:tcPr>
            <w:tcW w:w="1275"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Jelentős</w:t>
            </w:r>
          </w:p>
          <w:p>
            <w:pPr>
              <w:spacing w:before="0" w:after="0"/>
              <w:jc w:val="center"/>
              <w:rPr>
                <w:i/>
                <w:iCs/>
                <w:noProof/>
                <w:sz w:val="18"/>
                <w:szCs w:val="18"/>
              </w:rPr>
            </w:pPr>
            <w:r>
              <w:rPr>
                <w:i/>
                <w:iCs/>
                <w:noProof/>
                <w:sz w:val="18"/>
                <w:szCs w:val="18"/>
              </w:rPr>
              <w:t>(2. cikk, (2) bekezdés)</w:t>
            </w:r>
          </w:p>
        </w:tc>
        <w:tc>
          <w:tcPr>
            <w:tcW w:w="993" w:type="dxa"/>
            <w:tcBorders>
              <w:top w:val="dotted" w:sz="4" w:space="0" w:color="auto"/>
              <w:bottom w:val="dotted" w:sz="4" w:space="0" w:color="auto"/>
            </w:tcBorders>
            <w:vAlign w:val="center"/>
          </w:tcPr>
          <w:p>
            <w:pPr>
              <w:spacing w:before="0" w:after="0"/>
              <w:jc w:val="right"/>
              <w:rPr>
                <w:i/>
                <w:iCs/>
                <w:noProof/>
                <w:sz w:val="16"/>
                <w:szCs w:val="16"/>
              </w:rPr>
            </w:pPr>
            <w:r>
              <w:rPr>
                <w:i/>
                <w:iCs/>
                <w:noProof/>
                <w:sz w:val="16"/>
                <w:szCs w:val="16"/>
              </w:rPr>
              <w:t>11 572,586</w:t>
            </w:r>
          </w:p>
        </w:tc>
        <w:tc>
          <w:tcPr>
            <w:tcW w:w="1275" w:type="dxa"/>
            <w:tcBorders>
              <w:bottom w:val="dotted" w:sz="4" w:space="0" w:color="auto"/>
            </w:tcBorders>
            <w:vAlign w:val="center"/>
          </w:tcPr>
          <w:p>
            <w:pPr>
              <w:spacing w:before="0" w:after="0"/>
              <w:jc w:val="right"/>
              <w:rPr>
                <w:noProof/>
                <w:sz w:val="18"/>
                <w:szCs w:val="18"/>
              </w:rPr>
            </w:pPr>
            <w:r>
              <w:rPr>
                <w:i/>
                <w:iCs/>
                <w:noProof/>
                <w:sz w:val="18"/>
                <w:szCs w:val="18"/>
              </w:rPr>
              <w:t>–</w:t>
            </w:r>
          </w:p>
        </w:tc>
        <w:tc>
          <w:tcPr>
            <w:tcW w:w="1276" w:type="dxa"/>
            <w:tcBorders>
              <w:top w:val="dotted" w:sz="4" w:space="0" w:color="auto"/>
              <w:bottom w:val="dotted" w:sz="4" w:space="0" w:color="auto"/>
            </w:tcBorders>
            <w:vAlign w:val="center"/>
          </w:tcPr>
          <w:p>
            <w:pPr>
              <w:spacing w:before="0" w:after="0"/>
              <w:jc w:val="right"/>
              <w:rPr>
                <w:b/>
                <w:noProof/>
                <w:sz w:val="18"/>
                <w:szCs w:val="18"/>
              </w:rPr>
            </w:pPr>
            <w:r>
              <w:rPr>
                <w:i/>
                <w:iCs/>
                <w:noProof/>
                <w:sz w:val="18"/>
                <w:szCs w:val="18"/>
              </w:rPr>
              <w:t>303,276</w:t>
            </w:r>
          </w:p>
        </w:tc>
        <w:tc>
          <w:tcPr>
            <w:tcW w:w="1276" w:type="dxa"/>
            <w:tcBorders>
              <w:top w:val="dotted" w:sz="4" w:space="0" w:color="auto"/>
              <w:bottom w:val="dotted" w:sz="4" w:space="0" w:color="auto"/>
            </w:tcBorders>
            <w:vAlign w:val="center"/>
          </w:tcPr>
          <w:p>
            <w:pPr>
              <w:spacing w:before="0" w:after="0"/>
              <w:jc w:val="right"/>
              <w:rPr>
                <w:noProof/>
                <w:sz w:val="18"/>
                <w:szCs w:val="18"/>
              </w:rPr>
            </w:pPr>
            <w:r>
              <w:rPr>
                <w:i/>
                <w:iCs/>
                <w:noProof/>
                <w:sz w:val="18"/>
                <w:szCs w:val="18"/>
              </w:rPr>
              <w:t>7 581 900</w:t>
            </w:r>
          </w:p>
        </w:tc>
        <w:tc>
          <w:tcPr>
            <w:tcW w:w="1276" w:type="dxa"/>
            <w:tcBorders>
              <w:top w:val="dotted" w:sz="4" w:space="0" w:color="auto"/>
              <w:bottom w:val="dotted" w:sz="4" w:space="0" w:color="auto"/>
            </w:tcBorders>
            <w:shd w:val="clear" w:color="auto" w:fill="auto"/>
            <w:vAlign w:val="center"/>
          </w:tcPr>
          <w:p>
            <w:pPr>
              <w:spacing w:before="0" w:after="0"/>
              <w:jc w:val="right"/>
              <w:rPr>
                <w:i/>
                <w:noProof/>
                <w:sz w:val="18"/>
                <w:szCs w:val="18"/>
              </w:rPr>
            </w:pPr>
            <w:r>
              <w:rPr>
                <w:i/>
                <w:noProof/>
                <w:sz w:val="18"/>
                <w:szCs w:val="18"/>
              </w:rPr>
              <w:t>676 158 623</w:t>
            </w:r>
          </w:p>
        </w:tc>
        <w:tc>
          <w:tcPr>
            <w:tcW w:w="1152" w:type="dxa"/>
            <w:tcBorders>
              <w:top w:val="dotted" w:sz="4" w:space="0" w:color="auto"/>
              <w:bottom w:val="dotted" w:sz="4" w:space="0" w:color="auto"/>
            </w:tcBorders>
            <w:shd w:val="clear" w:color="auto" w:fill="auto"/>
            <w:vAlign w:val="center"/>
          </w:tcPr>
          <w:p>
            <w:pPr>
              <w:spacing w:before="0" w:after="0"/>
              <w:jc w:val="right"/>
              <w:rPr>
                <w:b/>
                <w:i/>
                <w:iCs/>
                <w:noProof/>
                <w:sz w:val="18"/>
                <w:szCs w:val="18"/>
              </w:rPr>
            </w:pPr>
            <w:r>
              <w:rPr>
                <w:i/>
                <w:iCs/>
                <w:noProof/>
                <w:sz w:val="18"/>
                <w:szCs w:val="18"/>
              </w:rPr>
              <w:t>683 740 523</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6"/>
                <w:szCs w:val="16"/>
              </w:rPr>
            </w:pPr>
            <w:r>
              <w:rPr>
                <w:i/>
                <w:iCs/>
                <w:noProof/>
                <w:sz w:val="16"/>
                <w:szCs w:val="16"/>
              </w:rPr>
              <w:t>88 951 877</w:t>
            </w:r>
          </w:p>
        </w:tc>
      </w:tr>
      <w:tr>
        <w:trPr>
          <w:trHeight w:val="444"/>
          <w:jc w:val="center"/>
        </w:trPr>
        <w:tc>
          <w:tcPr>
            <w:tcW w:w="1277"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t>LENGYELORSZÁG</w:t>
            </w:r>
          </w:p>
        </w:tc>
        <w:tc>
          <w:tcPr>
            <w:tcW w:w="1275"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Regionális</w:t>
            </w:r>
          </w:p>
          <w:p>
            <w:pPr>
              <w:spacing w:before="0" w:after="0"/>
              <w:jc w:val="center"/>
              <w:rPr>
                <w:i/>
                <w:iCs/>
                <w:noProof/>
                <w:sz w:val="18"/>
                <w:szCs w:val="18"/>
              </w:rPr>
            </w:pPr>
            <w:r>
              <w:rPr>
                <w:i/>
                <w:iCs/>
                <w:noProof/>
                <w:sz w:val="18"/>
                <w:szCs w:val="18"/>
              </w:rPr>
              <w:t>(2. cikk, (3) bekezdés)</w:t>
            </w:r>
          </w:p>
        </w:tc>
        <w:tc>
          <w:tcPr>
            <w:tcW w:w="993"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282,851</w:t>
            </w:r>
          </w:p>
        </w:tc>
        <w:tc>
          <w:tcPr>
            <w:tcW w:w="1275"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270,962</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7 071 280</w:t>
            </w:r>
          </w:p>
        </w:tc>
        <w:tc>
          <w:tcPr>
            <w:tcW w:w="1276"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w:t>
            </w:r>
          </w:p>
        </w:tc>
        <w:tc>
          <w:tcPr>
            <w:tcW w:w="1152"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7 071 280</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p>
        </w:tc>
      </w:tr>
      <w:tr>
        <w:trPr>
          <w:trHeight w:val="213"/>
          <w:jc w:val="center"/>
        </w:trPr>
        <w:tc>
          <w:tcPr>
            <w:tcW w:w="1277" w:type="dxa"/>
            <w:tcBorders>
              <w:top w:val="single" w:sz="4" w:space="0" w:color="auto"/>
              <w:left w:val="single" w:sz="4" w:space="0" w:color="auto"/>
              <w:bottom w:val="single" w:sz="4" w:space="0" w:color="auto"/>
            </w:tcBorders>
            <w:shd w:val="clear" w:color="auto" w:fill="EEECE1"/>
            <w:vAlign w:val="center"/>
          </w:tcPr>
          <w:p>
            <w:pPr>
              <w:spacing w:before="0" w:after="0"/>
              <w:jc w:val="left"/>
              <w:rPr>
                <w:b/>
                <w:noProof/>
                <w:snapToGrid w:val="0"/>
                <w:sz w:val="18"/>
                <w:szCs w:val="18"/>
              </w:rPr>
            </w:pPr>
            <w:r>
              <w:rPr>
                <w:b/>
                <w:noProof/>
                <w:snapToGrid w:val="0"/>
                <w:sz w:val="18"/>
                <w:szCs w:val="18"/>
              </w:rPr>
              <w:t>ÖSSZESEN</w:t>
            </w:r>
          </w:p>
        </w:tc>
        <w:tc>
          <w:tcPr>
            <w:tcW w:w="1275" w:type="dxa"/>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6096" w:type="dxa"/>
            <w:gridSpan w:val="5"/>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1152" w:type="dxa"/>
            <w:tcBorders>
              <w:top w:val="single" w:sz="4" w:space="0" w:color="auto"/>
              <w:bottom w:val="single" w:sz="4" w:space="0" w:color="auto"/>
            </w:tcBorders>
            <w:vAlign w:val="center"/>
          </w:tcPr>
          <w:p>
            <w:pPr>
              <w:spacing w:before="0" w:after="0"/>
              <w:jc w:val="right"/>
              <w:rPr>
                <w:b/>
                <w:bCs/>
                <w:i/>
                <w:iCs/>
                <w:noProof/>
                <w:sz w:val="18"/>
                <w:szCs w:val="18"/>
              </w:rPr>
            </w:pPr>
            <w:r>
              <w:rPr>
                <w:i/>
                <w:iCs/>
                <w:noProof/>
                <w:sz w:val="18"/>
                <w:szCs w:val="18"/>
              </w:rPr>
              <w:t xml:space="preserve">690 811 803 </w:t>
            </w:r>
          </w:p>
        </w:tc>
        <w:tc>
          <w:tcPr>
            <w:tcW w:w="974" w:type="dxa"/>
            <w:tcBorders>
              <w:top w:val="single" w:sz="4" w:space="0" w:color="auto"/>
              <w:bottom w:val="single" w:sz="4" w:space="0" w:color="auto"/>
              <w:right w:val="single" w:sz="4" w:space="0" w:color="auto"/>
            </w:tcBorders>
          </w:tcPr>
          <w:p>
            <w:pPr>
              <w:spacing w:before="60" w:after="0"/>
              <w:jc w:val="right"/>
              <w:rPr>
                <w:b/>
                <w:bCs/>
                <w:i/>
                <w:iCs/>
                <w:noProof/>
                <w:sz w:val="18"/>
                <w:szCs w:val="18"/>
              </w:rPr>
            </w:pPr>
          </w:p>
        </w:tc>
      </w:tr>
    </w:tbl>
    <w:p>
      <w:pPr>
        <w:rPr>
          <w:noProof/>
        </w:rPr>
      </w:pPr>
    </w:p>
    <w:p>
      <w:pPr>
        <w:rPr>
          <w:noProof/>
        </w:rPr>
      </w:pPr>
      <w:r>
        <w:rPr>
          <w:noProof/>
        </w:rPr>
        <w:t xml:space="preserve">Jelentős népegészségügyi szükséghelyzetek esetén a Bizottság ugyanazt a módszert alkalmazza a támogatási összegek meghatározására, mint a természeti katasztrófák esetében. Ennek megfelelően egy ország a jelentős népegészségügyi szükséghelyzetekre vonatkozó országspecifikus küszöbértékig a támogatható közkiadások teljes összegének 2,5 %-át, </w:t>
      </w:r>
      <w:r>
        <w:rPr>
          <w:noProof/>
        </w:rPr>
        <w:lastRenderedPageBreak/>
        <w:t>valamint a közkiadásoknak a küszöbértéket meghaladó részének 6 %-át kapja meg. Amennyiben e számítás eredményeként a teljes összeg valamennyi ország esetében meghaladja a rendelkezésre álló költségvetési előirányzatokat, az országonkénti összegek arányosan csökkennek.</w:t>
      </w:r>
    </w:p>
    <w:p>
      <w:pPr>
        <w:rPr>
          <w:noProof/>
        </w:rPr>
      </w:pPr>
      <w:r>
        <w:rPr>
          <w:noProof/>
        </w:rPr>
        <w:t>A hét ország előlegfizetés iránti kérelmeinek előzetes értékelése alapján a Bizottság Horvátország, Németország, Görögország, Magyarország, Írország, Portugália és Spanyolország esetében meghatározta az ideiglenesen elfogadott, a Covid19 egészségügyi szükséghelyzettel kapcsolatos teljes kiadást, kizárólag a fizetendő előleg megállapítása céljából:</w:t>
      </w:r>
    </w:p>
    <w:p>
      <w:pPr>
        <w:rPr>
          <w:noProof/>
        </w:rPr>
      </w:pPr>
    </w:p>
    <w:tbl>
      <w:tblPr>
        <w:tblpPr w:leftFromText="181" w:rightFromText="181" w:vertAnchor="text" w:horzAnchor="margin" w:tblpY="1"/>
        <w:tblOverlap w:val="never"/>
        <w:tblW w:w="960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101"/>
        <w:gridCol w:w="1417"/>
        <w:gridCol w:w="1276"/>
        <w:gridCol w:w="1134"/>
        <w:gridCol w:w="1276"/>
        <w:gridCol w:w="1134"/>
        <w:gridCol w:w="1134"/>
        <w:gridCol w:w="1134"/>
      </w:tblGrid>
      <w:tr>
        <w:trPr>
          <w:trHeight w:val="1406"/>
        </w:trPr>
        <w:tc>
          <w:tcPr>
            <w:tcW w:w="1101" w:type="dxa"/>
            <w:tcBorders>
              <w:top w:val="single" w:sz="4" w:space="0" w:color="auto"/>
              <w:bottom w:val="single" w:sz="4" w:space="0" w:color="auto"/>
              <w:right w:val="single" w:sz="4" w:space="0" w:color="auto"/>
            </w:tcBorders>
            <w:shd w:val="clear" w:color="auto" w:fill="EEECE1"/>
            <w:vAlign w:val="center"/>
            <w:hideMark/>
          </w:tcPr>
          <w:p>
            <w:pPr>
              <w:jc w:val="center"/>
              <w:rPr>
                <w:rFonts w:eastAsia="Times New Roman"/>
                <w:b/>
                <w:noProof/>
                <w:snapToGrid w:val="0"/>
                <w:sz w:val="18"/>
                <w:szCs w:val="18"/>
              </w:rPr>
            </w:pPr>
            <w:r>
              <w:rPr>
                <w:b/>
                <w:noProof/>
                <w:snapToGrid w:val="0"/>
                <w:sz w:val="18"/>
                <w:szCs w:val="18"/>
              </w:rPr>
              <w:t>Kérelmező ország</w:t>
            </w:r>
          </w:p>
        </w:tc>
        <w:tc>
          <w:tcPr>
            <w:tcW w:w="1417" w:type="dxa"/>
            <w:tcBorders>
              <w:top w:val="single" w:sz="4" w:space="0" w:color="auto"/>
              <w:left w:val="single" w:sz="4" w:space="0" w:color="auto"/>
              <w:bottom w:val="single" w:sz="4" w:space="0" w:color="auto"/>
              <w:right w:val="single" w:sz="4" w:space="0" w:color="auto"/>
            </w:tcBorders>
            <w:shd w:val="clear" w:color="auto" w:fill="EEECE1"/>
            <w:vAlign w:val="center"/>
          </w:tcPr>
          <w:p>
            <w:pPr>
              <w:ind w:right="59"/>
              <w:jc w:val="center"/>
              <w:rPr>
                <w:rFonts w:eastAsia="Times New Roman"/>
                <w:i/>
                <w:noProof/>
                <w:snapToGrid w:val="0"/>
                <w:sz w:val="18"/>
                <w:szCs w:val="18"/>
              </w:rPr>
            </w:pPr>
            <w:r>
              <w:rPr>
                <w:i/>
                <w:noProof/>
                <w:snapToGrid w:val="0"/>
                <w:sz w:val="18"/>
                <w:szCs w:val="18"/>
              </w:rPr>
              <w:t xml:space="preserve">A kérelemben szereplő közvetlen közkiadások teljes összege </w:t>
            </w:r>
            <w:r>
              <w:rPr>
                <w:noProof/>
              </w:rPr>
              <w:br/>
            </w:r>
            <w:r>
              <w:rPr>
                <w:i/>
                <w:noProof/>
                <w:snapToGrid w:val="0"/>
                <w:sz w:val="18"/>
                <w:szCs w:val="18"/>
              </w:rPr>
              <w:t>(EUR)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Az Európai Bizottság által ideiglenesen elfogadott kiadások összesen</w:t>
            </w:r>
          </w:p>
          <w:p>
            <w:pPr>
              <w:spacing w:before="0" w:after="0"/>
              <w:jc w:val="center"/>
              <w:rPr>
                <w:rFonts w:eastAsia="Times New Roman"/>
                <w:i/>
                <w:noProof/>
                <w:snapToGrid w:val="0"/>
                <w:sz w:val="18"/>
                <w:szCs w:val="18"/>
              </w:rPr>
            </w:pPr>
            <w:r>
              <w:rPr>
                <w:i/>
                <w:noProof/>
                <w:snapToGrid w:val="0"/>
                <w:sz w:val="18"/>
                <w:szCs w:val="18"/>
              </w:rPr>
              <w:t>(EUR)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Az alkalmazott „jelentős egészségügyi szükséghelyzet” küszöbérték (millió 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Az összes közvetlen kár 2,5 %-a a „jelentős népegészségügyi szükséghelyzet” küszöbértékig</w:t>
            </w:r>
            <w:r>
              <w:rPr>
                <w:noProof/>
              </w:rPr>
              <w:br/>
            </w:r>
            <w:r>
              <w:rPr>
                <w:i/>
                <w:noProof/>
                <w:snapToGrid w:val="0"/>
                <w:sz w:val="18"/>
                <w:szCs w:val="18"/>
              </w:rPr>
              <w:t>(EUR)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Az összes közvetlen kár 6 %-a a „jelentős népegészségügyi szükséghelyzet” küszöbérték felett</w:t>
            </w:r>
            <w:r>
              <w:rPr>
                <w:noProof/>
              </w:rPr>
              <w:br/>
            </w:r>
            <w:r>
              <w:rPr>
                <w:i/>
                <w:noProof/>
                <w:snapToGrid w:val="0"/>
                <w:sz w:val="18"/>
                <w:szCs w:val="18"/>
              </w:rPr>
              <w:t>(EUR)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Lehetséges támogatási összeg</w:t>
            </w:r>
          </w:p>
          <w:p>
            <w:pPr>
              <w:jc w:val="center"/>
              <w:rPr>
                <w:rFonts w:eastAsia="Times New Roman"/>
                <w:i/>
                <w:noProof/>
                <w:snapToGrid w:val="0"/>
                <w:sz w:val="18"/>
                <w:szCs w:val="18"/>
              </w:rPr>
            </w:pPr>
            <w:r>
              <w:rPr>
                <w:i/>
                <w:noProof/>
                <w:snapToGrid w:val="0"/>
                <w:sz w:val="18"/>
                <w:szCs w:val="18"/>
              </w:rPr>
              <w:t>(EUR)</w:t>
            </w:r>
          </w:p>
        </w:tc>
        <w:tc>
          <w:tcPr>
            <w:tcW w:w="1134" w:type="dxa"/>
            <w:tcBorders>
              <w:top w:val="single" w:sz="4" w:space="0" w:color="auto"/>
              <w:left w:val="single" w:sz="4" w:space="0" w:color="auto"/>
              <w:bottom w:val="single" w:sz="4" w:space="0" w:color="auto"/>
            </w:tcBorders>
            <w:shd w:val="clear" w:color="auto" w:fill="EEECE1"/>
            <w:vAlign w:val="center"/>
          </w:tcPr>
          <w:p>
            <w:pPr>
              <w:jc w:val="center"/>
              <w:rPr>
                <w:rFonts w:eastAsia="Times New Roman"/>
                <w:b/>
                <w:i/>
                <w:noProof/>
                <w:snapToGrid w:val="0"/>
                <w:sz w:val="18"/>
                <w:szCs w:val="18"/>
              </w:rPr>
            </w:pPr>
            <w:r>
              <w:rPr>
                <w:b/>
                <w:i/>
                <w:noProof/>
                <w:snapToGrid w:val="0"/>
                <w:sz w:val="18"/>
                <w:szCs w:val="18"/>
              </w:rPr>
              <w:t>25 %-os előlegfizetés</w:t>
            </w:r>
          </w:p>
          <w:p>
            <w:pPr>
              <w:jc w:val="center"/>
              <w:rPr>
                <w:rFonts w:eastAsia="Times New Roman"/>
                <w:b/>
                <w:i/>
                <w:noProof/>
                <w:snapToGrid w:val="0"/>
                <w:sz w:val="18"/>
                <w:szCs w:val="18"/>
              </w:rPr>
            </w:pPr>
            <w:r>
              <w:rPr>
                <w:i/>
                <w:noProof/>
                <w:snapToGrid w:val="0"/>
                <w:sz w:val="18"/>
                <w:szCs w:val="18"/>
              </w:rPr>
              <w:t>(EUR)</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Horvátország</w:t>
            </w:r>
          </w:p>
          <w:p>
            <w:pPr>
              <w:spacing w:before="40" w:after="40"/>
              <w:jc w:val="left"/>
              <w:rPr>
                <w:rFonts w:eastAsia="Times New Roman"/>
                <w:noProof/>
                <w:snapToGrid w:val="0"/>
                <w:sz w:val="18"/>
                <w:szCs w:val="18"/>
                <w:lang w:eastAsia="en-GB"/>
              </w:rPr>
            </w:pPr>
          </w:p>
        </w:tc>
        <w:tc>
          <w:tcPr>
            <w:tcW w:w="1417" w:type="dxa"/>
            <w:tcBorders>
              <w:top w:val="single"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658 771 839</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 xml:space="preserve">652 607 470 </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151,638</w:t>
            </w:r>
          </w:p>
        </w:tc>
        <w:tc>
          <w:tcPr>
            <w:tcW w:w="1276"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3 790 950</w:t>
            </w:r>
          </w:p>
        </w:tc>
        <w:tc>
          <w:tcPr>
            <w:tcW w:w="1134"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30 058 168</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33 849 118</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8 462 280</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Németország</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1 792,639</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17 181 660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61 997 635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15 499 409</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Görögország</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551,220</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13 780 500</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4 362 300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18 142 800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4 535 700</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Magyarország</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385,263</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9 631 575</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93 944 140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106 348 275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26 587 069</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Írország</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762,921</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19 073 025</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74 044 740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93 117 765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23 279 441</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Portugália</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3 470 870 000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2 850 870 000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598,233</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14 955 825</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 xml:space="preserve">103 198 020 </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150 114 045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37 528 511</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Spanyolország</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15 750 543 061</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2 168 667 388</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1 792,639</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22 561 703</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67 377 678</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16 844 420</w:t>
            </w:r>
          </w:p>
        </w:tc>
      </w:tr>
      <w:tr>
        <w:tc>
          <w:tcPr>
            <w:tcW w:w="8472" w:type="dxa"/>
            <w:gridSpan w:val="7"/>
            <w:tcBorders>
              <w:top w:val="dotted" w:sz="4" w:space="0" w:color="auto"/>
              <w:bottom w:val="single" w:sz="4" w:space="0" w:color="auto"/>
            </w:tcBorders>
            <w:shd w:val="clear" w:color="auto" w:fill="EEECE1"/>
          </w:tcPr>
          <w:p>
            <w:pPr>
              <w:jc w:val="right"/>
              <w:rPr>
                <w:rFonts w:eastAsia="Times New Roman"/>
                <w:i/>
                <w:iCs/>
                <w:noProof/>
                <w:sz w:val="18"/>
                <w:szCs w:val="18"/>
              </w:rPr>
            </w:pPr>
            <w:r>
              <w:rPr>
                <w:b/>
                <w:noProof/>
                <w:snapToGrid w:val="0"/>
                <w:sz w:val="18"/>
                <w:szCs w:val="18"/>
              </w:rPr>
              <w:t>ÖSSZESEN</w:t>
            </w:r>
          </w:p>
        </w:tc>
        <w:tc>
          <w:tcPr>
            <w:tcW w:w="1134" w:type="dxa"/>
            <w:tcBorders>
              <w:top w:val="dotted" w:sz="4" w:space="0" w:color="auto"/>
              <w:bottom w:val="single" w:sz="4" w:space="0" w:color="auto"/>
            </w:tcBorders>
            <w:vAlign w:val="center"/>
          </w:tcPr>
          <w:p>
            <w:pPr>
              <w:jc w:val="right"/>
              <w:rPr>
                <w:rFonts w:eastAsia="Times New Roman"/>
                <w:b/>
                <w:i/>
                <w:iCs/>
                <w:noProof/>
                <w:sz w:val="18"/>
                <w:szCs w:val="18"/>
              </w:rPr>
            </w:pPr>
            <w:r>
              <w:rPr>
                <w:b/>
                <w:i/>
                <w:iCs/>
                <w:noProof/>
                <w:sz w:val="18"/>
                <w:szCs w:val="18"/>
              </w:rPr>
              <w:t>132 736 830</w:t>
            </w:r>
          </w:p>
        </w:tc>
      </w:tr>
    </w:tbl>
    <w:p>
      <w:pPr>
        <w:rPr>
          <w:noProof/>
        </w:rPr>
      </w:pPr>
    </w:p>
    <w:p>
      <w:pPr>
        <w:rPr>
          <w:noProof/>
          <w:snapToGrid w:val="0"/>
        </w:rPr>
      </w:pPr>
      <w:r>
        <w:rPr>
          <w:noProof/>
          <w:snapToGrid w:val="0"/>
        </w:rPr>
        <w:t>Az EUSZA számára 2020-ban rendelkezésre álló éves allokáció 597 546 284 EUR (azaz 2011-es árakon 500 millió EUR). Ezenkívül a 2019. évi allokációból 552 977 761 EUR nem került felhasználásra az említett év végéig, és átvitték a 2020. évre.</w:t>
      </w:r>
    </w:p>
    <w:p>
      <w:pPr>
        <w:spacing w:before="0" w:after="0"/>
        <w:rPr>
          <w:noProof/>
          <w:snapToGrid w:val="0"/>
        </w:rPr>
      </w:pPr>
      <w:r>
        <w:rPr>
          <w:noProof/>
          <w:snapToGrid w:val="0"/>
        </w:rPr>
        <w:t>A többéves pénzügyi keretről szóló rendelet</w:t>
      </w:r>
      <w:r>
        <w:rPr>
          <w:rStyle w:val="FootnoteReference"/>
          <w:noProof/>
          <w:snapToGrid w:val="0"/>
        </w:rPr>
        <w:footnoteReference w:id="6"/>
      </w:r>
      <w:r>
        <w:rPr>
          <w:noProof/>
          <w:snapToGrid w:val="0"/>
        </w:rPr>
        <w:t xml:space="preserve"> 10. cikkének (1) bekezdésének megfelelően a 2020. évi eredeti allokáció 25 %-át (149 386 571 EUR-t) 2020. október 1-jéig vissza kell </w:t>
      </w:r>
      <w:r>
        <w:rPr>
          <w:noProof/>
          <w:snapToGrid w:val="0"/>
        </w:rPr>
        <w:lastRenderedPageBreak/>
        <w:t>tartani, és az attól a naptól kezdve áll rendelkezésre. Ezért a Szolidaritási Alap keretében a 2020. év egészére rendelkezésre álló maximális összeg 1 150 524 045 EUR.</w:t>
      </w:r>
    </w:p>
    <w:p>
      <w:pPr>
        <w:rPr>
          <w:noProof/>
          <w:snapToGrid w:val="0"/>
        </w:rPr>
      </w:pPr>
      <w:r>
        <w:rPr>
          <w:noProof/>
          <w:snapToGrid w:val="0"/>
        </w:rPr>
        <w:t>Egy 2020. évi, korábbi igénybevételi határozatot követően az EUSZA-t már igénybe vették</w:t>
      </w:r>
      <w:r>
        <w:rPr>
          <w:rStyle w:val="FootnoteReference"/>
          <w:noProof/>
          <w:snapToGrid w:val="0"/>
        </w:rPr>
        <w:footnoteReference w:id="7"/>
      </w:r>
      <w:r>
        <w:rPr>
          <w:noProof/>
          <w:snapToGrid w:val="0"/>
        </w:rPr>
        <w:t xml:space="preserve"> a következő négy kérelem esetében, ami csökkentette az év végéig rendelkezésre álló teljes összeget:</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0"/>
        <w:gridCol w:w="2725"/>
      </w:tblGrid>
      <w:tr>
        <w:trPr>
          <w:trHeight w:val="788"/>
          <w:jc w:val="center"/>
        </w:trPr>
        <w:tc>
          <w:tcPr>
            <w:tcW w:w="5370" w:type="dxa"/>
            <w:shd w:val="clear" w:color="auto" w:fill="EEECE1"/>
            <w:vAlign w:val="center"/>
            <w:hideMark/>
          </w:tcPr>
          <w:p>
            <w:pPr>
              <w:rPr>
                <w:b/>
                <w:noProof/>
                <w:snapToGrid w:val="0"/>
                <w:sz w:val="20"/>
                <w:szCs w:val="20"/>
              </w:rPr>
            </w:pPr>
            <w:r>
              <w:rPr>
                <w:b/>
                <w:noProof/>
                <w:snapToGrid w:val="0"/>
                <w:sz w:val="20"/>
                <w:szCs w:val="20"/>
              </w:rPr>
              <w:t>Katasztrófa</w:t>
            </w:r>
          </w:p>
        </w:tc>
        <w:tc>
          <w:tcPr>
            <w:tcW w:w="2725" w:type="dxa"/>
            <w:shd w:val="clear" w:color="auto" w:fill="EEECE1"/>
          </w:tcPr>
          <w:p>
            <w:pPr>
              <w:jc w:val="center"/>
              <w:rPr>
                <w:i/>
                <w:noProof/>
                <w:snapToGrid w:val="0"/>
                <w:sz w:val="20"/>
                <w:szCs w:val="20"/>
              </w:rPr>
            </w:pPr>
            <w:r>
              <w:rPr>
                <w:b/>
                <w:i/>
                <w:noProof/>
                <w:snapToGrid w:val="0"/>
                <w:sz w:val="20"/>
                <w:szCs w:val="20"/>
              </w:rPr>
              <w:t>A javasolt támogatás teljes összege</w:t>
            </w:r>
            <w:r>
              <w:rPr>
                <w:noProof/>
              </w:rPr>
              <w:t xml:space="preserve"> </w:t>
            </w:r>
            <w:r>
              <w:rPr>
                <w:b/>
                <w:i/>
                <w:noProof/>
                <w:snapToGrid w:val="0"/>
                <w:sz w:val="20"/>
                <w:szCs w:val="20"/>
              </w:rPr>
              <w:t>(EUR)</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PORTUGÁLIA – 2019. évi Lorenzo hurrikán (regionális katasztrófa)</w:t>
            </w:r>
          </w:p>
        </w:tc>
        <w:tc>
          <w:tcPr>
            <w:tcW w:w="2725" w:type="dxa"/>
            <w:vAlign w:val="center"/>
          </w:tcPr>
          <w:p>
            <w:pPr>
              <w:jc w:val="right"/>
              <w:rPr>
                <w:b/>
                <w:i/>
                <w:iCs/>
                <w:noProof/>
                <w:sz w:val="20"/>
                <w:szCs w:val="20"/>
              </w:rPr>
            </w:pPr>
            <w:r>
              <w:rPr>
                <w:b/>
                <w:i/>
                <w:iCs/>
                <w:noProof/>
                <w:sz w:val="20"/>
                <w:szCs w:val="20"/>
              </w:rPr>
              <w:t>8 212 697</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SPANYOLORSZÁG – 2019. évi szélsőséges időjárás DANA (regionális katasztrófa)</w:t>
            </w:r>
          </w:p>
        </w:tc>
        <w:tc>
          <w:tcPr>
            <w:tcW w:w="2725" w:type="dxa"/>
            <w:vAlign w:val="center"/>
          </w:tcPr>
          <w:p>
            <w:pPr>
              <w:jc w:val="right"/>
              <w:rPr>
                <w:b/>
                <w:i/>
                <w:iCs/>
                <w:noProof/>
                <w:sz w:val="20"/>
                <w:szCs w:val="20"/>
              </w:rPr>
            </w:pPr>
            <w:r>
              <w:rPr>
                <w:b/>
                <w:i/>
                <w:iCs/>
                <w:noProof/>
                <w:sz w:val="20"/>
                <w:szCs w:val="20"/>
              </w:rPr>
              <w:t>56 743 358</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OLASZORSZÁG – 2019. évi szélsőséges időjárás (jelentős katasztrófa)</w:t>
            </w:r>
          </w:p>
        </w:tc>
        <w:tc>
          <w:tcPr>
            <w:tcW w:w="2725" w:type="dxa"/>
            <w:vAlign w:val="center"/>
          </w:tcPr>
          <w:p>
            <w:pPr>
              <w:jc w:val="right"/>
              <w:rPr>
                <w:b/>
                <w:i/>
                <w:iCs/>
                <w:noProof/>
                <w:sz w:val="20"/>
                <w:szCs w:val="20"/>
              </w:rPr>
            </w:pPr>
            <w:r>
              <w:rPr>
                <w:b/>
                <w:i/>
                <w:iCs/>
                <w:noProof/>
                <w:sz w:val="20"/>
                <w:szCs w:val="20"/>
              </w:rPr>
              <w:t>211 707 982</w:t>
            </w:r>
          </w:p>
        </w:tc>
      </w:tr>
      <w:tr>
        <w:trPr>
          <w:jc w:val="center"/>
        </w:trPr>
        <w:tc>
          <w:tcPr>
            <w:tcW w:w="5370" w:type="dxa"/>
            <w:shd w:val="clear" w:color="auto" w:fill="EEECE1"/>
            <w:vAlign w:val="center"/>
            <w:hideMark/>
          </w:tcPr>
          <w:p>
            <w:pPr>
              <w:spacing w:before="40" w:after="40"/>
              <w:jc w:val="left"/>
              <w:rPr>
                <w:noProof/>
                <w:snapToGrid w:val="0"/>
                <w:sz w:val="20"/>
                <w:szCs w:val="20"/>
              </w:rPr>
            </w:pPr>
            <w:r>
              <w:rPr>
                <w:noProof/>
                <w:snapToGrid w:val="0"/>
                <w:sz w:val="20"/>
                <w:szCs w:val="20"/>
              </w:rPr>
              <w:t>AUSZTRIA – 2019. évi szélsőséges időjárás (szomszédos katasztrófa)</w:t>
            </w:r>
          </w:p>
        </w:tc>
        <w:tc>
          <w:tcPr>
            <w:tcW w:w="2725" w:type="dxa"/>
            <w:vAlign w:val="center"/>
          </w:tcPr>
          <w:p>
            <w:pPr>
              <w:jc w:val="right"/>
              <w:rPr>
                <w:b/>
                <w:i/>
                <w:iCs/>
                <w:noProof/>
                <w:sz w:val="20"/>
                <w:szCs w:val="20"/>
              </w:rPr>
            </w:pPr>
            <w:r>
              <w:rPr>
                <w:b/>
                <w:i/>
                <w:iCs/>
                <w:noProof/>
                <w:sz w:val="20"/>
                <w:szCs w:val="20"/>
              </w:rPr>
              <w:t>2 329 777</w:t>
            </w:r>
          </w:p>
        </w:tc>
      </w:tr>
      <w:tr>
        <w:trPr>
          <w:jc w:val="center"/>
        </w:trPr>
        <w:tc>
          <w:tcPr>
            <w:tcW w:w="5370" w:type="dxa"/>
            <w:shd w:val="clear" w:color="auto" w:fill="EEECE1"/>
            <w:vAlign w:val="center"/>
          </w:tcPr>
          <w:p>
            <w:pPr>
              <w:spacing w:before="40" w:after="40"/>
              <w:jc w:val="left"/>
              <w:rPr>
                <w:noProof/>
                <w:snapToGrid w:val="0"/>
                <w:sz w:val="20"/>
                <w:szCs w:val="20"/>
              </w:rPr>
            </w:pPr>
            <w:r>
              <w:rPr>
                <w:b/>
                <w:noProof/>
                <w:snapToGrid w:val="0"/>
                <w:sz w:val="20"/>
                <w:szCs w:val="20"/>
              </w:rPr>
              <w:t>ÖSSZESEN</w:t>
            </w:r>
          </w:p>
        </w:tc>
        <w:tc>
          <w:tcPr>
            <w:tcW w:w="2725" w:type="dxa"/>
            <w:vAlign w:val="center"/>
          </w:tcPr>
          <w:p>
            <w:pPr>
              <w:jc w:val="right"/>
              <w:rPr>
                <w:b/>
                <w:i/>
                <w:iCs/>
                <w:noProof/>
                <w:sz w:val="20"/>
                <w:szCs w:val="20"/>
              </w:rPr>
            </w:pPr>
            <w:r>
              <w:rPr>
                <w:b/>
                <w:i/>
                <w:iCs/>
                <w:noProof/>
                <w:sz w:val="20"/>
                <w:szCs w:val="20"/>
              </w:rPr>
              <w:t xml:space="preserve">278 993 814 </w:t>
            </w:r>
          </w:p>
        </w:tc>
      </w:tr>
    </w:tbl>
    <w:p>
      <w:pPr>
        <w:spacing w:before="360" w:after="360"/>
        <w:rPr>
          <w:noProof/>
          <w:snapToGrid w:val="0"/>
        </w:rPr>
      </w:pPr>
      <w:r>
        <w:rPr>
          <w:noProof/>
          <w:snapToGrid w:val="0"/>
        </w:rPr>
        <w:t>Ezért az EUSZA keretében 2020-ban jelenleg rendelkezésre álló maximális összeg 871 530 231 EUR, ami elegendő az igénybevételre vonatkozó határozatban szereplő, fent említett igények fedezésére (823 548 633 EUR, ebből 683 740 523 EUR a horvátországi földrengéssel, 7 071 280 EUR a lengyelországi árvizekkel és 132 736 830 EUR Covid19-kérelmekkel összefüggő előlegkifizetésekkel kapcsolatos igények fedezésére szolgál)</w:t>
      </w:r>
      <w:r>
        <w:rPr>
          <w:rStyle w:val="FootnoteReference"/>
          <w:noProof/>
          <w:snapToGrid w:val="0"/>
        </w:rPr>
        <w:footnoteReference w:id="8"/>
      </w:r>
      <w:r>
        <w:rPr>
          <w:noProof/>
          <w:snapToGrid w:val="0"/>
        </w:rPr>
        <w:t>.</w:t>
      </w:r>
    </w:p>
    <w:tbl>
      <w:tblPr>
        <w:tblW w:w="9077" w:type="dxa"/>
        <w:tblInd w:w="103" w:type="dxa"/>
        <w:tblLook w:val="04A0" w:firstRow="1" w:lastRow="0" w:firstColumn="1" w:lastColumn="0" w:noHBand="0" w:noVBand="1"/>
      </w:tblPr>
      <w:tblGrid>
        <w:gridCol w:w="6101"/>
        <w:gridCol w:w="2976"/>
      </w:tblGrid>
      <w:tr>
        <w:trPr>
          <w:trHeight w:val="452"/>
        </w:trPr>
        <w:tc>
          <w:tcPr>
            <w:tcW w:w="6101" w:type="dxa"/>
            <w:tcBorders>
              <w:top w:val="single" w:sz="4" w:space="0" w:color="auto"/>
              <w:left w:val="single" w:sz="4" w:space="0" w:color="auto"/>
              <w:bottom w:val="single" w:sz="4" w:space="0" w:color="auto"/>
              <w:right w:val="nil"/>
            </w:tcBorders>
            <w:shd w:val="clear" w:color="auto" w:fill="E7E6E6"/>
            <w:vAlign w:val="center"/>
            <w:hideMark/>
          </w:tcPr>
          <w:p>
            <w:pPr>
              <w:jc w:val="left"/>
              <w:rPr>
                <w:b/>
                <w:bCs/>
                <w:noProof/>
                <w:sz w:val="20"/>
                <w:szCs w:val="18"/>
              </w:rPr>
            </w:pPr>
            <w:r>
              <w:rPr>
                <w:b/>
                <w:bCs/>
                <w:noProof/>
                <w:sz w:val="20"/>
                <w:szCs w:val="18"/>
              </w:rPr>
              <w:t>A Szolidaritási Alapból jelenleg rendelkezésre álló összeg:</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jc w:val="left"/>
              <w:rPr>
                <w:noProof/>
                <w:sz w:val="20"/>
                <w:szCs w:val="18"/>
              </w:rPr>
            </w:pPr>
            <w:r>
              <w:rPr>
                <w:noProof/>
                <w:sz w:val="20"/>
                <w:szCs w:val="18"/>
              </w:rPr>
              <w:t xml:space="preserve"> </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noProof/>
                <w:color w:val="000000"/>
                <w:sz w:val="20"/>
                <w:szCs w:val="18"/>
              </w:rPr>
            </w:pPr>
            <w:r>
              <w:rPr>
                <w:noProof/>
                <w:color w:val="000000"/>
                <w:sz w:val="20"/>
                <w:szCs w:val="18"/>
              </w:rPr>
              <w:t xml:space="preserve">A 2020. évi allokáció </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 xml:space="preserve"> 597 546 284 EUR</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40" w:after="40"/>
              <w:jc w:val="left"/>
              <w:rPr>
                <w:noProof/>
                <w:color w:val="000000"/>
                <w:sz w:val="20"/>
                <w:szCs w:val="18"/>
              </w:rPr>
            </w:pPr>
            <w:r>
              <w:rPr>
                <w:noProof/>
                <w:color w:val="000000"/>
                <w:sz w:val="20"/>
                <w:szCs w:val="18"/>
              </w:rPr>
              <w:t>Plusz a fel nem használt és 2020-ra átvitt 2019. évi allokáció összege</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+552 977 761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hideMark/>
          </w:tcPr>
          <w:p>
            <w:pPr>
              <w:spacing w:before="40" w:after="40"/>
              <w:jc w:val="left"/>
              <w:rPr>
                <w:noProof/>
                <w:color w:val="000000"/>
                <w:sz w:val="20"/>
                <w:szCs w:val="18"/>
              </w:rPr>
            </w:pPr>
            <w:r>
              <w:rPr>
                <w:noProof/>
                <w:color w:val="000000"/>
                <w:sz w:val="20"/>
                <w:szCs w:val="18"/>
              </w:rPr>
              <w:t>[a 2020. évi allokáció 25 %-át 2020. október 1-jéig vissza kell tartani]</w:t>
            </w:r>
          </w:p>
        </w:tc>
        <w:tc>
          <w:tcPr>
            <w:tcW w:w="2976" w:type="dxa"/>
            <w:tcBorders>
              <w:top w:val="single" w:sz="4" w:space="0" w:color="auto"/>
              <w:left w:val="nil"/>
              <w:bottom w:val="single" w:sz="4" w:space="0" w:color="auto"/>
              <w:right w:val="single" w:sz="4" w:space="0" w:color="auto"/>
            </w:tcBorders>
            <w:shd w:val="clear" w:color="auto" w:fill="FFFFFF" w:themeFill="background1"/>
            <w:vAlign w:val="center"/>
            <w:hideMark/>
          </w:tcPr>
          <w:p>
            <w:pPr>
              <w:spacing w:before="40" w:after="40"/>
              <w:jc w:val="center"/>
              <w:rPr>
                <w:bCs/>
                <w:i/>
                <w:iCs/>
                <w:noProof/>
                <w:sz w:val="20"/>
                <w:szCs w:val="18"/>
              </w:rPr>
            </w:pPr>
            <w:r>
              <w:rPr>
                <w:bCs/>
                <w:i/>
                <w:iCs/>
                <w:noProof/>
                <w:sz w:val="20"/>
                <w:szCs w:val="18"/>
              </w:rPr>
              <w:t>[149 386 571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tcPr>
          <w:p>
            <w:pPr>
              <w:spacing w:before="40" w:after="40"/>
              <w:jc w:val="left"/>
              <w:rPr>
                <w:noProof/>
                <w:color w:val="000000"/>
                <w:sz w:val="20"/>
                <w:szCs w:val="18"/>
              </w:rPr>
            </w:pPr>
            <w:r>
              <w:rPr>
                <w:noProof/>
                <w:color w:val="000000"/>
                <w:sz w:val="20"/>
                <w:szCs w:val="18"/>
              </w:rPr>
              <w:t>Mínusz a következő országoknak javasolt támogatások teljes összege: PT (Lorenzo hurrikán), ES (2019. évi szélsőséges időjárás DANA), IT (</w:t>
            </w:r>
            <w:r>
              <w:rPr>
                <w:noProof/>
                <w:snapToGrid w:val="0"/>
                <w:sz w:val="20"/>
                <w:szCs w:val="20"/>
              </w:rPr>
              <w:t>2019. évi szélsőséges időjárás) és AT (2019. évi szélsőséges időjárás)</w:t>
            </w:r>
          </w:p>
        </w:tc>
        <w:tc>
          <w:tcPr>
            <w:tcW w:w="2976" w:type="dxa"/>
            <w:tcBorders>
              <w:top w:val="single" w:sz="4" w:space="0" w:color="auto"/>
              <w:left w:val="nil"/>
              <w:bottom w:val="nil"/>
              <w:right w:val="single" w:sz="4" w:space="0" w:color="auto"/>
            </w:tcBorders>
            <w:shd w:val="clear" w:color="auto" w:fill="auto"/>
            <w:vAlign w:val="center"/>
          </w:tcPr>
          <w:p>
            <w:pPr>
              <w:spacing w:before="40" w:after="40"/>
              <w:jc w:val="center"/>
              <w:rPr>
                <w:bCs/>
                <w:i/>
                <w:iCs/>
                <w:noProof/>
                <w:sz w:val="20"/>
                <w:szCs w:val="18"/>
              </w:rPr>
            </w:pPr>
            <w:r>
              <w:rPr>
                <w:bCs/>
                <w:i/>
                <w:iCs/>
                <w:noProof/>
                <w:sz w:val="20"/>
                <w:szCs w:val="18"/>
              </w:rPr>
              <w:t>–278 993 814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b/>
                <w:bCs/>
                <w:noProof/>
                <w:sz w:val="20"/>
                <w:szCs w:val="18"/>
              </w:rPr>
            </w:pPr>
            <w:r>
              <w:rPr>
                <w:b/>
                <w:bCs/>
                <w:noProof/>
                <w:sz w:val="20"/>
                <w:szCs w:val="18"/>
              </w:rPr>
              <w:t>2020. január-szeptember között rendelkezésre álló összeg </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pPr>
              <w:spacing w:before="40" w:after="40"/>
              <w:jc w:val="center"/>
              <w:rPr>
                <w:b/>
                <w:bCs/>
                <w:i/>
                <w:iCs/>
                <w:noProof/>
                <w:sz w:val="20"/>
                <w:szCs w:val="18"/>
              </w:rPr>
            </w:pPr>
            <w:r>
              <w:rPr>
                <w:b/>
                <w:bCs/>
                <w:i/>
                <w:iCs/>
                <w:noProof/>
                <w:sz w:val="20"/>
                <w:szCs w:val="18"/>
              </w:rPr>
              <w:t>722 143 660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bCs/>
                <w:noProof/>
                <w:sz w:val="20"/>
                <w:szCs w:val="18"/>
              </w:rPr>
              <w:t xml:space="preserve">Jelenleg rendelkezésre álló maximális összeg </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871 530 231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Cs/>
                <w:noProof/>
                <w:sz w:val="20"/>
                <w:szCs w:val="20"/>
              </w:rPr>
            </w:pPr>
            <w:r>
              <w:rPr>
                <w:bCs/>
                <w:noProof/>
                <w:sz w:val="20"/>
                <w:szCs w:val="20"/>
              </w:rPr>
              <w:t>A Horvátországnak, Lengyelországnak és a Covid19-előlegekként nyújtandó javasolt teljes összeg</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–823 548 633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noProof/>
                <w:sz w:val="20"/>
                <w:szCs w:val="20"/>
              </w:rPr>
              <w:t>2020. december 31-ig rendelkezésre álló fennmaradó összegek</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47 981 598 EUR</w:t>
            </w:r>
          </w:p>
        </w:tc>
      </w:tr>
    </w:tbl>
    <w:p>
      <w:pPr>
        <w:rPr>
          <w:noProof/>
        </w:rPr>
        <w:sectPr>
          <w:footerReference w:type="default" r:id="rId11"/>
          <w:footerReference w:type="first" r:id="rId12"/>
          <w:pgSz w:w="11907" w:h="16839"/>
          <w:pgMar w:top="1134" w:right="1417" w:bottom="1134" w:left="1417" w:header="709" w:footer="709" w:gutter="0"/>
          <w:pgNumType w:start="2"/>
          <w:cols w:space="720"/>
          <w:docGrid w:linePitch="360"/>
        </w:sectPr>
      </w:pPr>
    </w:p>
    <w:p>
      <w:pPr>
        <w:pStyle w:val="Rfrenceinterinstitutionnelle"/>
        <w:rPr>
          <w:noProof/>
        </w:rPr>
      </w:pPr>
      <w:r>
        <w:rPr>
          <w:noProof/>
        </w:rPr>
        <w:lastRenderedPageBreak/>
        <w:t>2020/0299 (BUD)</w:t>
      </w:r>
    </w:p>
    <w:p>
      <w:pPr>
        <w:pStyle w:val="Statut"/>
        <w:rPr>
          <w:noProof/>
        </w:rPr>
      </w:pPr>
      <w:r>
        <w:rPr>
          <w:noProof/>
        </w:rPr>
        <w:t>Javaslat</w:t>
      </w:r>
    </w:p>
    <w:p>
      <w:pPr>
        <w:pStyle w:val="Typedudocument"/>
        <w:rPr>
          <w:noProof/>
        </w:rPr>
      </w:pPr>
      <w:r>
        <w:rPr>
          <w:noProof/>
        </w:rPr>
        <w:t>AZ EURÓPAI PARLAMENT ÉS A TANÁCS HATÁROZATA</w:t>
      </w:r>
    </w:p>
    <w:p>
      <w:pPr>
        <w:pStyle w:val="Titreobjet"/>
        <w:rPr>
          <w:noProof/>
        </w:rPr>
      </w:pPr>
      <w:r>
        <w:rPr>
          <w:noProof/>
        </w:rPr>
        <w:t>a Horvátországnak és Lengyelországnak természeti katasztrófával kapcsolatban nyújtandó segítség, valamint a Horvátországnak, Németországnak, Görögországnak, Magyarországnak, Írországnak, Portugáliának és Spanyolországnak népegészségügyi szükséghelyzettel kapcsolatban fizetendő előlegek biztosítása céljából az Európai Unió Szolidaritási Alapjának igénybevételéről</w:t>
      </w:r>
    </w:p>
    <w:p>
      <w:pPr>
        <w:pStyle w:val="Institutionquiagit"/>
        <w:spacing w:before="480" w:after="360"/>
        <w:rPr>
          <w:noProof/>
        </w:rPr>
      </w:pPr>
      <w:r>
        <w:rPr>
          <w:noProof/>
        </w:rPr>
        <w:t>AZ EURÓPAI PARLAMENT ÉS AZ EURÓPAI UNIÓ TANÁCSA,</w:t>
      </w:r>
    </w:p>
    <w:p>
      <w:pPr>
        <w:rPr>
          <w:noProof/>
        </w:rPr>
      </w:pPr>
      <w:r>
        <w:rPr>
          <w:noProof/>
        </w:rPr>
        <w:t>tekintettel az Európai Unió működéséről szóló szerződésre,</w:t>
      </w:r>
    </w:p>
    <w:p>
      <w:pPr>
        <w:rPr>
          <w:noProof/>
        </w:rPr>
      </w:pPr>
      <w:r>
        <w:rPr>
          <w:noProof/>
        </w:rPr>
        <w:t>tekintettel az Európai Unió Szolidaritási Alapjának létrehozásáról szóló, 2002. november 11-i 2012/2002/EK tanácsi rendeletre</w:t>
      </w:r>
      <w:r>
        <w:rPr>
          <w:rStyle w:val="FootnoteReference"/>
          <w:noProof/>
        </w:rPr>
        <w:footnoteReference w:id="9"/>
      </w:r>
      <w:r>
        <w:rPr>
          <w:noProof/>
        </w:rPr>
        <w:t xml:space="preserve"> és különösen annak 4. cikke (3) bekezdésére,</w:t>
      </w:r>
    </w:p>
    <w:p>
      <w:pPr>
        <w:rPr>
          <w:noProof/>
        </w:rPr>
      </w:pPr>
      <w:r>
        <w:rPr>
          <w:noProof/>
        </w:rPr>
        <w:t>tekintettel az Európai Parlament, a Tanács és a Bizottság közötti, a költségvetési fegyelemről, a költségvetési ügyekben való együttműködésről és a hatékony és eredményes pénzgazdálkodásról szóló, 2013. december 2-i intézményközi megállapodásra</w:t>
      </w:r>
      <w:r>
        <w:rPr>
          <w:rStyle w:val="FootnoteReference"/>
          <w:noProof/>
        </w:rPr>
        <w:footnoteReference w:id="10"/>
      </w:r>
      <w:r>
        <w:rPr>
          <w:noProof/>
        </w:rPr>
        <w:t xml:space="preserve"> és különösen annak 11. pontjára,</w:t>
      </w:r>
    </w:p>
    <w:p>
      <w:pPr>
        <w:rPr>
          <w:noProof/>
        </w:rPr>
      </w:pPr>
      <w:r>
        <w:rPr>
          <w:noProof/>
        </w:rPr>
        <w:t>tekintettel az Európai Bizottság javaslatára,</w:t>
      </w:r>
    </w:p>
    <w:p>
      <w:pPr>
        <w:spacing w:after="360"/>
        <w:rPr>
          <w:noProof/>
        </w:rPr>
      </w:pPr>
      <w:r>
        <w:rPr>
          <w:noProof/>
        </w:rPr>
        <w:t>mivel:</w:t>
      </w:r>
    </w:p>
    <w:p>
      <w:pPr>
        <w:pStyle w:val="Point0"/>
        <w:rPr>
          <w:noProof/>
        </w:rPr>
      </w:pPr>
      <w:r>
        <w:t>(1)</w:t>
      </w:r>
      <w:r>
        <w:tab/>
      </w:r>
      <w:r>
        <w:rPr>
          <w:noProof/>
        </w:rPr>
        <w:t>Az Európai Unió Szolidaritási Alapjának (a továbbiakban: az alap) célja, hogy az Unió gyors, hatékony és rugalmas módon legyen képes a veszélyhelyzetekre reagálni és kifejezni szolidaritását a jelentős vagy regionális természeti katasztrófák, illetve a jelentős népegészségügyi szükséghelyzet sújtotta régiók lakosságával.</w:t>
      </w:r>
    </w:p>
    <w:p>
      <w:pPr>
        <w:pStyle w:val="Point0"/>
        <w:rPr>
          <w:noProof/>
        </w:rPr>
      </w:pPr>
      <w:r>
        <w:t>(2)</w:t>
      </w:r>
      <w:r>
        <w:tab/>
      </w:r>
      <w:r>
        <w:rPr>
          <w:noProof/>
        </w:rPr>
        <w:t>Az alap éves maximális összege (2011-es árakon számítva) az 1311/2013/EU, Euratom tanácsi rendelet</w:t>
      </w:r>
      <w:r>
        <w:rPr>
          <w:rStyle w:val="FootnoteReference"/>
          <w:noProof/>
        </w:rPr>
        <w:footnoteReference w:id="11"/>
      </w:r>
      <w:r>
        <w:rPr>
          <w:noProof/>
        </w:rPr>
        <w:t xml:space="preserve"> 10. cikkében meghatározottaknak megfelelően 500 000 000 EUR.</w:t>
      </w:r>
    </w:p>
    <w:p>
      <w:pPr>
        <w:pStyle w:val="Point0"/>
        <w:rPr>
          <w:noProof/>
        </w:rPr>
      </w:pPr>
      <w:r>
        <w:t>(3)</w:t>
      </w:r>
      <w:r>
        <w:tab/>
      </w:r>
      <w:r>
        <w:rPr>
          <w:noProof/>
        </w:rPr>
        <w:t>Horvátország a Zágráb városát, valamint a Zágráb és a Krapina-Zagorje megyét sújtó, 2020. márciusi földrengés miatt 2020. június 10-én kérelmet nyújtott be az alap igénybevételére.</w:t>
      </w:r>
    </w:p>
    <w:p>
      <w:pPr>
        <w:pStyle w:val="Point0"/>
        <w:rPr>
          <w:noProof/>
        </w:rPr>
      </w:pPr>
      <w:r>
        <w:t>(4)</w:t>
      </w:r>
      <w:r>
        <w:tab/>
      </w:r>
      <w:r>
        <w:rPr>
          <w:noProof/>
        </w:rPr>
        <w:t>Lengyelország a Lengyel-Kárpátalja (Podkarpackie) vajdaságot sújtó, 2020. júniusi árvizek miatt 2020. augusztus 24-én kérelmet nyújtott be az alap igénybevételére.</w:t>
      </w:r>
    </w:p>
    <w:p>
      <w:pPr>
        <w:pStyle w:val="Point0"/>
        <w:rPr>
          <w:noProof/>
        </w:rPr>
      </w:pPr>
      <w:r>
        <w:t>(5)</w:t>
      </w:r>
      <w:r>
        <w:tab/>
      </w:r>
      <w:r>
        <w:rPr>
          <w:noProof/>
        </w:rPr>
        <w:t xml:space="preserve">Horvátország, Németország, Görögország, Magyarország, Írország, Portugália és Spanyolország a Covid19-világjárvány által 2020 elején okozott jelentős népegészségügyi szükséghelyzet miatt 2020. június 24-ig kérelmeket nyújtott be az </w:t>
      </w:r>
      <w:r>
        <w:rPr>
          <w:noProof/>
        </w:rPr>
        <w:lastRenderedPageBreak/>
        <w:t>alap igénybevételére. Kérelmében mind a hét tagállam előlegfizetést kért az alapból várható hozzájárulásból.</w:t>
      </w:r>
    </w:p>
    <w:p>
      <w:pPr>
        <w:pStyle w:val="Point0"/>
        <w:rPr>
          <w:noProof/>
        </w:rPr>
      </w:pPr>
      <w:r>
        <w:t>(6)</w:t>
      </w:r>
      <w:r>
        <w:tab/>
      </w:r>
      <w:r>
        <w:rPr>
          <w:noProof/>
        </w:rPr>
        <w:t>Horvátország és Lengyelország természeti katasztrófákkal kapcsolatos kérelmei eleget tesznek az alapból származó pénzügyi hozzájárulás nyújtására vonatkozóan a 2012/2002/EK rendelet 4. cikkében megállapított követelményeknek.</w:t>
      </w:r>
    </w:p>
    <w:p>
      <w:pPr>
        <w:pStyle w:val="Point0"/>
        <w:rPr>
          <w:noProof/>
        </w:rPr>
      </w:pPr>
      <w:r>
        <w:t>(7)</w:t>
      </w:r>
      <w:r>
        <w:tab/>
      </w:r>
      <w:r>
        <w:rPr>
          <w:noProof/>
        </w:rPr>
        <w:t>Az alapot tehát a Horvátországnak és Lengyelországnak nyújtandó pénzügyi hozzájárulás érdekében igénybe kell venni.</w:t>
      </w:r>
    </w:p>
    <w:p>
      <w:pPr>
        <w:pStyle w:val="Point0"/>
        <w:rPr>
          <w:noProof/>
        </w:rPr>
      </w:pPr>
      <w:r>
        <w:t>(8)</w:t>
      </w:r>
      <w:r>
        <w:tab/>
      </w:r>
      <w:r>
        <w:rPr>
          <w:noProof/>
        </w:rPr>
        <w:t>Annak biztosítása érdekében, hogy az Unió 2020. évi általános költségvetésében elegendő költségvetési forrás álljon rendelkezésre, az alapot a Horvátországnak, Németországnak, Görögországnak, Magyarországnak, Írországnak, Portugáliának és Spanyolországnak a jelentős népegészségügyi szükséghelyzettel kapcsolatban fizetendő előlegek céljára igénybe kell venni.</w:t>
      </w:r>
    </w:p>
    <w:p>
      <w:pPr>
        <w:pStyle w:val="Point0"/>
        <w:rPr>
          <w:noProof/>
        </w:rPr>
      </w:pPr>
      <w:r>
        <w:t>(9)</w:t>
      </w:r>
      <w:r>
        <w:tab/>
      </w:r>
      <w:r>
        <w:rPr>
          <w:noProof/>
        </w:rPr>
        <w:t>Az alap igénybevételéhez szükséges idő minimálisra csökkentése érdekében ez a határozat az elfogadásának napjától alkalmazandó,</w:t>
      </w:r>
    </w:p>
    <w:p>
      <w:pPr>
        <w:pStyle w:val="Formuledadoption"/>
        <w:rPr>
          <w:noProof/>
        </w:rPr>
      </w:pPr>
      <w:r>
        <w:rPr>
          <w:noProof/>
        </w:rPr>
        <w:t>ELFOGADTA EZT A HATÁROZATOT:</w:t>
      </w:r>
    </w:p>
    <w:p>
      <w:pPr>
        <w:pStyle w:val="Titrearticle"/>
        <w:spacing w:before="240"/>
        <w:rPr>
          <w:noProof/>
        </w:rPr>
      </w:pPr>
      <w:r>
        <w:rPr>
          <w:noProof/>
        </w:rPr>
        <w:t>1. cikk</w:t>
      </w:r>
    </w:p>
    <w:p>
      <w:pPr>
        <w:pStyle w:val="FootnoteText"/>
        <w:spacing w:before="120" w:after="120"/>
        <w:ind w:left="0" w:firstLine="0"/>
        <w:rPr>
          <w:noProof/>
          <w:sz w:val="24"/>
          <w:szCs w:val="24"/>
        </w:rPr>
      </w:pPr>
      <w:r>
        <w:rPr>
          <w:noProof/>
          <w:sz w:val="24"/>
          <w:szCs w:val="24"/>
        </w:rPr>
        <w:t>Az Európai Unió 2020-as pénzügyi évre vonatkozó általános költségvetésének keretein belül az Európai Unió Szolidaritási Alapjából az alábbi összegek igénybevételére kerül sor kötelezettségvállalási és kifizetési előirányzatok formájában természeti katasztrófákkal kapcsolatban:</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683 740 523 EUR nyújtandó Horvátország részére;</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7 071 280 EUR nyújtandó Lengyelország részére.</w:t>
      </w:r>
    </w:p>
    <w:p>
      <w:pPr>
        <w:pStyle w:val="Titrearticle"/>
        <w:spacing w:before="240"/>
        <w:rPr>
          <w:noProof/>
          <w:szCs w:val="24"/>
        </w:rPr>
      </w:pPr>
      <w:r>
        <w:rPr>
          <w:noProof/>
        </w:rPr>
        <w:t>2. cikk</w:t>
      </w:r>
    </w:p>
    <w:p>
      <w:pPr>
        <w:widowControl w:val="0"/>
        <w:rPr>
          <w:noProof/>
          <w:szCs w:val="24"/>
        </w:rPr>
      </w:pPr>
      <w:r>
        <w:rPr>
          <w:noProof/>
        </w:rPr>
        <w:t>Az Európai Unió 2020-as pénzügyi évre vonatkozó általános költségvetésének keretein belül az Európai Unió Szolidaritási Alapjából az alábbi kötelezettségvállalási és kifizetési előirányzatok igénybevételére kerül sor jelentős népegészségügyi szükséghelyzettel kapcsolatos előlegfizetés céljából:</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8 462 280 EUR nyújtandó Horvátország részére;</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15 499 409 EUR nyújtandó Németország részére;</w:t>
      </w:r>
    </w:p>
    <w:p>
      <w:pPr>
        <w:pStyle w:val="FootnoteText"/>
        <w:tabs>
          <w:tab w:val="left" w:pos="840"/>
        </w:tabs>
        <w:spacing w:before="120" w:after="120"/>
        <w:ind w:left="840" w:hanging="840"/>
        <w:rPr>
          <w:noProof/>
          <w:sz w:val="24"/>
          <w:szCs w:val="24"/>
        </w:rPr>
      </w:pPr>
      <w:r>
        <w:rPr>
          <w:noProof/>
          <w:sz w:val="24"/>
          <w:szCs w:val="24"/>
        </w:rPr>
        <w:t xml:space="preserve">c) </w:t>
      </w:r>
      <w:r>
        <w:rPr>
          <w:noProof/>
        </w:rPr>
        <w:tab/>
      </w:r>
      <w:r>
        <w:rPr>
          <w:noProof/>
          <w:sz w:val="24"/>
          <w:szCs w:val="24"/>
        </w:rPr>
        <w:t>4 535 700 EUR nyújtandó Görögország részére;</w:t>
      </w:r>
    </w:p>
    <w:p>
      <w:pPr>
        <w:pStyle w:val="FootnoteText"/>
        <w:tabs>
          <w:tab w:val="left" w:pos="840"/>
        </w:tabs>
        <w:spacing w:before="120" w:after="120"/>
        <w:ind w:left="840" w:hanging="840"/>
        <w:rPr>
          <w:noProof/>
          <w:sz w:val="24"/>
          <w:szCs w:val="24"/>
        </w:rPr>
      </w:pPr>
      <w:r>
        <w:rPr>
          <w:noProof/>
          <w:sz w:val="24"/>
          <w:szCs w:val="24"/>
        </w:rPr>
        <w:t xml:space="preserve">d) </w:t>
      </w:r>
      <w:r>
        <w:rPr>
          <w:noProof/>
        </w:rPr>
        <w:tab/>
      </w:r>
      <w:r>
        <w:rPr>
          <w:noProof/>
          <w:sz w:val="24"/>
          <w:szCs w:val="24"/>
        </w:rPr>
        <w:t>26 587 069 EUR nyújtandó Magyarország részére;</w:t>
      </w:r>
    </w:p>
    <w:p>
      <w:pPr>
        <w:pStyle w:val="FootnoteText"/>
        <w:tabs>
          <w:tab w:val="left" w:pos="840"/>
        </w:tabs>
        <w:spacing w:before="120" w:after="120"/>
        <w:ind w:left="840" w:hanging="840"/>
        <w:rPr>
          <w:noProof/>
          <w:sz w:val="24"/>
          <w:szCs w:val="24"/>
        </w:rPr>
      </w:pPr>
      <w:r>
        <w:rPr>
          <w:noProof/>
          <w:sz w:val="24"/>
          <w:szCs w:val="24"/>
        </w:rPr>
        <w:t xml:space="preserve">e) </w:t>
      </w:r>
      <w:r>
        <w:rPr>
          <w:noProof/>
        </w:rPr>
        <w:tab/>
      </w:r>
      <w:r>
        <w:rPr>
          <w:noProof/>
          <w:sz w:val="24"/>
          <w:szCs w:val="24"/>
        </w:rPr>
        <w:t>23 279 441 EUR nyújtandó Írország részére;</w:t>
      </w:r>
    </w:p>
    <w:p>
      <w:pPr>
        <w:pStyle w:val="FootnoteText"/>
        <w:tabs>
          <w:tab w:val="left" w:pos="840"/>
        </w:tabs>
        <w:spacing w:before="120" w:after="120"/>
        <w:ind w:left="840" w:hanging="840"/>
        <w:rPr>
          <w:noProof/>
          <w:sz w:val="24"/>
          <w:szCs w:val="24"/>
        </w:rPr>
      </w:pPr>
      <w:r>
        <w:rPr>
          <w:noProof/>
          <w:sz w:val="24"/>
          <w:szCs w:val="24"/>
        </w:rPr>
        <w:t xml:space="preserve">f) </w:t>
      </w:r>
      <w:r>
        <w:rPr>
          <w:noProof/>
        </w:rPr>
        <w:tab/>
      </w:r>
      <w:r>
        <w:rPr>
          <w:noProof/>
          <w:sz w:val="24"/>
          <w:szCs w:val="24"/>
        </w:rPr>
        <w:t>37 528 511 EUR nyújtandó Portugália részére;</w:t>
      </w:r>
    </w:p>
    <w:p>
      <w:pPr>
        <w:pStyle w:val="FootnoteText"/>
        <w:tabs>
          <w:tab w:val="left" w:pos="840"/>
        </w:tabs>
        <w:spacing w:before="120" w:after="120"/>
        <w:ind w:left="840" w:hanging="840"/>
        <w:rPr>
          <w:noProof/>
          <w:sz w:val="24"/>
          <w:szCs w:val="24"/>
        </w:rPr>
      </w:pPr>
      <w:r>
        <w:rPr>
          <w:noProof/>
          <w:sz w:val="24"/>
          <w:szCs w:val="24"/>
        </w:rPr>
        <w:t xml:space="preserve">g) </w:t>
      </w:r>
      <w:r>
        <w:rPr>
          <w:noProof/>
        </w:rPr>
        <w:tab/>
      </w:r>
      <w:r>
        <w:rPr>
          <w:noProof/>
          <w:sz w:val="24"/>
          <w:szCs w:val="24"/>
        </w:rPr>
        <w:t>16 844 420 EUR nyújtandó Spanyolország részére.</w:t>
      </w:r>
    </w:p>
    <w:p>
      <w:pPr>
        <w:pStyle w:val="Titrearticle"/>
        <w:rPr>
          <w:noProof/>
        </w:rPr>
      </w:pPr>
      <w:r>
        <w:rPr>
          <w:noProof/>
        </w:rPr>
        <w:t>3. cikk</w:t>
      </w:r>
    </w:p>
    <w:p>
      <w:pPr>
        <w:rPr>
          <w:noProof/>
        </w:rPr>
      </w:pPr>
      <w:r>
        <w:rPr>
          <w:noProof/>
        </w:rPr>
        <w:t xml:space="preserve">Ez a határozat az </w:t>
      </w:r>
      <w:r>
        <w:rPr>
          <w:i/>
          <w:iCs/>
          <w:noProof/>
        </w:rPr>
        <w:t>Európai Unió Hivatalos Lapjában</w:t>
      </w:r>
      <w:r>
        <w:rPr>
          <w:noProof/>
        </w:rPr>
        <w:t xml:space="preserve"> való kihirdetésének napján lép hatályba.</w:t>
      </w:r>
    </w:p>
    <w:p>
      <w:pPr>
        <w:keepNext/>
        <w:keepLines/>
        <w:rPr>
          <w:i/>
          <w:noProof/>
        </w:rPr>
      </w:pPr>
      <w:r>
        <w:rPr>
          <w:noProof/>
        </w:rPr>
        <w:lastRenderedPageBreak/>
        <w:t>Ezt a határozatot ... [</w:t>
      </w:r>
      <w:r>
        <w:rPr>
          <w:i/>
          <w:iCs/>
          <w:noProof/>
        </w:rPr>
        <w:t>az elfogadásának dátuma</w:t>
      </w:r>
      <w:r>
        <w:rPr>
          <w:rStyle w:val="FootnoteReference"/>
          <w:noProof/>
        </w:rPr>
        <w:footnoteReference w:customMarkFollows="1" w:id="12"/>
        <w:sym w:font="Symbol" w:char="F02A"/>
      </w:r>
      <w:r>
        <w:rPr>
          <w:rStyle w:val="FootnoteReference"/>
          <w:noProof/>
        </w:rPr>
        <w:sym w:font="Symbol" w:char="F02A"/>
      </w:r>
      <w:r>
        <w:rPr>
          <w:noProof/>
        </w:rPr>
        <w:t>]-tól/-től kell alkalmazni.</w:t>
      </w:r>
    </w:p>
    <w:p>
      <w:pPr>
        <w:pStyle w:val="Fait"/>
        <w:rPr>
          <w:noProof/>
        </w:rPr>
      </w:pPr>
      <w:r>
        <w:t>Kelt Brüsszelben, -án/-én.</w:t>
      </w:r>
    </w:p>
    <w:p>
      <w:pPr>
        <w:pStyle w:val="Institutionquisigne"/>
        <w:rPr>
          <w:noProof/>
        </w:rPr>
      </w:pPr>
      <w:r>
        <w:rPr>
          <w:noProof/>
        </w:rPr>
        <w:t>az Európai Parlament részéről</w:t>
      </w:r>
      <w:r>
        <w:rPr>
          <w:noProof/>
        </w:rPr>
        <w:tab/>
        <w:t>a Tanács részéről</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r>
        <w:rPr>
          <w:shd w:val="clear" w:color="auto" w:fill="FFFFFF"/>
        </w:rPr>
        <w:t>HL L 311., 2002.11.14., 3. o.</w:t>
      </w:r>
    </w:p>
  </w:footnote>
  <w:footnote w:id="2">
    <w:p>
      <w:pPr>
        <w:pStyle w:val="FootnoteText"/>
      </w:pPr>
      <w:r>
        <w:rPr>
          <w:rStyle w:val="FootnoteReference"/>
        </w:rPr>
        <w:footnoteRef/>
      </w:r>
      <w:r>
        <w:tab/>
        <w:t>COM(2020) 961, 2020.10.9.</w:t>
      </w:r>
    </w:p>
  </w:footnote>
  <w:footnote w:id="3">
    <w:p>
      <w:pPr>
        <w:pStyle w:val="FootnoteText"/>
      </w:pPr>
      <w:r>
        <w:rPr>
          <w:rStyle w:val="FootnoteReference"/>
        </w:rPr>
        <w:footnoteRef/>
      </w:r>
      <w:r>
        <w:tab/>
        <w:t>Az Európai Parlament és a Tanács (EU) 2020/461 rendelete (2020. március 30.).</w:t>
      </w:r>
    </w:p>
  </w:footnote>
  <w:footnote w:id="4">
    <w:p>
      <w:pPr>
        <w:pStyle w:val="FootnoteText"/>
      </w:pPr>
      <w:r>
        <w:rPr>
          <w:rStyle w:val="FootnoteReference"/>
        </w:rPr>
        <w:footnoteRef/>
      </w:r>
      <w:r>
        <w:tab/>
        <w:t>HL L 347., 2013.12.20., 884. o.</w:t>
      </w:r>
    </w:p>
  </w:footnote>
  <w:footnote w:id="5">
    <w:p>
      <w:pPr>
        <w:pStyle w:val="FootnoteText"/>
      </w:pPr>
      <w:r>
        <w:rPr>
          <w:rStyle w:val="FootnoteReference"/>
        </w:rPr>
        <w:footnoteRef/>
      </w:r>
      <w:r>
        <w:tab/>
        <w:t>HL C 373., 2013.12.20., 1. o.</w:t>
      </w:r>
    </w:p>
  </w:footnote>
  <w:footnote w:id="6">
    <w:p>
      <w:pPr>
        <w:pStyle w:val="FootnoteText"/>
      </w:pPr>
      <w:r>
        <w:rPr>
          <w:rStyle w:val="FootnoteReference"/>
        </w:rPr>
        <w:footnoteRef/>
      </w:r>
      <w:r>
        <w:tab/>
        <w:t>A Tanács 1311/2013/EU, Euratom rendelete (2013. december 2.) a 2014–2020-as időszakra vonatkozó többéves pénzügyi keretről.</w:t>
      </w:r>
    </w:p>
  </w:footnote>
  <w:footnote w:id="7">
    <w:p>
      <w:pPr>
        <w:pStyle w:val="FootnoteText"/>
        <w:spacing w:after="120"/>
      </w:pPr>
      <w:r>
        <w:rPr>
          <w:rStyle w:val="FootnoteReference"/>
        </w:rPr>
        <w:footnoteRef/>
      </w:r>
      <w:r>
        <w:tab/>
        <w:t>Az Európai Unió Szolidaritási Alapjának a Portugáliának, Spanyolországnak, Olaszországnak és Ausztriának szóló segítségnyújtás céljából történő igénybevételéről szóló, 2020. június 18-i (EU) 2020/1076 európai parlamenti és tanácsi határozat, amelynek végleges következményeit belefoglalták az aznap elfogadott 4/2020. számú költségvetés-módosításba.</w:t>
      </w:r>
    </w:p>
  </w:footnote>
  <w:footnote w:id="8">
    <w:p>
      <w:pPr>
        <w:pStyle w:val="FootnoteText"/>
      </w:pPr>
      <w:r>
        <w:rPr>
          <w:rStyle w:val="FootnoteReference"/>
        </w:rPr>
        <w:footnoteRef/>
      </w:r>
      <w:r>
        <w:tab/>
        <w:t>A fennmaradó 47 981 598 EUR 2020-ban nem kerül felhasználásra, a kapcsolódó kötelezettségvállalási előirányzatok átvitelre kerülnek 2021-re.</w:t>
      </w:r>
    </w:p>
  </w:footnote>
  <w:footnote w:id="9">
    <w:p>
      <w:pPr>
        <w:pStyle w:val="FootnoteText"/>
      </w:pPr>
      <w:r>
        <w:rPr>
          <w:rStyle w:val="FootnoteReference"/>
        </w:rPr>
        <w:footnoteRef/>
      </w:r>
      <w:r>
        <w:tab/>
      </w:r>
      <w:r>
        <w:rPr>
          <w:shd w:val="clear" w:color="auto" w:fill="FFFFFF"/>
        </w:rPr>
        <w:t>HL L 311., 2002.11.14., 3. o.</w:t>
      </w:r>
    </w:p>
  </w:footnote>
  <w:footnote w:id="10">
    <w:p>
      <w:pPr>
        <w:pStyle w:val="FootnoteText"/>
      </w:pPr>
      <w:r>
        <w:rPr>
          <w:rStyle w:val="FootnoteReference"/>
        </w:rPr>
        <w:footnoteRef/>
      </w:r>
      <w:r>
        <w:tab/>
        <w:t>HL C 373., 2013.12.20., 1. o.</w:t>
      </w:r>
    </w:p>
  </w:footnote>
  <w:footnote w:id="11">
    <w:p>
      <w:pPr>
        <w:pStyle w:val="FootnoteText"/>
      </w:pPr>
      <w:r>
        <w:rPr>
          <w:rStyle w:val="FootnoteReference"/>
        </w:rPr>
        <w:footnoteRef/>
      </w:r>
      <w:r>
        <w:tab/>
        <w:t>A Tanács 1311/2013/EU, Euratom rendelete (2013. december 2.) a 2014–2020-as időszakra vonatkozó többéves pénzügyi keretről (HL L 347., 2013.12.20., 884. o.).</w:t>
      </w:r>
    </w:p>
  </w:footnote>
  <w:footnote w:id="12">
    <w:p>
      <w:pPr>
        <w:pStyle w:val="Institutionquisigne"/>
        <w:spacing w:before="0"/>
      </w:pPr>
      <w:r>
        <w:rPr>
          <w:rStyle w:val="FootnoteReference"/>
        </w:rPr>
        <w:sym w:font="Symbol" w:char="F02A"/>
      </w:r>
      <w:r>
        <w:rPr>
          <w:rStyle w:val="FootnoteReference"/>
        </w:rPr>
        <w:sym w:font="Symbol" w:char="F02A"/>
      </w:r>
      <w:r>
        <w:t xml:space="preserve"> </w:t>
      </w:r>
      <w:r>
        <w:rPr>
          <w:sz w:val="20"/>
        </w:rPr>
        <w:t>A dátumot a Parlament illeszti be a határozatnak a Hivatalos Lapban való kihirdetését megelőzően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10-19 12:11:51"/>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10"/>
    <w:docVar w:name="DQCResult_ModifiedMarkers" w:val="0;0"/>
    <w:docVar w:name="DQCResult_ModifiedNumbering" w:val="0;0"/>
    <w:docVar w:name="DQCResult_Objects" w:val="0;0"/>
    <w:docVar w:name="DQCResult_Sections" w:val="0;1"/>
    <w:docVar w:name="DQCResult_StructureCheck" w:val="0;0"/>
    <w:docVar w:name="DQCResult_SuperfluousWhitespace" w:val="0;11"/>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36C85DC1-98B2-4E44-8CEA-46A74F23F5AD"/>
    <w:docVar w:name="LW_COVERPAGE_TYPE" w:val="1"/>
    <w:docVar w:name="LW_CROSSREFERENCE" w:val="&lt;UNUSED&gt;"/>
    <w:docVar w:name="LW_DocType" w:val="COM"/>
    <w:docVar w:name="LW_EMISSION" w:val="2020.10.9."/>
    <w:docVar w:name="LW_EMISSION_ISODATE" w:val="2020-10-09"/>
    <w:docVar w:name="LW_EMISSION_LOCATION" w:val="BRX"/>
    <w:docVar w:name="LW_EMISSION_PREFIX" w:val="Brüsszel,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HU"/>
    <w:docVar w:name="LW_LEVEL_OF_SENSITIVITY" w:val="Standard treatment"/>
    <w:docVar w:name="LW_NOM.INST" w:val="EURÓPAI BIZOTTSÁG"/>
    <w:docVar w:name="LW_NOM.INST_JOINTDOC" w:val="&lt;EMPTY&gt;"/>
    <w:docVar w:name="LW_PART_NBR" w:val="1"/>
    <w:docVar w:name="LW_PART_NBR_TOTAL" w:val="1"/>
    <w:docVar w:name="LW_REF.II.NEW.CP" w:val="BUD"/>
    <w:docVar w:name="LW_REF.II.NEW.CP_NUMBER" w:val="0299"/>
    <w:docVar w:name="LW_REF.II.NEW.CP_YEAR" w:val="2020"/>
    <w:docVar w:name="LW_REF.INST.NEW" w:val="COM"/>
    <w:docVar w:name="LW_REF.INST.NEW_ADOPTED" w:val="final"/>
    <w:docVar w:name="LW_REF.INST.NEW_TEXT" w:val="(2020) 9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Javaslat"/>
    <w:docVar w:name="LW_SUPERTITRE" w:val="&lt;UNUSED&gt;"/>
    <w:docVar w:name="LW_TITRE.OBJ.CP" w:val="a Horvátországnak és Lengyelországnak természeti katasztrófával kapcsolatban nyújtandó segítség, valamint a Horvátországnak, Németországnak, Görögországnak, Magyarországnak, Írországnak, Portugáliának és Spanyolországnak népegészségügyi szükséghelyzettel kapcsolatban fizetend\u337? el\u337?legek biztosítása céljából az Európai Unió Szolidaritási Alapjának igénybevételér\u337?l"/>
    <w:docVar w:name="LW_TYPE.DOC.CP" w:val="AZ EURÓPAI PARLAMENT ÉS A TANÁCS HATÁROZA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u-HU"/>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u-HU"/>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u-HU"/>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u-HU"/>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u-HU"/>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u-HU"/>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678410">
      <w:bodyDiv w:val="1"/>
      <w:marLeft w:val="0"/>
      <w:marRight w:val="0"/>
      <w:marTop w:val="0"/>
      <w:marBottom w:val="0"/>
      <w:divBdr>
        <w:top w:val="none" w:sz="0" w:space="0" w:color="auto"/>
        <w:left w:val="none" w:sz="0" w:space="0" w:color="auto"/>
        <w:bottom w:val="none" w:sz="0" w:space="0" w:color="auto"/>
        <w:right w:val="none" w:sz="0" w:space="0" w:color="auto"/>
      </w:divBdr>
    </w:div>
    <w:div w:id="156857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9914A-7948-4126-BE25-8B158A76D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13</Pages>
  <Words>3498</Words>
  <Characters>23894</Characters>
  <Application>Microsoft Office Word</Application>
  <DocSecurity>0</DocSecurity>
  <Lines>597</Lines>
  <Paragraphs>271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2020-10-16T09:34:00Z</dcterms:created>
  <dcterms:modified xsi:type="dcterms:W3CDTF">2020-10-19T10:11:00Z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