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DD6584B-BDAF-48B2-A474-7DB482E095BA" style="width:450.75pt;height:366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Style w:val="ManualHeading2"/>
        <w:rPr>
          <w:rFonts w:eastAsia="Arial Unicode MS"/>
          <w:noProof/>
        </w:rPr>
      </w:pPr>
      <w:r>
        <w:rPr>
          <w:noProof/>
          <w:color w:val="000000"/>
          <w:u w:color="000000"/>
          <w:bdr w:val="nil"/>
        </w:rPr>
        <w:t>•</w:t>
      </w:r>
      <w:r>
        <w:rPr>
          <w:noProof/>
        </w:rPr>
        <w:tab/>
        <w:t>A javaslat indokai és céljai</w:t>
      </w:r>
    </w:p>
    <w:p>
      <w:pPr>
        <w:pBdr>
          <w:top w:val="nil"/>
          <w:left w:val="nil"/>
          <w:bottom w:val="nil"/>
          <w:right w:val="nil"/>
          <w:between w:val="nil"/>
          <w:bar w:val="nil"/>
        </w:pBdr>
        <w:spacing w:before="0" w:after="240"/>
        <w:rPr>
          <w:noProof/>
        </w:rPr>
      </w:pPr>
      <w:r>
        <w:rPr>
          <w:noProof/>
        </w:rPr>
        <w:t>A Covid19-járvány közvetlen és közvetett hatásai tovább fokozódnak mindegyik tagállamban. A jelenlegi helyzetre korábban nem volt példa, és ilyen körülmények között a helyzethez igazodó rendkívüli intézkedések szükségesek.</w:t>
      </w:r>
    </w:p>
    <w:p>
      <w:pPr>
        <w:pBdr>
          <w:top w:val="nil"/>
          <w:left w:val="nil"/>
          <w:bottom w:val="nil"/>
          <w:right w:val="nil"/>
          <w:between w:val="nil"/>
          <w:bar w:val="nil"/>
        </w:pBdr>
        <w:spacing w:before="0" w:after="240"/>
        <w:rPr>
          <w:noProof/>
        </w:rPr>
      </w:pPr>
      <w:r>
        <w:rPr>
          <w:noProof/>
        </w:rPr>
        <w:t xml:space="preserve">A mezőgazdasági és élelmiszeripari ágazatban számos nehézségről számoltak be, amelyek a szabad mozgás tagállamokban bevezetett, széles körű korlátozásaiból, valamint az üzletek, szabadtéri piacok, éttermek és egyéb vendéglátóipari létesítmények kötelező bezárásából következnek. A mezőgazdasági ágazatban és a vidéki közösségekben bekövetkezett gazdasági zavarok likviditási és pénzforgalmi problémákat okoztak a mezőgazdasági termelőknek és a mezőgazdasági termékeket feldolgozó vidéki kisvállalkozásoknak. </w:t>
      </w:r>
    </w:p>
    <w:p>
      <w:pPr>
        <w:pBdr>
          <w:top w:val="nil"/>
          <w:left w:val="nil"/>
          <w:bottom w:val="nil"/>
          <w:right w:val="nil"/>
          <w:between w:val="nil"/>
          <w:bar w:val="nil"/>
        </w:pBdr>
        <w:spacing w:before="0" w:after="240"/>
        <w:rPr>
          <w:noProof/>
        </w:rPr>
      </w:pPr>
      <w:r>
        <w:rPr>
          <w:noProof/>
        </w:rPr>
        <w:t xml:space="preserve">Ennek következtében egyes kisvállalkozások és mezőgazdasági termelők tevékenységük fenntartása érdekében sürgős szükséghelyzeti támogatásra szorulnak. </w:t>
      </w:r>
    </w:p>
    <w:p>
      <w:pPr>
        <w:pBdr>
          <w:top w:val="nil"/>
          <w:left w:val="nil"/>
          <w:bottom w:val="nil"/>
          <w:right w:val="nil"/>
          <w:between w:val="nil"/>
          <w:bar w:val="nil"/>
        </w:pBdr>
        <w:spacing w:before="0" w:after="240"/>
        <w:rPr>
          <w:noProof/>
        </w:rPr>
      </w:pPr>
      <w:r>
        <w:rPr>
          <w:noProof/>
        </w:rPr>
        <w:t xml:space="preserve">Tekintettel a közigazgatási szervek párhuzamos nehézségeire, amelyek miatt nem elvárható, hogy a tanácsadók személyesen részt vegyenek a potenciális kedvezményezettek támogatásában, vagy hogy az ellenőrök helyszíni vagy előzetes ellenőrzéseket végezzenek, nagy szükség van olyan, a tagállamok által bevezethető, könnyen használható megoldásokra, amelyek alkalmasak a különféle konkrét helyzetek támogatására, és könnyen hozzáférhetők a kedvezményezettek számára. </w:t>
      </w:r>
    </w:p>
    <w:p>
      <w:pPr>
        <w:pBdr>
          <w:top w:val="nil"/>
          <w:left w:val="nil"/>
          <w:bottom w:val="nil"/>
          <w:right w:val="nil"/>
          <w:between w:val="nil"/>
          <w:bar w:val="nil"/>
        </w:pBdr>
        <w:spacing w:before="0" w:after="240"/>
        <w:rPr>
          <w:noProof/>
        </w:rPr>
      </w:pPr>
      <w:r>
        <w:rPr>
          <w:noProof/>
        </w:rPr>
        <w:t>A támogatásnak ideiglenes támogatás formáját kell öltenie, és eddig példa nélkül álló körülmények között nagyon konkrét célokat kell szolgálnia.  E célok elérése érdekében a támogatás egyszeri egyösszegű támogatás formájában valósul meg a mezőgazdasági termelők, valamint a mezőgazdasági termékek feldolgozásával, forgalmazásával és/vagy fejlesztésével foglalkozó kkv-k számára. A Bizottság a kifizetéseket a költségvetési előirányzatokkal összhangban és a rendelkezésre álló források függvényében teljesíti.</w:t>
      </w:r>
    </w:p>
    <w:p>
      <w:pPr>
        <w:pBdr>
          <w:top w:val="nil"/>
          <w:left w:val="nil"/>
          <w:bottom w:val="nil"/>
          <w:right w:val="nil"/>
          <w:between w:val="nil"/>
          <w:bar w:val="nil"/>
        </w:pBdr>
        <w:spacing w:before="0" w:after="240"/>
        <w:rPr>
          <w:noProof/>
        </w:rPr>
      </w:pPr>
      <w:r>
        <w:rPr>
          <w:noProof/>
        </w:rPr>
        <w:t>A meglévő vidékfejlesztési programok keretében rendelkezésre álló források leghatékonyabb felhasználásának biztosítása érdekében a tagállamoknak objektív és megkülönböztetésmentes kritériumok alapján kell gondoskodniuk arról, hogy a támogatásban a legsúlyosabban érintettek részesüljenek. A tagállamoknak módosítás útján be kellene építeniük az intézkedést a vidékfejlesztési programokba, ám a kiadások már a katasztrófaesemény (vagyis a Covid19-járvány) kezdetétől elszámolhatók lennének.</w:t>
      </w:r>
    </w:p>
    <w:p>
      <w:pPr>
        <w:pBdr>
          <w:top w:val="nil"/>
          <w:left w:val="nil"/>
          <w:bottom w:val="nil"/>
          <w:right w:val="nil"/>
          <w:between w:val="nil"/>
          <w:bar w:val="nil"/>
        </w:pBdr>
        <w:spacing w:before="0" w:after="240"/>
        <w:rPr>
          <w:noProof/>
          <w:lang w:eastAsia="en-GB"/>
        </w:rPr>
      </w:pPr>
    </w:p>
    <w:p>
      <w:pPr>
        <w:pStyle w:val="ManualHeading2"/>
        <w:rPr>
          <w:rFonts w:eastAsia="Arial Unicode MS"/>
          <w:noProof/>
          <w:color w:val="000000"/>
          <w:u w:color="000000"/>
          <w:bdr w:val="nil"/>
        </w:rPr>
      </w:pPr>
      <w:r>
        <w:rPr>
          <w:noProof/>
          <w:color w:val="000000"/>
          <w:u w:color="000000"/>
          <w:bdr w:val="nil"/>
        </w:rPr>
        <w:t>•</w:t>
      </w:r>
      <w:r>
        <w:rPr>
          <w:noProof/>
        </w:rPr>
        <w:tab/>
        <w:t>Összhang a szabályozási terület jelenlegi rendelkezéseivel</w:t>
      </w:r>
    </w:p>
    <w:p>
      <w:pPr>
        <w:pBdr>
          <w:top w:val="nil"/>
          <w:left w:val="nil"/>
          <w:bottom w:val="nil"/>
          <w:right w:val="nil"/>
          <w:between w:val="nil"/>
          <w:bar w:val="nil"/>
        </w:pBdr>
        <w:spacing w:before="0" w:after="240"/>
        <w:rPr>
          <w:noProof/>
        </w:rPr>
      </w:pPr>
      <w:r>
        <w:rPr>
          <w:noProof/>
        </w:rPr>
        <w:t xml:space="preserve">A javaslat összhangban van a közös agrárpolitikára, valamint az európai strukturális és beruházási alapokra vonatkozó átfogó jogi kerettel, és az 1305/2013/EU rendelet célirányos módosítására korlátozódik. A javaslat kiegészíti az Unió által a jelenlegi, példa nélküli helyzet kezelése érdekében hozott összes egyéb intézkedést, különösen a piacok támogatását célzó intézkedéseket. A javaslat nem érinti az 1305/2013/EU rendelet 59. cikkének (5) és (6) bekezdésében meghatározott minimális ráfordítási követelményeket. </w:t>
      </w:r>
    </w:p>
    <w:p>
      <w:pPr>
        <w:pStyle w:val="ManualHeading2"/>
        <w:rPr>
          <w:rFonts w:eastAsia="Arial Unicode MS"/>
          <w:noProof/>
        </w:rPr>
      </w:pPr>
      <w:r>
        <w:rPr>
          <w:noProof/>
          <w:color w:val="000000"/>
          <w:u w:color="000000"/>
          <w:bdr w:val="nil"/>
        </w:rPr>
        <w:lastRenderedPageBreak/>
        <w:t>•</w:t>
      </w:r>
      <w:r>
        <w:rPr>
          <w:noProof/>
        </w:rPr>
        <w:tab/>
        <w:t>Összhang az Unió egyéb szakpolitikáival</w:t>
      </w:r>
    </w:p>
    <w:p>
      <w:pPr>
        <w:pBdr>
          <w:top w:val="nil"/>
          <w:left w:val="nil"/>
          <w:bottom w:val="nil"/>
          <w:right w:val="nil"/>
          <w:between w:val="nil"/>
          <w:bar w:val="nil"/>
        </w:pBdr>
        <w:spacing w:before="0" w:after="240"/>
        <w:rPr>
          <w:rFonts w:eastAsia="Arial Unicode MS"/>
          <w:noProof/>
        </w:rPr>
      </w:pPr>
      <w:r>
        <w:rPr>
          <w:noProof/>
        </w:rPr>
        <w:t>A javaslat az 1305/2013/EU rendelet célirányos módosításaira korlátozódik és fenntartja az összhangot más uniós szakpolitikákkal.</w:t>
      </w:r>
    </w:p>
    <w:p>
      <w:pPr>
        <w:pStyle w:val="ManualHeading1"/>
        <w:rPr>
          <w:noProof/>
        </w:rPr>
      </w:pPr>
      <w:r>
        <w:rPr>
          <w:noProof/>
        </w:rPr>
        <w:t>2.</w:t>
      </w:r>
      <w:r>
        <w:rPr>
          <w:noProof/>
        </w:rPr>
        <w:tab/>
        <w:t>JOGALAP, SZUBSZIDIARITÁS ÉS ARÁNYOSSÁG</w:t>
      </w:r>
    </w:p>
    <w:p>
      <w:pPr>
        <w:pStyle w:val="ManualHeading2"/>
        <w:rPr>
          <w:rFonts w:eastAsia="Arial Unicode MS"/>
          <w:noProof/>
          <w:u w:color="000000"/>
          <w:bdr w:val="nil"/>
        </w:rPr>
      </w:pPr>
      <w:r>
        <w:rPr>
          <w:noProof/>
          <w:u w:color="000000"/>
          <w:bdr w:val="nil"/>
        </w:rPr>
        <w:t>•</w:t>
      </w:r>
      <w:r>
        <w:rPr>
          <w:noProof/>
        </w:rPr>
        <w:tab/>
      </w:r>
      <w:r>
        <w:rPr>
          <w:noProof/>
          <w:u w:color="000000"/>
          <w:bdr w:val="nil"/>
        </w:rPr>
        <w:t>Jogalap</w:t>
      </w:r>
    </w:p>
    <w:p>
      <w:pPr>
        <w:pBdr>
          <w:top w:val="nil"/>
          <w:left w:val="nil"/>
          <w:bottom w:val="nil"/>
          <w:right w:val="nil"/>
          <w:between w:val="nil"/>
          <w:bar w:val="nil"/>
        </w:pBdr>
        <w:spacing w:before="0" w:after="240"/>
        <w:rPr>
          <w:noProof/>
        </w:rPr>
      </w:pPr>
      <w:r>
        <w:rPr>
          <w:noProof/>
        </w:rPr>
        <w:t xml:space="preserve">A javaslat az Európai Unió működéséről szóló szerződés 42. és 43. cikkén alapul. </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Szubszidiaritás (nem kizárólagos hatáskör esetén) </w:t>
      </w:r>
    </w:p>
    <w:p>
      <w:pPr>
        <w:pStyle w:val="ManualHeading2"/>
        <w:rPr>
          <w:noProof/>
          <w:sz w:val="23"/>
          <w:szCs w:val="23"/>
        </w:rPr>
      </w:pPr>
      <w:r>
        <w:rPr>
          <w:noProof/>
          <w:sz w:val="23"/>
          <w:szCs w:val="23"/>
        </w:rPr>
        <w:t xml:space="preserve">Az Európai Unió működéséről szóló szerződés a mezőgazdaságot az Unió és a tagállamok megosztott hatáskörébe utalja, és rendelkezik a közös célokat szolgáló, közösen végrehajtandó közös agrárpolitika létrehozásáról. A javaslat célja egy új vidékfejlesztési intézkedés közös céljainak és közös végrehajtásának biztosítása. </w:t>
      </w:r>
    </w:p>
    <w:p>
      <w:pPr>
        <w:pStyle w:val="ManualHeading2"/>
        <w:rPr>
          <w:rFonts w:eastAsia="Arial Unicode MS"/>
          <w:noProof/>
          <w:u w:color="000000"/>
          <w:bdr w:val="nil"/>
        </w:rPr>
      </w:pPr>
      <w:r>
        <w:rPr>
          <w:noProof/>
          <w:sz w:val="23"/>
          <w:szCs w:val="23"/>
        </w:rPr>
        <w:t xml:space="preserve"> </w:t>
      </w:r>
      <w:r>
        <w:rPr>
          <w:noProof/>
          <w:u w:color="000000"/>
          <w:bdr w:val="nil"/>
        </w:rPr>
        <w:t>•</w:t>
      </w:r>
      <w:r>
        <w:rPr>
          <w:noProof/>
        </w:rPr>
        <w:tab/>
      </w:r>
      <w:r>
        <w:rPr>
          <w:noProof/>
          <w:u w:color="000000"/>
          <w:bdr w:val="nil"/>
        </w:rPr>
        <w:t>Arányosság</w:t>
      </w:r>
    </w:p>
    <w:p>
      <w:pPr>
        <w:pBdr>
          <w:top w:val="nil"/>
          <w:left w:val="nil"/>
          <w:bottom w:val="nil"/>
          <w:right w:val="nil"/>
          <w:between w:val="nil"/>
          <w:bar w:val="nil"/>
        </w:pBdr>
        <w:spacing w:before="0" w:after="240"/>
        <w:rPr>
          <w:rFonts w:eastAsia="Arial Unicode MS"/>
          <w:noProof/>
        </w:rPr>
      </w:pPr>
      <w:r>
        <w:rPr>
          <w:noProof/>
        </w:rPr>
        <w:t>A javaslat olyan korlátozott és célzott módosításokat tartalmaz, amelyek nem haladják meg az annak eléréséhez szükséges mértéket, hogy a Covid19-válság által különösen érintett mezőgazdasági termelők és mezőgazdasági termékek feldolgozásával, forgalmazásával és/vagy fejlesztésével foglalkozó kkv-k rendkívüli ideiglenes segítségben részesüljenek.</w:t>
      </w:r>
    </w:p>
    <w:p>
      <w:pPr>
        <w:pStyle w:val="ManualHeading2"/>
        <w:rPr>
          <w:rFonts w:eastAsia="Arial Unicode MS"/>
          <w:noProof/>
          <w:u w:color="000000"/>
          <w:bdr w:val="nil"/>
        </w:rPr>
      </w:pPr>
      <w:r>
        <w:rPr>
          <w:noProof/>
          <w:u w:color="000000"/>
          <w:bdr w:val="nil"/>
        </w:rPr>
        <w:t>•</w:t>
      </w:r>
      <w:r>
        <w:rPr>
          <w:noProof/>
        </w:rPr>
        <w:tab/>
      </w:r>
      <w:r>
        <w:rPr>
          <w:noProof/>
          <w:u w:color="000000"/>
          <w:bdr w:val="nil"/>
        </w:rPr>
        <w:t>A jogi aktus típusának megválasztása</w:t>
      </w:r>
    </w:p>
    <w:p>
      <w:pPr>
        <w:pBdr>
          <w:top w:val="nil"/>
          <w:left w:val="nil"/>
          <w:bottom w:val="nil"/>
          <w:right w:val="nil"/>
          <w:between w:val="nil"/>
          <w:bar w:val="nil"/>
        </w:pBdr>
        <w:spacing w:before="0" w:after="240"/>
        <w:rPr>
          <w:noProof/>
        </w:rPr>
      </w:pPr>
      <w:r>
        <w:rPr>
          <w:noProof/>
        </w:rPr>
        <w:t>A jelenlegi, példa nélküli körülmények kezeléséhez szükséges új intézkedés bevezetéséhez a rendelet a megfelelő eszköz.</w:t>
      </w:r>
    </w:p>
    <w:p>
      <w:pPr>
        <w:pStyle w:val="ManualHeading1"/>
        <w:rPr>
          <w:noProof/>
        </w:rPr>
      </w:pPr>
      <w:r>
        <w:rPr>
          <w:noProof/>
        </w:rPr>
        <w:t>3.</w:t>
      </w:r>
      <w:r>
        <w:rPr>
          <w:noProof/>
        </w:rPr>
        <w:tab/>
        <w:t>AZ UTÓLAGOS ÉRTÉKELÉSEK, AZ ÉRDEKELT FELEKKEL FOLYTATOTT KONZULTÁCIÓK ÉS A HATÁSVIZSGÁLATOK EREDMÉNYEI</w:t>
      </w:r>
    </w:p>
    <w:p>
      <w:pPr>
        <w:pStyle w:val="ManualHeading2"/>
        <w:rPr>
          <w:rFonts w:eastAsia="Arial Unicode MS"/>
          <w:noProof/>
          <w:u w:color="000000"/>
          <w:bdr w:val="nil"/>
        </w:rPr>
      </w:pPr>
      <w:r>
        <w:rPr>
          <w:noProof/>
          <w:u w:color="000000"/>
          <w:bdr w:val="nil"/>
        </w:rPr>
        <w:t>•</w:t>
      </w:r>
      <w:r>
        <w:rPr>
          <w:noProof/>
        </w:rPr>
        <w:tab/>
      </w:r>
      <w:r>
        <w:rPr>
          <w:noProof/>
          <w:u w:color="000000"/>
          <w:bdr w:val="nil"/>
        </w:rPr>
        <w:t>A jelenleg hatályban lévő jogszabályok utólagos értékelése / célravezetőségi vizsgálata</w:t>
      </w:r>
    </w:p>
    <w:p>
      <w:pPr>
        <w:pBdr>
          <w:top w:val="nil"/>
          <w:left w:val="nil"/>
          <w:bottom w:val="nil"/>
          <w:right w:val="nil"/>
          <w:between w:val="nil"/>
          <w:bar w:val="nil"/>
        </w:pBdr>
        <w:spacing w:before="0" w:after="240"/>
        <w:rPr>
          <w:noProof/>
        </w:rPr>
      </w:pPr>
      <w:r>
        <w:rPr>
          <w:noProof/>
        </w:rPr>
        <w:t>Tárgytalan</w:t>
      </w:r>
    </w:p>
    <w:p>
      <w:pPr>
        <w:pStyle w:val="ManualHeading2"/>
        <w:rPr>
          <w:rFonts w:eastAsia="Arial Unicode MS"/>
          <w:noProof/>
          <w:u w:color="000000"/>
          <w:bdr w:val="nil"/>
        </w:rPr>
      </w:pPr>
      <w:r>
        <w:rPr>
          <w:noProof/>
          <w:u w:color="000000"/>
          <w:bdr w:val="nil"/>
        </w:rPr>
        <w:t>•</w:t>
      </w:r>
      <w:r>
        <w:rPr>
          <w:noProof/>
        </w:rPr>
        <w:tab/>
      </w:r>
      <w:r>
        <w:rPr>
          <w:noProof/>
          <w:u w:color="000000"/>
          <w:bdr w:val="nil"/>
        </w:rPr>
        <w:t>Az érdekelt felekkel folytatott konzultációk</w:t>
      </w:r>
    </w:p>
    <w:p>
      <w:pPr>
        <w:pBdr>
          <w:top w:val="nil"/>
          <w:left w:val="nil"/>
          <w:bottom w:val="nil"/>
          <w:right w:val="nil"/>
          <w:between w:val="nil"/>
          <w:bar w:val="nil"/>
        </w:pBdr>
        <w:spacing w:before="0" w:after="240"/>
        <w:rPr>
          <w:noProof/>
        </w:rPr>
      </w:pPr>
      <w:r>
        <w:rPr>
          <w:noProof/>
        </w:rPr>
        <w:t xml:space="preserve">Külső érdekelt felekkel nem került sor konzultációra. A javaslatot azonban az elmúlt hetekben a tagállamokkal és az Európai Parlament képviselőivel folytatott konzultációk előzték meg. </w:t>
      </w:r>
    </w:p>
    <w:p>
      <w:pPr>
        <w:pStyle w:val="ManualHeading2"/>
        <w:rPr>
          <w:rFonts w:eastAsia="Arial Unicode MS"/>
          <w:noProof/>
          <w:u w:color="000000"/>
          <w:bdr w:val="nil"/>
        </w:rPr>
      </w:pPr>
      <w:r>
        <w:rPr>
          <w:noProof/>
          <w:u w:color="000000"/>
          <w:bdr w:val="nil"/>
        </w:rPr>
        <w:t>•</w:t>
      </w:r>
      <w:r>
        <w:rPr>
          <w:noProof/>
        </w:rPr>
        <w:tab/>
      </w:r>
      <w:r>
        <w:rPr>
          <w:noProof/>
          <w:u w:color="000000"/>
          <w:bdr w:val="nil"/>
        </w:rPr>
        <w:t>Szakértői vélemények beszerzése és felhasználása</w:t>
      </w:r>
    </w:p>
    <w:p>
      <w:pPr>
        <w:rPr>
          <w:noProof/>
        </w:rPr>
      </w:pPr>
      <w:r>
        <w:rPr>
          <w:noProof/>
        </w:rPr>
        <w:t>Tárgytalan</w:t>
      </w:r>
    </w:p>
    <w:p>
      <w:pPr>
        <w:pStyle w:val="ManualHeading2"/>
        <w:rPr>
          <w:rFonts w:eastAsia="Arial Unicode MS"/>
          <w:noProof/>
          <w:u w:color="000000"/>
          <w:bdr w:val="nil"/>
        </w:rPr>
      </w:pPr>
      <w:r>
        <w:rPr>
          <w:noProof/>
          <w:u w:color="000000"/>
          <w:bdr w:val="nil"/>
        </w:rPr>
        <w:t>•</w:t>
      </w:r>
      <w:r>
        <w:rPr>
          <w:noProof/>
        </w:rPr>
        <w:tab/>
      </w:r>
      <w:r>
        <w:rPr>
          <w:noProof/>
          <w:u w:color="000000"/>
          <w:bdr w:val="nil"/>
        </w:rPr>
        <w:t>Hatásvizsgálat</w:t>
      </w:r>
    </w:p>
    <w:p>
      <w:pPr>
        <w:pBdr>
          <w:top w:val="nil"/>
          <w:left w:val="nil"/>
          <w:bottom w:val="nil"/>
          <w:right w:val="nil"/>
          <w:between w:val="nil"/>
          <w:bar w:val="nil"/>
        </w:pBdr>
        <w:spacing w:before="0" w:after="240"/>
        <w:rPr>
          <w:rFonts w:eastAsia="Arial Unicode MS"/>
          <w:noProof/>
        </w:rPr>
      </w:pPr>
      <w:r>
        <w:rPr>
          <w:noProof/>
        </w:rPr>
        <w:t>Az 1305/2013/EU rendeletre irányuló javaslat előkészítésekor sor került hatásvizsgálatra. A most javasolt, korlátozott módosítások nem igényelnek külön hatásvizsgálatot.</w:t>
      </w:r>
    </w:p>
    <w:p>
      <w:pPr>
        <w:pStyle w:val="ManualHeading2"/>
        <w:rPr>
          <w:rFonts w:eastAsia="Arial Unicode MS"/>
          <w:noProof/>
          <w:u w:color="000000"/>
          <w:bdr w:val="nil"/>
        </w:rPr>
      </w:pPr>
      <w:r>
        <w:rPr>
          <w:noProof/>
          <w:u w:color="000000"/>
          <w:bdr w:val="nil"/>
        </w:rPr>
        <w:t>•</w:t>
      </w:r>
      <w:r>
        <w:rPr>
          <w:noProof/>
        </w:rPr>
        <w:tab/>
      </w:r>
      <w:r>
        <w:rPr>
          <w:noProof/>
          <w:u w:color="000000"/>
          <w:bdr w:val="nil"/>
        </w:rPr>
        <w:t>Célravezető szabályozás és egyszerűsítés</w:t>
      </w:r>
    </w:p>
    <w:p>
      <w:pPr>
        <w:rPr>
          <w:noProof/>
        </w:rPr>
      </w:pPr>
      <w:r>
        <w:rPr>
          <w:noProof/>
        </w:rPr>
        <w:t>Tárgytalan</w:t>
      </w:r>
    </w:p>
    <w:p>
      <w:pPr>
        <w:pStyle w:val="ManualHeading2"/>
        <w:rPr>
          <w:rFonts w:eastAsia="Arial Unicode MS"/>
          <w:noProof/>
          <w:u w:color="000000"/>
          <w:bdr w:val="nil"/>
        </w:rPr>
      </w:pPr>
      <w:r>
        <w:rPr>
          <w:noProof/>
          <w:u w:color="000000"/>
          <w:bdr w:val="nil"/>
        </w:rPr>
        <w:t>•</w:t>
      </w:r>
      <w:r>
        <w:rPr>
          <w:noProof/>
        </w:rPr>
        <w:tab/>
      </w:r>
      <w:r>
        <w:rPr>
          <w:noProof/>
          <w:u w:color="000000"/>
          <w:bdr w:val="nil"/>
        </w:rPr>
        <w:t>Alapjogok</w:t>
      </w:r>
    </w:p>
    <w:p>
      <w:pPr>
        <w:rPr>
          <w:noProof/>
        </w:rPr>
      </w:pPr>
      <w:r>
        <w:rPr>
          <w:noProof/>
        </w:rPr>
        <w:t>Tárgytalan</w:t>
      </w:r>
    </w:p>
    <w:p>
      <w:pPr>
        <w:pStyle w:val="ManualHeading1"/>
        <w:rPr>
          <w:noProof/>
        </w:rPr>
      </w:pPr>
      <w:r>
        <w:rPr>
          <w:noProof/>
        </w:rPr>
        <w:lastRenderedPageBreak/>
        <w:t>4.</w:t>
      </w:r>
      <w:r>
        <w:rPr>
          <w:noProof/>
        </w:rPr>
        <w:tab/>
        <w:t>KÖLTSÉGVETÉSI VONZATOK</w:t>
      </w:r>
    </w:p>
    <w:p>
      <w:pPr>
        <w:rPr>
          <w:noProof/>
        </w:rPr>
      </w:pPr>
      <w:r>
        <w:rPr>
          <w:noProof/>
        </w:rPr>
        <w:t xml:space="preserve">A javasolt módosítás nem vonja maga után az 1311/2013/EU rendelet I. mellékletében megállapított többéves pénzügyi keret kötelezettségvállalásokra és kifizetésekre vonatkozó éves felső határértékeinek módosítását. Az Európai Mezőgazdasági Vidékfejlesztési Alap (EMVA) kötelezettségvállalási előirányzatainak teljes éves bontása változatlan marad. Figyelembe véve az ezen új intézkedés végrehajtásához szükséges időt, a kedvezményezettek részére történő kifizetésekre várhatóan 2020 negyedik negyedévében kerül sor, így azokat a 2021. évi költségvetésből kell finanszírozni. Az ezen intézkedés finanszírozásához szükséges kifizetési előirányzatokat a Bizottság következő, 2021. évi költségvetési tervezetébe belefoglalandó EMVA-előirányzatokba kell beépíteni, és azokat a rákövetkező években a kifizetési igények megfelelő arányú csökkentése fogja ellensúlyozni. </w:t>
      </w:r>
    </w:p>
    <w:p>
      <w:pPr>
        <w:pStyle w:val="ManualHeading1"/>
        <w:rPr>
          <w:noProof/>
        </w:rPr>
      </w:pPr>
      <w:r>
        <w:rPr>
          <w:noProof/>
        </w:rPr>
        <w:t>5.</w:t>
      </w:r>
      <w:r>
        <w:rPr>
          <w:noProof/>
        </w:rPr>
        <w:tab/>
        <w:t>EGYÉB ELEMEK</w:t>
      </w:r>
    </w:p>
    <w:p>
      <w:pPr>
        <w:pStyle w:val="ManualHeading2"/>
        <w:rPr>
          <w:rFonts w:eastAsia="Arial Unicode MS"/>
          <w:noProof/>
          <w:u w:color="000000"/>
          <w:bdr w:val="nil"/>
        </w:rPr>
      </w:pPr>
      <w:r>
        <w:rPr>
          <w:noProof/>
          <w:u w:color="000000"/>
          <w:bdr w:val="nil"/>
        </w:rPr>
        <w:t>•</w:t>
      </w:r>
      <w:r>
        <w:rPr>
          <w:noProof/>
        </w:rPr>
        <w:tab/>
      </w:r>
      <w:r>
        <w:rPr>
          <w:noProof/>
          <w:u w:color="000000"/>
          <w:bdr w:val="nil"/>
        </w:rPr>
        <w:t>Végrehajtási tervek, valamint a nyomon követés, az értékelés és a jelentéstétel szabályai</w:t>
      </w:r>
    </w:p>
    <w:p>
      <w:pPr>
        <w:pBdr>
          <w:top w:val="nil"/>
          <w:left w:val="nil"/>
          <w:bottom w:val="nil"/>
          <w:right w:val="nil"/>
          <w:between w:val="nil"/>
          <w:bar w:val="nil"/>
        </w:pBdr>
        <w:spacing w:before="0" w:after="240"/>
        <w:rPr>
          <w:rFonts w:eastAsia="Arial Unicode MS"/>
          <w:noProof/>
        </w:rPr>
      </w:pPr>
      <w:r>
        <w:rPr>
          <w:noProof/>
        </w:rPr>
        <w:t>Az intézkedések végrehajtását a Bizottság figyelemmel kíséri, és arról az 1303/2013/EU és az 1305/2013/EU rendelettel létrehozott általános jelentéstételi mechanizmusok keretében beszámolók készülnek.</w:t>
      </w:r>
    </w:p>
    <w:p>
      <w:pPr>
        <w:pStyle w:val="ManualHeading2"/>
        <w:rPr>
          <w:rFonts w:eastAsia="Arial Unicode MS"/>
          <w:noProof/>
          <w:u w:color="000000"/>
          <w:bdr w:val="nil"/>
        </w:rPr>
      </w:pPr>
      <w:r>
        <w:rPr>
          <w:noProof/>
          <w:u w:color="000000"/>
          <w:bdr w:val="nil"/>
        </w:rPr>
        <w:t>•</w:t>
      </w:r>
      <w:r>
        <w:rPr>
          <w:noProof/>
        </w:rPr>
        <w:tab/>
      </w:r>
      <w:r>
        <w:rPr>
          <w:noProof/>
          <w:u w:color="000000"/>
          <w:bdr w:val="nil"/>
        </w:rPr>
        <w:t>Magyarázó dokumentumok (irányelvek esetén)</w:t>
      </w:r>
    </w:p>
    <w:p>
      <w:pPr>
        <w:pBdr>
          <w:top w:val="nil"/>
          <w:left w:val="nil"/>
          <w:bottom w:val="nil"/>
          <w:right w:val="nil"/>
          <w:between w:val="nil"/>
          <w:bar w:val="nil"/>
        </w:pBdr>
        <w:spacing w:before="0" w:after="240"/>
        <w:rPr>
          <w:noProof/>
        </w:rPr>
      </w:pPr>
      <w:r>
        <w:rPr>
          <w:noProof/>
        </w:rPr>
        <w:t>Tárgytalan</w:t>
      </w:r>
    </w:p>
    <w:p>
      <w:pPr>
        <w:pStyle w:val="ManualHeading2"/>
        <w:rPr>
          <w:rFonts w:eastAsia="Arial Unicode MS"/>
          <w:noProof/>
          <w:u w:color="000000"/>
          <w:bdr w:val="nil"/>
        </w:rPr>
      </w:pPr>
      <w:r>
        <w:rPr>
          <w:noProof/>
          <w:u w:color="000000"/>
          <w:bdr w:val="nil"/>
        </w:rPr>
        <w:t>•</w:t>
      </w:r>
      <w:r>
        <w:rPr>
          <w:noProof/>
        </w:rPr>
        <w:tab/>
      </w:r>
      <w:r>
        <w:rPr>
          <w:noProof/>
          <w:u w:color="000000"/>
          <w:bdr w:val="nil"/>
        </w:rPr>
        <w:t>A javaslat egyes rendelkezéseinek részletes magyarázata</w:t>
      </w:r>
    </w:p>
    <w:p>
      <w:pPr>
        <w:rPr>
          <w:noProof/>
        </w:rPr>
      </w:pPr>
      <w:r>
        <w:rPr>
          <w:noProof/>
        </w:rPr>
        <w:t xml:space="preserve">Az 1305/2013/EU rendeletet javasolt módosítani. </w:t>
      </w:r>
    </w:p>
    <w:p>
      <w:pPr>
        <w:spacing w:before="0" w:after="200"/>
        <w:jc w:val="left"/>
        <w:rPr>
          <w:noProof/>
        </w:rPr>
        <w:sectPr>
          <w:footerReference w:type="default" r:id="rId14"/>
          <w:footerReference w:type="first" r:id="rId15"/>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2020/0075 (COD)</w:t>
      </w:r>
    </w:p>
    <w:p>
      <w:pPr>
        <w:pStyle w:val="Statut"/>
        <w:rPr>
          <w:noProof/>
        </w:rPr>
      </w:pPr>
      <w:r>
        <w:rPr>
          <w:noProof/>
        </w:rPr>
        <w:t>Javaslat</w:t>
      </w:r>
    </w:p>
    <w:p>
      <w:pPr>
        <w:pStyle w:val="Typedudocument"/>
        <w:rPr>
          <w:noProof/>
        </w:rPr>
      </w:pPr>
      <w:r>
        <w:rPr>
          <w:noProof/>
        </w:rPr>
        <w:t>AZ EURÓPAI PARLAMENT ÉS A TANÁCS RENDELETE</w:t>
      </w:r>
    </w:p>
    <w:p>
      <w:pPr>
        <w:pStyle w:val="Titreobjet"/>
        <w:rPr>
          <w:noProof/>
        </w:rPr>
      </w:pPr>
      <w:r>
        <w:rPr>
          <w:noProof/>
        </w:rPr>
        <w:t>az 1305/2013/EU rendeletnek a Covid19-járványra adott válaszként az EMVA keretében nyújtandó rendkívüli ideiglenes támogatás biztosítását célzó egyedi intézkedések tekintetében történő módosításáról</w:t>
      </w:r>
    </w:p>
    <w:p>
      <w:pPr>
        <w:pStyle w:val="Institutionquiagit"/>
        <w:rPr>
          <w:noProof/>
        </w:rPr>
      </w:pPr>
      <w:r>
        <w:rPr>
          <w:noProof/>
        </w:rPr>
        <w:t>AZ EURÓPAI PARLAMENT ÉS AZ EURÓPAI UNIÓ TANÁCSA,</w:t>
      </w:r>
    </w:p>
    <w:p>
      <w:pPr>
        <w:rPr>
          <w:noProof/>
        </w:rPr>
      </w:pPr>
      <w:r>
        <w:rPr>
          <w:noProof/>
        </w:rPr>
        <w:t xml:space="preserve">tekintettel az Európai Unió működéséről szóló szerződésre és különösen annak 42. cikkére és 43. cikkének (2) bekezdésére, </w:t>
      </w:r>
    </w:p>
    <w:p>
      <w:pPr>
        <w:rPr>
          <w:noProof/>
        </w:rPr>
      </w:pPr>
      <w:r>
        <w:rPr>
          <w:noProof/>
        </w:rPr>
        <w:t>tekintettel az Európai Bizottság javaslatára,</w:t>
      </w:r>
    </w:p>
    <w:p>
      <w:pPr>
        <w:rPr>
          <w:noProof/>
        </w:rPr>
      </w:pPr>
      <w:r>
        <w:rPr>
          <w:noProof/>
        </w:rPr>
        <w:t>a jogalkotási aktus tervezete nemzeti parlamenteknek való megküldését követően,</w:t>
      </w:r>
    </w:p>
    <w:p>
      <w:pPr>
        <w:rPr>
          <w:noProof/>
        </w:rPr>
      </w:pPr>
      <w:r>
        <w:rPr>
          <w:noProof/>
        </w:rPr>
        <w:t>tekintettel az Európai Gazdasági és Szociális Bizottság véleményére</w:t>
      </w:r>
      <w:r>
        <w:rPr>
          <w:rStyle w:val="FootnoteReference"/>
          <w:noProof/>
        </w:rPr>
        <w:footnoteReference w:id="2"/>
      </w:r>
      <w:r>
        <w:rPr>
          <w:noProof/>
        </w:rPr>
        <w:t xml:space="preserve">, </w:t>
      </w:r>
    </w:p>
    <w:p>
      <w:pPr>
        <w:rPr>
          <w:noProof/>
        </w:rPr>
      </w:pPr>
      <w:r>
        <w:rPr>
          <w:noProof/>
        </w:rPr>
        <w:t>tekintettel a Régiók Bizottságának véleményére</w:t>
      </w:r>
      <w:r>
        <w:rPr>
          <w:rStyle w:val="FootnoteReference"/>
          <w:noProof/>
        </w:rPr>
        <w:footnoteReference w:id="3"/>
      </w:r>
      <w:r>
        <w:rPr>
          <w:noProof/>
        </w:rPr>
        <w:t xml:space="preserve">, </w:t>
      </w:r>
    </w:p>
    <w:p>
      <w:pPr>
        <w:rPr>
          <w:noProof/>
        </w:rPr>
      </w:pPr>
      <w:r>
        <w:rPr>
          <w:noProof/>
        </w:rPr>
        <w:t>rendes jogalkotási eljárás keretében,</w:t>
      </w:r>
    </w:p>
    <w:p>
      <w:pPr>
        <w:rPr>
          <w:noProof/>
        </w:rPr>
      </w:pPr>
      <w:r>
        <w:rPr>
          <w:noProof/>
        </w:rPr>
        <w:t>mivel:</w:t>
      </w:r>
    </w:p>
    <w:p>
      <w:pPr>
        <w:pStyle w:val="ManualConsidrant"/>
        <w:rPr>
          <w:noProof/>
        </w:rPr>
      </w:pPr>
      <w:r>
        <w:t>(1)</w:t>
      </w:r>
      <w:r>
        <w:tab/>
      </w:r>
      <w:r>
        <w:rPr>
          <w:noProof/>
        </w:rPr>
        <w:t>A mezőgazdasági termelőket és a vidéki vállalkozásokat példátlan módon érintették a Covid19-járvány okozta válság következményei. A szabad mozgás tagállamokban bevezetett, széles körű korlátozásai, valamint az üzletek, szabadtéri piacok, éttermek és egyéb vendéglátóipari létesítmények kötelező bezárása gazdasági zavarokat idézett elő a mezőgazdasági ágazatban és a vidéki közösségekben, emellett likviditási és pénzforgalmi problémákat okozott a mezőgazdasági termelőknek és a mezőgazdasági termékek feldolgozásával, forgalmazásával és/vagy fejlesztésével foglalkozó vidéki kisvállalkozásoknak. Ezáltal egy olyan rendkívüli helyzet állt elő, amely kezelésre szorul.</w:t>
      </w:r>
    </w:p>
    <w:p>
      <w:pPr>
        <w:pStyle w:val="ManualConsidrant"/>
        <w:rPr>
          <w:noProof/>
        </w:rPr>
      </w:pPr>
      <w:r>
        <w:t>(2)</w:t>
      </w:r>
      <w:r>
        <w:tab/>
      </w:r>
      <w:r>
        <w:rPr>
          <w:noProof/>
        </w:rPr>
        <w:t xml:space="preserve">A válság hatásainak enyhítése érdekében egy új, rendkívüli és ideiglenes intézkedésnek kell kezelnie azokat a likviditási problémákat, amelyek veszélyeztetik a mezőgazdasági tevékenységek és a mezőgazdasági termékek feldolgozásával, forgalmazásával és/vagy fejlesztésével foglalkozó kisvállalkozások tevékenységének folytonosságát.  </w:t>
      </w:r>
    </w:p>
    <w:p>
      <w:pPr>
        <w:pStyle w:val="ManualConsidrant"/>
        <w:rPr>
          <w:noProof/>
        </w:rPr>
      </w:pPr>
      <w:r>
        <w:t>(3)</w:t>
      </w:r>
      <w:r>
        <w:tab/>
      </w:r>
      <w:r>
        <w:rPr>
          <w:noProof/>
        </w:rPr>
        <w:t xml:space="preserve">A támogatást, amelynek célja az agrárvállalkozások versenyképességének és a mezőgazdasági üzemek életképességének biztosítása, objektív és megkülönböztetésmentes kritériumok alapján kell odaítélni, a rendelkezésre álló forrásokat a lehető legnagyobb mértékben a válság által leginkább sújtott kedvezményezettekre összpontosítva. A mezőgazdasági termelők esetében az említett kritériumok közé sorolhatók egyes termelési ágazatok, gazdálkodási típusok, a mezőgazdasági üzemek szerkezete, a mezőgazdasági termékek forgalmazásának </w:t>
      </w:r>
      <w:r>
        <w:rPr>
          <w:noProof/>
        </w:rPr>
        <w:lastRenderedPageBreak/>
        <w:t>típusa, a foglalkoztatott idénymunkások száma, a kkv-k esetében pedig egyes ágazatok, tevékenységtípusok, régiótípusok, valamint egyéb sajátos tényezők.</w:t>
      </w:r>
    </w:p>
    <w:p>
      <w:pPr>
        <w:pStyle w:val="ManualConsidrant"/>
        <w:rPr>
          <w:noProof/>
        </w:rPr>
      </w:pPr>
      <w:r>
        <w:t>(4)</w:t>
      </w:r>
      <w:r>
        <w:tab/>
      </w:r>
      <w:r>
        <w:rPr>
          <w:noProof/>
        </w:rPr>
        <w:t xml:space="preserve">Ezen intézkedés sürgősségére és kivételes jellegére tekintettel rendelkezni kell az egyszeri kifizetésről és az intézkedés alkalmazásának legkésőbbi időpontjáról, ugyanakkor emlékeztetni kell arra az elvre, hogy a Bizottság általi kifizetéseket a költségvetési előirányzatokkal összhangban és a rendelkezésre álló források függvényében kell teljesíteni. </w:t>
      </w:r>
    </w:p>
    <w:p>
      <w:pPr>
        <w:pStyle w:val="ManualConsidrant"/>
        <w:rPr>
          <w:noProof/>
        </w:rPr>
      </w:pPr>
      <w:r>
        <w:t>(5)</w:t>
      </w:r>
      <w:r>
        <w:tab/>
      </w:r>
      <w:r>
        <w:rPr>
          <w:noProof/>
        </w:rPr>
        <w:t>Ahhoz, hogy a legsúlyosabban érintett mezőgazdasági termelők, illetve kkv-k nagyobb támogatásban részesülhessenek, helyénvaló lehetővé tenni a tagállamok számára, hogy objektív és megkülönböztetésmentes kritériumok alapján kiigazítsák a támogatható kedvezményezettek bizonyos kategóriáira vonatkozó egyösszegű kifizetéseket.</w:t>
      </w:r>
    </w:p>
    <w:p>
      <w:pPr>
        <w:pStyle w:val="ManualConsidrant"/>
        <w:rPr>
          <w:noProof/>
        </w:rPr>
      </w:pPr>
      <w:r>
        <w:t>(6)</w:t>
      </w:r>
      <w:r>
        <w:tab/>
      </w:r>
      <w:r>
        <w:rPr>
          <w:noProof/>
        </w:rPr>
        <w:t xml:space="preserve">Ahhoz, hogy az új intézkedéshez a vidékfejlesztési programok egyéb célkitűzéseinek veszélyeztetése nélkül lehessen biztosítani a szükséges forrásokat, meg kell határozni az uniós hozzájárulás maximális arányát.        </w:t>
      </w:r>
    </w:p>
    <w:p>
      <w:pPr>
        <w:pStyle w:val="ManualConsidrant"/>
        <w:rPr>
          <w:noProof/>
        </w:rPr>
      </w:pPr>
      <w:r>
        <w:t>(7)</w:t>
      </w:r>
      <w:r>
        <w:tab/>
      </w:r>
      <w:r>
        <w:rPr>
          <w:noProof/>
        </w:rPr>
        <w:t>Az 1305/2013/EU rendeletet ezért ennek megfelelően módosítani kell.</w:t>
      </w:r>
    </w:p>
    <w:p>
      <w:pPr>
        <w:pStyle w:val="ManualConsidrant"/>
        <w:rPr>
          <w:noProof/>
        </w:rPr>
      </w:pPr>
      <w:r>
        <w:t>(8)</w:t>
      </w:r>
      <w:r>
        <w:tab/>
      </w:r>
      <w:r>
        <w:rPr>
          <w:noProof/>
        </w:rPr>
        <w:t>Tekintettel a Covid19-járványra, valamint az azzal összefüggő népegészségügyi válság kezelésének sürgősségére, szükségesnek tűnik kivételt biztosítani a nemzeti parlamenteknek az Unióban betöltött szerepéről szóló, az Európai Unióról szóló szerződéshez, az Európai Unió működéséről szóló szerződéshez és az Európai Atomenergia-közösséget létrehozó szerződéshez csatolt 1. jegyzőkönyv 4. cikkében említett nyolchetes időszak alól.</w:t>
      </w:r>
    </w:p>
    <w:p>
      <w:pPr>
        <w:pStyle w:val="ManualConsidrant"/>
        <w:rPr>
          <w:noProof/>
        </w:rPr>
      </w:pPr>
      <w:r>
        <w:t>(9)</w:t>
      </w:r>
      <w:r>
        <w:tab/>
      </w:r>
      <w:r>
        <w:rPr>
          <w:noProof/>
        </w:rPr>
        <w:t xml:space="preserve">Tekintettel a Covid19-járvánnyal kapcsolatos helyzet sürgősségére, helyénvaló, hogy ez a rendelet az </w:t>
      </w:r>
      <w:r>
        <w:rPr>
          <w:i/>
          <w:noProof/>
        </w:rPr>
        <w:t>Európai Unió Hivatalos Lapjában</w:t>
      </w:r>
      <w:r>
        <w:rPr>
          <w:noProof/>
        </w:rPr>
        <w:t xml:space="preserve"> való kihirdetésének napján hatályba lépjen,</w:t>
      </w:r>
    </w:p>
    <w:p>
      <w:pPr>
        <w:pStyle w:val="Formuledadoption"/>
        <w:rPr>
          <w:noProof/>
        </w:rPr>
      </w:pPr>
      <w:r>
        <w:rPr>
          <w:noProof/>
        </w:rPr>
        <w:t>ELFOGADTA EZT A RENDELETET:</w:t>
      </w:r>
    </w:p>
    <w:p>
      <w:pPr>
        <w:pStyle w:val="Titrearticle"/>
        <w:rPr>
          <w:b/>
          <w:noProof/>
        </w:rPr>
      </w:pPr>
      <w:r>
        <w:rPr>
          <w:noProof/>
        </w:rPr>
        <w:t>1. cikk</w:t>
      </w:r>
      <w:r>
        <w:rPr>
          <w:noProof/>
        </w:rPr>
        <w:br/>
      </w:r>
      <w:r>
        <w:rPr>
          <w:b/>
          <w:i w:val="0"/>
          <w:noProof/>
        </w:rPr>
        <w:t>Az 1305/2013/EU rendelet módosítása</w:t>
      </w:r>
    </w:p>
    <w:p>
      <w:pPr>
        <w:rPr>
          <w:noProof/>
        </w:rPr>
      </w:pPr>
      <w:r>
        <w:rPr>
          <w:noProof/>
        </w:rPr>
        <w:t>Az 1305/2013/EU rendelet a következőképpen módosul:</w:t>
      </w:r>
    </w:p>
    <w:p>
      <w:pPr>
        <w:pStyle w:val="ManualNumPar1"/>
        <w:rPr>
          <w:noProof/>
        </w:rPr>
      </w:pPr>
      <w:r>
        <w:rPr>
          <w:noProof/>
        </w:rPr>
        <w:t>1.</w:t>
      </w:r>
      <w:r>
        <w:rPr>
          <w:noProof/>
        </w:rPr>
        <w:tab/>
        <w:t>A szöveg a következő 39b. cikkel egészül ki:</w:t>
      </w:r>
      <w:r>
        <w:rPr>
          <w:noProof/>
          <w:color w:val="1F497D"/>
        </w:rPr>
        <w:t xml:space="preserve"> </w:t>
      </w:r>
    </w:p>
    <w:p>
      <w:pPr>
        <w:pStyle w:val="Titrearticle"/>
        <w:ind w:left="284"/>
        <w:rPr>
          <w:noProof/>
        </w:rPr>
      </w:pPr>
      <w:r>
        <w:rPr>
          <w:noProof/>
        </w:rPr>
        <w:t xml:space="preserve">„39b. cikk </w:t>
      </w:r>
      <w:r>
        <w:rPr>
          <w:noProof/>
        </w:rPr>
        <w:br/>
        <w:t>Rendkívüli ideiglenes segítség a Covid19-válság által különösen érintett mezőgazdasági termelők és mezőgazdasági termékek feldolgozásával, forgalmazásával és/vagy fejlesztésével foglalkozó kkv-k számára</w:t>
      </w:r>
    </w:p>
    <w:p>
      <w:pPr>
        <w:ind w:left="568"/>
        <w:rPr>
          <w:noProof/>
        </w:rPr>
      </w:pPr>
      <w:r>
        <w:rPr>
          <w:noProof/>
        </w:rPr>
        <w:t xml:space="preserve"> </w:t>
      </w:r>
    </w:p>
    <w:p>
      <w:pPr>
        <w:pStyle w:val="Point0"/>
        <w:rPr>
          <w:noProof/>
        </w:rPr>
      </w:pPr>
      <w:r>
        <w:t>(1)</w:t>
      </w:r>
      <w:r>
        <w:tab/>
      </w:r>
      <w:r>
        <w:rPr>
          <w:noProof/>
        </w:rPr>
        <w:t xml:space="preserve">Az ezen intézkedés keretében nyújtott támogatás az e cikkben meghatározott feltételek mellett szükséghelyzeti támogatást biztosít a Covid19-válság által különösen érintett mezőgazdasági termelőknek és kkv-knak üzleti tevékenységük folytonosságának biztosítása céljából. </w:t>
      </w:r>
    </w:p>
    <w:p>
      <w:pPr>
        <w:rPr>
          <w:noProof/>
        </w:rPr>
      </w:pPr>
    </w:p>
    <w:p>
      <w:pPr>
        <w:pStyle w:val="Point0"/>
        <w:rPr>
          <w:noProof/>
        </w:rPr>
      </w:pPr>
      <w:r>
        <w:t>(2)</w:t>
      </w:r>
      <w:r>
        <w:tab/>
      </w:r>
      <w:r>
        <w:rPr>
          <w:noProof/>
        </w:rPr>
        <w:t xml:space="preserve">A támogatás olyan mezőgazdasági termelőknek és kkv-knak nyújtható, amelyek tevékenysége a halászati termékek kivételével az EUMSZ I. mellékletének hatálya alá tartozó mezőgazdasági termékek, illetve gyapot feldolgozásához, értékesítéséhez </w:t>
      </w:r>
      <w:r>
        <w:rPr>
          <w:noProof/>
        </w:rPr>
        <w:lastRenderedPageBreak/>
        <w:t>és/vagy fejlesztéséhez kapcsolódik; ugyanakkor a termelési folyamat eredménye olyan termék is lehet, amely nem tartozik az említett melléklet hatálya alá.</w:t>
      </w:r>
    </w:p>
    <w:p>
      <w:pPr>
        <w:rPr>
          <w:noProof/>
        </w:rPr>
      </w:pPr>
    </w:p>
    <w:p>
      <w:pPr>
        <w:pStyle w:val="Point0"/>
        <w:rPr>
          <w:noProof/>
        </w:rPr>
      </w:pPr>
      <w:r>
        <w:t>(3)</w:t>
      </w:r>
      <w:r>
        <w:tab/>
      </w:r>
      <w:r>
        <w:rPr>
          <w:noProof/>
        </w:rPr>
        <w:t>A tagállamok a támogatást a válság által leginkább érintett kedvezményezettek felé irányítják a támogathatósági feltételek és lehetőség szerint – a rendelkezésre álló bizonyítékokon alapuló – objektív és megkülönböztetésmentes kiválasztási kritériumok meghatározásával.</w:t>
      </w:r>
    </w:p>
    <w:p>
      <w:pPr>
        <w:rPr>
          <w:noProof/>
        </w:rPr>
      </w:pPr>
    </w:p>
    <w:p>
      <w:pPr>
        <w:pStyle w:val="Point0"/>
        <w:rPr>
          <w:noProof/>
        </w:rPr>
      </w:pPr>
      <w:r>
        <w:t>(4)</w:t>
      </w:r>
      <w:r>
        <w:tab/>
      </w:r>
      <w:r>
        <w:rPr>
          <w:noProof/>
        </w:rPr>
        <w:t>A támogatás [2020/12/31]-ig folyósítandó egyösszegű kifizetés formájában történik; a visszatérítéséről a Bizottság utólag, a költségvetési előirányzatokkal összhangban és a rendelkezésre álló források függvényében gondoskodik. A kifizetett összeg a kedvezményezettek kategóriái szerint, objektív és megkülönböztetésmentes kritériumok alapján differenciálható.</w:t>
      </w:r>
    </w:p>
    <w:p>
      <w:pPr>
        <w:rPr>
          <w:noProof/>
        </w:rPr>
      </w:pPr>
    </w:p>
    <w:p>
      <w:pPr>
        <w:pStyle w:val="Point0"/>
        <w:rPr>
          <w:noProof/>
        </w:rPr>
      </w:pPr>
      <w:r>
        <w:t>(5)</w:t>
      </w:r>
      <w:r>
        <w:tab/>
      </w:r>
      <w:r>
        <w:rPr>
          <w:noProof/>
        </w:rPr>
        <w:t>A támogatás maximális összege mezőgazdasági termelőnként nem lehet több 5 000 EUR-nál, kkv-nként pedig 50 000 EUR-nál.</w:t>
      </w:r>
    </w:p>
    <w:p>
      <w:pPr>
        <w:pStyle w:val="ListParagraph"/>
        <w:ind w:left="568"/>
        <w:rPr>
          <w:noProof/>
        </w:rPr>
      </w:pPr>
    </w:p>
    <w:p>
      <w:pPr>
        <w:pStyle w:val="Point0"/>
        <w:rPr>
          <w:noProof/>
        </w:rPr>
      </w:pPr>
      <w:r>
        <w:t>(6)</w:t>
      </w:r>
      <w:r>
        <w:tab/>
      </w:r>
      <w:r>
        <w:rPr>
          <w:noProof/>
        </w:rPr>
        <w:t>Az e cikk szerinti támogatás nyújtásakor a tagállamok figyelembe veszik az egyéb nemzeti vagy uniós támogatási eszközök vagy magánkezdeményezések keretében a Covid19-válság hatásainak kezeléséhez nyújtott támogatásokat.”</w:t>
      </w:r>
    </w:p>
    <w:p>
      <w:pPr>
        <w:ind w:left="284"/>
        <w:rPr>
          <w:noProof/>
        </w:rPr>
      </w:pPr>
    </w:p>
    <w:p>
      <w:pPr>
        <w:pStyle w:val="ManualNumPar1"/>
        <w:ind w:left="720" w:firstLine="0"/>
        <w:rPr>
          <w:noProof/>
          <w:color w:val="1F497D"/>
        </w:rPr>
      </w:pPr>
      <w:r>
        <w:rPr>
          <w:noProof/>
        </w:rPr>
        <w:t xml:space="preserve"> 2.</w:t>
      </w:r>
      <w:r>
        <w:rPr>
          <w:noProof/>
        </w:rPr>
        <w:tab/>
        <w:t>Az 59. cikk a következő (6a) bekezdéssel egészül ki:</w:t>
      </w:r>
      <w:r>
        <w:rPr>
          <w:noProof/>
          <w:color w:val="1F497D"/>
        </w:rPr>
        <w:t xml:space="preserve"> </w:t>
      </w:r>
    </w:p>
    <w:p>
      <w:pPr>
        <w:pStyle w:val="ListParagraph"/>
        <w:spacing w:before="0" w:after="0"/>
        <w:contextualSpacing w:val="0"/>
        <w:rPr>
          <w:noProof/>
        </w:rPr>
      </w:pPr>
      <w:r>
        <w:rPr>
          <w:noProof/>
        </w:rPr>
        <w:t>„(6a) A 39b. cikkben említett intézkedés keretében nyújtott EMVA-támogatás nem haladhatja meg az EMVA-ból a vidékfejlesztési programhoz nyújtott teljes hozzájárulás 1 %-át.”</w:t>
      </w:r>
    </w:p>
    <w:p>
      <w:pPr>
        <w:pStyle w:val="ManualNumPar1"/>
        <w:ind w:left="720" w:firstLine="0"/>
        <w:rPr>
          <w:noProof/>
        </w:rPr>
      </w:pPr>
    </w:p>
    <w:p>
      <w:pPr>
        <w:pStyle w:val="ManualNumPar1"/>
        <w:ind w:left="720" w:firstLine="0"/>
        <w:rPr>
          <w:noProof/>
        </w:rPr>
      </w:pPr>
    </w:p>
    <w:p>
      <w:pPr>
        <w:pStyle w:val="ManualNumPar1"/>
        <w:ind w:left="720" w:firstLine="0"/>
        <w:rPr>
          <w:noProof/>
        </w:rPr>
      </w:pPr>
      <w:r>
        <w:rPr>
          <w:noProof/>
        </w:rPr>
        <w:t xml:space="preserve">3. A 49. cikk (2) bekezdése a következőképpen módosul: </w:t>
      </w:r>
    </w:p>
    <w:p>
      <w:pPr>
        <w:pStyle w:val="Text1"/>
        <w:ind w:left="1440"/>
        <w:rPr>
          <w:noProof/>
        </w:rPr>
      </w:pPr>
      <w:r>
        <w:rPr>
          <w:noProof/>
        </w:rPr>
        <w:t>„(2) A műveletek kiválasztásáért felelős tagállami hatóság – a 18. cikk (1) bekezdésének b) pontja, a 24. cikk (1) bekezdésének d) pontja, a 28–31., a 33–34. és a 36–39b. cikk szerinti műveletek kivételével – gondoskodik arról, hogy a műveletek kiválasztása az (1) bekezdésben említett kiválasztási kritériumok alapján, átlátható és megfelelően dokumentált eljárásnak megfelelően történjen.”</w:t>
      </w:r>
    </w:p>
    <w:p>
      <w:pPr>
        <w:pStyle w:val="Text1"/>
        <w:rPr>
          <w:noProof/>
        </w:rPr>
      </w:pPr>
    </w:p>
    <w:p>
      <w:pPr>
        <w:ind w:left="-76"/>
        <w:rPr>
          <w:noProof/>
        </w:rPr>
      </w:pPr>
    </w:p>
    <w:p>
      <w:pPr>
        <w:pStyle w:val="Titrearticle"/>
        <w:rPr>
          <w:noProof/>
        </w:rPr>
      </w:pPr>
      <w:r>
        <w:rPr>
          <w:noProof/>
        </w:rPr>
        <w:t>2. cikk</w:t>
      </w:r>
    </w:p>
    <w:p>
      <w:pPr>
        <w:rPr>
          <w:noProof/>
        </w:rPr>
      </w:pPr>
      <w:r>
        <w:rPr>
          <w:noProof/>
        </w:rPr>
        <w:t xml:space="preserve">Ez a rendelet az </w:t>
      </w:r>
      <w:r>
        <w:rPr>
          <w:i/>
          <w:noProof/>
        </w:rPr>
        <w:t>Európai Unió Hivatalos Lapjában</w:t>
      </w:r>
      <w:r>
        <w:rPr>
          <w:noProof/>
        </w:rPr>
        <w:t xml:space="preserve"> való kihirdetésének napján lép hatályba.</w:t>
      </w:r>
    </w:p>
    <w:p>
      <w:pPr>
        <w:pStyle w:val="Applicationdirecte"/>
        <w:keepNext/>
        <w:keepLines/>
        <w:rPr>
          <w:noProof/>
        </w:rPr>
      </w:pPr>
      <w:r>
        <w:rPr>
          <w:noProof/>
        </w:rPr>
        <w:lastRenderedPageBreak/>
        <w:t>Ez a rendelet teljes egészében kötelező és közvetlenül alkalmazandó valamennyi tagállamban.</w:t>
      </w:r>
    </w:p>
    <w:p>
      <w:pPr>
        <w:pStyle w:val="Fait"/>
        <w:rPr>
          <w:noProof/>
        </w:rPr>
      </w:pPr>
      <w:r>
        <w:t>Kelt Brüsszelben, -án/-én.</w:t>
      </w:r>
    </w:p>
    <w:p>
      <w:pPr>
        <w:pStyle w:val="Institutionquisigne"/>
        <w:rPr>
          <w:noProof/>
        </w:rPr>
      </w:pPr>
      <w:r>
        <w:rPr>
          <w:noProof/>
        </w:rPr>
        <w:t>az Európai Parlament részéről</w:t>
      </w:r>
      <w:r>
        <w:rPr>
          <w:noProof/>
        </w:rPr>
        <w:tab/>
        <w:t>a Tanács részéről</w:t>
      </w:r>
    </w:p>
    <w:p>
      <w:pPr>
        <w:pStyle w:val="Personnequisigne"/>
        <w:rPr>
          <w:noProof/>
        </w:rPr>
      </w:pPr>
      <w:r>
        <w:rPr>
          <w:noProof/>
        </w:rPr>
        <w:t>az elnök</w:t>
      </w:r>
      <w:r>
        <w:rPr>
          <w:noProof/>
        </w:rPr>
        <w:tab/>
        <w:t>az elnök</w:t>
      </w:r>
    </w:p>
    <w:p>
      <w:pPr>
        <w:rPr>
          <w:noProof/>
        </w:rPr>
        <w:sectPr>
          <w:pgSz w:w="11907" w:h="16839"/>
          <w:pgMar w:top="1134" w:right="1417" w:bottom="1134" w:left="1417" w:header="709" w:footer="709" w:gutter="0"/>
          <w:cols w:space="720"/>
          <w:docGrid w:linePitch="360"/>
        </w:sectPr>
      </w:pPr>
    </w:p>
    <w:p>
      <w:pPr>
        <w:pStyle w:val="Fichefinanciretitre"/>
        <w:rPr>
          <w:noProof/>
        </w:rPr>
      </w:pPr>
      <w:r>
        <w:rPr>
          <w:noProof/>
        </w:rPr>
        <w:lastRenderedPageBreak/>
        <w:t>PÉNZÜGYI KIMUTATÁS</w:t>
      </w:r>
    </w:p>
    <w:p>
      <w:pPr>
        <w:pStyle w:val="ManualHeading1"/>
        <w:rPr>
          <w:noProof/>
        </w:rPr>
      </w:pPr>
      <w:bookmarkStart w:id="1" w:name="_Toc514938007"/>
      <w:bookmarkStart w:id="2" w:name="_Toc520485025"/>
      <w:r>
        <w:t>1.</w:t>
      </w:r>
      <w:r>
        <w:tab/>
      </w:r>
      <w:r>
        <w:rPr>
          <w:noProof/>
        </w:rPr>
        <w:t>A JAVASLAT/KEZDEMÉNYEZÉS FŐBB ADATAI</w:t>
      </w:r>
      <w:bookmarkEnd w:id="1"/>
      <w:bookmarkEnd w:id="2"/>
      <w:r>
        <w:rPr>
          <w:noProof/>
        </w:rPr>
        <w:t xml:space="preserve"> </w:t>
      </w:r>
    </w:p>
    <w:p>
      <w:pPr>
        <w:pStyle w:val="ManualHeading2"/>
        <w:rPr>
          <w:noProof/>
        </w:rPr>
      </w:pPr>
      <w:bookmarkStart w:id="3" w:name="_Toc514938008"/>
      <w:bookmarkStart w:id="4" w:name="_Toc520485026"/>
      <w:r>
        <w:t>1.1.</w:t>
      </w:r>
      <w:r>
        <w:tab/>
      </w:r>
      <w:r>
        <w:rPr>
          <w:noProof/>
        </w:rPr>
        <w:t>A javaslat/kezdeményezés címe</w:t>
      </w:r>
      <w:bookmarkEnd w:id="3"/>
      <w:bookmarkEnd w:id="4"/>
    </w:p>
    <w:p>
      <w:pPr>
        <w:pStyle w:val="Text1"/>
        <w:pBdr>
          <w:top w:val="single" w:sz="4" w:space="1" w:color="auto"/>
          <w:left w:val="single" w:sz="4" w:space="4" w:color="auto"/>
          <w:bottom w:val="single" w:sz="4" w:space="1" w:color="auto"/>
          <w:right w:val="single" w:sz="4" w:space="4" w:color="auto"/>
        </w:pBdr>
        <w:rPr>
          <w:noProof/>
        </w:rPr>
      </w:pPr>
      <w:r>
        <w:t>Javaslat – Az Európai Parlament és a Tanács rendelete az 1305/2013/EU rendeletnek a Covid19-járványra adott válaszként az EMVA keretében nyújtandó rendkívüli ideiglenes támogatás biztosítását célzó egyedi intézkedések tekintetében történő módosításáról</w:t>
      </w:r>
    </w:p>
    <w:p>
      <w:pPr>
        <w:pStyle w:val="ManualHeading2"/>
        <w:rPr>
          <w:bCs/>
          <w:noProof/>
          <w:szCs w:val="24"/>
        </w:rPr>
      </w:pPr>
      <w:bookmarkStart w:id="5" w:name="_Toc514938014"/>
      <w:bookmarkStart w:id="6" w:name="_Toc520485028"/>
      <w:r>
        <w:t>1.2.</w:t>
      </w:r>
      <w:r>
        <w:tab/>
      </w:r>
      <w:r>
        <w:rPr>
          <w:noProof/>
        </w:rPr>
        <w:t>A javaslat/kezdeményezés a következőre irányul:</w:t>
      </w:r>
      <w:bookmarkEnd w:id="5"/>
      <w:bookmarkEnd w:id="6"/>
      <w:r>
        <w:rPr>
          <w:noProof/>
        </w:rPr>
        <w:t xml:space="preserve"> </w:t>
      </w:r>
    </w:p>
    <w:p>
      <w:pPr>
        <w:pStyle w:val="Text1"/>
        <w:rPr>
          <w:b/>
          <w:noProof/>
          <w:sz w:val="22"/>
        </w:rPr>
      </w:pPr>
      <w:r>
        <w:rPr>
          <w:noProof/>
          <w:sz w:val="22"/>
        </w:rPr>
        <w:sym w:font="Wingdings" w:char="F0A8"/>
      </w:r>
      <w:r>
        <w:rPr>
          <w:noProof/>
        </w:rPr>
        <w:t xml:space="preserve"> </w:t>
      </w:r>
      <w:r>
        <w:rPr>
          <w:b/>
          <w:noProof/>
        </w:rPr>
        <w:t>új intézkedés</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kísérleti projektet/előkészítő intézkedést követő új intézkedés</w:t>
      </w:r>
      <w:r>
        <w:rPr>
          <w:rStyle w:val="FootnoteReference"/>
          <w:b/>
          <w:noProof/>
        </w:rPr>
        <w:footnoteReference w:id="4"/>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jelenlegi intézkedés meghosszabbítása</w:t>
      </w:r>
      <w:r>
        <w:rPr>
          <w:noProof/>
          <w:sz w:val="22"/>
        </w:rPr>
        <w:t xml:space="preserve"> </w:t>
      </w:r>
    </w:p>
    <w:p>
      <w:pPr>
        <w:pStyle w:val="Text1"/>
        <w:rPr>
          <w:noProof/>
        </w:rPr>
      </w:pPr>
      <w:r>
        <w:rPr>
          <w:noProof/>
          <w:sz w:val="22"/>
        </w:rPr>
        <w:t>X</w:t>
      </w:r>
      <w:r>
        <w:rPr>
          <w:noProof/>
        </w:rPr>
        <w:t xml:space="preserve"> </w:t>
      </w:r>
      <w:r>
        <w:rPr>
          <w:b/>
          <w:noProof/>
        </w:rPr>
        <w:t>egy vagy több intézkedés összevonása vagy átcsoportosítása egy másik/új intézkedésre</w:t>
      </w:r>
      <w:r>
        <w:rPr>
          <w:noProof/>
        </w:rPr>
        <w:t xml:space="preserve"> </w:t>
      </w:r>
    </w:p>
    <w:p>
      <w:pPr>
        <w:pStyle w:val="ManualHeading2"/>
        <w:rPr>
          <w:bCs/>
          <w:noProof/>
          <w:szCs w:val="24"/>
        </w:rPr>
      </w:pPr>
      <w:bookmarkStart w:id="7" w:name="_Toc514938015"/>
      <w:bookmarkStart w:id="8" w:name="_Toc520485029"/>
      <w:r>
        <w:t>1.3.</w:t>
      </w:r>
      <w:r>
        <w:tab/>
      </w:r>
      <w:r>
        <w:rPr>
          <w:noProof/>
        </w:rPr>
        <w:t>Célkitűzés(ek)</w:t>
      </w:r>
      <w:bookmarkEnd w:id="7"/>
      <w:bookmarkEnd w:id="8"/>
    </w:p>
    <w:p>
      <w:pPr>
        <w:pStyle w:val="ManualHeading3"/>
        <w:rPr>
          <w:noProof/>
        </w:rPr>
      </w:pPr>
      <w:bookmarkStart w:id="9" w:name="_Toc514938016"/>
      <w:bookmarkStart w:id="10" w:name="_Toc520485030"/>
      <w:r>
        <w:t>1.3.1.</w:t>
      </w:r>
      <w:r>
        <w:tab/>
      </w:r>
      <w:r>
        <w:rPr>
          <w:noProof/>
        </w:rPr>
        <w:t>Általános célkitűzés(ek)</w:t>
      </w:r>
      <w:bookmarkEnd w:id="9"/>
      <w:bookmarkEnd w:id="10"/>
    </w:p>
    <w:p>
      <w:pPr>
        <w:pStyle w:val="Text1"/>
        <w:pBdr>
          <w:top w:val="single" w:sz="4" w:space="1" w:color="auto"/>
          <w:left w:val="single" w:sz="4" w:space="4" w:color="auto"/>
          <w:bottom w:val="single" w:sz="4" w:space="1" w:color="auto"/>
          <w:right w:val="single" w:sz="4" w:space="4" w:color="auto"/>
        </w:pBdr>
      </w:pPr>
      <w:r>
        <w:rPr>
          <w:noProof/>
        </w:rPr>
        <w:t>Új, rendkívüli és ideiglenes intézkedés bevezetése azon likviditási problémák kezelésére, amelyek veszélyeztetik a mezőgazdasági tevékenységek és a mezőgazdasági termékeket feldolgozó kisvállalkozások tevékenységének folytonosságát</w:t>
      </w:r>
      <w:r>
        <w:t xml:space="preserve"> </w:t>
      </w:r>
    </w:p>
    <w:p>
      <w:pPr>
        <w:pStyle w:val="ManualHeading3"/>
        <w:rPr>
          <w:bCs/>
          <w:noProof/>
          <w:szCs w:val="24"/>
        </w:rPr>
      </w:pPr>
      <w:bookmarkStart w:id="11" w:name="_Toc514938018"/>
      <w:bookmarkStart w:id="12" w:name="_Toc520485031"/>
      <w:r>
        <w:t>1.3.2.</w:t>
      </w:r>
      <w:r>
        <w:tab/>
      </w:r>
      <w:r>
        <w:rPr>
          <w:noProof/>
        </w:rPr>
        <w:t>Konkrét célkitűzés(ek)</w:t>
      </w:r>
      <w:bookmarkEnd w:id="11"/>
      <w:bookmarkEnd w:id="12"/>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sz. konkrét célkitűzés</w:t>
      </w:r>
    </w:p>
    <w:p>
      <w:pPr>
        <w:pStyle w:val="Text1"/>
        <w:pBdr>
          <w:top w:val="single" w:sz="4" w:space="1" w:color="auto"/>
          <w:left w:val="single" w:sz="4" w:space="4" w:color="auto"/>
          <w:bottom w:val="single" w:sz="4" w:space="1" w:color="auto"/>
          <w:right w:val="single" w:sz="4" w:space="4" w:color="auto"/>
        </w:pBdr>
      </w:pPr>
      <w:r>
        <w:t>Tárgytalan</w:t>
      </w:r>
    </w:p>
    <w:p>
      <w:pPr>
        <w:pStyle w:val="ManualHeading3"/>
        <w:rPr>
          <w:noProof/>
        </w:rPr>
      </w:pPr>
      <w:bookmarkStart w:id="13" w:name="_Toc514938019"/>
      <w:bookmarkStart w:id="14" w:name="_Toc520485032"/>
      <w:r>
        <w:t>1.3.3.</w:t>
      </w:r>
      <w:r>
        <w:tab/>
      </w:r>
      <w:r>
        <w:rPr>
          <w:noProof/>
        </w:rPr>
        <w:t>Várható eredmény(ek) és hatás(ok)</w:t>
      </w:r>
      <w:bookmarkEnd w:id="13"/>
      <w:bookmarkEnd w:id="14"/>
    </w:p>
    <w:p>
      <w:pPr>
        <w:pStyle w:val="Text1"/>
        <w:rPr>
          <w:i/>
          <w:noProof/>
          <w:sz w:val="20"/>
        </w:rPr>
      </w:pPr>
      <w:r>
        <w:rPr>
          <w:i/>
          <w:noProof/>
          <w:sz w:val="20"/>
        </w:rPr>
        <w:t>Tüntesse fel, hogy a javaslatnak/kezdeményezésnek milyen hatásokat kellene gyakorolnia a kedvezményezettekre/célcsoportokra.</w:t>
      </w:r>
    </w:p>
    <w:p>
      <w:pPr>
        <w:pStyle w:val="Text1"/>
        <w:pBdr>
          <w:top w:val="single" w:sz="4" w:space="1" w:color="auto"/>
          <w:left w:val="single" w:sz="4" w:space="4" w:color="auto"/>
          <w:bottom w:val="single" w:sz="4" w:space="1" w:color="auto"/>
          <w:right w:val="single" w:sz="4" w:space="4" w:color="auto"/>
        </w:pBdr>
        <w:rPr>
          <w:noProof/>
        </w:rPr>
      </w:pPr>
      <w:r>
        <w:t>Tárgytalan</w:t>
      </w:r>
    </w:p>
    <w:p>
      <w:pPr>
        <w:pStyle w:val="ManualHeading3"/>
        <w:rPr>
          <w:noProof/>
          <w:szCs w:val="24"/>
        </w:rPr>
      </w:pPr>
      <w:bookmarkStart w:id="15" w:name="_Toc514938023"/>
      <w:bookmarkStart w:id="16" w:name="_Toc520485033"/>
      <w:r>
        <w:t>1.3.4.</w:t>
      </w:r>
      <w:r>
        <w:tab/>
      </w:r>
      <w:r>
        <w:rPr>
          <w:noProof/>
        </w:rPr>
        <w:t>Teljesítménymutatók</w:t>
      </w:r>
      <w:bookmarkEnd w:id="15"/>
      <w:bookmarkEnd w:id="16"/>
    </w:p>
    <w:p>
      <w:pPr>
        <w:pStyle w:val="Text1"/>
        <w:rPr>
          <w:i/>
          <w:noProof/>
          <w:sz w:val="20"/>
        </w:rPr>
      </w:pPr>
      <w:r>
        <w:rPr>
          <w:i/>
          <w:noProof/>
          <w:sz w:val="20"/>
        </w:rPr>
        <w:t>Határozza meg az előrehaladás és az eredmények nyomon követésére szolgáló mutatókat.</w:t>
      </w:r>
    </w:p>
    <w:p>
      <w:pPr>
        <w:pStyle w:val="Text1"/>
        <w:pBdr>
          <w:top w:val="single" w:sz="4" w:space="1" w:color="auto"/>
          <w:left w:val="single" w:sz="4" w:space="4" w:color="auto"/>
          <w:bottom w:val="single" w:sz="4" w:space="1" w:color="auto"/>
          <w:right w:val="single" w:sz="4" w:space="4" w:color="auto"/>
        </w:pBdr>
      </w:pPr>
      <w:r>
        <w:t>Tárgytalan</w:t>
      </w:r>
    </w:p>
    <w:p>
      <w:pPr>
        <w:pStyle w:val="ManualHeading2"/>
        <w:rPr>
          <w:bCs/>
          <w:noProof/>
          <w:szCs w:val="24"/>
        </w:rPr>
      </w:pPr>
      <w:bookmarkStart w:id="17" w:name="_Toc514938025"/>
      <w:bookmarkStart w:id="18" w:name="_Toc520485034"/>
      <w:r>
        <w:t>1.4.</w:t>
      </w:r>
      <w:r>
        <w:tab/>
      </w:r>
      <w:r>
        <w:rPr>
          <w:noProof/>
        </w:rPr>
        <w:t>A javaslat/kezdeményezés indoklása</w:t>
      </w:r>
      <w:bookmarkEnd w:id="17"/>
      <w:bookmarkEnd w:id="18"/>
      <w:r>
        <w:rPr>
          <w:noProof/>
        </w:rPr>
        <w:t xml:space="preserve"> </w:t>
      </w:r>
    </w:p>
    <w:p>
      <w:pPr>
        <w:pStyle w:val="ManualHeading3"/>
        <w:rPr>
          <w:noProof/>
        </w:rPr>
      </w:pPr>
      <w:bookmarkStart w:id="19" w:name="_Toc514938026"/>
      <w:bookmarkStart w:id="20" w:name="_Toc520485035"/>
      <w:r>
        <w:t>1.4.1.</w:t>
      </w:r>
      <w:r>
        <w:tab/>
      </w:r>
      <w:r>
        <w:rPr>
          <w:noProof/>
        </w:rPr>
        <w:t>Rövid vagy hosszú távon kielégítendő szükséglet(ek) a kezdeményezés végrehajtásának részletes ütemtervével</w:t>
      </w:r>
      <w:bookmarkEnd w:id="19"/>
      <w:bookmarkEnd w:id="20"/>
    </w:p>
    <w:p>
      <w:pPr>
        <w:pStyle w:val="Text1"/>
        <w:pBdr>
          <w:top w:val="single" w:sz="4" w:space="1" w:color="auto"/>
          <w:left w:val="single" w:sz="4" w:space="4" w:color="auto"/>
          <w:bottom w:val="single" w:sz="4" w:space="1" w:color="auto"/>
          <w:right w:val="single" w:sz="4" w:space="4" w:color="auto"/>
        </w:pBdr>
        <w:rPr>
          <w:noProof/>
        </w:rPr>
      </w:pPr>
      <w:r>
        <w:rPr>
          <w:noProof/>
        </w:rPr>
        <w:t>Tárgytalan</w:t>
      </w:r>
    </w:p>
    <w:p>
      <w:pPr>
        <w:pStyle w:val="ManualHeading3"/>
        <w:rPr>
          <w:bCs/>
          <w:noProof/>
          <w:szCs w:val="24"/>
        </w:rPr>
      </w:pPr>
      <w:bookmarkStart w:id="21" w:name="_Toc514938029"/>
      <w:bookmarkStart w:id="22" w:name="_Toc520485036"/>
      <w:r>
        <w:t>1.4.2.</w:t>
      </w:r>
      <w:r>
        <w:tab/>
      </w:r>
      <w:r>
        <w:rPr>
          <w:noProof/>
        </w:rPr>
        <w:t>Az Unió részvételéből származó hozzáadott érték (mely adódhat többek között a koordinációból eredő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bookmarkEnd w:id="21"/>
      <w:bookmarkEnd w:id="22"/>
    </w:p>
    <w:p>
      <w:pPr>
        <w:pStyle w:val="Text1"/>
        <w:pBdr>
          <w:top w:val="single" w:sz="4" w:space="1" w:color="auto"/>
          <w:left w:val="single" w:sz="4" w:space="4" w:color="auto"/>
          <w:bottom w:val="single" w:sz="4" w:space="1" w:color="auto"/>
          <w:right w:val="single" w:sz="4" w:space="4" w:color="auto"/>
        </w:pBdr>
        <w:rPr>
          <w:noProof/>
        </w:rPr>
      </w:pPr>
      <w:r>
        <w:rPr>
          <w:noProof/>
        </w:rPr>
        <w:t>Tárgytalan</w:t>
      </w:r>
    </w:p>
    <w:p>
      <w:pPr>
        <w:pStyle w:val="ManualHeading3"/>
        <w:rPr>
          <w:noProof/>
        </w:rPr>
      </w:pPr>
      <w:bookmarkStart w:id="23" w:name="_Toc514938030"/>
      <w:bookmarkStart w:id="24" w:name="_Toc520485037"/>
      <w:r>
        <w:t>1.4.3.</w:t>
      </w:r>
      <w:r>
        <w:tab/>
      </w:r>
      <w:r>
        <w:rPr>
          <w:noProof/>
        </w:rPr>
        <w:t>Hasonló korábbi tapasztalatok tanulsága</w:t>
      </w:r>
      <w:bookmarkEnd w:id="23"/>
      <w:bookmarkEnd w:id="24"/>
    </w:p>
    <w:p>
      <w:pPr>
        <w:pStyle w:val="Text1"/>
        <w:pBdr>
          <w:top w:val="single" w:sz="4" w:space="1" w:color="auto"/>
          <w:left w:val="single" w:sz="4" w:space="4" w:color="auto"/>
          <w:bottom w:val="single" w:sz="4" w:space="1" w:color="auto"/>
          <w:right w:val="single" w:sz="4" w:space="4" w:color="auto"/>
        </w:pBdr>
        <w:rPr>
          <w:noProof/>
        </w:rPr>
      </w:pPr>
      <w:r>
        <w:rPr>
          <w:noProof/>
        </w:rPr>
        <w:t>Tárgytalan</w:t>
      </w:r>
    </w:p>
    <w:p>
      <w:pPr>
        <w:pStyle w:val="ManualHeading3"/>
        <w:rPr>
          <w:noProof/>
        </w:rPr>
      </w:pPr>
      <w:bookmarkStart w:id="25" w:name="_Toc514938033"/>
      <w:bookmarkStart w:id="26" w:name="_Toc520485038"/>
      <w:r>
        <w:t>1.4.4.</w:t>
      </w:r>
      <w:r>
        <w:tab/>
      </w:r>
      <w:r>
        <w:rPr>
          <w:noProof/>
        </w:rPr>
        <w:t>A többéves pénzügyi kerettel való összeegyeztethetőség és egyéb megfelelő eszközökkel való lehetséges szinergiák</w:t>
      </w:r>
      <w:bookmarkEnd w:id="25"/>
      <w:bookmarkEnd w:id="26"/>
    </w:p>
    <w:p>
      <w:pPr>
        <w:pStyle w:val="Text1"/>
        <w:pBdr>
          <w:top w:val="single" w:sz="4" w:space="1" w:color="auto"/>
          <w:left w:val="single" w:sz="4" w:space="4" w:color="auto"/>
          <w:bottom w:val="single" w:sz="4" w:space="1" w:color="auto"/>
          <w:right w:val="single" w:sz="4" w:space="4" w:color="auto"/>
        </w:pBdr>
        <w:rPr>
          <w:noProof/>
        </w:rPr>
      </w:pPr>
      <w:r>
        <w:t>Tárgytalan</w:t>
      </w:r>
    </w:p>
    <w:p>
      <w:pPr>
        <w:pStyle w:val="ManualHeading3"/>
        <w:rPr>
          <w:noProof/>
        </w:rPr>
      </w:pPr>
      <w:bookmarkStart w:id="27" w:name="_Toc514938036"/>
      <w:bookmarkStart w:id="28" w:name="_Toc520485039"/>
      <w:r>
        <w:t>1.4.5.</w:t>
      </w:r>
      <w:r>
        <w:tab/>
      </w:r>
      <w:r>
        <w:rPr>
          <w:noProof/>
        </w:rPr>
        <w:t>A rendelkezésre álló különböző finanszírozási lehetőségek értékelése, ideértve az átcsoportosítási lehetőségeket is</w:t>
      </w:r>
      <w:bookmarkEnd w:id="27"/>
      <w:bookmarkEnd w:id="28"/>
    </w:p>
    <w:p>
      <w:pPr>
        <w:pStyle w:val="Text1"/>
        <w:pBdr>
          <w:top w:val="single" w:sz="4" w:space="1" w:color="auto"/>
          <w:left w:val="single" w:sz="4" w:space="4" w:color="auto"/>
          <w:bottom w:val="single" w:sz="4" w:space="1" w:color="auto"/>
          <w:right w:val="single" w:sz="4" w:space="4" w:color="auto"/>
        </w:pBdr>
        <w:rPr>
          <w:noProof/>
        </w:rPr>
      </w:pPr>
      <w:r>
        <w:t>Tárgytalan</w:t>
      </w:r>
    </w:p>
    <w:p>
      <w:pPr>
        <w:pStyle w:val="Text1"/>
        <w:rPr>
          <w:noProof/>
        </w:rPr>
      </w:pPr>
    </w:p>
    <w:p>
      <w:pPr>
        <w:pStyle w:val="ManualHeading2"/>
        <w:rPr>
          <w:bCs/>
          <w:noProof/>
          <w:szCs w:val="24"/>
        </w:rPr>
      </w:pPr>
      <w:r>
        <w:rPr>
          <w:noProof/>
        </w:rPr>
        <w:br w:type="page"/>
      </w:r>
      <w:bookmarkStart w:id="29" w:name="_Toc514938039"/>
      <w:bookmarkStart w:id="30" w:name="_Toc520485040"/>
      <w:r>
        <w:t>1.5.</w:t>
      </w:r>
      <w:r>
        <w:tab/>
      </w:r>
      <w:r>
        <w:rPr>
          <w:noProof/>
        </w:rPr>
        <w:t>A javaslat/kezdeményezés időtartama és pénzügyi hatása</w:t>
      </w:r>
      <w:bookmarkEnd w:id="29"/>
      <w:bookmarkEnd w:id="30"/>
    </w:p>
    <w:p>
      <w:pPr>
        <w:pStyle w:val="Text1"/>
        <w:rPr>
          <w:noProof/>
        </w:rPr>
      </w:pPr>
      <w:r>
        <w:rPr>
          <w:noProof/>
        </w:rPr>
        <w:t xml:space="preserve">X </w:t>
      </w:r>
      <w:r>
        <w:rPr>
          <w:b/>
          <w:noProof/>
        </w:rPr>
        <w:t xml:space="preserve">határozott időtartam </w:t>
      </w:r>
    </w:p>
    <w:p>
      <w:pPr>
        <w:pStyle w:val="ListDash2"/>
        <w:rPr>
          <w:noProof/>
        </w:rPr>
      </w:pPr>
      <w:r>
        <w:rPr>
          <w:noProof/>
        </w:rPr>
        <w:sym w:font="Wingdings" w:char="F0A8"/>
      </w:r>
      <w:r>
        <w:rPr>
          <w:noProof/>
        </w:rPr>
        <w:tab/>
        <w:t xml:space="preserve">időtartam: ÉÉÉÉ [HH/NN]-tól/-től ÉÉÉÉ [HH/NN]-ig </w:t>
      </w:r>
    </w:p>
    <w:p>
      <w:pPr>
        <w:pStyle w:val="ListDash2"/>
        <w:rPr>
          <w:noProof/>
        </w:rPr>
      </w:pPr>
      <w:r>
        <w:rPr>
          <w:noProof/>
        </w:rPr>
        <w:t>X</w:t>
      </w:r>
      <w:r>
        <w:rPr>
          <w:noProof/>
        </w:rPr>
        <w:tab/>
        <w:t xml:space="preserve">A kötelezettségvállalási és kifizetési előirányzatokra összességében nem gyakorol pénzügyi hatást. </w:t>
      </w:r>
    </w:p>
    <w:p>
      <w:pPr>
        <w:pStyle w:val="Text1"/>
        <w:rPr>
          <w:noProof/>
        </w:rPr>
      </w:pPr>
      <w:r>
        <w:rPr>
          <w:noProof/>
        </w:rPr>
        <w:sym w:font="Wingdings" w:char="F0A8"/>
      </w:r>
      <w:r>
        <w:rPr>
          <w:noProof/>
        </w:rPr>
        <w:t xml:space="preserve"> </w:t>
      </w:r>
      <w:r>
        <w:rPr>
          <w:b/>
          <w:noProof/>
        </w:rPr>
        <w:t>határozatlan időtartam</w:t>
      </w:r>
    </w:p>
    <w:p>
      <w:pPr>
        <w:pStyle w:val="ListDash1"/>
        <w:rPr>
          <w:noProof/>
        </w:rPr>
      </w:pPr>
      <w:r>
        <w:rPr>
          <w:noProof/>
        </w:rPr>
        <w:t>ÉÉÉÉ-tól/től ÉÉÉÉ-ig: beindítási időszak,</w:t>
      </w:r>
    </w:p>
    <w:p>
      <w:pPr>
        <w:pStyle w:val="ListDash1"/>
        <w:rPr>
          <w:noProof/>
        </w:rPr>
      </w:pPr>
      <w:r>
        <w:rPr>
          <w:noProof/>
        </w:rPr>
        <w:t>azt követően: rendes ütem.</w:t>
      </w:r>
    </w:p>
    <w:p>
      <w:pPr>
        <w:pStyle w:val="ManualHeading2"/>
        <w:rPr>
          <w:bCs/>
          <w:noProof/>
          <w:szCs w:val="24"/>
        </w:rPr>
      </w:pPr>
      <w:bookmarkStart w:id="31" w:name="_Toc514938040"/>
      <w:bookmarkStart w:id="32" w:name="_Toc520485041"/>
      <w:r>
        <w:t>1.6.</w:t>
      </w:r>
      <w:r>
        <w:tab/>
      </w:r>
      <w:r>
        <w:rPr>
          <w:noProof/>
        </w:rPr>
        <w:t>Tervezett irányítási módszer(ek)</w:t>
      </w:r>
      <w:r>
        <w:rPr>
          <w:rStyle w:val="FootnoteReference"/>
          <w:noProof/>
        </w:rPr>
        <w:footnoteReference w:id="5"/>
      </w:r>
      <w:r>
        <w:rPr>
          <w:rStyle w:val="FootnoteReference"/>
          <w:noProof/>
        </w:rPr>
        <w:t xml:space="preserve"> </w:t>
      </w:r>
      <w:bookmarkEnd w:id="31"/>
      <w:bookmarkEnd w:id="32"/>
      <w:r>
        <w:rPr>
          <w:rStyle w:val="FootnoteReference"/>
          <w:noProof/>
        </w:rPr>
        <w:t xml:space="preserve"> </w:t>
      </w:r>
    </w:p>
    <w:p>
      <w:pPr>
        <w:pStyle w:val="Text1"/>
        <w:rPr>
          <w:noProof/>
        </w:rPr>
      </w:pPr>
      <w:r>
        <w:rPr>
          <w:noProof/>
        </w:rPr>
        <w:sym w:font="Wingdings" w:char="F0A8"/>
      </w:r>
      <w:r>
        <w:rPr>
          <w:i/>
          <w:noProof/>
        </w:rPr>
        <w:t xml:space="preserve"> </w:t>
      </w:r>
      <w:r>
        <w:rPr>
          <w:noProof/>
        </w:rPr>
        <w:t xml:space="preserve">Bizottság általi </w:t>
      </w:r>
      <w:r>
        <w:rPr>
          <w:b/>
          <w:noProof/>
        </w:rPr>
        <w:t>közvetlen irányítás</w:t>
      </w:r>
    </w:p>
    <w:p>
      <w:pPr>
        <w:pStyle w:val="ListDash2"/>
        <w:rPr>
          <w:rFonts w:cs="EUAlbertina"/>
          <w:noProof/>
        </w:rPr>
      </w:pPr>
      <w:r>
        <w:rPr>
          <w:noProof/>
        </w:rPr>
        <w:sym w:font="Wingdings" w:char="F0A8"/>
      </w:r>
      <w:r>
        <w:rPr>
          <w:noProof/>
        </w:rPr>
        <w:t xml:space="preserve"> a Bizottság szervezeti egységein keresztül, ideértve az uniós küldöttségek személyzetét </w:t>
      </w:r>
    </w:p>
    <w:p>
      <w:pPr>
        <w:pStyle w:val="ListDash2"/>
        <w:rPr>
          <w:noProof/>
        </w:rPr>
      </w:pPr>
      <w:r>
        <w:rPr>
          <w:noProof/>
        </w:rPr>
        <w:sym w:font="Wingdings" w:char="F0A8"/>
      </w:r>
      <w:r>
        <w:rPr>
          <w:noProof/>
        </w:rPr>
        <w:tab/>
        <w:t xml:space="preserve">végrehajtó ügynökségeken keresztül </w:t>
      </w:r>
    </w:p>
    <w:p>
      <w:pPr>
        <w:pStyle w:val="Text1"/>
        <w:rPr>
          <w:noProof/>
        </w:rPr>
      </w:pPr>
      <w:r>
        <w:rPr>
          <w:noProof/>
        </w:rPr>
        <w:t xml:space="preserve">X </w:t>
      </w:r>
      <w:r>
        <w:rPr>
          <w:b/>
          <w:noProof/>
        </w:rPr>
        <w:t>Megosztott irányítás</w:t>
      </w:r>
      <w:r>
        <w:rPr>
          <w:noProof/>
        </w:rPr>
        <w:t xml:space="preserve"> a tagállamokkal </w:t>
      </w:r>
    </w:p>
    <w:p>
      <w:pPr>
        <w:pStyle w:val="Text1"/>
        <w:rPr>
          <w:noProof/>
        </w:rPr>
      </w:pPr>
      <w:r>
        <w:rPr>
          <w:noProof/>
        </w:rPr>
        <w:sym w:font="Wingdings" w:char="F0A8"/>
      </w:r>
      <w:r>
        <w:rPr>
          <w:i/>
          <w:noProof/>
        </w:rPr>
        <w:t xml:space="preserve"> </w:t>
      </w:r>
      <w:r>
        <w:rPr>
          <w:b/>
          <w:noProof/>
        </w:rPr>
        <w:t>Közvetett irányítás</w:t>
      </w:r>
      <w:r>
        <w:rPr>
          <w:noProof/>
        </w:rPr>
        <w:t xml:space="preserve"> a költségvetés végrehajtásával kapcsolatos feladatoknak a következőkre történő átruházásával:</w:t>
      </w:r>
    </w:p>
    <w:p>
      <w:pPr>
        <w:pStyle w:val="ListDash2"/>
        <w:rPr>
          <w:noProof/>
        </w:rPr>
      </w:pPr>
      <w:r>
        <w:rPr>
          <w:noProof/>
        </w:rPr>
        <w:sym w:font="Wingdings" w:char="F0A8"/>
      </w:r>
      <w:r>
        <w:rPr>
          <w:noProof/>
        </w:rPr>
        <w:t xml:space="preserve"> harmadik országok vagy az általuk kijelölt szervek;</w:t>
      </w:r>
    </w:p>
    <w:p>
      <w:pPr>
        <w:pStyle w:val="ListDash2"/>
        <w:rPr>
          <w:noProof/>
        </w:rPr>
      </w:pPr>
      <w:r>
        <w:rPr>
          <w:noProof/>
        </w:rPr>
        <w:sym w:font="Wingdings" w:char="F0A8"/>
      </w:r>
      <w:r>
        <w:rPr>
          <w:noProof/>
        </w:rPr>
        <w:t xml:space="preserve"> nemzetközi szervezetek és ügynökségeik (nevezze meg);</w:t>
      </w:r>
    </w:p>
    <w:p>
      <w:pPr>
        <w:pStyle w:val="ListDash2"/>
        <w:rPr>
          <w:noProof/>
        </w:rPr>
      </w:pPr>
      <w:r>
        <w:rPr>
          <w:noProof/>
        </w:rPr>
        <w:sym w:font="Wingdings" w:char="F0A8"/>
      </w:r>
      <w:r>
        <w:rPr>
          <w:noProof/>
        </w:rPr>
        <w:t xml:space="preserve"> az EBB és az Európai Beruházási Alap;</w:t>
      </w:r>
    </w:p>
    <w:p>
      <w:pPr>
        <w:pStyle w:val="ListDash2"/>
        <w:rPr>
          <w:noProof/>
        </w:rPr>
      </w:pPr>
      <w:r>
        <w:rPr>
          <w:noProof/>
        </w:rPr>
        <w:sym w:font="Wingdings" w:char="F0A8"/>
      </w:r>
      <w:r>
        <w:rPr>
          <w:noProof/>
        </w:rPr>
        <w:t xml:space="preserve"> a költségvetési rendelet 70. és 71. cikkében említett szervek;</w:t>
      </w:r>
    </w:p>
    <w:p>
      <w:pPr>
        <w:pStyle w:val="ListDash2"/>
        <w:rPr>
          <w:noProof/>
        </w:rPr>
      </w:pPr>
      <w:r>
        <w:rPr>
          <w:noProof/>
        </w:rPr>
        <w:sym w:font="Wingdings" w:char="F0A8"/>
      </w:r>
      <w:r>
        <w:rPr>
          <w:noProof/>
        </w:rPr>
        <w:t xml:space="preserve"> közjogi szervek;</w:t>
      </w:r>
    </w:p>
    <w:p>
      <w:pPr>
        <w:pStyle w:val="ListDash2"/>
        <w:rPr>
          <w:noProof/>
        </w:rPr>
      </w:pPr>
      <w:r>
        <w:rPr>
          <w:noProof/>
        </w:rPr>
        <w:sym w:font="Wingdings" w:char="F0A8"/>
      </w:r>
      <w:r>
        <w:rPr>
          <w:noProof/>
        </w:rPr>
        <w:t xml:space="preserve"> magánjog alapján működő, közfeladatot ellátó szervek, amennyiben megfelelő pénzügyi garanciákat nyújtanak;</w:t>
      </w:r>
    </w:p>
    <w:p>
      <w:pPr>
        <w:pStyle w:val="ListDash2"/>
        <w:rPr>
          <w:noProof/>
        </w:rPr>
      </w:pPr>
      <w:r>
        <w:rPr>
          <w:noProof/>
        </w:rPr>
        <w:sym w:font="Wingdings" w:char="F0A8"/>
      </w:r>
      <w:r>
        <w:rPr>
          <w:noProof/>
        </w:rPr>
        <w:t xml:space="preserve"> valamely tagállam magánjoga alapján működő, köz- és magánszféra közötti partnerség végrehajtásával megbízott és megfelelő pénzügyi garanciákat nyújtó szervek;</w:t>
      </w:r>
    </w:p>
    <w:p>
      <w:pPr>
        <w:pStyle w:val="ListDash2"/>
        <w:rPr>
          <w:noProof/>
        </w:rPr>
      </w:pPr>
      <w:r>
        <w:rPr>
          <w:noProof/>
        </w:rPr>
        <w:sym w:font="Wingdings" w:char="F0A8"/>
      </w:r>
      <w:r>
        <w:rPr>
          <w:noProof/>
        </w:rPr>
        <w:t xml:space="preserve"> az EUSZ V. címének értelmében a KKBP terén konkrét fellépések végrehajtásával megbízott, és a vonatkozó alap-jogiaktusban meghatározott személyek.</w:t>
      </w:r>
    </w:p>
    <w:p>
      <w:pPr>
        <w:pStyle w:val="ListDash2"/>
        <w:rPr>
          <w:i/>
          <w:noProof/>
          <w:sz w:val="18"/>
          <w:u w:val="single"/>
        </w:rPr>
      </w:pPr>
      <w:r>
        <w:rPr>
          <w:i/>
          <w:noProof/>
          <w:sz w:val="18"/>
        </w:rPr>
        <w:t>Egynél több irányítási módszer feltüntetése esetén kérjük, adjon részletes magyarázatot a „Megjegyzések” rovatban.</w:t>
      </w:r>
    </w:p>
    <w:p>
      <w:pPr>
        <w:rPr>
          <w:noProof/>
        </w:rPr>
      </w:pPr>
      <w:r>
        <w:rPr>
          <w:noProof/>
        </w:rPr>
        <w:t xml:space="preserve">Megjegyzések </w:t>
      </w:r>
    </w:p>
    <w:p>
      <w:pPr>
        <w:pBdr>
          <w:top w:val="single" w:sz="4" w:space="1" w:color="auto"/>
          <w:left w:val="single" w:sz="4" w:space="4" w:color="auto"/>
          <w:bottom w:val="single" w:sz="4" w:space="1" w:color="auto"/>
          <w:right w:val="single" w:sz="4" w:space="4" w:color="auto"/>
        </w:pBdr>
      </w:pPr>
      <w:r>
        <w:t>Ez az új javaslat nem vonja maga után a többéves pénzügyi keretre vonatkozóan az 1311/2013/EU rendelet I. mellékletében megállapított kötelezettségvállalások és kifizetések éves felső határainak módosítását. Az Európai Mezőgazdasági Vidékfejlesztési Alap kötelezettségvállalási előirányzatainak éves bontása változatlan marad.</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r>
        <w:t>Összességében ez az intézkedés nem tesz szükségessé további kifizetési előirányzatokat. Az intézkedés finanszírozásához szükséges 2021. évi kifizetési előirányzatokat a rákövetkező években alacsonyabb kifizetési igények fogják ellensúlyozni.</w:t>
      </w:r>
    </w:p>
    <w:p>
      <w:pPr>
        <w:pStyle w:val="ManualHeading1"/>
        <w:rPr>
          <w:bCs/>
          <w:noProof/>
          <w:szCs w:val="24"/>
        </w:rPr>
      </w:pPr>
      <w:bookmarkStart w:id="33" w:name="_Toc514938041"/>
      <w:bookmarkStart w:id="34" w:name="_Toc520485042"/>
      <w:r>
        <w:t>2.</w:t>
      </w:r>
      <w:r>
        <w:tab/>
      </w:r>
      <w:r>
        <w:rPr>
          <w:noProof/>
        </w:rPr>
        <w:t>IRÁNYÍTÁSI INTÉZKEDÉSEK</w:t>
      </w:r>
      <w:bookmarkEnd w:id="33"/>
      <w:bookmarkEnd w:id="34"/>
      <w:r>
        <w:rPr>
          <w:noProof/>
        </w:rPr>
        <w:t xml:space="preserve"> </w:t>
      </w:r>
    </w:p>
    <w:p>
      <w:pPr>
        <w:pStyle w:val="ManualHeading2"/>
        <w:rPr>
          <w:noProof/>
        </w:rPr>
      </w:pPr>
      <w:bookmarkStart w:id="35" w:name="_Toc514938042"/>
      <w:bookmarkStart w:id="36" w:name="_Toc520485043"/>
      <w:r>
        <w:t>2.1.</w:t>
      </w:r>
      <w:r>
        <w:tab/>
      </w:r>
      <w:r>
        <w:rPr>
          <w:noProof/>
        </w:rPr>
        <w:t>A nyomon követésre és a jelentéstételre vonatkozó rendelkezések</w:t>
      </w:r>
      <w:bookmarkEnd w:id="35"/>
      <w:bookmarkEnd w:id="36"/>
      <w:r>
        <w:rPr>
          <w:noProof/>
        </w:rPr>
        <w:t xml:space="preserve"> </w:t>
      </w:r>
    </w:p>
    <w:p>
      <w:pPr>
        <w:pStyle w:val="Text1"/>
        <w:rPr>
          <w:i/>
          <w:noProof/>
          <w:sz w:val="20"/>
        </w:rPr>
      </w:pPr>
      <w:r>
        <w:rPr>
          <w:i/>
          <w:noProof/>
          <w:sz w:val="20"/>
        </w:rPr>
        <w:t>Gyakoriság és feltételek.</w:t>
      </w:r>
    </w:p>
    <w:p>
      <w:pPr>
        <w:pStyle w:val="Text1"/>
        <w:pBdr>
          <w:top w:val="single" w:sz="4" w:space="1" w:color="auto"/>
          <w:left w:val="single" w:sz="4" w:space="4" w:color="auto"/>
          <w:bottom w:val="single" w:sz="4" w:space="1" w:color="auto"/>
          <w:right w:val="single" w:sz="4" w:space="4" w:color="auto"/>
        </w:pBdr>
        <w:rPr>
          <w:noProof/>
        </w:rPr>
      </w:pPr>
      <w:r>
        <w:t>Tárgytalan</w:t>
      </w:r>
    </w:p>
    <w:p>
      <w:pPr>
        <w:pStyle w:val="ManualHeading2"/>
        <w:rPr>
          <w:bCs/>
          <w:noProof/>
          <w:szCs w:val="24"/>
        </w:rPr>
      </w:pPr>
      <w:bookmarkStart w:id="37" w:name="_Toc514938045"/>
      <w:bookmarkStart w:id="38" w:name="_Toc520485044"/>
      <w:r>
        <w:t>2.2.</w:t>
      </w:r>
      <w:r>
        <w:tab/>
      </w:r>
      <w:r>
        <w:rPr>
          <w:noProof/>
        </w:rPr>
        <w:t>Irányítási és kontrollrendszer(ek)</w:t>
      </w:r>
      <w:bookmarkEnd w:id="37"/>
      <w:bookmarkEnd w:id="38"/>
      <w:r>
        <w:rPr>
          <w:noProof/>
        </w:rPr>
        <w:t xml:space="preserve"> </w:t>
      </w:r>
    </w:p>
    <w:p>
      <w:pPr>
        <w:pStyle w:val="ManualHeading3"/>
        <w:rPr>
          <w:noProof/>
        </w:rPr>
      </w:pPr>
      <w:bookmarkStart w:id="39" w:name="_Toc514938046"/>
      <w:bookmarkStart w:id="40" w:name="_Toc520485045"/>
      <w:r>
        <w:t>2.2.1.</w:t>
      </w:r>
      <w:r>
        <w:tab/>
      </w:r>
      <w:r>
        <w:rPr>
          <w:noProof/>
        </w:rPr>
        <w:t>Az irányítási módszer(ek), a finanszírozás végrehajtási mechanizmusai, a kifizetési módok és a javasolt kontrollstratégia indokolása</w:t>
      </w:r>
      <w:bookmarkEnd w:id="39"/>
      <w:bookmarkEnd w:id="40"/>
    </w:p>
    <w:p>
      <w:pPr>
        <w:pStyle w:val="Text1"/>
        <w:pBdr>
          <w:top w:val="single" w:sz="4" w:space="1" w:color="auto"/>
          <w:left w:val="single" w:sz="4" w:space="4" w:color="auto"/>
          <w:bottom w:val="single" w:sz="4" w:space="1" w:color="auto"/>
          <w:right w:val="single" w:sz="4" w:space="4" w:color="auto"/>
        </w:pBdr>
        <w:rPr>
          <w:noProof/>
        </w:rPr>
      </w:pPr>
      <w:r>
        <w:rPr>
          <w:noProof/>
        </w:rPr>
        <w:t>Tárgytalan</w:t>
      </w:r>
    </w:p>
    <w:p>
      <w:pPr>
        <w:pStyle w:val="ManualHeading3"/>
        <w:rPr>
          <w:bCs/>
          <w:noProof/>
          <w:szCs w:val="24"/>
        </w:rPr>
      </w:pPr>
      <w:bookmarkStart w:id="41" w:name="_Toc514938047"/>
      <w:bookmarkStart w:id="42" w:name="_Toc520485046"/>
      <w:r>
        <w:t>2.2.2.</w:t>
      </w:r>
      <w:r>
        <w:tab/>
      </w:r>
      <w:r>
        <w:rPr>
          <w:noProof/>
        </w:rPr>
        <w:t>A felismert kockázatokkal és a csökkentésükre létrehozott belső kontrollrendszerekkel kapcsolatos információk</w:t>
      </w:r>
      <w:bookmarkEnd w:id="41"/>
      <w:bookmarkEnd w:id="42"/>
    </w:p>
    <w:p>
      <w:pPr>
        <w:pStyle w:val="Text1"/>
        <w:pBdr>
          <w:top w:val="single" w:sz="4" w:space="1" w:color="auto"/>
          <w:left w:val="single" w:sz="4" w:space="4" w:color="auto"/>
          <w:bottom w:val="single" w:sz="4" w:space="1" w:color="auto"/>
          <w:right w:val="single" w:sz="4" w:space="4" w:color="auto"/>
        </w:pBdr>
        <w:rPr>
          <w:noProof/>
        </w:rPr>
      </w:pPr>
      <w:r>
        <w:t>Tárgytalan</w:t>
      </w:r>
    </w:p>
    <w:p>
      <w:pPr>
        <w:pStyle w:val="ManualHeading3"/>
        <w:rPr>
          <w:noProof/>
        </w:rPr>
      </w:pPr>
      <w:bookmarkStart w:id="43" w:name="_Toc514938048"/>
      <w:bookmarkStart w:id="44" w:name="_Toc520485047"/>
      <w:r>
        <w:t>2.2.3.</w:t>
      </w:r>
      <w:r>
        <w:tab/>
      </w:r>
      <w:r>
        <w:rPr>
          <w:noProof/>
        </w:rPr>
        <w:t>A kontroll költséghatékonyságának becslése és indokolása (a „kontroll költségei ÷ a kezelt kapcsolódó források értéke” hányados) és a hibakockázat várható szintjeinek értékelése (kifizetéskor és záráskor)</w:t>
      </w:r>
      <w:bookmarkEnd w:id="43"/>
      <w:bookmarkEnd w:id="44"/>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t>Tárgytalan</w:t>
      </w:r>
    </w:p>
    <w:p>
      <w:pPr>
        <w:pStyle w:val="ManualHeading2"/>
        <w:rPr>
          <w:bCs/>
          <w:noProof/>
          <w:szCs w:val="24"/>
        </w:rPr>
      </w:pPr>
      <w:bookmarkStart w:id="45" w:name="_Toc514938049"/>
      <w:bookmarkStart w:id="46" w:name="_Toc520485048"/>
      <w:r>
        <w:t>2.3.</w:t>
      </w:r>
      <w:r>
        <w:tab/>
      </w:r>
      <w:r>
        <w:rPr>
          <w:noProof/>
        </w:rPr>
        <w:t>A csalások és a szabálytalanságok megelőzésére vonatkozó intézkedések</w:t>
      </w:r>
      <w:bookmarkEnd w:id="45"/>
      <w:bookmarkEnd w:id="46"/>
      <w:r>
        <w:rPr>
          <w:noProof/>
        </w:rPr>
        <w:t xml:space="preserve"> </w:t>
      </w:r>
    </w:p>
    <w:p>
      <w:pPr>
        <w:pStyle w:val="Text1"/>
        <w:rPr>
          <w:i/>
          <w:noProof/>
          <w:sz w:val="20"/>
        </w:rPr>
      </w:pPr>
      <w:r>
        <w:rPr>
          <w:i/>
          <w:noProof/>
          <w:sz w:val="20"/>
        </w:rPr>
        <w:t>Tüntesse fel a meglévő vagy tervezett megelőző és védintézkedéseket, pl. a csalás elleni stratégiából.</w:t>
      </w:r>
    </w:p>
    <w:p>
      <w:pPr>
        <w:pStyle w:val="Text1"/>
        <w:pBdr>
          <w:top w:val="single" w:sz="4" w:space="1" w:color="auto"/>
          <w:left w:val="single" w:sz="4" w:space="4" w:color="auto"/>
          <w:bottom w:val="single" w:sz="4" w:space="1" w:color="auto"/>
          <w:right w:val="single" w:sz="4" w:space="4" w:color="auto"/>
        </w:pBdr>
        <w:rPr>
          <w:noProof/>
        </w:rPr>
      </w:pPr>
      <w:r>
        <w:t>Tárgytalan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47" w:name="_Toc514938050"/>
      <w:bookmarkStart w:id="48" w:name="_Toc520485049"/>
      <w:r>
        <w:t>3.</w:t>
      </w:r>
      <w:r>
        <w:tab/>
      </w:r>
      <w:r>
        <w:rPr>
          <w:noProof/>
        </w:rPr>
        <w:t>A JAVASLAT/KEZDEMÉNYEZÉS BECSÜLT PÉNZÜGYI HATÁSA</w:t>
      </w:r>
      <w:bookmarkEnd w:id="47"/>
      <w:bookmarkEnd w:id="48"/>
      <w:r>
        <w:rPr>
          <w:noProof/>
        </w:rPr>
        <w:t xml:space="preserve"> </w:t>
      </w:r>
    </w:p>
    <w:p>
      <w:pPr>
        <w:pStyle w:val="ManualHeading2"/>
        <w:rPr>
          <w:noProof/>
        </w:rPr>
      </w:pPr>
      <w:bookmarkStart w:id="49" w:name="_Toc514938051"/>
      <w:bookmarkStart w:id="50" w:name="_Toc520485050"/>
      <w:r>
        <w:t>3.1.</w:t>
      </w:r>
      <w:r>
        <w:tab/>
      </w:r>
      <w:r>
        <w:rPr>
          <w:noProof/>
        </w:rPr>
        <w:t>A többéves pénzügyi keret érintett fejezete/fejezetei és a költségvetés érintett kiadási sora/sorai</w:t>
      </w:r>
      <w:bookmarkEnd w:id="49"/>
      <w:bookmarkEnd w:id="50"/>
      <w:r>
        <w:rPr>
          <w:noProof/>
        </w:rPr>
        <w:t xml:space="preserve"> </w:t>
      </w:r>
    </w:p>
    <w:p>
      <w:pPr>
        <w:pStyle w:val="ListBullet1"/>
        <w:rPr>
          <w:noProof/>
        </w:rPr>
      </w:pPr>
      <w:r>
        <w:rPr>
          <w:noProof/>
        </w:rPr>
        <w:t xml:space="preserve">Jelenlegi költségvetési sorok </w:t>
      </w:r>
    </w:p>
    <w:p>
      <w:pPr>
        <w:pStyle w:val="Text1"/>
        <w:rPr>
          <w:i/>
          <w:noProof/>
        </w:rPr>
      </w:pPr>
      <w:r>
        <w:rPr>
          <w:i/>
          <w:noProof/>
        </w:rPr>
        <w:t xml:space="preserve">A többéves pénzügyi keret fejezetei, azon belül pedig a költségvetési sorok </w:t>
      </w:r>
      <w:r>
        <w:rPr>
          <w:i/>
          <w:noProof/>
          <w:u w:val="single"/>
        </w:rPr>
        <w:t>sorrendjében</w:t>
      </w:r>
      <w:r>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A többéves pénzügyi keret fejezete</w:t>
            </w:r>
          </w:p>
        </w:tc>
        <w:tc>
          <w:tcPr>
            <w:tcW w:w="3960" w:type="dxa"/>
            <w:vAlign w:val="center"/>
          </w:tcPr>
          <w:p>
            <w:pPr>
              <w:spacing w:before="60" w:after="60"/>
              <w:jc w:val="center"/>
              <w:rPr>
                <w:noProof/>
              </w:rPr>
            </w:pPr>
            <w:r>
              <w:rPr>
                <w:noProof/>
                <w:sz w:val="20"/>
              </w:rPr>
              <w:t>Költségvetési sor</w:t>
            </w:r>
          </w:p>
        </w:tc>
        <w:tc>
          <w:tcPr>
            <w:tcW w:w="1080" w:type="dxa"/>
            <w:vAlign w:val="center"/>
          </w:tcPr>
          <w:p>
            <w:pPr>
              <w:spacing w:before="60" w:after="60"/>
              <w:jc w:val="center"/>
              <w:rPr>
                <w:noProof/>
              </w:rPr>
            </w:pPr>
            <w:r>
              <w:rPr>
                <w:noProof/>
                <w:sz w:val="18"/>
              </w:rPr>
              <w:t>Kiadás</w:t>
            </w:r>
            <w:r>
              <w:rPr>
                <w:noProof/>
              </w:rPr>
              <w:t xml:space="preserve"> </w:t>
            </w:r>
            <w:r>
              <w:rPr>
                <w:noProof/>
                <w:sz w:val="18"/>
              </w:rPr>
              <w:t>típusa</w:t>
            </w:r>
          </w:p>
        </w:tc>
        <w:tc>
          <w:tcPr>
            <w:tcW w:w="4440" w:type="dxa"/>
            <w:gridSpan w:val="4"/>
            <w:vAlign w:val="center"/>
          </w:tcPr>
          <w:p>
            <w:pPr>
              <w:spacing w:before="60" w:after="60"/>
              <w:jc w:val="center"/>
              <w:rPr>
                <w:noProof/>
              </w:rPr>
            </w:pPr>
            <w:r>
              <w:rPr>
                <w:noProof/>
                <w:sz w:val="20"/>
              </w:rPr>
              <w:t xml:space="preserve">Hozzájárulás </w:t>
            </w:r>
          </w:p>
        </w:tc>
      </w:tr>
      <w:tr>
        <w:tc>
          <w:tcPr>
            <w:tcW w:w="1080" w:type="dxa"/>
            <w:vMerge/>
            <w:vAlign w:val="center"/>
          </w:tcPr>
          <w:p>
            <w:pPr>
              <w:jc w:val="center"/>
              <w:rPr>
                <w:noProof/>
              </w:rPr>
            </w:pPr>
          </w:p>
        </w:tc>
        <w:tc>
          <w:tcPr>
            <w:tcW w:w="3960" w:type="dxa"/>
            <w:vAlign w:val="center"/>
          </w:tcPr>
          <w:p>
            <w:pPr>
              <w:rPr>
                <w:noProof/>
              </w:rPr>
            </w:pPr>
            <w:r>
              <w:rPr>
                <w:noProof/>
                <w:sz w:val="20"/>
              </w:rPr>
              <w:t>Szám</w:t>
            </w:r>
            <w:r>
              <w:rPr>
                <w:noProof/>
                <w:sz w:val="22"/>
              </w:rPr>
              <w:t xml:space="preserve"> </w:t>
            </w:r>
          </w:p>
        </w:tc>
        <w:tc>
          <w:tcPr>
            <w:tcW w:w="1080" w:type="dxa"/>
            <w:vAlign w:val="center"/>
          </w:tcPr>
          <w:p>
            <w:pPr>
              <w:jc w:val="center"/>
              <w:rPr>
                <w:noProof/>
              </w:rPr>
            </w:pPr>
            <w:r>
              <w:rPr>
                <w:noProof/>
                <w:sz w:val="18"/>
              </w:rPr>
              <w:t>Diff./</w:t>
            </w:r>
            <w:r>
              <w:rPr>
                <w:noProof/>
                <w:sz w:val="18"/>
              </w:rPr>
              <w:br/>
              <w:t>Nem diff</w:t>
            </w:r>
            <w:r>
              <w:rPr>
                <w:rStyle w:val="FootnoteReference"/>
                <w:noProof/>
                <w:sz w:val="18"/>
              </w:rPr>
              <w:footnoteReference w:id="6"/>
            </w:r>
            <w:r>
              <w:rPr>
                <w:noProof/>
              </w:rPr>
              <w:t>.</w:t>
            </w:r>
          </w:p>
        </w:tc>
        <w:tc>
          <w:tcPr>
            <w:tcW w:w="956" w:type="dxa"/>
            <w:vAlign w:val="center"/>
          </w:tcPr>
          <w:p>
            <w:pPr>
              <w:jc w:val="center"/>
              <w:rPr>
                <w:noProof/>
              </w:rPr>
            </w:pPr>
            <w:r>
              <w:rPr>
                <w:noProof/>
                <w:sz w:val="18"/>
              </w:rPr>
              <w:t>EFTA-országoktól</w:t>
            </w:r>
            <w:r>
              <w:rPr>
                <w:rStyle w:val="FootnoteReference"/>
                <w:noProof/>
                <w:sz w:val="18"/>
              </w:rPr>
              <w:footnoteReference w:id="7"/>
            </w:r>
          </w:p>
          <w:p>
            <w:pPr>
              <w:spacing w:before="0" w:after="0"/>
              <w:jc w:val="center"/>
              <w:rPr>
                <w:b/>
                <w:noProof/>
                <w:sz w:val="18"/>
              </w:rPr>
            </w:pPr>
          </w:p>
        </w:tc>
        <w:tc>
          <w:tcPr>
            <w:tcW w:w="1080" w:type="dxa"/>
            <w:vAlign w:val="center"/>
          </w:tcPr>
          <w:p>
            <w:pPr>
              <w:jc w:val="center"/>
              <w:rPr>
                <w:noProof/>
              </w:rPr>
            </w:pPr>
            <w:r>
              <w:rPr>
                <w:noProof/>
                <w:sz w:val="18"/>
              </w:rPr>
              <w:t>Tagjelölt országoktól</w:t>
            </w:r>
            <w:r>
              <w:rPr>
                <w:rStyle w:val="FootnoteReference"/>
                <w:noProof/>
                <w:sz w:val="18"/>
              </w:rPr>
              <w:footnoteReference w:id="8"/>
            </w:r>
          </w:p>
          <w:p>
            <w:pPr>
              <w:spacing w:before="0" w:after="0"/>
              <w:jc w:val="center"/>
              <w:rPr>
                <w:noProof/>
                <w:sz w:val="18"/>
              </w:rPr>
            </w:pPr>
          </w:p>
        </w:tc>
        <w:tc>
          <w:tcPr>
            <w:tcW w:w="956" w:type="dxa"/>
            <w:vAlign w:val="center"/>
          </w:tcPr>
          <w:p>
            <w:pPr>
              <w:jc w:val="center"/>
              <w:rPr>
                <w:noProof/>
                <w:sz w:val="18"/>
              </w:rPr>
            </w:pPr>
            <w:r>
              <w:rPr>
                <w:noProof/>
                <w:sz w:val="18"/>
              </w:rPr>
              <w:t>Harmadik országoktól</w:t>
            </w:r>
          </w:p>
        </w:tc>
        <w:tc>
          <w:tcPr>
            <w:tcW w:w="1448" w:type="dxa"/>
            <w:vAlign w:val="center"/>
          </w:tcPr>
          <w:p>
            <w:pPr>
              <w:jc w:val="center"/>
              <w:rPr>
                <w:noProof/>
              </w:rPr>
            </w:pPr>
            <w:r>
              <w:rPr>
                <w:noProof/>
                <w:sz w:val="16"/>
              </w:rPr>
              <w:t xml:space="preserve">A költségvetési rendelet 21. cikke (2) bekezdésének b) pontja értelmében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05,046001</w:t>
            </w:r>
            <w:r>
              <w:rPr>
                <w:rStyle w:val="FootnoteReference"/>
                <w:noProof/>
              </w:rPr>
              <w:footnoteReference w:id="9"/>
            </w:r>
          </w:p>
        </w:tc>
        <w:tc>
          <w:tcPr>
            <w:tcW w:w="1080" w:type="dxa"/>
            <w:vAlign w:val="center"/>
          </w:tcPr>
          <w:p>
            <w:pPr>
              <w:jc w:val="center"/>
              <w:rPr>
                <w:noProof/>
                <w:color w:val="0000FF"/>
              </w:rPr>
            </w:pPr>
            <w:r>
              <w:rPr>
                <w:noProof/>
                <w:sz w:val="22"/>
              </w:rPr>
              <w:t>Diff.</w:t>
            </w:r>
          </w:p>
        </w:tc>
        <w:tc>
          <w:tcPr>
            <w:tcW w:w="956" w:type="dxa"/>
            <w:vAlign w:val="center"/>
          </w:tcPr>
          <w:p>
            <w:pPr>
              <w:jc w:val="center"/>
              <w:rPr>
                <w:noProof/>
                <w:sz w:val="20"/>
                <w:szCs w:val="20"/>
              </w:rPr>
            </w:pPr>
            <w:r>
              <w:rPr>
                <w:noProof/>
                <w:sz w:val="20"/>
                <w:szCs w:val="20"/>
              </w:rPr>
              <w:t>NEM</w:t>
            </w:r>
          </w:p>
        </w:tc>
        <w:tc>
          <w:tcPr>
            <w:tcW w:w="1080" w:type="dxa"/>
            <w:vAlign w:val="center"/>
          </w:tcPr>
          <w:p>
            <w:pPr>
              <w:jc w:val="center"/>
              <w:rPr>
                <w:noProof/>
                <w:sz w:val="20"/>
                <w:szCs w:val="20"/>
              </w:rPr>
            </w:pPr>
            <w:r>
              <w:rPr>
                <w:noProof/>
                <w:sz w:val="20"/>
                <w:szCs w:val="20"/>
              </w:rPr>
              <w:t>NEM</w:t>
            </w:r>
          </w:p>
        </w:tc>
        <w:tc>
          <w:tcPr>
            <w:tcW w:w="956" w:type="dxa"/>
            <w:vAlign w:val="center"/>
          </w:tcPr>
          <w:p>
            <w:pPr>
              <w:jc w:val="center"/>
              <w:rPr>
                <w:noProof/>
                <w:sz w:val="20"/>
                <w:szCs w:val="20"/>
              </w:rPr>
            </w:pPr>
            <w:r>
              <w:rPr>
                <w:noProof/>
                <w:sz w:val="20"/>
                <w:szCs w:val="20"/>
              </w:rPr>
              <w:t>NEM</w:t>
            </w:r>
          </w:p>
        </w:tc>
        <w:tc>
          <w:tcPr>
            <w:tcW w:w="1448" w:type="dxa"/>
            <w:vAlign w:val="center"/>
          </w:tcPr>
          <w:p>
            <w:pPr>
              <w:jc w:val="center"/>
              <w:rPr>
                <w:noProof/>
                <w:sz w:val="20"/>
                <w:szCs w:val="20"/>
              </w:rPr>
            </w:pPr>
            <w:r>
              <w:rPr>
                <w:noProof/>
                <w:sz w:val="20"/>
                <w:szCs w:val="20"/>
              </w:rPr>
              <w:t>NEM</w:t>
            </w:r>
          </w:p>
        </w:tc>
      </w:tr>
    </w:tbl>
    <w:p>
      <w:pPr>
        <w:pStyle w:val="ListBullet1"/>
        <w:rPr>
          <w:noProof/>
        </w:rPr>
      </w:pPr>
      <w:r>
        <w:rPr>
          <w:noProof/>
        </w:rPr>
        <w:t xml:space="preserve">Létrehozandó új költségvetési sorok </w:t>
      </w:r>
    </w:p>
    <w:p>
      <w:pPr>
        <w:pStyle w:val="Text1"/>
        <w:rPr>
          <w:i/>
          <w:noProof/>
          <w:sz w:val="20"/>
        </w:rPr>
      </w:pPr>
      <w:r>
        <w:rPr>
          <w:i/>
          <w:noProof/>
        </w:rPr>
        <w:t xml:space="preserve">A többéves pénzügyi keret fejezetei, azon belül pedig a költségvetési sorok </w:t>
      </w:r>
      <w:r>
        <w:rPr>
          <w:i/>
          <w:noProof/>
          <w:u w:val="single"/>
        </w:rPr>
        <w:t>sorrendjében</w:t>
      </w:r>
      <w:r>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37"/>
        <w:gridCol w:w="1411"/>
      </w:tblGrid>
      <w:tr>
        <w:tc>
          <w:tcPr>
            <w:tcW w:w="1080" w:type="dxa"/>
            <w:vMerge w:val="restart"/>
            <w:vAlign w:val="center"/>
          </w:tcPr>
          <w:p>
            <w:pPr>
              <w:spacing w:before="60" w:after="60"/>
              <w:jc w:val="center"/>
              <w:rPr>
                <w:noProof/>
                <w:sz w:val="18"/>
                <w:szCs w:val="18"/>
              </w:rPr>
            </w:pPr>
            <w:r>
              <w:rPr>
                <w:noProof/>
                <w:sz w:val="18"/>
              </w:rPr>
              <w:t>A többéves pénzügyi keret fejezete</w:t>
            </w:r>
          </w:p>
        </w:tc>
        <w:tc>
          <w:tcPr>
            <w:tcW w:w="3960" w:type="dxa"/>
            <w:vAlign w:val="center"/>
          </w:tcPr>
          <w:p>
            <w:pPr>
              <w:spacing w:before="60" w:after="60"/>
              <w:jc w:val="center"/>
              <w:rPr>
                <w:noProof/>
              </w:rPr>
            </w:pPr>
            <w:r>
              <w:rPr>
                <w:noProof/>
                <w:sz w:val="20"/>
              </w:rPr>
              <w:t>Költségvetési sor</w:t>
            </w:r>
          </w:p>
        </w:tc>
        <w:tc>
          <w:tcPr>
            <w:tcW w:w="1080" w:type="dxa"/>
            <w:vAlign w:val="center"/>
          </w:tcPr>
          <w:p>
            <w:pPr>
              <w:spacing w:before="60" w:after="60"/>
              <w:jc w:val="center"/>
              <w:rPr>
                <w:noProof/>
              </w:rPr>
            </w:pPr>
            <w:r>
              <w:rPr>
                <w:noProof/>
                <w:sz w:val="18"/>
              </w:rPr>
              <w:t>Kiadás</w:t>
            </w:r>
            <w:r>
              <w:rPr>
                <w:noProof/>
              </w:rPr>
              <w:t xml:space="preserve"> </w:t>
            </w:r>
            <w:r>
              <w:rPr>
                <w:noProof/>
                <w:sz w:val="18"/>
              </w:rPr>
              <w:t>típusa</w:t>
            </w:r>
          </w:p>
        </w:tc>
        <w:tc>
          <w:tcPr>
            <w:tcW w:w="4440" w:type="dxa"/>
            <w:gridSpan w:val="5"/>
            <w:vAlign w:val="center"/>
          </w:tcPr>
          <w:p>
            <w:pPr>
              <w:spacing w:before="60" w:after="60"/>
              <w:jc w:val="center"/>
              <w:rPr>
                <w:noProof/>
              </w:rPr>
            </w:pPr>
            <w:r>
              <w:rPr>
                <w:noProof/>
                <w:sz w:val="20"/>
              </w:rPr>
              <w:t xml:space="preserve">Hozzájárulás </w:t>
            </w:r>
          </w:p>
        </w:tc>
      </w:tr>
      <w:tr>
        <w:tc>
          <w:tcPr>
            <w:tcW w:w="1080" w:type="dxa"/>
            <w:vMerge/>
            <w:vAlign w:val="center"/>
          </w:tcPr>
          <w:p>
            <w:pPr>
              <w:jc w:val="center"/>
              <w:rPr>
                <w:noProof/>
              </w:rPr>
            </w:pPr>
          </w:p>
        </w:tc>
        <w:tc>
          <w:tcPr>
            <w:tcW w:w="3960" w:type="dxa"/>
            <w:vAlign w:val="center"/>
          </w:tcPr>
          <w:p>
            <w:pPr>
              <w:rPr>
                <w:noProof/>
              </w:rPr>
            </w:pPr>
            <w:r>
              <w:rPr>
                <w:noProof/>
                <w:sz w:val="20"/>
              </w:rPr>
              <w:t>Szám</w:t>
            </w:r>
            <w:r>
              <w:rPr>
                <w:noProof/>
                <w:sz w:val="22"/>
              </w:rPr>
              <w:t xml:space="preserve"> </w:t>
            </w:r>
          </w:p>
        </w:tc>
        <w:tc>
          <w:tcPr>
            <w:tcW w:w="1080" w:type="dxa"/>
            <w:vAlign w:val="center"/>
          </w:tcPr>
          <w:p>
            <w:pPr>
              <w:jc w:val="center"/>
              <w:rPr>
                <w:noProof/>
              </w:rPr>
            </w:pPr>
            <w:r>
              <w:rPr>
                <w:noProof/>
                <w:sz w:val="18"/>
              </w:rPr>
              <w:t>Diff./</w:t>
            </w:r>
            <w:r>
              <w:rPr>
                <w:noProof/>
                <w:sz w:val="18"/>
              </w:rPr>
              <w:br/>
              <w:t>Nem diff.</w:t>
            </w:r>
          </w:p>
        </w:tc>
        <w:tc>
          <w:tcPr>
            <w:tcW w:w="956" w:type="dxa"/>
            <w:vAlign w:val="center"/>
          </w:tcPr>
          <w:p>
            <w:pPr>
              <w:jc w:val="center"/>
              <w:rPr>
                <w:noProof/>
                <w:sz w:val="18"/>
              </w:rPr>
            </w:pPr>
            <w:r>
              <w:rPr>
                <w:noProof/>
                <w:sz w:val="18"/>
              </w:rPr>
              <w:t>EFTA-országoktól</w:t>
            </w:r>
          </w:p>
        </w:tc>
        <w:tc>
          <w:tcPr>
            <w:tcW w:w="1080" w:type="dxa"/>
            <w:vAlign w:val="center"/>
          </w:tcPr>
          <w:p>
            <w:pPr>
              <w:jc w:val="center"/>
              <w:rPr>
                <w:noProof/>
                <w:sz w:val="18"/>
              </w:rPr>
            </w:pPr>
            <w:r>
              <w:rPr>
                <w:noProof/>
                <w:sz w:val="18"/>
              </w:rPr>
              <w:t>Tagjelölt országoktól</w:t>
            </w:r>
          </w:p>
        </w:tc>
        <w:tc>
          <w:tcPr>
            <w:tcW w:w="993" w:type="dxa"/>
            <w:gridSpan w:val="2"/>
            <w:vAlign w:val="center"/>
          </w:tcPr>
          <w:p>
            <w:pPr>
              <w:jc w:val="center"/>
              <w:rPr>
                <w:noProof/>
                <w:sz w:val="18"/>
              </w:rPr>
            </w:pPr>
            <w:r>
              <w:rPr>
                <w:noProof/>
                <w:sz w:val="18"/>
              </w:rPr>
              <w:t>Harmadik országoktól</w:t>
            </w:r>
          </w:p>
        </w:tc>
        <w:tc>
          <w:tcPr>
            <w:tcW w:w="1411" w:type="dxa"/>
            <w:vAlign w:val="center"/>
          </w:tcPr>
          <w:p>
            <w:pPr>
              <w:jc w:val="center"/>
              <w:rPr>
                <w:noProof/>
              </w:rPr>
            </w:pPr>
            <w:r>
              <w:rPr>
                <w:noProof/>
                <w:sz w:val="16"/>
              </w:rPr>
              <w:t xml:space="preserve">A költségvetési rendelet 21. cikke (2) bekezdésének b) pontja értelmében </w:t>
            </w:r>
          </w:p>
        </w:tc>
      </w:tr>
      <w:tr>
        <w:tc>
          <w:tcPr>
            <w:tcW w:w="1080" w:type="dxa"/>
            <w:vAlign w:val="center"/>
          </w:tcPr>
          <w:p>
            <w:pPr>
              <w:jc w:val="center"/>
              <w:rPr>
                <w:noProof/>
                <w:color w:val="0000FF"/>
              </w:rPr>
            </w:pPr>
          </w:p>
        </w:tc>
        <w:tc>
          <w:tcPr>
            <w:tcW w:w="3960" w:type="dxa"/>
            <w:vAlign w:val="center"/>
          </w:tcPr>
          <w:p>
            <w:pPr>
              <w:spacing w:before="60"/>
              <w:rPr>
                <w:noProof/>
              </w:rPr>
            </w:pPr>
            <w:r>
              <w:rPr>
                <w:noProof/>
                <w:sz w:val="22"/>
              </w:rPr>
              <w:t>Tárgytalan</w:t>
            </w:r>
          </w:p>
          <w:p>
            <w:pPr>
              <w:spacing w:after="60"/>
              <w:rPr>
                <w:noProof/>
                <w:color w:val="0000FF"/>
              </w:rPr>
            </w:pPr>
          </w:p>
        </w:tc>
        <w:tc>
          <w:tcPr>
            <w:tcW w:w="1080" w:type="dxa"/>
            <w:vAlign w:val="center"/>
          </w:tcPr>
          <w:p>
            <w:pPr>
              <w:jc w:val="center"/>
              <w:rPr>
                <w:noProof/>
                <w:color w:val="0000FF"/>
              </w:rPr>
            </w:pPr>
          </w:p>
        </w:tc>
        <w:tc>
          <w:tcPr>
            <w:tcW w:w="956" w:type="dxa"/>
            <w:vAlign w:val="center"/>
          </w:tcPr>
          <w:p>
            <w:pPr>
              <w:jc w:val="center"/>
              <w:rPr>
                <w:noProof/>
                <w:sz w:val="20"/>
                <w:szCs w:val="20"/>
              </w:rPr>
            </w:pPr>
            <w:r>
              <w:rPr>
                <w:noProof/>
                <w:sz w:val="20"/>
                <w:szCs w:val="20"/>
              </w:rPr>
              <w:t>IGEN/</w:t>
            </w:r>
            <w:r>
              <w:rPr>
                <w:noProof/>
                <w:sz w:val="20"/>
                <w:szCs w:val="20"/>
              </w:rPr>
              <w:br/>
              <w:t>NEM</w:t>
            </w:r>
          </w:p>
        </w:tc>
        <w:tc>
          <w:tcPr>
            <w:tcW w:w="1080" w:type="dxa"/>
            <w:vAlign w:val="center"/>
          </w:tcPr>
          <w:p>
            <w:pPr>
              <w:jc w:val="center"/>
              <w:rPr>
                <w:noProof/>
                <w:color w:val="0000FF"/>
                <w:sz w:val="20"/>
                <w:szCs w:val="20"/>
              </w:rPr>
            </w:pPr>
            <w:r>
              <w:rPr>
                <w:noProof/>
                <w:sz w:val="20"/>
                <w:szCs w:val="20"/>
              </w:rPr>
              <w:t>IGEN/</w:t>
            </w:r>
            <w:r>
              <w:rPr>
                <w:noProof/>
                <w:sz w:val="20"/>
                <w:szCs w:val="20"/>
              </w:rPr>
              <w:br/>
              <w:t>NEM</w:t>
            </w:r>
          </w:p>
        </w:tc>
        <w:tc>
          <w:tcPr>
            <w:tcW w:w="956" w:type="dxa"/>
            <w:vAlign w:val="center"/>
          </w:tcPr>
          <w:p>
            <w:pPr>
              <w:jc w:val="center"/>
              <w:rPr>
                <w:noProof/>
                <w:color w:val="0000FF"/>
                <w:sz w:val="20"/>
                <w:szCs w:val="20"/>
              </w:rPr>
            </w:pPr>
            <w:r>
              <w:rPr>
                <w:noProof/>
                <w:sz w:val="20"/>
                <w:szCs w:val="20"/>
              </w:rPr>
              <w:t>IGEN/</w:t>
            </w:r>
            <w:r>
              <w:rPr>
                <w:noProof/>
                <w:sz w:val="20"/>
                <w:szCs w:val="20"/>
              </w:rPr>
              <w:br/>
              <w:t>NEM</w:t>
            </w:r>
          </w:p>
        </w:tc>
        <w:tc>
          <w:tcPr>
            <w:tcW w:w="1448" w:type="dxa"/>
            <w:gridSpan w:val="2"/>
            <w:vAlign w:val="center"/>
          </w:tcPr>
          <w:p>
            <w:pPr>
              <w:jc w:val="center"/>
              <w:rPr>
                <w:noProof/>
                <w:sz w:val="20"/>
                <w:szCs w:val="20"/>
              </w:rPr>
            </w:pPr>
            <w:r>
              <w:rPr>
                <w:noProof/>
                <w:sz w:val="20"/>
                <w:szCs w:val="20"/>
              </w:rPr>
              <w:t>IGEN/NEM</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51" w:name="_Toc514938052"/>
      <w:bookmarkStart w:id="52" w:name="_Toc520485051"/>
      <w:r>
        <w:t>3.2.</w:t>
      </w:r>
      <w:r>
        <w:tab/>
      </w:r>
      <w:r>
        <w:rPr>
          <w:noProof/>
        </w:rPr>
        <w:t>A javaslat előirányzatokra gyakorolt becsült pénzügyi hatása</w:t>
      </w:r>
      <w:bookmarkEnd w:id="51"/>
      <w:bookmarkEnd w:id="52"/>
      <w:r>
        <w:rPr>
          <w:noProof/>
        </w:rPr>
        <w:t xml:space="preserve"> </w:t>
      </w:r>
    </w:p>
    <w:p>
      <w:pPr>
        <w:pStyle w:val="ManualHeading3"/>
        <w:rPr>
          <w:noProof/>
        </w:rPr>
      </w:pPr>
      <w:bookmarkStart w:id="53" w:name="_Toc514938053"/>
      <w:bookmarkStart w:id="54" w:name="_Toc520485052"/>
      <w:r>
        <w:t>3.2.1.</w:t>
      </w:r>
      <w:r>
        <w:tab/>
      </w:r>
      <w:r>
        <w:rPr>
          <w:noProof/>
        </w:rPr>
        <w:t>Az operatív előirányzatokra gyakorolt becsült hatás összefoglalása</w:t>
      </w:r>
      <w:bookmarkEnd w:id="53"/>
      <w:bookmarkEnd w:id="54"/>
      <w:r>
        <w:rPr>
          <w:noProof/>
        </w:rPr>
        <w:t xml:space="preserve"> </w:t>
      </w:r>
    </w:p>
    <w:p>
      <w:pPr>
        <w:pStyle w:val="ListDash1"/>
        <w:rPr>
          <w:noProof/>
        </w:rPr>
      </w:pPr>
      <w:r>
        <w:rPr>
          <w:noProof/>
        </w:rPr>
        <w:sym w:font="Wingdings" w:char="F0A8"/>
      </w:r>
      <w:r>
        <w:rPr>
          <w:noProof/>
        </w:rPr>
        <w:tab/>
        <w:t>A javaslat/kezdeményezés nem vonja maga után operatív előirányzatok felhasználását.</w:t>
      </w:r>
    </w:p>
    <w:p>
      <w:pPr>
        <w:pStyle w:val="ListDash1"/>
        <w:rPr>
          <w:noProof/>
        </w:rPr>
      </w:pPr>
      <w:r>
        <w:rPr>
          <w:noProof/>
        </w:rPr>
        <w:t>X</w:t>
      </w:r>
      <w:r>
        <w:rPr>
          <w:noProof/>
        </w:rPr>
        <w:tab/>
        <w:t>A javaslat/kezdeményezés az alábbi operatív előirányzatok felhasználását vonja maga után:</w:t>
      </w:r>
    </w:p>
    <w:p>
      <w:pPr>
        <w:jc w:val="right"/>
        <w:rPr>
          <w:noProof/>
          <w:sz w:val="18"/>
          <w:szCs w:val="18"/>
        </w:rPr>
      </w:pPr>
      <w:r>
        <w:rPr>
          <w:noProof/>
          <w:sz w:val="18"/>
          <w:szCs w:val="18"/>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A többéves pénzügyi keret</w:t>
            </w:r>
            <w:r>
              <w:rPr>
                <w:noProof/>
                <w:sz w:val="22"/>
              </w:rPr>
              <w:t xml:space="preserve"> </w:t>
            </w:r>
            <w:r>
              <w:rPr>
                <w:b/>
                <w:noProof/>
                <w:sz w:val="22"/>
              </w:rPr>
              <w:t xml:space="preserve">fejezete </w:t>
            </w:r>
          </w:p>
        </w:tc>
        <w:tc>
          <w:tcPr>
            <w:tcW w:w="1080" w:type="dxa"/>
            <w:vAlign w:val="center"/>
          </w:tcPr>
          <w:p>
            <w:pPr>
              <w:spacing w:before="60" w:after="60"/>
              <w:jc w:val="center"/>
              <w:rPr>
                <w:noProof/>
              </w:rPr>
            </w:pPr>
            <w:r>
              <w:rPr>
                <w:noProof/>
                <w:sz w:val="22"/>
              </w:rPr>
              <w:t>2</w:t>
            </w:r>
          </w:p>
        </w:tc>
        <w:tc>
          <w:tcPr>
            <w:tcW w:w="7817" w:type="dxa"/>
            <w:vAlign w:val="center"/>
          </w:tcPr>
          <w:p>
            <w:pPr>
              <w:spacing w:before="60" w:after="60"/>
              <w:rPr>
                <w:noProof/>
              </w:rPr>
            </w:pPr>
            <w:r>
              <w:rPr>
                <w:noProof/>
              </w:rPr>
              <w:t>Fenntartható növekedés: természeti erőforrások</w:t>
            </w:r>
          </w:p>
        </w:tc>
      </w:tr>
    </w:tbl>
    <w:p>
      <w:pPr>
        <w:rPr>
          <w:b/>
          <w:i/>
          <w:noProof/>
        </w:rPr>
      </w:pPr>
    </w:p>
    <w:p>
      <w:pPr>
        <w:rPr>
          <w:b/>
          <w:i/>
          <w:noProof/>
        </w:rPr>
      </w:pPr>
      <w:r>
        <w:rPr>
          <w:b/>
          <w:i/>
          <w:noProof/>
        </w:rPr>
        <w:t xml:space="preserve">A javaslat nincs hatással a kötelezettségvállalási előirányzatokra. Mivel ezt a módosítást a tagállamok vidékfejlesztési programjainak módosításai révén az elfogadott kereteken belül fogják finanszírozni, összességében nem lesz szükség további kifizetési előirányzatokra, és az ezen intézkedésre irányuló kifizetéseket más vidékfejlesztési intézkedésekre irányuló alacsonyabb kifizetésekkel kell majd ellentételezni. </w:t>
      </w:r>
    </w:p>
    <w:p>
      <w:pPr>
        <w:rPr>
          <w:b/>
          <w:i/>
          <w:noProof/>
        </w:rPr>
      </w:pPr>
      <w:r>
        <w:rPr>
          <w:b/>
          <w:i/>
          <w:noProof/>
        </w:rPr>
        <w:t xml:space="preserve">Feltételezhető, hogy a javaslat nincs hatással az EMVA 2020. évi költségvetési kifizetési előirányzataira. Figyelembe véve az ezen új intézkedés tagállamok általi végrehajtásához szükséges időt, a kapcsolódó kiadások várhatóan 2020 negyedik negyedévében kerülnek bejelentésre, és ezáltal a 2021. évi költségvetésre lesznek hatással. A kifizetési előirányzatokra gyakorolt, körülbelül 650 millió EUR-nak megfelelő hatás a 2021. évi költségvetési tervezetben igényelendő kifizetési előirányzatok szintjén kerül elszámolásra, és azt a rákövetkező években a kifizetési igények megfelelő arányú csökkentése fogja – az alábbi becslés szerint – ellensúlyozni. </w:t>
      </w:r>
    </w:p>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rPr>
            </w:pPr>
            <w:r>
              <w:rPr>
                <w:noProof/>
                <w:sz w:val="22"/>
              </w:rPr>
              <w:t>Mezőgazdasági és Vidékfejlesztési Főigazgatóság</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2020.</w:t>
            </w:r>
            <w:r>
              <w:rPr>
                <w:noProof/>
              </w:rPr>
              <w:t xml:space="preserve"> </w:t>
            </w:r>
            <w:r>
              <w:rPr>
                <w:noProof/>
                <w:sz w:val="20"/>
              </w:rPr>
              <w:t>év</w:t>
            </w:r>
          </w:p>
        </w:tc>
        <w:tc>
          <w:tcPr>
            <w:tcW w:w="868" w:type="dxa"/>
            <w:vAlign w:val="center"/>
          </w:tcPr>
          <w:p>
            <w:pPr>
              <w:jc w:val="center"/>
              <w:rPr>
                <w:noProof/>
                <w:sz w:val="20"/>
              </w:rPr>
            </w:pPr>
            <w:r>
              <w:rPr>
                <w:noProof/>
                <w:sz w:val="20"/>
              </w:rPr>
              <w:t>2021.</w:t>
            </w:r>
            <w:r>
              <w:rPr>
                <w:noProof/>
              </w:rPr>
              <w:t xml:space="preserve"> </w:t>
            </w:r>
            <w:r>
              <w:rPr>
                <w:noProof/>
                <w:sz w:val="20"/>
              </w:rPr>
              <w:t>év</w:t>
            </w:r>
          </w:p>
        </w:tc>
        <w:tc>
          <w:tcPr>
            <w:tcW w:w="868" w:type="dxa"/>
            <w:vAlign w:val="center"/>
          </w:tcPr>
          <w:p>
            <w:pPr>
              <w:jc w:val="center"/>
              <w:rPr>
                <w:noProof/>
                <w:sz w:val="20"/>
              </w:rPr>
            </w:pPr>
            <w:r>
              <w:rPr>
                <w:noProof/>
                <w:sz w:val="20"/>
              </w:rPr>
              <w:t>2022.</w:t>
            </w:r>
            <w:r>
              <w:rPr>
                <w:noProof/>
              </w:rPr>
              <w:t xml:space="preserve"> </w:t>
            </w:r>
            <w:r>
              <w:rPr>
                <w:noProof/>
                <w:sz w:val="20"/>
              </w:rPr>
              <w:t>év</w:t>
            </w:r>
          </w:p>
        </w:tc>
        <w:tc>
          <w:tcPr>
            <w:tcW w:w="868" w:type="dxa"/>
            <w:vAlign w:val="center"/>
          </w:tcPr>
          <w:p>
            <w:pPr>
              <w:jc w:val="center"/>
              <w:rPr>
                <w:noProof/>
                <w:sz w:val="22"/>
              </w:rPr>
            </w:pPr>
            <w:r>
              <w:rPr>
                <w:noProof/>
                <w:sz w:val="22"/>
              </w:rPr>
              <w:t>2023.</w:t>
            </w:r>
            <w:r>
              <w:rPr>
                <w:noProof/>
              </w:rPr>
              <w:t xml:space="preserve"> </w:t>
            </w:r>
            <w:r>
              <w:rPr>
                <w:noProof/>
                <w:sz w:val="20"/>
              </w:rPr>
              <w:t>év</w:t>
            </w:r>
          </w:p>
        </w:tc>
        <w:tc>
          <w:tcPr>
            <w:tcW w:w="2604" w:type="dxa"/>
            <w:gridSpan w:val="3"/>
            <w:vAlign w:val="center"/>
          </w:tcPr>
          <w:p>
            <w:pPr>
              <w:jc w:val="center"/>
              <w:rPr>
                <w:b/>
                <w:noProof/>
                <w:sz w:val="18"/>
              </w:rPr>
            </w:pPr>
            <w:r>
              <w:rPr>
                <w:noProof/>
                <w:sz w:val="18"/>
              </w:rPr>
              <w:t>A táblázat a hatás időtartamának megfelelően (vö. 1.6. pont) további évekkel bővíthető.</w:t>
            </w:r>
          </w:p>
        </w:tc>
        <w:tc>
          <w:tcPr>
            <w:tcW w:w="1777" w:type="dxa"/>
            <w:vAlign w:val="center"/>
          </w:tcPr>
          <w:p>
            <w:pPr>
              <w:jc w:val="center"/>
              <w:rPr>
                <w:b/>
                <w:noProof/>
                <w:sz w:val="20"/>
              </w:rPr>
            </w:pPr>
            <w:r>
              <w:rPr>
                <w:b/>
                <w:noProof/>
                <w:sz w:val="20"/>
              </w:rPr>
              <w:t>ÖSSZESEN</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Operatív előirányzatok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277"/>
        </w:trPr>
        <w:tc>
          <w:tcPr>
            <w:tcW w:w="3960" w:type="dxa"/>
            <w:vMerge w:val="restart"/>
            <w:vAlign w:val="center"/>
          </w:tcPr>
          <w:p>
            <w:pPr>
              <w:rPr>
                <w:noProof/>
              </w:rPr>
            </w:pPr>
            <w:r>
              <w:rPr>
                <w:noProof/>
                <w:sz w:val="20"/>
              </w:rPr>
              <w:t>05,046001</w:t>
            </w:r>
          </w:p>
        </w:tc>
        <w:tc>
          <w:tcPr>
            <w:tcW w:w="1440" w:type="dxa"/>
            <w:vAlign w:val="center"/>
          </w:tcPr>
          <w:p>
            <w:pPr>
              <w:spacing w:before="20" w:after="20"/>
              <w:rPr>
                <w:noProof/>
                <w:sz w:val="18"/>
              </w:rPr>
            </w:pPr>
            <w:r>
              <w:rPr>
                <w:noProof/>
                <w:sz w:val="18"/>
              </w:rPr>
              <w:t>Kötelezettségvállalási előirányzatok</w:t>
            </w:r>
          </w:p>
        </w:tc>
        <w:tc>
          <w:tcPr>
            <w:tcW w:w="654" w:type="dxa"/>
            <w:gridSpan w:val="2"/>
            <w:vAlign w:val="center"/>
          </w:tcPr>
          <w:p>
            <w:pPr>
              <w:spacing w:before="20" w:after="20"/>
              <w:jc w:val="center"/>
              <w:rPr>
                <w:noProof/>
                <w:sz w:val="14"/>
              </w:rPr>
            </w:pPr>
            <w:r>
              <w:rPr>
                <w:noProof/>
                <w:sz w:val="14"/>
              </w:rPr>
              <w:t>(1 a)</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Kifizetési előirányzatok</w:t>
            </w:r>
          </w:p>
        </w:tc>
        <w:tc>
          <w:tcPr>
            <w:tcW w:w="654" w:type="dxa"/>
            <w:gridSpan w:val="2"/>
            <w:vAlign w:val="center"/>
          </w:tcPr>
          <w:p>
            <w:pPr>
              <w:spacing w:before="20" w:after="20"/>
              <w:jc w:val="center"/>
              <w:rPr>
                <w:noProof/>
                <w:sz w:val="14"/>
              </w:rPr>
            </w:pPr>
            <w:r>
              <w:rPr>
                <w:noProof/>
                <w:sz w:val="14"/>
              </w:rPr>
              <w:t>(2 a)</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+650</w:t>
            </w:r>
          </w:p>
        </w:tc>
        <w:tc>
          <w:tcPr>
            <w:tcW w:w="868" w:type="dxa"/>
            <w:vAlign w:val="center"/>
          </w:tcPr>
          <w:p>
            <w:pPr>
              <w:spacing w:before="20" w:after="20"/>
              <w:jc w:val="right"/>
              <w:rPr>
                <w:noProof/>
                <w:sz w:val="20"/>
              </w:rPr>
            </w:pPr>
            <w:r>
              <w:rPr>
                <w:noProof/>
                <w:sz w:val="20"/>
              </w:rPr>
              <w:t>–325</w:t>
            </w:r>
          </w:p>
        </w:tc>
        <w:tc>
          <w:tcPr>
            <w:tcW w:w="868" w:type="dxa"/>
            <w:vAlign w:val="center"/>
          </w:tcPr>
          <w:p>
            <w:pPr>
              <w:spacing w:before="20" w:after="20"/>
              <w:jc w:val="right"/>
              <w:rPr>
                <w:noProof/>
                <w:sz w:val="20"/>
              </w:rPr>
            </w:pPr>
            <w:r>
              <w:rPr>
                <w:noProof/>
                <w:sz w:val="20"/>
              </w:rPr>
              <w:t>–325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rPr>
          <w:trHeight w:val="619"/>
        </w:trPr>
        <w:tc>
          <w:tcPr>
            <w:tcW w:w="6054" w:type="dxa"/>
            <w:gridSpan w:val="4"/>
            <w:vAlign w:val="center"/>
          </w:tcPr>
          <w:p>
            <w:pPr>
              <w:spacing w:before="20" w:after="20"/>
              <w:rPr>
                <w:noProof/>
              </w:rPr>
            </w:pPr>
            <w:r>
              <w:rPr>
                <w:noProof/>
                <w:sz w:val="21"/>
              </w:rPr>
              <w:t>Bizonyos egyedi programok keretéből finanszírozott igazgatási jellegű előirányzatok</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spacing w:before="60" w:after="60"/>
              <w:rPr>
                <w:noProof/>
              </w:rPr>
            </w:pPr>
            <w:r>
              <w:rPr>
                <w:noProof/>
              </w:rPr>
              <w:t>Tárgytalan</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jc w:val="center"/>
              <w:rPr>
                <w:b/>
                <w:noProof/>
              </w:rPr>
            </w:pPr>
            <w:r>
              <w:rPr>
                <w:b/>
                <w:noProof/>
                <w:sz w:val="22"/>
              </w:rPr>
              <w:t>A Mezőgazdasági és Vidékfejlesztési Főigazgatósághoz tartozó</w:t>
            </w:r>
            <w:r>
              <w:rPr>
                <w:noProof/>
                <w:sz w:val="22"/>
              </w:rPr>
              <w:t xml:space="preserve"> </w:t>
            </w:r>
            <w:r>
              <w:rPr>
                <w:b/>
                <w:noProof/>
                <w:sz w:val="22"/>
              </w:rPr>
              <w:t>előirányzatok ÖSSZESEN</w:t>
            </w:r>
          </w:p>
        </w:tc>
        <w:tc>
          <w:tcPr>
            <w:tcW w:w="1440" w:type="dxa"/>
            <w:vAlign w:val="center"/>
          </w:tcPr>
          <w:p>
            <w:pPr>
              <w:rPr>
                <w:noProof/>
                <w:sz w:val="18"/>
              </w:rPr>
            </w:pPr>
            <w:r>
              <w:rPr>
                <w:noProof/>
                <w:sz w:val="18"/>
              </w:rPr>
              <w:t>Kötelezettségvállalási előirányzatok</w:t>
            </w:r>
          </w:p>
        </w:tc>
        <w:tc>
          <w:tcPr>
            <w:tcW w:w="654" w:type="dxa"/>
            <w:gridSpan w:val="2"/>
            <w:vAlign w:val="center"/>
          </w:tcPr>
          <w:p>
            <w:pPr>
              <w:jc w:val="center"/>
              <w:rPr>
                <w:noProof/>
                <w:sz w:val="14"/>
              </w:rPr>
            </w:pPr>
            <w:r>
              <w:rPr>
                <w:noProof/>
                <w:sz w:val="14"/>
              </w:rPr>
              <w:t>=1a+1b +3</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Merge/>
          </w:tcPr>
          <w:p>
            <w:pPr>
              <w:rPr>
                <w:noProof/>
                <w:sz w:val="20"/>
              </w:rPr>
            </w:pPr>
          </w:p>
        </w:tc>
        <w:tc>
          <w:tcPr>
            <w:tcW w:w="1440" w:type="dxa"/>
            <w:vAlign w:val="center"/>
          </w:tcPr>
          <w:p>
            <w:pPr>
              <w:rPr>
                <w:noProof/>
                <w:sz w:val="18"/>
              </w:rPr>
            </w:pPr>
            <w:r>
              <w:rPr>
                <w:noProof/>
                <w:sz w:val="18"/>
              </w:rPr>
              <w:t>Kifizetési előirányzatok</w:t>
            </w:r>
          </w:p>
        </w:tc>
        <w:tc>
          <w:tcPr>
            <w:tcW w:w="654" w:type="dxa"/>
            <w:gridSpan w:val="2"/>
            <w:vAlign w:val="center"/>
          </w:tcPr>
          <w:p>
            <w:pPr>
              <w:jc w:val="center"/>
              <w:rPr>
                <w:noProof/>
                <w:sz w:val="14"/>
              </w:rPr>
            </w:pPr>
            <w:r>
              <w:rPr>
                <w:noProof/>
                <w:sz w:val="14"/>
              </w:rPr>
              <w:t>=2a+2b</w:t>
            </w:r>
          </w:p>
          <w:p>
            <w:pPr>
              <w:jc w:val="center"/>
              <w:rPr>
                <w:noProof/>
                <w:sz w:val="14"/>
              </w:rPr>
            </w:pPr>
            <w:r>
              <w:rPr>
                <w:noProof/>
                <w:sz w:val="14"/>
              </w:rPr>
              <w:t>+3</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+650</w:t>
            </w:r>
          </w:p>
        </w:tc>
        <w:tc>
          <w:tcPr>
            <w:tcW w:w="868" w:type="dxa"/>
            <w:vAlign w:val="center"/>
          </w:tcPr>
          <w:p>
            <w:pPr>
              <w:spacing w:before="20" w:after="20"/>
              <w:jc w:val="right"/>
              <w:rPr>
                <w:noProof/>
                <w:sz w:val="20"/>
              </w:rPr>
            </w:pPr>
            <w:r>
              <w:rPr>
                <w:noProof/>
                <w:sz w:val="20"/>
              </w:rPr>
              <w:t>–325</w:t>
            </w:r>
          </w:p>
        </w:tc>
        <w:tc>
          <w:tcPr>
            <w:tcW w:w="868" w:type="dxa"/>
            <w:vAlign w:val="center"/>
          </w:tcPr>
          <w:p>
            <w:pPr>
              <w:spacing w:before="20" w:after="20"/>
              <w:jc w:val="right"/>
              <w:rPr>
                <w:noProof/>
                <w:sz w:val="20"/>
              </w:rPr>
            </w:pPr>
            <w:r>
              <w:rPr>
                <w:noProof/>
                <w:sz w:val="20"/>
              </w:rPr>
              <w:t>–325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bl>
    <w:p>
      <w:pPr>
        <w:rPr>
          <w:noProof/>
        </w:rPr>
      </w:pPr>
    </w:p>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 xml:space="preserve">Operatív előirányzatok ÖSSZESEN </w:t>
            </w:r>
          </w:p>
        </w:tc>
        <w:tc>
          <w:tcPr>
            <w:tcW w:w="1440" w:type="dxa"/>
            <w:vAlign w:val="center"/>
          </w:tcPr>
          <w:p>
            <w:pPr>
              <w:spacing w:beforeLines="20" w:before="48" w:afterLines="20" w:after="48"/>
              <w:rPr>
                <w:noProof/>
                <w:sz w:val="18"/>
              </w:rPr>
            </w:pPr>
            <w:r>
              <w:rPr>
                <w:noProof/>
                <w:sz w:val="18"/>
              </w:rPr>
              <w:t>Kötelezettségvállalási előirányzatok</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Kifizetési előirányzatok</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+650</w:t>
            </w:r>
          </w:p>
        </w:tc>
        <w:tc>
          <w:tcPr>
            <w:tcW w:w="868" w:type="dxa"/>
            <w:vAlign w:val="center"/>
          </w:tcPr>
          <w:p>
            <w:pPr>
              <w:spacing w:before="20" w:after="20"/>
              <w:jc w:val="right"/>
              <w:rPr>
                <w:noProof/>
                <w:sz w:val="20"/>
              </w:rPr>
            </w:pPr>
            <w:r>
              <w:rPr>
                <w:noProof/>
                <w:sz w:val="20"/>
              </w:rPr>
              <w:t>–325</w:t>
            </w:r>
          </w:p>
        </w:tc>
        <w:tc>
          <w:tcPr>
            <w:tcW w:w="868" w:type="dxa"/>
            <w:vAlign w:val="center"/>
          </w:tcPr>
          <w:p>
            <w:pPr>
              <w:spacing w:before="20" w:after="20"/>
              <w:jc w:val="right"/>
              <w:rPr>
                <w:noProof/>
                <w:sz w:val="20"/>
              </w:rPr>
            </w:pPr>
            <w:r>
              <w:rPr>
                <w:noProof/>
                <w:sz w:val="20"/>
              </w:rPr>
              <w:t>–325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Bizonyos egyedi programok keretéből finanszírozott igazgatási jellegű előirányzatok ÖSSZESEN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noProof/>
                <w:sz w:val="22"/>
              </w:rPr>
              <w:t>A többéves pénzügyi keret</w:t>
            </w:r>
            <w:r>
              <w:rPr>
                <w:noProof/>
                <w:sz w:val="22"/>
              </w:rPr>
              <w:br/>
            </w:r>
            <w:r>
              <w:rPr>
                <w:b/>
                <w:noProof/>
                <w:sz w:val="22"/>
              </w:rPr>
              <w:t>2. FEJEZETÉHEZ tartozó</w:t>
            </w:r>
            <w:r>
              <w:rPr>
                <w:noProof/>
                <w:sz w:val="22"/>
              </w:rPr>
              <w:t xml:space="preserve"> </w:t>
            </w:r>
            <w:r>
              <w:rPr>
                <w:b/>
                <w:noProof/>
                <w:sz w:val="22"/>
              </w:rPr>
              <w:t>előirányzatok ÖSSZESEN</w:t>
            </w:r>
          </w:p>
        </w:tc>
        <w:tc>
          <w:tcPr>
            <w:tcW w:w="1440" w:type="dxa"/>
            <w:vAlign w:val="center"/>
          </w:tcPr>
          <w:p>
            <w:pPr>
              <w:rPr>
                <w:noProof/>
                <w:sz w:val="18"/>
              </w:rPr>
            </w:pPr>
            <w:r>
              <w:rPr>
                <w:noProof/>
                <w:sz w:val="18"/>
              </w:rPr>
              <w:t>Kötelezettségvállalási előirányzatok</w:t>
            </w:r>
          </w:p>
        </w:tc>
        <w:tc>
          <w:tcPr>
            <w:tcW w:w="654" w:type="dxa"/>
            <w:vAlign w:val="center"/>
          </w:tcPr>
          <w:p>
            <w:pPr>
              <w:jc w:val="center"/>
              <w:rPr>
                <w:noProof/>
                <w:sz w:val="14"/>
              </w:rPr>
            </w:pPr>
            <w:r>
              <w:rPr>
                <w:noProof/>
                <w:sz w:val="14"/>
              </w:rPr>
              <w:t>=(4)+(6)</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Kifizetési előirányzatok</w:t>
            </w:r>
          </w:p>
        </w:tc>
        <w:tc>
          <w:tcPr>
            <w:tcW w:w="654" w:type="dxa"/>
            <w:vAlign w:val="center"/>
          </w:tcPr>
          <w:p>
            <w:pPr>
              <w:jc w:val="center"/>
              <w:rPr>
                <w:noProof/>
                <w:sz w:val="14"/>
              </w:rPr>
            </w:pPr>
            <w:r>
              <w:rPr>
                <w:noProof/>
                <w:sz w:val="14"/>
              </w:rPr>
              <w:t>=(5)+(6)</w:t>
            </w:r>
          </w:p>
        </w:tc>
        <w:tc>
          <w:tcPr>
            <w:tcW w:w="868" w:type="dxa"/>
            <w:vAlign w:val="center"/>
          </w:tcPr>
          <w:p>
            <w:pPr>
              <w:spacing w:before="20" w:after="20"/>
              <w:jc w:val="right"/>
              <w:rPr>
                <w:noProof/>
                <w:sz w:val="20"/>
              </w:rPr>
            </w:pPr>
            <w:r>
              <w:rPr>
                <w:noProof/>
                <w:sz w:val="20"/>
              </w:rPr>
              <w:t>0</w:t>
            </w:r>
          </w:p>
        </w:tc>
        <w:tc>
          <w:tcPr>
            <w:tcW w:w="868" w:type="dxa"/>
            <w:vAlign w:val="center"/>
          </w:tcPr>
          <w:p>
            <w:pPr>
              <w:spacing w:before="20" w:after="20"/>
              <w:jc w:val="right"/>
              <w:rPr>
                <w:noProof/>
                <w:sz w:val="20"/>
              </w:rPr>
            </w:pPr>
            <w:r>
              <w:rPr>
                <w:noProof/>
                <w:sz w:val="20"/>
              </w:rPr>
              <w:t>+650</w:t>
            </w:r>
          </w:p>
        </w:tc>
        <w:tc>
          <w:tcPr>
            <w:tcW w:w="868" w:type="dxa"/>
            <w:vAlign w:val="center"/>
          </w:tcPr>
          <w:p>
            <w:pPr>
              <w:spacing w:before="20" w:after="20"/>
              <w:jc w:val="right"/>
              <w:rPr>
                <w:noProof/>
                <w:sz w:val="20"/>
              </w:rPr>
            </w:pPr>
            <w:r>
              <w:rPr>
                <w:noProof/>
                <w:sz w:val="20"/>
              </w:rPr>
              <w:t>–325</w:t>
            </w:r>
          </w:p>
        </w:tc>
        <w:tc>
          <w:tcPr>
            <w:tcW w:w="868" w:type="dxa"/>
            <w:vAlign w:val="center"/>
          </w:tcPr>
          <w:p>
            <w:pPr>
              <w:spacing w:before="20" w:after="20"/>
              <w:jc w:val="right"/>
              <w:rPr>
                <w:noProof/>
                <w:sz w:val="20"/>
              </w:rPr>
            </w:pPr>
            <w:r>
              <w:rPr>
                <w:noProof/>
                <w:sz w:val="20"/>
              </w:rPr>
              <w:t>–325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w:t>
            </w:r>
          </w:p>
        </w:tc>
      </w:tr>
    </w:tbl>
    <w:p>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A többéves pénzügyi keret</w:t>
            </w:r>
            <w:r>
              <w:rPr>
                <w:noProof/>
                <w:sz w:val="22"/>
              </w:rPr>
              <w:t xml:space="preserve"> </w:t>
            </w:r>
            <w:r>
              <w:rPr>
                <w:b/>
                <w:noProof/>
                <w:sz w:val="22"/>
              </w:rPr>
              <w:t xml:space="preserve">fejezete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„Igazgatási kiadások”</w:t>
            </w:r>
          </w:p>
        </w:tc>
      </w:tr>
    </w:tbl>
    <w:p>
      <w:pPr>
        <w:jc w:val="left"/>
        <w:rPr>
          <w:noProof/>
          <w:sz w:val="20"/>
        </w:rPr>
      </w:pPr>
      <w:r>
        <w:rPr>
          <w:noProof/>
        </w:rPr>
        <w:t xml:space="preserve">Ezt a részt az igazgatási jellegű költségvetési adatok táblázatában kell kitölteni, melyet először a </w:t>
      </w:r>
      <w:hyperlink r:id="rId16" w:history="1">
        <w:r>
          <w:rPr>
            <w:rStyle w:val="Hyperlink"/>
            <w:noProof/>
          </w:rPr>
          <w:t>pénzügyi kimutatás mellékletébe</w:t>
        </w:r>
      </w:hyperlink>
      <w:r>
        <w:rPr>
          <w:noProof/>
        </w:rPr>
        <w:t xml:space="preserve"> (a belső szabályzat V. melléklete) kell bevezetni; amely mellékletet a szolgálatközi konzultációhoz fel kell tölteni a DECIDE rendszerbe.</w:t>
      </w:r>
    </w:p>
    <w:p>
      <w:pPr>
        <w:jc w:val="right"/>
        <w:rPr>
          <w:noProof/>
          <w:sz w:val="20"/>
        </w:rPr>
      </w:pPr>
      <w:r>
        <w:rPr>
          <w:noProof/>
          <w:sz w:val="20"/>
        </w:rPr>
        <w:t>millió EUR (három tizedesjegyig)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N.</w:t>
            </w:r>
            <w:r>
              <w:rPr>
                <w:b/>
                <w:noProof/>
                <w:sz w:val="20"/>
              </w:rPr>
              <w:br/>
            </w:r>
            <w:r>
              <w:rPr>
                <w:noProof/>
              </w:rPr>
              <w:t xml:space="preserve"> </w:t>
            </w:r>
            <w:r>
              <w:rPr>
                <w:noProof/>
                <w:sz w:val="20"/>
              </w:rPr>
              <w:t>év</w:t>
            </w:r>
          </w:p>
        </w:tc>
        <w:tc>
          <w:tcPr>
            <w:tcW w:w="868" w:type="dxa"/>
            <w:vAlign w:val="center"/>
          </w:tcPr>
          <w:p>
            <w:pPr>
              <w:jc w:val="center"/>
              <w:rPr>
                <w:noProof/>
                <w:sz w:val="20"/>
              </w:rPr>
            </w:pPr>
            <w:r>
              <w:rPr>
                <w:b/>
                <w:noProof/>
                <w:sz w:val="20"/>
              </w:rPr>
              <w:t>N+1.</w:t>
            </w:r>
            <w:r>
              <w:rPr>
                <w:noProof/>
              </w:rPr>
              <w:t xml:space="preserve"> </w:t>
            </w:r>
            <w:r>
              <w:rPr>
                <w:noProof/>
                <w:sz w:val="20"/>
              </w:rPr>
              <w:t>év</w:t>
            </w:r>
          </w:p>
        </w:tc>
        <w:tc>
          <w:tcPr>
            <w:tcW w:w="868" w:type="dxa"/>
            <w:vAlign w:val="center"/>
          </w:tcPr>
          <w:p>
            <w:pPr>
              <w:jc w:val="center"/>
              <w:rPr>
                <w:noProof/>
                <w:sz w:val="20"/>
              </w:rPr>
            </w:pPr>
            <w:r>
              <w:rPr>
                <w:b/>
                <w:noProof/>
                <w:sz w:val="20"/>
              </w:rPr>
              <w:t>N+2.</w:t>
            </w:r>
            <w:r>
              <w:rPr>
                <w:noProof/>
              </w:rPr>
              <w:t xml:space="preserve"> </w:t>
            </w:r>
            <w:r>
              <w:rPr>
                <w:noProof/>
                <w:sz w:val="20"/>
              </w:rPr>
              <w:t>év</w:t>
            </w:r>
          </w:p>
        </w:tc>
        <w:tc>
          <w:tcPr>
            <w:tcW w:w="868" w:type="dxa"/>
            <w:vAlign w:val="center"/>
          </w:tcPr>
          <w:p>
            <w:pPr>
              <w:jc w:val="center"/>
              <w:rPr>
                <w:noProof/>
                <w:sz w:val="20"/>
              </w:rPr>
            </w:pPr>
            <w:r>
              <w:rPr>
                <w:b/>
                <w:noProof/>
                <w:sz w:val="20"/>
              </w:rPr>
              <w:t>N+3.</w:t>
            </w:r>
            <w:r>
              <w:rPr>
                <w:noProof/>
              </w:rPr>
              <w:t xml:space="preserve"> </w:t>
            </w:r>
            <w:r>
              <w:rPr>
                <w:noProof/>
                <w:sz w:val="20"/>
              </w:rPr>
              <w:t>év</w:t>
            </w:r>
          </w:p>
        </w:tc>
        <w:tc>
          <w:tcPr>
            <w:tcW w:w="2604" w:type="dxa"/>
            <w:gridSpan w:val="3"/>
            <w:vAlign w:val="center"/>
          </w:tcPr>
          <w:p>
            <w:pPr>
              <w:jc w:val="center"/>
              <w:rPr>
                <w:b/>
                <w:noProof/>
                <w:sz w:val="18"/>
              </w:rPr>
            </w:pPr>
            <w:r>
              <w:rPr>
                <w:noProof/>
                <w:sz w:val="18"/>
              </w:rPr>
              <w:t xml:space="preserve">A táblázat a hatás időtartamának megfelelően (vö. 1.6. pont) további évekkel bővíthető. </w:t>
            </w:r>
          </w:p>
        </w:tc>
        <w:tc>
          <w:tcPr>
            <w:tcW w:w="1777" w:type="dxa"/>
            <w:vAlign w:val="center"/>
          </w:tcPr>
          <w:p>
            <w:pPr>
              <w:jc w:val="center"/>
              <w:rPr>
                <w:b/>
                <w:noProof/>
                <w:sz w:val="20"/>
              </w:rPr>
            </w:pPr>
            <w:r>
              <w:rPr>
                <w:b/>
                <w:noProof/>
                <w:sz w:val="20"/>
              </w:rPr>
              <w:t>ÖSSZESEN</w:t>
            </w:r>
          </w:p>
        </w:tc>
      </w:tr>
      <w:tr>
        <w:trPr>
          <w:gridAfter w:val="10"/>
          <w:wAfter w:w="9947" w:type="dxa"/>
        </w:trPr>
        <w:tc>
          <w:tcPr>
            <w:tcW w:w="3960" w:type="dxa"/>
            <w:vAlign w:val="center"/>
          </w:tcPr>
          <w:p>
            <w:pPr>
              <w:spacing w:before="60" w:after="60"/>
              <w:jc w:val="center"/>
              <w:rPr>
                <w:noProof/>
              </w:rPr>
            </w:pPr>
            <w:r>
              <w:rPr>
                <w:noProof/>
                <w:sz w:val="22"/>
              </w:rPr>
              <w:t>&lt;…….&gt; Főigazgatóság</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Humán erőforrás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Egyéb igazgatási kiadások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noProof/>
                <w:sz w:val="22"/>
              </w:rPr>
              <w:t xml:space="preserve">&lt;…&gt; </w:t>
            </w:r>
            <w:r>
              <w:rPr>
                <w:b/>
                <w:noProof/>
                <w:sz w:val="22"/>
              </w:rPr>
              <w:t>Főigazgatóság ÖSSZESEN</w:t>
            </w:r>
          </w:p>
        </w:tc>
        <w:tc>
          <w:tcPr>
            <w:tcW w:w="2094" w:type="dxa"/>
            <w:gridSpan w:val="2"/>
            <w:vAlign w:val="center"/>
          </w:tcPr>
          <w:p>
            <w:pPr>
              <w:rPr>
                <w:noProof/>
                <w:sz w:val="14"/>
              </w:rPr>
            </w:pPr>
            <w:r>
              <w:rPr>
                <w:noProof/>
                <w:sz w:val="18"/>
              </w:rPr>
              <w:t xml:space="preserve">Előirányzatok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noProof/>
                <w:sz w:val="22"/>
              </w:rPr>
              <w:t xml:space="preserve">A többéves pénzügyi keret </w:t>
            </w:r>
            <w:r>
              <w:rPr>
                <w:noProof/>
                <w:sz w:val="22"/>
              </w:rPr>
              <w:br/>
            </w:r>
            <w:r>
              <w:rPr>
                <w:b/>
                <w:noProof/>
                <w:sz w:val="22"/>
              </w:rPr>
              <w:t>5. FEJEZETÉBEN</w:t>
            </w:r>
            <w:r>
              <w:rPr>
                <w:noProof/>
                <w:sz w:val="22"/>
              </w:rPr>
              <w:t xml:space="preserve"> szereplő </w:t>
            </w:r>
            <w:r>
              <w:rPr>
                <w:b/>
                <w:noProof/>
                <w:sz w:val="22"/>
              </w:rPr>
              <w:t xml:space="preserve">előirányzatok ÖSSZESEN </w:t>
            </w:r>
          </w:p>
        </w:tc>
        <w:tc>
          <w:tcPr>
            <w:tcW w:w="2094" w:type="dxa"/>
            <w:vAlign w:val="center"/>
          </w:tcPr>
          <w:p>
            <w:pPr>
              <w:spacing w:before="40" w:after="40"/>
              <w:rPr>
                <w:noProof/>
              </w:rPr>
            </w:pPr>
            <w:r>
              <w:rPr>
                <w:noProof/>
                <w:sz w:val="18"/>
              </w:rPr>
              <w:t>(Összes kötelezettségvállalási előirányzat = Összes kifizetési előirányzat)</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millió EUR (három tizedesjegyig)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2020.</w:t>
            </w:r>
            <w:r>
              <w:rPr>
                <w:noProof/>
              </w:rPr>
              <w:t xml:space="preserve"> </w:t>
            </w:r>
            <w:r>
              <w:rPr>
                <w:noProof/>
                <w:sz w:val="20"/>
              </w:rPr>
              <w:t>év</w:t>
            </w:r>
          </w:p>
        </w:tc>
        <w:tc>
          <w:tcPr>
            <w:tcW w:w="868" w:type="dxa"/>
            <w:vAlign w:val="center"/>
          </w:tcPr>
          <w:p>
            <w:pPr>
              <w:jc w:val="center"/>
              <w:rPr>
                <w:noProof/>
                <w:sz w:val="20"/>
              </w:rPr>
            </w:pPr>
            <w:r>
              <w:rPr>
                <w:b/>
                <w:noProof/>
                <w:sz w:val="20"/>
              </w:rPr>
              <w:t>2021.</w:t>
            </w:r>
            <w:r>
              <w:rPr>
                <w:noProof/>
              </w:rPr>
              <w:t xml:space="preserve"> </w:t>
            </w:r>
            <w:r>
              <w:rPr>
                <w:noProof/>
                <w:sz w:val="20"/>
              </w:rPr>
              <w:t>év</w:t>
            </w:r>
          </w:p>
        </w:tc>
        <w:tc>
          <w:tcPr>
            <w:tcW w:w="868" w:type="dxa"/>
            <w:vAlign w:val="center"/>
          </w:tcPr>
          <w:p>
            <w:pPr>
              <w:jc w:val="center"/>
              <w:rPr>
                <w:noProof/>
                <w:sz w:val="20"/>
              </w:rPr>
            </w:pPr>
            <w:r>
              <w:rPr>
                <w:b/>
                <w:noProof/>
                <w:sz w:val="20"/>
              </w:rPr>
              <w:t>2022.</w:t>
            </w:r>
            <w:r>
              <w:rPr>
                <w:noProof/>
              </w:rPr>
              <w:t xml:space="preserve"> </w:t>
            </w:r>
            <w:r>
              <w:rPr>
                <w:noProof/>
                <w:sz w:val="20"/>
              </w:rPr>
              <w:t>év</w:t>
            </w:r>
          </w:p>
        </w:tc>
        <w:tc>
          <w:tcPr>
            <w:tcW w:w="868" w:type="dxa"/>
            <w:vAlign w:val="center"/>
          </w:tcPr>
          <w:p>
            <w:pPr>
              <w:jc w:val="center"/>
              <w:rPr>
                <w:noProof/>
                <w:sz w:val="20"/>
              </w:rPr>
            </w:pPr>
            <w:r>
              <w:rPr>
                <w:b/>
                <w:noProof/>
                <w:sz w:val="20"/>
              </w:rPr>
              <w:t>2023.</w:t>
            </w:r>
            <w:r>
              <w:rPr>
                <w:noProof/>
              </w:rPr>
              <w:t xml:space="preserve"> </w:t>
            </w:r>
            <w:r>
              <w:rPr>
                <w:noProof/>
                <w:sz w:val="20"/>
              </w:rPr>
              <w:t>év</w:t>
            </w:r>
          </w:p>
        </w:tc>
        <w:tc>
          <w:tcPr>
            <w:tcW w:w="2604" w:type="dxa"/>
            <w:gridSpan w:val="3"/>
            <w:vAlign w:val="center"/>
          </w:tcPr>
          <w:p>
            <w:pPr>
              <w:jc w:val="center"/>
              <w:rPr>
                <w:b/>
                <w:noProof/>
                <w:sz w:val="18"/>
              </w:rPr>
            </w:pPr>
            <w:r>
              <w:rPr>
                <w:noProof/>
                <w:sz w:val="18"/>
              </w:rPr>
              <w:t>A táblázat a hatás időtartamának megfelelően (vö. 1.6. pont) további évekkel bővíthető.</w:t>
            </w:r>
          </w:p>
        </w:tc>
        <w:tc>
          <w:tcPr>
            <w:tcW w:w="1777" w:type="dxa"/>
            <w:vAlign w:val="center"/>
          </w:tcPr>
          <w:p>
            <w:pPr>
              <w:jc w:val="center"/>
              <w:rPr>
                <w:b/>
                <w:noProof/>
                <w:sz w:val="20"/>
              </w:rPr>
            </w:pPr>
            <w:r>
              <w:rPr>
                <w:b/>
                <w:noProof/>
                <w:sz w:val="20"/>
              </w:rPr>
              <w:t>ÖSSZESEN</w:t>
            </w:r>
          </w:p>
        </w:tc>
      </w:tr>
      <w:tr>
        <w:tc>
          <w:tcPr>
            <w:tcW w:w="3960" w:type="dxa"/>
            <w:vMerge w:val="restart"/>
            <w:shd w:val="clear" w:color="auto" w:fill="C0C0C0"/>
            <w:vAlign w:val="center"/>
          </w:tcPr>
          <w:p>
            <w:pPr>
              <w:jc w:val="center"/>
              <w:rPr>
                <w:b/>
                <w:noProof/>
              </w:rPr>
            </w:pPr>
            <w:r>
              <w:rPr>
                <w:noProof/>
                <w:sz w:val="22"/>
              </w:rPr>
              <w:t xml:space="preserve">A többéves pénzügyi keret </w:t>
            </w:r>
            <w:r>
              <w:rPr>
                <w:noProof/>
                <w:sz w:val="22"/>
              </w:rPr>
              <w:br/>
            </w:r>
            <w:r>
              <w:rPr>
                <w:b/>
                <w:noProof/>
                <w:sz w:val="22"/>
              </w:rPr>
              <w:t>1–5. FEJEZETÉHEZ</w:t>
            </w:r>
            <w:r>
              <w:rPr>
                <w:noProof/>
                <w:sz w:val="22"/>
              </w:rPr>
              <w:t xml:space="preserve"> tartozó </w:t>
            </w:r>
            <w:r>
              <w:rPr>
                <w:b/>
                <w:noProof/>
                <w:sz w:val="22"/>
              </w:rPr>
              <w:t xml:space="preserve">előirányzatok ÖSSZESEN </w:t>
            </w:r>
          </w:p>
        </w:tc>
        <w:tc>
          <w:tcPr>
            <w:tcW w:w="2094" w:type="dxa"/>
            <w:gridSpan w:val="2"/>
            <w:vAlign w:val="center"/>
          </w:tcPr>
          <w:p>
            <w:pPr>
              <w:rPr>
                <w:noProof/>
                <w:sz w:val="14"/>
              </w:rPr>
            </w:pPr>
            <w:r>
              <w:rPr>
                <w:noProof/>
                <w:sz w:val="18"/>
              </w:rPr>
              <w:t>Kötelezettségvállalási előirányzatok</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Kifizetési előirányzatok</w:t>
            </w:r>
          </w:p>
        </w:tc>
        <w:tc>
          <w:tcPr>
            <w:tcW w:w="868" w:type="dxa"/>
            <w:vAlign w:val="center"/>
          </w:tcPr>
          <w:p>
            <w:pPr>
              <w:spacing w:before="60" w:after="60"/>
              <w:jc w:val="right"/>
              <w:rPr>
                <w:noProof/>
                <w:sz w:val="20"/>
              </w:rPr>
            </w:pPr>
            <w:r>
              <w:rPr>
                <w:noProof/>
                <w:sz w:val="20"/>
              </w:rPr>
              <w:t>0</w:t>
            </w:r>
          </w:p>
        </w:tc>
        <w:tc>
          <w:tcPr>
            <w:tcW w:w="868" w:type="dxa"/>
            <w:vAlign w:val="center"/>
          </w:tcPr>
          <w:p>
            <w:pPr>
              <w:spacing w:before="60" w:after="60"/>
              <w:jc w:val="right"/>
              <w:rPr>
                <w:noProof/>
                <w:sz w:val="20"/>
              </w:rPr>
            </w:pPr>
            <w:r>
              <w:rPr>
                <w:noProof/>
                <w:sz w:val="20"/>
              </w:rPr>
              <w:t>+650</w:t>
            </w:r>
          </w:p>
        </w:tc>
        <w:tc>
          <w:tcPr>
            <w:tcW w:w="868" w:type="dxa"/>
            <w:vAlign w:val="center"/>
          </w:tcPr>
          <w:p>
            <w:pPr>
              <w:spacing w:before="60" w:after="60"/>
              <w:jc w:val="right"/>
              <w:rPr>
                <w:noProof/>
                <w:sz w:val="20"/>
              </w:rPr>
            </w:pPr>
            <w:r>
              <w:rPr>
                <w:noProof/>
                <w:sz w:val="20"/>
              </w:rPr>
              <w:t>–325</w:t>
            </w:r>
          </w:p>
        </w:tc>
        <w:tc>
          <w:tcPr>
            <w:tcW w:w="868" w:type="dxa"/>
            <w:vAlign w:val="center"/>
          </w:tcPr>
          <w:p>
            <w:pPr>
              <w:spacing w:before="60" w:after="60"/>
              <w:jc w:val="right"/>
              <w:rPr>
                <w:noProof/>
                <w:sz w:val="20"/>
              </w:rPr>
            </w:pPr>
            <w:r>
              <w:rPr>
                <w:noProof/>
                <w:sz w:val="20"/>
              </w:rPr>
              <w:t>–325</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pPr>
    </w:p>
    <w:p>
      <w:pPr>
        <w:pStyle w:val="ManualHeading3"/>
        <w:rPr>
          <w:bCs/>
          <w:noProof/>
          <w:szCs w:val="24"/>
        </w:rPr>
      </w:pPr>
      <w:bookmarkStart w:id="55" w:name="_Toc514938054"/>
      <w:bookmarkStart w:id="56" w:name="_Toc520485053"/>
      <w:r>
        <w:t>3.2.2.</w:t>
      </w:r>
      <w:r>
        <w:tab/>
      </w:r>
      <w:r>
        <w:rPr>
          <w:noProof/>
        </w:rPr>
        <w:t>Operatív előirányzatokból finanszírozott becsült kimenet</w:t>
      </w:r>
      <w:bookmarkEnd w:id="55"/>
      <w:bookmarkEnd w:id="56"/>
      <w:r>
        <w:rPr>
          <w:noProof/>
        </w:rPr>
        <w:t xml:space="preserve"> </w:t>
      </w:r>
    </w:p>
    <w:p>
      <w:pPr>
        <w:jc w:val="right"/>
        <w:rPr>
          <w:noProof/>
          <w:sz w:val="20"/>
        </w:rPr>
      </w:pPr>
      <w:r>
        <w:rPr>
          <w:noProof/>
          <w:sz w:val="20"/>
        </w:rPr>
        <w:t>Kötelezettségvállalási előirányzatok, millió EUR (három tizedesjegyig)</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Tüntesse fel a célkitűzéseket és a kimeneteket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b/>
                <w:noProof/>
                <w:sz w:val="18"/>
              </w:rPr>
              <w:t>N.</w:t>
            </w:r>
            <w:r>
              <w:rPr>
                <w:noProof/>
              </w:rPr>
              <w:t xml:space="preserve"> </w:t>
            </w:r>
            <w:r>
              <w:rPr>
                <w:noProof/>
                <w:sz w:val="18"/>
              </w:rPr>
              <w:t>év</w:t>
            </w:r>
          </w:p>
        </w:tc>
        <w:tc>
          <w:tcPr>
            <w:tcW w:w="1260" w:type="dxa"/>
            <w:gridSpan w:val="2"/>
            <w:vAlign w:val="center"/>
          </w:tcPr>
          <w:p>
            <w:pPr>
              <w:ind w:right="-29"/>
              <w:jc w:val="center"/>
              <w:rPr>
                <w:noProof/>
                <w:sz w:val="18"/>
                <w:szCs w:val="18"/>
              </w:rPr>
            </w:pPr>
            <w:r>
              <w:rPr>
                <w:b/>
                <w:noProof/>
                <w:sz w:val="18"/>
              </w:rPr>
              <w:t>N+1.</w:t>
            </w:r>
            <w:r>
              <w:rPr>
                <w:noProof/>
              </w:rPr>
              <w:t xml:space="preserve"> </w:t>
            </w:r>
            <w:r>
              <w:rPr>
                <w:noProof/>
                <w:sz w:val="18"/>
              </w:rPr>
              <w:t>év</w:t>
            </w:r>
          </w:p>
        </w:tc>
        <w:tc>
          <w:tcPr>
            <w:tcW w:w="1440" w:type="dxa"/>
            <w:gridSpan w:val="2"/>
            <w:vAlign w:val="center"/>
          </w:tcPr>
          <w:p>
            <w:pPr>
              <w:ind w:right="-29"/>
              <w:jc w:val="center"/>
              <w:rPr>
                <w:noProof/>
                <w:sz w:val="18"/>
                <w:szCs w:val="18"/>
              </w:rPr>
            </w:pPr>
            <w:r>
              <w:rPr>
                <w:b/>
                <w:noProof/>
                <w:sz w:val="18"/>
              </w:rPr>
              <w:t>N+2.</w:t>
            </w:r>
            <w:r>
              <w:rPr>
                <w:noProof/>
              </w:rPr>
              <w:t xml:space="preserve"> </w:t>
            </w:r>
            <w:r>
              <w:rPr>
                <w:noProof/>
                <w:sz w:val="18"/>
              </w:rPr>
              <w:t>év</w:t>
            </w:r>
          </w:p>
        </w:tc>
        <w:tc>
          <w:tcPr>
            <w:tcW w:w="1620" w:type="dxa"/>
            <w:gridSpan w:val="3"/>
            <w:vAlign w:val="center"/>
          </w:tcPr>
          <w:p>
            <w:pPr>
              <w:ind w:right="-29"/>
              <w:jc w:val="center"/>
              <w:rPr>
                <w:noProof/>
                <w:sz w:val="18"/>
                <w:szCs w:val="18"/>
              </w:rPr>
            </w:pPr>
            <w:r>
              <w:rPr>
                <w:b/>
                <w:noProof/>
                <w:sz w:val="18"/>
              </w:rPr>
              <w:t>N+3.</w:t>
            </w:r>
            <w:r>
              <w:rPr>
                <w:noProof/>
              </w:rPr>
              <w:t xml:space="preserve"> </w:t>
            </w:r>
            <w:r>
              <w:rPr>
                <w:noProof/>
                <w:sz w:val="18"/>
              </w:rPr>
              <w:t>év</w:t>
            </w:r>
          </w:p>
        </w:tc>
        <w:tc>
          <w:tcPr>
            <w:tcW w:w="3600" w:type="dxa"/>
            <w:gridSpan w:val="6"/>
            <w:vAlign w:val="center"/>
          </w:tcPr>
          <w:p>
            <w:pPr>
              <w:jc w:val="center"/>
              <w:rPr>
                <w:noProof/>
                <w:sz w:val="18"/>
                <w:szCs w:val="18"/>
              </w:rPr>
            </w:pPr>
            <w:r>
              <w:rPr>
                <w:noProof/>
                <w:sz w:val="18"/>
              </w:rPr>
              <w:t>A táblázat a hatás időtartamának megfelelően (vö. 1.6. pont) további évekkel bővíthető.</w:t>
            </w:r>
          </w:p>
        </w:tc>
        <w:tc>
          <w:tcPr>
            <w:tcW w:w="1620" w:type="dxa"/>
            <w:gridSpan w:val="2"/>
            <w:tcBorders>
              <w:left w:val="nil"/>
              <w:bottom w:val="nil"/>
            </w:tcBorders>
            <w:vAlign w:val="center"/>
          </w:tcPr>
          <w:p>
            <w:pPr>
              <w:ind w:right="-29"/>
              <w:jc w:val="center"/>
              <w:rPr>
                <w:noProof/>
                <w:sz w:val="18"/>
                <w:szCs w:val="18"/>
              </w:rPr>
            </w:pPr>
            <w:r>
              <w:rPr>
                <w:b/>
                <w:noProof/>
                <w:sz w:val="18"/>
              </w:rPr>
              <w:t>ÖSSZESEN</w:t>
            </w:r>
          </w:p>
        </w:tc>
      </w:tr>
      <w:tr>
        <w:trPr>
          <w:jc w:val="center"/>
        </w:trPr>
        <w:tc>
          <w:tcPr>
            <w:tcW w:w="1423" w:type="dxa"/>
            <w:vMerge/>
            <w:vAlign w:val="center"/>
          </w:tcPr>
          <w:p>
            <w:pPr>
              <w:ind w:right="-29"/>
              <w:jc w:val="center"/>
              <w:rPr>
                <w:noProof/>
                <w:sz w:val="18"/>
                <w:szCs w:val="18"/>
              </w:rPr>
            </w:pPr>
          </w:p>
        </w:tc>
        <w:tc>
          <w:tcPr>
            <w:tcW w:w="12185" w:type="dxa"/>
            <w:gridSpan w:val="19"/>
            <w:vAlign w:val="center"/>
          </w:tcPr>
          <w:p>
            <w:pPr>
              <w:spacing w:before="60" w:after="60"/>
              <w:ind w:right="-29"/>
              <w:jc w:val="center"/>
              <w:rPr>
                <w:noProof/>
                <w:sz w:val="18"/>
                <w:szCs w:val="18"/>
              </w:rPr>
            </w:pPr>
            <w:r>
              <w:rPr>
                <w:b/>
                <w:noProof/>
                <w:sz w:val="18"/>
              </w:rPr>
              <w:t>KIMENETEK</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Típus</w:t>
            </w:r>
            <w:r>
              <w:rPr>
                <w:rStyle w:val="FootnoteReference"/>
                <w:noProof/>
                <w:sz w:val="18"/>
              </w:rPr>
              <w:footnoteReference w:id="10"/>
            </w:r>
          </w:p>
          <w:p>
            <w:pPr>
              <w:spacing w:before="0" w:after="0"/>
              <w:jc w:val="center"/>
              <w:rPr>
                <w:noProof/>
                <w:sz w:val="18"/>
                <w:szCs w:val="18"/>
              </w:rPr>
            </w:pPr>
          </w:p>
        </w:tc>
        <w:tc>
          <w:tcPr>
            <w:tcW w:w="701" w:type="dxa"/>
            <w:vAlign w:val="center"/>
          </w:tcPr>
          <w:p>
            <w:pPr>
              <w:jc w:val="center"/>
              <w:rPr>
                <w:noProof/>
                <w:sz w:val="18"/>
                <w:szCs w:val="18"/>
              </w:rPr>
            </w:pPr>
            <w:r>
              <w:rPr>
                <w:noProof/>
                <w:sz w:val="18"/>
              </w:rPr>
              <w:t>Átlagos költség</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Szám</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Költség</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Szám</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Költség</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Szám</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Költség</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Szám</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Költség</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Szám</w:t>
            </w:r>
          </w:p>
        </w:tc>
        <w:tc>
          <w:tcPr>
            <w:tcW w:w="648" w:type="dxa"/>
            <w:tcBorders>
              <w:left w:val="dashSmallGap" w:sz="4" w:space="0" w:color="auto"/>
            </w:tcBorders>
            <w:shd w:val="pct10" w:color="auto" w:fill="auto"/>
            <w:vAlign w:val="center"/>
          </w:tcPr>
          <w:p>
            <w:pPr>
              <w:jc w:val="center"/>
              <w:rPr>
                <w:noProof/>
                <w:sz w:val="18"/>
                <w:szCs w:val="18"/>
              </w:rPr>
            </w:pPr>
            <w:r>
              <w:rPr>
                <w:noProof/>
                <w:sz w:val="18"/>
              </w:rPr>
              <w:t>Költség</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Szám</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Költség</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Szám</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Költség</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Összesített szám</w:t>
            </w:r>
          </w:p>
        </w:tc>
        <w:tc>
          <w:tcPr>
            <w:tcW w:w="900" w:type="dxa"/>
            <w:tcBorders>
              <w:left w:val="dashSmallGap" w:sz="4" w:space="0" w:color="auto"/>
            </w:tcBorders>
            <w:shd w:val="pct10" w:color="auto" w:fill="auto"/>
            <w:vAlign w:val="center"/>
          </w:tcPr>
          <w:p>
            <w:pPr>
              <w:jc w:val="center"/>
              <w:rPr>
                <w:noProof/>
                <w:sz w:val="18"/>
                <w:szCs w:val="18"/>
              </w:rPr>
            </w:pPr>
            <w:r>
              <w:rPr>
                <w:noProof/>
                <w:sz w:val="18"/>
              </w:rPr>
              <w:t>Összköltség</w:t>
            </w:r>
          </w:p>
        </w:tc>
      </w:tr>
      <w:tr>
        <w:trPr>
          <w:jc w:val="center"/>
        </w:trPr>
        <w:tc>
          <w:tcPr>
            <w:tcW w:w="2844" w:type="dxa"/>
            <w:gridSpan w:val="3"/>
            <w:vAlign w:val="center"/>
          </w:tcPr>
          <w:p>
            <w:pPr>
              <w:spacing w:before="60" w:after="60"/>
              <w:ind w:right="-29"/>
              <w:jc w:val="center"/>
              <w:rPr>
                <w:noProof/>
                <w:sz w:val="18"/>
                <w:szCs w:val="18"/>
              </w:rPr>
            </w:pPr>
            <w:r>
              <w:rPr>
                <w:noProof/>
                <w:sz w:val="18"/>
              </w:rPr>
              <w:t>1. KONKRÉT CÉLKITŰZÉS</w:t>
            </w:r>
            <w:r>
              <w:rPr>
                <w:rStyle w:val="FootnoteReference"/>
                <w:noProof/>
                <w:sz w:val="18"/>
              </w:rPr>
              <w:footnoteReference w:id="11"/>
            </w:r>
            <w:r>
              <w:rPr>
                <w:noProof/>
                <w:sz w:val="18"/>
              </w:rPr>
              <w:t>…</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0 kimenet</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0 kimenet</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0 kimenet</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1. konkrét célkitűzés részösszege</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gridSpan w:val="2"/>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vAlign w:val="center"/>
          </w:tcPr>
          <w:p>
            <w:pPr>
              <w:spacing w:before="60" w:after="60"/>
              <w:ind w:right="-29"/>
              <w:jc w:val="center"/>
              <w:rPr>
                <w:noProof/>
                <w:sz w:val="18"/>
                <w:szCs w:val="18"/>
              </w:rPr>
            </w:pPr>
            <w:r>
              <w:rPr>
                <w:noProof/>
                <w:sz w:val="18"/>
              </w:rPr>
              <w:t>2. KONKRÉT CÉLKITŰZÉS…</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0 kimenet</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2. konkrét célkitűzés részösszege</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51" w:type="dxa"/>
            <w:gridSpan w:val="2"/>
            <w:tcBorders>
              <w:bottom w:val="single" w:sz="12" w:space="0" w:color="auto"/>
            </w:tcBorders>
          </w:tcPr>
          <w:p>
            <w:pPr>
              <w:ind w:right="-29"/>
              <w:jc w:val="center"/>
              <w:rPr>
                <w:noProof/>
                <w:sz w:val="18"/>
                <w:szCs w:val="18"/>
              </w:rPr>
            </w:pPr>
          </w:p>
        </w:tc>
        <w:tc>
          <w:tcPr>
            <w:tcW w:w="669"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ÖSSZESEN</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p>
        </w:tc>
      </w:tr>
    </w:tbl>
    <w:p>
      <w:pPr>
        <w:rPr>
          <w:noProof/>
        </w:rPr>
        <w:sectPr>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pPr>
        <w:pStyle w:val="ManualHeading3"/>
        <w:rPr>
          <w:bCs/>
          <w:noProof/>
          <w:szCs w:val="24"/>
        </w:rPr>
      </w:pPr>
      <w:bookmarkStart w:id="57" w:name="_Toc514938055"/>
      <w:bookmarkStart w:id="58" w:name="_Toc520485054"/>
      <w:r>
        <w:t>3.2.3.</w:t>
      </w:r>
      <w:r>
        <w:tab/>
      </w:r>
      <w:r>
        <w:rPr>
          <w:noProof/>
        </w:rPr>
        <w:t>Az igazgatási előirányzatokra gyakorolt becsült hatás összefoglalása</w:t>
      </w:r>
      <w:bookmarkEnd w:id="57"/>
      <w:bookmarkEnd w:id="58"/>
      <w:r>
        <w:rPr>
          <w:noProof/>
        </w:rPr>
        <w:t xml:space="preserve"> </w:t>
      </w:r>
    </w:p>
    <w:p>
      <w:pPr>
        <w:pStyle w:val="ListDash1"/>
        <w:rPr>
          <w:noProof/>
        </w:rPr>
      </w:pPr>
      <w:r>
        <w:rPr>
          <w:noProof/>
        </w:rPr>
        <w:t>X</w:t>
      </w:r>
      <w:r>
        <w:rPr>
          <w:noProof/>
        </w:rPr>
        <w:tab/>
        <w:t>A javaslat/kezdeményezés nem vonja maga után igazgatási jellegű előirányzatok felhasználását.</w:t>
      </w:r>
    </w:p>
    <w:p>
      <w:pPr>
        <w:pStyle w:val="ListDash1"/>
        <w:rPr>
          <w:noProof/>
        </w:rPr>
      </w:pPr>
      <w:r>
        <w:rPr>
          <w:noProof/>
        </w:rPr>
        <w:sym w:font="Wingdings" w:char="F0A8"/>
      </w:r>
      <w:r>
        <w:rPr>
          <w:noProof/>
        </w:rPr>
        <w:tab/>
        <w:t>A javaslat/kezdeményezés az alábbi igazgatási előirányzatok felhasználását vonja maga után:</w:t>
      </w:r>
    </w:p>
    <w:p>
      <w:pPr>
        <w:jc w:val="right"/>
        <w:rPr>
          <w:noProof/>
          <w:sz w:val="20"/>
        </w:rPr>
      </w:pPr>
      <w:r>
        <w:rPr>
          <w:noProof/>
          <w:sz w:val="20"/>
        </w:rPr>
        <w:t>millió EUR (három tizedesjegyig)</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b/>
                <w:noProof/>
                <w:sz w:val="16"/>
              </w:rPr>
              <w:t>N.</w:t>
            </w:r>
            <w:r>
              <w:rPr>
                <w:noProof/>
              </w:rPr>
              <w:t xml:space="preserve"> </w:t>
            </w:r>
            <w:r>
              <w:rPr>
                <w:noProof/>
                <w:sz w:val="16"/>
              </w:rPr>
              <w:t>év</w:t>
            </w:r>
            <w:r>
              <w:rPr>
                <w:rStyle w:val="FootnoteReference"/>
                <w:noProof/>
                <w:sz w:val="16"/>
              </w:rPr>
              <w:footnoteReference w:id="12"/>
            </w:r>
          </w:p>
        </w:tc>
        <w:tc>
          <w:tcPr>
            <w:tcW w:w="1080" w:type="dxa"/>
            <w:vAlign w:val="center"/>
          </w:tcPr>
          <w:p>
            <w:pPr>
              <w:spacing w:before="60" w:after="60" w:line="200" w:lineRule="exact"/>
              <w:jc w:val="center"/>
              <w:rPr>
                <w:noProof/>
                <w:sz w:val="16"/>
                <w:szCs w:val="16"/>
              </w:rPr>
            </w:pPr>
            <w:r>
              <w:rPr>
                <w:b/>
                <w:noProof/>
                <w:sz w:val="16"/>
              </w:rPr>
              <w:t>N+1.</w:t>
            </w:r>
            <w:r>
              <w:rPr>
                <w:noProof/>
              </w:rPr>
              <w:t xml:space="preserve"> </w:t>
            </w:r>
            <w:r>
              <w:rPr>
                <w:noProof/>
                <w:sz w:val="16"/>
              </w:rPr>
              <w:t>év</w:t>
            </w:r>
          </w:p>
        </w:tc>
        <w:tc>
          <w:tcPr>
            <w:tcW w:w="1080" w:type="dxa"/>
            <w:vAlign w:val="center"/>
          </w:tcPr>
          <w:p>
            <w:pPr>
              <w:spacing w:before="60" w:after="60" w:line="200" w:lineRule="exact"/>
              <w:jc w:val="center"/>
              <w:rPr>
                <w:noProof/>
                <w:sz w:val="16"/>
                <w:szCs w:val="16"/>
              </w:rPr>
            </w:pPr>
            <w:r>
              <w:rPr>
                <w:b/>
                <w:noProof/>
                <w:sz w:val="16"/>
              </w:rPr>
              <w:t>N+2.</w:t>
            </w:r>
            <w:r>
              <w:rPr>
                <w:noProof/>
              </w:rPr>
              <w:t xml:space="preserve"> </w:t>
            </w:r>
            <w:r>
              <w:rPr>
                <w:noProof/>
                <w:sz w:val="16"/>
              </w:rPr>
              <w:t>év</w:t>
            </w:r>
          </w:p>
        </w:tc>
        <w:tc>
          <w:tcPr>
            <w:tcW w:w="1080" w:type="dxa"/>
            <w:vAlign w:val="center"/>
          </w:tcPr>
          <w:p>
            <w:pPr>
              <w:spacing w:before="60" w:after="60" w:line="200" w:lineRule="exact"/>
              <w:jc w:val="center"/>
              <w:rPr>
                <w:noProof/>
                <w:sz w:val="16"/>
                <w:szCs w:val="16"/>
              </w:rPr>
            </w:pPr>
            <w:r>
              <w:rPr>
                <w:b/>
                <w:noProof/>
                <w:sz w:val="16"/>
              </w:rPr>
              <w:t>N+3.</w:t>
            </w:r>
            <w:r>
              <w:rPr>
                <w:noProof/>
              </w:rPr>
              <w:t xml:space="preserve"> </w:t>
            </w:r>
            <w:r>
              <w:rPr>
                <w:noProof/>
                <w:sz w:val="16"/>
              </w:rPr>
              <w:t>év</w:t>
            </w:r>
          </w:p>
        </w:tc>
        <w:tc>
          <w:tcPr>
            <w:tcW w:w="3240" w:type="dxa"/>
            <w:vAlign w:val="center"/>
          </w:tcPr>
          <w:p>
            <w:pPr>
              <w:spacing w:line="200" w:lineRule="exact"/>
              <w:jc w:val="center"/>
              <w:rPr>
                <w:b/>
                <w:noProof/>
                <w:sz w:val="16"/>
                <w:szCs w:val="16"/>
              </w:rPr>
            </w:pPr>
            <w:r>
              <w:rPr>
                <w:noProof/>
                <w:sz w:val="16"/>
              </w:rPr>
              <w:t>A táblázat a hatás időtartamának megfelelően (vö. 1.6. pont) további évekkel bővíthető.</w:t>
            </w:r>
          </w:p>
        </w:tc>
        <w:tc>
          <w:tcPr>
            <w:tcW w:w="1080" w:type="dxa"/>
            <w:vAlign w:val="center"/>
          </w:tcPr>
          <w:p>
            <w:pPr>
              <w:spacing w:before="60" w:after="60" w:line="200" w:lineRule="exact"/>
              <w:jc w:val="center"/>
              <w:rPr>
                <w:b/>
                <w:noProof/>
                <w:sz w:val="16"/>
                <w:szCs w:val="16"/>
              </w:rPr>
            </w:pPr>
            <w:r>
              <w:rPr>
                <w:b/>
                <w:noProof/>
                <w:sz w:val="16"/>
              </w:rPr>
              <w:t>ÖSSZESEN</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rPr>
              <w:t xml:space="preserve"> </w:t>
            </w:r>
            <w:r>
              <w:rPr>
                <w:b/>
                <w:noProof/>
                <w:sz w:val="16"/>
              </w:rPr>
              <w:t>5. FEJEZETE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Humán erőforrás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Egyéb igazgatási kiadások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rPr>
              <w:t xml:space="preserve"> </w:t>
            </w:r>
            <w:r>
              <w:rPr>
                <w:b/>
                <w:noProof/>
                <w:sz w:val="16"/>
              </w:rPr>
              <w:t xml:space="preserve">5. FEJEZETÉNEK részösszege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A többéves pénzügyi keret</w:t>
            </w:r>
            <w:r>
              <w:rPr>
                <w:noProof/>
              </w:rPr>
              <w:t xml:space="preserve"> </w:t>
            </w:r>
            <w:r>
              <w:rPr>
                <w:b/>
                <w:noProof/>
                <w:sz w:val="16"/>
              </w:rPr>
              <w:t>5. FEJEZETÉN</w:t>
            </w:r>
            <w:r>
              <w:rPr>
                <w:rStyle w:val="FootnoteReference"/>
                <w:b/>
                <w:noProof/>
                <w:sz w:val="16"/>
              </w:rPr>
              <w:footnoteReference w:id="13"/>
            </w:r>
            <w:r>
              <w:rPr>
                <w:b/>
                <w:noProof/>
                <w:sz w:val="16"/>
              </w:rPr>
              <w:t xml:space="preserve"> kívüli előirányzatok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Humán erőforrás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Egyéb igazgatási jellegű kiadások</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rPr>
              <w:t xml:space="preserve"> </w:t>
            </w:r>
            <w:r>
              <w:rPr>
                <w:b/>
                <w:noProof/>
                <w:sz w:val="16"/>
              </w:rPr>
              <w:t>5. FEJEZETÉN kívüli előirányzatok</w:t>
            </w:r>
            <w:r>
              <w:rPr>
                <w:noProof/>
              </w:rPr>
              <w:t xml:space="preserve"> </w:t>
            </w:r>
            <w:r>
              <w:rPr>
                <w:b/>
                <w:noProof/>
                <w:sz w:val="16"/>
              </w:rPr>
              <w:t xml:space="preserve">részösszege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ÖSSZESEN</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pPr>
      <w:r>
        <w:rPr>
          <w:noProof/>
          <w:sz w:val="18"/>
        </w:rPr>
        <w:t>A humán erőforrással és más igazgatási kiadásokkal kapcsolatos előirányzat-igényeket az adott főigazgatóság rendelkezésére álló, az intézkedés irányításához rendelt előirányzatokkal és/vagy az adott főigazgatóságon belüli átcsoportosítással kell teljesíteni. A források adott esetben a költségvetési korlátok betartása mellett kiegészíthetők az éves elosztási eljárás keretében az irányító főigazgatósághoz rendelt további juttatásokkal.</w:t>
      </w:r>
    </w:p>
    <w:p>
      <w:pPr>
        <w:rPr>
          <w:noProof/>
          <w:sz w:val="18"/>
        </w:rPr>
        <w:sectPr>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pPr>
        <w:pStyle w:val="ManualHeading4"/>
        <w:rPr>
          <w:bCs/>
          <w:noProof/>
          <w:szCs w:val="24"/>
        </w:rPr>
      </w:pPr>
      <w:r>
        <w:t>3.2.3.1.</w:t>
      </w:r>
      <w:r>
        <w:tab/>
      </w:r>
      <w:r>
        <w:rPr>
          <w:noProof/>
        </w:rPr>
        <w:t xml:space="preserve">Becsült humánerőforrás-szükségletek </w:t>
      </w:r>
    </w:p>
    <w:p>
      <w:pPr>
        <w:pStyle w:val="ListDash1"/>
        <w:rPr>
          <w:noProof/>
        </w:rPr>
      </w:pPr>
      <w:r>
        <w:rPr>
          <w:noProof/>
        </w:rPr>
        <w:t>X</w:t>
      </w:r>
      <w:r>
        <w:rPr>
          <w:noProof/>
        </w:rPr>
        <w:tab/>
        <w:t xml:space="preserve">A javaslat/kezdeményezés nem igényel humánerőforrást. </w:t>
      </w:r>
    </w:p>
    <w:p>
      <w:pPr>
        <w:pStyle w:val="ListDash1"/>
        <w:rPr>
          <w:noProof/>
        </w:rPr>
      </w:pPr>
      <w:r>
        <w:rPr>
          <w:noProof/>
        </w:rPr>
        <w:sym w:font="Wingdings" w:char="F0A8"/>
      </w:r>
      <w:r>
        <w:rPr>
          <w:noProof/>
        </w:rPr>
        <w:tab/>
        <w:t>A javaslat/kezdeményezés az alábbi humánerőforrás-igénnyel jár:</w:t>
      </w:r>
    </w:p>
    <w:p>
      <w:pPr>
        <w:spacing w:after="60"/>
        <w:jc w:val="right"/>
        <w:rPr>
          <w:i/>
          <w:noProof/>
          <w:sz w:val="20"/>
        </w:rPr>
      </w:pPr>
      <w:r>
        <w:rPr>
          <w:i/>
          <w:noProof/>
          <w:sz w:val="20"/>
        </w:rPr>
        <w:t>A becsléseket teljes munkaidős egyenértékben kell kifejezni</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trPr>
          <w:gridBefore w:val="1"/>
          <w:wBefore w:w="13" w:type="dxa"/>
          <w:trHeight w:val="289"/>
          <w:jc w:val="center"/>
        </w:trPr>
        <w:tc>
          <w:tcPr>
            <w:tcW w:w="3906" w:type="dxa"/>
            <w:gridSpan w:val="2"/>
            <w:shd w:val="clear" w:color="auto" w:fill="auto"/>
          </w:tcPr>
          <w:p>
            <w:pPr>
              <w:pStyle w:val="Text1"/>
              <w:spacing w:before="40" w:after="40"/>
              <w:ind w:left="0"/>
              <w:jc w:val="center"/>
              <w:rPr>
                <w:i/>
                <w:noProof/>
                <w:sz w:val="16"/>
                <w:szCs w:val="16"/>
              </w:rPr>
            </w:pPr>
          </w:p>
        </w:tc>
        <w:tc>
          <w:tcPr>
            <w:tcW w:w="600" w:type="dxa"/>
            <w:shd w:val="clear" w:color="auto" w:fill="auto"/>
            <w:vAlign w:val="center"/>
          </w:tcPr>
          <w:p>
            <w:pPr>
              <w:spacing w:before="20" w:after="20"/>
              <w:jc w:val="center"/>
              <w:rPr>
                <w:noProof/>
                <w:sz w:val="16"/>
                <w:szCs w:val="16"/>
              </w:rPr>
            </w:pPr>
            <w:r>
              <w:rPr>
                <w:b/>
                <w:noProof/>
                <w:sz w:val="16"/>
              </w:rPr>
              <w:t>N.</w:t>
            </w:r>
            <w:r>
              <w:rPr>
                <w:noProof/>
              </w:rPr>
              <w:t xml:space="preserve"> </w:t>
            </w:r>
            <w:r>
              <w:rPr>
                <w:noProof/>
              </w:rPr>
              <w:br/>
            </w:r>
            <w:r>
              <w:rPr>
                <w:noProof/>
                <w:sz w:val="16"/>
              </w:rPr>
              <w:t>év</w:t>
            </w:r>
          </w:p>
        </w:tc>
        <w:tc>
          <w:tcPr>
            <w:tcW w:w="600" w:type="dxa"/>
            <w:shd w:val="clear" w:color="auto" w:fill="auto"/>
            <w:vAlign w:val="center"/>
          </w:tcPr>
          <w:p>
            <w:pPr>
              <w:spacing w:before="20" w:after="20"/>
              <w:jc w:val="center"/>
              <w:rPr>
                <w:noProof/>
                <w:sz w:val="16"/>
                <w:szCs w:val="16"/>
              </w:rPr>
            </w:pPr>
            <w:r>
              <w:rPr>
                <w:b/>
                <w:noProof/>
                <w:sz w:val="16"/>
              </w:rPr>
              <w:t>N+1.</w:t>
            </w:r>
            <w:r>
              <w:rPr>
                <w:noProof/>
              </w:rPr>
              <w:t xml:space="preserve"> </w:t>
            </w:r>
            <w:r>
              <w:rPr>
                <w:noProof/>
                <w:sz w:val="16"/>
              </w:rPr>
              <w:t>év</w:t>
            </w:r>
          </w:p>
        </w:tc>
        <w:tc>
          <w:tcPr>
            <w:tcW w:w="600" w:type="dxa"/>
            <w:shd w:val="clear" w:color="auto" w:fill="auto"/>
            <w:vAlign w:val="center"/>
          </w:tcPr>
          <w:p>
            <w:pPr>
              <w:spacing w:before="20" w:after="20"/>
              <w:jc w:val="center"/>
              <w:rPr>
                <w:noProof/>
                <w:sz w:val="16"/>
                <w:szCs w:val="16"/>
              </w:rPr>
            </w:pPr>
            <w:r>
              <w:rPr>
                <w:b/>
                <w:noProof/>
                <w:sz w:val="16"/>
                <w:szCs w:val="16"/>
              </w:rPr>
              <w:t>N+2.</w:t>
            </w:r>
            <w:r>
              <w:rPr>
                <w:noProof/>
                <w:sz w:val="16"/>
                <w:szCs w:val="16"/>
              </w:rPr>
              <w:t xml:space="preserve"> év</w:t>
            </w:r>
          </w:p>
        </w:tc>
        <w:tc>
          <w:tcPr>
            <w:tcW w:w="600" w:type="dxa"/>
            <w:shd w:val="clear" w:color="auto" w:fill="auto"/>
            <w:vAlign w:val="center"/>
          </w:tcPr>
          <w:p>
            <w:pPr>
              <w:spacing w:before="20" w:after="20"/>
              <w:jc w:val="center"/>
              <w:rPr>
                <w:noProof/>
                <w:sz w:val="16"/>
                <w:szCs w:val="16"/>
              </w:rPr>
            </w:pPr>
            <w:r>
              <w:rPr>
                <w:b/>
                <w:noProof/>
                <w:sz w:val="16"/>
                <w:szCs w:val="16"/>
              </w:rPr>
              <w:t>N+3.</w:t>
            </w:r>
            <w:r>
              <w:rPr>
                <w:noProof/>
                <w:sz w:val="16"/>
                <w:szCs w:val="16"/>
              </w:rPr>
              <w:t xml:space="preserve"> év</w:t>
            </w:r>
          </w:p>
        </w:tc>
        <w:tc>
          <w:tcPr>
            <w:tcW w:w="600" w:type="dxa"/>
            <w:gridSpan w:val="3"/>
            <w:shd w:val="clear" w:color="auto" w:fill="auto"/>
            <w:vAlign w:val="center"/>
          </w:tcPr>
          <w:p>
            <w:pPr>
              <w:jc w:val="center"/>
              <w:rPr>
                <w:b/>
                <w:noProof/>
                <w:sz w:val="16"/>
                <w:szCs w:val="16"/>
              </w:rPr>
            </w:pPr>
            <w:r>
              <w:rPr>
                <w:noProof/>
                <w:sz w:val="16"/>
              </w:rPr>
              <w:t>A táblázat a hatás időtartamának megfelelően (vö. 1.6. pont) további évekkel bővíthető.</w:t>
            </w:r>
          </w:p>
        </w:tc>
      </w:tr>
      <w:tr>
        <w:trPr>
          <w:gridBefore w:val="1"/>
          <w:wBefore w:w="13" w:type="dxa"/>
          <w:trHeight w:val="289"/>
          <w:jc w:val="center"/>
        </w:trPr>
        <w:tc>
          <w:tcPr>
            <w:tcW w:w="600" w:type="dxa"/>
            <w:gridSpan w:val="9"/>
            <w:shd w:val="clear" w:color="auto" w:fill="auto"/>
          </w:tcPr>
          <w:p>
            <w:pPr>
              <w:jc w:val="left"/>
              <w:rPr>
                <w:noProof/>
                <w:sz w:val="16"/>
                <w:szCs w:val="16"/>
              </w:rPr>
            </w:pPr>
            <w:r>
              <w:rPr>
                <w:b/>
                <w:noProof/>
                <w:sz w:val="16"/>
              </w:rPr>
              <w:sym w:font="Wingdings" w:char="F09F"/>
            </w:r>
            <w:r>
              <w:rPr>
                <w:b/>
                <w:noProof/>
                <w:sz w:val="16"/>
              </w:rPr>
              <w:t>A létszámtervben szereplő álláshelyek (tisztviselők és ideiglenes alkalmazottak)</w:t>
            </w: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 központban és a bizottsági képviseleteken)</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(a küldöttségeknél)</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01/11/21 (közvetett kutatás)</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01/11 (közvetlen kutatás)</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trHeight w:val="248"/>
          <w:jc w:val="center"/>
        </w:trPr>
        <w:tc>
          <w:tcPr>
            <w:tcW w:w="600" w:type="dxa"/>
            <w:gridSpan w:val="10"/>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Külső munkatársak teljes munkaidős egyenértékben (FTE)</w:t>
            </w:r>
            <w:r>
              <w:rPr>
                <w:rStyle w:val="FootnoteReference"/>
                <w:b/>
                <w:noProof/>
                <w:sz w:val="16"/>
              </w:rPr>
              <w:footnoteReference w:id="14"/>
            </w:r>
          </w:p>
          <w:p>
            <w:pPr>
              <w:pStyle w:val="Text1"/>
              <w:spacing w:before="0" w:after="0"/>
              <w:ind w:left="0"/>
              <w:jc w:val="left"/>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a teljes keretből)</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és JPD a küldöttségeknél)</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1952" w:type="dxa"/>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éé</w:t>
            </w:r>
            <w:r>
              <w:rPr>
                <w:b/>
                <w:i/>
                <w:noProof/>
                <w:sz w:val="16"/>
              </w:rPr>
              <w:t xml:space="preserve"> </w:t>
            </w:r>
            <w:r>
              <w:rPr>
                <w:rStyle w:val="FootnoteReference"/>
                <w:b/>
                <w:i/>
                <w:noProof/>
                <w:sz w:val="16"/>
              </w:rPr>
              <w:footnoteReference w:id="15"/>
            </w:r>
          </w:p>
          <w:p>
            <w:pPr>
              <w:pStyle w:val="Text1"/>
              <w:spacing w:beforeLines="20" w:before="48" w:afterLines="20" w:after="48"/>
              <w:ind w:left="136"/>
              <w:jc w:val="left"/>
              <w:rPr>
                <w:b/>
                <w:noProof/>
                <w:sz w:val="16"/>
                <w:szCs w:val="16"/>
              </w:rPr>
            </w:pPr>
          </w:p>
        </w:tc>
        <w:tc>
          <w:tcPr>
            <w:tcW w:w="1954" w:type="dxa"/>
            <w:shd w:val="clear" w:color="auto" w:fill="auto"/>
            <w:vAlign w:val="center"/>
          </w:tcPr>
          <w:p>
            <w:pPr>
              <w:pStyle w:val="Text1"/>
              <w:spacing w:beforeLines="20" w:before="48" w:afterLines="20" w:after="48"/>
              <w:ind w:left="136"/>
              <w:jc w:val="left"/>
              <w:rPr>
                <w:b/>
                <w:noProof/>
                <w:sz w:val="16"/>
                <w:szCs w:val="16"/>
              </w:rPr>
            </w:pPr>
            <w:r>
              <w:rPr>
                <w:noProof/>
                <w:sz w:val="16"/>
              </w:rPr>
              <w:t>– a központban</w:t>
            </w:r>
          </w:p>
          <w:p>
            <w:pPr>
              <w:pStyle w:val="Text1"/>
              <w:spacing w:beforeLines="20" w:before="48" w:afterLines="20" w:after="48"/>
              <w:ind w:left="136"/>
              <w:jc w:val="left"/>
              <w:rPr>
                <w:b/>
                <w:noProof/>
                <w:sz w:val="16"/>
                <w:szCs w:val="16"/>
              </w:rPr>
            </w:pPr>
          </w:p>
        </w:tc>
        <w:tc>
          <w:tcPr>
            <w:tcW w:w="600" w:type="dxa"/>
            <w:shd w:val="clear" w:color="auto" w:fill="auto"/>
            <w:vAlign w:val="center"/>
          </w:tcPr>
          <w:p>
            <w:pPr>
              <w:pStyle w:val="Text1"/>
              <w:spacing w:beforeLines="20" w:before="48" w:afterLines="20" w:after="48"/>
              <w:ind w:left="0"/>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1952" w:type="dxa"/>
            <w:vMerge/>
            <w:shd w:val="clear" w:color="auto" w:fill="auto"/>
            <w:vAlign w:val="center"/>
          </w:tcPr>
          <w:p>
            <w:pPr>
              <w:pStyle w:val="Text1"/>
              <w:spacing w:beforeLines="20" w:before="48" w:afterLines="20" w:after="48"/>
              <w:ind w:left="136"/>
              <w:jc w:val="left"/>
              <w:rPr>
                <w:b/>
                <w:noProof/>
                <w:sz w:val="16"/>
                <w:szCs w:val="16"/>
              </w:rPr>
            </w:pPr>
          </w:p>
        </w:tc>
        <w:tc>
          <w:tcPr>
            <w:tcW w:w="1954" w:type="dxa"/>
            <w:shd w:val="clear" w:color="auto" w:fill="auto"/>
            <w:vAlign w:val="center"/>
          </w:tcPr>
          <w:p>
            <w:pPr>
              <w:pStyle w:val="Text1"/>
              <w:spacing w:beforeLines="20" w:before="48" w:afterLines="20" w:after="48"/>
              <w:ind w:left="136"/>
              <w:jc w:val="left"/>
              <w:rPr>
                <w:b/>
                <w:noProof/>
                <w:sz w:val="16"/>
                <w:szCs w:val="16"/>
              </w:rPr>
            </w:pPr>
            <w:r>
              <w:rPr>
                <w:noProof/>
                <w:sz w:val="16"/>
              </w:rPr>
              <w:t xml:space="preserve">– a küldöttségeknél </w:t>
            </w:r>
          </w:p>
        </w:tc>
        <w:tc>
          <w:tcPr>
            <w:tcW w:w="600" w:type="dxa"/>
            <w:shd w:val="clear" w:color="auto" w:fill="auto"/>
            <w:vAlign w:val="center"/>
          </w:tcPr>
          <w:p>
            <w:pPr>
              <w:pStyle w:val="Text1"/>
              <w:spacing w:beforeLines="20" w:before="48" w:afterLines="20" w:after="48"/>
              <w:ind w:left="0"/>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01 05 02/12/22 (AC, END, INT – közvetett kutatás)</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02/12 (AC, END, INT – közvetlen kutatás)</w:t>
            </w: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c>
          <w:tcPr>
            <w:tcW w:w="600" w:type="dxa"/>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Egyéb költségvetési sor (kérjük megnevezni)</w:t>
            </w: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13" w:type="dxa"/>
          <w:trHeight w:val="289"/>
          <w:jc w:val="center"/>
        </w:trPr>
        <w:tc>
          <w:tcPr>
            <w:tcW w:w="3906" w:type="dxa"/>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ÖSSZESEN</w:t>
            </w: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XX</w:t>
      </w:r>
      <w:r>
        <w:rPr>
          <w:noProof/>
          <w:sz w:val="18"/>
          <w:szCs w:val="18"/>
        </w:rPr>
        <w:t xml:space="preserve"> az érintett szakpolitikai terület vagy költségvetési cím.</w:t>
      </w:r>
    </w:p>
    <w:p>
      <w:pPr>
        <w:pStyle w:val="Text1"/>
        <w:rPr>
          <w:noProof/>
          <w:sz w:val="18"/>
          <w:szCs w:val="18"/>
        </w:rPr>
      </w:pPr>
      <w:r>
        <w:rPr>
          <w:noProof/>
          <w:sz w:val="18"/>
        </w:rPr>
        <w:t>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főigazgatósághoz rendelt további juttatásokkal.</w:t>
      </w:r>
    </w:p>
    <w:p>
      <w:pPr>
        <w:rPr>
          <w:noProof/>
          <w:sz w:val="20"/>
        </w:rPr>
      </w:pPr>
      <w:r>
        <w:rPr>
          <w:noProof/>
          <w:sz w:val="20"/>
        </w:rPr>
        <w:t>Az elvégzendő feladatok leírása: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Tisztviselők és ideiglenes alkalmazottak</w:t>
            </w:r>
          </w:p>
        </w:tc>
        <w:tc>
          <w:tcPr>
            <w:tcW w:w="7200" w:type="dxa"/>
          </w:tcPr>
          <w:p>
            <w:pPr>
              <w:rPr>
                <w:noProof/>
                <w:sz w:val="20"/>
              </w:rPr>
            </w:pPr>
          </w:p>
        </w:tc>
      </w:tr>
      <w:tr>
        <w:tc>
          <w:tcPr>
            <w:tcW w:w="3240" w:type="dxa"/>
          </w:tcPr>
          <w:p>
            <w:pPr>
              <w:spacing w:before="60" w:after="60"/>
              <w:rPr>
                <w:noProof/>
                <w:sz w:val="20"/>
              </w:rPr>
            </w:pPr>
            <w:r>
              <w:rPr>
                <w:noProof/>
                <w:sz w:val="20"/>
              </w:rPr>
              <w:t>Külső munkatársak</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noProof/>
        </w:rPr>
      </w:pPr>
      <w:bookmarkStart w:id="59" w:name="_Toc514938056"/>
      <w:bookmarkStart w:id="60" w:name="_Toc520485055"/>
      <w:r>
        <w:t>3.2.4.</w:t>
      </w:r>
      <w:r>
        <w:tab/>
      </w:r>
      <w:r>
        <w:rPr>
          <w:noProof/>
        </w:rPr>
        <w:t>A jelenlegi többéves pénzügyi kerettel való összeegyeztethetőség</w:t>
      </w:r>
      <w:bookmarkEnd w:id="59"/>
      <w:bookmarkEnd w:id="60"/>
      <w:r>
        <w:rPr>
          <w:noProof/>
        </w:rPr>
        <w:t xml:space="preserve"> </w:t>
      </w:r>
    </w:p>
    <w:p>
      <w:pPr>
        <w:pStyle w:val="Text1"/>
        <w:rPr>
          <w:noProof/>
        </w:rPr>
      </w:pPr>
      <w:r>
        <w:rPr>
          <w:noProof/>
        </w:rPr>
        <w:t>A javaslat/kezdeményezés</w:t>
      </w:r>
    </w:p>
    <w:p>
      <w:pPr>
        <w:pStyle w:val="ListDash1"/>
        <w:rPr>
          <w:noProof/>
        </w:rPr>
      </w:pPr>
      <w:r>
        <w:rPr>
          <w:noProof/>
        </w:rPr>
        <w:t>X</w:t>
      </w:r>
      <w:r>
        <w:rPr>
          <w:noProof/>
        </w:rPr>
        <w:tab/>
        <w:t>teljes mértékben finanszírozható a többéves pénzügyi keret érintett fejezetén belüli átcsoportosítás révén.</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Fejtse ki, miként kell átprogramozni a pénzügyi keretet: tüntesse fel az érintett költségvetési tételeket és a megfelelő összegeket.</w:t>
      </w:r>
      <w:r>
        <w:rPr>
          <w:noProof/>
        </w:rPr>
        <w:t xml:space="preserve"> </w:t>
      </w:r>
      <w:r>
        <w:rPr>
          <w:noProof/>
          <w:sz w:val="20"/>
        </w:rPr>
        <w:t>Jelentős átprogramozás esetén mellékeljen Excel-táblát.</w:t>
      </w:r>
    </w:p>
    <w:p>
      <w:pPr>
        <w:pStyle w:val="ListDash1"/>
        <w:rPr>
          <w:noProof/>
        </w:rPr>
      </w:pPr>
      <w:r>
        <w:rPr>
          <w:noProof/>
        </w:rPr>
        <w:sym w:font="Wingdings" w:char="F0A8"/>
      </w:r>
      <w:r>
        <w:rPr>
          <w:noProof/>
        </w:rPr>
        <w:tab/>
        <w:t>a többéves pénzügyi keret lekötetlen mozgásterének és/vagy a többéves pénzügyi keretről szóló rendeletben meghatározott különleges eszközök felhasználását teszi szükségessé.</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Fejtse ki, mire van szükség, meghatározva az érintett fejezeteket és költségvetési sorokat, a megfelelő összegeket és a felhasználni javasolt eszközöket.</w:t>
      </w:r>
    </w:p>
    <w:p>
      <w:pPr>
        <w:pStyle w:val="ListDash1"/>
        <w:rPr>
          <w:noProof/>
        </w:rPr>
      </w:pPr>
      <w:r>
        <w:rPr>
          <w:noProof/>
        </w:rPr>
        <w:sym w:font="Wingdings" w:char="F0A8"/>
      </w:r>
      <w:r>
        <w:rPr>
          <w:noProof/>
        </w:rPr>
        <w:tab/>
        <w:t>a többéves pénzügyi keret módosítását teszi szükségessé.</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Fejtse ki a szükségleteket: tüntesse fel az érintett fejezeteket és költségvetési tételeket és a megfelelő összegeket.</w:t>
      </w:r>
    </w:p>
    <w:p>
      <w:pPr>
        <w:pStyle w:val="ManualHeading3"/>
        <w:rPr>
          <w:bCs/>
          <w:noProof/>
          <w:szCs w:val="24"/>
        </w:rPr>
      </w:pPr>
      <w:bookmarkStart w:id="61" w:name="_Toc514938058"/>
      <w:bookmarkStart w:id="62" w:name="_Toc520485056"/>
      <w:r>
        <w:t>3.2.5.</w:t>
      </w:r>
      <w:r>
        <w:tab/>
      </w:r>
      <w:r>
        <w:rPr>
          <w:noProof/>
        </w:rPr>
        <w:t>Harmadik felek hozzájárulásai</w:t>
      </w:r>
      <w:bookmarkEnd w:id="61"/>
      <w:bookmarkEnd w:id="62"/>
      <w:r>
        <w:rPr>
          <w:noProof/>
        </w:rPr>
        <w:t xml:space="preserve"> </w:t>
      </w:r>
    </w:p>
    <w:p>
      <w:pPr>
        <w:pStyle w:val="Text1"/>
        <w:rPr>
          <w:noProof/>
        </w:rPr>
      </w:pPr>
      <w:r>
        <w:rPr>
          <w:noProof/>
        </w:rPr>
        <w:t>A javaslat/kezdeményezés</w:t>
      </w:r>
    </w:p>
    <w:p>
      <w:pPr>
        <w:pStyle w:val="ListDash1"/>
        <w:rPr>
          <w:noProof/>
        </w:rPr>
      </w:pPr>
      <w:r>
        <w:rPr>
          <w:noProof/>
        </w:rPr>
        <w:sym w:font="Wingdings" w:char="F0A8"/>
      </w:r>
      <w:r>
        <w:rPr>
          <w:noProof/>
        </w:rPr>
        <w:tab/>
        <w:t>nem irányoz elő harmadik felek általi társfinanszírozást.</w:t>
      </w:r>
    </w:p>
    <w:p>
      <w:pPr>
        <w:pStyle w:val="ListDash1"/>
        <w:rPr>
          <w:noProof/>
        </w:rPr>
      </w:pPr>
      <w:r>
        <w:rPr>
          <w:noProof/>
        </w:rPr>
        <w:sym w:font="Wingdings" w:char="F0A8"/>
      </w:r>
      <w:r>
        <w:rPr>
          <w:noProof/>
        </w:rPr>
        <w:tab/>
        <w:t>előirányoz harmadik felek általi társfinanszírozást az alábbi becslések szerint:</w:t>
      </w:r>
    </w:p>
    <w:p>
      <w:pPr>
        <w:jc w:val="right"/>
        <w:rPr>
          <w:noProof/>
          <w:sz w:val="20"/>
        </w:rPr>
      </w:pPr>
      <w:r>
        <w:rPr>
          <w:noProof/>
          <w:sz w:val="20"/>
        </w:rPr>
        <w:t>Előirányzatok, millió EUR (három tizedesjegyig)</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b/>
                <w:noProof/>
                <w:sz w:val="20"/>
              </w:rPr>
              <w:t>N.</w:t>
            </w:r>
            <w:r>
              <w:rPr>
                <w:noProof/>
              </w:rPr>
              <w:t xml:space="preserve"> </w:t>
            </w:r>
            <w:r>
              <w:rPr>
                <w:noProof/>
              </w:rPr>
              <w:br/>
            </w:r>
            <w:r>
              <w:rPr>
                <w:noProof/>
                <w:sz w:val="20"/>
              </w:rPr>
              <w:t>év</w:t>
            </w:r>
            <w:r>
              <w:rPr>
                <w:rStyle w:val="FootnoteReference"/>
                <w:noProof/>
                <w:sz w:val="20"/>
              </w:rPr>
              <w:footnoteReference w:id="16"/>
            </w:r>
          </w:p>
        </w:tc>
        <w:tc>
          <w:tcPr>
            <w:tcW w:w="964" w:type="dxa"/>
            <w:vAlign w:val="center"/>
          </w:tcPr>
          <w:p>
            <w:pPr>
              <w:jc w:val="center"/>
              <w:rPr>
                <w:noProof/>
                <w:sz w:val="20"/>
              </w:rPr>
            </w:pPr>
            <w:r>
              <w:rPr>
                <w:b/>
                <w:noProof/>
                <w:sz w:val="20"/>
              </w:rPr>
              <w:t>N+1.</w:t>
            </w:r>
            <w:r>
              <w:rPr>
                <w:noProof/>
              </w:rPr>
              <w:t xml:space="preserve"> </w:t>
            </w:r>
            <w:r>
              <w:rPr>
                <w:noProof/>
              </w:rPr>
              <w:br/>
            </w:r>
            <w:r>
              <w:rPr>
                <w:noProof/>
                <w:sz w:val="20"/>
              </w:rPr>
              <w:t>év</w:t>
            </w:r>
          </w:p>
        </w:tc>
        <w:tc>
          <w:tcPr>
            <w:tcW w:w="964" w:type="dxa"/>
            <w:vAlign w:val="center"/>
          </w:tcPr>
          <w:p>
            <w:pPr>
              <w:jc w:val="center"/>
              <w:rPr>
                <w:noProof/>
                <w:sz w:val="20"/>
              </w:rPr>
            </w:pPr>
            <w:r>
              <w:rPr>
                <w:b/>
                <w:noProof/>
                <w:sz w:val="20"/>
              </w:rPr>
              <w:t>N+2.</w:t>
            </w:r>
            <w:r>
              <w:rPr>
                <w:noProof/>
              </w:rPr>
              <w:t xml:space="preserve"> </w:t>
            </w:r>
            <w:r>
              <w:rPr>
                <w:noProof/>
              </w:rPr>
              <w:br/>
              <w:t>é</w:t>
            </w:r>
            <w:r>
              <w:rPr>
                <w:noProof/>
                <w:sz w:val="20"/>
              </w:rPr>
              <w:t>v</w:t>
            </w:r>
          </w:p>
        </w:tc>
        <w:tc>
          <w:tcPr>
            <w:tcW w:w="964" w:type="dxa"/>
            <w:vAlign w:val="center"/>
          </w:tcPr>
          <w:p>
            <w:pPr>
              <w:jc w:val="center"/>
              <w:rPr>
                <w:noProof/>
                <w:sz w:val="20"/>
              </w:rPr>
            </w:pPr>
            <w:r>
              <w:rPr>
                <w:b/>
                <w:noProof/>
                <w:sz w:val="20"/>
              </w:rPr>
              <w:t>N+3.</w:t>
            </w:r>
            <w:r>
              <w:rPr>
                <w:noProof/>
              </w:rPr>
              <w:t xml:space="preserve"> </w:t>
            </w:r>
            <w:r>
              <w:rPr>
                <w:noProof/>
              </w:rPr>
              <w:br/>
            </w:r>
            <w:r>
              <w:rPr>
                <w:noProof/>
                <w:sz w:val="20"/>
              </w:rPr>
              <w:t>év</w:t>
            </w:r>
          </w:p>
        </w:tc>
        <w:tc>
          <w:tcPr>
            <w:tcW w:w="2892" w:type="dxa"/>
            <w:gridSpan w:val="3"/>
            <w:vAlign w:val="center"/>
          </w:tcPr>
          <w:p>
            <w:pPr>
              <w:jc w:val="center"/>
              <w:rPr>
                <w:b/>
                <w:noProof/>
                <w:sz w:val="20"/>
              </w:rPr>
            </w:pPr>
            <w:r>
              <w:rPr>
                <w:noProof/>
                <w:sz w:val="20"/>
              </w:rPr>
              <w:t>A táblázat a hatás időtartamának megfelelően (vö. 1.6. pont) további évekkel bővíthető.</w:t>
            </w:r>
          </w:p>
        </w:tc>
        <w:tc>
          <w:tcPr>
            <w:tcW w:w="1158" w:type="dxa"/>
            <w:vAlign w:val="center"/>
          </w:tcPr>
          <w:p>
            <w:pPr>
              <w:spacing w:before="60" w:after="60"/>
              <w:jc w:val="center"/>
              <w:rPr>
                <w:noProof/>
                <w:sz w:val="20"/>
              </w:rPr>
            </w:pPr>
            <w:r>
              <w:rPr>
                <w:noProof/>
                <w:sz w:val="20"/>
              </w:rPr>
              <w:t>Összesen</w:t>
            </w:r>
          </w:p>
        </w:tc>
      </w:tr>
      <w:tr>
        <w:trPr>
          <w:cantSplit/>
        </w:trPr>
        <w:tc>
          <w:tcPr>
            <w:tcW w:w="2340" w:type="dxa"/>
          </w:tcPr>
          <w:p>
            <w:pPr>
              <w:rPr>
                <w:noProof/>
              </w:rPr>
            </w:pPr>
            <w:r>
              <w:rPr>
                <w:noProof/>
                <w:sz w:val="20"/>
              </w:rPr>
              <w:t>Tüntesse fel a társfinanszírozó szervet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Társfinanszírozott előirányzatok ÖSSZESEN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p>
    <w:p>
      <w:pPr>
        <w:pStyle w:val="ManualHeading2"/>
        <w:rPr>
          <w:bCs/>
          <w:noProof/>
          <w:szCs w:val="24"/>
        </w:rPr>
      </w:pPr>
      <w:r>
        <w:rPr>
          <w:noProof/>
        </w:rPr>
        <w:br w:type="page"/>
      </w:r>
      <w:bookmarkStart w:id="63" w:name="_Toc514938059"/>
      <w:bookmarkStart w:id="64" w:name="_Toc520485057"/>
      <w:r>
        <w:t>3.3.</w:t>
      </w:r>
      <w:r>
        <w:tab/>
      </w:r>
      <w:r>
        <w:rPr>
          <w:noProof/>
        </w:rPr>
        <w:t>A bevételre gyakorolt becsült hatás</w:t>
      </w:r>
      <w:bookmarkEnd w:id="63"/>
      <w:bookmarkEnd w:id="64"/>
      <w:r>
        <w:rPr>
          <w:noProof/>
        </w:rPr>
        <w:t xml:space="preserve"> </w:t>
      </w:r>
    </w:p>
    <w:p>
      <w:pPr>
        <w:pStyle w:val="ListDash1"/>
        <w:rPr>
          <w:noProof/>
        </w:rPr>
      </w:pPr>
      <w:r>
        <w:rPr>
          <w:noProof/>
        </w:rPr>
        <w:t>X</w:t>
      </w:r>
      <w:r>
        <w:rPr>
          <w:noProof/>
        </w:rPr>
        <w:tab/>
        <w:t>A javaslatnak/kezdeményezésnek nincs pénzügyi hatása a bevételre.</w:t>
      </w:r>
    </w:p>
    <w:p>
      <w:pPr>
        <w:pStyle w:val="ListDash1"/>
        <w:rPr>
          <w:noProof/>
        </w:rPr>
      </w:pPr>
      <w:r>
        <w:rPr>
          <w:noProof/>
        </w:rPr>
        <w:sym w:font="Wingdings" w:char="F0A8"/>
      </w:r>
      <w:r>
        <w:rPr>
          <w:noProof/>
        </w:rPr>
        <w:tab/>
        <w:t>A javaslatnak/kezdeményezésnek van pénzügyi hatása – a bevételre gyakorolt hatása a következő:</w:t>
      </w:r>
    </w:p>
    <w:p>
      <w:pPr>
        <w:pStyle w:val="Tiret2"/>
        <w:numPr>
          <w:ilvl w:val="0"/>
          <w:numId w:val="17"/>
        </w:numPr>
        <w:rPr>
          <w:noProof/>
        </w:rPr>
      </w:pPr>
      <w:r>
        <w:rPr>
          <w:noProof/>
        </w:rPr>
        <w:sym w:font="Wingdings" w:char="F0A8"/>
      </w:r>
      <w:r>
        <w:rPr>
          <w:noProof/>
        </w:rPr>
        <w:tab/>
        <w:t xml:space="preserve">a javaslat a saját forrásokra gyakorol hatást </w:t>
      </w:r>
    </w:p>
    <w:p>
      <w:pPr>
        <w:pStyle w:val="Tiret2"/>
        <w:rPr>
          <w:noProof/>
        </w:rPr>
      </w:pPr>
      <w:r>
        <w:rPr>
          <w:noProof/>
        </w:rPr>
        <w:sym w:font="Wingdings" w:char="F0A8"/>
      </w:r>
      <w:r>
        <w:rPr>
          <w:noProof/>
        </w:rPr>
        <w:tab/>
        <w:t>a javaslat az egyéb bevételekre gyakorol hatást</w:t>
      </w:r>
    </w:p>
    <w:p>
      <w:pPr>
        <w:pStyle w:val="Tiret2"/>
        <w:rPr>
          <w:noProof/>
        </w:rPr>
      </w:pPr>
      <w:r>
        <w:rPr>
          <w:noProof/>
        </w:rPr>
        <w:sym w:font="Wingdings" w:char="F0A8"/>
      </w:r>
      <w:r>
        <w:rPr>
          <w:noProof/>
        </w:rPr>
        <w:tab/>
        <w:t>kérjük, adja meg, hogy a bevétel kiadási sorhoz van-e rendelve</w:t>
      </w:r>
    </w:p>
    <w:p>
      <w:pPr>
        <w:ind w:left="4320"/>
        <w:rPr>
          <w:i/>
          <w:noProof/>
          <w:sz w:val="20"/>
        </w:rPr>
      </w:pPr>
      <w:r>
        <w:rPr>
          <w:noProof/>
        </w:rPr>
        <w:t xml:space="preserve">     millió EUR (három tizedesjegyig)</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Bevételi költségvetési sor:</w:t>
            </w:r>
          </w:p>
        </w:tc>
        <w:tc>
          <w:tcPr>
            <w:tcW w:w="1325" w:type="dxa"/>
            <w:vMerge w:val="restart"/>
            <w:vAlign w:val="center"/>
          </w:tcPr>
          <w:p>
            <w:pPr>
              <w:jc w:val="center"/>
              <w:rPr>
                <w:noProof/>
                <w:sz w:val="18"/>
              </w:rPr>
            </w:pPr>
            <w:r>
              <w:rPr>
                <w:noProof/>
                <w:sz w:val="18"/>
              </w:rPr>
              <w:t>Az aktuális költségvetési évre rendelkezésre álló előirányzatok</w:t>
            </w:r>
          </w:p>
        </w:tc>
        <w:tc>
          <w:tcPr>
            <w:tcW w:w="7151" w:type="dxa"/>
            <w:gridSpan w:val="7"/>
            <w:vAlign w:val="center"/>
          </w:tcPr>
          <w:p>
            <w:pPr>
              <w:jc w:val="center"/>
              <w:rPr>
                <w:noProof/>
                <w:sz w:val="18"/>
              </w:rPr>
            </w:pPr>
            <w:r>
              <w:rPr>
                <w:noProof/>
                <w:sz w:val="18"/>
              </w:rPr>
              <w:t>A javaslat/kezdeményezés hatása</w:t>
            </w:r>
            <w:r>
              <w:rPr>
                <w:rStyle w:val="FootnoteReference"/>
                <w:noProof/>
                <w:sz w:val="18"/>
              </w:rPr>
              <w:footnoteReference w:id="17"/>
            </w:r>
          </w:p>
        </w:tc>
      </w:tr>
      <w:tr>
        <w:trPr>
          <w:trHeight w:val="388"/>
        </w:trPr>
        <w:tc>
          <w:tcPr>
            <w:tcW w:w="2144" w:type="dxa"/>
            <w:vMerge/>
          </w:tcPr>
          <w:p>
            <w:pPr>
              <w:spacing w:before="40" w:after="40"/>
              <w:rPr>
                <w:noProof/>
                <w:sz w:val="18"/>
              </w:rPr>
            </w:pPr>
          </w:p>
        </w:tc>
        <w:tc>
          <w:tcPr>
            <w:tcW w:w="1325" w:type="dxa"/>
            <w:vMerge/>
          </w:tcPr>
          <w:p>
            <w:pPr>
              <w:spacing w:beforeLines="40" w:before="96" w:afterLines="40" w:after="96"/>
              <w:rPr>
                <w:i/>
                <w:noProof/>
                <w:sz w:val="18"/>
              </w:rPr>
            </w:pPr>
          </w:p>
        </w:tc>
        <w:tc>
          <w:tcPr>
            <w:tcW w:w="1031" w:type="dxa"/>
            <w:vAlign w:val="center"/>
          </w:tcPr>
          <w:p>
            <w:pPr>
              <w:jc w:val="center"/>
              <w:rPr>
                <w:noProof/>
                <w:sz w:val="18"/>
              </w:rPr>
            </w:pPr>
            <w:r>
              <w:rPr>
                <w:b/>
                <w:noProof/>
                <w:sz w:val="18"/>
              </w:rPr>
              <w:t>N.</w:t>
            </w:r>
            <w:r>
              <w:rPr>
                <w:noProof/>
              </w:rPr>
              <w:t xml:space="preserve"> </w:t>
            </w:r>
            <w:r>
              <w:rPr>
                <w:noProof/>
                <w:sz w:val="18"/>
              </w:rPr>
              <w:t>év</w:t>
            </w:r>
          </w:p>
        </w:tc>
        <w:tc>
          <w:tcPr>
            <w:tcW w:w="900" w:type="dxa"/>
            <w:vAlign w:val="center"/>
          </w:tcPr>
          <w:p>
            <w:pPr>
              <w:jc w:val="center"/>
              <w:rPr>
                <w:noProof/>
                <w:sz w:val="18"/>
              </w:rPr>
            </w:pPr>
            <w:r>
              <w:rPr>
                <w:b/>
                <w:noProof/>
                <w:sz w:val="18"/>
              </w:rPr>
              <w:t>N+1.</w:t>
            </w:r>
            <w:r>
              <w:rPr>
                <w:noProof/>
              </w:rPr>
              <w:t xml:space="preserve"> </w:t>
            </w:r>
            <w:r>
              <w:rPr>
                <w:noProof/>
                <w:sz w:val="18"/>
              </w:rPr>
              <w:t>év</w:t>
            </w:r>
          </w:p>
        </w:tc>
        <w:tc>
          <w:tcPr>
            <w:tcW w:w="900" w:type="dxa"/>
            <w:vAlign w:val="center"/>
          </w:tcPr>
          <w:p>
            <w:pPr>
              <w:jc w:val="center"/>
              <w:rPr>
                <w:noProof/>
                <w:sz w:val="18"/>
              </w:rPr>
            </w:pPr>
            <w:r>
              <w:rPr>
                <w:b/>
                <w:noProof/>
                <w:sz w:val="18"/>
              </w:rPr>
              <w:t>N+2.</w:t>
            </w:r>
            <w:r>
              <w:rPr>
                <w:noProof/>
              </w:rPr>
              <w:t xml:space="preserve"> </w:t>
            </w:r>
            <w:r>
              <w:rPr>
                <w:noProof/>
                <w:sz w:val="18"/>
              </w:rPr>
              <w:t>év</w:t>
            </w:r>
          </w:p>
        </w:tc>
        <w:tc>
          <w:tcPr>
            <w:tcW w:w="1080" w:type="dxa"/>
            <w:vAlign w:val="center"/>
          </w:tcPr>
          <w:p>
            <w:pPr>
              <w:jc w:val="center"/>
              <w:rPr>
                <w:noProof/>
                <w:sz w:val="18"/>
              </w:rPr>
            </w:pPr>
            <w:r>
              <w:rPr>
                <w:b/>
                <w:noProof/>
                <w:sz w:val="18"/>
              </w:rPr>
              <w:t>N+3.</w:t>
            </w:r>
            <w:r>
              <w:rPr>
                <w:noProof/>
              </w:rPr>
              <w:t xml:space="preserve"> </w:t>
            </w:r>
            <w:r>
              <w:rPr>
                <w:noProof/>
                <w:sz w:val="18"/>
              </w:rPr>
              <w:t>év</w:t>
            </w:r>
          </w:p>
        </w:tc>
        <w:tc>
          <w:tcPr>
            <w:tcW w:w="3240" w:type="dxa"/>
            <w:gridSpan w:val="3"/>
            <w:vAlign w:val="center"/>
          </w:tcPr>
          <w:p>
            <w:pPr>
              <w:jc w:val="center"/>
              <w:rPr>
                <w:b/>
                <w:noProof/>
                <w:sz w:val="18"/>
              </w:rPr>
            </w:pPr>
            <w:r>
              <w:rPr>
                <w:noProof/>
                <w:sz w:val="18"/>
              </w:rPr>
              <w:t>A táblázat a hatás időtartamának megfelelően (vö. 1.6. pont) további évekkel bővíthető.</w:t>
            </w:r>
          </w:p>
        </w:tc>
      </w:tr>
      <w:tr>
        <w:trPr>
          <w:trHeight w:val="388"/>
        </w:trPr>
        <w:tc>
          <w:tcPr>
            <w:tcW w:w="2144" w:type="dxa"/>
            <w:vAlign w:val="center"/>
          </w:tcPr>
          <w:p>
            <w:pPr>
              <w:spacing w:before="40" w:after="40"/>
              <w:rPr>
                <w:noProof/>
                <w:sz w:val="18"/>
              </w:rPr>
            </w:pPr>
            <w:r>
              <w:rPr>
                <w:noProof/>
                <w:sz w:val="18"/>
              </w:rPr>
              <w:t>…………. jogcímcsoport</w:t>
            </w:r>
          </w:p>
        </w:tc>
        <w:tc>
          <w:tcPr>
            <w:tcW w:w="1325" w:type="dxa"/>
          </w:tcPr>
          <w:p>
            <w:pPr>
              <w:spacing w:beforeLines="40" w:before="96" w:afterLines="40" w:after="96"/>
              <w:jc w:val="center"/>
              <w:rPr>
                <w:i/>
                <w:noProof/>
                <w:sz w:val="18"/>
              </w:rPr>
            </w:pPr>
          </w:p>
        </w:tc>
        <w:tc>
          <w:tcPr>
            <w:tcW w:w="1031"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A címzett bevételek esetében tüntesse fel az érintett kiadáshoz tartozó költségvetési sor(oka)t.</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Egyéb megjegyzések (pl. a bevételre gyakorolt hatás számítására használt módszer/képlet vagy egyéb más információ).</w:t>
      </w:r>
    </w:p>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HU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HL C , , . o.</w:t>
      </w:r>
    </w:p>
  </w:footnote>
  <w:footnote w:id="3">
    <w:p>
      <w:pPr>
        <w:pStyle w:val="FootnoteText"/>
      </w:pPr>
      <w:r>
        <w:rPr>
          <w:rStyle w:val="FootnoteReference"/>
        </w:rPr>
        <w:footnoteRef/>
      </w:r>
      <w:r>
        <w:tab/>
        <w:t>HL C , , . o.</w:t>
      </w:r>
    </w:p>
  </w:footnote>
  <w:footnote w:id="4">
    <w:p>
      <w:pPr>
        <w:pStyle w:val="FootnoteText"/>
        <w:rPr>
          <w:szCs w:val="24"/>
        </w:rPr>
      </w:pPr>
      <w:r>
        <w:rPr>
          <w:rStyle w:val="FootnoteReference"/>
        </w:rPr>
        <w:footnoteRef/>
      </w:r>
      <w:r>
        <w:tab/>
        <w:t>A költségvetési rendelet 58. cikke (2) bekezdésének a) vagy b) pontja szerint.</w:t>
      </w:r>
    </w:p>
  </w:footnote>
  <w:footnote w:id="5">
    <w:p>
      <w:pPr>
        <w:pStyle w:val="FootnoteText"/>
        <w:jc w:val="left"/>
        <w:rPr>
          <w:szCs w:val="24"/>
        </w:rPr>
      </w:pPr>
      <w:r>
        <w:rPr>
          <w:rStyle w:val="FootnoteReference"/>
        </w:rPr>
        <w:footnoteRef/>
      </w:r>
      <w:r>
        <w:tab/>
        <w:t xml:space="preserve">Az egyes irányítási módszerek ismertetése, valamint a költségvetési rendeletre való megfelelő hivatkozások megtalálhatók a Költségvetési Főigazgatóság honlapján: </w:t>
      </w:r>
      <w:hyperlink r:id="rId1" w:history="1">
        <w:r>
          <w:rPr>
            <w:rStyle w:val="Hyperlink"/>
          </w:rPr>
          <w:t>https://myintracomm.ec.europa.eu/budgweb/EN/man/budgmanag/Pages/budgmanag.aspx</w:t>
        </w:r>
      </w:hyperlink>
      <w:r>
        <w:t xml:space="preserve"> </w:t>
      </w:r>
    </w:p>
  </w:footnote>
  <w:footnote w:id="6">
    <w:p>
      <w:pPr>
        <w:pStyle w:val="FootnoteText"/>
        <w:rPr>
          <w:szCs w:val="24"/>
        </w:rPr>
      </w:pPr>
      <w:r>
        <w:rPr>
          <w:rStyle w:val="FootnoteReference"/>
        </w:rPr>
        <w:footnoteRef/>
      </w:r>
      <w:r>
        <w:tab/>
        <w:t>Diff. = Differenciált előirányzatok / Nem diff. = Nem differenciált előirányzatok.</w:t>
      </w:r>
    </w:p>
  </w:footnote>
  <w:footnote w:id="7">
    <w:p>
      <w:pPr>
        <w:pStyle w:val="FootnoteText"/>
        <w:rPr>
          <w:szCs w:val="24"/>
        </w:rPr>
      </w:pPr>
      <w:r>
        <w:rPr>
          <w:rStyle w:val="FootnoteReference"/>
        </w:rPr>
        <w:footnoteRef/>
      </w:r>
      <w:r>
        <w:tab/>
        <w:t xml:space="preserve">EFTA: Európai Szabadkereskedelmi Társulás. </w:t>
      </w:r>
    </w:p>
  </w:footnote>
  <w:footnote w:id="8">
    <w:p>
      <w:pPr>
        <w:pStyle w:val="FootnoteText"/>
        <w:rPr>
          <w:szCs w:val="24"/>
        </w:rPr>
      </w:pPr>
      <w:r>
        <w:rPr>
          <w:rStyle w:val="FootnoteReference"/>
        </w:rPr>
        <w:footnoteRef/>
      </w:r>
      <w:r>
        <w:tab/>
        <w:t>Tagjelölt országok és adott esetben a nyugat-balkáni potenciális tagjelöltek.</w:t>
      </w:r>
    </w:p>
  </w:footnote>
  <w:footnote w:id="9">
    <w:p>
      <w:pPr>
        <w:pStyle w:val="FootnoteText"/>
      </w:pPr>
      <w:r>
        <w:rPr>
          <w:rStyle w:val="FootnoteReference"/>
        </w:rPr>
        <w:footnoteRef/>
      </w:r>
      <w:r>
        <w:tab/>
        <w:t>08.0301. költségvetési tétel a 2021. költségvetési évtől.</w:t>
      </w:r>
    </w:p>
  </w:footnote>
  <w:footnote w:id="10">
    <w:p>
      <w:pPr>
        <w:pStyle w:val="FootnoteText"/>
        <w:rPr>
          <w:szCs w:val="24"/>
        </w:rPr>
      </w:pPr>
      <w:r>
        <w:rPr>
          <w:rStyle w:val="FootnoteReference"/>
        </w:rPr>
        <w:footnoteRef/>
      </w:r>
      <w:r>
        <w:tab/>
        <w:t>A kimenetek a nyújtandó termékek és szolgáltatások (pl. finanszírozott diákcserék száma, épített utak hossza kilométerben stb.).</w:t>
      </w:r>
    </w:p>
  </w:footnote>
  <w:footnote w:id="11">
    <w:p>
      <w:pPr>
        <w:pStyle w:val="FootnoteText"/>
        <w:rPr>
          <w:szCs w:val="24"/>
        </w:rPr>
      </w:pPr>
      <w:r>
        <w:rPr>
          <w:rStyle w:val="FootnoteReference"/>
        </w:rPr>
        <w:footnoteRef/>
      </w:r>
      <w:r>
        <w:tab/>
        <w:t xml:space="preserve">Az 1.4.2. szakaszban („Konkrét célkitűzés(ek)…”) feltüntetett célkitűzés. </w:t>
      </w:r>
    </w:p>
  </w:footnote>
  <w:footnote w:id="12">
    <w:p>
      <w:pPr>
        <w:pStyle w:val="FootnoteText"/>
        <w:rPr>
          <w:sz w:val="18"/>
          <w:szCs w:val="18"/>
        </w:rPr>
      </w:pPr>
      <w:r>
        <w:rPr>
          <w:rStyle w:val="FootnoteReference"/>
        </w:rPr>
        <w:footnoteRef/>
      </w:r>
      <w:r>
        <w:tab/>
      </w:r>
      <w:r>
        <w:rPr>
          <w:sz w:val="18"/>
          <w:szCs w:val="18"/>
        </w:rPr>
        <w:t>Az N. év a javaslat/kezdeményezés végrehajtásának első éve. Az „N” helyére a végrehajtás várható első évét kell beírni (például: 2021.) A következő évek esetében ugyanígy kell eljárni.</w:t>
      </w:r>
    </w:p>
  </w:footnote>
  <w:footnote w:id="13">
    <w:p>
      <w:pPr>
        <w:pStyle w:val="FootnoteText"/>
        <w:rPr>
          <w:szCs w:val="24"/>
        </w:rPr>
      </w:pPr>
      <w:r>
        <w:rPr>
          <w:rStyle w:val="FootnoteReference"/>
        </w:rPr>
        <w:footnoteRef/>
      </w:r>
      <w:r>
        <w:tab/>
      </w:r>
      <w:r>
        <w:rPr>
          <w:sz w:val="18"/>
          <w:szCs w:val="18"/>
        </w:rPr>
        <w:t>Technikai és/vagy igazgatási segítségnyújtás, valamint uniós programok és/vagy intézkedések végrehajtásához biztosított támogatási kiadások (korábban: BA-tételek), közvetett kutatás, közvetlen kutatás.</w:t>
      </w:r>
    </w:p>
  </w:footnote>
  <w:footnote w:id="14">
    <w:p>
      <w:pPr>
        <w:pStyle w:val="FootnoteText"/>
        <w:rPr>
          <w:szCs w:val="24"/>
        </w:rPr>
      </w:pPr>
      <w:r>
        <w:rPr>
          <w:rStyle w:val="FootnoteReference"/>
        </w:rPr>
        <w:footnoteRef/>
      </w:r>
      <w:r>
        <w:tab/>
        <w:t xml:space="preserve">AC = szerződéses alkalmazott; AL = helyi alkalmazott; END = kirendelt nemzeti szakértő; INT = kölcsönmunkaerő (átmeneti alkalmazott); JPD = küldöttségi pályakezdő szakértő. </w:t>
      </w:r>
    </w:p>
  </w:footnote>
  <w:footnote w:id="15">
    <w:p>
      <w:pPr>
        <w:pStyle w:val="FootnoteText"/>
        <w:rPr>
          <w:szCs w:val="24"/>
        </w:rPr>
      </w:pPr>
      <w:r>
        <w:rPr>
          <w:rStyle w:val="FootnoteReference"/>
        </w:rPr>
        <w:footnoteRef/>
      </w:r>
      <w:r>
        <w:tab/>
        <w:t>Az operatív előirányzatokból finanszírozott külső munkatársakra vonatkozó részleges felső határérték (korábban: BA-tételek).</w:t>
      </w:r>
    </w:p>
  </w:footnote>
  <w:footnote w:id="16">
    <w:p>
      <w:pPr>
        <w:pStyle w:val="FootnoteText"/>
      </w:pPr>
      <w:r>
        <w:rPr>
          <w:rStyle w:val="FootnoteReference"/>
        </w:rPr>
        <w:footnoteRef/>
      </w:r>
      <w:r>
        <w:tab/>
        <w:t>Az N. év a javaslat/kezdeményezés végrehajtásának első éve. Az „N” helyére a végrehajtás várható első évét kell beírni (például: 2021.) A következő évek esetében ugyanígy kell eljárni.</w:t>
      </w:r>
    </w:p>
  </w:footnote>
  <w:footnote w:id="17">
    <w:p>
      <w:pPr>
        <w:pStyle w:val="FootnoteText"/>
        <w:rPr>
          <w:szCs w:val="24"/>
        </w:rPr>
      </w:pPr>
      <w:r>
        <w:rPr>
          <w:rStyle w:val="FootnoteReference"/>
        </w:rPr>
        <w:footnoteRef/>
      </w:r>
      <w:r>
        <w:tab/>
        <w:t>A tradicionális saját források (vámok, cukorilletékek) tekintetében nettó összeget kell megadni, amely a 20 %-kal (beszedési költségek) csökkentett bruttó összegeknek felel meg.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994E0B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87EF0E8"/>
    <w:lvl w:ilvl="0">
      <w:start w:val="1"/>
      <w:numFmt w:val="decimal"/>
      <w:pStyle w:val="ListNumber3"/>
      <w:lvlText w:val="%1."/>
      <w:lvlJc w:val="left"/>
      <w:pPr>
        <w:tabs>
          <w:tab w:val="num" w:pos="926"/>
        </w:tabs>
        <w:ind w:left="926" w:hanging="360"/>
      </w:pPr>
    </w:lvl>
  </w:abstractNum>
  <w:abstractNum w:abstractNumId="2">
    <w:nsid w:val="FFFFFF7F"/>
    <w:multiLevelType w:val="singleLevel"/>
    <w:tmpl w:val="493AAA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50484C5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C48330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570E61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4C06B26"/>
    <w:lvl w:ilvl="0">
      <w:start w:val="1"/>
      <w:numFmt w:val="decimal"/>
      <w:pStyle w:val="ListNumber"/>
      <w:lvlText w:val="%1."/>
      <w:lvlJc w:val="left"/>
      <w:pPr>
        <w:tabs>
          <w:tab w:val="num" w:pos="360"/>
        </w:tabs>
        <w:ind w:left="360" w:hanging="360"/>
      </w:pPr>
    </w:lvl>
  </w:abstractNum>
  <w:abstractNum w:abstractNumId="7">
    <w:nsid w:val="FFFFFF89"/>
    <w:multiLevelType w:val="singleLevel"/>
    <w:tmpl w:val="27F659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5"/>
    <w:lvlOverride w:ilvl="0">
      <w:startOverride w:val="1"/>
    </w:lvlOverride>
  </w:num>
  <w:num w:numId="6">
    <w:abstractNumId w:val="6"/>
  </w:num>
  <w:num w:numId="7">
    <w:abstractNumId w:val="2"/>
  </w:num>
  <w:num w:numId="8">
    <w:abstractNumId w:val="1"/>
  </w:num>
  <w:num w:numId="9">
    <w:abstractNumId w:val="0"/>
  </w:num>
  <w:num w:numId="10">
    <w:abstractNumId w:val="8"/>
  </w:num>
  <w:num w:numId="11">
    <w:abstractNumId w:val="18"/>
  </w:num>
  <w:num w:numId="12">
    <w:abstractNumId w:val="17"/>
  </w:num>
  <w:num w:numId="13">
    <w:abstractNumId w:val="13"/>
  </w:num>
  <w:num w:numId="14">
    <w:abstractNumId w:val="23"/>
  </w:num>
  <w:num w:numId="15">
    <w:abstractNumId w:val="2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num>
  <w:num w:numId="18">
    <w:abstractNumId w:val="22"/>
  </w:num>
  <w:num w:numId="19">
    <w:abstractNumId w:val="14"/>
  </w:num>
  <w:num w:numId="20">
    <w:abstractNumId w:val="24"/>
  </w:num>
  <w:num w:numId="21">
    <w:abstractNumId w:val="12"/>
  </w:num>
  <w:num w:numId="22">
    <w:abstractNumId w:val="15"/>
  </w:num>
  <w:num w:numId="23">
    <w:abstractNumId w:val="10"/>
  </w:num>
  <w:num w:numId="24">
    <w:abstractNumId w:val="23"/>
  </w:num>
  <w:num w:numId="25">
    <w:abstractNumId w:val="9"/>
  </w:num>
  <w:num w:numId="26">
    <w:abstractNumId w:val="16"/>
  </w:num>
  <w:num w:numId="27">
    <w:abstractNumId w:val="20"/>
  </w:num>
  <w:num w:numId="28">
    <w:abstractNumId w:val="21"/>
  </w:num>
  <w:num w:numId="29">
    <w:abstractNumId w:val="11"/>
  </w:num>
  <w:num w:numId="30">
    <w:abstractNumId w:val="19"/>
  </w:num>
  <w:num w:numId="31">
    <w:abstractNumId w:val="2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07 18:32:0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BDD6584B-BDAF-48B2-A474-7DB482E095BA"/>
    <w:docVar w:name="LW_COVERPAGE_TYPE" w:val="1"/>
    <w:docVar w:name="LW_CROSSREFERENCE" w:val="&lt;UNUSED&gt;"/>
    <w:docVar w:name="LW_DocType" w:val="COM"/>
    <w:docVar w:name="LW_EMISSION" w:val="2020.4.30."/>
    <w:docVar w:name="LW_EMISSION_ISODATE" w:val="2020-04-30"/>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075"/>
    <w:docVar w:name="LW_REF.II.NEW.CP_YEAR" w:val="2020"/>
    <w:docVar w:name="LW_REF.INST.NEW" w:val="COM"/>
    <w:docVar w:name="LW_REF.INST.NEW_ADOPTED" w:val="final"/>
    <w:docVar w:name="LW_REF.INST.NEW_TEXT" w:val="(2020) 1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1305/2013/EU rendeletnek a Covid19-járványra adott válaszként az EMVA keretében nyújtandó rendkívüli ideiglenes támogatás biztosítását célzó egyedi intézkedések tekintetében történ\u337? módosításáról"/>
    <w:docVar w:name="LW_TYPE.DOC.CP" w:val="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hu-HU"/>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Bullet1">
    <w:name w:val="List Bullet 1"/>
    <w:basedOn w:val="Normal"/>
    <w:pPr>
      <w:numPr>
        <w:numId w:val="10"/>
      </w:numPr>
    </w:pPr>
    <w:rPr>
      <w:rFonts w:eastAsia="Times New Roman"/>
      <w:lang w:eastAsia="de-DE"/>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nhideWhenUsed/>
    <w:rPr>
      <w:color w:val="800080"/>
      <w:u w:val="single"/>
    </w:rPr>
  </w:style>
  <w:style w:type="character" w:customStyle="1" w:styleId="apple-converted-space">
    <w:name w:val="apple-converted-space"/>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doc-ti">
    <w:name w:val="doc-ti"/>
    <w:basedOn w:val="Normal"/>
    <w:pPr>
      <w:spacing w:before="240"/>
      <w:jc w:val="center"/>
    </w:pPr>
    <w:rPr>
      <w:rFonts w:eastAsia="Times New Roman"/>
      <w:b/>
      <w:bCs/>
      <w:lang w:eastAsia="en-GB"/>
    </w:rPr>
  </w:style>
  <w:style w:type="paragraph" w:customStyle="1" w:styleId="ListDash">
    <w:name w:val="List Dash"/>
    <w:basedOn w:val="Normal"/>
    <w:pPr>
      <w:numPr>
        <w:numId w:val="13"/>
      </w:numPr>
    </w:pPr>
    <w:rPr>
      <w:rFonts w:eastAsia="Times New Roman"/>
      <w:szCs w:val="20"/>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lang w:eastAsia="en-GB"/>
    </w:rPr>
  </w:style>
  <w:style w:type="character" w:styleId="Strong">
    <w:name w:val="Strong"/>
    <w:basedOn w:val="DefaultParagraphFont"/>
    <w:uiPriority w:val="22"/>
    <w:qFormat/>
    <w:rPr>
      <w:b/>
      <w:bCs/>
    </w:rPr>
  </w:style>
  <w:style w:type="character" w:customStyle="1" w:styleId="bold">
    <w:name w:val="bold"/>
    <w:basedOn w:val="DefaultParagraphFont"/>
    <w:rPr>
      <w:b/>
      <w:bCs/>
    </w:rPr>
  </w:style>
  <w:style w:type="paragraph" w:customStyle="1" w:styleId="ti-grseq-12">
    <w:name w:val="ti-grseq-12"/>
    <w:basedOn w:val="Normal"/>
    <w:pPr>
      <w:spacing w:before="240" w:line="312" w:lineRule="atLeast"/>
    </w:pPr>
    <w:rPr>
      <w:rFonts w:eastAsia="Times New Roman"/>
      <w:b/>
      <w:bCs/>
      <w:szCs w:val="24"/>
      <w:lang w:eastAsia="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0" w:after="150"/>
      <w:jc w:val="left"/>
    </w:pPr>
    <w:rPr>
      <w:rFonts w:eastAsia="Times New Roman"/>
      <w:szCs w:val="24"/>
      <w:lang w:eastAsia="en-GB"/>
    </w:rPr>
  </w:style>
  <w:style w:type="paragraph" w:customStyle="1" w:styleId="hidden">
    <w:name w:val="hidden"/>
    <w:basedOn w:val="Normal"/>
    <w:pPr>
      <w:spacing w:before="0" w:after="150"/>
      <w:jc w:val="left"/>
    </w:pPr>
    <w:rPr>
      <w:rFonts w:eastAsia="Times New Roman"/>
      <w:vanish/>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hu-HU"/>
    </w:rPr>
  </w:style>
  <w:style w:type="character" w:customStyle="1" w:styleId="FooterCoverPageChar">
    <w:name w:val="Footer Cover Page Char"/>
    <w:basedOn w:val="TOCHeadingChar"/>
    <w:link w:val="FooterCoverPage"/>
    <w:rPr>
      <w:rFonts w:ascii="Times New Roman" w:hAnsi="Times New Roman" w:cs="Times New Roman"/>
      <w:b w:val="0"/>
      <w:sz w:val="24"/>
      <w:lang w:val="hu-HU"/>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hu-HU"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hu-HU"/>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Bullet1">
    <w:name w:val="List Bullet 1"/>
    <w:basedOn w:val="Normal"/>
    <w:pPr>
      <w:numPr>
        <w:numId w:val="10"/>
      </w:numPr>
    </w:pPr>
    <w:rPr>
      <w:rFonts w:eastAsia="Times New Roman"/>
      <w:lang w:eastAsia="de-DE"/>
    </w:rPr>
  </w:style>
  <w:style w:type="paragraph" w:customStyle="1" w:styleId="ListDash1">
    <w:name w:val="List Dash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nhideWhenUsed/>
    <w:rPr>
      <w:color w:val="800080"/>
      <w:u w:val="single"/>
    </w:rPr>
  </w:style>
  <w:style w:type="character" w:customStyle="1" w:styleId="apple-converted-space">
    <w:name w:val="apple-converted-space"/>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lang w:eastAsia="en-GB"/>
    </w:rPr>
  </w:style>
  <w:style w:type="paragraph" w:customStyle="1" w:styleId="doc-ti">
    <w:name w:val="doc-ti"/>
    <w:basedOn w:val="Normal"/>
    <w:pPr>
      <w:spacing w:before="240"/>
      <w:jc w:val="center"/>
    </w:pPr>
    <w:rPr>
      <w:rFonts w:eastAsia="Times New Roman"/>
      <w:b/>
      <w:bCs/>
      <w:lang w:eastAsia="en-GB"/>
    </w:rPr>
  </w:style>
  <w:style w:type="paragraph" w:customStyle="1" w:styleId="ListDash">
    <w:name w:val="List Dash"/>
    <w:basedOn w:val="Normal"/>
    <w:pPr>
      <w:numPr>
        <w:numId w:val="13"/>
      </w:numPr>
    </w:pPr>
    <w:rPr>
      <w:rFonts w:eastAsia="Times New Roman"/>
      <w:szCs w:val="20"/>
      <w:lang w:eastAsia="en-GB"/>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after="0" w:line="312" w:lineRule="atLeast"/>
    </w:pPr>
    <w:rPr>
      <w:rFonts w:eastAsia="Times New Roman"/>
      <w:szCs w:val="24"/>
      <w:lang w:eastAsia="en-GB"/>
    </w:rPr>
  </w:style>
  <w:style w:type="character" w:styleId="Strong">
    <w:name w:val="Strong"/>
    <w:basedOn w:val="DefaultParagraphFont"/>
    <w:uiPriority w:val="22"/>
    <w:qFormat/>
    <w:rPr>
      <w:b/>
      <w:bCs/>
    </w:rPr>
  </w:style>
  <w:style w:type="character" w:customStyle="1" w:styleId="bold">
    <w:name w:val="bold"/>
    <w:basedOn w:val="DefaultParagraphFont"/>
    <w:rPr>
      <w:b/>
      <w:bCs/>
    </w:rPr>
  </w:style>
  <w:style w:type="paragraph" w:customStyle="1" w:styleId="ti-grseq-12">
    <w:name w:val="ti-grseq-12"/>
    <w:basedOn w:val="Normal"/>
    <w:pPr>
      <w:spacing w:before="240" w:line="312" w:lineRule="atLeast"/>
    </w:pPr>
    <w:rPr>
      <w:rFonts w:eastAsia="Times New Roman"/>
      <w:b/>
      <w:bCs/>
      <w:szCs w:val="24"/>
      <w:lang w:eastAsia="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0" w:after="150"/>
      <w:jc w:val="left"/>
    </w:pPr>
    <w:rPr>
      <w:rFonts w:eastAsia="Times New Roman"/>
      <w:szCs w:val="24"/>
      <w:lang w:eastAsia="en-GB"/>
    </w:rPr>
  </w:style>
  <w:style w:type="paragraph" w:customStyle="1" w:styleId="hidden">
    <w:name w:val="hidden"/>
    <w:basedOn w:val="Normal"/>
    <w:pPr>
      <w:spacing w:before="0" w:after="150"/>
      <w:jc w:val="left"/>
    </w:pPr>
    <w:rPr>
      <w:rFonts w:eastAsia="Times New Roman"/>
      <w:vanish/>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hu-HU"/>
    </w:rPr>
  </w:style>
  <w:style w:type="character" w:customStyle="1" w:styleId="FooterCoverPageChar">
    <w:name w:val="Footer Cover Page Char"/>
    <w:basedOn w:val="TOCHeadingChar"/>
    <w:link w:val="FooterCoverPage"/>
    <w:rPr>
      <w:rFonts w:ascii="Times New Roman" w:hAnsi="Times New Roman" w:cs="Times New Roman"/>
      <w:b w:val="0"/>
      <w:sz w:val="24"/>
      <w:lang w:val="hu-HU"/>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hu-HU"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9352">
      <w:bodyDiv w:val="1"/>
      <w:marLeft w:val="0"/>
      <w:marRight w:val="0"/>
      <w:marTop w:val="0"/>
      <w:marBottom w:val="0"/>
      <w:divBdr>
        <w:top w:val="none" w:sz="0" w:space="0" w:color="auto"/>
        <w:left w:val="none" w:sz="0" w:space="0" w:color="auto"/>
        <w:bottom w:val="none" w:sz="0" w:space="0" w:color="auto"/>
        <w:right w:val="none" w:sz="0" w:space="0" w:color="auto"/>
      </w:divBdr>
    </w:div>
    <w:div w:id="109515952">
      <w:bodyDiv w:val="1"/>
      <w:marLeft w:val="0"/>
      <w:marRight w:val="0"/>
      <w:marTop w:val="0"/>
      <w:marBottom w:val="0"/>
      <w:divBdr>
        <w:top w:val="none" w:sz="0" w:space="0" w:color="auto"/>
        <w:left w:val="none" w:sz="0" w:space="0" w:color="auto"/>
        <w:bottom w:val="none" w:sz="0" w:space="0" w:color="auto"/>
        <w:right w:val="none" w:sz="0" w:space="0" w:color="auto"/>
      </w:divBdr>
    </w:div>
    <w:div w:id="239412536">
      <w:bodyDiv w:val="1"/>
      <w:marLeft w:val="0"/>
      <w:marRight w:val="0"/>
      <w:marTop w:val="0"/>
      <w:marBottom w:val="0"/>
      <w:divBdr>
        <w:top w:val="none" w:sz="0" w:space="0" w:color="auto"/>
        <w:left w:val="none" w:sz="0" w:space="0" w:color="auto"/>
        <w:bottom w:val="none" w:sz="0" w:space="0" w:color="auto"/>
        <w:right w:val="none" w:sz="0" w:space="0" w:color="auto"/>
      </w:divBdr>
      <w:divsChild>
        <w:div w:id="48304366">
          <w:marLeft w:val="0"/>
          <w:marRight w:val="0"/>
          <w:marTop w:val="0"/>
          <w:marBottom w:val="0"/>
          <w:divBdr>
            <w:top w:val="none" w:sz="0" w:space="0" w:color="auto"/>
            <w:left w:val="none" w:sz="0" w:space="0" w:color="auto"/>
            <w:bottom w:val="none" w:sz="0" w:space="0" w:color="auto"/>
            <w:right w:val="none" w:sz="0" w:space="0" w:color="auto"/>
          </w:divBdr>
          <w:divsChild>
            <w:div w:id="517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3782">
      <w:bodyDiv w:val="1"/>
      <w:marLeft w:val="0"/>
      <w:marRight w:val="0"/>
      <w:marTop w:val="0"/>
      <w:marBottom w:val="0"/>
      <w:divBdr>
        <w:top w:val="none" w:sz="0" w:space="0" w:color="auto"/>
        <w:left w:val="none" w:sz="0" w:space="0" w:color="auto"/>
        <w:bottom w:val="none" w:sz="0" w:space="0" w:color="auto"/>
        <w:right w:val="none" w:sz="0" w:space="0" w:color="auto"/>
      </w:divBdr>
    </w:div>
    <w:div w:id="336541489">
      <w:bodyDiv w:val="1"/>
      <w:marLeft w:val="0"/>
      <w:marRight w:val="0"/>
      <w:marTop w:val="0"/>
      <w:marBottom w:val="0"/>
      <w:divBdr>
        <w:top w:val="none" w:sz="0" w:space="0" w:color="auto"/>
        <w:left w:val="none" w:sz="0" w:space="0" w:color="auto"/>
        <w:bottom w:val="none" w:sz="0" w:space="0" w:color="auto"/>
        <w:right w:val="none" w:sz="0" w:space="0" w:color="auto"/>
      </w:divBdr>
    </w:div>
    <w:div w:id="413014906">
      <w:bodyDiv w:val="1"/>
      <w:marLeft w:val="0"/>
      <w:marRight w:val="0"/>
      <w:marTop w:val="0"/>
      <w:marBottom w:val="0"/>
      <w:divBdr>
        <w:top w:val="none" w:sz="0" w:space="0" w:color="auto"/>
        <w:left w:val="none" w:sz="0" w:space="0" w:color="auto"/>
        <w:bottom w:val="none" w:sz="0" w:space="0" w:color="auto"/>
        <w:right w:val="none" w:sz="0" w:space="0" w:color="auto"/>
      </w:divBdr>
    </w:div>
    <w:div w:id="759641325">
      <w:bodyDiv w:val="1"/>
      <w:marLeft w:val="0"/>
      <w:marRight w:val="0"/>
      <w:marTop w:val="0"/>
      <w:marBottom w:val="0"/>
      <w:divBdr>
        <w:top w:val="none" w:sz="0" w:space="0" w:color="auto"/>
        <w:left w:val="none" w:sz="0" w:space="0" w:color="auto"/>
        <w:bottom w:val="none" w:sz="0" w:space="0" w:color="auto"/>
        <w:right w:val="none" w:sz="0" w:space="0" w:color="auto"/>
      </w:divBdr>
    </w:div>
    <w:div w:id="792333122">
      <w:bodyDiv w:val="1"/>
      <w:marLeft w:val="0"/>
      <w:marRight w:val="0"/>
      <w:marTop w:val="0"/>
      <w:marBottom w:val="0"/>
      <w:divBdr>
        <w:top w:val="none" w:sz="0" w:space="0" w:color="auto"/>
        <w:left w:val="none" w:sz="0" w:space="0" w:color="auto"/>
        <w:bottom w:val="none" w:sz="0" w:space="0" w:color="auto"/>
        <w:right w:val="none" w:sz="0" w:space="0" w:color="auto"/>
      </w:divBdr>
    </w:div>
    <w:div w:id="840584757">
      <w:bodyDiv w:val="1"/>
      <w:marLeft w:val="0"/>
      <w:marRight w:val="0"/>
      <w:marTop w:val="0"/>
      <w:marBottom w:val="0"/>
      <w:divBdr>
        <w:top w:val="none" w:sz="0" w:space="0" w:color="auto"/>
        <w:left w:val="none" w:sz="0" w:space="0" w:color="auto"/>
        <w:bottom w:val="none" w:sz="0" w:space="0" w:color="auto"/>
        <w:right w:val="none" w:sz="0" w:space="0" w:color="auto"/>
      </w:divBdr>
    </w:div>
    <w:div w:id="1020399835">
      <w:bodyDiv w:val="1"/>
      <w:marLeft w:val="0"/>
      <w:marRight w:val="0"/>
      <w:marTop w:val="0"/>
      <w:marBottom w:val="0"/>
      <w:divBdr>
        <w:top w:val="none" w:sz="0" w:space="0" w:color="auto"/>
        <w:left w:val="none" w:sz="0" w:space="0" w:color="auto"/>
        <w:bottom w:val="none" w:sz="0" w:space="0" w:color="auto"/>
        <w:right w:val="none" w:sz="0" w:space="0" w:color="auto"/>
      </w:divBdr>
    </w:div>
    <w:div w:id="1036199854">
      <w:bodyDiv w:val="1"/>
      <w:marLeft w:val="0"/>
      <w:marRight w:val="0"/>
      <w:marTop w:val="0"/>
      <w:marBottom w:val="0"/>
      <w:divBdr>
        <w:top w:val="none" w:sz="0" w:space="0" w:color="auto"/>
        <w:left w:val="none" w:sz="0" w:space="0" w:color="auto"/>
        <w:bottom w:val="none" w:sz="0" w:space="0" w:color="auto"/>
        <w:right w:val="none" w:sz="0" w:space="0" w:color="auto"/>
      </w:divBdr>
    </w:div>
    <w:div w:id="1058164167">
      <w:bodyDiv w:val="1"/>
      <w:marLeft w:val="0"/>
      <w:marRight w:val="0"/>
      <w:marTop w:val="0"/>
      <w:marBottom w:val="0"/>
      <w:divBdr>
        <w:top w:val="none" w:sz="0" w:space="0" w:color="auto"/>
        <w:left w:val="none" w:sz="0" w:space="0" w:color="auto"/>
        <w:bottom w:val="none" w:sz="0" w:space="0" w:color="auto"/>
        <w:right w:val="none" w:sz="0" w:space="0" w:color="auto"/>
      </w:divBdr>
    </w:div>
    <w:div w:id="1251161004">
      <w:bodyDiv w:val="1"/>
      <w:marLeft w:val="0"/>
      <w:marRight w:val="0"/>
      <w:marTop w:val="0"/>
      <w:marBottom w:val="0"/>
      <w:divBdr>
        <w:top w:val="none" w:sz="0" w:space="0" w:color="auto"/>
        <w:left w:val="none" w:sz="0" w:space="0" w:color="auto"/>
        <w:bottom w:val="none" w:sz="0" w:space="0" w:color="auto"/>
        <w:right w:val="none" w:sz="0" w:space="0" w:color="auto"/>
      </w:divBdr>
    </w:div>
    <w:div w:id="1256859194">
      <w:bodyDiv w:val="1"/>
      <w:marLeft w:val="0"/>
      <w:marRight w:val="0"/>
      <w:marTop w:val="0"/>
      <w:marBottom w:val="0"/>
      <w:divBdr>
        <w:top w:val="none" w:sz="0" w:space="0" w:color="auto"/>
        <w:left w:val="none" w:sz="0" w:space="0" w:color="auto"/>
        <w:bottom w:val="none" w:sz="0" w:space="0" w:color="auto"/>
        <w:right w:val="none" w:sz="0" w:space="0" w:color="auto"/>
      </w:divBdr>
    </w:div>
    <w:div w:id="1294874134">
      <w:bodyDiv w:val="1"/>
      <w:marLeft w:val="0"/>
      <w:marRight w:val="0"/>
      <w:marTop w:val="0"/>
      <w:marBottom w:val="0"/>
      <w:divBdr>
        <w:top w:val="none" w:sz="0" w:space="0" w:color="auto"/>
        <w:left w:val="none" w:sz="0" w:space="0" w:color="auto"/>
        <w:bottom w:val="none" w:sz="0" w:space="0" w:color="auto"/>
        <w:right w:val="none" w:sz="0" w:space="0" w:color="auto"/>
      </w:divBdr>
    </w:div>
    <w:div w:id="1403678544">
      <w:bodyDiv w:val="1"/>
      <w:marLeft w:val="0"/>
      <w:marRight w:val="0"/>
      <w:marTop w:val="0"/>
      <w:marBottom w:val="0"/>
      <w:divBdr>
        <w:top w:val="none" w:sz="0" w:space="0" w:color="auto"/>
        <w:left w:val="none" w:sz="0" w:space="0" w:color="auto"/>
        <w:bottom w:val="none" w:sz="0" w:space="0" w:color="auto"/>
        <w:right w:val="none" w:sz="0" w:space="0" w:color="auto"/>
      </w:divBdr>
    </w:div>
    <w:div w:id="1948852339">
      <w:bodyDiv w:val="1"/>
      <w:marLeft w:val="0"/>
      <w:marRight w:val="0"/>
      <w:marTop w:val="0"/>
      <w:marBottom w:val="0"/>
      <w:divBdr>
        <w:top w:val="none" w:sz="0" w:space="0" w:color="auto"/>
        <w:left w:val="none" w:sz="0" w:space="0" w:color="auto"/>
        <w:bottom w:val="none" w:sz="0" w:space="0" w:color="auto"/>
        <w:right w:val="none" w:sz="0" w:space="0" w:color="auto"/>
      </w:divBdr>
    </w:div>
    <w:div w:id="1983999061">
      <w:bodyDiv w:val="1"/>
      <w:marLeft w:val="0"/>
      <w:marRight w:val="0"/>
      <w:marTop w:val="0"/>
      <w:marBottom w:val="0"/>
      <w:divBdr>
        <w:top w:val="none" w:sz="0" w:space="0" w:color="auto"/>
        <w:left w:val="none" w:sz="0" w:space="0" w:color="auto"/>
        <w:bottom w:val="none" w:sz="0" w:space="0" w:color="auto"/>
        <w:right w:val="none" w:sz="0" w:space="0" w:color="auto"/>
      </w:divBdr>
    </w:div>
    <w:div w:id="2069644947">
      <w:bodyDiv w:val="1"/>
      <w:marLeft w:val="0"/>
      <w:marRight w:val="0"/>
      <w:marTop w:val="0"/>
      <w:marBottom w:val="0"/>
      <w:divBdr>
        <w:top w:val="none" w:sz="0" w:space="0" w:color="auto"/>
        <w:left w:val="none" w:sz="0" w:space="0" w:color="auto"/>
        <w:bottom w:val="none" w:sz="0" w:space="0" w:color="auto"/>
        <w:right w:val="none" w:sz="0" w:space="0" w:color="auto"/>
      </w:divBdr>
    </w:div>
    <w:div w:id="2147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budgweb/EN/leg/internal/Documents/2016-5-legislative-financial-statement-ann-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62e97ea9-7ea3-481f-81a3-2d45a5a9b393">Not Started</EC_Collab_Status>
    <EC_Collab_DocumentLanguage xmlns="62e97ea9-7ea3-481f-81a3-2d45a5a9b393">EN</EC_Collab_DocumentLanguage>
    <EC_Collab_Reference xmlns="62e97ea9-7ea3-481f-81a3-2d45a5a9b39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934AA0B36B1384886ADB3E40549A2B0" ma:contentTypeVersion="0" ma:contentTypeDescription="Create a new document in this library." ma:contentTypeScope="" ma:versionID="2ccea2f6a9419b2cc6372d603c4d829b">
  <xsd:schema xmlns:xsd="http://www.w3.org/2001/XMLSchema" xmlns:xs="http://www.w3.org/2001/XMLSchema" xmlns:p="http://schemas.microsoft.com/office/2006/metadata/properties" xmlns:ns2="http://schemas.microsoft.com/sharepoint/v3/fields" xmlns:ns3="62e97ea9-7ea3-481f-81a3-2d45a5a9b393" targetNamespace="http://schemas.microsoft.com/office/2006/metadata/properties" ma:root="true" ma:fieldsID="e99a88584d72bb20f25083a2210d0d03" ns2:_="" ns3:_="">
    <xsd:import namespace="http://schemas.microsoft.com/sharepoint/v3/fields"/>
    <xsd:import namespace="62e97ea9-7ea3-481f-81a3-2d45a5a9b393"/>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e97ea9-7ea3-481f-81a3-2d45a5a9b39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716F78-C311-4872-8C4A-C603A696F179}">
  <ds:schemaRefs>
    <ds:schemaRef ds:uri="62e97ea9-7ea3-481f-81a3-2d45a5a9b39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93A58C45-29C4-4014-94DF-4206643B6015}">
  <ds:schemaRefs>
    <ds:schemaRef ds:uri="http://schemas.microsoft.com/sharepoint/v3/contenttype/forms"/>
  </ds:schemaRefs>
</ds:datastoreItem>
</file>

<file path=customXml/itemProps3.xml><?xml version="1.0" encoding="utf-8"?>
<ds:datastoreItem xmlns:ds="http://schemas.openxmlformats.org/officeDocument/2006/customXml" ds:itemID="{DCE3FE85-EE68-4FCA-AD13-79181A2C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2e97ea9-7ea3-481f-81a3-2d45a5a9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27886-4584-4023-ACC1-528347FA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22</Pages>
  <Words>3518</Words>
  <Characters>25827</Characters>
  <Application>Microsoft Office Word</Application>
  <DocSecurity>0</DocSecurity>
  <Lines>1359</Lines>
  <Paragraphs>514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2020-05-07T12:30:00Z</dcterms:created>
  <dcterms:modified xsi:type="dcterms:W3CDTF">2020-05-07T16:32:00Z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0x010100258AA79CEB83498886A3A08681123250009934AA0B36B1384886ADB3E40549A2B0</vt:lpwstr>
  </property>
  <property fmtid="{D5CDD505-2E9C-101B-9397-08002B2CF9AE}" pid="11" name="DQCStatus">
    <vt:lpwstr>Green (DQC version 03)</vt:lpwstr>
  </property>
  <property name="OP_sanitized" fmtid="{D5CDD505-2E9C-101B-9397-08002B2CF9AE}" pid="12">
    <vt:lpwstr>True</vt:lpwstr>
  </property>
</Properties>
</file>