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80CCC9CD-8C4C-4482-BFE5-8523F74C2379" style="width:450.8pt;height:320.25pt">
            <v:imagedata r:id="rId12" o:title=""/>
          </v:shape>
        </w:pict>
      </w:r>
    </w:p>
    <w:bookmarkEnd w:id="0"/>
    <w:p>
      <w:pPr>
        <w:rPr>
          <w:noProof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rPr>
          <w:rFonts w:ascii="Times New Roman" w:hAnsi="Times New Roman" w:cs="Times New Roman"/>
          <w:b/>
          <w:smallCaps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smallCaps/>
          <w:noProof/>
          <w:sz w:val="24"/>
          <w:szCs w:val="24"/>
        </w:rPr>
        <w:lastRenderedPageBreak/>
        <w:t>KÖVETKEZTETÉSEK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Balti-tenger tengeri környezetének, valamint a Balti-tenger halállományainak alakulását hosszú távú tendenciák határozták meg már jóval a többéves állománygazdálkodási terv 2016-os hatálybalépése előtt.</w:t>
      </w:r>
      <w:r>
        <w:rPr>
          <w:rFonts w:ascii="Times New Roman" w:hAnsi="Times New Roman"/>
          <w:b/>
          <w:noProof/>
          <w:sz w:val="24"/>
          <w:szCs w:val="24"/>
        </w:rPr>
        <w:t xml:space="preserve"> A Balti-tengeren folytatott halászat alakulásának gyökerei és okai sok évre nyúlnak vissza.</w:t>
      </w:r>
      <w:r>
        <w:rPr>
          <w:rFonts w:ascii="Times New Roman" w:hAnsi="Times New Roman"/>
          <w:noProof/>
          <w:sz w:val="24"/>
          <w:szCs w:val="24"/>
        </w:rPr>
        <w:t xml:space="preserve"> A halászat sok éven át mérsékelten kedvező módon fejlődött. Ma azonban egyes állományokat, elsősorban a közönséges tőkehalnak a Balti-tenger keleti részén élő állományát az összeomlás fenyegeti, amelyet olyan hatások okoznak, amelyek már jóval 2016 előtt elkezdődtek. Miközben a többéves állománygazdálkodási terv végrehajtásának eredményeképpen 2016 óta csökkent a halászati terhelés, más mortalitási tényezők váltak meghatározóvá egyes fajok vonatkozásában. A Balti-tenger keleti részén élő közönséges tőkehal esetében például a tudósok úgy vélik, hogy a környezeti terhelések háromszor annyi hal pusztulását okozzák, mint a tényleges halászat.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A megkérdezett </w:t>
      </w:r>
      <w:r>
        <w:rPr>
          <w:rFonts w:ascii="Times New Roman" w:hAnsi="Times New Roman"/>
          <w:b/>
          <w:noProof/>
          <w:sz w:val="24"/>
          <w:szCs w:val="24"/>
        </w:rPr>
        <w:t>érdekelt felek és tagállamok eltérően vélekednek a többéves állománygazdálkodási tervről</w:t>
      </w:r>
      <w:r>
        <w:rPr>
          <w:rFonts w:ascii="Times New Roman" w:hAnsi="Times New Roman"/>
          <w:noProof/>
          <w:sz w:val="24"/>
          <w:szCs w:val="24"/>
        </w:rPr>
        <w:t>. A tagállamok szerint még túl korai értékelni a többéves állománygazdálkodási terv hatásait, viszont lehetőséget látnak arra, hogy a többéves állománygazdálkodási terv a halászati gazdálkodás fontosabb eszközévé váljon, mivel minden olyan elemet tartalmaz, amelyre szükség van a vonatkozó célkitűzések eléréséhez. A Balti-tengeri Tanácsadó Testület és annak tagjai azonban többnyire elutasító álláspontot képviselnek. A halászati ágazat gazdasági megfontolásból támogatná a felső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-tartomány szélesebb körű alkalmazását. A korábbi tapasztalatok azonban azt mutatják, hogy a rossz állapotban lévő állományok túlzott mértékű halászata rövid távú szemléletre vall, valamint túlhalászathoz és a halászati ágazat összeomlásához vezet. Ezzel szemben az NGO-k szerint a felső tartomány nem áll összhangban a maximális fenntartható hozammal (MFH). A Bizottság ezzel nem ért egyet, mivel a teljes tartomány összhangban áll az MFH-val, ami a társjogalkotók által 2014-ben elfogadott hosszú távú gazdasági koncepció.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Bizottság szerint a Balti-tengerre vonatkozó többéves terv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"/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>hasznos eszköznek bizonyult a közös halászati politika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2"/>
      </w:r>
      <w:r>
        <w:rPr>
          <w:rFonts w:ascii="Times New Roman" w:hAnsi="Times New Roman"/>
          <w:b/>
          <w:noProof/>
          <w:sz w:val="24"/>
          <w:szCs w:val="24"/>
        </w:rPr>
        <w:t xml:space="preserve"> végrehajtása során</w:t>
      </w:r>
      <w:r>
        <w:rPr>
          <w:rFonts w:ascii="Times New Roman" w:hAnsi="Times New Roman"/>
          <w:noProof/>
          <w:sz w:val="24"/>
          <w:szCs w:val="24"/>
        </w:rPr>
        <w:t xml:space="preserve">, kiváltképp a halászati lehetőségek meghatározása tekintetében. Átlátható szabályokat biztosít a regionális igényekhez igazított halászati gazdálkodás számára. Az adatgazdag (vagy MFH szerinti) értékeléssel rendelkező halállományok vonatkozásában a terv meghatározza az évenkénti teljes kifogható mennyiség (TAC) felső határértékeit, miközben bizonyos </w:t>
      </w:r>
      <w:r>
        <w:rPr>
          <w:rFonts w:ascii="Times New Roman" w:hAnsi="Times New Roman"/>
          <w:b/>
          <w:bCs/>
          <w:noProof/>
          <w:sz w:val="24"/>
          <w:szCs w:val="24"/>
        </w:rPr>
        <w:t>rugalmasságot tesz lehetővé az egészséges állományok tekintetében</w:t>
      </w:r>
      <w:r>
        <w:rPr>
          <w:rFonts w:ascii="Times New Roman" w:hAnsi="Times New Roman"/>
          <w:noProof/>
          <w:sz w:val="24"/>
          <w:szCs w:val="24"/>
        </w:rPr>
        <w:t xml:space="preserve">. A terv </w:t>
      </w:r>
      <w:r>
        <w:rPr>
          <w:rFonts w:ascii="Times New Roman" w:hAnsi="Times New Roman"/>
          <w:b/>
          <w:noProof/>
          <w:sz w:val="24"/>
          <w:szCs w:val="24"/>
        </w:rPr>
        <w:t>biztonsági hálót</w:t>
      </w:r>
      <w:r>
        <w:rPr>
          <w:rFonts w:ascii="Times New Roman" w:hAnsi="Times New Roman"/>
          <w:noProof/>
          <w:sz w:val="24"/>
          <w:szCs w:val="24"/>
        </w:rPr>
        <w:t xml:space="preserve"> hoz létre a terhelésnek kitett állományok számára, amelyek esetében már olyan kevés a hal a tengerben, hogy a veszélyes minimális szintet sem érik el. A biztonsági háló a terhelésnek kitett állományok esetében biztosítja a kvóták minimálisra csökkentését, valamint az állományok helyreállítására irányuló további korrekciós intézkedések megtételét.</w:t>
      </w:r>
    </w:p>
    <w:p>
      <w:p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A Bizottság úgy látja, hogy </w:t>
      </w:r>
      <w:r>
        <w:rPr>
          <w:rFonts w:ascii="Times New Roman" w:hAnsi="Times New Roman"/>
          <w:b/>
          <w:noProof/>
          <w:sz w:val="24"/>
          <w:szCs w:val="24"/>
        </w:rPr>
        <w:t>a Tanács által</w:t>
      </w:r>
      <w:r>
        <w:rPr>
          <w:rFonts w:ascii="Times New Roman" w:hAnsi="Times New Roman"/>
          <w:noProof/>
          <w:sz w:val="24"/>
          <w:szCs w:val="24"/>
        </w:rPr>
        <w:t xml:space="preserve"> a balti-tengeri állományokkal kapcsolatban </w:t>
      </w:r>
      <w:r>
        <w:rPr>
          <w:rFonts w:ascii="Times New Roman" w:hAnsi="Times New Roman"/>
          <w:b/>
          <w:noProof/>
          <w:sz w:val="24"/>
          <w:szCs w:val="24"/>
        </w:rPr>
        <w:t>hozott fenntartható és olykor nehéz döntéseket a biztonsági hálót rugalmasságokkal ötvöző, többéves állománygazdálkodási tervvel</w:t>
      </w:r>
      <w:r>
        <w:rPr>
          <w:rFonts w:ascii="Times New Roman" w:hAnsi="Times New Roman"/>
          <w:noProof/>
          <w:sz w:val="24"/>
          <w:szCs w:val="24"/>
        </w:rPr>
        <w:t xml:space="preserve"> létrehozott keret </w:t>
      </w:r>
      <w:r>
        <w:rPr>
          <w:rFonts w:ascii="Times New Roman" w:hAnsi="Times New Roman"/>
          <w:b/>
          <w:noProof/>
          <w:sz w:val="24"/>
          <w:szCs w:val="24"/>
        </w:rPr>
        <w:t>tette lehetővé</w:t>
      </w:r>
      <w:r>
        <w:rPr>
          <w:rFonts w:ascii="Times New Roman" w:hAnsi="Times New Roman"/>
          <w:noProof/>
          <w:sz w:val="24"/>
          <w:szCs w:val="24"/>
        </w:rPr>
        <w:t>. Többéves állománygazdálkodási terv nélkül nagyon nehéz lett volna megállapodni a határérték alatti állományok helyreállítását segítő korrekciós intézkedésekről, és valószínűleg magasabb kvótaszintek kerültek volna meghatározásra. Másrészről a többéves állománygazdálkodási terv rugalmasságot biztosított az egészséges állományok vonatkozásában, lehetővé téve a felső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 xml:space="preserve">-tartomány alkalmazását a kvóták jelentős mértékű csökkenésének ellensúlyozása érdekében. A többéves állománygazdálkodási tervnek köszönhetően ma minden 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halászati tevékenység irányítása az MFH-val összhangban történik, illetve olyan intézkedések bevezetésére kerül sor, amelyek arra irányulnak, hogy a halászati tevékenységeket ismét összhangba hozzák az MFH-val, megteremtve ezzel a halászati iparág és a kapcsolódó ágazatok hosszú távú nyereségességének az alapjait.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A Bizottság ezért arra a megállapításra jutott, hogy </w:t>
      </w: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t>a többéves állománygazdálkodási terv stabil, hosszú távú eszközt jelent a közös halászati politika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Balti-tengeren történő </w:t>
      </w: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t>végrehajtásához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mivel </w:t>
      </w: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t>kevesebb bizonytalanságra ad lehetőséget a kvóták meghatározása terén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t>korrekciós intézkedéseket biztosít a terhelésnek kitett állományok tekintetében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/>
          <w:noProof/>
          <w:sz w:val="24"/>
          <w:szCs w:val="24"/>
        </w:rPr>
        <w:t>átláthatóbbá teszi a kvóták meghatározásának folyamatát</w:t>
      </w:r>
      <w:r>
        <w:rPr>
          <w:rFonts w:ascii="Times New Roman" w:hAnsi="Times New Roman"/>
          <w:noProof/>
          <w:sz w:val="24"/>
          <w:szCs w:val="24"/>
        </w:rPr>
        <w:t xml:space="preserve"> az érdekelt felek és a tagállamok számára, és </w:t>
      </w:r>
      <w:r>
        <w:rPr>
          <w:rFonts w:ascii="Times New Roman" w:hAnsi="Times New Roman"/>
          <w:b/>
          <w:noProof/>
          <w:sz w:val="24"/>
          <w:szCs w:val="24"/>
        </w:rPr>
        <w:t>lehetővé teszi a halászati iparág számára a halászati tevékenységek hatékonyabb tervezését</w:t>
      </w:r>
      <w:r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br w:type="page"/>
      </w:r>
    </w:p>
    <w:p>
      <w:pPr>
        <w:pStyle w:val="ListParagraph"/>
        <w:numPr>
          <w:ilvl w:val="0"/>
          <w:numId w:val="3"/>
        </w:numPr>
        <w:spacing w:after="160"/>
        <w:ind w:left="357" w:hanging="357"/>
        <w:contextualSpacing w:val="0"/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lastRenderedPageBreak/>
        <w:t>Bevezetés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többéves tervekkel foglalkozó intézményközi munkacsoporton belül az Európai Parlament és a Tanács között 2014-ben létrejött megállapodás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3"/>
      </w:r>
      <w:r>
        <w:rPr>
          <w:rFonts w:ascii="Times New Roman" w:hAnsi="Times New Roman"/>
          <w:noProof/>
          <w:sz w:val="24"/>
          <w:szCs w:val="24"/>
        </w:rPr>
        <w:t xml:space="preserve"> lehetővé tette az első többéves állománygazdálkodási terv elfogadását 2016-ban, a Balti-tengerrel kapcsolatban. A többéves állománygazdálkodási terv értelmében a Bizottságnak jelentést kell készítenie a társjogalkotók részére a tervnek az állományokra, valamint az ezen állományok halászatára gyakorolt hatásáról és eredményeiről, különös tekintettel a többéves állománygazdálkodási tervben foglalt célkitűzések elérésére. Ez az első ilyen jelentés.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többéves állománygazdálkodási terv célkitűzései a következők: hozzá kell járulnia a közös halászati politika célkitűzéseinek megvalósításához; törekednie kell annak biztosítására, hogy a halászat során visszaállítsák a halállományokat az MFH-t biztosítani képes szint fölé, és fenntartsák ezt a szintet; a nem kívánt fogások elkerülésével és csökkentésével hozzá kell járulnia a visszadobások megszüntetéséhez és az érintett fajokra vonatkozó kirakodási kötelezettség teljesítéséhez, valamint ökoszisztéma-alapú megközelítést kell alkalmaznia a halászati tevékenységek által a környezetre gyakorolt kedvezőtlen hatások minimalizálása érdekében. A munkacsoport megállapodott abban, és a későbbiekben a társjogalkotók úgy döntöttek, hogy a halászati mortalitás célértékét a maximális fenntartható hozamnak megfelelő értékek tartományaként kell meghatározni (felső és alsó értékhatárokkal). Meg kell jegyezni, hogy a teljes tartomány összhangban áll az MFH-val, ami egy hosszú távra szóló gazdasági koncepció. A többéves állománygazdálkodási terv átlátható szabályokat tartalmaz a halállományok halászati lehetőségeinek meghatározására az MFH elérésének értékelésével. Ezenfelül az ellenőrzésre vonatkozó különleges szabályokat tartalmaz, valamint magában foglalja a Bizottság arra szóló felhatalmazását, hogy felhatalmazáson alapuló jogi aktusokat fogadjon el egyes járulékosan kifogott állományokra, a kirakodási kötelezettség alóli mentességekre és technikai intézkedésekre vonatkozóan.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többéves állománygazdálkodási terv hatálya alá tartozó célfajok a közönséges tőkehal, a hering és a spratt, valamint a sima lepényhal, az érdes lepényhal, a nagy rombuszhal és a sima rombuszhal járulékos fogásai.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4"/>
      </w:r>
      <w:r>
        <w:rPr>
          <w:rFonts w:ascii="Times New Roman" w:hAnsi="Times New Roman"/>
          <w:noProof/>
          <w:sz w:val="24"/>
          <w:szCs w:val="24"/>
        </w:rPr>
        <w:t xml:space="preserve"> A célfajok a Balti-tengeren kifogott teljes mennyiség 95 %-át teszik ki.</w:t>
      </w:r>
      <w:bookmarkStart w:id="2" w:name="_Ref14254734"/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5"/>
      </w:r>
      <w:bookmarkEnd w:id="2"/>
      <w:r>
        <w:rPr>
          <w:rFonts w:ascii="Times New Roman" w:hAnsi="Times New Roman"/>
          <w:noProof/>
          <w:sz w:val="24"/>
          <w:szCs w:val="24"/>
        </w:rPr>
        <w:t xml:space="preserve"> Az éves balti-tengeri halászati lehetőségekről szóló tanácsi rendeletek évenkénti teljes kifogható mennyiségeket és nemzeti kvótákat határoznak meg a célállományok, valamint a sima lepényhal és a lazac vonatkozásában.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többéves állománygazdálkodási terv első alkalommal a 2017. január 1-jén kezdődő halászati idény vonatkozásában került alkalmazásra. Mivel a Balti-tengerre vonatkozó többéves állománygazdálkodási terv az első volt a maga nemében, mintául szolgált az Északi-tengerre, a nyugati vizekre és a Nyugat-Mediterrán Térségre vonatkozó későbbi többéves állománygazdálkodási tervekhez. A Balti-tengerre vonatkozó többéves állománygazdálkodási tervvel kapcsolatban szerzett tapasztalatok alapján sor került ezen többéves állománygazdálkodási terv továbbfejlesztésére, valamint a későbbi többéves állománygazdálkodási tervek kidolgozására.</w:t>
      </w:r>
    </w:p>
    <w:p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Ez a jelentés az érintett balti-tengeri állományokra vonatkozó legutóbbi ICES-szakvéleményen</w:t>
      </w:r>
      <w:bookmarkStart w:id="3" w:name="_Ref14333663"/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6"/>
      </w:r>
      <w:bookmarkEnd w:id="3"/>
      <w:r>
        <w:rPr>
          <w:rFonts w:ascii="Times New Roman" w:hAnsi="Times New Roman"/>
          <w:noProof/>
          <w:sz w:val="24"/>
          <w:szCs w:val="24"/>
        </w:rPr>
        <w:t>, az ICES-től kért ad hoc különleges szakvéleményen</w:t>
      </w:r>
      <w:bookmarkStart w:id="4" w:name="_Ref14364402"/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7"/>
      </w:r>
      <w:bookmarkEnd w:id="4"/>
      <w:r>
        <w:rPr>
          <w:rFonts w:ascii="Times New Roman" w:hAnsi="Times New Roman"/>
          <w:noProof/>
          <w:sz w:val="24"/>
          <w:szCs w:val="24"/>
        </w:rPr>
        <w:t>, a kirakodási kötelezettségről szóló 2018. évi nemzeti jelentéseknek a Bizottság Halászati Tudományos, Műszaki és Gazdasági Bizottsága (HTMGB)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8"/>
      </w:r>
      <w:r>
        <w:rPr>
          <w:rFonts w:ascii="Times New Roman" w:hAnsi="Times New Roman"/>
          <w:noProof/>
          <w:sz w:val="24"/>
          <w:szCs w:val="24"/>
        </w:rPr>
        <w:t xml:space="preserve"> általi elemzésén</w:t>
      </w:r>
      <w:bookmarkStart w:id="5" w:name="_Ref14254559"/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9"/>
      </w:r>
      <w:bookmarkEnd w:id="5"/>
      <w:r>
        <w:rPr>
          <w:rFonts w:ascii="Times New Roman" w:hAnsi="Times New Roman"/>
          <w:noProof/>
          <w:sz w:val="24"/>
          <w:szCs w:val="24"/>
        </w:rPr>
        <w:t>, valamint a Bizottság rendelkezésére álló információkon alapul. Ezenfelül a Bizottság kikérte a balti-tengeri tagállamok csoportja (BALTFISH), a Balti-tengeri Tanácsadó Testület és annak tagjai véleményét is.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0"/>
      </w:r>
      <w:r>
        <w:rPr>
          <w:rFonts w:ascii="Times New Roman" w:hAnsi="Times New Roman"/>
          <w:noProof/>
          <w:sz w:val="24"/>
          <w:szCs w:val="24"/>
        </w:rPr>
        <w:t xml:space="preserve"> Ez a jelentés tehát bemutatja a többéves állománygazdálkodási terv végrehajtása által érintett területeken elért fejleményeket, és arra törekszik, hogy következtetéseket vonjon le a végrehajtás első hároméves időszakát (2017–2019), valamint a többéves állománygazdálkodási terv alapján négy egymást követő évre (2017–2020) meghatározott halászati lehetőségeket követően.</w:t>
      </w:r>
    </w:p>
    <w:p>
      <w:pPr>
        <w:pStyle w:val="ListParagraph"/>
        <w:numPr>
          <w:ilvl w:val="0"/>
          <w:numId w:val="3"/>
        </w:numPr>
        <w:spacing w:after="160"/>
        <w:ind w:left="357" w:hanging="357"/>
        <w:contextualSpacing w:val="0"/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t>Fejlemények az érintett területeken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jelentés középpontjában a 2016 óta az alábbi öt fő területen végbement fejlemények állnak: halászati szintek, visszadobások, ökoszisztéma-alapú megközelítés, regionális együttműködés és társadalmi-gazdasági szempontok.</w:t>
      </w:r>
    </w:p>
    <w:p>
      <w:pPr>
        <w:pStyle w:val="ListParagraph"/>
        <w:numPr>
          <w:ilvl w:val="1"/>
          <w:numId w:val="3"/>
        </w:numPr>
        <w:spacing w:after="160"/>
        <w:contextualSpacing w:val="0"/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t>A 2017 óta meghatározott halászati lehetőségek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  <w:highlight w:val="green"/>
        </w:rPr>
      </w:pPr>
      <w:r>
        <w:rPr>
          <w:rFonts w:ascii="Times New Roman" w:hAnsi="Times New Roman"/>
          <w:noProof/>
          <w:sz w:val="24"/>
          <w:szCs w:val="24"/>
        </w:rPr>
        <w:t>2019-ig a nyolc állományból hét állomány tekintetében állt rendelkezésre az MFH-értékelés; a Balti-tenger keleti részén élő közönséges tőkehal tekintetében nem állt rendelkezésre ilyen értékelés. 2020-ban már nem állt rendelkezésre ilyen értékelés a Botteni-öbölben élő heringállományra vonatkozóan.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teljes kifogható mennyiségek négy alkalommal történő meghatározása során – a többéves állománygazdálkodási terv 2016. júliusi hatálybalépése óta – összesen 32 esetben kellett elvégezni a többéves állománygazdálkodási terv hatálya alá tartozó TAC meghatározását, amelyből 24 esetben egyértelmű volt a helyzet, míg 8 esetben további elemekre volt szükség ennek kapcsán.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1"/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24 egyértelmű eset közül 23 esetben a Bizottság azt javasolta, hogy a teljes kifogható mennyiségek az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 xml:space="preserve"> pontértékén vagy az alsó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-tartományban kerüljenek meghatározásra. Egy esetben (a Balti-tenger középső részén élő heringállomány esetében 2019-re vonatkozóan) a Bizottság a többéves állománygazdálkodási tervvel összhangban azt javasolta, hogy a TAC az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 xml:space="preserve"> legmagasabb értékén kerüljön meghatározásra, amit a Tanács elfogadott. A fent említett 24 eset közül a Tanács 16 esetben követte a Bizottság ajánlását, két esetben úgy döntött, hogy a Bizottság által javasolt szint alatt határozza meg a teljes kifogható mennyiségeket (a spratt esetében 2017-re vonatkozóan és a középső heringállomány esetében 2018-ra vonatkozóan), öt esetben pedig megemelte a teljes kifogható mennyiséget a többéves állománygazdálkodási terv szerint alkalmazandó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-tartományokon belül (a Rigai-öbölben élő heringállomány esetében 2017-re vonatkozóan, a nyugati és a Botteni-öbölben élő heringállomány esetében 2018-ra vonatkozóan, a nyugati tőkehalállomány esetében 2019-re vonatkozóan és a spratt esetében 2020-ra vonatkozóan). Végül pedig egy esetben, egy járulékosan kifogott faj vonatkozásában az elővigyázatossági megközelítésen alapuló szakvélemény szerinti szint felett határozta meg a teljes kifogható mennyiséget (a sima lepényhal esetében 2018-ra vonatkozóan), míg az összes többi év vonatkozásában a TAC az MFH-val és az elővigyázatossági megközelítésen alapuló szakvéleménnyel összhangban került meghatározásra.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8 esetben sajátos helyzetről van szó, így a nyugati tőkehalállomány esetében 2017-re és 2018-ra vonatkozóan, a nyugati heringállomány esetében 2019-re és 2020-ra vonatkozóan, valamint a keleti tőkehalállomány esetében a teljes időszak vonatkozásában. Ezeket az alábbiakban ismertetjük.</w:t>
      </w:r>
    </w:p>
    <w:p>
      <w:pPr>
        <w:pStyle w:val="ListParagraph"/>
        <w:numPr>
          <w:ilvl w:val="2"/>
          <w:numId w:val="3"/>
        </w:numPr>
        <w:rPr>
          <w:noProof/>
          <w:szCs w:val="24"/>
        </w:rPr>
      </w:pPr>
      <w:r>
        <w:rPr>
          <w:noProof/>
        </w:rPr>
        <w:t>Nyugati tőkehalállomány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Évek óta ismert volt, hogy a keleti tőkehal jelentős mennyiségekben fordul elő a 24-es területen, amely a nyugati tőkehalgazdálkodási terület része. 2015-ben az ICES számszerűsítette ezt a jelenséget, és gazdálkodási opciókat határozott meg. Ezek az opciók közvetlen hatást gyakoroltak a viszonylagos stabilitásra, de a balti-tengeri tagállamok nem tudtak megállapodásra jutni a további lépésekről. A Bizottság mindkét esetben utólag tett javaslatot a teljes kifogható mennyiség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-pontértéken történő meghatározására (ami 35 %-os, illetve 88 %-os csökkenésnek felelt meg az előző évi TAC-hoz képest), tekintettel mind a keleti, mind a nyugati tőkehalállomány előfordulására a gazdálkodási területen. A Tanács 2017-re vonatkozóan úgy határozta meg a teljes kifogható mennyiséget, hogy a 2016-os TAC-hoz képest 56 %-kal csökkentette a teljes kifogható mennyiséget. 2018 vonatkozásában a Bizottság ismét figyelembe vette a két tőkehalállomány előfordulását, és a 2017. évi TAC átvitelét javasolta, amit a Tanács elfogadott. Továbbá tekintve, hogy a tengerben élő halállomány mennyisége már sok éve B</w:t>
      </w:r>
      <w:r>
        <w:rPr>
          <w:rFonts w:ascii="Times New Roman" w:hAnsi="Times New Roman"/>
          <w:noProof/>
          <w:sz w:val="24"/>
          <w:szCs w:val="24"/>
          <w:vertAlign w:val="subscript"/>
        </w:rPr>
        <w:t>trigger</w:t>
      </w:r>
      <w:r>
        <w:rPr>
          <w:rFonts w:ascii="Times New Roman" w:hAnsi="Times New Roman"/>
          <w:noProof/>
          <w:sz w:val="24"/>
          <w:szCs w:val="24"/>
        </w:rPr>
        <w:t xml:space="preserve"> alatti szinten van, a Bizottság az ívási idényre vonatkozó tilalmat, valamint a rekreációs célú halászatra vonatkozó fogási korlátozást javasolt, amit a Tanács elfogadott. A 2019-re vonatkozó TAC tekintetében meg kell jegyezni, hogy a tudományos szakvéleményben nagyon széles tartományt adtak meg (+30 % és csaknem +400 % között). A Bizottság az alacsonyabb pontértéket javasolta, mivel a tudományos szakvélemény szerint az állomány csupán egyetlen jó évjáratra támaszkodik; a Tanács az alsó tartományban határozta meg a teljes kifogható mennyiséget, 70 %-os növeléssel. 2020-ra vonatkozóan, követve az ICES szakvéleményét, miszerint az egyetlen jó évjárat halmennyiségét 54 %-kal lefelé kell módosítani, a Bizottság javasolta a TAC legalacsonyabb pontértéken történő meghatározását, ami 68 %-os csökkenést jelentett a 2019. évi TAC-hoz képest. A Tanács az alsó tartományban határozta meg a teljes kifogható mennyiséget, annak 60 %-os csökkentésével.</w:t>
      </w:r>
    </w:p>
    <w:p>
      <w:pPr>
        <w:pStyle w:val="ListParagraph"/>
        <w:numPr>
          <w:ilvl w:val="2"/>
          <w:numId w:val="3"/>
        </w:numPr>
        <w:rPr>
          <w:noProof/>
          <w:szCs w:val="24"/>
        </w:rPr>
      </w:pPr>
      <w:r>
        <w:rPr>
          <w:noProof/>
        </w:rPr>
        <w:t>A Balti-tenger keleti részén élő tőkehalállomány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Az e jelentés által lefedett időszakban nem került sor az MFH értékelésére a Balti-tenger keleti részén élő tőkehalállomány vonatkozásában, és 2019-ig az ICES minden évben a TAC csökkentését javasolta a Balti-tenger keleti részén élő tőkehalállomány esetében az elővigyázatossági megközelítésen alapuló szakvélemény alapján. 2017-re vonatkozóan a Bizottság a TAC 39 %-os csökkentését javasolta a Balti-tenger keleti részén élő tőkehal elterjedési területen való előfordulására vonatkozó ICES-szakvéleménnyel összhangban. A Tanács a 2016. évi TAC-hoz képest 25 %-kal csökkentette a teljes kifogható mennyiséget. A Bizottság 2018-ra vonatkozóan figyelembe vette az állomány elterjedési területen való előfordulását, és a teljes kifogható mennyiség 28 %-os csökkentésére tett javaslatot, így a teljes kifogható mennyiséget valamivel az ICES-szakvéleményben szereplő érték felett értékben állapította meg. A Bizottság ezért azt javasolta, hogy a nyugati állományra vonatkozó teljes kifogható mennyiséget fenn kell tartani úgy, hogy az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-pontérték alatti értékben kerüljön megállapításra. A Tanács a keleti állomány esetében 8 %-kal csökkentette a teljes kifogható mennyiséget a 2017. évi TAC-hoz képest. 2019-re vonatkozóan a Bizottság a 2018. évi TAC-hoz képest 15 %-kal alacsonyabb teljes kifogható mennyiséget javasolt, amit a Tanács elfogadott. A Tanács által a három évre vonatkozóan meghatározott TAC értékek mind az ICES elővigyázatossági megközelítésen alapuló szakvéleményében javasolt szint felett voltak.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2020-ra vonatkozóan az ICES szakvéleménye szigorodott, és első alkalommal teljes halászati tilalmat javasolt. A Bizottság ezért olyan javaslatra készült, amely figyelembe veszi, hogy valójában vegyes halászat zajlik a Balti-tengeren, ahol a Balti-tenger keleti részén élő tőkehal elkerülhetetlen járulékos fogás majdnem minden egyéb halászati tevékenység során. Ezért javasolta a Balti-tenger keleti részén élő tőkehal minden célzott halászatának leállítását, és csupán járulékos fogásokra vonatkozó, 2 000 tonnára korlátozott TAC engedélyezését (ami 92 %-kal kevesebb, mint a 2019. évi TAC). Ennek a járulékos fogásokra vonatkozó korlátozott teljes kifogható mennyiségnek magában kell foglalnia a keleti tőkehal elkerülhetetlen járulékos fogásait más halászatok esetében ahhoz, hogy azok folytathassák tevékenységüket. Mindezt kiegészítették a többéves állománygazdálkodási tervben előírt korrekciós intézkedések is, mint például az ívóhelyek lezárása a Balti-tenger keleti részén élő tőkehalra halászó összes flotta számára. A Tanács elfogadta a Bizottság javaslatát. Tekintettel ennek az állománynak a nehéz helyzetére, a Bizottság javasolta a Balti-tengerre vonatkozó többéves állománygazdálkodási terv módosítását bizonyos gazdálkodási intézkedések megerősítése érdekében, valamint hogy ajánlják fel a gazdasági szereplők számára, hogy szereljék le hajóikat és örökre hagyják el az ágazatot.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2"/>
      </w:r>
    </w:p>
    <w:p>
      <w:pPr>
        <w:pStyle w:val="ListParagraph"/>
        <w:numPr>
          <w:ilvl w:val="2"/>
          <w:numId w:val="3"/>
        </w:numPr>
        <w:rPr>
          <w:noProof/>
          <w:szCs w:val="24"/>
        </w:rPr>
      </w:pPr>
      <w:r>
        <w:rPr>
          <w:noProof/>
        </w:rPr>
        <w:t>A Balti-tenger nyugati részén élő heringállomány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Balti-tenger nyugati részén élő heringállományra vonatkozó TAC meghatározására az MFH-val összhangban került sor sok éven át, egészen 2018-ig. 2018-ban az ICES ismét felmérte az állományt és megállapította, hogy az állomány biomasszája a biomassza-határérték referenciapontja – B</w:t>
      </w:r>
      <w:r>
        <w:rPr>
          <w:rFonts w:ascii="Times New Roman" w:hAnsi="Times New Roman"/>
          <w:noProof/>
          <w:sz w:val="24"/>
          <w:szCs w:val="24"/>
          <w:vertAlign w:val="subscript"/>
        </w:rPr>
        <w:t>lim</w:t>
      </w:r>
      <w:r>
        <w:rPr>
          <w:rFonts w:ascii="Times New Roman" w:hAnsi="Times New Roman"/>
          <w:noProof/>
          <w:sz w:val="24"/>
          <w:szCs w:val="24"/>
        </w:rPr>
        <w:t xml:space="preserve"> – alatti veszélyes szinten van. Mivel pozitív TAC érték mellett nem lenne lehetőség arra, hogy a következő évben az állomány ismét B</w:t>
      </w:r>
      <w:r>
        <w:rPr>
          <w:rFonts w:ascii="Times New Roman" w:hAnsi="Times New Roman"/>
          <w:noProof/>
          <w:sz w:val="24"/>
          <w:szCs w:val="24"/>
          <w:vertAlign w:val="subscript"/>
        </w:rPr>
        <w:t>lim</w:t>
      </w:r>
      <w:r>
        <w:rPr>
          <w:rFonts w:ascii="Times New Roman" w:hAnsi="Times New Roman"/>
          <w:noProof/>
          <w:sz w:val="24"/>
          <w:szCs w:val="24"/>
        </w:rPr>
        <w:t xml:space="preserve"> feletti értéket érjen el, 2019-re teljes halászati tilalmat javasolt. A Bizottság kiegyensúlyozott megoldást keresett, ugyanakkor kellően alacsony teljes kifogható mennyiséget javasolt az állomány helyreállításának elősegítése érdekében. A többéves állománygazdálkodási tervben foglalt szabályokat alkalmazva a Bizottság 2019-re a TAC 44 %-os csökkentését (vagyis az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 xml:space="preserve"> legalacsonyabb pontértékét) javasolta a többéves állománygazdálkodási terv alapján előírt korrekciós intézkedéssel együtt, ami további 19 százalékpontos csökkenést jelentett. A Tanács a többéves állománygazdálkodási tervvel összhangban 48 %-kal csökkentette a teljes kifogható mennyiséget a 2018. évi TAC-hoz képest. A Bizottság 2020-ra a TAC 42 %-os csökkentését (vagyis az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 xml:space="preserve"> legalacsonyabb pontértékét) javasolta egy korrekciós intézkedéssel együtt, ami további 29 százalékpontos csökkenést jelentett. Az ICES szerint ennek célja az állomány B</w:t>
      </w:r>
      <w:r>
        <w:rPr>
          <w:rFonts w:ascii="Times New Roman" w:hAnsi="Times New Roman"/>
          <w:noProof/>
          <w:sz w:val="24"/>
          <w:szCs w:val="24"/>
          <w:vertAlign w:val="subscript"/>
        </w:rPr>
        <w:t>lim</w:t>
      </w:r>
      <w:r>
        <w:rPr>
          <w:rFonts w:ascii="Times New Roman" w:hAnsi="Times New Roman"/>
          <w:noProof/>
          <w:sz w:val="24"/>
          <w:szCs w:val="24"/>
        </w:rPr>
        <w:t xml:space="preserve"> feletti szintre történő helyreállítása volt 2022-ig. A többéves állománygazdálkodási tervvel összhangban a Tanács a teljes kifogható mennyiséget a 2019. évi TAC-hoz képest 65 %-kal alacsonyabb szinten határozta meg. Ezek a döntések azt bizonyítják, hogy a Tanács nehéz, bár szükséges döntéseket hozott, és ezeket a többéves állománygazdálkodási tervben foglalt hosszabb távú helyreállítási keret tette lehetővé, amely a teljes kifogható mennyiségek korlátozását további korrekciós intézkedésekkel ötvözi.</w:t>
      </w:r>
    </w:p>
    <w:p>
      <w:pPr>
        <w:pStyle w:val="ListParagraph"/>
        <w:numPr>
          <w:ilvl w:val="2"/>
          <w:numId w:val="3"/>
        </w:numPr>
        <w:rPr>
          <w:noProof/>
          <w:szCs w:val="24"/>
        </w:rPr>
      </w:pPr>
      <w:r>
        <w:rPr>
          <w:noProof/>
        </w:rPr>
        <w:t>Összegzés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2016-ban az MFH szempontjából értékelt hét állomány közül három állomány – a Balti-tenger nyugati és középső részén élő hering és a sima lepényhal – esetében a TAC az MFH-ra vonatkozó szakvéleménnyel összhangban került meghatározásra. 2017 és 2019 között hat esetben a TAC minden évben az MFH-val összhangban került meghatározásra; nem ez történt azonban a Balti-tenger nyugati részén élő tőkehalállomány esetében 2017-ben, a sima lepényhal esetében 2018-ban, valamint a Balti-tenger nyugati részén élő heringállomány esetében 2019-ben, mivel az utóbbiak esetében teljes halászati tilalmat javasoltak, mert az állomány biomasszája a biztonságos biológiai határértékek alatti szinten volt. Az a halászat, amelyre vonatkozóan teljes halászati tilalmat javasolnak, értelemszerűen nem áll összhangban az MFH-val, és ebben az esetben az elsődleges cél az állomány helyreállítása. Csak az állomány helyreállítását követően lehet szó megint arról, hogy mekkora TAC határozható meg az ICES MFH-ra vonatkozó szakvéleményével és a többéves állománygazdálkodási tervvel összhangban. 2020-ra vonatkozóan az MFH szempontjából értékelt hat állomány közül öt állomány esetében a TAC az MFH-ra vonatkozó szakvéleménnyel összhangban került meghatározásra; nem ez történt a nyugati hering esetében, amelyre vonatkozóan megint teljes halászati tilalmat javasoltak.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megkérdezett érintett felek eltérően vélekedtek a többéves állománygazdálkodási terv szerepéről a TAC meghatározását illetően. A nemzeti közigazgatási szervek szerint a többéves állománygazdálkodási terv előmozdította a folyamatot, ugyanakkor hangsúlyozzák az analitikai állományfelmérések fontosságát, valamint az évről évre változó javasolt TAC-szintek és a halászattal nem összefüggő tényezők hatását. A Balti-tengeri Tanácsadó Testület szerint a többéves állománygazdálkodási tervvel senki sem elégedett, egyes tagok pedig úgy vélik, hogy az a szándékkal ellentétes hatást vált ki. Ezt az értékelést kétféle érvelés támasztja alá: egyesek szerint a többéves állománygazdálkodási terv túl merev, mert nem ad lehetőséget a TAC kellő mértékű növelésére bizonyos helyzetekben, más tagok viszont úgy vélik, hogy a többéves állománygazdálkodási terv túlságosan rugalmas, és így nem biztosította azt, hogy legkésőbb 2020-ig a TAC minden esetben az MFH szintjén kerüljön meghatározásra.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Bizottság nem osztja a Balti-tengeri Tanácsadó Testület nézeteit. A fentiek alapján nyilvánvaló, hogy a többéves állománygazdálkodási terv megkönnyítette a halászati lehetőségekkel és a korrekciós intézkedésekkel kapcsolatos megállapodást azáltal, hogy egyértelmű szabályokat határozott meg mind Bizottság számára a javaslatai vonatkozásában, mind pedig a Tanács számára a döntéshozatal tekintetében. A többéves állománygazdálkodási tervben meghatározott részletes szabályok követése koherens, a közös halászati politika célkitűzéseivel összhangban álló döntésekhez vezetett, és például olyan eredményeket hoz, hogy a nyugati tőkehalállomány 2020-ban várhatóan teljesen helyreáll, a nyugati heringállomány pedig jó úton halad a teljes helyreállítás felé.</w:t>
      </w:r>
    </w:p>
    <w:p>
      <w:pPr>
        <w:pStyle w:val="ListParagraph"/>
        <w:numPr>
          <w:ilvl w:val="1"/>
          <w:numId w:val="3"/>
        </w:numPr>
        <w:rPr>
          <w:rFonts w:ascii="Times New Roman Bold" w:hAnsi="Times New Roman Bold"/>
          <w:b/>
          <w:smallCaps/>
          <w:noProof/>
          <w:szCs w:val="24"/>
        </w:rPr>
      </w:pPr>
      <w:bookmarkStart w:id="6" w:name="_Ref15026636"/>
      <w:r>
        <w:rPr>
          <w:rFonts w:ascii="Times New Roman Bold" w:hAnsi="Times New Roman Bold"/>
          <w:b/>
          <w:smallCaps/>
          <w:noProof/>
          <w:szCs w:val="24"/>
        </w:rPr>
        <w:t>Kirakodási kötelezettség és visszadobott halak</w:t>
      </w:r>
      <w:bookmarkEnd w:id="6"/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megújult közös halászati politika egyik alapvető célkitűzése a kirakodási kötelezettség bevezetése és a visszadobás gyakorlatának fokozatos felszámolása a nem kívánt fogások csökkentésével. A kirakodási kötelezettség olyan fajokra vonatkozik, amelyekkel a teljes kifogható mennyiség alapján gazdálkodnak. A Balti-tengeren a kirakodási kötelezettség 2015. január 1-jén lépett hatályba a tőkehal, a hering, a spratt és a lazac vonatkozásában, 2017. január 1-jén pedig a sima lepényhal vonatkozásában.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A többéves állománygazdálkodási terv 7. cikke tartalmazza a kirakodási kötelezettséggel kapcsolatos részletes rendelkezéseket. Felhatalmazza a Bizottságot arra, hogy felhatalmazáson alapuló jogi aktusokat fogadjon el a magas a túlélési aránnyal kapcsolatos mentességekre és </w:t>
      </w:r>
      <w:r>
        <w:rPr>
          <w:rFonts w:ascii="Times New Roman" w:hAnsi="Times New Roman"/>
          <w:i/>
          <w:iCs/>
          <w:noProof/>
          <w:sz w:val="24"/>
          <w:szCs w:val="24"/>
        </w:rPr>
        <w:t>de minimis</w:t>
      </w:r>
      <w:r>
        <w:rPr>
          <w:rFonts w:ascii="Times New Roman" w:hAnsi="Times New Roman"/>
          <w:noProof/>
          <w:sz w:val="24"/>
          <w:szCs w:val="24"/>
        </w:rPr>
        <w:t xml:space="preserve"> kivételekre, a dokumentálásra vonatkozó különleges rendelkezésekre, valamint a minimális állományvédelmi referenciaméretek meghatározására vonatkozóan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3"/>
      </w:r>
      <w:r>
        <w:rPr>
          <w:noProof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A többéves állománygazdálkodási terv továbbá kimondja, hogy a kirakodási kötelezettség nem vonatkozik a rekreációs célú halászatra.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Az ICES becslése szerint</w:t>
      </w:r>
      <w:bookmarkStart w:id="7" w:name="_Ref45780122"/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4"/>
      </w:r>
      <w:bookmarkEnd w:id="7"/>
      <w:r>
        <w:rPr>
          <w:rFonts w:ascii="Times New Roman" w:hAnsi="Times New Roman"/>
          <w:noProof/>
          <w:sz w:val="24"/>
          <w:szCs w:val="24"/>
        </w:rPr>
        <w:t xml:space="preserve"> a visszadobás gyakorlata valószínűleg jelentős mértékben megváltozott a kirakodási kötelezettség hatálybalépése óta: a visszadobott nyílt tengeri fajok mennyisége továbbra is elhanyagolható; a többi halászat vonatkozásában a hivatalosan bejelentett visszadobások mértéke közel nullára csökkent, viszont továbbra is folytatódik az illegális visszadobás gyakorlata. A HTMGB a kirakodási kötelezettségről szóló 2018. évi tagállami jelentések értékelésében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5"/>
      </w:r>
      <w:r>
        <w:rPr>
          <w:rFonts w:ascii="Times New Roman" w:hAnsi="Times New Roman"/>
          <w:noProof/>
          <w:sz w:val="24"/>
          <w:szCs w:val="24"/>
        </w:rPr>
        <w:t xml:space="preserve"> rámutatott arra, hogy a Balti-tenger vonatkozásában az illetékes regionális szervek proaktív módon a kirakodási kötelezettség végrehajtásának javítására irányuló megközelítéseket dolgoztak ki. Ugyanakkor azonban a HTMGB azt is megállapította, hogy a tengermedencékre kiterjedő kvantitatív adatok továbbra is túlságosan korlátozottak ahhoz, hogy lehetővé tegyék a visszadobott mennyiségekben bekövetkező változásokra vonatkozó becsléseket. Ezenfelül voltak arra utaló jelek, hogy a halászati iparág működési gyakorlatai – amikor a hajók a tengeren vannak – nem változtak, ami arra enged következtetni, hogy igen csekély a valószínűsége a visszadobások csökkenésének.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megkérdett érdekelt felek osztják az ICES nézeteit a folyamatban lévő visszadobással kapcsolatban. Kifejezik véleményüket azzal kapcsolatban, hogy fokozni kell az ellenőrzést. Az érdekelt felek joggal hangsúlyozzák, hogy az ellenőrzés nem a többéves állománygazdálkodási terv, hanem a közös halászati politika 1224/2009/EK ellenőrzési rendelete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6"/>
      </w:r>
      <w:r>
        <w:rPr>
          <w:rFonts w:ascii="Times New Roman" w:hAnsi="Times New Roman"/>
          <w:noProof/>
          <w:sz w:val="24"/>
          <w:szCs w:val="24"/>
        </w:rPr>
        <w:t xml:space="preserve"> hatáskörébe tartozik. Egyes érdekelt felek szerint a felső F</w:t>
      </w:r>
      <w:r>
        <w:rPr>
          <w:rFonts w:ascii="Times New Roman" w:hAnsi="Times New Roman"/>
          <w:noProof/>
          <w:sz w:val="24"/>
          <w:szCs w:val="24"/>
          <w:vertAlign w:val="subscript"/>
        </w:rPr>
        <w:t>MFH</w:t>
      </w:r>
      <w:r>
        <w:rPr>
          <w:rFonts w:ascii="Times New Roman" w:hAnsi="Times New Roman"/>
          <w:noProof/>
          <w:sz w:val="24"/>
          <w:szCs w:val="24"/>
        </w:rPr>
        <w:t>-tartomány alkalmazása a TAC meghatározása során elősegítette volna a visszadobások csökkentését, de az NGO-k egyáltalán nem akarják alkalmazni a felső tartományt. Valamennyi válaszadó egyetért abban, hogy a tényleges visszadobási szintek nagyjából változatlanok a kirakodási kötelezettség hatálybalépése óta.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Bizottság úgy véli, hogy a visszadobás tartósan fennálló problémáját elsősorban a tagállami hatóságok általi ellenőrzés és végrehajtás hiánya okozza, és arra az uniós halászati ellenőrzési rendszer keretein belül kell megoldást találni. A Balti-tengerre vonatkozó többéves állománygazdálkodási terv nem hivatott ennek a problémának a megoldására.</w:t>
      </w:r>
    </w:p>
    <w:p>
      <w:pPr>
        <w:pStyle w:val="ListParagraph"/>
        <w:numPr>
          <w:ilvl w:val="1"/>
          <w:numId w:val="3"/>
        </w:numPr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t>Ökoszisztéma-alapú megközelítés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közös halászati politikáról szóló alaprendelet 2. cikkének (3) bekezdése kimondja, hogy a közös halászati politika keretében ökoszisztéma-alapú megközelítést kell alkalmazni a halászati gazdálkodás vonatkozásában annak biztosítására, hogy a halászati tevékenységeknek a tengeri ökoszisztémákra gyakorolt kedvezőtlen hatásai a lehető legkisebbek legyenek. A többéves állománygazdálkodási terv 3. cikkének (3) bekezdése előírja, hogy a tervnek összhangban kell állnia az uniós környezetvédelmi jogszabályokkal, különösen a jó környezeti állapot 2020-ig történő elérésére irányuló, a 2008/56/EK irányelvben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7"/>
      </w:r>
      <w:r>
        <w:rPr>
          <w:rFonts w:ascii="Times New Roman" w:hAnsi="Times New Roman"/>
          <w:noProof/>
          <w:sz w:val="24"/>
          <w:szCs w:val="24"/>
        </w:rPr>
        <w:t xml:space="preserve"> (a továbbiakban: a tengervédelmi stratégiáról szóló keretirányelv) rögzített célkitűzéssel</w:t>
      </w:r>
      <w:r>
        <w:rPr>
          <w:noProof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A tengervédelmi stratégiáról szóló keretirányelv a jó környezeti állapot meghatározásakor alkalmazandó tizenegy minőségi mutatót ír elő. A többéves állománygazdálkodási terv célja, hogy biztosítsa a 3. mutató (amelyik a leglényegesebb a halászati gazdálkodás tekintetében) feltételeinek teljesülését, valamint hogy hozzájáruljon a többi lényeges mutató teljesüléséhez a halászatok kapcsolódó szerepével arányos mértékben.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3. mutató közvetlenül a halászati lehetőségek meghatározásához kapcsolódik. Eszerint „valamennyi gazdaságilag hasznosított hal és kagyló populációja a biológiailag biztonságos korlátok között marad, a populáció életkor és méret szerinti megoszlása pedig az állomány jó egészségi állapotáról tanúskodik”. A halászati tevékenységek hatást gyakorolnak azokra a mutatókra, amelyek a biológiai sokféleségre (1.), a táplálékláncra (4.), a tengerfenék épségére (6.) és a tengeri hulladékra (10.) vonatkoznak. A halászat által a többi mutatóra gyakorolt hatás legalábbis közvetett és/vagy nem jelentős.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8"/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 halászati tevékenységek által a Balti-tengeren a barna delfinek populációjára gyakorolt hatás komoly aggodalomra ad okot. Ezen emlősök esetében a halászeszközökben való megfulladás az emberi beavatkozás okozta elhullás legfőbb oka. Mivel az e populációhoz tartozó egyedek száma a becslések szerint mindössze 447, ez a populáció súlyosan veszélyeztetettnek számít.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19"/>
      </w:r>
      <w:r>
        <w:rPr>
          <w:rFonts w:ascii="Times New Roman" w:hAnsi="Times New Roman"/>
          <w:noProof/>
          <w:sz w:val="24"/>
          <w:szCs w:val="24"/>
        </w:rPr>
        <w:t xml:space="preserve"> A Bizottság úgy látja, hogy a balti-tengeri tagállamok mindezidáig nem léptek fel kellőképpen ezen állatok védelme érdekében, és fontolóra veszi sürgős intézkedések bevezetését, amelyek indokoltak és a tudományos szakvélemények szerint ajánlottak.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Az ICES megerősíti, hogy a balti-tengeri ökoszisztéma alapvető változáson megy keresztül és nincs egyensúlyban. Számos balti-tengeri faj és élőhely nincs jó környezeti állapotban a tengeri környezetre gyakorolt emberi befolyás miatt.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20"/>
      </w:r>
      <w:r>
        <w:rPr>
          <w:rFonts w:ascii="Times New Roman" w:hAnsi="Times New Roman"/>
          <w:noProof/>
          <w:sz w:val="24"/>
          <w:szCs w:val="24"/>
        </w:rPr>
        <w:t xml:space="preserve"> A Balti-tengert érő öt legjelentősebb terhelés a tápanyagok és szerves anyagok feldúsulása, a halászat, a szennyező anyagok bevitele, a nem őshonos fajok betelepítése, valamint a kopás és a tengerfenék anyagvesztesége.</w:t>
      </w:r>
    </w:p>
    <w:p>
      <w:pPr>
        <w:pStyle w:val="ListParagraph"/>
        <w:numPr>
          <w:ilvl w:val="1"/>
          <w:numId w:val="3"/>
        </w:numPr>
        <w:ind w:left="788" w:hanging="431"/>
        <w:contextualSpacing w:val="0"/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t>Regionális együttműködés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különböző tengermedencék közötti különbségek hatékonyabb figyelembevétele és az érdekelt feleknek a halászati gazdálkodásba való fokozottabb bevonása érdekében 2004-ben az EU tanácsadó testületeket</w:t>
      </w:r>
      <w:r>
        <w:rPr>
          <w:rStyle w:val="FootnoteReference"/>
          <w:noProof/>
          <w:szCs w:val="24"/>
        </w:rPr>
        <w:footnoteReference w:id="21"/>
      </w:r>
      <w:r>
        <w:rPr>
          <w:noProof/>
        </w:rPr>
        <w:t xml:space="preserve"> hozott létre. A Balti-tengeri Tanácsadó Testület 2006 márciusában jött létre. Fő célja a balti-tengeri halászat irányításával kapcsolatos tanácsadás. Tagjai a halászatokat képviselő szervezetek, valamint a közös halászati politika egyéb érdekcsoportjai (pl. környezetvédelmi szervezetek, sporthorgászati és rekreációs célú halászati szervezetek).</w:t>
      </w:r>
      <w:r>
        <w:rPr>
          <w:rStyle w:val="FootnoteReference"/>
          <w:noProof/>
          <w:szCs w:val="24"/>
        </w:rPr>
        <w:footnoteReference w:id="22"/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közös halászati politika 2013. évi reformja még inkább megerősítette ezt a regionális dimenziót és a halászati gazdálkodás felelősségvállalását. A tanácsadó testületek szerepe és feladata beépítésre került a közös halászati politikáról szóló alaprendeletbe</w:t>
      </w:r>
      <w:r>
        <w:rPr>
          <w:rStyle w:val="FootnoteReference"/>
          <w:noProof/>
          <w:szCs w:val="24"/>
        </w:rPr>
        <w:footnoteReference w:id="23"/>
      </w:r>
      <w:r>
        <w:rPr>
          <w:noProof/>
        </w:rPr>
        <w:t>. Bizonyos kérdésekben – különösen a tagállamok közös ajánlásaival kapcsolatban – ki kell kérni és figyelembe kell venni a tanácsadó testületek véleményét. Az elfogadott intézkedésektől való eltéréseket meg kell indokolni. A Bizottság és a tagállamok bármilyen intézkedéssel kapcsolatban kikérhetik a tanácsadó testület véleményét, a tanácsadó testületek pedig ajánlásokat és tájékoztatásokat adhatnak ki a halászati gazdálkodást, valamint a társadalmi-gazdasági és védelmi szempontokat érintő kérdésekben.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megerősített regionalizáció egy másik aspektusa, hogy az érintett tagállamok közös ajánlásokat nyújthatnak be olyan ügyekkel kapcsolatban, amelyek vonatkozásában a Bizottság felhatalmazással rendelkezik arra, hogy felhatalmazáson alapuló jogi aktusokat fogadjon el, vagyis a szükséges védelmi intézkedésekkel, technikai intézkedésekkel és a visszadobási tervekkel kapcsolatban. Ennek érdekében a Balti-tenger tagállamai 2013 végén létrehozták a Balti-tengeri Halászati Fórumot (BALTFISH)</w:t>
      </w:r>
      <w:r>
        <w:rPr>
          <w:rStyle w:val="FootnoteReference"/>
          <w:noProof/>
          <w:szCs w:val="24"/>
        </w:rPr>
        <w:footnoteReference w:id="24"/>
      </w:r>
      <w:r>
        <w:rPr>
          <w:noProof/>
        </w:rPr>
        <w:t>. A BALTFISH elsődleges célja a tagállamai közötti koordináció és együttműködés javítása a halászati gazdálkodás terén, valamint a régió más kulcsfontosságú érdekelt feleivel folytatott együttműködés fejlesztése. Munkája két szinten folyik: a tagállamok halászati igazgatóiból álló magas szintű munkacsoportban, amelyhez bizottsági tisztviselők társulnak, valamint a tagállamok, a Bizottság, a Balti-tengeri Tanácsadó Testület, az érintett kormányközi szervezetek és más érdekelt felek képviselőiből álló fórum szemináriumon.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 xml:space="preserve">A megkérdezett érdekelt felek nincsenek meggyőződve a többéves állománygazdálkodási terv hozzáadott értékéről a regionális együttműködést illetően. A tagállamok úgy látják, hogy a regionális együttműködés kedvezően alakult, viszont hangsúlyozzák, hogy különösen a közös ajánlások kidolgozásán még lehetne javítani. A közös ajánlások – mint regionálisan testre szabott eszköz – fogalma jól ismert, kidolgozásukhoz azonban sok esetben időigényes előzetes kutatásra van szükség. Ezenfelül a felhatalmazáson alapuló jogi aktusok elfogadása is időbe telik a folyamat részét képező különböző tudományos és adminisztratív lépések miatt. Végezetül pedig a Tanács és az Európai Parlament által végzett ellenőrzés a folyamat fontos lépései. A tagállamok rámutatnak arra, hogy a regionális csoportok tekintetében formálisabb struktúrákra lenne szükség, amelyeket a többéves állománygazdálkodási terv nem biztosít. Ez magyarázatul szolgálna arra, hogy az érdekelt felek miért gondolják azt, hogy a többéves állománygazdálkodási terv alkalmatlannak bizonyult a regionalizáció előmozdítása terén. 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Balti-tengeri Tanácsadó Testület is azon a véleményen van, hogy a többéves állománygazdálkodási terv nem erősítette a regionális együttműködést. Különösen sajnálatosnak tartja azt, hogy a BALTFISH nem szán elég időt olyan problémákra, amelyek nem az éves halászati lehetőségekhez kapcsolódnak.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Bizottság úgy véli, hogy a többéves állománygazdálkodási terv biztosítja a szükséges jogi keretet, és a tagállamoknak jobban ki kellett volna használniuk a regionalizációt úgy, hogy több közös javaslatot kidolgoznak ki és konzultációt folytatnak a tanácsadó testületekkel és más érdekelt felekkel a Balti-tengert az elmúlt tíz évben befolyásoló problémákról. Nem került sor olyan problémák együttes kezelésére, mint a Balti-tenger keleti részén élő tőkehalállománnyal való fenntarthatóbb gazdálkodás vagy valódi intézkedések megtétele a súlyosan veszélyeztetett barna delfinek védelme érdekében.</w:t>
      </w:r>
    </w:p>
    <w:p>
      <w:pPr>
        <w:pStyle w:val="ListParagraph"/>
        <w:numPr>
          <w:ilvl w:val="1"/>
          <w:numId w:val="3"/>
        </w:numPr>
        <w:ind w:left="788" w:hanging="431"/>
        <w:contextualSpacing w:val="0"/>
        <w:rPr>
          <w:rFonts w:ascii="Times New Roman Bold" w:hAnsi="Times New Roman Bold"/>
          <w:b/>
          <w:smallCaps/>
          <w:noProof/>
          <w:szCs w:val="24"/>
        </w:rPr>
      </w:pPr>
      <w:r>
        <w:rPr>
          <w:rFonts w:ascii="Times New Roman Bold" w:hAnsi="Times New Roman Bold"/>
          <w:b/>
          <w:smallCaps/>
          <w:noProof/>
          <w:szCs w:val="24"/>
        </w:rPr>
        <w:t>Társadalmi-gazdasági fejlemények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Összességében a balti-tengeri halászat jövedelmezőnek bizonyult, bár a kirakodott mennyiségek és azok értéke csökkent, elsősorban a csökkenő tőkehalárak miatt. Ebben a szakaszban nem állnak rendelkezésre adatok a 2018 óta végbement fejleményekre vonatkozóan, de a környezetvédelmi helyzet, a Balti-tenger keleti részén élő megfogyatkozott tőkehalállomány és a jelenlegi közegészségügyi helyzet hatása minden bizonnyal kedvezőtlen volt.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megkérdezett érdekelt felek az állományok kedvezőtlen alakulása miatt negatív összefüggést látnak a többéves állománygazdálkodási terv végrehajtása és a társadalmi-gazdasági fejlemények között. A halászati ágazat szerint a többéves állománygazdálkodási terv legnagyobb hibája a társadalmi-gazdasági megfontolások hiánya és a TAC meghatározása terén tanúsított merevség, mivel az ágazat úgy gondolja, hogy a felső tartomány gyakoribb alkalmazásának lehetővé tétele érdekében enyhíteni kellene a felső tartomány alkalmazásának feltételeit. Másfelől azonban az NGO-k úgy vélik, hogy a társadalmi-gazdasági megfontolások figyelembevétele a TAC meghatározása során nem kellőképpen dokumentált, és a felső F</w:t>
      </w:r>
      <w:r>
        <w:rPr>
          <w:noProof/>
          <w:szCs w:val="24"/>
          <w:vertAlign w:val="subscript"/>
        </w:rPr>
        <w:t>MFH</w:t>
      </w:r>
      <w:r>
        <w:rPr>
          <w:noProof/>
        </w:rPr>
        <w:t>-tartomány alkalmazása egyenértékű a „túlhalászattal”. Úgy érzik továbbá, hogy a „túlhalászat” kedvezőtlen társadalmi-gazdasági fejleményekhez vezetett. A tagállamok hangsúlyozzák, hogy a felső tartomány társadalmi-gazdasági indokok alapján alkalmazható.</w:t>
      </w:r>
    </w:p>
    <w:p>
      <w:pPr>
        <w:pStyle w:val="ListParagraph"/>
        <w:spacing w:after="160"/>
        <w:ind w:left="0"/>
        <w:contextualSpacing w:val="0"/>
        <w:rPr>
          <w:noProof/>
          <w:szCs w:val="24"/>
        </w:rPr>
      </w:pPr>
      <w:r>
        <w:rPr>
          <w:noProof/>
        </w:rPr>
        <w:t>A Bizottság véleménye szerint a többéves állománygazdálkodási terv hasznosnak bizonyult. A halállományok és a halászati tevékenységek egyenetlen alakulása nem annyira a többéves állománygazdálkodási tervnek tudható be, hanem inkább olyan okoknak, amelyek már jóval a többéves állománygazdálkodási terv hatálybalépése előtt léteztek, így például a környezeti tényezőknek, különösen a nem fenntartható halászatnak, amely az idő múlásával valódi társadalmi-gazdasági károkat okozott, amelyek súlyos költségekkel járnak a megélhetésük tekintetében a halászattól függő halászok számára. Idővel csak fenntartható halászati gyakorlatok és megfelelő környezetvédelem révén biztosíthatók virágzó halászati közösségek. Ez az, amiről a többéves állománygazdálkodási terv jogi kerete rendelkezik.</w:t>
      </w:r>
    </w:p>
    <w:p>
      <w:pPr>
        <w:jc w:val="both"/>
        <w:rPr>
          <w:noProof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Végül meg kell említeni, hogy az ETHA-rendelet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25"/>
      </w:r>
      <w:r>
        <w:rPr>
          <w:rFonts w:ascii="Times New Roman" w:hAnsi="Times New Roman"/>
          <w:noProof/>
          <w:sz w:val="24"/>
          <w:szCs w:val="24"/>
        </w:rPr>
        <w:t xml:space="preserve"> támogatja a közös halászati politika célkitűzéseit, ezáltal pedig a többéves állománygazdálkodási terv végrehajtását. Ezzel összefüggésben a tagállamok az ETHA-t különösen a még inkább szelektív halászat fejlesztésére, a halászati ellenőrzési és végrehajtási tevékenységek társfinanszírozására, valamint egyes állományvédelmi intézkedések halászokra gyakorolt társadalmi-gazdasági hatásainak enyhítésére használják. A tagállamok jelentései alapján a Bizottság éves jelentést készít az ETHA végrehajtásáról.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/>
        </w:rPr>
        <w:footnoteReference w:id="26"/>
      </w:r>
    </w:p>
    <w:sectPr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276" w:right="1440" w:bottom="1701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HU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HU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7185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>
        <w:pPr>
          <w:pStyle w:val="Footer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pStyle w:val="Style1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  <w:lang w:val="en-GB"/>
        </w:rPr>
        <w:footnoteRef/>
      </w:r>
      <w:r>
        <w:tab/>
      </w:r>
      <w:r>
        <w:rPr>
          <w:rFonts w:ascii="Times New Roman" w:hAnsi="Times New Roman"/>
        </w:rPr>
        <w:t>Az Európai Parlament és a Tanács (EU) 2016/1139 rendelete (2016. július 6.) a közönséges tőkehal, a hering és a spratt balti-tengeri állományaira és a halászatukra vonatkozó többéves terv létrehozásáról (HL L 191., 2016.7.15., 1. o.). A továbbiakban: többéves állománygazdálkodási terv.</w:t>
      </w:r>
    </w:p>
  </w:footnote>
  <w:footnote w:id="2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  <w:lang w:val="en-GB"/>
        </w:rPr>
        <w:footnoteRef/>
      </w:r>
      <w:r>
        <w:tab/>
      </w:r>
      <w:r>
        <w:rPr>
          <w:rFonts w:ascii="Times New Roman" w:hAnsi="Times New Roman"/>
        </w:rPr>
        <w:t>Az Európai Parlament és a Tanács 1380/2013/EU rendelete (2013. december 11.) a közös halászati politikáról (HL L 354., 2013.12.28., 22. o.). A továbbiakban: a közös halászati politikáról szóló alaprendelet.</w:t>
      </w:r>
    </w:p>
  </w:footnote>
  <w:footnote w:id="3">
    <w:p>
      <w:pPr>
        <w:pStyle w:val="FootnoteText"/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8529/14 Limité Pêche 117, Codec 1004, 2014. április 3., az Európai Unió Tanácsa.</w:t>
      </w:r>
    </w:p>
  </w:footnote>
  <w:footnote w:id="4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  <w:lang w:val="en-GB"/>
        </w:rPr>
        <w:footnoteRef/>
      </w:r>
      <w:r>
        <w:tab/>
      </w:r>
      <w:r>
        <w:rPr>
          <w:rFonts w:ascii="Times New Roman" w:hAnsi="Times New Roman"/>
        </w:rPr>
        <w:t>A balti-tengeri lazacállományra vonatkozóan a Bizottság többéves terv létrehozására tett javaslatot: COM(2011) 470 végleges, 2011.8.12.</w:t>
      </w:r>
    </w:p>
  </w:footnote>
  <w:footnote w:id="5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 xml:space="preserve">ICES-szakvélemény, 2019. A balti-tengeri ökorégió halászatának áttekintése, 2019. szeptember 2., 5. o. </w:t>
      </w:r>
    </w:p>
  </w:footnote>
  <w:footnote w:id="6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Elérhető: http://www.ices.dk/community/advisory-process/Pages/Latest-advice.aspx</w:t>
      </w:r>
    </w:p>
  </w:footnote>
  <w:footnote w:id="7">
    <w:p>
      <w:pPr>
        <w:pStyle w:val="FootnoteText"/>
        <w:ind w:left="720" w:hanging="720"/>
        <w:jc w:val="both"/>
      </w:pPr>
      <w:r>
        <w:rPr>
          <w:rStyle w:val="FootnoteReference"/>
          <w:rFonts w:ascii="Times New Roman" w:hAnsi="Times New Roman" w:cs="Times New Roman"/>
          <w:lang w:val="en-GB"/>
        </w:rPr>
        <w:footnoteRef/>
      </w:r>
      <w:r>
        <w:tab/>
      </w:r>
      <w:r>
        <w:rPr>
          <w:rFonts w:ascii="Times New Roman" w:hAnsi="Times New Roman"/>
        </w:rPr>
        <w:t>ICES-szakvélemény, 2019. 2019.15. sorozat, 2019. június 27.</w:t>
      </w:r>
    </w:p>
  </w:footnote>
  <w:footnote w:id="8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Bizottság C/2016/1084 határozata (2016. február 25.) a Halászati Tudományos, Műszaki és Gazdasági Bizottság létrehozásáról (HL C 74., 2016.2.26., 4. o.).</w:t>
      </w:r>
    </w:p>
  </w:footnote>
  <w:footnote w:id="9">
    <w:p>
      <w:pPr>
        <w:pStyle w:val="FootnoteText"/>
        <w:ind w:left="720" w:hanging="720"/>
        <w:jc w:val="both"/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HTMGB 60. plenáris üléséről szóló jelentés (PLEN-19-01), 6.2. napirendi pont, 18–33. o.; „A kirakodási kötelezettségről szóló éves (2018. évi) tagállami jelentések értékelése, 2019. március” című ad hoc szerződéses jelentés, a plenáris ülésről szóló jelentés háttérdokumentuma.</w:t>
      </w:r>
    </w:p>
  </w:footnote>
  <w:footnote w:id="10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kérdőívet és a válaszokat az e jelentést kísérő SWD(2020)XXX bizottsági szolgálati munkadokumentum tartalmazza.</w:t>
      </w:r>
    </w:p>
  </w:footnote>
  <w:footnote w:id="11">
    <w:p>
      <w:pPr>
        <w:pStyle w:val="FootnoteText"/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Az e jelentést kísérő bizottsági szolgálati munkadokumentum melléklete részletes táblázatot tartalmaz.</w:t>
      </w:r>
    </w:p>
  </w:footnote>
  <w:footnote w:id="12">
    <w:p>
      <w:pPr>
        <w:pStyle w:val="FootnoteText"/>
        <w:ind w:left="720" w:hanging="720"/>
        <w:jc w:val="both"/>
        <w:rPr>
          <w:rFonts w:cs="Times New Roman"/>
        </w:rPr>
      </w:pPr>
      <w:r>
        <w:rPr>
          <w:rStyle w:val="FootnoteReference"/>
          <w:rFonts w:cs="Times New Roman"/>
        </w:rPr>
        <w:footnoteRef/>
      </w:r>
      <w:r>
        <w:tab/>
      </w:r>
      <w:r>
        <w:rPr>
          <w:rFonts w:ascii="Times New Roman" w:hAnsi="Times New Roman"/>
        </w:rPr>
        <w:t>Az Bizottság javaslata (COM(2019) 564, 2019. október 31.) – Az Európai Parlament és a Tanács rendelete az (EU) 2016/1139 rendeletnek a Balti-tenger keleti részén élő közönséges tőkehalra vonatkozó halászati kapacitás felső értékhatárai, az adatgyűjtés és a balti-tengeri ellenőrzési intézkedések tekintetében, valamint az 508/2014/EU rendeletnek a Balti-tenger keleti részén élő közönséges tőkehalat halászó flották végleges beszüntetése tekintetében történő módosításáról.</w:t>
      </w:r>
    </w:p>
  </w:footnote>
  <w:footnote w:id="13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ab/>
      </w:r>
      <w:r>
        <w:rPr>
          <w:rFonts w:ascii="Times New Roman" w:hAnsi="Times New Roman"/>
        </w:rPr>
        <w:t>A halászati erőforrások és a tengeri ökoszisztémák technikai intézkedések révén történő védelméről, az 1967/2006/EK és az 1224/2009/EK tanácsi rendelet, továbbá az 1380/2013/EU, az (EU) 2016/1139, az (EU) 2018/973, az (EU) 2019/472 és az (EU) 2019/1022 európai parlamenti és tanácsi rendelet módosításáról, valamint a 894/97/EK, a 850/98/EK, a 2549/2000/EK, a 254/2002/EK, a 812/2004/EK és a 2187/2005/EK tanácsi rendelet hatályon kívül helyezéséről szóló, 2019. június 20-i (EU) 2019/1241 európai parlamenti és tanácsi rendelet (HL L 198., 2019.7.25., 105. o.) 15. cikke is tartalmaz felhatalmazást.</w:t>
      </w:r>
    </w:p>
  </w:footnote>
  <w:footnote w:id="14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 xml:space="preserve">Vö. az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NOTEREF _Ref14254734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/>
        </w:rPr>
        <w:t>. lábjegyzettel, 7–8. o.; ICES-szakvélemény, 2019. – A balti-tengeri ökorégió ökoszisztéma áttekintése, 2019. december 12., 8. o.</w:t>
      </w:r>
    </w:p>
  </w:footnote>
  <w:footnote w:id="15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 xml:space="preserve">Vö. a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NOTEREF _Ref14254559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/>
        </w:rPr>
        <w:t>. lábjegyzettel.</w:t>
      </w:r>
    </w:p>
  </w:footnote>
  <w:footnote w:id="16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Tanács 1224/2009/EK rendelete (2009. november 20.) a közös halászati politika szabályainak betartását biztosító uniós ellenőrző rendszer létrehozásáról (HL L 343., 2009.12.22., 1. o.).</w:t>
      </w:r>
    </w:p>
  </w:footnote>
  <w:footnote w:id="17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Az Európai Parlament és a Tanács 2008/56/EK irányelve (2008. június 17.) a tengeri környezetvédelmi politika területén a közösségi fellépés kereteinek meghatározásáról (HL L 164., 2008.6.25., 19. o.).</w:t>
      </w:r>
    </w:p>
  </w:footnote>
  <w:footnote w:id="18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Nem őshonos fajok betelepítése (2.), az ember által előidézett eutrofizáció (5.), hidrográfiai feltételek (7.), a szennyező anyagok koncentrációja a tengerben (8.), a halakban és egyéb tengeri eredetű élelmiszerekben lévő szennyező anyagok szintje (9.), energia – többek között a víz alatti zaj – tengeri környezetbe juttatása (11.).</w:t>
      </w:r>
    </w:p>
  </w:footnote>
  <w:footnote w:id="19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 xml:space="preserve">Vö. a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NOTEREF _Ref45780122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/>
        </w:rPr>
        <w:t>. lábjegyzettel (Az ökoszisztéma áttekintése), 18. o.</w:t>
      </w:r>
    </w:p>
  </w:footnote>
  <w:footnote w:id="20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 xml:space="preserve">Vö. a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NOTEREF _Ref14364402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/>
        </w:rPr>
        <w:t xml:space="preserve">. lábjegyzettel, 1. o.; a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NOTEREF _Ref45780122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fldChar w:fldCharType="end"/>
      </w:r>
      <w:r>
        <w:t>.</w:t>
      </w:r>
      <w:r>
        <w:rPr>
          <w:rFonts w:ascii="Times New Roman" w:hAnsi="Times New Roman"/>
        </w:rPr>
        <w:t xml:space="preserve"> lábjegyzettel (Az ökoszisztéma áttekintése), 3. o. </w:t>
      </w:r>
    </w:p>
  </w:footnote>
  <w:footnote w:id="21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Tanács 2004/585/EK határozata (2004. július 19.) a közös halászati politika alapján történő regionális tanácsadó testületek felállításáról (HL L 256., 2004.8.3., 17. o.).</w:t>
      </w:r>
    </w:p>
  </w:footnote>
  <w:footnote w:id="22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http://www.bsac.dk/BSAC/About-the-BSAC.</w:t>
      </w:r>
    </w:p>
  </w:footnote>
  <w:footnote w:id="23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Az 1380/2013/EU rendelet 43–45. cikke. A tanácsadó testületek működésére vonatkozó részletesebb szabályokat a közös halászati politika keretében létrehozott tanácsadó testületek működésére vonatkozó részletes szabályok megállapításáról szóló 2014. október 9-i (EU) 2015/242 felhatalmazáson alapuló bizottsági rendelet tartalmazza (HL L 41., 2015.2.17., 1. o.).</w:t>
      </w:r>
    </w:p>
  </w:footnote>
  <w:footnote w:id="24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Balti-tengeri Halászati Fórum (BALTFISH) alapelveiről és munkamódszereiről szóló 2013. december 13-i egyetértési megállapodás, http://www.bsac.dk/BSAC-Resources/Documents-section/BALTFISH</w:t>
      </w:r>
    </w:p>
  </w:footnote>
  <w:footnote w:id="25">
    <w:p>
      <w:pPr>
        <w:pStyle w:val="FootnoteText"/>
        <w:ind w:left="720" w:hanging="720"/>
        <w:jc w:val="both"/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Az Európai Parlament és a Tanács 508/2014/EU rendelete (2014. május 15.) az Európai Tengerügyi és Halászati Alapról, valamint a 2328/2003/EK, a 861/2006/EK, az 1198/2006/EK és a 791/2007/EK tanácsi rendelet, valamint az 1255/2011/EU európai parlamenti és tanácsi rendelet hatályon kívül helyezéséről (HL L 149., 2014.5.20., 1. o.).</w:t>
      </w:r>
    </w:p>
  </w:footnote>
  <w:footnote w:id="26">
    <w:p>
      <w:pPr>
        <w:pStyle w:val="FootnoteText"/>
        <w:ind w:left="720" w:hanging="720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r>
        <w:rPr>
          <w:rFonts w:ascii="Times New Roman" w:hAnsi="Times New Roman"/>
        </w:rPr>
        <w:t>A legfrissebb jelentéstervezetet lásd: https://ec.europa.eu/fisheries/sites/fisheries/files/2019-11-26-emff-implementation-report_en.pdf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37380"/>
    <w:multiLevelType w:val="hybridMultilevel"/>
    <w:tmpl w:val="7A966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52A50"/>
    <w:multiLevelType w:val="hybridMultilevel"/>
    <w:tmpl w:val="08FC23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0163C70"/>
    <w:multiLevelType w:val="multilevel"/>
    <w:tmpl w:val="71F8A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 Bold" w:hAnsi="Times New Roman Bold"/>
        <w:b/>
        <w:i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8CF0414"/>
    <w:multiLevelType w:val="multilevel"/>
    <w:tmpl w:val="39E0D9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 Bold" w:hAnsi="Times New Roman Bold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activeWritingStyle w:appName="MSWord" w:lang="pt-PT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s-ES" w:vendorID="64" w:dllVersion="131078" w:nlCheck="1" w:checkStyle="0"/>
  <w:activeWritingStyle w:appName="MSWord" w:lang="fr-BE" w:vendorID="64" w:dllVersion="131078" w:nlCheck="1" w:checkStyle="0"/>
  <w:activeWritingStyle w:appName="MSWord" w:lang="fr-FR" w:vendorID="64" w:dllVersion="131078" w:nlCheck="1" w:checkStyle="0"/>
  <w:revisionView w:markup="0"/>
  <w:defaultTabStop w:val="720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80CCC9CD-8C4C-4482-BFE5-8523F74C2379"/>
    <w:docVar w:name="LW_COVERPAGE_TYPE" w:val="1"/>
    <w:docVar w:name="LW_CROSSREFERENCE" w:val="{SWD(2020) 171 final}"/>
    <w:docVar w:name="LW_DocType" w:val="NORMAL"/>
    <w:docVar w:name="LW_EMISSION" w:val="2020.9.14."/>
    <w:docVar w:name="LW_EMISSION_ISODATE" w:val="2020-09-14"/>
    <w:docVar w:name="LW_EMISSION_LOCATION" w:val="BRX"/>
    <w:docVar w:name="LW_EMISSION_PREFIX" w:val="Brüsszel, "/>
    <w:docVar w:name="LW_EMISSION_SUFFIX" w:val=" "/>
    <w:docVar w:name="LW_ID_DOCTYPE_NONLW" w:val="CP-006"/>
    <w:docVar w:name="LW_LANGUE" w:val="HU"/>
    <w:docVar w:name="LW_LEVEL_OF_SENSITIVITY" w:val="Standard treatment"/>
    <w:docVar w:name="LW_NOM.INST" w:val="EURÓPAI BIZOTTSÁG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0) 494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Els\u337? jelentés a közönséges t\u337?kehal, a hering és a spratt balti-tengeri állományaira és a halászatukra vonatkozó többéves terv végrehajtásáról"/>
    <w:docVar w:name="LW_TYPE.DOC.CP" w:val="A BIZOTTSÁG JELENTÉSE AZ EURÓPAI PARLAMENTNEK ÉS A TANÁCSNAK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styleId="FootnoteText">
    <w:name w:val="footnote text"/>
    <w:basedOn w:val="Normal"/>
    <w:link w:val="Foot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en-GB"/>
    </w:rPr>
  </w:style>
  <w:style w:type="character" w:customStyle="1" w:styleId="portlet-title-text">
    <w:name w:val="portlet-title-text"/>
    <w:basedOn w:val="DefaultParagraphFont"/>
  </w:style>
  <w:style w:type="paragraph" w:customStyle="1" w:styleId="Style1">
    <w:name w:val="Style1"/>
    <w:basedOn w:val="Footer"/>
    <w:qFormat/>
    <w:rPr>
      <w:rFonts w:ascii="Times New Roman" w:hAnsi="Times New Roma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customStyle="1" w:styleId="SecurityMarking">
    <w:name w:val="SecurityMarking"/>
    <w:basedOn w:val="Normal"/>
    <w:pPr>
      <w:spacing w:after="0" w:line="276" w:lineRule="auto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HeaderSensitivityRight">
    <w:name w:val="Header Sensitivity Right"/>
    <w:basedOn w:val="Normal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character" w:customStyle="1" w:styleId="st">
    <w:name w:val="st"/>
    <w:basedOn w:val="DefaultParagraphFont"/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styleId="FootnoteText">
    <w:name w:val="footnote text"/>
    <w:basedOn w:val="Normal"/>
    <w:link w:val="Foot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en-GB"/>
    </w:rPr>
  </w:style>
  <w:style w:type="character" w:customStyle="1" w:styleId="portlet-title-text">
    <w:name w:val="portlet-title-text"/>
    <w:basedOn w:val="DefaultParagraphFont"/>
  </w:style>
  <w:style w:type="paragraph" w:customStyle="1" w:styleId="Style1">
    <w:name w:val="Style1"/>
    <w:basedOn w:val="Footer"/>
    <w:qFormat/>
    <w:rPr>
      <w:rFonts w:ascii="Times New Roman" w:hAnsi="Times New Roma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customStyle="1" w:styleId="SecurityMarking">
    <w:name w:val="SecurityMarking"/>
    <w:basedOn w:val="Normal"/>
    <w:pPr>
      <w:spacing w:after="0" w:line="276" w:lineRule="auto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HeaderSensitivityRight">
    <w:name w:val="Header Sensitivity Right"/>
    <w:basedOn w:val="Normal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character" w:customStyle="1" w:styleId="st">
    <w:name w:val="st"/>
    <w:basedOn w:val="DefaultParagraphFont"/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3732E21F55C44D9A6CC6CB948763CA" ma:contentTypeVersion="0" ma:contentTypeDescription="Create a new document." ma:contentTypeScope="" ma:versionID="40e1783b592aa34fcb4891194ce66c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CEB52F7-568D-49C6-B31F-E0D256ACB4BD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43311F-5722-4CB1-8155-8D0B86CA8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01746-BA18-45FD-8BAF-D1714EA46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A54053-0EF5-4F59-AABE-63CEFD19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4300</Words>
  <Characters>30530</Characters>
  <Application>Microsoft Office Word</Application>
  <DocSecurity>0</DocSecurity>
  <Lines>412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17</cp:revision>
  <cp:lastPrinted>2019-11-08T14:02:00Z</cp:lastPrinted>
  <dcterms:created xsi:type="dcterms:W3CDTF">2020-08-27T07:58:00Z</dcterms:created>
  <dcterms:modified xsi:type="dcterms:W3CDTF">2020-09-04T05:35:00Z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reated using">
    <vt:lpwstr>LW 6.0.1, Build 20180503</vt:lpwstr>
  </property>
  <property fmtid="{D5CDD505-2E9C-101B-9397-08002B2CF9AE}" pid="7" name="Last edited using">
    <vt:lpwstr>LW 7.0, Build 20190717</vt:lpwstr>
  </property>
  <property fmtid="{D5CDD505-2E9C-101B-9397-08002B2CF9AE}" pid="8" name="CPTemplateID">
    <vt:lpwstr>CP-006</vt:lpwstr>
  </property>
  <property fmtid="{D5CDD505-2E9C-101B-9397-08002B2CF9AE}" pid="9" name="_LW_INVALIDATED__LW_INVALIDATED__LW_INVALIDATED__LW_INVALIDATED_ContentTypeId">
    <vt:lpwstr>0x01010081ECC506078DB840AA0734C63B456C7F</vt:lpwstr>
  </property>
  <property fmtid="{D5CDD505-2E9C-101B-9397-08002B2CF9AE}" pid="10" name="_LW_INVALIDATED__LW_INVALIDATED__LW_INVALIDATED_ContentTypeId">
    <vt:lpwstr>0x010100793732E21F55C44D9A6CC6CB948763CA</vt:lpwstr>
  </property>
  <property name="OP_sanitized" fmtid="{D5CDD505-2E9C-101B-9397-08002B2CF9AE}" pid="11">
    <vt:lpwstr>True</vt:lpwstr>
  </property>
</Properties>
</file>