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564F9D0E-48EE-4A41-BA5E-4D0908070B02" style="width:450.35pt;height:422.5pt">
            <v:imagedata r:id="rId12" o:title=""/>
          </v:shape>
        </w:pict>
      </w:r>
    </w:p>
    <w:bookmarkEnd w:id="0"/>
    <w:p>
      <w:pPr>
        <w:pStyle w:val="Pagedecouverture"/>
        <w:rPr>
          <w:noProof/>
        </w:rPr>
        <w:sectPr>
          <w:headerReference w:type="even" r:id="rId13"/>
          <w:headerReference w:type="default" r:id="rId14"/>
          <w:footerReference w:type="even" r:id="rId15"/>
          <w:footerReference w:type="default" r:id="rId16"/>
          <w:headerReference w:type="first" r:id="rId17"/>
          <w:footerReference w:type="first" r:id="rId18"/>
          <w:pgSz w:w="11906" w:h="16838"/>
          <w:pgMar w:top="1134" w:right="1417" w:bottom="1134" w:left="1417" w:header="709" w:footer="709" w:gutter="0"/>
          <w:pgNumType w:start="0"/>
          <w:cols w:space="720"/>
          <w:docGrid w:linePitch="360"/>
        </w:sectPr>
      </w:pPr>
    </w:p>
    <w:tbl>
      <w:tblPr>
        <w:tblStyle w:val="TableGrid"/>
        <w:tblW w:w="10490" w:type="dxa"/>
        <w:tblInd w:w="-601" w:type="dxa"/>
        <w:tblLook w:val="01E0" w:firstRow="1" w:lastRow="1" w:firstColumn="1" w:lastColumn="1" w:noHBand="0" w:noVBand="0"/>
      </w:tblPr>
      <w:tblGrid>
        <w:gridCol w:w="10490"/>
      </w:tblGrid>
      <w:tr>
        <w:tc>
          <w:tcPr>
            <w:tcW w:w="10490" w:type="dxa"/>
            <w:tcBorders>
              <w:bottom w:val="single" w:sz="4" w:space="0" w:color="auto"/>
            </w:tcBorders>
            <w:shd w:val="clear" w:color="auto" w:fill="CCCCCC"/>
          </w:tcPr>
          <w:p>
            <w:pPr>
              <w:spacing w:before="60" w:after="60"/>
              <w:jc w:val="center"/>
              <w:rPr>
                <w:rFonts w:ascii="Tahoma" w:hAnsi="Tahoma" w:cs="Tahoma"/>
                <w:b/>
                <w:noProof/>
                <w:sz w:val="22"/>
                <w:szCs w:val="22"/>
              </w:rPr>
            </w:pPr>
            <w:bookmarkStart w:id="1" w:name="_GoBack"/>
            <w:bookmarkEnd w:id="1"/>
            <w:r>
              <w:rPr>
                <w:rFonts w:ascii="Tahoma" w:hAnsi="Tahoma"/>
                <w:b/>
                <w:noProof/>
                <w:sz w:val="22"/>
              </w:rPr>
              <w:lastRenderedPageBreak/>
              <w:t>Vezetői összefoglaló</w:t>
            </w:r>
          </w:p>
        </w:tc>
      </w:tr>
      <w:tr>
        <w:tc>
          <w:tcPr>
            <w:tcW w:w="10490" w:type="dxa"/>
            <w:tcBorders>
              <w:top w:val="single" w:sz="4" w:space="0" w:color="auto"/>
              <w:left w:val="single" w:sz="4" w:space="0" w:color="auto"/>
              <w:bottom w:val="single" w:sz="4" w:space="0" w:color="auto"/>
              <w:right w:val="single" w:sz="4" w:space="0" w:color="auto"/>
            </w:tcBorders>
            <w:shd w:val="clear" w:color="auto" w:fill="4F81BD" w:themeFill="accent1"/>
          </w:tcPr>
          <w:p>
            <w:pPr>
              <w:spacing w:before="120" w:after="120"/>
              <w:jc w:val="both"/>
              <w:rPr>
                <w:rFonts w:ascii="Tahoma" w:hAnsi="Tahoma" w:cs="Tahoma"/>
                <w:b/>
                <w:noProof/>
                <w:sz w:val="20"/>
                <w:szCs w:val="20"/>
              </w:rPr>
            </w:pPr>
            <w:r>
              <w:rPr>
                <w:rFonts w:ascii="Tahoma" w:hAnsi="Tahoma"/>
                <w:noProof/>
                <w:color w:val="FFFFFF" w:themeColor="background1"/>
                <w:sz w:val="20"/>
              </w:rPr>
              <w:t>Hatásvizsgálat a vámügyi együttműködést szolgáló Vám program létrehozásáról szóló európai parlamenti és tanácsi rendeletre irányuló javaslathoz</w:t>
            </w:r>
          </w:p>
        </w:tc>
      </w:tr>
      <w:tr>
        <w:tc>
          <w:tcPr>
            <w:tcW w:w="10490" w:type="dxa"/>
            <w:tcBorders>
              <w:bottom w:val="single" w:sz="4" w:space="0" w:color="auto"/>
            </w:tcBorders>
            <w:shd w:val="clear" w:color="auto" w:fill="CCCCCC"/>
          </w:tcPr>
          <w:p>
            <w:pPr>
              <w:spacing w:before="60" w:after="60"/>
              <w:jc w:val="center"/>
              <w:rPr>
                <w:rFonts w:ascii="Tahoma" w:hAnsi="Tahoma" w:cs="Tahoma"/>
                <w:b/>
                <w:noProof/>
                <w:sz w:val="22"/>
                <w:szCs w:val="22"/>
              </w:rPr>
            </w:pPr>
            <w:r>
              <w:rPr>
                <w:rFonts w:ascii="Tahoma" w:hAnsi="Tahoma"/>
                <w:b/>
                <w:noProof/>
                <w:sz w:val="22"/>
              </w:rPr>
              <w:t>A. A fellépés szükségessége</w:t>
            </w:r>
          </w:p>
        </w:tc>
      </w:tr>
      <w:tr>
        <w:tc>
          <w:tcPr>
            <w:tcW w:w="10490" w:type="dxa"/>
            <w:tcBorders>
              <w:bottom w:val="single" w:sz="4" w:space="0" w:color="auto"/>
            </w:tcBorders>
            <w:shd w:val="clear" w:color="auto" w:fill="E0E0E0"/>
          </w:tcPr>
          <w:p>
            <w:pPr>
              <w:spacing w:before="60" w:after="60"/>
              <w:jc w:val="both"/>
              <w:rPr>
                <w:rFonts w:ascii="Tahoma" w:hAnsi="Tahoma" w:cs="Tahoma"/>
                <w:noProof/>
                <w:sz w:val="20"/>
                <w:szCs w:val="20"/>
              </w:rPr>
            </w:pPr>
            <w:r>
              <w:rPr>
                <w:rFonts w:ascii="Tahoma" w:hAnsi="Tahoma"/>
                <w:b/>
                <w:noProof/>
                <w:sz w:val="20"/>
              </w:rPr>
              <w:t xml:space="preserve">Miért? Milyen problémát kell megoldani? </w:t>
            </w:r>
          </w:p>
        </w:tc>
      </w:tr>
      <w:tr>
        <w:tc>
          <w:tcPr>
            <w:tcW w:w="10490" w:type="dxa"/>
            <w:tcBorders>
              <w:bottom w:val="single" w:sz="4" w:space="0" w:color="auto"/>
            </w:tcBorders>
            <w:shd w:val="clear" w:color="auto" w:fill="auto"/>
          </w:tcPr>
          <w:p>
            <w:pPr>
              <w:jc w:val="both"/>
              <w:rPr>
                <w:rFonts w:ascii="Arial" w:hAnsi="Arial" w:cs="Arial"/>
                <w:noProof/>
                <w:color w:val="1036A0"/>
                <w:sz w:val="20"/>
                <w:szCs w:val="20"/>
              </w:rPr>
            </w:pPr>
            <w:r>
              <w:rPr>
                <w:rFonts w:ascii="Arial" w:hAnsi="Arial"/>
                <w:noProof/>
                <w:color w:val="1036A0"/>
                <w:sz w:val="20"/>
              </w:rPr>
              <w:t xml:space="preserve">Az elmúlt évek során a vámügyi teljesítményt olyan </w:t>
            </w:r>
            <w:r>
              <w:rPr>
                <w:rFonts w:ascii="Arial" w:hAnsi="Arial"/>
                <w:b/>
                <w:noProof/>
                <w:color w:val="1036A0"/>
                <w:sz w:val="20"/>
              </w:rPr>
              <w:t>trendek</w:t>
            </w:r>
            <w:r>
              <w:rPr>
                <w:rFonts w:ascii="Arial" w:hAnsi="Arial"/>
                <w:noProof/>
                <w:color w:val="1036A0"/>
                <w:sz w:val="20"/>
              </w:rPr>
              <w:t xml:space="preserve"> befolyásolták, mint a </w:t>
            </w:r>
            <w:r>
              <w:rPr>
                <w:rFonts w:ascii="Arial" w:hAnsi="Arial"/>
                <w:noProof/>
                <w:color w:val="1036A0"/>
                <w:sz w:val="20"/>
                <w:u w:val="single"/>
              </w:rPr>
              <w:t>globalizáció</w:t>
            </w:r>
            <w:r>
              <w:rPr>
                <w:rFonts w:ascii="Arial" w:hAnsi="Arial"/>
                <w:noProof/>
                <w:color w:val="1036A0"/>
                <w:sz w:val="20"/>
              </w:rPr>
              <w:t xml:space="preserve">, amely az áruk mennyiségének – és a megfelelő adatoknak – exponenciális növekedését idézi elő, valamint az egyre növekvő </w:t>
            </w:r>
            <w:r>
              <w:rPr>
                <w:rFonts w:ascii="Arial" w:hAnsi="Arial"/>
                <w:noProof/>
                <w:color w:val="1036A0"/>
                <w:sz w:val="20"/>
                <w:u w:val="single"/>
              </w:rPr>
              <w:t>biztonsági fenyegetések és a transznacionális bűnözés</w:t>
            </w:r>
            <w:r>
              <w:rPr>
                <w:rFonts w:ascii="Arial" w:hAnsi="Arial"/>
                <w:noProof/>
                <w:color w:val="1036A0"/>
                <w:sz w:val="20"/>
              </w:rPr>
              <w:t xml:space="preserve">. Erre reagálva </w:t>
            </w:r>
            <w:r>
              <w:rPr>
                <w:rFonts w:ascii="Arial" w:hAnsi="Arial"/>
                <w:noProof/>
                <w:color w:val="1036A0"/>
                <w:sz w:val="20"/>
                <w:u w:val="single"/>
              </w:rPr>
              <w:t>került kezdeményezésre a vámunió Uniós Vámkódex révén történő korszerűsítése</w:t>
            </w:r>
            <w:r>
              <w:rPr>
                <w:rStyle w:val="FootnoteReference"/>
                <w:rFonts w:ascii="Arial" w:hAnsi="Arial"/>
                <w:noProof/>
                <w:color w:val="1036A0"/>
                <w:sz w:val="20"/>
              </w:rPr>
              <w:footnoteReference w:id="1"/>
            </w:r>
            <w:r>
              <w:rPr>
                <w:rFonts w:ascii="Arial" w:hAnsi="Arial"/>
                <w:noProof/>
                <w:color w:val="1036A0"/>
                <w:sz w:val="20"/>
              </w:rPr>
              <w:t xml:space="preserve">, amihez több új európai elektronikus rendszer szükséges. A gyorsan </w:t>
            </w:r>
            <w:r>
              <w:rPr>
                <w:rFonts w:ascii="Arial" w:hAnsi="Arial"/>
                <w:noProof/>
                <w:color w:val="1036A0"/>
                <w:sz w:val="20"/>
                <w:u w:val="single"/>
              </w:rPr>
              <w:t>változó technológiák</w:t>
            </w:r>
            <w:r>
              <w:rPr>
                <w:rFonts w:ascii="Arial" w:hAnsi="Arial"/>
                <w:noProof/>
                <w:color w:val="1036A0"/>
                <w:sz w:val="20"/>
              </w:rPr>
              <w:t xml:space="preserve"> (digitalizáció, összekapcsoltság, a dolgok internete, blokklánc), az új </w:t>
            </w:r>
            <w:r>
              <w:rPr>
                <w:rFonts w:ascii="Arial" w:hAnsi="Arial"/>
                <w:noProof/>
                <w:color w:val="1036A0"/>
                <w:sz w:val="20"/>
                <w:u w:val="single"/>
              </w:rPr>
              <w:t>üzleti modellek</w:t>
            </w:r>
            <w:r>
              <w:rPr>
                <w:rFonts w:ascii="Arial" w:hAnsi="Arial"/>
                <w:noProof/>
                <w:color w:val="1036A0"/>
                <w:sz w:val="20"/>
              </w:rPr>
              <w:t xml:space="preserve"> (e-kereskedelem, az ellátási láncok optimalizálása) és a </w:t>
            </w:r>
            <w:r>
              <w:rPr>
                <w:rFonts w:ascii="Arial" w:hAnsi="Arial"/>
                <w:noProof/>
                <w:color w:val="1036A0"/>
                <w:sz w:val="20"/>
                <w:u w:val="single"/>
              </w:rPr>
              <w:t>közpénzből származó források csökkenése</w:t>
            </w:r>
            <w:r>
              <w:rPr>
                <w:rFonts w:ascii="Arial" w:hAnsi="Arial"/>
                <w:noProof/>
                <w:color w:val="1036A0"/>
                <w:sz w:val="20"/>
              </w:rPr>
              <w:t xml:space="preserve"> további új kihívások elé állítják a vámigazgatási szerveket. </w:t>
            </w:r>
          </w:p>
          <w:p>
            <w:pPr>
              <w:jc w:val="both"/>
              <w:rPr>
                <w:rFonts w:ascii="Arial" w:hAnsi="Arial" w:cs="Arial"/>
                <w:noProof/>
                <w:color w:val="1036A0"/>
                <w:sz w:val="20"/>
                <w:szCs w:val="20"/>
              </w:rPr>
            </w:pPr>
            <w:r>
              <w:rPr>
                <w:rFonts w:ascii="Arial" w:hAnsi="Arial"/>
                <w:noProof/>
                <w:color w:val="1036A0"/>
                <w:sz w:val="20"/>
              </w:rPr>
              <w:t xml:space="preserve">E háttér ismeretében a vámunió működése azzal a </w:t>
            </w:r>
            <w:r>
              <w:rPr>
                <w:rFonts w:ascii="Arial" w:hAnsi="Arial"/>
                <w:b/>
                <w:noProof/>
                <w:color w:val="1036A0"/>
                <w:sz w:val="20"/>
                <w:u w:val="single"/>
              </w:rPr>
              <w:t>problémával</w:t>
            </w:r>
            <w:r>
              <w:rPr>
                <w:rFonts w:ascii="Arial" w:hAnsi="Arial"/>
                <w:noProof/>
                <w:color w:val="1036A0"/>
                <w:sz w:val="20"/>
              </w:rPr>
              <w:t xml:space="preserve"> küzd, hogy </w:t>
            </w:r>
            <w:r>
              <w:rPr>
                <w:rFonts w:ascii="Arial" w:hAnsi="Arial"/>
                <w:noProof/>
                <w:color w:val="1036A0"/>
                <w:sz w:val="20"/>
                <w:u w:val="single"/>
              </w:rPr>
              <w:t>nincs kellő egységesség</w:t>
            </w:r>
            <w:r>
              <w:rPr>
                <w:rFonts w:ascii="Arial" w:hAnsi="Arial"/>
                <w:noProof/>
                <w:color w:val="1036A0"/>
                <w:sz w:val="20"/>
              </w:rPr>
              <w:t xml:space="preserve">, </w:t>
            </w:r>
            <w:r>
              <w:rPr>
                <w:rFonts w:ascii="Arial" w:hAnsi="Arial"/>
                <w:noProof/>
                <w:color w:val="1036A0"/>
                <w:sz w:val="20"/>
                <w:u w:val="single"/>
              </w:rPr>
              <w:t>és</w:t>
            </w:r>
            <w:r>
              <w:rPr>
                <w:rFonts w:ascii="Arial" w:hAnsi="Arial"/>
                <w:noProof/>
                <w:color w:val="1036A0"/>
                <w:sz w:val="20"/>
              </w:rPr>
              <w:t xml:space="preserve"> a vámigazgatások </w:t>
            </w:r>
            <w:r>
              <w:rPr>
                <w:rFonts w:ascii="Arial" w:hAnsi="Arial"/>
                <w:noProof/>
                <w:color w:val="1036A0"/>
                <w:sz w:val="20"/>
                <w:u w:val="single"/>
              </w:rPr>
              <w:t>nélkülözik a hatékonyságot</w:t>
            </w:r>
            <w:r>
              <w:rPr>
                <w:rFonts w:ascii="Arial" w:hAnsi="Arial"/>
                <w:noProof/>
                <w:color w:val="1036A0"/>
                <w:sz w:val="20"/>
              </w:rPr>
              <w:t>. E probléma mögött három ok húzódik meg: a vámigazgatások nem egyforma kapacitása; a jogszabályok (a Vámkódex és egyéb jogszabályok) nem egységes értelmezése és végrehajtása; a vámigazgatások és más érdekelt felek közötti együttműködés előtt álló akadályok.</w:t>
            </w:r>
          </w:p>
          <w:p>
            <w:pPr>
              <w:jc w:val="both"/>
              <w:rPr>
                <w:rFonts w:ascii="Arial" w:hAnsi="Arial" w:cs="Arial"/>
                <w:noProof/>
                <w:sz w:val="20"/>
                <w:szCs w:val="20"/>
              </w:rPr>
            </w:pPr>
            <w:r>
              <w:rPr>
                <w:rFonts w:ascii="Arial" w:hAnsi="Arial"/>
                <w:noProof/>
                <w:color w:val="1036A0"/>
                <w:sz w:val="20"/>
              </w:rPr>
              <w:t xml:space="preserve">E teljesítményproblémának az a </w:t>
            </w:r>
            <w:r>
              <w:rPr>
                <w:rFonts w:ascii="Arial" w:hAnsi="Arial"/>
                <w:b/>
                <w:noProof/>
                <w:color w:val="1036A0"/>
                <w:sz w:val="20"/>
              </w:rPr>
              <w:t>hatása</w:t>
            </w:r>
            <w:r>
              <w:rPr>
                <w:rFonts w:ascii="Arial" w:hAnsi="Arial"/>
                <w:noProof/>
                <w:color w:val="1036A0"/>
                <w:sz w:val="20"/>
              </w:rPr>
              <w:t xml:space="preserve">, hogy </w:t>
            </w:r>
            <w:r>
              <w:rPr>
                <w:rFonts w:ascii="Arial" w:hAnsi="Arial"/>
                <w:noProof/>
                <w:color w:val="1036A0"/>
                <w:sz w:val="20"/>
                <w:u w:val="single"/>
              </w:rPr>
              <w:t>a vámunió nem érte el teljes potenciálját</w:t>
            </w:r>
            <w:r>
              <w:rPr>
                <w:rFonts w:ascii="Arial" w:hAnsi="Arial"/>
                <w:noProof/>
                <w:color w:val="1036A0"/>
                <w:sz w:val="20"/>
              </w:rPr>
              <w:t xml:space="preserve">, ami viszont veszélyezteti a belső piac működését, rontja a társadalmi igazságosságot, és aláássa az EU versenyképességét. </w:t>
            </w:r>
          </w:p>
        </w:tc>
      </w:tr>
      <w:tr>
        <w:tc>
          <w:tcPr>
            <w:tcW w:w="10490" w:type="dxa"/>
            <w:tcBorders>
              <w:bottom w:val="single" w:sz="4" w:space="0" w:color="auto"/>
            </w:tcBorders>
            <w:shd w:val="clear" w:color="auto" w:fill="E6E6E6"/>
          </w:tcPr>
          <w:p>
            <w:pPr>
              <w:spacing w:before="60" w:after="60"/>
              <w:jc w:val="both"/>
              <w:rPr>
                <w:rFonts w:ascii="Tahoma" w:hAnsi="Tahoma" w:cs="Tahoma"/>
                <w:noProof/>
                <w:sz w:val="20"/>
                <w:szCs w:val="20"/>
              </w:rPr>
            </w:pPr>
            <w:r>
              <w:rPr>
                <w:rFonts w:ascii="Tahoma" w:hAnsi="Tahoma"/>
                <w:b/>
                <w:noProof/>
                <w:sz w:val="20"/>
              </w:rPr>
              <w:t xml:space="preserve">Mi a kezdeményezés várható eredménye? </w:t>
            </w:r>
          </w:p>
        </w:tc>
      </w:tr>
      <w:tr>
        <w:tc>
          <w:tcPr>
            <w:tcW w:w="10490" w:type="dxa"/>
            <w:tcBorders>
              <w:bottom w:val="single" w:sz="4" w:space="0" w:color="auto"/>
            </w:tcBorders>
            <w:shd w:val="clear" w:color="auto" w:fill="auto"/>
          </w:tcPr>
          <w:p>
            <w:pPr>
              <w:jc w:val="both"/>
              <w:rPr>
                <w:rFonts w:ascii="Arial" w:hAnsi="Arial" w:cs="Arial"/>
                <w:noProof/>
                <w:color w:val="1036A0"/>
                <w:sz w:val="20"/>
                <w:szCs w:val="20"/>
              </w:rPr>
            </w:pPr>
            <w:r>
              <w:rPr>
                <w:rFonts w:ascii="Arial" w:hAnsi="Arial"/>
                <w:noProof/>
                <w:color w:val="1036A0"/>
                <w:sz w:val="20"/>
              </w:rPr>
              <w:t>1.</w:t>
            </w:r>
            <w:r>
              <w:rPr>
                <w:noProof/>
              </w:rPr>
              <w:t> </w:t>
            </w:r>
            <w:r>
              <w:rPr>
                <w:rFonts w:ascii="Arial" w:hAnsi="Arial"/>
                <w:noProof/>
                <w:color w:val="1036A0"/>
                <w:sz w:val="20"/>
              </w:rPr>
              <w:t xml:space="preserve">A program </w:t>
            </w:r>
            <w:r>
              <w:rPr>
                <w:rFonts w:ascii="Arial" w:hAnsi="Arial"/>
                <w:noProof/>
                <w:color w:val="1036A0"/>
                <w:sz w:val="20"/>
                <w:u w:val="single"/>
              </w:rPr>
              <w:t>általános célkitűzése</w:t>
            </w:r>
            <w:r>
              <w:rPr>
                <w:rFonts w:ascii="Arial" w:hAnsi="Arial"/>
                <w:noProof/>
                <w:color w:val="1036A0"/>
                <w:sz w:val="20"/>
              </w:rPr>
              <w:t>, hogy támogassa a vámuniót és a vámhatóságokat az Unió és tagállamai pénzügyi és gazdasági érdekeinek védelme, az Unió biztonságának és védelmének biztosítása, valamint az Uniónak a tisztességtelen és illegális kereskedelem elleni védelme érdekében, miközben megkönnyíti a törvényes üzleti tevékenység végzését.</w:t>
            </w:r>
          </w:p>
          <w:p>
            <w:pPr>
              <w:jc w:val="both"/>
              <w:rPr>
                <w:rFonts w:ascii="Arial" w:hAnsi="Arial" w:cs="Arial"/>
                <w:noProof/>
                <w:sz w:val="20"/>
                <w:szCs w:val="20"/>
              </w:rPr>
            </w:pPr>
            <w:r>
              <w:rPr>
                <w:rFonts w:ascii="Arial" w:hAnsi="Arial"/>
                <w:noProof/>
                <w:color w:val="1036A0"/>
                <w:sz w:val="20"/>
              </w:rPr>
              <w:t xml:space="preserve">2. A program </w:t>
            </w:r>
            <w:r>
              <w:rPr>
                <w:rFonts w:ascii="Arial" w:hAnsi="Arial"/>
                <w:noProof/>
                <w:color w:val="1036A0"/>
                <w:sz w:val="20"/>
                <w:u w:val="single"/>
              </w:rPr>
              <w:t>egyedi célkitűzése</w:t>
            </w:r>
            <w:r>
              <w:rPr>
                <w:rFonts w:ascii="Arial" w:hAnsi="Arial"/>
                <w:noProof/>
                <w:color w:val="1036A0"/>
                <w:sz w:val="20"/>
              </w:rPr>
              <w:t>, hogy támogassa a vámjogszabályok és a vámügyi szakpolitika előkészítését és egységes végrehajtását, valamint a vámügyi együttműködést és az adminisztratív kapacitásépítést, beleértve az emberi képességfejlesztést és az európai elektronikus rendszerek kifejlesztését és működtetését is.</w:t>
            </w:r>
          </w:p>
        </w:tc>
      </w:tr>
      <w:tr>
        <w:tc>
          <w:tcPr>
            <w:tcW w:w="10490" w:type="dxa"/>
            <w:tcBorders>
              <w:bottom w:val="single" w:sz="4" w:space="0" w:color="auto"/>
            </w:tcBorders>
            <w:shd w:val="clear" w:color="auto" w:fill="E6E6E6"/>
          </w:tcPr>
          <w:p>
            <w:pPr>
              <w:spacing w:before="60" w:after="60"/>
              <w:jc w:val="both"/>
              <w:rPr>
                <w:rFonts w:ascii="Tahoma" w:hAnsi="Tahoma" w:cs="Tahoma"/>
                <w:noProof/>
                <w:sz w:val="20"/>
                <w:szCs w:val="20"/>
              </w:rPr>
            </w:pPr>
            <w:r>
              <w:rPr>
                <w:rFonts w:ascii="Tahoma" w:hAnsi="Tahoma"/>
                <w:b/>
                <w:noProof/>
                <w:sz w:val="20"/>
              </w:rPr>
              <w:t>Milyen többletértéket képvisel az uniós szintű fellépés?</w:t>
            </w:r>
            <w:r>
              <w:rPr>
                <w:rFonts w:ascii="Tahoma" w:hAnsi="Tahoma"/>
                <w:noProof/>
                <w:sz w:val="20"/>
              </w:rPr>
              <w:t xml:space="preserve"> </w:t>
            </w:r>
          </w:p>
        </w:tc>
      </w:tr>
      <w:tr>
        <w:tc>
          <w:tcPr>
            <w:tcW w:w="10490" w:type="dxa"/>
            <w:tcBorders>
              <w:bottom w:val="single" w:sz="4" w:space="0" w:color="auto"/>
            </w:tcBorders>
            <w:shd w:val="clear" w:color="auto" w:fill="auto"/>
          </w:tcPr>
          <w:p>
            <w:pPr>
              <w:jc w:val="both"/>
              <w:rPr>
                <w:rFonts w:ascii="Arial" w:hAnsi="Arial" w:cs="Arial"/>
                <w:noProof/>
                <w:sz w:val="20"/>
                <w:szCs w:val="20"/>
              </w:rPr>
            </w:pPr>
            <w:r>
              <w:rPr>
                <w:rFonts w:ascii="Arial" w:hAnsi="Arial"/>
                <w:noProof/>
                <w:color w:val="1036A0"/>
                <w:sz w:val="20"/>
              </w:rPr>
              <w:t xml:space="preserve">Noha a vámügyek területe kizárólagos uniós hatáskörbe tartozó terület, amelyre nagy mértékben harmonizált uniós jogszabályok vonatkoznak, a végrehajtás teljes mértékben az egyes tagállamokra hárul, és a </w:t>
            </w:r>
            <w:r>
              <w:rPr>
                <w:rFonts w:ascii="Arial" w:hAnsi="Arial"/>
                <w:noProof/>
                <w:color w:val="1036A0"/>
                <w:sz w:val="20"/>
                <w:u w:val="single"/>
              </w:rPr>
              <w:t>vámunió ezért csak annyira lehet erős, mint a leggyengébb láncszeme</w:t>
            </w:r>
            <w:r>
              <w:rPr>
                <w:rFonts w:ascii="Arial" w:hAnsi="Arial"/>
                <w:noProof/>
                <w:color w:val="1036A0"/>
                <w:sz w:val="20"/>
              </w:rPr>
              <w:t xml:space="preserve">. A globális és transzeurópai kihívásokkal való hatékony és Európa-szerte következetes szembenézést nem képes külön az EU vagy az egyes tagállamok megvalósítani. Ehhez a nemzeti vámigazgatások közötti együttműködésre és operatív integrációra van szükség. A hozzáadott érték </w:t>
            </w:r>
            <w:r>
              <w:rPr>
                <w:rFonts w:ascii="Arial" w:hAnsi="Arial"/>
                <w:noProof/>
                <w:color w:val="1036A0"/>
                <w:sz w:val="20"/>
                <w:u w:val="single"/>
              </w:rPr>
              <w:t>leginkább az informatika területén van jelen</w:t>
            </w:r>
            <w:r>
              <w:rPr>
                <w:rFonts w:ascii="Arial" w:hAnsi="Arial"/>
                <w:noProof/>
                <w:color w:val="1036A0"/>
                <w:sz w:val="20"/>
              </w:rPr>
              <w:t xml:space="preserve">, ahol a program lehetővé teszi több közösen meghatározott európai informatikai rendszer kifejlesztését és működtetését, kisebb költséggel, mint ha ezt nemzeti szinten valósítanák meg. </w:t>
            </w:r>
          </w:p>
        </w:tc>
      </w:tr>
      <w:tr>
        <w:tc>
          <w:tcPr>
            <w:tcW w:w="10490" w:type="dxa"/>
            <w:tcBorders>
              <w:bottom w:val="single" w:sz="4" w:space="0" w:color="auto"/>
            </w:tcBorders>
            <w:shd w:val="clear" w:color="auto" w:fill="CCCCCC"/>
          </w:tcPr>
          <w:p>
            <w:pPr>
              <w:keepNext/>
              <w:keepLines/>
              <w:spacing w:before="60" w:after="60"/>
              <w:jc w:val="center"/>
              <w:rPr>
                <w:rFonts w:ascii="Tahoma" w:hAnsi="Tahoma" w:cs="Tahoma"/>
                <w:b/>
                <w:noProof/>
                <w:sz w:val="22"/>
                <w:szCs w:val="22"/>
              </w:rPr>
            </w:pPr>
            <w:r>
              <w:rPr>
                <w:rFonts w:ascii="Tahoma" w:hAnsi="Tahoma"/>
                <w:b/>
                <w:noProof/>
                <w:sz w:val="22"/>
              </w:rPr>
              <w:t>B. Megoldások</w:t>
            </w:r>
          </w:p>
        </w:tc>
      </w:tr>
      <w:tr>
        <w:tc>
          <w:tcPr>
            <w:tcW w:w="10490" w:type="dxa"/>
            <w:tcBorders>
              <w:bottom w:val="single" w:sz="4" w:space="0" w:color="auto"/>
            </w:tcBorders>
            <w:shd w:val="clear" w:color="auto" w:fill="E6E6E6"/>
          </w:tcPr>
          <w:p>
            <w:pPr>
              <w:spacing w:before="60"/>
              <w:jc w:val="both"/>
              <w:rPr>
                <w:rFonts w:ascii="Tahoma" w:hAnsi="Tahoma" w:cs="Tahoma"/>
                <w:noProof/>
                <w:sz w:val="20"/>
                <w:szCs w:val="20"/>
              </w:rPr>
            </w:pPr>
            <w:r>
              <w:rPr>
                <w:rFonts w:ascii="Tahoma" w:hAnsi="Tahoma"/>
                <w:b/>
                <w:noProof/>
                <w:sz w:val="20"/>
              </w:rPr>
              <w:t>Milyen jogalkotási és nem jogalkotási szakpolitikai alternatívák merültek fel? Van-e előnyben részesített megoldás? Miért?</w:t>
            </w:r>
            <w:r>
              <w:rPr>
                <w:rFonts w:ascii="Tahoma" w:hAnsi="Tahoma"/>
                <w:noProof/>
                <w:sz w:val="20"/>
              </w:rPr>
              <w:t xml:space="preserve"> </w:t>
            </w:r>
          </w:p>
        </w:tc>
      </w:tr>
      <w:tr>
        <w:tc>
          <w:tcPr>
            <w:tcW w:w="10490" w:type="dxa"/>
            <w:tcBorders>
              <w:bottom w:val="single" w:sz="4" w:space="0" w:color="auto"/>
            </w:tcBorders>
            <w:shd w:val="clear" w:color="auto" w:fill="auto"/>
          </w:tcPr>
          <w:p>
            <w:pPr>
              <w:spacing w:before="60" w:after="60"/>
              <w:jc w:val="both"/>
              <w:rPr>
                <w:rFonts w:ascii="Arial" w:hAnsi="Arial" w:cs="Arial"/>
                <w:noProof/>
                <w:color w:val="1036A0"/>
                <w:sz w:val="20"/>
                <w:szCs w:val="20"/>
              </w:rPr>
            </w:pPr>
            <w:r>
              <w:rPr>
                <w:rFonts w:ascii="Arial" w:hAnsi="Arial"/>
                <w:noProof/>
                <w:color w:val="1036A0"/>
                <w:sz w:val="20"/>
              </w:rPr>
              <w:t xml:space="preserve">A mérlegelt különböző szakpolitikai alternatívák főként a programmal kapcsolatos politikai ambíció mértékétől függenek. A legfontosabb alternatívák a „2. alternatíva – Kritikus tömeg” és a </w:t>
            </w:r>
            <w:r>
              <w:rPr>
                <w:rFonts w:ascii="Arial" w:hAnsi="Arial"/>
                <w:noProof/>
                <w:color w:val="1036A0"/>
                <w:sz w:val="20"/>
                <w:u w:val="single"/>
              </w:rPr>
              <w:t>„3. alternatíva – Folytonosság plusz” (előnyben részesített alternatíva)</w:t>
            </w:r>
            <w:r>
              <w:rPr>
                <w:rFonts w:ascii="Arial" w:hAnsi="Arial"/>
                <w:noProof/>
                <w:color w:val="1036A0"/>
                <w:sz w:val="20"/>
              </w:rPr>
              <w:t xml:space="preserve">: </w:t>
            </w:r>
          </w:p>
          <w:p>
            <w:pPr>
              <w:pStyle w:val="ListParagraph"/>
              <w:numPr>
                <w:ilvl w:val="0"/>
                <w:numId w:val="1"/>
              </w:numPr>
              <w:spacing w:before="60"/>
              <w:jc w:val="both"/>
              <w:rPr>
                <w:rFonts w:ascii="Arial" w:hAnsi="Arial" w:cs="Arial"/>
                <w:noProof/>
                <w:sz w:val="20"/>
                <w:szCs w:val="20"/>
              </w:rPr>
            </w:pPr>
            <w:r>
              <w:rPr>
                <w:rFonts w:ascii="Arial" w:hAnsi="Arial"/>
                <w:noProof/>
                <w:color w:val="1036A0"/>
                <w:sz w:val="20"/>
                <w:u w:val="single"/>
              </w:rPr>
              <w:t>2. alternatíva: Kritikus tömeg</w:t>
            </w:r>
            <w:r>
              <w:rPr>
                <w:rFonts w:ascii="Arial" w:hAnsi="Arial"/>
                <w:noProof/>
                <w:color w:val="1036A0"/>
                <w:sz w:val="20"/>
              </w:rPr>
              <w:t>: ennek az alternatívának a célja a Vámkódexhez kapcsolódó, illetve egyes új (nem a Vámkódexhez kapcsolódó) elektronikus rendszerek finanszírozása, biztosítva az uniós vámügyi tevékenységek folytonosságát és megfelelve az uniós vámügyi jogszabályok szerinti új kötelezettségeknek. Ez a forgatókönyv, amely semmilyen más törekvést nem tartalmaz, mint a Vámkódex és a már javasolt jogszabályok végrehajtásának elérését, az uniós vámügyi törekvések alapos újragondolását tenné szükségessé.</w:t>
            </w:r>
          </w:p>
          <w:p>
            <w:pPr>
              <w:pStyle w:val="ListParagraph"/>
              <w:numPr>
                <w:ilvl w:val="0"/>
                <w:numId w:val="1"/>
              </w:numPr>
              <w:spacing w:before="60"/>
              <w:jc w:val="both"/>
              <w:rPr>
                <w:rFonts w:ascii="Arial" w:hAnsi="Arial" w:cs="Arial"/>
                <w:noProof/>
                <w:sz w:val="20"/>
                <w:szCs w:val="20"/>
              </w:rPr>
            </w:pPr>
            <w:r>
              <w:rPr>
                <w:rFonts w:ascii="Arial" w:hAnsi="Arial"/>
                <w:noProof/>
                <w:color w:val="1036A0"/>
                <w:sz w:val="20"/>
                <w:u w:val="single"/>
              </w:rPr>
              <w:t>3. alternatíva: „Folytonosság plusz”</w:t>
            </w:r>
            <w:r>
              <w:rPr>
                <w:rFonts w:ascii="Arial" w:hAnsi="Arial"/>
                <w:noProof/>
                <w:color w:val="1036A0"/>
                <w:sz w:val="20"/>
              </w:rPr>
              <w:t xml:space="preserve">: ez az alternatíva a vámunió jelenlegi és jövőbeli kihívásainak eredményes kezelésére tesz javaslatot. Célja az uniós vámigazgatások teljesítményének megerősítéséhez szükséges intézkedések lehetővé tétele. Közelebbről: az informatikai kapacitásépítés biztosítaná, hogy új (nem a Vámkódexhez kapcsolódó) vámügyi informatikai projekteket is fel lehessen venni, és lehetséges legyen az innováció. Az alternatíva keretében fokozódna és javulna az együttműködés, hogy megerősödjenek a vámigazgatások ahhoz szükséges kapacitásai, hogy együttműködjenek más hatóságokkal, biztosítsák a szabályok betartását, küzdjenek a csalás ellen és növeljék a biztonságot, nagyobb mértékben dolgozzanak tematikus vagy földrajzi alapon szerveződő csoportokban, és követni tudják az új informatikai környezet által előidézett mélyebb integrációt. Ez az alternatíva, amely korlátozott mértékben igényelne pótlólagos eszközöket, jelentősen növelné a program általános uniós hozzáadott értékét. </w:t>
            </w:r>
          </w:p>
        </w:tc>
      </w:tr>
      <w:tr>
        <w:tc>
          <w:tcPr>
            <w:tcW w:w="10490" w:type="dxa"/>
            <w:shd w:val="clear" w:color="auto" w:fill="CCCCCC"/>
          </w:tcPr>
          <w:p>
            <w:pPr>
              <w:spacing w:before="60"/>
              <w:jc w:val="both"/>
              <w:rPr>
                <w:rFonts w:ascii="Tahoma" w:hAnsi="Tahoma" w:cs="Tahoma"/>
                <w:noProof/>
                <w:sz w:val="20"/>
                <w:szCs w:val="20"/>
              </w:rPr>
            </w:pPr>
            <w:r>
              <w:rPr>
                <w:rFonts w:ascii="Tahoma" w:hAnsi="Tahoma"/>
                <w:b/>
                <w:noProof/>
                <w:sz w:val="20"/>
              </w:rPr>
              <w:t>Ki melyik alternatívát támogatja?</w:t>
            </w:r>
            <w:r>
              <w:rPr>
                <w:rFonts w:ascii="Tahoma" w:hAnsi="Tahoma"/>
                <w:noProof/>
                <w:sz w:val="20"/>
              </w:rPr>
              <w:t xml:space="preserve"> </w:t>
            </w:r>
          </w:p>
        </w:tc>
      </w:tr>
      <w:tr>
        <w:tc>
          <w:tcPr>
            <w:tcW w:w="10490" w:type="dxa"/>
            <w:shd w:val="clear" w:color="auto" w:fill="auto"/>
          </w:tcPr>
          <w:p>
            <w:pPr>
              <w:spacing w:before="60" w:after="60"/>
              <w:jc w:val="both"/>
              <w:rPr>
                <w:rFonts w:ascii="Arial" w:hAnsi="Arial" w:cs="Arial"/>
                <w:noProof/>
                <w:color w:val="1036A0"/>
                <w:sz w:val="20"/>
                <w:szCs w:val="20"/>
              </w:rPr>
            </w:pPr>
            <w:r>
              <w:rPr>
                <w:rFonts w:ascii="Arial" w:hAnsi="Arial"/>
                <w:noProof/>
                <w:color w:val="1036A0"/>
                <w:sz w:val="20"/>
              </w:rPr>
              <w:t xml:space="preserve">Az összes érdekelt fél a 3. alternatívát támogatja. Az Európai Parlament, a Tanács és a Számvevőszék mind kinyilvánították, hogy támogatnak egy ambiciózus uniós vámügyi programot, amely hozzájárul a vámunió jobb és egységesebb végrehajtásához. Az érdekelt felekkel folytatott konzultációk főként a vámigazgatási szervekre – mint a program közvetlen kedvezményezettjeire – összpontosultak. Az érdekelt felek szintén határozottan támogatták e jól működő program folytatását, és exponenciális hasznok learatását javasolták az intézkedések 3. alternatíva szerinti, marginális megerősítése révén. </w:t>
            </w:r>
          </w:p>
        </w:tc>
      </w:tr>
      <w:tr>
        <w:tc>
          <w:tcPr>
            <w:tcW w:w="10490" w:type="dxa"/>
            <w:tcBorders>
              <w:bottom w:val="single" w:sz="4" w:space="0" w:color="auto"/>
            </w:tcBorders>
            <w:shd w:val="clear" w:color="auto" w:fill="CCCCCC"/>
          </w:tcPr>
          <w:p>
            <w:pPr>
              <w:spacing w:before="60" w:after="60"/>
              <w:jc w:val="center"/>
              <w:rPr>
                <w:rFonts w:ascii="Tahoma" w:hAnsi="Tahoma" w:cs="Tahoma"/>
                <w:b/>
                <w:noProof/>
                <w:sz w:val="22"/>
                <w:szCs w:val="22"/>
              </w:rPr>
            </w:pPr>
            <w:r>
              <w:rPr>
                <w:rFonts w:ascii="Tahoma" w:hAnsi="Tahoma"/>
                <w:b/>
                <w:noProof/>
                <w:sz w:val="22"/>
              </w:rPr>
              <w:t>C. Az előnyben részesített alternatíva hatásai</w:t>
            </w:r>
          </w:p>
        </w:tc>
      </w:tr>
      <w:tr>
        <w:tc>
          <w:tcPr>
            <w:tcW w:w="10490" w:type="dxa"/>
            <w:tcBorders>
              <w:bottom w:val="single" w:sz="4" w:space="0" w:color="auto"/>
            </w:tcBorders>
            <w:shd w:val="clear" w:color="auto" w:fill="E6E6E6"/>
          </w:tcPr>
          <w:p>
            <w:pPr>
              <w:spacing w:before="60" w:after="60"/>
              <w:jc w:val="both"/>
              <w:rPr>
                <w:rFonts w:ascii="Tahoma" w:hAnsi="Tahoma" w:cs="Tahoma"/>
                <w:noProof/>
                <w:sz w:val="20"/>
                <w:szCs w:val="20"/>
              </w:rPr>
            </w:pPr>
            <w:r>
              <w:rPr>
                <w:rFonts w:ascii="Tahoma" w:hAnsi="Tahoma"/>
                <w:b/>
                <w:noProof/>
                <w:sz w:val="20"/>
              </w:rPr>
              <w:t>Melyek az előnyben részesített alternatíva (ha nincs ilyen, akkor a főbb lehetőségek) előnyei?</w:t>
            </w:r>
            <w:r>
              <w:rPr>
                <w:rFonts w:ascii="Tahoma" w:hAnsi="Tahoma"/>
                <w:noProof/>
                <w:sz w:val="20"/>
              </w:rPr>
              <w:t xml:space="preserve"> </w:t>
            </w:r>
          </w:p>
        </w:tc>
      </w:tr>
      <w:tr>
        <w:tc>
          <w:tcPr>
            <w:tcW w:w="10490" w:type="dxa"/>
            <w:tcBorders>
              <w:bottom w:val="single" w:sz="4" w:space="0" w:color="auto"/>
            </w:tcBorders>
            <w:shd w:val="clear" w:color="auto" w:fill="auto"/>
          </w:tcPr>
          <w:p>
            <w:pPr>
              <w:spacing w:before="60" w:after="60"/>
              <w:jc w:val="both"/>
              <w:rPr>
                <w:rFonts w:ascii="Arial" w:hAnsi="Arial" w:cs="Arial"/>
                <w:noProof/>
                <w:sz w:val="20"/>
                <w:szCs w:val="20"/>
              </w:rPr>
            </w:pPr>
            <w:r>
              <w:rPr>
                <w:rFonts w:ascii="Arial" w:hAnsi="Arial"/>
                <w:noProof/>
                <w:color w:val="1036A0"/>
                <w:sz w:val="20"/>
              </w:rPr>
              <w:t>A program közvetlen kedvezményezettjei a vámigazgatási szervek. A 3. alternatíva keretében a program biztosítani fogja számukra az együttműködéshez szükséges (operatív, szervezeti, módszertani és költségvetési) keretet. Az igazgatási kapacitások építése, beleértve az informatikai és a humán kapacitásokat, segíteni fogja őket abban, hogy modern igazgatási szervekké alakuljanak át, amelyek képesek kezelni a rájuk háruló alapvető feladatok növekvő számát. Az előnyben részesített alternatíva javítaná a vámunió és a vámigazgatási szervek működését azáltal, hogy jelentősen megerősítené a tagállamok közötti és a harmadik országokkal való együttműködést, valamint az EU-n belül mindenütt megerősítené a vámigazgatások teljesítményét. Ez az alternatíva azt is lehetővé tenné, hogy az informatikai kapacitás az uniós vámpolitikával összhangban alakuljon az idők során. A vámügyi teljesítmény közös informatikai megoldások és együttműködés révén történő javítása közvetlen hatással van az Unió területére belépő és onnan kilépő áruk jogszerű kereskedelmének gördülékenységére, mivel a vámhatóságok hatékonyabban és gyorsabban fogják felderíteni és megállítani a határokon a nem biztonságos és illegális árukat. A polgároknak és a vállalkozásoknak nagyrészt közvetett hasznai lesznek a program keretében végrehajtott intézkedésekből a kommunikációs hálózatoknak és európai elektronikus rendszereknek köszönhetően, amelyek lehetővé teszik a vámigazgatások közötti információcserét és együttműködést. Átfogó számszerű adatok hiányában a hasznok értékelése főként az összegyűjtött kvalitatív információk alapján történt.</w:t>
            </w:r>
          </w:p>
        </w:tc>
      </w:tr>
      <w:tr>
        <w:tc>
          <w:tcPr>
            <w:tcW w:w="10490" w:type="dxa"/>
            <w:tcBorders>
              <w:bottom w:val="single" w:sz="4" w:space="0" w:color="auto"/>
            </w:tcBorders>
            <w:shd w:val="clear" w:color="auto" w:fill="E6E6E6"/>
          </w:tcPr>
          <w:p>
            <w:pPr>
              <w:spacing w:before="60" w:after="60"/>
              <w:jc w:val="both"/>
              <w:rPr>
                <w:rFonts w:ascii="Tahoma" w:hAnsi="Tahoma" w:cs="Tahoma"/>
                <w:noProof/>
                <w:sz w:val="20"/>
                <w:szCs w:val="20"/>
              </w:rPr>
            </w:pPr>
            <w:r>
              <w:rPr>
                <w:rFonts w:ascii="Tahoma" w:hAnsi="Tahoma"/>
                <w:b/>
                <w:noProof/>
                <w:sz w:val="20"/>
              </w:rPr>
              <w:t>Milyen költségekkel jár az előnyben részesített alternatíva (ha nincs ilyen, akkor milyen költségekkel járnak a főbb lehetőségek)?</w:t>
            </w:r>
            <w:r>
              <w:rPr>
                <w:rFonts w:ascii="Tahoma" w:hAnsi="Tahoma"/>
                <w:noProof/>
                <w:sz w:val="20"/>
              </w:rPr>
              <w:t xml:space="preserve"> </w:t>
            </w:r>
          </w:p>
        </w:tc>
      </w:tr>
      <w:tr>
        <w:tc>
          <w:tcPr>
            <w:tcW w:w="10490" w:type="dxa"/>
            <w:tcBorders>
              <w:bottom w:val="single" w:sz="4" w:space="0" w:color="auto"/>
            </w:tcBorders>
            <w:shd w:val="clear" w:color="auto" w:fill="auto"/>
          </w:tcPr>
          <w:p>
            <w:pPr>
              <w:spacing w:before="60" w:after="60"/>
              <w:jc w:val="both"/>
              <w:rPr>
                <w:rFonts w:ascii="Arial" w:hAnsi="Arial" w:cs="Arial"/>
                <w:noProof/>
                <w:sz w:val="20"/>
                <w:szCs w:val="20"/>
              </w:rPr>
            </w:pPr>
            <w:r>
              <w:rPr>
                <w:rFonts w:ascii="Arial" w:hAnsi="Arial"/>
                <w:noProof/>
                <w:color w:val="1036A0"/>
                <w:sz w:val="20"/>
              </w:rPr>
              <w:t>Semmilyen negatív gazdasági, társadalmi és környezeti hatásra nem kell számítani.</w:t>
            </w:r>
          </w:p>
        </w:tc>
      </w:tr>
      <w:tr>
        <w:tc>
          <w:tcPr>
            <w:tcW w:w="10490" w:type="dxa"/>
            <w:tcBorders>
              <w:bottom w:val="single" w:sz="4" w:space="0" w:color="auto"/>
            </w:tcBorders>
            <w:shd w:val="clear" w:color="auto" w:fill="E6E6E6"/>
          </w:tcPr>
          <w:p>
            <w:pPr>
              <w:spacing w:before="60" w:after="60"/>
              <w:jc w:val="both"/>
              <w:rPr>
                <w:rFonts w:ascii="Tahoma" w:hAnsi="Tahoma" w:cs="Tahoma"/>
                <w:noProof/>
                <w:sz w:val="20"/>
                <w:szCs w:val="20"/>
              </w:rPr>
            </w:pPr>
            <w:r>
              <w:rPr>
                <w:rFonts w:ascii="Tahoma" w:hAnsi="Tahoma"/>
                <w:b/>
                <w:noProof/>
                <w:sz w:val="20"/>
              </w:rPr>
              <w:t xml:space="preserve">Hogyan érinti a fellépés a vállalkozásokat, köztük a kis- és középvállalkozásokat és a mikrovállalkozásokat? </w:t>
            </w:r>
          </w:p>
        </w:tc>
      </w:tr>
      <w:tr>
        <w:tc>
          <w:tcPr>
            <w:tcW w:w="10490" w:type="dxa"/>
            <w:tcBorders>
              <w:bottom w:val="single" w:sz="4" w:space="0" w:color="auto"/>
            </w:tcBorders>
            <w:shd w:val="clear" w:color="auto" w:fill="auto"/>
          </w:tcPr>
          <w:p>
            <w:pPr>
              <w:spacing w:before="60" w:after="60"/>
              <w:jc w:val="both"/>
              <w:rPr>
                <w:rFonts w:ascii="Arial" w:hAnsi="Arial" w:cs="Arial"/>
                <w:noProof/>
                <w:sz w:val="20"/>
                <w:szCs w:val="20"/>
              </w:rPr>
            </w:pPr>
            <w:r>
              <w:rPr>
                <w:rFonts w:ascii="Arial" w:hAnsi="Arial"/>
                <w:noProof/>
                <w:color w:val="1036A0"/>
                <w:sz w:val="20"/>
              </w:rPr>
              <w:t>A program nem foglal magában olyan intézkedést, amely közvetlenül a vállalkozásokra, kkv-kra és mikrovállalkozásokra irányulna. A vállalkozásoknál jelentkeznek bizonyos közvetett hasznok a közös portálokból, a rendelkezésre álló képzési eszközökből és az egyablakos ügyintézés felé tett előrelépésből adódóan.</w:t>
            </w:r>
          </w:p>
        </w:tc>
      </w:tr>
      <w:tr>
        <w:tc>
          <w:tcPr>
            <w:tcW w:w="10490" w:type="dxa"/>
            <w:tcBorders>
              <w:bottom w:val="single" w:sz="4" w:space="0" w:color="auto"/>
            </w:tcBorders>
            <w:shd w:val="clear" w:color="auto" w:fill="E6E6E6"/>
          </w:tcPr>
          <w:p>
            <w:pPr>
              <w:spacing w:before="60"/>
              <w:jc w:val="both"/>
              <w:rPr>
                <w:rFonts w:ascii="Tahoma" w:hAnsi="Tahoma" w:cs="Tahoma"/>
                <w:b/>
                <w:i/>
                <w:noProof/>
                <w:sz w:val="20"/>
                <w:szCs w:val="20"/>
              </w:rPr>
            </w:pPr>
            <w:r>
              <w:rPr>
                <w:rFonts w:ascii="Tahoma" w:hAnsi="Tahoma"/>
                <w:b/>
                <w:noProof/>
                <w:sz w:val="20"/>
              </w:rPr>
              <w:t>Jelentős lesz-e a nemzeti költségvetésekre és a közigazgatásra gyakorolt hatás?</w:t>
            </w:r>
          </w:p>
        </w:tc>
      </w:tr>
      <w:tr>
        <w:tc>
          <w:tcPr>
            <w:tcW w:w="10490" w:type="dxa"/>
            <w:shd w:val="clear" w:color="auto" w:fill="auto"/>
          </w:tcPr>
          <w:p>
            <w:pPr>
              <w:spacing w:before="60" w:after="60"/>
              <w:jc w:val="both"/>
              <w:rPr>
                <w:rFonts w:ascii="Arial" w:hAnsi="Arial" w:cs="Arial"/>
                <w:noProof/>
                <w:sz w:val="20"/>
                <w:szCs w:val="20"/>
              </w:rPr>
            </w:pPr>
            <w:r>
              <w:rPr>
                <w:rFonts w:ascii="Arial" w:hAnsi="Arial"/>
                <w:noProof/>
                <w:color w:val="1036A0"/>
                <w:sz w:val="20"/>
              </w:rPr>
              <w:t xml:space="preserve">A program célja a vámigazgatások javát szolgáló intézkedések finanszírozása. A fő kiadások az európai elektronikus rendszerek fejlesztésére és működtetésére irányuló közbeszerzésekhez fognak kapcsolódni. Mivel e rendszerek nem teljes mértékben központosítottak, nemzeti szinten is beruházásokra lesz szükség a megvalósításukhoz. </w:t>
            </w:r>
          </w:p>
        </w:tc>
      </w:tr>
      <w:tr>
        <w:tc>
          <w:tcPr>
            <w:tcW w:w="10490" w:type="dxa"/>
            <w:tcBorders>
              <w:bottom w:val="single" w:sz="4" w:space="0" w:color="auto"/>
            </w:tcBorders>
            <w:shd w:val="clear" w:color="auto" w:fill="E6E6E6"/>
          </w:tcPr>
          <w:p>
            <w:pPr>
              <w:spacing w:before="60"/>
              <w:jc w:val="both"/>
              <w:rPr>
                <w:rFonts w:ascii="Tahoma" w:hAnsi="Tahoma" w:cs="Tahoma"/>
                <w:noProof/>
                <w:sz w:val="20"/>
                <w:szCs w:val="20"/>
              </w:rPr>
            </w:pPr>
            <w:r>
              <w:rPr>
                <w:rFonts w:ascii="Tahoma" w:hAnsi="Tahoma"/>
                <w:b/>
                <w:noProof/>
                <w:sz w:val="20"/>
              </w:rPr>
              <w:t>Lesznek-e egyéb jelentős hatások?</w:t>
            </w:r>
            <w:r>
              <w:rPr>
                <w:rFonts w:ascii="Tahoma" w:hAnsi="Tahoma"/>
                <w:noProof/>
                <w:sz w:val="20"/>
              </w:rPr>
              <w:t xml:space="preserve"> </w:t>
            </w:r>
          </w:p>
        </w:tc>
      </w:tr>
      <w:tr>
        <w:tc>
          <w:tcPr>
            <w:tcW w:w="10490" w:type="dxa"/>
            <w:tcBorders>
              <w:bottom w:val="single" w:sz="4" w:space="0" w:color="auto"/>
            </w:tcBorders>
            <w:shd w:val="clear" w:color="auto" w:fill="auto"/>
          </w:tcPr>
          <w:p>
            <w:pPr>
              <w:spacing w:before="60" w:after="60"/>
              <w:jc w:val="both"/>
              <w:rPr>
                <w:rFonts w:ascii="Arial" w:hAnsi="Arial" w:cs="Arial"/>
                <w:noProof/>
                <w:sz w:val="20"/>
                <w:szCs w:val="20"/>
              </w:rPr>
            </w:pPr>
            <w:r>
              <w:rPr>
                <w:rFonts w:ascii="Arial" w:hAnsi="Arial"/>
                <w:noProof/>
                <w:color w:val="1036A0"/>
                <w:sz w:val="20"/>
              </w:rPr>
              <w:t>Nincsenek egyéb jelentős hatások.</w:t>
            </w:r>
            <w:r>
              <w:rPr>
                <w:rFonts w:ascii="Arial" w:hAnsi="Arial"/>
                <w:noProof/>
                <w:sz w:val="20"/>
              </w:rPr>
              <w:t xml:space="preserve"> </w:t>
            </w:r>
          </w:p>
        </w:tc>
      </w:tr>
      <w:tr>
        <w:tc>
          <w:tcPr>
            <w:tcW w:w="10490" w:type="dxa"/>
            <w:tcBorders>
              <w:bottom w:val="single" w:sz="4" w:space="0" w:color="auto"/>
            </w:tcBorders>
            <w:shd w:val="clear" w:color="auto" w:fill="C0C0C0"/>
          </w:tcPr>
          <w:p>
            <w:pPr>
              <w:spacing w:before="60" w:after="60"/>
              <w:jc w:val="center"/>
              <w:rPr>
                <w:rFonts w:ascii="Tahoma" w:hAnsi="Tahoma" w:cs="Tahoma"/>
                <w:b/>
                <w:noProof/>
                <w:sz w:val="22"/>
                <w:szCs w:val="22"/>
              </w:rPr>
            </w:pPr>
            <w:r>
              <w:rPr>
                <w:rFonts w:ascii="Tahoma" w:hAnsi="Tahoma"/>
                <w:b/>
                <w:noProof/>
                <w:sz w:val="22"/>
              </w:rPr>
              <w:t>D. További lépések</w:t>
            </w:r>
          </w:p>
        </w:tc>
      </w:tr>
      <w:tr>
        <w:tc>
          <w:tcPr>
            <w:tcW w:w="10490" w:type="dxa"/>
            <w:tcBorders>
              <w:bottom w:val="single" w:sz="4" w:space="0" w:color="auto"/>
            </w:tcBorders>
            <w:shd w:val="clear" w:color="auto" w:fill="E6E6E6"/>
          </w:tcPr>
          <w:p>
            <w:pPr>
              <w:spacing w:before="60"/>
              <w:jc w:val="both"/>
              <w:rPr>
                <w:rFonts w:ascii="Tahoma" w:hAnsi="Tahoma" w:cs="Tahoma"/>
                <w:noProof/>
                <w:sz w:val="20"/>
                <w:szCs w:val="20"/>
              </w:rPr>
            </w:pPr>
            <w:r>
              <w:rPr>
                <w:rFonts w:ascii="Tahoma" w:hAnsi="Tahoma"/>
                <w:b/>
                <w:noProof/>
                <w:sz w:val="20"/>
              </w:rPr>
              <w:t xml:space="preserve">Mikor kerül sor a szakpolitikai fellépés felülvizsgálatára? </w:t>
            </w:r>
          </w:p>
        </w:tc>
      </w:tr>
      <w:tr>
        <w:tc>
          <w:tcPr>
            <w:tcW w:w="10490" w:type="dxa"/>
            <w:tcBorders>
              <w:bottom w:val="single" w:sz="4" w:space="0" w:color="auto"/>
            </w:tcBorders>
            <w:shd w:val="clear" w:color="auto" w:fill="auto"/>
          </w:tcPr>
          <w:p>
            <w:pPr>
              <w:spacing w:before="60" w:after="60"/>
              <w:jc w:val="both"/>
              <w:rPr>
                <w:rFonts w:ascii="Tahoma" w:hAnsi="Tahoma" w:cs="Tahoma"/>
                <w:noProof/>
                <w:sz w:val="20"/>
                <w:szCs w:val="20"/>
              </w:rPr>
            </w:pPr>
            <w:r>
              <w:rPr>
                <w:rFonts w:ascii="Arial" w:hAnsi="Arial"/>
                <w:noProof/>
                <w:color w:val="1036A0"/>
                <w:sz w:val="20"/>
              </w:rPr>
              <w:t>A program értékelésének megkönnyítése érdekében a program által elért eredmények nyomon követésére szolgáló keret kerül bevezetésre. Biztosított lesz a teljes átláthatóság, amely a nyomon követésről és az értékelésről szóló, az Európai Parlament és a Tanács felé tett rendszeres jelentéstételt is magában foglal. Időközi értékelésre is sor kerül majd, amely megvizsgálja a program célkitűzéseinek megvalósulását, hatékonyságát és európai szintű hozzáadott értékét. A végső értékelés a program hosszú távú hatását és fenntarthatósági hatásait fogja vizsgálni.</w:t>
            </w:r>
            <w:r>
              <w:rPr>
                <w:rFonts w:ascii="Tahoma" w:hAnsi="Tahoma"/>
                <w:noProof/>
                <w:sz w:val="20"/>
              </w:rPr>
              <w:t xml:space="preserve"> </w:t>
            </w:r>
          </w:p>
        </w:tc>
      </w:tr>
    </w:tbl>
    <w:p>
      <w:pPr>
        <w:rPr>
          <w:noProof/>
        </w:rPr>
      </w:pPr>
    </w:p>
    <w:sectPr>
      <w:headerReference w:type="even" r:id="rId19"/>
      <w:headerReference w:type="default" r:id="rId20"/>
      <w:footerReference w:type="even" r:id="rId21"/>
      <w:footerReference w:type="default" r:id="rId22"/>
      <w:headerReference w:type="first" r:id="rId23"/>
      <w:footerReference w:type="first" r:id="rId24"/>
      <w:pgSz w:w="11906" w:h="16838" w:code="9"/>
      <w:pgMar w:top="1418" w:right="1418" w:bottom="1418" w:left="1418" w:header="709" w:footer="709"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HU</w:t>
    </w:r>
    <w:r>
      <w:rPr>
        <w:rFonts w:ascii="Arial" w:hAnsi="Arial" w:cs="Arial"/>
        <w:b/>
        <w:sz w:val="48"/>
      </w:rPr>
      <w:tab/>
    </w:r>
    <w:r>
      <w:rPr>
        <w:rFonts w:ascii="Arial" w:hAnsi="Arial" w:cs="Arial"/>
        <w:b/>
        <w:sz w:val="48"/>
      </w:rPr>
      <w:tab/>
    </w:r>
    <w:r>
      <w:tab/>
    </w:r>
    <w:r>
      <w:rPr>
        <w:rFonts w:ascii="Arial" w:hAnsi="Arial" w:cs="Arial"/>
        <w:b/>
        <w:sz w:val="48"/>
      </w:rPr>
      <w:t>HU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1775996"/>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 w:id="1">
    <w:p>
      <w:pPr>
        <w:pStyle w:val="FootnoteText"/>
        <w:jc w:val="both"/>
      </w:pPr>
      <w:r>
        <w:rPr>
          <w:rStyle w:val="FootnoteReference"/>
        </w:rPr>
        <w:footnoteRef/>
      </w:r>
      <w:r>
        <w:t xml:space="preserve"> Az Uniós Vámkódex része a vámügyek modernizációjának, és ez szolgál az egész Unióban a vámügyi szabályok és eljárások új keretrendeleteként. Anyagi jogi rendelkezései 2016. május 1-jén léptek hatályba.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624C88"/>
    <w:multiLevelType w:val="hybridMultilevel"/>
    <w:tmpl w:val="6D306C0E"/>
    <w:lvl w:ilvl="0" w:tplc="08090003">
      <w:numFmt w:val="bullet"/>
      <w:lvlText w:val="-"/>
      <w:lvlJc w:val="left"/>
      <w:pPr>
        <w:ind w:left="720" w:hanging="360"/>
      </w:pPr>
      <w:rPr>
        <w:rFonts w:ascii="Times" w:eastAsia="Times New Roman" w:hAnsi="Time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revisionView w:markup="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ACCOMPAGNANT.CP" w:val="amely a következ\u337? dokumentumot kíséri"/>
    <w:docVar w:name="LW_CORRIGENDUM" w:val="&lt;UNUSED&gt;"/>
    <w:docVar w:name="LW_COVERPAGE_EXISTS" w:val="True"/>
    <w:docVar w:name="LW_COVERPAGE_GUID" w:val="564F9D0E-48EE-4A41-BA5E-4D0908070B02"/>
    <w:docVar w:name="LW_COVERPAGE_TYPE" w:val="1"/>
    <w:docVar w:name="LW_CROSSREFERENCE" w:val="{COM(2018) 442 final}_x000b_{SEC(2018) 295 final}_x000b_{SWD(2018) 321 final}"/>
    <w:docVar w:name="LW_DocType" w:val="NORMAL"/>
    <w:docVar w:name="LW_EMISSION" w:val="2018.6.8."/>
    <w:docVar w:name="LW_EMISSION_ISODATE" w:val="2018-06-08"/>
    <w:docVar w:name="LW_EMISSION_LOCATION" w:val="BRX"/>
    <w:docVar w:name="LW_EMISSION_PREFIX" w:val="Brüsszel, "/>
    <w:docVar w:name="LW_EMISSION_SUFFIX" w:val="&lt;EMPTY&gt;"/>
    <w:docVar w:name="LW_ID_DOCTYPE_NONLW" w:val="CP-027"/>
    <w:docVar w:name="LW_LANGUE" w:val="HU"/>
    <w:docVar w:name="LW_LEVEL_OF_SENSITIVITY" w:val="Standard treatment"/>
    <w:docVar w:name="LW_NOM.INST" w:val="EURÓPAI BIZOTTSÁG"/>
    <w:docVar w:name="LW_NOM.INST_JOINTDOC" w:val="&lt;EMPTY&gt;"/>
    <w:docVar w:name="LW_OBJETACTEPRINCIPAL.CP" w:val="a vámügyi együttm\u369?ködést szolgáló \u8222?Vám\u8221? program létrehozásáról_x000b_"/>
    <w:docVar w:name="LW_PART_NBR" w:val="1"/>
    <w:docVar w:name="LW_PART_NBR_TOTAL" w:val="1"/>
    <w:docVar w:name="LW_REF.INST.NEW" w:val="SWD"/>
    <w:docVar w:name="LW_REF.INST.NEW_ADOPTED" w:val="final"/>
    <w:docVar w:name="LW_REF.INST.NEW_TEXT" w:val="(2018) 322"/>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UPERTITRE" w:val="&lt;UNUSED&gt;"/>
    <w:docVar w:name="LW_TITRE.OBJ.CP" w:val="&lt;UNUSED&gt;"/>
    <w:docVar w:name="LW_TYPE.DOC.CP" w:val="BIZOTTSÁGI SZOLGÁLATI MUNKADOKUMENTUM_x000b__x000b_A HATÁSVIZSGÁLAT VEZET\u336?I ÖSSZEFOGLALÓJA_x000b_"/>
    <w:docVar w:name="LW_TYPEACTEPRINCIPAL.CP" w:val="Javaslat_x000b__x000b_AZ EURÓPAI PARLAMENT ÉS A TANÁCS RENDELETE"/>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hu-HU" w:bidi="hu-HU"/>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eastAsia="hu-HU"/>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jc w:val="both"/>
    </w:pPr>
    <w:rPr>
      <w:rFonts w:eastAsiaTheme="minorHAnsi"/>
      <w:szCs w:val="22"/>
    </w:rPr>
  </w:style>
  <w:style w:type="paragraph" w:styleId="Header">
    <w:name w:val="header"/>
    <w:basedOn w:val="Normal"/>
    <w:link w:val="HeaderChar"/>
    <w:uiPriority w:val="99"/>
    <w:unhideWhenUsed/>
    <w:pPr>
      <w:tabs>
        <w:tab w:val="center" w:pos="4535"/>
        <w:tab w:val="right" w:pos="9071"/>
      </w:tabs>
      <w:spacing w:after="120"/>
      <w:jc w:val="both"/>
    </w:pPr>
    <w:rPr>
      <w:rFonts w:eastAsiaTheme="minorHAnsi"/>
      <w:szCs w:val="22"/>
    </w:rPr>
  </w:style>
  <w:style w:type="character" w:customStyle="1" w:styleId="HeaderChar">
    <w:name w:val="Header Char"/>
    <w:basedOn w:val="DefaultParagraphFont"/>
    <w:link w:val="Header"/>
    <w:uiPriority w:val="99"/>
    <w:rPr>
      <w:rFonts w:ascii="Times New Roman" w:hAnsi="Times New Roman" w:cs="Times New Roman"/>
      <w:sz w:val="24"/>
    </w:rPr>
  </w:style>
  <w:style w:type="paragraph" w:styleId="Footer">
    <w:name w:val="footer"/>
    <w:basedOn w:val="Normal"/>
    <w:link w:val="FooterChar"/>
    <w:uiPriority w:val="99"/>
    <w:unhideWhenUsed/>
    <w:pPr>
      <w:tabs>
        <w:tab w:val="center" w:pos="4535"/>
        <w:tab w:val="right" w:pos="9071"/>
        <w:tab w:val="right" w:pos="9921"/>
      </w:tabs>
      <w:spacing w:before="360"/>
      <w:ind w:left="-850" w:right="-850"/>
    </w:pPr>
    <w:rPr>
      <w:rFonts w:eastAsiaTheme="minorHAnsi"/>
      <w:szCs w:val="22"/>
    </w:rPr>
  </w:style>
  <w:style w:type="character" w:customStyle="1" w:styleId="FooterChar">
    <w:name w:val="Footer Char"/>
    <w:basedOn w:val="DefaultParagraphFont"/>
    <w:link w:val="Footer"/>
    <w:uiPriority w:val="99"/>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ind w:left="-850" w:right="-850"/>
    </w:pPr>
  </w:style>
  <w:style w:type="character" w:customStyle="1" w:styleId="FooterCoverPageChar">
    <w:name w:val="Footer Cover Page Char"/>
    <w:basedOn w:val="DefaultParagraphFont"/>
    <w:link w:val="FooterCoverPage"/>
    <w:rPr>
      <w:rFonts w:ascii="Times New Roman" w:eastAsia="Times New Roman" w:hAnsi="Times New Roman" w:cs="Times New Roman"/>
      <w:sz w:val="24"/>
      <w:szCs w:val="24"/>
    </w:rPr>
  </w:style>
  <w:style w:type="paragraph" w:customStyle="1" w:styleId="HeaderCoverPage">
    <w:name w:val="Header Cover Page"/>
    <w:basedOn w:val="Normal"/>
    <w:link w:val="HeaderCoverPageChar"/>
    <w:pPr>
      <w:tabs>
        <w:tab w:val="center" w:pos="4535"/>
        <w:tab w:val="right" w:pos="9071"/>
      </w:tabs>
      <w:spacing w:after="120"/>
      <w:jc w:val="both"/>
    </w:pPr>
  </w:style>
  <w:style w:type="character" w:customStyle="1" w:styleId="HeaderCoverPageChar">
    <w:name w:val="Header Cover Page Char"/>
    <w:basedOn w:val="DefaultParagraphFont"/>
    <w:link w:val="HeaderCoverPage"/>
    <w:rPr>
      <w:rFonts w:ascii="Times New Roman" w:eastAsia="Times New Roman" w:hAnsi="Times New Roman" w:cs="Times New Roman"/>
      <w:sz w:val="24"/>
      <w:szCs w:val="24"/>
    </w:rPr>
  </w:style>
  <w:style w:type="paragraph" w:styleId="ListParagraph">
    <w:name w:val="List Paragraph"/>
    <w:basedOn w:val="Normal"/>
    <w:uiPriority w:val="34"/>
    <w:qFormat/>
    <w:pPr>
      <w:ind w:left="720"/>
      <w:contextualSpacing/>
    </w:p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rPr>
      <w:rFonts w:ascii="Times New Roman" w:eastAsia="Times New Roman" w:hAnsi="Times New Roman" w:cs="Times New Roman"/>
      <w:sz w:val="20"/>
      <w:szCs w:val="20"/>
      <w:lang w:eastAsia="hu-HU"/>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sz w:val="20"/>
      <w:szCs w:val="20"/>
      <w:lang w:eastAsia="hu-HU"/>
    </w:rPr>
  </w:style>
  <w:style w:type="character" w:styleId="FootnoteReference">
    <w:name w:val="footnote reference"/>
    <w:basedOn w:val="DefaultParagraphFont"/>
    <w:uiPriority w:val="99"/>
    <w:semiHidden/>
    <w:unhideWhenUsed/>
    <w:rPr>
      <w:vertAlign w:val="superscript"/>
    </w:rPr>
  </w:style>
  <w:style w:type="paragraph" w:customStyle="1" w:styleId="Declassification">
    <w:name w:val="Declassification"/>
    <w:basedOn w:val="Normal"/>
    <w:next w:val="Normal"/>
    <w:pPr>
      <w:jc w:val="both"/>
    </w:pPr>
    <w:rPr>
      <w:rFonts w:eastAsiaTheme="minorHAnsi"/>
      <w:szCs w:val="22"/>
    </w:rPr>
  </w:style>
  <w:style w:type="paragraph" w:customStyle="1" w:styleId="HeaderLandscape">
    <w:name w:val="HeaderLandscape"/>
    <w:basedOn w:val="Normal"/>
    <w:pPr>
      <w:tabs>
        <w:tab w:val="center" w:pos="7285"/>
        <w:tab w:val="right" w:pos="14003"/>
      </w:tabs>
      <w:spacing w:after="120"/>
      <w:jc w:val="both"/>
    </w:pPr>
    <w:rPr>
      <w:rFonts w:eastAsiaTheme="minorHAnsi"/>
      <w:szCs w:val="22"/>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paragraph" w:customStyle="1" w:styleId="FooterLandscape">
    <w:name w:val="FooterLandscape"/>
    <w:basedOn w:val="Normal"/>
    <w:pPr>
      <w:tabs>
        <w:tab w:val="center" w:pos="7285"/>
        <w:tab w:val="center" w:pos="10913"/>
        <w:tab w:val="right" w:pos="15137"/>
      </w:tabs>
      <w:spacing w:before="360"/>
      <w:ind w:left="-567" w:right="-567"/>
    </w:pPr>
    <w:rPr>
      <w:rFonts w:eastAsiaTheme="minorHAnsi"/>
      <w:szCs w:val="2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ind w:left="113" w:right="113"/>
      <w:jc w:val="center"/>
    </w:pPr>
    <w:rPr>
      <w:b/>
      <w:sz w:val="32"/>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eastAsia="hu-H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hu-HU" w:bidi="hu-HU"/>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eastAsia="hu-HU"/>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jc w:val="both"/>
    </w:pPr>
    <w:rPr>
      <w:rFonts w:eastAsiaTheme="minorHAnsi"/>
      <w:szCs w:val="22"/>
    </w:rPr>
  </w:style>
  <w:style w:type="paragraph" w:styleId="Header">
    <w:name w:val="header"/>
    <w:basedOn w:val="Normal"/>
    <w:link w:val="HeaderChar"/>
    <w:uiPriority w:val="99"/>
    <w:unhideWhenUsed/>
    <w:pPr>
      <w:tabs>
        <w:tab w:val="center" w:pos="4535"/>
        <w:tab w:val="right" w:pos="9071"/>
      </w:tabs>
      <w:spacing w:after="120"/>
      <w:jc w:val="both"/>
    </w:pPr>
    <w:rPr>
      <w:rFonts w:eastAsiaTheme="minorHAnsi"/>
      <w:szCs w:val="22"/>
    </w:rPr>
  </w:style>
  <w:style w:type="character" w:customStyle="1" w:styleId="HeaderChar">
    <w:name w:val="Header Char"/>
    <w:basedOn w:val="DefaultParagraphFont"/>
    <w:link w:val="Header"/>
    <w:uiPriority w:val="99"/>
    <w:rPr>
      <w:rFonts w:ascii="Times New Roman" w:hAnsi="Times New Roman" w:cs="Times New Roman"/>
      <w:sz w:val="24"/>
    </w:rPr>
  </w:style>
  <w:style w:type="paragraph" w:styleId="Footer">
    <w:name w:val="footer"/>
    <w:basedOn w:val="Normal"/>
    <w:link w:val="FooterChar"/>
    <w:uiPriority w:val="99"/>
    <w:unhideWhenUsed/>
    <w:pPr>
      <w:tabs>
        <w:tab w:val="center" w:pos="4535"/>
        <w:tab w:val="right" w:pos="9071"/>
        <w:tab w:val="right" w:pos="9921"/>
      </w:tabs>
      <w:spacing w:before="360"/>
      <w:ind w:left="-850" w:right="-850"/>
    </w:pPr>
    <w:rPr>
      <w:rFonts w:eastAsiaTheme="minorHAnsi"/>
      <w:szCs w:val="22"/>
    </w:rPr>
  </w:style>
  <w:style w:type="character" w:customStyle="1" w:styleId="FooterChar">
    <w:name w:val="Footer Char"/>
    <w:basedOn w:val="DefaultParagraphFont"/>
    <w:link w:val="Footer"/>
    <w:uiPriority w:val="99"/>
    <w:rPr>
      <w:rFonts w:ascii="Times New Roman" w:hAnsi="Times New Roman" w:cs="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ind w:left="-850" w:right="-850"/>
    </w:pPr>
  </w:style>
  <w:style w:type="character" w:customStyle="1" w:styleId="FooterCoverPageChar">
    <w:name w:val="Footer Cover Page Char"/>
    <w:basedOn w:val="DefaultParagraphFont"/>
    <w:link w:val="FooterCoverPage"/>
    <w:rPr>
      <w:rFonts w:ascii="Times New Roman" w:eastAsia="Times New Roman" w:hAnsi="Times New Roman" w:cs="Times New Roman"/>
      <w:sz w:val="24"/>
      <w:szCs w:val="24"/>
    </w:rPr>
  </w:style>
  <w:style w:type="paragraph" w:customStyle="1" w:styleId="HeaderCoverPage">
    <w:name w:val="Header Cover Page"/>
    <w:basedOn w:val="Normal"/>
    <w:link w:val="HeaderCoverPageChar"/>
    <w:pPr>
      <w:tabs>
        <w:tab w:val="center" w:pos="4535"/>
        <w:tab w:val="right" w:pos="9071"/>
      </w:tabs>
      <w:spacing w:after="120"/>
      <w:jc w:val="both"/>
    </w:pPr>
  </w:style>
  <w:style w:type="character" w:customStyle="1" w:styleId="HeaderCoverPageChar">
    <w:name w:val="Header Cover Page Char"/>
    <w:basedOn w:val="DefaultParagraphFont"/>
    <w:link w:val="HeaderCoverPage"/>
    <w:rPr>
      <w:rFonts w:ascii="Times New Roman" w:eastAsia="Times New Roman" w:hAnsi="Times New Roman" w:cs="Times New Roman"/>
      <w:sz w:val="24"/>
      <w:szCs w:val="24"/>
    </w:rPr>
  </w:style>
  <w:style w:type="paragraph" w:styleId="ListParagraph">
    <w:name w:val="List Paragraph"/>
    <w:basedOn w:val="Normal"/>
    <w:uiPriority w:val="34"/>
    <w:qFormat/>
    <w:pPr>
      <w:ind w:left="720"/>
      <w:contextualSpacing/>
    </w:p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rPr>
      <w:rFonts w:ascii="Times New Roman" w:eastAsia="Times New Roman" w:hAnsi="Times New Roman" w:cs="Times New Roman"/>
      <w:sz w:val="20"/>
      <w:szCs w:val="20"/>
      <w:lang w:eastAsia="hu-HU"/>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sz w:val="20"/>
      <w:szCs w:val="20"/>
      <w:lang w:eastAsia="hu-HU"/>
    </w:rPr>
  </w:style>
  <w:style w:type="character" w:styleId="FootnoteReference">
    <w:name w:val="footnote reference"/>
    <w:basedOn w:val="DefaultParagraphFont"/>
    <w:uiPriority w:val="99"/>
    <w:semiHidden/>
    <w:unhideWhenUsed/>
    <w:rPr>
      <w:vertAlign w:val="superscript"/>
    </w:rPr>
  </w:style>
  <w:style w:type="paragraph" w:customStyle="1" w:styleId="Declassification">
    <w:name w:val="Declassification"/>
    <w:basedOn w:val="Normal"/>
    <w:next w:val="Normal"/>
    <w:pPr>
      <w:jc w:val="both"/>
    </w:pPr>
    <w:rPr>
      <w:rFonts w:eastAsiaTheme="minorHAnsi"/>
      <w:szCs w:val="22"/>
    </w:rPr>
  </w:style>
  <w:style w:type="paragraph" w:customStyle="1" w:styleId="HeaderLandscape">
    <w:name w:val="HeaderLandscape"/>
    <w:basedOn w:val="Normal"/>
    <w:pPr>
      <w:tabs>
        <w:tab w:val="center" w:pos="7285"/>
        <w:tab w:val="right" w:pos="14003"/>
      </w:tabs>
      <w:spacing w:after="120"/>
      <w:jc w:val="both"/>
    </w:pPr>
    <w:rPr>
      <w:rFonts w:eastAsiaTheme="minorHAnsi"/>
      <w:szCs w:val="22"/>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paragraph" w:customStyle="1" w:styleId="FooterLandscape">
    <w:name w:val="FooterLandscape"/>
    <w:basedOn w:val="Normal"/>
    <w:pPr>
      <w:tabs>
        <w:tab w:val="center" w:pos="7285"/>
        <w:tab w:val="center" w:pos="10913"/>
        <w:tab w:val="right" w:pos="15137"/>
      </w:tabs>
      <w:spacing w:before="360"/>
      <w:ind w:left="-567" w:right="-567"/>
    </w:pPr>
    <w:rPr>
      <w:rFonts w:eastAsiaTheme="minorHAnsi"/>
      <w:szCs w:val="2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ind w:left="113" w:right="113"/>
      <w:jc w:val="center"/>
    </w:pPr>
    <w:rPr>
      <w:b/>
      <w:sz w:val="32"/>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6B29732916DF4D831BB0FCE0DA1F47" ma:contentTypeVersion="0" ma:contentTypeDescription="Create a new document." ma:contentTypeScope="" ma:versionID="5e87b6185a4559021c2d2dd44491d6dc">
  <xsd:schema xmlns:xsd="http://www.w3.org/2001/XMLSchema" xmlns:xs="http://www.w3.org/2001/XMLSchema" xmlns:p="http://schemas.microsoft.com/office/2006/metadata/properties" targetNamespace="http://schemas.microsoft.com/office/2006/metadata/properties" ma:root="true" ma:fieldsID="520aa71ebba3a1c4bc292c1729accc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5495DBFA-C6FC-443C-B47B-9C9F700F3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BCCE80E-734A-4297-8D0E-984F7E32D712}">
  <ds:schemaRefs>
    <ds:schemaRef ds:uri="http://schemas.microsoft.com/sharepoint/v3/contenttype/forms"/>
  </ds:schemaRefs>
</ds:datastoreItem>
</file>

<file path=customXml/itemProps3.xml><?xml version="1.0" encoding="utf-8"?>
<ds:datastoreItem xmlns:ds="http://schemas.openxmlformats.org/officeDocument/2006/customXml" ds:itemID="{67B228E3-FEEC-429F-8C93-CFCC37DE565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C44DDBE-EA41-4713-9D56-2AF404D79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1138</Words>
  <Characters>8038</Characters>
  <Application>Microsoft Office Word</Application>
  <DocSecurity>0</DocSecurity>
  <Lines>107</Lines>
  <Paragraphs>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18</cp:revision>
  <cp:lastPrinted>2018-03-20T10:34:00Z</cp:lastPrinted>
  <dcterms:created xsi:type="dcterms:W3CDTF">2018-06-01T15:39:00Z</dcterms:created>
  <dcterms:modified xsi:type="dcterms:W3CDTF">2018-06-14T07:38:00Z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DocStatus">
    <vt:lpwstr>Green</vt:lpwstr>
  </property>
  <property fmtid="{D5CDD505-2E9C-101B-9397-08002B2CF9AE}" pid="5" name="Order">
    <vt:r8>400</vt:r8>
  </property>
  <property fmtid="{D5CDD505-2E9C-101B-9397-08002B2CF9AE}" pid="6" name="xd_Signature">
    <vt:bool>false</vt:bool>
  </property>
  <property fmtid="{D5CDD505-2E9C-101B-9397-08002B2CF9AE}" pid="7" name="xd_ProgID">
    <vt:lpwstr/>
  </property>
  <property fmtid="{D5CDD505-2E9C-101B-9397-08002B2CF9AE}" pid="8" name="_NewReviewCycle">
    <vt:lpwstr/>
  </property>
  <property fmtid="{D5CDD505-2E9C-101B-9397-08002B2CF9AE}" pid="9" name="ContentTypeId">
    <vt:lpwstr>0x010100676B29732916DF4D831BB0FCE0DA1F47</vt:lpwstr>
  </property>
  <property fmtid="{D5CDD505-2E9C-101B-9397-08002B2CF9AE}" pid="10" name="TemplateUrl">
    <vt:lpwstr/>
  </property>
  <property fmtid="{D5CDD505-2E9C-101B-9397-08002B2CF9AE}" pid="11" name="Level of sensitivity">
    <vt:lpwstr>Standard treatment</vt:lpwstr>
  </property>
  <property fmtid="{D5CDD505-2E9C-101B-9397-08002B2CF9AE}" pid="12" name="IsMyDocuments">
    <vt:bool>true</vt:bool>
  </property>
  <property name="OP_sanitized" fmtid="{D5CDD505-2E9C-101B-9397-08002B2CF9AE}" pid="13">
    <vt:lpwstr>True</vt:lpwstr>
  </property>
</Properties>
</file>