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41CBD426-BD5F-4D59-917D-2133FF1D3974" style="width:450.8pt;height:379.35pt">
            <v:imagedata r:id="rId13" o:title=""/>
          </v:shape>
        </w:pict>
      </w:r>
    </w:p>
    <w:p>
      <w:pPr>
        <w:rPr>
          <w:noProof/>
        </w:rPr>
        <w:sectPr>
          <w:headerReference w:type="even" r:id="rId14"/>
          <w:headerReference w:type="default" r:id="rId15"/>
          <w:footerReference w:type="even" r:id="rId16"/>
          <w:footerReference w:type="default" r:id="rId17"/>
          <w:headerReference w:type="first" r:id="rId18"/>
          <w:footerReference w:type="first" r:id="rId19"/>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INDOKOLÁS</w:t>
      </w:r>
    </w:p>
    <w:p>
      <w:pPr>
        <w:pStyle w:val="ManualHeading1"/>
        <w:rPr>
          <w:noProof/>
        </w:rPr>
      </w:pPr>
      <w:r>
        <w:rPr>
          <w:noProof/>
        </w:rPr>
        <w:t>1.</w:t>
      </w:r>
      <w:r>
        <w:rPr>
          <w:noProof/>
        </w:rPr>
        <w:tab/>
        <w:t>A JAVASLAT HÁTTERE</w:t>
      </w:r>
    </w:p>
    <w:p>
      <w:pPr>
        <w:pStyle w:val="ManualHeading2"/>
        <w:rPr>
          <w:rFonts w:eastAsia="Arial Unicode MS"/>
          <w:noProof/>
        </w:rPr>
      </w:pPr>
      <w:r>
        <w:rPr>
          <w:noProof/>
          <w:color w:val="000000"/>
          <w:u w:color="000000"/>
          <w:bdr w:val="nil"/>
        </w:rPr>
        <w:t>•</w:t>
      </w:r>
      <w:r>
        <w:rPr>
          <w:noProof/>
          <w:color w:val="000000"/>
          <w:u w:color="000000"/>
          <w:bdr w:val="nil"/>
        </w:rPr>
        <w:tab/>
      </w:r>
      <w:r>
        <w:rPr>
          <w:noProof/>
        </w:rPr>
        <w:t>A javaslat indokai és céljai</w:t>
      </w:r>
    </w:p>
    <w:p>
      <w:pPr>
        <w:pBdr>
          <w:top w:val="nil"/>
          <w:left w:val="nil"/>
          <w:bottom w:val="nil"/>
          <w:right w:val="nil"/>
          <w:between w:val="nil"/>
          <w:bar w:val="nil"/>
        </w:pBdr>
        <w:spacing w:before="0" w:after="240"/>
        <w:rPr>
          <w:noProof/>
        </w:rPr>
      </w:pPr>
      <w:r>
        <w:rPr>
          <w:noProof/>
        </w:rPr>
        <w:t>Az Egyesült Királyság 2017. március 29-én az Európai Unióról szóló szerződés 50. cikkének megfelelően bejelentette az Unióból való kilépésre vonatkozó szándékát. Ez azt jelenti, hogy a kilépésről rendelkező megállapodás</w:t>
      </w:r>
      <w:r>
        <w:rPr>
          <w:rStyle w:val="FootnoteReference"/>
          <w:noProof/>
        </w:rPr>
        <w:footnoteReference w:id="1"/>
      </w:r>
      <w:r>
        <w:rPr>
          <w:noProof/>
        </w:rPr>
        <w:t xml:space="preserve"> ratifikálása hiányában az elsődleges és másodlagos uniós jog 2019. március 30-tól (a továbbiakban: a kilépés időpontja) nem alkalmazandók az Egyesült Királyságra. Az Egyesült Királyság ezt követően harmadik országgá válik.</w:t>
      </w:r>
    </w:p>
    <w:p>
      <w:pPr>
        <w:pBdr>
          <w:top w:val="nil"/>
          <w:left w:val="nil"/>
          <w:bottom w:val="nil"/>
          <w:right w:val="nil"/>
          <w:between w:val="nil"/>
          <w:bar w:val="nil"/>
        </w:pBdr>
        <w:spacing w:before="0" w:after="240"/>
        <w:rPr>
          <w:noProof/>
        </w:rPr>
      </w:pPr>
      <w:r>
        <w:rPr>
          <w:noProof/>
        </w:rPr>
        <w:t>A Bizottság „Felkészülés az Egyesült Királyságnak az Európai Unióból 2019. március 30-án való kilépésére: rendkívüli helyzetre szóló cselekvési terv”</w:t>
      </w:r>
      <w:r>
        <w:rPr>
          <w:rStyle w:val="FootnoteReference"/>
          <w:noProof/>
        </w:rPr>
        <w:footnoteReference w:id="2"/>
      </w:r>
      <w:r>
        <w:rPr>
          <w:noProof/>
        </w:rPr>
        <w:t xml:space="preserve"> című közleményében megállapítja, hogy „A Bizottság továbbá amellett is elkötelezett, hogy biztosítsa az Írország és Észak-Írország határ menti megyéi közötti jelenlegi PEACE és INTERREG programok folytatását, amelyeknek az Egyesült Királyság is partnere.”</w:t>
      </w:r>
    </w:p>
    <w:p>
      <w:pPr>
        <w:pBdr>
          <w:top w:val="nil"/>
          <w:left w:val="nil"/>
          <w:bottom w:val="nil"/>
          <w:right w:val="nil"/>
          <w:between w:val="nil"/>
          <w:bar w:val="nil"/>
        </w:pBdr>
        <w:spacing w:before="0" w:after="240"/>
        <w:rPr>
          <w:noProof/>
        </w:rPr>
      </w:pPr>
      <w:r>
        <w:rPr>
          <w:noProof/>
        </w:rPr>
        <w:t>Az Európai Tanács (50. cikk) 2018. december 13-án megismételte arra vonatkozó felhívását, hogy minden szinten fokozni kell a munkát az Egyesült Királyság kilépésének következményeire való felkészülés érdekében, és ennek során figyelembe kell venni minden lehetséges kimenetelt. Ez a jogi aktus azon intézkedéscsomag részét képezi, amelyet a Bizottság e felhívás nyomán fogad el.</w:t>
      </w:r>
    </w:p>
    <w:p>
      <w:pPr>
        <w:pBdr>
          <w:top w:val="nil"/>
          <w:left w:val="nil"/>
          <w:bottom w:val="nil"/>
          <w:right w:val="nil"/>
          <w:between w:val="nil"/>
          <w:bar w:val="nil"/>
        </w:pBdr>
        <w:spacing w:before="0" w:after="240"/>
        <w:rPr>
          <w:noProof/>
        </w:rPr>
      </w:pPr>
      <w:r>
        <w:rPr>
          <w:noProof/>
        </w:rPr>
        <w:t>E javaslat célja az Írországot érintő két, kétoldalú együttműködési program – a PEACE IV (Írország–Egyesült Királyság) program és az Egyesült Királyság–Írország (Írország–Észak-Írország–Skócia) program – folyamatosságának biztosítása.</w:t>
      </w:r>
    </w:p>
    <w:p>
      <w:pPr>
        <w:pStyle w:val="ManualHeading2"/>
        <w:rPr>
          <w:rFonts w:eastAsia="Arial Unicode MS"/>
          <w:noProof/>
          <w:color w:val="000000"/>
          <w:u w:color="000000"/>
          <w:bdr w:val="nil"/>
        </w:rPr>
      </w:pPr>
      <w:r>
        <w:rPr>
          <w:noProof/>
          <w:color w:val="000000"/>
          <w:u w:color="000000"/>
          <w:bdr w:val="nil"/>
        </w:rPr>
        <w:t>•</w:t>
      </w:r>
      <w:r>
        <w:rPr>
          <w:noProof/>
          <w:color w:val="000000"/>
          <w:u w:color="000000"/>
          <w:bdr w:val="nil"/>
        </w:rPr>
        <w:tab/>
      </w:r>
      <w:r>
        <w:rPr>
          <w:noProof/>
        </w:rPr>
        <w:t>Összhang a szabályozási terület jelenlegi rendelkezéseivel</w:t>
      </w:r>
    </w:p>
    <w:p>
      <w:pPr>
        <w:pBdr>
          <w:top w:val="nil"/>
          <w:left w:val="nil"/>
          <w:bottom w:val="nil"/>
          <w:right w:val="nil"/>
          <w:between w:val="nil"/>
          <w:bar w:val="nil"/>
        </w:pBdr>
        <w:spacing w:before="0" w:after="240"/>
        <w:rPr>
          <w:noProof/>
        </w:rPr>
      </w:pPr>
      <w:r>
        <w:rPr>
          <w:noProof/>
        </w:rPr>
        <w:t>E javaslat célja a meglévő programok folytatása.</w:t>
      </w:r>
    </w:p>
    <w:p>
      <w:pPr>
        <w:pStyle w:val="ManualHeading2"/>
        <w:rPr>
          <w:rFonts w:eastAsia="Arial Unicode MS"/>
          <w:noProof/>
        </w:rPr>
      </w:pPr>
      <w:r>
        <w:rPr>
          <w:noProof/>
          <w:color w:val="000000"/>
          <w:u w:color="000000"/>
          <w:bdr w:val="nil"/>
        </w:rPr>
        <w:t>•</w:t>
      </w:r>
      <w:r>
        <w:rPr>
          <w:noProof/>
          <w:color w:val="000000"/>
          <w:u w:color="000000"/>
          <w:bdr w:val="nil"/>
        </w:rPr>
        <w:tab/>
      </w:r>
      <w:r>
        <w:rPr>
          <w:noProof/>
        </w:rPr>
        <w:t>Összhang az Unió egyéb szakpolitikáival</w:t>
      </w:r>
    </w:p>
    <w:p>
      <w:pPr>
        <w:pBdr>
          <w:top w:val="nil"/>
          <w:left w:val="nil"/>
          <w:bottom w:val="nil"/>
          <w:right w:val="nil"/>
          <w:between w:val="nil"/>
          <w:bar w:val="nil"/>
        </w:pBdr>
        <w:spacing w:before="0" w:after="240"/>
        <w:rPr>
          <w:rFonts w:eastAsia="Arial Unicode MS"/>
          <w:noProof/>
        </w:rPr>
      </w:pPr>
      <w:r>
        <w:rPr>
          <w:noProof/>
        </w:rPr>
        <w:t>E javaslat teljes mértékben összhangban van a Tanács által az Egyesült Királysággal az Unióból való kilépéséről folytatott tárgyalásokra vonatkozóan adott felhatalmazással</w:t>
      </w:r>
      <w:r>
        <w:rPr>
          <w:rStyle w:val="FootnoteReference"/>
          <w:noProof/>
        </w:rPr>
        <w:footnoteReference w:id="3"/>
      </w:r>
      <w:r>
        <w:rPr>
          <w:noProof/>
        </w:rPr>
        <w:t xml:space="preserve">. </w:t>
      </w:r>
    </w:p>
    <w:p>
      <w:pPr>
        <w:pStyle w:val="ManualHeading1"/>
        <w:rPr>
          <w:noProof/>
        </w:rPr>
      </w:pPr>
      <w:r>
        <w:rPr>
          <w:noProof/>
        </w:rPr>
        <w:t>2.</w:t>
      </w:r>
      <w:r>
        <w:rPr>
          <w:noProof/>
        </w:rPr>
        <w:tab/>
        <w:t>JOGALAP, SZUBSZIDIARITÁS ÉS ARÁNYOSSÁG</w:t>
      </w:r>
    </w:p>
    <w:p>
      <w:pPr>
        <w:pStyle w:val="ManualHeading2"/>
        <w:rPr>
          <w:rFonts w:eastAsia="Arial Unicode MS"/>
          <w:noProof/>
          <w:u w:color="000000"/>
          <w:bdr w:val="nil"/>
        </w:rPr>
      </w:pPr>
      <w:r>
        <w:rPr>
          <w:noProof/>
          <w:u w:color="000000"/>
          <w:bdr w:val="nil"/>
        </w:rPr>
        <w:t>•</w:t>
      </w:r>
      <w:r>
        <w:rPr>
          <w:noProof/>
          <w:u w:color="000000"/>
          <w:bdr w:val="nil"/>
        </w:rPr>
        <w:tab/>
        <w:t>Jogalap</w:t>
      </w:r>
    </w:p>
    <w:p>
      <w:pPr>
        <w:pStyle w:val="ManualHeading2"/>
        <w:rPr>
          <w:rFonts w:eastAsia="Arial Unicode MS"/>
          <w:noProof/>
          <w:u w:color="000000"/>
          <w:bdr w:val="nil"/>
        </w:rPr>
      </w:pPr>
      <w:r>
        <w:rPr>
          <w:noProof/>
        </w:rPr>
        <w:t>Az EUMSZ 178. cikke.</w:t>
      </w:r>
      <w:r>
        <w:rPr>
          <w:noProof/>
          <w:u w:color="000000"/>
          <w:bdr w:val="nil"/>
        </w:rPr>
        <w:t>•</w:t>
      </w:r>
      <w:r>
        <w:rPr>
          <w:noProof/>
          <w:u w:color="000000"/>
          <w:bdr w:val="nil"/>
        </w:rPr>
        <w:tab/>
        <w:t xml:space="preserve">Szubszidiaritás (nem kizárólagos hatáskör esetén) </w:t>
      </w:r>
    </w:p>
    <w:p>
      <w:pPr>
        <w:pBdr>
          <w:top w:val="nil"/>
          <w:left w:val="nil"/>
          <w:bottom w:val="nil"/>
          <w:right w:val="nil"/>
          <w:between w:val="nil"/>
          <w:bar w:val="nil"/>
        </w:pBdr>
        <w:spacing w:before="0" w:after="240"/>
        <w:rPr>
          <w:rFonts w:eastAsia="Arial Unicode MS"/>
          <w:noProof/>
        </w:rPr>
      </w:pPr>
      <w:r>
        <w:rPr>
          <w:noProof/>
        </w:rPr>
        <w:t>Mivel a javasolt jogi aktus célja az 1299/2013/EU rendelet hatálya alá tartozó két együttműködési program folytatása, a későbbi program elfogadásakor már megvizsgálták a programok szubszidiaritás elvének való megfelelést.</w:t>
      </w:r>
    </w:p>
    <w:p>
      <w:pPr>
        <w:pStyle w:val="ManualHeading2"/>
        <w:rPr>
          <w:rFonts w:eastAsia="Arial Unicode MS"/>
          <w:noProof/>
          <w:u w:color="000000"/>
          <w:bdr w:val="nil"/>
        </w:rPr>
      </w:pPr>
      <w:r>
        <w:rPr>
          <w:noProof/>
          <w:u w:color="000000"/>
          <w:bdr w:val="nil"/>
        </w:rPr>
        <w:lastRenderedPageBreak/>
        <w:t>•</w:t>
      </w:r>
      <w:r>
        <w:rPr>
          <w:noProof/>
          <w:u w:color="000000"/>
          <w:bdr w:val="nil"/>
        </w:rPr>
        <w:tab/>
        <w:t>Arányosság</w:t>
      </w:r>
    </w:p>
    <w:p>
      <w:pPr>
        <w:pBdr>
          <w:top w:val="nil"/>
          <w:left w:val="nil"/>
          <w:bottom w:val="nil"/>
          <w:right w:val="nil"/>
          <w:between w:val="nil"/>
          <w:bar w:val="nil"/>
        </w:pBdr>
        <w:spacing w:before="0" w:after="240"/>
        <w:rPr>
          <w:rFonts w:eastAsia="Arial Unicode MS"/>
          <w:noProof/>
        </w:rPr>
      </w:pPr>
      <w:r>
        <w:rPr>
          <w:noProof/>
        </w:rPr>
        <w:t xml:space="preserve">A javaslat arányosnak tekinthető, mivel a szükséges jogszabály-módosításról rendelkezik, és nem haladja meg az Észak-Írország területét érintő, két észak-déli együttműködési program megfelelő folyamatosságának biztosításához szükséges lépéseket. </w:t>
      </w:r>
    </w:p>
    <w:p>
      <w:pPr>
        <w:pStyle w:val="ManualHeading2"/>
        <w:rPr>
          <w:rFonts w:eastAsia="Arial Unicode MS"/>
          <w:noProof/>
          <w:u w:color="000000"/>
          <w:bdr w:val="nil"/>
        </w:rPr>
      </w:pPr>
      <w:r>
        <w:rPr>
          <w:noProof/>
          <w:u w:color="000000"/>
          <w:bdr w:val="nil"/>
        </w:rPr>
        <w:t>•</w:t>
      </w:r>
      <w:r>
        <w:rPr>
          <w:noProof/>
          <w:u w:color="000000"/>
          <w:bdr w:val="nil"/>
        </w:rPr>
        <w:tab/>
        <w:t>A jogi aktus típusának megválasztása</w:t>
      </w:r>
    </w:p>
    <w:p>
      <w:pPr>
        <w:pBdr>
          <w:top w:val="nil"/>
          <w:left w:val="nil"/>
          <w:bottom w:val="nil"/>
          <w:right w:val="nil"/>
          <w:between w:val="nil"/>
          <w:bar w:val="nil"/>
        </w:pBdr>
        <w:spacing w:before="0" w:after="240"/>
        <w:rPr>
          <w:noProof/>
        </w:rPr>
      </w:pPr>
      <w:r>
        <w:rPr>
          <w:noProof/>
        </w:rPr>
        <w:t>Mivel a jogi aktus az 1299/2013/EU rendelet épül, a rendeletjavaslat az egyetlen megfelelő forma.</w:t>
      </w:r>
    </w:p>
    <w:p>
      <w:pPr>
        <w:pBdr>
          <w:top w:val="nil"/>
          <w:left w:val="nil"/>
          <w:bottom w:val="nil"/>
          <w:right w:val="nil"/>
          <w:between w:val="nil"/>
          <w:bar w:val="nil"/>
        </w:pBdr>
        <w:spacing w:before="0" w:after="240"/>
        <w:rPr>
          <w:noProof/>
        </w:rPr>
      </w:pPr>
      <w:r>
        <w:rPr>
          <w:noProof/>
        </w:rPr>
        <w:t xml:space="preserve">Mivel ez a rendelet – amely az </w:t>
      </w:r>
      <w:r>
        <w:rPr>
          <w:i/>
          <w:noProof/>
        </w:rPr>
        <w:t>Európai Unió Hivatalos Lapjában</w:t>
      </w:r>
      <w:r>
        <w:rPr>
          <w:noProof/>
        </w:rPr>
        <w:t xml:space="preserve"> való kihirdetését követő napon lép hatályba – csak akkor alkalmazandó, ha egy az Egyesült Királysággal az Európai Unióról szóló szerződés 50. cikke (2) bekezdésének megfelelően megkötött kilépési megállapodás nem lép hatályba addig az időpontig, amikor a Szerződések már nem alkalmazandók az Egyesült Királyságra és az Egyesült Királyságban, ezért a javasolt eseti jogi aktus megfelelőbb, mint egy módosító jogi aktus formáját öltő rendelet.</w:t>
      </w:r>
    </w:p>
    <w:p>
      <w:pPr>
        <w:pStyle w:val="ManualHeading1"/>
        <w:rPr>
          <w:noProof/>
        </w:rPr>
      </w:pPr>
      <w:r>
        <w:rPr>
          <w:noProof/>
        </w:rPr>
        <w:t>3.</w:t>
      </w:r>
      <w:r>
        <w:rPr>
          <w:noProof/>
        </w:rPr>
        <w:tab/>
        <w:t>AZ UTÓLAGOS ÉRTÉKELÉSEK, AZ ÉRDEKELT FELEKKEL FOLYTATOTT KONZULTÁCIÓK ÉS A HATÁSVIZSGÁLATOK EREDMÉNYEI</w:t>
      </w:r>
    </w:p>
    <w:p>
      <w:pPr>
        <w:pStyle w:val="ManualHeading2"/>
        <w:rPr>
          <w:rFonts w:eastAsia="Arial Unicode MS"/>
          <w:noProof/>
          <w:u w:color="000000"/>
          <w:bdr w:val="nil"/>
        </w:rPr>
      </w:pPr>
      <w:r>
        <w:rPr>
          <w:noProof/>
          <w:u w:color="000000"/>
          <w:bdr w:val="nil"/>
        </w:rPr>
        <w:t>•</w:t>
      </w:r>
      <w:r>
        <w:rPr>
          <w:noProof/>
          <w:u w:color="000000"/>
          <w:bdr w:val="nil"/>
        </w:rPr>
        <w:tab/>
        <w:t>Konzultáció az érdekelt felekkel</w:t>
      </w:r>
    </w:p>
    <w:p>
      <w:pPr>
        <w:pBdr>
          <w:top w:val="nil"/>
          <w:left w:val="nil"/>
          <w:bottom w:val="nil"/>
          <w:right w:val="nil"/>
          <w:between w:val="nil"/>
          <w:bar w:val="nil"/>
        </w:pBdr>
        <w:spacing w:before="0" w:after="240"/>
        <w:rPr>
          <w:noProof/>
          <w:color w:val="000000" w:themeColor="text1"/>
        </w:rPr>
      </w:pPr>
      <w:r>
        <w:rPr>
          <w:noProof/>
          <w:color w:val="000000" w:themeColor="text1"/>
        </w:rPr>
        <w:t xml:space="preserve">Mivel annak érdekében, hogy a társjogalkotók időben el tudják fogadni a javaslatot, azt rövid idő alatt kellett előkészíteni, nem kerülhet sor konzultációra az érdekelt felekkel. </w:t>
      </w:r>
    </w:p>
    <w:p>
      <w:pPr>
        <w:pStyle w:val="ManualHeading2"/>
        <w:rPr>
          <w:rFonts w:eastAsia="Arial Unicode MS"/>
          <w:noProof/>
          <w:u w:color="000000"/>
          <w:bdr w:val="nil"/>
        </w:rPr>
      </w:pPr>
      <w:r>
        <w:rPr>
          <w:noProof/>
          <w:u w:color="000000"/>
          <w:bdr w:val="nil"/>
        </w:rPr>
        <w:t>•</w:t>
      </w:r>
      <w:r>
        <w:rPr>
          <w:noProof/>
          <w:u w:color="000000"/>
          <w:bdr w:val="nil"/>
        </w:rPr>
        <w:tab/>
        <w:t>Hatásvizsgálat</w:t>
      </w:r>
    </w:p>
    <w:p>
      <w:pPr>
        <w:pBdr>
          <w:top w:val="nil"/>
          <w:left w:val="nil"/>
          <w:bottom w:val="nil"/>
          <w:right w:val="nil"/>
          <w:between w:val="nil"/>
          <w:bar w:val="nil"/>
        </w:pBdr>
        <w:spacing w:before="0" w:after="240"/>
        <w:rPr>
          <w:rFonts w:eastAsia="Arial Unicode MS"/>
          <w:noProof/>
        </w:rPr>
      </w:pPr>
      <w:r>
        <w:rPr>
          <w:noProof/>
          <w:color w:val="000000" w:themeColor="text1"/>
        </w:rPr>
        <w:t xml:space="preserve">A javasolt intézkedés jellegéből adódóan – a minőségi jogalkotásra vonatkozó iránymutatással összhangban – nem került sor hatásvizsgálatra. Nincs más lényegesen eltérő szakpolitikai alternatíva. A tervezett intézkedés az egyetlen életképes szakpolitikai megoldás </w:t>
      </w:r>
      <w:r>
        <w:rPr>
          <w:noProof/>
        </w:rPr>
        <w:t>az Írországot érintő két, kétoldalú együttműködési program – a PEACE IV (Írország–Egyesült Királyság) program és az Egyesült Királyság–Írország (Írország–Észak-Írország–Skócia) program megfelelő folyamatosságának biztosítására az Egyesült Királyság Unióból való kilépését követően</w:t>
      </w:r>
      <w:r>
        <w:rPr>
          <w:noProof/>
          <w:color w:val="000000" w:themeColor="text1"/>
        </w:rPr>
        <w:t>.</w:t>
      </w:r>
    </w:p>
    <w:p>
      <w:pPr>
        <w:pStyle w:val="ManualHeading1"/>
        <w:rPr>
          <w:noProof/>
        </w:rPr>
      </w:pPr>
      <w:r>
        <w:rPr>
          <w:noProof/>
        </w:rPr>
        <w:t>4.</w:t>
      </w:r>
      <w:r>
        <w:rPr>
          <w:noProof/>
        </w:rPr>
        <w:tab/>
        <w:t>KÖLTSÉGVETÉSI VONZATOK</w:t>
      </w:r>
    </w:p>
    <w:p>
      <w:pPr>
        <w:pBdr>
          <w:top w:val="nil"/>
          <w:left w:val="nil"/>
          <w:bottom w:val="nil"/>
          <w:right w:val="nil"/>
          <w:between w:val="nil"/>
          <w:bar w:val="nil"/>
        </w:pBdr>
        <w:spacing w:before="0" w:after="240"/>
        <w:rPr>
          <w:noProof/>
          <w:color w:val="000000" w:themeColor="text1"/>
        </w:rPr>
      </w:pPr>
      <w:r>
        <w:rPr>
          <w:noProof/>
          <w:color w:val="000000" w:themeColor="text1"/>
        </w:rPr>
        <w:t>E javaslat célja</w:t>
      </w:r>
      <w:r>
        <w:rPr>
          <w:noProof/>
        </w:rPr>
        <w:t xml:space="preserve">, hogy biztosítsa az Írországot érintő két, kétoldalú együttműködési program – a PEACE IV (Írország–Egyesült Királyság) program és az Egyesült Királyság–Írország (Írország–Észak-Írország–Skócia) program – folyamatosságát a </w:t>
      </w:r>
      <w:r>
        <w:rPr>
          <w:noProof/>
          <w:color w:val="000000" w:themeColor="text1"/>
        </w:rPr>
        <w:t xml:space="preserve">programok finanszírozásának és a számukra elkülönített összegeknek a módosítása nélkül abban az esetben, ha nem kerül sor a kilépésről rendelkező megállapodás ratifikálására. A két program finanszírozása továbbra is az uniós költségvetésből fog történni. A szükséges kontrollok és auditok végrehajtásának lehetőségét a részt vevő régióban a Bizottság és az Egyesült Királyság hatóságai között kötött megállapodással kell biztosítani, amely egyben a finanszírozás egy feltételét is képezi. </w:t>
      </w:r>
    </w:p>
    <w:p>
      <w:pPr>
        <w:rPr>
          <w:noProof/>
        </w:rPr>
        <w:sectPr>
          <w:footerReference w:type="default" r:id="rId20"/>
          <w:footerReference w:type="first" r:id="rId21"/>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2018/0432 (COD)</w:t>
      </w:r>
    </w:p>
    <w:p>
      <w:pPr>
        <w:pStyle w:val="Statut"/>
        <w:rPr>
          <w:noProof/>
        </w:rPr>
      </w:pPr>
      <w:r>
        <w:rPr>
          <w:noProof/>
        </w:rPr>
        <w:t>Javaslat</w:t>
      </w:r>
    </w:p>
    <w:p>
      <w:pPr>
        <w:pStyle w:val="Typedudocument"/>
        <w:rPr>
          <w:noProof/>
        </w:rPr>
      </w:pPr>
      <w:r>
        <w:rPr>
          <w:noProof/>
        </w:rPr>
        <w:t>AZ EURÓPAI PARLAMENT ÉS A TANÁCS RENDELETE</w:t>
      </w:r>
    </w:p>
    <w:p>
      <w:pPr>
        <w:pStyle w:val="Titreobjet"/>
        <w:rPr>
          <w:noProof/>
        </w:rPr>
      </w:pPr>
      <w:r>
        <w:rPr>
          <w:noProof/>
        </w:rPr>
        <w:t>az Egyesült Királyság Európai Unióból való kilépésére tekintettel a PEACE IV (Írország–Egyesült Királyság) és az Egyesült Királyság–Írország (Írország–Észak-Írország–Skócia) területi együttműködési programok folyamatosságának lehetővé tételéről</w:t>
      </w:r>
    </w:p>
    <w:p>
      <w:pPr>
        <w:pStyle w:val="Institutionquiagit"/>
        <w:rPr>
          <w:noProof/>
        </w:rPr>
      </w:pPr>
      <w:r>
        <w:rPr>
          <w:noProof/>
        </w:rPr>
        <w:t>AZ EURÓPAI PARLAMENT ÉS AZ EURÓPAI UNIÓ TANÁCSA,</w:t>
      </w:r>
    </w:p>
    <w:p>
      <w:pPr>
        <w:rPr>
          <w:noProof/>
        </w:rPr>
      </w:pPr>
      <w:r>
        <w:rPr>
          <w:noProof/>
        </w:rPr>
        <w:t>tekintettel az Európai Unió működéséről szóló szerződésre és különösen annak 178. cikkére,</w:t>
      </w:r>
    </w:p>
    <w:p>
      <w:pPr>
        <w:rPr>
          <w:noProof/>
          <w:szCs w:val="24"/>
        </w:rPr>
      </w:pPr>
      <w:r>
        <w:rPr>
          <w:noProof/>
        </w:rPr>
        <w:t xml:space="preserve">tekintettel az Európai Bizottság javaslatára, </w:t>
      </w:r>
    </w:p>
    <w:p>
      <w:pPr>
        <w:rPr>
          <w:noProof/>
        </w:rPr>
      </w:pPr>
      <w:r>
        <w:rPr>
          <w:noProof/>
        </w:rPr>
        <w:t>a jogalkotási aktus tervezete nemzeti parlamenteknek való megküldését követően,</w:t>
      </w:r>
    </w:p>
    <w:p>
      <w:pPr>
        <w:rPr>
          <w:noProof/>
        </w:rPr>
      </w:pPr>
      <w:r>
        <w:rPr>
          <w:noProof/>
        </w:rPr>
        <w:t>tekintettel az Európai Gazdasági és Szociális Bizottság véleményére</w:t>
      </w:r>
      <w:r>
        <w:rPr>
          <w:rStyle w:val="FootnoteReference"/>
          <w:noProof/>
        </w:rPr>
        <w:footnoteReference w:id="4"/>
      </w:r>
      <w:r>
        <w:rPr>
          <w:noProof/>
        </w:rPr>
        <w:t xml:space="preserve">, </w:t>
      </w:r>
    </w:p>
    <w:p>
      <w:pPr>
        <w:rPr>
          <w:noProof/>
        </w:rPr>
      </w:pPr>
      <w:r>
        <w:rPr>
          <w:noProof/>
        </w:rPr>
        <w:t>tekintettel a Régiók Bizottságának véleményére</w:t>
      </w:r>
      <w:r>
        <w:rPr>
          <w:rStyle w:val="FootnoteReference"/>
          <w:noProof/>
        </w:rPr>
        <w:footnoteReference w:id="5"/>
      </w:r>
      <w:r>
        <w:rPr>
          <w:noProof/>
        </w:rPr>
        <w:t>,</w:t>
      </w:r>
    </w:p>
    <w:p>
      <w:pPr>
        <w:rPr>
          <w:noProof/>
        </w:rPr>
      </w:pPr>
      <w:r>
        <w:rPr>
          <w:noProof/>
        </w:rPr>
        <w:t>rendes jogalkotási eljárás keretében,</w:t>
      </w:r>
    </w:p>
    <w:p>
      <w:pPr>
        <w:rPr>
          <w:noProof/>
        </w:rPr>
      </w:pPr>
      <w:r>
        <w:rPr>
          <w:noProof/>
        </w:rPr>
        <w:t>mivel:</w:t>
      </w:r>
    </w:p>
    <w:p>
      <w:pPr>
        <w:pStyle w:val="ManualConsidrant"/>
        <w:rPr>
          <w:noProof/>
        </w:rPr>
      </w:pPr>
      <w:r>
        <w:t>(1)</w:t>
      </w:r>
      <w:r>
        <w:tab/>
      </w:r>
      <w:r>
        <w:rPr>
          <w:noProof/>
          <w:sz w:val="23"/>
          <w:szCs w:val="23"/>
        </w:rPr>
        <w:t xml:space="preserve">2017. március 29-én az Egyesült Királyság </w:t>
      </w:r>
      <w:r>
        <w:rPr>
          <w:noProof/>
        </w:rPr>
        <w:t>az Európai Unióról szóló szerződés 50. cikkének megfelelően bejelentette az Unióból való kilépésre vonatkozó szándékát. A kilépési megállapodás hatálybalépésének időpontjától, illetve ennek hiányában a kilépés bejelentésétől számított két év elteltével, azaz 2019. március 30-tól a Szerződések az Egyesült Királyság tekintetében hatályukat vesztik, kivéve, ha az Európai Tanács az Egyesült Királysággal egyetértésben a fenti időszak meghosszabbításáról egyhangúlag határoz.</w:t>
      </w:r>
      <w:r>
        <w:rPr>
          <w:noProof/>
          <w:sz w:val="23"/>
          <w:szCs w:val="23"/>
        </w:rPr>
        <w:t xml:space="preserve"> </w:t>
      </w:r>
    </w:p>
    <w:p>
      <w:pPr>
        <w:pStyle w:val="ManualConsidrant"/>
        <w:rPr>
          <w:noProof/>
        </w:rPr>
      </w:pPr>
      <w:r>
        <w:t>(2)</w:t>
      </w:r>
      <w:r>
        <w:tab/>
      </w:r>
      <w:r>
        <w:rPr>
          <w:noProof/>
        </w:rPr>
        <w:t xml:space="preserve">A kilépésre a 2014–2020 közötti programozási időszakban kerül sor, amelyben az Egyesült Királyság az európai területi együttműködés célkitűzés keretében 15 programban vesz részt (a továbbiakban: együttműködési programok). E programok közül kettő Észak-Írországot is érinti és támogatja a békét és megbékélést, illetve a nagypénteki megállapodás szerinti észak-déli együttműködést. Ezeket a programokat az EU akkor is folytatni szándékozik, ha az Egyesült Királyság anélkül lép ki az Unióból, hogy egy, a kilépésről rendelkező megállapodás hatályba lépett volna addig az időpontig, amelytől a Szerződések az Európai Unióról szóló szerződés 50. cikkének (3) bekezdése értelmében hatályukat veszítik az Egyesült Királyságra és az Egyesült Királyságban. Ezért ezt a rendeletet az említett két együttműködési programra kell korlátozni. </w:t>
      </w:r>
    </w:p>
    <w:p>
      <w:pPr>
        <w:pStyle w:val="ManualConsidrant"/>
        <w:rPr>
          <w:noProof/>
        </w:rPr>
      </w:pPr>
      <w:r>
        <w:t>(3)</w:t>
      </w:r>
      <w:r>
        <w:tab/>
      </w:r>
      <w:r>
        <w:rPr>
          <w:noProof/>
        </w:rPr>
        <w:t>Ezt a két együttműködési programot különösen az 1299/2013/EU európai parlamenti és tanácsi rendelet</w:t>
      </w:r>
      <w:r>
        <w:rPr>
          <w:rStyle w:val="FootnoteReference"/>
          <w:noProof/>
          <w:szCs w:val="24"/>
        </w:rPr>
        <w:footnoteReference w:id="6"/>
      </w:r>
      <w:r>
        <w:rPr>
          <w:noProof/>
        </w:rPr>
        <w:t>, az 1303/2013/EU európai parlamenti és tanácsi rendelet</w:t>
      </w:r>
      <w:r>
        <w:rPr>
          <w:rStyle w:val="FootnoteReference"/>
          <w:noProof/>
        </w:rPr>
        <w:footnoteReference w:id="7"/>
      </w:r>
      <w:r>
        <w:rPr>
          <w:noProof/>
        </w:rPr>
        <w:t xml:space="preserve"> és az </w:t>
      </w:r>
      <w:r>
        <w:rPr>
          <w:noProof/>
        </w:rPr>
        <w:lastRenderedPageBreak/>
        <w:t>(EU, Euratom) 2018/1046 európai parlamenti és tanácsi rendelet</w:t>
      </w:r>
      <w:r>
        <w:rPr>
          <w:rStyle w:val="FootnoteReference"/>
          <w:noProof/>
        </w:rPr>
        <w:footnoteReference w:id="8"/>
      </w:r>
      <w:r>
        <w:rPr>
          <w:noProof/>
        </w:rPr>
        <w:t xml:space="preserve"> szabályozza. E rendeletnek olyan rendelkezéseket kell megállapítania, amelyek lehetővé teszik e két együttműködési program említett rendeletek szerinti folytatását az Egyesült Királyság Unióból való kilépését követően.</w:t>
      </w:r>
    </w:p>
    <w:p>
      <w:pPr>
        <w:pStyle w:val="ManualConsidrant"/>
        <w:rPr>
          <w:noProof/>
        </w:rPr>
      </w:pPr>
      <w:r>
        <w:t>(4)</w:t>
      </w:r>
      <w:r>
        <w:tab/>
      </w:r>
      <w:r>
        <w:rPr>
          <w:noProof/>
        </w:rPr>
        <w:t xml:space="preserve">A PEACE IV (Írország–Egyesült Királyság) és az Egyesült Királyság–Írország (Írország–Észak-Írország–Skócia) kétoldalú együttműködési programok tekintetében az irányító hatóság az Írország kormánya és Nagy-Britannia és Észak-Írország Egyesült Királyságának kormánya között létrejött, végrehajtó szervek létrehozásáról szóló, 1999. március 8-án aláírt megállapodás (1999. március 8-i brit-ír megállapodás) alapján létrehozott, különleges uniós programok irányításáért felelős szerv (Special EU Programmes Body, SEUPB) része. Mivel az említett két együttműködési program Észak-Írországot érinti, folytatni kell a szükséges kiegészítő rendelkezések alkalmazását. </w:t>
      </w:r>
    </w:p>
    <w:p>
      <w:pPr>
        <w:pStyle w:val="ManualConsidrant"/>
        <w:rPr>
          <w:noProof/>
        </w:rPr>
      </w:pPr>
      <w:r>
        <w:t>(5)</w:t>
      </w:r>
      <w:r>
        <w:tab/>
      </w:r>
      <w:r>
        <w:rPr>
          <w:noProof/>
        </w:rPr>
        <w:t xml:space="preserve">A programok folytatása céljából egyértelművé kell tenni, hogy – az 1299/2013/EU rendelet 20. cikke (2) és (3) bekezdésének sérelme nélkül – az érintett együttműködési programok az Egyesült Királyság azon, részt vevő régióira is kiterjedhetnek, amelyek egyenértékűek a NUTS 3. szintű régiókkal.  </w:t>
      </w:r>
    </w:p>
    <w:p>
      <w:pPr>
        <w:pStyle w:val="ManualConsidrant"/>
        <w:rPr>
          <w:noProof/>
        </w:rPr>
      </w:pPr>
      <w:r>
        <w:t>(6)</w:t>
      </w:r>
      <w:r>
        <w:tab/>
      </w:r>
      <w:r>
        <w:rPr>
          <w:noProof/>
        </w:rPr>
        <w:t xml:space="preserve">Annak érdekében, hogy a programok az EU általános költségvetéséből finanszírozva folytathatók legyenek, és lehetővé váljon az adott programok kontrollja és auditja, a Bizottságnak és az Egyesült Királyság hatóságainak igazgatási megállapodást kell kötniül attól a naptól kezdődő hatállyal, amelytől a Szerződések hatályukat veszítik az Egyesült Királyságra és az Egyesült Királyságban. Amennyiben a szükséges kontrollok és auditok nem végezhetők el, a Bizottság számára lehetővé kell tenni a fizetési határidők megszakítását, a kifizetések felfüggesztését és pénzügyi korrekciókat végrehajtását az 1303/2013/EU rendelet 83., 142., 144. és 145. cikkében foglaltak szerint. </w:t>
      </w:r>
    </w:p>
    <w:p>
      <w:pPr>
        <w:pStyle w:val="ManualConsidrant"/>
        <w:rPr>
          <w:noProof/>
        </w:rPr>
      </w:pPr>
      <w:r>
        <w:t>(7)</w:t>
      </w:r>
      <w:r>
        <w:tab/>
      </w:r>
      <w:r>
        <w:rPr>
          <w:noProof/>
        </w:rPr>
        <w:t xml:space="preserve">Az 1303/2013/EU rendelet 76. cikkének megfelelően a 2018. július 26-i C(2018) 5126 határozattal módosított, a PEACE IV (Írország–Egyesült Királyság) program jóváhagyásáról szóló, 2015. november 30-i C(2015) 8564 bizottsági határozat, valamint a 2016. március 10-i C(2016) 1547 határozattal módosított, az Interreg V–A program jóváhagyásáról szóló, 2015. február 12-i C(2015) 890 bizottsági határozat a költségvetési rendelet értelmében továbbra is finanszírozási határozatnak és így az említett rendelet szerinti jogi kötelezettségvállalásnak is minősül. Az Egyesült Királyság továbbra is felelős azon pénzügyi kötelezettségeiért, amelyeket az Európai Unió tagállamaként az Unió e jogi kötelezettségvállalásaihoz kapcsolódóan vállalt.  </w:t>
      </w:r>
    </w:p>
    <w:p>
      <w:pPr>
        <w:pStyle w:val="ManualConsidrant"/>
        <w:rPr>
          <w:noProof/>
        </w:rPr>
      </w:pPr>
      <w:r>
        <w:t>(8)</w:t>
      </w:r>
      <w:r>
        <w:tab/>
      </w:r>
      <w:r>
        <w:rPr>
          <w:noProof/>
        </w:rPr>
        <w:t xml:space="preserve">Attól a naptól, amelytől a Szerződések nem alkalmazandók az Egyesült Királyságra, az 1299/2013/EU rendelet 20. cikkének (1) bekezdése értelmében az Egyesült </w:t>
      </w:r>
      <w:r>
        <w:rPr>
          <w:noProof/>
        </w:rPr>
        <w:lastRenderedPageBreak/>
        <w:t>Királyság nem tekinthető a programterület uniós részének. Ezért a műveletek helyszíntől függő támogathatóságára vonatkozó rendelkezéseket ennek megfelelően módosítani kell.</w:t>
      </w:r>
    </w:p>
    <w:p>
      <w:pPr>
        <w:pStyle w:val="ManualConsidrant"/>
        <w:rPr>
          <w:noProof/>
        </w:rPr>
      </w:pPr>
      <w:r>
        <w:t>(9)</w:t>
      </w:r>
      <w:r>
        <w:tab/>
      </w:r>
      <w:r>
        <w:rPr>
          <w:noProof/>
        </w:rPr>
        <w:t xml:space="preserve">Az e rendeletben meghatározott intézkedések mielőbbi alkalmazásának lehetővé tétele érdekében a rendeletnek az </w:t>
      </w:r>
      <w:r>
        <w:rPr>
          <w:i/>
          <w:noProof/>
          <w:szCs w:val="24"/>
        </w:rPr>
        <w:t>Európai Unió Hivatalos Lapjában</w:t>
      </w:r>
      <w:r>
        <w:rPr>
          <w:noProof/>
        </w:rPr>
        <w:t xml:space="preserve"> való kihirdetését követő napon hatályba kell lépnie. E rendelet csak abban az esetben alkalmazandó, ha nem lép hatályba az Egyesült Királysággal az Európai Unióról szóló szerződés 50. cikke (2) bekezdésének megfelelően megkötött kilépési megállapodás addig az időpontig, amikor az Európai Unióról szóló szerződés 50. cikkének (3) bekezdése értelmében a Szerződések hatályukat veszítik az Egyesült Királyságra és az Egyesült Királyságban,</w:t>
      </w:r>
    </w:p>
    <w:p>
      <w:pPr>
        <w:pStyle w:val="Formuledadoption"/>
        <w:rPr>
          <w:noProof/>
        </w:rPr>
      </w:pPr>
      <w:r>
        <w:rPr>
          <w:noProof/>
        </w:rPr>
        <w:t>ELFOGADTÁK EZT A RENDELETET:</w:t>
      </w:r>
    </w:p>
    <w:p>
      <w:pPr>
        <w:pStyle w:val="Titrearticle"/>
        <w:rPr>
          <w:noProof/>
        </w:rPr>
      </w:pPr>
      <w:r>
        <w:rPr>
          <w:noProof/>
        </w:rPr>
        <w:t>1. cikk</w:t>
      </w:r>
      <w:r>
        <w:rPr>
          <w:noProof/>
        </w:rPr>
        <w:br/>
      </w:r>
      <w:r>
        <w:rPr>
          <w:b/>
          <w:noProof/>
          <w:szCs w:val="24"/>
        </w:rPr>
        <w:t>Tárgy és hatály</w:t>
      </w:r>
    </w:p>
    <w:p>
      <w:pPr>
        <w:rPr>
          <w:noProof/>
        </w:rPr>
      </w:pPr>
      <w:r>
        <w:rPr>
          <w:noProof/>
        </w:rPr>
        <w:t xml:space="preserve">Ez a rendelet rendelkezéseket állapít meg az Egyesült Királyság Unióból való kilépése következményeinek kezelésére arra az esetre, ha nem lép hatályba az Egyesült Királysággal az Európai Unióról szóló szerződés 50. cikke (2) bekezdésének megfelelően megkötött kilépési megállapodás addig az időpontig, amikor az Európai Unióról szóló szerződés 50. cikkének (3) bekezdése értelmében a Szerződések hatályukat veszítik az Egyesült Királyságra és az Egyesült Királyságban, valamint az 1299/2013/EU rendelet hatálya alá tartozó alábbi két együttműködési program az Egyesült Királyság részvételével történő (a továbbiakban: együttműködési programok) folytatásáról: </w:t>
      </w:r>
    </w:p>
    <w:p>
      <w:pPr>
        <w:pStyle w:val="ManualNumPar1"/>
        <w:rPr>
          <w:noProof/>
        </w:rPr>
      </w:pPr>
      <w:r>
        <w:t>1.</w:t>
      </w:r>
      <w:r>
        <w:tab/>
      </w:r>
      <w:r>
        <w:rPr>
          <w:noProof/>
        </w:rPr>
        <w:t xml:space="preserve">PEACE IV (Írország–Egyesült Királyság); </w:t>
      </w:r>
    </w:p>
    <w:p>
      <w:pPr>
        <w:pStyle w:val="ManualNumPar1"/>
        <w:rPr>
          <w:noProof/>
        </w:rPr>
      </w:pPr>
      <w:r>
        <w:t>2.</w:t>
      </w:r>
      <w:r>
        <w:tab/>
      </w:r>
      <w:r>
        <w:rPr>
          <w:noProof/>
        </w:rPr>
        <w:t>Egyesült Királyság–Írország (Írország–Észak-Írország–Skócia).</w:t>
      </w:r>
    </w:p>
    <w:p>
      <w:pPr>
        <w:rPr>
          <w:noProof/>
        </w:rPr>
      </w:pPr>
      <w:r>
        <w:rPr>
          <w:noProof/>
        </w:rPr>
        <w:t xml:space="preserve">Az 1299/2013/EU rendelet továbbra is alkalmazandó lesz az e rendelet rendelkezéseinek hatálya alá tartozó együttműködési programokra. </w:t>
      </w:r>
    </w:p>
    <w:p>
      <w:pPr>
        <w:pStyle w:val="Titrearticle"/>
        <w:ind w:left="1080"/>
        <w:rPr>
          <w:noProof/>
        </w:rPr>
      </w:pPr>
      <w:r>
        <w:rPr>
          <w:noProof/>
        </w:rPr>
        <w:t xml:space="preserve">2. cikk </w:t>
      </w:r>
      <w:r>
        <w:rPr>
          <w:noProof/>
        </w:rPr>
        <w:br/>
      </w:r>
      <w:r>
        <w:rPr>
          <w:b/>
          <w:noProof/>
        </w:rPr>
        <w:t>Földrajzi lefedettség</w:t>
      </w:r>
    </w:p>
    <w:p>
      <w:pPr>
        <w:rPr>
          <w:noProof/>
        </w:rPr>
      </w:pPr>
      <w:r>
        <w:rPr>
          <w:noProof/>
        </w:rPr>
        <w:t>Az 1299/2013/EU rendelet 20. cikke (2) és (3) bekezdésének sérelme nélkül az érintett együttműködési programok az Egyesült Királyság azon részt vevő régióira is kiterjedhetnek, amelyek egyenértékűek a NUTS 3. szintű régiókkal.</w:t>
      </w:r>
    </w:p>
    <w:p>
      <w:pPr>
        <w:pStyle w:val="Titrearticle"/>
        <w:rPr>
          <w:noProof/>
        </w:rPr>
      </w:pPr>
      <w:r>
        <w:rPr>
          <w:noProof/>
        </w:rPr>
        <w:t>3. cikk</w:t>
      </w:r>
      <w:r>
        <w:rPr>
          <w:noProof/>
        </w:rPr>
        <w:br/>
      </w:r>
      <w:r>
        <w:rPr>
          <w:b/>
          <w:noProof/>
          <w:szCs w:val="24"/>
        </w:rPr>
        <w:t>A programért felelős hatóságok</w:t>
      </w:r>
    </w:p>
    <w:p>
      <w:pPr>
        <w:rPr>
          <w:noProof/>
        </w:rPr>
      </w:pPr>
      <w:r>
        <w:rPr>
          <w:noProof/>
        </w:rPr>
        <w:t>Az 1299/2013/EU rendelet 21. cikkének (1) bekezdésétől eltérve:</w:t>
      </w:r>
    </w:p>
    <w:p>
      <w:pPr>
        <w:pStyle w:val="ListDash"/>
        <w:rPr>
          <w:noProof/>
        </w:rPr>
      </w:pPr>
      <w:r>
        <w:rPr>
          <w:noProof/>
        </w:rPr>
        <w:t>a PEACE IV (Írország–Egyesült Királyság) program és az Egyesült Királyság–Írország (Írország–Észak-Írország–Skócia) program irányító hatóságát és igazoló hatóságát magában foglaló, különleges uniós programok irányításáért felelős szerv (Special EU Programmes Body, SEUPB) továbbra is ellátja feladatait;</w:t>
      </w:r>
    </w:p>
    <w:p>
      <w:pPr>
        <w:pStyle w:val="ListDash"/>
        <w:spacing w:before="0" w:after="200" w:line="276" w:lineRule="auto"/>
        <w:jc w:val="left"/>
        <w:rPr>
          <w:i/>
          <w:noProof/>
        </w:rPr>
      </w:pPr>
      <w:r>
        <w:rPr>
          <w:noProof/>
        </w:rPr>
        <w:t xml:space="preserve">e programok ellenőrző hatósága Észak-Írország pénzügyminisztériuma marad. </w:t>
      </w:r>
      <w:r>
        <w:rPr>
          <w:noProof/>
        </w:rPr>
        <w:br w:type="page"/>
      </w:r>
    </w:p>
    <w:p>
      <w:pPr>
        <w:pStyle w:val="Titrearticle"/>
        <w:rPr>
          <w:b/>
          <w:i w:val="0"/>
          <w:noProof/>
          <w:szCs w:val="24"/>
        </w:rPr>
      </w:pPr>
      <w:r>
        <w:rPr>
          <w:noProof/>
        </w:rPr>
        <w:lastRenderedPageBreak/>
        <w:t>4. cikk</w:t>
      </w:r>
      <w:r>
        <w:rPr>
          <w:noProof/>
        </w:rPr>
        <w:br/>
      </w:r>
      <w:r>
        <w:rPr>
          <w:b/>
          <w:noProof/>
          <w:szCs w:val="24"/>
        </w:rPr>
        <w:t>A Bizottság hatásköre a kontrollok vonatkozásában</w:t>
      </w:r>
    </w:p>
    <w:p>
      <w:pPr>
        <w:rPr>
          <w:noProof/>
        </w:rPr>
      </w:pPr>
      <w:r>
        <w:rPr>
          <w:noProof/>
        </w:rPr>
        <w:t>Az érintett programok kontrolljára és auditálásra vonatkozó szabályok alkalmazásáról a Bizottság és az Egyesült Királyság hatóságai állapodnak meg. A kontrolloknak és auditoknak az együttműködési programok teljes időtartamát le kell fedniük.</w:t>
      </w:r>
    </w:p>
    <w:p>
      <w:pPr>
        <w:rPr>
          <w:noProof/>
        </w:rPr>
      </w:pPr>
      <w:r>
        <w:rPr>
          <w:noProof/>
        </w:rPr>
        <w:t>Amennyiben a programok szükséges auditálását és kontrollját nem lehet végrehajtani minden érintett régióban, ez az 1303/2013/EU rendelet 83., 142., 144. és 145. cikkében meghatározott intézkedések alkalmazása szempontjából súlyos hiányosságnak minősül az irányítási és kontrollrendszerek működésében.</w:t>
      </w:r>
    </w:p>
    <w:p>
      <w:pPr>
        <w:pStyle w:val="Titrearticle"/>
        <w:rPr>
          <w:noProof/>
        </w:rPr>
      </w:pPr>
      <w:r>
        <w:rPr>
          <w:noProof/>
        </w:rPr>
        <w:t>5. cikk</w:t>
      </w:r>
      <w:r>
        <w:rPr>
          <w:noProof/>
        </w:rPr>
        <w:br/>
      </w:r>
      <w:r>
        <w:rPr>
          <w:b/>
          <w:noProof/>
          <w:szCs w:val="24"/>
        </w:rPr>
        <w:t>A műveletek helyszíntől függő támogathatósága</w:t>
      </w:r>
    </w:p>
    <w:p>
      <w:pPr>
        <w:rPr>
          <w:noProof/>
        </w:rPr>
      </w:pPr>
      <w:r>
        <w:rPr>
          <w:noProof/>
        </w:rPr>
        <w:t>Az 1299/2013/EU rendelet 20. cikke (2) bekezdésének b) pontjában meghatározott felső határ nem alkalmazandó az érintett együttműködési programokra.</w:t>
      </w:r>
    </w:p>
    <w:p>
      <w:pPr>
        <w:pStyle w:val="Titrearticle"/>
        <w:rPr>
          <w:noProof/>
        </w:rPr>
      </w:pPr>
      <w:r>
        <w:rPr>
          <w:noProof/>
        </w:rPr>
        <w:t>6. cikk</w:t>
      </w:r>
      <w:r>
        <w:br/>
      </w:r>
      <w:r>
        <w:rPr>
          <w:b/>
          <w:noProof/>
          <w:szCs w:val="24"/>
        </w:rPr>
        <w:t>Hatálybalépés és alkalmazás</w:t>
      </w:r>
    </w:p>
    <w:p>
      <w:pPr>
        <w:rPr>
          <w:noProof/>
        </w:rPr>
      </w:pPr>
      <w:r>
        <w:rPr>
          <w:noProof/>
        </w:rPr>
        <w:t xml:space="preserve">Ez a rendelet az </w:t>
      </w:r>
      <w:r>
        <w:rPr>
          <w:i/>
          <w:noProof/>
        </w:rPr>
        <w:t>Európai Unió Hivatalos Lapjában</w:t>
      </w:r>
      <w:r>
        <w:rPr>
          <w:noProof/>
        </w:rPr>
        <w:t xml:space="preserve"> való kihirdetését követő napon lép hatályba. </w:t>
      </w:r>
    </w:p>
    <w:p>
      <w:pPr>
        <w:keepNext/>
        <w:rPr>
          <w:noProof/>
        </w:rPr>
      </w:pPr>
      <w:r>
        <w:rPr>
          <w:noProof/>
        </w:rPr>
        <w:t>Ezt a rendeletet az azt követő naptól kell alkalmazni, amelyen az Európai Unióról szóló szerződés 50. cikkének (3) bekezdése értelmében a Szerződéseknek az Egyesült Királyságra és az Egyesült Királyságban történő alkalmazása megszűnik.</w:t>
      </w:r>
    </w:p>
    <w:p>
      <w:pPr>
        <w:keepNext/>
        <w:rPr>
          <w:noProof/>
        </w:rPr>
      </w:pPr>
      <w:r>
        <w:rPr>
          <w:noProof/>
        </w:rPr>
        <w:t>Ez a rendelet azonban nem alkalmazandó, ha az említett időpontig hatályba lép egy, az Egyesült Királysággal az Európai Unióról szóló szerződés 50. cikke (2) bekezdésének megfelelően megkötött kilépési megállapodás.</w:t>
      </w:r>
    </w:p>
    <w:p>
      <w:pPr>
        <w:pStyle w:val="Applicationdirecte"/>
        <w:rPr>
          <w:noProof/>
        </w:rPr>
      </w:pPr>
      <w:r>
        <w:rPr>
          <w:noProof/>
        </w:rPr>
        <w:t>Ez a rendelet teljes egészében kötelező és közvetlenül alkalmazandó valamennyi tagállamban.</w:t>
      </w:r>
    </w:p>
    <w:p>
      <w:pPr>
        <w:pStyle w:val="Fait"/>
        <w:rPr>
          <w:noProof/>
        </w:rPr>
      </w:pPr>
      <w:r>
        <w:t>Kelt Brüsszelben, -án/-én.</w:t>
      </w:r>
    </w:p>
    <w:p>
      <w:pPr>
        <w:pStyle w:val="Institutionquisigne"/>
        <w:rPr>
          <w:noProof/>
        </w:rPr>
      </w:pPr>
      <w:r>
        <w:rPr>
          <w:noProof/>
        </w:rPr>
        <w:t>az Európai Parlament részéről</w:t>
      </w:r>
      <w:r>
        <w:rPr>
          <w:noProof/>
        </w:rPr>
        <w:tab/>
        <w:t>a Tanács részéről</w:t>
      </w:r>
    </w:p>
    <w:p>
      <w:pPr>
        <w:pStyle w:val="Personnequisigne"/>
        <w:rPr>
          <w:i w:val="0"/>
          <w:noProof/>
        </w:rPr>
      </w:pPr>
      <w:r>
        <w:rPr>
          <w:noProof/>
        </w:rPr>
        <w:t>az elnök</w:t>
      </w:r>
      <w:r>
        <w:rPr>
          <w:noProof/>
        </w:rPr>
        <w:tab/>
        <w:t>az elnök</w:t>
      </w:r>
    </w:p>
    <w:p>
      <w:pPr>
        <w:pStyle w:val="Personnequisigne"/>
        <w:rPr>
          <w:noProof/>
        </w:rPr>
        <w:sectPr>
          <w:pgSz w:w="11907" w:h="16839"/>
          <w:pgMar w:top="1134" w:right="1417" w:bottom="1134" w:left="1417" w:header="709" w:footer="709" w:gutter="0"/>
          <w:cols w:space="708"/>
          <w:docGrid w:linePitch="360"/>
        </w:sectPr>
      </w:pPr>
    </w:p>
    <w:p>
      <w:pPr>
        <w:pStyle w:val="Fichefinanciretitre"/>
        <w:rPr>
          <w:noProof/>
        </w:rPr>
      </w:pPr>
      <w:r>
        <w:rPr>
          <w:noProof/>
        </w:rPr>
        <w:lastRenderedPageBreak/>
        <w:t>PÉNZÜGYI KIMUTATÁS</w:t>
      </w:r>
    </w:p>
    <w:p>
      <w:pPr>
        <w:pStyle w:val="ManualHeading1"/>
        <w:rPr>
          <w:noProof/>
        </w:rPr>
      </w:pPr>
      <w:bookmarkStart w:id="1" w:name="_Toc514938007"/>
      <w:bookmarkStart w:id="2" w:name="_Toc520485025"/>
      <w:r>
        <w:t>1.</w:t>
      </w:r>
      <w:r>
        <w:tab/>
      </w:r>
      <w:r>
        <w:rPr>
          <w:noProof/>
        </w:rPr>
        <w:t>A JAVASLAT/KEZDEMÉNYEZÉS FŐBB ADATAI</w:t>
      </w:r>
      <w:bookmarkEnd w:id="1"/>
      <w:bookmarkEnd w:id="2"/>
      <w:r>
        <w:rPr>
          <w:noProof/>
        </w:rPr>
        <w:t xml:space="preserve"> </w:t>
      </w:r>
    </w:p>
    <w:p>
      <w:pPr>
        <w:pStyle w:val="ManualHeading2"/>
        <w:rPr>
          <w:noProof/>
        </w:rPr>
      </w:pPr>
      <w:bookmarkStart w:id="3" w:name="_Toc514938008"/>
      <w:bookmarkStart w:id="4" w:name="_Toc520485026"/>
      <w:r>
        <w:t>1.1.</w:t>
      </w:r>
      <w:r>
        <w:tab/>
      </w:r>
      <w:r>
        <w:rPr>
          <w:noProof/>
        </w:rPr>
        <w:t>A javaslat/kezdeményezés címe</w:t>
      </w:r>
      <w:bookmarkEnd w:id="3"/>
      <w:bookmarkEnd w:id="4"/>
    </w:p>
    <w:p>
      <w:pPr>
        <w:pStyle w:val="ManualHeading2"/>
        <w:rPr>
          <w:i/>
          <w:noProof/>
        </w:rPr>
      </w:pPr>
      <w:bookmarkStart w:id="5" w:name="_Toc514938011"/>
      <w:bookmarkStart w:id="6" w:name="_Toc520485027"/>
      <w:r>
        <w:t>1.2.</w:t>
      </w:r>
      <w:r>
        <w:tab/>
      </w:r>
      <w:r>
        <w:rPr>
          <w:noProof/>
        </w:rPr>
        <w:t>Az érintett szakpolitikai terület(ek)</w:t>
      </w:r>
      <w:bookmarkEnd w:id="5"/>
      <w:bookmarkEnd w:id="6"/>
      <w:r>
        <w:rPr>
          <w:i/>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Az Egyesült Királyság Európai Unióból való kilépésével összefüggésben az európai területi együttműködési programok irányítására vonatkozó egyedi rendelkezésekről szóló európai parlamenti és tanácsi rendeletre irányuló javaslat.</w:t>
      </w:r>
    </w:p>
    <w:p>
      <w:pPr>
        <w:pStyle w:val="ManualHeading2"/>
        <w:rPr>
          <w:bCs/>
          <w:noProof/>
          <w:szCs w:val="24"/>
        </w:rPr>
      </w:pPr>
      <w:bookmarkStart w:id="7" w:name="_Toc514938025"/>
      <w:bookmarkStart w:id="8" w:name="_Toc520485034"/>
      <w:r>
        <w:t>1.3.</w:t>
      </w:r>
      <w:r>
        <w:tab/>
      </w:r>
      <w:r>
        <w:rPr>
          <w:noProof/>
        </w:rPr>
        <w:t>A javaslat/kezdeményezés indoklása</w:t>
      </w:r>
      <w:bookmarkEnd w:id="7"/>
      <w:bookmarkEnd w:id="8"/>
      <w:r>
        <w:rPr>
          <w:noProof/>
        </w:rPr>
        <w:t xml:space="preserve"> </w:t>
      </w:r>
    </w:p>
    <w:p>
      <w:pPr>
        <w:pStyle w:val="ManualHeading3"/>
        <w:rPr>
          <w:noProof/>
        </w:rPr>
      </w:pPr>
      <w:bookmarkStart w:id="9" w:name="_Toc514938026"/>
      <w:bookmarkStart w:id="10" w:name="_Toc520485035"/>
      <w:r>
        <w:t>1.3.1.</w:t>
      </w:r>
      <w:r>
        <w:tab/>
      </w:r>
      <w:r>
        <w:rPr>
          <w:noProof/>
        </w:rPr>
        <w:t>Rövid vagy hosszú távon kielégítendő szükséglet(ek) a kezdeményezés végrehajtásának részletes ütemtervével</w:t>
      </w:r>
      <w:bookmarkEnd w:id="9"/>
      <w:bookmarkEnd w:id="10"/>
    </w:p>
    <w:p>
      <w:pPr>
        <w:pStyle w:val="Text1"/>
        <w:pBdr>
          <w:top w:val="single" w:sz="4" w:space="1" w:color="auto"/>
          <w:left w:val="single" w:sz="4" w:space="4" w:color="auto"/>
          <w:bottom w:val="single" w:sz="4" w:space="1" w:color="auto"/>
          <w:right w:val="single" w:sz="4" w:space="4" w:color="auto"/>
        </w:pBdr>
        <w:rPr>
          <w:noProof/>
        </w:rPr>
      </w:pPr>
      <w:r>
        <w:rPr>
          <w:noProof/>
        </w:rPr>
        <w:t>Ez a rendelet az Európai Unió Hivatalos Lapjában való kihirdetését követő napon lép hatályba.</w:t>
      </w:r>
    </w:p>
    <w:p>
      <w:pPr>
        <w:pStyle w:val="Text1"/>
        <w:pBdr>
          <w:top w:val="single" w:sz="4" w:space="1" w:color="auto"/>
          <w:left w:val="single" w:sz="4" w:space="4" w:color="auto"/>
          <w:bottom w:val="single" w:sz="4" w:space="1" w:color="auto"/>
          <w:right w:val="single" w:sz="4" w:space="4" w:color="auto"/>
        </w:pBdr>
        <w:rPr>
          <w:noProof/>
        </w:rPr>
      </w:pPr>
      <w:r>
        <w:rPr>
          <w:noProof/>
        </w:rPr>
        <w:t>Ezt a rendeletet az azt követő naptól kell alkalmazni, amelyen az Európai Unióról szóló szerződés 50. cikkének (3) bekezdése értelmében a Szerződéseknek az Egyesült Királyságra és az Egyesült Királyságban történő alkalmazása megszűnik.</w:t>
      </w:r>
    </w:p>
    <w:p>
      <w:pPr>
        <w:pStyle w:val="Text1"/>
        <w:pBdr>
          <w:top w:val="single" w:sz="4" w:space="1" w:color="auto"/>
          <w:left w:val="single" w:sz="4" w:space="4" w:color="auto"/>
          <w:bottom w:val="single" w:sz="4" w:space="1" w:color="auto"/>
          <w:right w:val="single" w:sz="4" w:space="4" w:color="auto"/>
        </w:pBdr>
        <w:rPr>
          <w:noProof/>
        </w:rPr>
      </w:pPr>
      <w:r>
        <w:rPr>
          <w:noProof/>
        </w:rPr>
        <w:t>Ez a rendelet nem alkalmazandó, ha az említett időpontig hatályba lép egy, az Egyesült Királysággal az Európai Unióról szóló szerződés 50. cikke (2) bekezdésének megfelelően megkötött kilépési megállapodás.</w:t>
      </w:r>
    </w:p>
    <w:p>
      <w:pPr>
        <w:pStyle w:val="ManualHeading3"/>
        <w:rPr>
          <w:bCs/>
          <w:noProof/>
          <w:szCs w:val="24"/>
        </w:rPr>
      </w:pPr>
      <w:bookmarkStart w:id="11" w:name="_Toc514938029"/>
      <w:bookmarkStart w:id="12" w:name="_Toc520485036"/>
      <w:r>
        <w:t>1.3.2.</w:t>
      </w:r>
      <w:r>
        <w:tab/>
      </w:r>
      <w:r>
        <w:rPr>
          <w:noProof/>
        </w:rPr>
        <w:t>Az Unió részvételéből származó hozzáadott érték (adódhat többek között a koordinációból eredő előnyökből, a jogbiztonságból, a fokozott hatékonyságból vagy a kiegészítő jellegből). E pontban „az Unió részvételéből származó hozzáadott érték” azt az uniós részvételből adódó értéket jelenti, amely többletként jelentkezik ahhoz az értékhez képest, amely a tagállamok egyedüli fellépése esetén jött volna létre.</w:t>
      </w:r>
      <w:bookmarkEnd w:id="11"/>
      <w:bookmarkEnd w:id="12"/>
    </w:p>
    <w:p>
      <w:pPr>
        <w:pStyle w:val="Text1"/>
        <w:pBdr>
          <w:top w:val="single" w:sz="4" w:space="1" w:color="auto"/>
          <w:left w:val="single" w:sz="4" w:space="4" w:color="auto"/>
          <w:bottom w:val="single" w:sz="4" w:space="1" w:color="auto"/>
          <w:right w:val="single" w:sz="4" w:space="4" w:color="auto"/>
        </w:pBdr>
        <w:rPr>
          <w:noProof/>
        </w:rPr>
      </w:pPr>
      <w:r>
        <w:t>Nem alkalmazandó</w:t>
      </w:r>
    </w:p>
    <w:p>
      <w:pPr>
        <w:pStyle w:val="ManualHeading3"/>
        <w:rPr>
          <w:noProof/>
        </w:rPr>
      </w:pPr>
      <w:bookmarkStart w:id="13" w:name="_Toc514938030"/>
      <w:bookmarkStart w:id="14" w:name="_Toc520485037"/>
      <w:r>
        <w:t>1.3.3.</w:t>
      </w:r>
      <w:r>
        <w:tab/>
      </w:r>
      <w:r>
        <w:rPr>
          <w:noProof/>
        </w:rPr>
        <w:t>Hasonló korábbi tapasztalatok tanulsága</w:t>
      </w:r>
      <w:bookmarkEnd w:id="13"/>
      <w:bookmarkEnd w:id="14"/>
    </w:p>
    <w:p>
      <w:pPr>
        <w:pStyle w:val="Text1"/>
        <w:pBdr>
          <w:top w:val="single" w:sz="4" w:space="1" w:color="auto"/>
          <w:left w:val="single" w:sz="4" w:space="4" w:color="auto"/>
          <w:bottom w:val="single" w:sz="4" w:space="1" w:color="auto"/>
          <w:right w:val="single" w:sz="4" w:space="4" w:color="auto"/>
        </w:pBdr>
        <w:rPr>
          <w:noProof/>
        </w:rPr>
      </w:pPr>
      <w:r>
        <w:t>Nem alkalmazandó</w:t>
      </w:r>
    </w:p>
    <w:p>
      <w:pPr>
        <w:pStyle w:val="ManualHeading3"/>
        <w:rPr>
          <w:noProof/>
        </w:rPr>
      </w:pPr>
      <w:bookmarkStart w:id="15" w:name="_Toc514938033"/>
      <w:bookmarkStart w:id="16" w:name="_Toc520485038"/>
      <w:r>
        <w:t>1.3.4.</w:t>
      </w:r>
      <w:r>
        <w:tab/>
      </w:r>
      <w:r>
        <w:rPr>
          <w:noProof/>
        </w:rPr>
        <w:t>A többéves pénzügyi kerettel való összeegyeztethetőség és egyéb megfelelő eszközökkel való lehetséges szinergiák</w:t>
      </w:r>
      <w:bookmarkEnd w:id="15"/>
      <w:bookmarkEnd w:id="16"/>
    </w:p>
    <w:p>
      <w:pPr>
        <w:pStyle w:val="Text1"/>
        <w:pBdr>
          <w:top w:val="single" w:sz="4" w:space="1" w:color="auto"/>
          <w:left w:val="single" w:sz="4" w:space="4" w:color="auto"/>
          <w:bottom w:val="single" w:sz="4" w:space="1" w:color="auto"/>
          <w:right w:val="single" w:sz="4" w:space="4" w:color="auto"/>
        </w:pBdr>
        <w:rPr>
          <w:noProof/>
        </w:rPr>
      </w:pPr>
      <w:r>
        <w:rPr>
          <w:noProof/>
        </w:rPr>
        <w:t>Ez a rendelet összhangban van a többéves pénzügyi kerettel. A rendeletnek nincs pénzügyi hatása.</w:t>
      </w:r>
    </w:p>
    <w:p>
      <w:pPr>
        <w:pStyle w:val="ManualHeading3"/>
        <w:rPr>
          <w:noProof/>
        </w:rPr>
      </w:pPr>
      <w:bookmarkStart w:id="17" w:name="_Toc514938036"/>
      <w:bookmarkStart w:id="18" w:name="_Toc520485039"/>
      <w:r>
        <w:t>1.3.5.</w:t>
      </w:r>
      <w:r>
        <w:tab/>
      </w:r>
      <w:r>
        <w:rPr>
          <w:noProof/>
        </w:rPr>
        <w:t>A rendelkezésre álló különböző finanszírozási lehetőségek értékelése, ideértve az átcsoportosítási lehetőségeket is</w:t>
      </w:r>
      <w:bookmarkEnd w:id="17"/>
      <w:bookmarkEnd w:id="18"/>
    </w:p>
    <w:p>
      <w:pPr>
        <w:pStyle w:val="Text1"/>
        <w:pBdr>
          <w:top w:val="single" w:sz="4" w:space="1" w:color="auto"/>
          <w:left w:val="single" w:sz="4" w:space="4" w:color="auto"/>
          <w:bottom w:val="single" w:sz="4" w:space="0" w:color="auto"/>
          <w:right w:val="single" w:sz="4" w:space="4" w:color="auto"/>
        </w:pBdr>
        <w:rPr>
          <w:noProof/>
        </w:rPr>
      </w:pPr>
      <w:r>
        <w:rPr>
          <w:noProof/>
        </w:rPr>
        <w:t>E rendeletnek nincs pénzügyi hatása. A programokhoz nyújtott uniós hozzájárulás finanszírozása az Unió általános költségvetéséből történik.</w:t>
      </w:r>
    </w:p>
    <w:p>
      <w:pPr>
        <w:pStyle w:val="Text1"/>
        <w:rPr>
          <w:noProof/>
        </w:rPr>
      </w:pPr>
    </w:p>
    <w:p>
      <w:pPr>
        <w:pStyle w:val="ManualHeading2"/>
        <w:rPr>
          <w:bCs/>
          <w:noProof/>
          <w:szCs w:val="24"/>
        </w:rPr>
      </w:pPr>
      <w:r>
        <w:rPr>
          <w:noProof/>
        </w:rPr>
        <w:br w:type="page"/>
      </w:r>
      <w:bookmarkStart w:id="19" w:name="_Toc514938039"/>
      <w:bookmarkStart w:id="20" w:name="_Toc520485040"/>
      <w:r>
        <w:t>1.4.</w:t>
      </w:r>
      <w:r>
        <w:tab/>
      </w:r>
      <w:r>
        <w:rPr>
          <w:noProof/>
        </w:rPr>
        <w:t>A javaslat/kezdeményezés időtartama és pénzügyi hatása</w:t>
      </w:r>
      <w:bookmarkEnd w:id="19"/>
      <w:bookmarkEnd w:id="20"/>
    </w:p>
    <w:p>
      <w:pPr>
        <w:pStyle w:val="ListDash1"/>
        <w:rPr>
          <w:noProof/>
        </w:rPr>
      </w:pPr>
      <w:r>
        <w:rPr>
          <w:b/>
          <w:noProof/>
        </w:rPr>
        <w:t>X</w:t>
      </w:r>
      <w:r>
        <w:rPr>
          <w:noProof/>
        </w:rPr>
        <w:t xml:space="preserve"> nincs pénzügyi hatás</w:t>
      </w:r>
    </w:p>
    <w:p>
      <w:pPr>
        <w:pStyle w:val="ManualHeading2"/>
        <w:rPr>
          <w:bCs/>
          <w:noProof/>
          <w:szCs w:val="24"/>
        </w:rPr>
      </w:pPr>
      <w:bookmarkStart w:id="21" w:name="_Toc514938040"/>
      <w:bookmarkStart w:id="22" w:name="_Toc520485041"/>
      <w:r>
        <w:t>1.5.</w:t>
      </w:r>
      <w:r>
        <w:tab/>
      </w:r>
      <w:r>
        <w:rPr>
          <w:noProof/>
        </w:rPr>
        <w:t>Tervezett irányítási módszer(ek)</w:t>
      </w:r>
      <w:r>
        <w:rPr>
          <w:rStyle w:val="FootnoteReference"/>
          <w:noProof/>
        </w:rPr>
        <w:footnoteReference w:id="9"/>
      </w:r>
      <w:r>
        <w:rPr>
          <w:rStyle w:val="FootnoteReference"/>
          <w:noProof/>
        </w:rPr>
        <w:t xml:space="preserve"> </w:t>
      </w:r>
      <w:bookmarkEnd w:id="21"/>
      <w:bookmarkEnd w:id="22"/>
    </w:p>
    <w:p>
      <w:pPr>
        <w:pStyle w:val="Text1"/>
        <w:rPr>
          <w:noProof/>
        </w:rPr>
      </w:pPr>
      <w:r>
        <w:rPr>
          <w:noProof/>
        </w:rPr>
        <w:sym w:font="Wingdings" w:char="F0A8"/>
      </w:r>
      <w:r>
        <w:rPr>
          <w:i/>
          <w:noProof/>
        </w:rPr>
        <w:t xml:space="preserve"> </w:t>
      </w:r>
      <w:r>
        <w:rPr>
          <w:noProof/>
        </w:rPr>
        <w:t xml:space="preserve">Bizottság általi </w:t>
      </w:r>
      <w:r>
        <w:rPr>
          <w:b/>
          <w:noProof/>
        </w:rPr>
        <w:t>közvetlen irányítás</w:t>
      </w:r>
    </w:p>
    <w:p>
      <w:pPr>
        <w:pStyle w:val="ListDash2"/>
        <w:rPr>
          <w:rFonts w:cs="EUAlbertina"/>
          <w:noProof/>
        </w:rPr>
      </w:pPr>
      <w:r>
        <w:rPr>
          <w:noProof/>
        </w:rPr>
        <w:sym w:font="Wingdings" w:char="F0A8"/>
      </w:r>
      <w:r>
        <w:rPr>
          <w:noProof/>
        </w:rPr>
        <w:t xml:space="preserve"> a Bizottság szervezeti egységein keresztül, ideértve az uniós küldöttségek személyzetét </w:t>
      </w:r>
    </w:p>
    <w:p>
      <w:pPr>
        <w:pStyle w:val="ListDash2"/>
        <w:rPr>
          <w:noProof/>
        </w:rPr>
      </w:pPr>
      <w:r>
        <w:rPr>
          <w:noProof/>
        </w:rPr>
        <w:sym w:font="Wingdings" w:char="F0A8"/>
      </w:r>
      <w:r>
        <w:rPr>
          <w:noProof/>
        </w:rPr>
        <w:tab/>
        <w:t xml:space="preserve">végrehajtó ügynökségen keresztül </w:t>
      </w:r>
    </w:p>
    <w:p>
      <w:pPr>
        <w:pStyle w:val="Text1"/>
        <w:rPr>
          <w:noProof/>
        </w:rPr>
      </w:pPr>
      <w:r>
        <w:rPr>
          <w:b/>
          <w:noProof/>
        </w:rPr>
        <w:t>X</w:t>
      </w:r>
      <w:r>
        <w:rPr>
          <w:b/>
          <w:i/>
          <w:noProof/>
        </w:rPr>
        <w:t xml:space="preserve"> </w:t>
      </w:r>
      <w:r>
        <w:rPr>
          <w:b/>
          <w:noProof/>
        </w:rPr>
        <w:t>Megosztott irányítás</w:t>
      </w:r>
      <w:r>
        <w:rPr>
          <w:noProof/>
        </w:rPr>
        <w:t xml:space="preserve"> a tagállamokkal </w:t>
      </w:r>
    </w:p>
    <w:p>
      <w:pPr>
        <w:pStyle w:val="Text1"/>
        <w:rPr>
          <w:noProof/>
        </w:rPr>
      </w:pPr>
      <w:r>
        <w:rPr>
          <w:noProof/>
        </w:rPr>
        <w:sym w:font="Wingdings" w:char="F0A8"/>
      </w:r>
      <w:r>
        <w:rPr>
          <w:i/>
          <w:noProof/>
        </w:rPr>
        <w:t xml:space="preserve"> </w:t>
      </w:r>
      <w:r>
        <w:rPr>
          <w:b/>
          <w:noProof/>
        </w:rPr>
        <w:t>Közvetett irányítás</w:t>
      </w:r>
      <w:r>
        <w:rPr>
          <w:noProof/>
        </w:rPr>
        <w:t xml:space="preserve"> a költségvetés végrehajtásával kapcsolatos feladatoknak a következőkre történő átruházásával:</w:t>
      </w:r>
    </w:p>
    <w:p>
      <w:pPr>
        <w:pStyle w:val="ListDash2"/>
        <w:rPr>
          <w:noProof/>
        </w:rPr>
      </w:pPr>
      <w:r>
        <w:rPr>
          <w:noProof/>
        </w:rPr>
        <w:sym w:font="Wingdings" w:char="F0A8"/>
      </w:r>
      <w:r>
        <w:rPr>
          <w:noProof/>
        </w:rPr>
        <w:t xml:space="preserve"> harmadik országok vagy az általuk kijelölt szervek;</w:t>
      </w:r>
    </w:p>
    <w:p>
      <w:pPr>
        <w:pStyle w:val="ListDash2"/>
        <w:rPr>
          <w:noProof/>
        </w:rPr>
      </w:pPr>
      <w:r>
        <w:rPr>
          <w:noProof/>
        </w:rPr>
        <w:sym w:font="Wingdings" w:char="F0A8"/>
      </w:r>
      <w:r>
        <w:rPr>
          <w:noProof/>
        </w:rPr>
        <w:t xml:space="preserve"> nemzetközi szervezetek és ügynökségeik (nevezze meg);</w:t>
      </w:r>
    </w:p>
    <w:p>
      <w:pPr>
        <w:pStyle w:val="ListDash2"/>
        <w:rPr>
          <w:noProof/>
        </w:rPr>
      </w:pPr>
      <w:r>
        <w:rPr>
          <w:noProof/>
        </w:rPr>
        <w:sym w:font="Wingdings" w:char="F0A8"/>
      </w:r>
      <w:r>
        <w:rPr>
          <w:noProof/>
        </w:rPr>
        <w:t xml:space="preserve"> az EBB és az Európai Beruházási Alap*;</w:t>
      </w:r>
    </w:p>
    <w:p>
      <w:pPr>
        <w:pStyle w:val="ListDash2"/>
        <w:rPr>
          <w:noProof/>
        </w:rPr>
      </w:pPr>
      <w:r>
        <w:rPr>
          <w:noProof/>
        </w:rPr>
        <w:sym w:font="Wingdings" w:char="F0A8"/>
      </w:r>
      <w:r>
        <w:rPr>
          <w:noProof/>
        </w:rPr>
        <w:t xml:space="preserve"> a költségvetési rendelet 70. és 71. cikkében említett szervek;</w:t>
      </w:r>
    </w:p>
    <w:p>
      <w:pPr>
        <w:pStyle w:val="ListDash2"/>
        <w:rPr>
          <w:noProof/>
        </w:rPr>
      </w:pPr>
      <w:r>
        <w:rPr>
          <w:noProof/>
        </w:rPr>
        <w:sym w:font="Wingdings" w:char="F0A8"/>
      </w:r>
      <w:r>
        <w:rPr>
          <w:noProof/>
        </w:rPr>
        <w:t xml:space="preserve"> közjogi szervek;</w:t>
      </w:r>
    </w:p>
    <w:p>
      <w:pPr>
        <w:pStyle w:val="ListDash2"/>
        <w:rPr>
          <w:noProof/>
        </w:rPr>
      </w:pPr>
      <w:r>
        <w:rPr>
          <w:noProof/>
        </w:rPr>
        <w:sym w:font="Wingdings" w:char="F0A8"/>
      </w:r>
      <w:r>
        <w:rPr>
          <w:noProof/>
        </w:rPr>
        <w:t xml:space="preserve"> magánjog alapján működő, közfeladatot ellátó szervek, amennyiben megfelelő pénzügyi garanciákat nyújtanak;</w:t>
      </w:r>
    </w:p>
    <w:p>
      <w:pPr>
        <w:pStyle w:val="ListDash2"/>
        <w:rPr>
          <w:noProof/>
        </w:rPr>
      </w:pPr>
      <w:r>
        <w:rPr>
          <w:noProof/>
        </w:rPr>
        <w:sym w:font="Wingdings" w:char="F0A8"/>
      </w:r>
      <w:r>
        <w:rPr>
          <w:noProof/>
        </w:rPr>
        <w:t xml:space="preserve"> valamely tagállam magánjoga alapján működő, köz- és magánszféra közötti partnerség végrehajtásával megbízott és megfelelő pénzügyi garanciákat nyújtó szervek</w:t>
      </w:r>
    </w:p>
    <w:p>
      <w:pPr>
        <w:pStyle w:val="ListDash2"/>
        <w:rPr>
          <w:noProof/>
        </w:rPr>
      </w:pPr>
      <w:r>
        <w:rPr>
          <w:noProof/>
        </w:rPr>
        <w:sym w:font="Wingdings" w:char="F0A8"/>
      </w:r>
      <w:r>
        <w:rPr>
          <w:noProof/>
        </w:rPr>
        <w:t xml:space="preserve"> az EUSZ V. címének értelmében a KKBP terén konkrét fellépések végrehajtásával megbízott, és a vonatkozó alap-jogiaktusban meghatározott személyek.</w:t>
      </w:r>
    </w:p>
    <w:p>
      <w:pPr>
        <w:pStyle w:val="ListDash2"/>
        <w:rPr>
          <w:i/>
          <w:noProof/>
          <w:sz w:val="18"/>
          <w:u w:val="single"/>
        </w:rPr>
      </w:pPr>
      <w:r>
        <w:rPr>
          <w:i/>
          <w:noProof/>
          <w:sz w:val="18"/>
        </w:rPr>
        <w:t>Egynél több irányítási módszer feltüntetése esetén kérjük, adjon részletes felvilágosítást a „Megjegyzések” rovatban.</w:t>
      </w:r>
    </w:p>
    <w:p>
      <w:pPr>
        <w:rPr>
          <w:noProof/>
        </w:rPr>
      </w:pPr>
      <w:r>
        <w:rPr>
          <w:noProof/>
        </w:rPr>
        <w:t xml:space="preserve">Megjegyzések </w:t>
      </w:r>
    </w:p>
    <w:p>
      <w:pPr>
        <w:pBdr>
          <w:top w:val="single" w:sz="4" w:space="1" w:color="auto"/>
          <w:left w:val="single" w:sz="4" w:space="4" w:color="auto"/>
          <w:bottom w:val="single" w:sz="4" w:space="1" w:color="auto"/>
          <w:right w:val="single" w:sz="4" w:space="4" w:color="auto"/>
        </w:pBdr>
        <w:jc w:val="left"/>
        <w:rPr>
          <w:noProof/>
        </w:rPr>
        <w:sectPr>
          <w:pgSz w:w="11907" w:h="16840" w:code="9"/>
          <w:pgMar w:top="1134" w:right="1418" w:bottom="1134" w:left="1418" w:header="709" w:footer="709" w:gutter="0"/>
          <w:cols w:space="708"/>
          <w:docGrid w:linePitch="360"/>
        </w:sectPr>
      </w:pPr>
      <w:r>
        <w:t>Nem alkalmazandó</w:t>
      </w:r>
    </w:p>
    <w:p>
      <w:pPr>
        <w:pStyle w:val="ManualHeading1"/>
        <w:rPr>
          <w:bCs/>
          <w:noProof/>
          <w:szCs w:val="24"/>
        </w:rPr>
      </w:pPr>
      <w:bookmarkStart w:id="23" w:name="_Toc514938041"/>
      <w:bookmarkStart w:id="24" w:name="_Toc520485042"/>
      <w:r>
        <w:t>2.</w:t>
      </w:r>
      <w:r>
        <w:tab/>
      </w:r>
      <w:r>
        <w:rPr>
          <w:noProof/>
        </w:rPr>
        <w:t>IRÁNYÍTÁSI INTÉZKEDÉSEK</w:t>
      </w:r>
      <w:bookmarkEnd w:id="23"/>
      <w:bookmarkEnd w:id="24"/>
      <w:r>
        <w:rPr>
          <w:noProof/>
        </w:rPr>
        <w:t xml:space="preserve"> </w:t>
      </w:r>
    </w:p>
    <w:p>
      <w:pPr>
        <w:pStyle w:val="ManualHeading2"/>
        <w:rPr>
          <w:noProof/>
        </w:rPr>
      </w:pPr>
      <w:bookmarkStart w:id="25" w:name="_Toc514938042"/>
      <w:bookmarkStart w:id="26" w:name="_Toc520485043"/>
      <w:r>
        <w:t>2.1.</w:t>
      </w:r>
      <w:r>
        <w:tab/>
      </w:r>
      <w:r>
        <w:rPr>
          <w:noProof/>
        </w:rPr>
        <w:t>A nyomon követésre és a jelentéstételre vonatkozó rendelkezések</w:t>
      </w:r>
      <w:bookmarkEnd w:id="25"/>
      <w:bookmarkEnd w:id="26"/>
      <w:r>
        <w:rPr>
          <w:noProof/>
        </w:rPr>
        <w:t xml:space="preserve"> </w:t>
      </w:r>
    </w:p>
    <w:p>
      <w:pPr>
        <w:pStyle w:val="Text1"/>
        <w:rPr>
          <w:i/>
          <w:noProof/>
          <w:sz w:val="20"/>
        </w:rPr>
      </w:pPr>
      <w:r>
        <w:rPr>
          <w:i/>
          <w:noProof/>
          <w:sz w:val="20"/>
        </w:rPr>
        <w:t>Gyakoriság és feltételek</w:t>
      </w:r>
    </w:p>
    <w:p>
      <w:pPr>
        <w:pStyle w:val="Text1"/>
        <w:pBdr>
          <w:top w:val="single" w:sz="4" w:space="1" w:color="auto"/>
          <w:left w:val="single" w:sz="4" w:space="4" w:color="auto"/>
          <w:bottom w:val="single" w:sz="4" w:space="1" w:color="auto"/>
          <w:right w:val="single" w:sz="4" w:space="4" w:color="auto"/>
        </w:pBdr>
        <w:rPr>
          <w:noProof/>
        </w:rPr>
      </w:pPr>
      <w:r>
        <w:t>Nem alkalmazandó</w:t>
      </w:r>
    </w:p>
    <w:p>
      <w:pPr>
        <w:pStyle w:val="ManualHeading2"/>
        <w:rPr>
          <w:bCs/>
          <w:noProof/>
          <w:szCs w:val="24"/>
        </w:rPr>
      </w:pPr>
      <w:bookmarkStart w:id="27" w:name="_Toc514938045"/>
      <w:bookmarkStart w:id="28" w:name="_Toc520485044"/>
      <w:r>
        <w:t>2.2.</w:t>
      </w:r>
      <w:r>
        <w:tab/>
      </w:r>
      <w:r>
        <w:rPr>
          <w:noProof/>
        </w:rPr>
        <w:t>Irányítási és kontrollrendszer(ek)</w:t>
      </w:r>
      <w:bookmarkEnd w:id="27"/>
      <w:bookmarkEnd w:id="28"/>
      <w:r>
        <w:rPr>
          <w:noProof/>
        </w:rPr>
        <w:t xml:space="preserve"> </w:t>
      </w:r>
    </w:p>
    <w:p>
      <w:pPr>
        <w:pStyle w:val="ManualHeading3"/>
        <w:rPr>
          <w:noProof/>
        </w:rPr>
      </w:pPr>
      <w:bookmarkStart w:id="29" w:name="_Toc514938046"/>
      <w:bookmarkStart w:id="30" w:name="_Toc520485045"/>
      <w:r>
        <w:t>2.2.1.</w:t>
      </w:r>
      <w:r>
        <w:tab/>
      </w:r>
      <w:r>
        <w:rPr>
          <w:noProof/>
        </w:rPr>
        <w:t>Az irányítási módszer(ek), a finanszírozás végrehajtási mechanizmusai, a kifizetési módok és a javasolt kontrollstratégia indokolása</w:t>
      </w:r>
      <w:bookmarkEnd w:id="29"/>
      <w:bookmarkEnd w:id="30"/>
    </w:p>
    <w:p>
      <w:pPr>
        <w:pStyle w:val="Text1"/>
        <w:pBdr>
          <w:top w:val="single" w:sz="4" w:space="1" w:color="auto"/>
          <w:left w:val="single" w:sz="4" w:space="4" w:color="auto"/>
          <w:bottom w:val="single" w:sz="4" w:space="1" w:color="auto"/>
          <w:right w:val="single" w:sz="4" w:space="4" w:color="auto"/>
        </w:pBdr>
        <w:rPr>
          <w:noProof/>
        </w:rPr>
      </w:pPr>
      <w:r>
        <w:t>Nem alkalmazandó</w:t>
      </w:r>
    </w:p>
    <w:p>
      <w:pPr>
        <w:pStyle w:val="ManualHeading3"/>
        <w:rPr>
          <w:bCs/>
          <w:noProof/>
          <w:szCs w:val="24"/>
        </w:rPr>
      </w:pPr>
      <w:bookmarkStart w:id="31" w:name="_Toc514938047"/>
      <w:bookmarkStart w:id="32" w:name="_Toc520485046"/>
      <w:r>
        <w:t>2.2.2.</w:t>
      </w:r>
      <w:r>
        <w:tab/>
      </w:r>
      <w:r>
        <w:rPr>
          <w:noProof/>
        </w:rPr>
        <w:t>A felismert kockázatokkal és a csökkentésükre létrehozott belső kontrollrendszerekkel kapcsolatos információk</w:t>
      </w:r>
      <w:bookmarkEnd w:id="31"/>
      <w:bookmarkEnd w:id="32"/>
    </w:p>
    <w:p>
      <w:pPr>
        <w:pStyle w:val="Text1"/>
        <w:pBdr>
          <w:top w:val="single" w:sz="4" w:space="1" w:color="auto"/>
          <w:left w:val="single" w:sz="4" w:space="4" w:color="auto"/>
          <w:bottom w:val="single" w:sz="4" w:space="1" w:color="auto"/>
          <w:right w:val="single" w:sz="4" w:space="4" w:color="auto"/>
        </w:pBdr>
        <w:rPr>
          <w:noProof/>
        </w:rPr>
      </w:pPr>
      <w:r>
        <w:t>Nem alkalmazandó</w:t>
      </w:r>
    </w:p>
    <w:p>
      <w:pPr>
        <w:pStyle w:val="ManualHeading3"/>
        <w:rPr>
          <w:noProof/>
        </w:rPr>
      </w:pPr>
      <w:bookmarkStart w:id="33" w:name="_Toc514938048"/>
      <w:bookmarkStart w:id="34" w:name="_Toc520485047"/>
      <w:r>
        <w:t>2.2.3.</w:t>
      </w:r>
      <w:r>
        <w:tab/>
      </w:r>
      <w:r>
        <w:rPr>
          <w:noProof/>
        </w:rPr>
        <w:t>A kontroll költséghatékonyságának becslése és indokolása (a „kontroll költségei ÷ a kezelt kapcsolódó források értéke” hányados) és a hibakockázat várható szintjeinek értékelése (kifizetéskor és záráskor)</w:t>
      </w:r>
      <w:bookmarkEnd w:id="33"/>
      <w:bookmarkEnd w:id="34"/>
      <w:r>
        <w:rPr>
          <w:noProof/>
        </w:rPr>
        <w:t xml:space="preserve"> </w:t>
      </w:r>
    </w:p>
    <w:p>
      <w:pPr>
        <w:pStyle w:val="Text1"/>
        <w:pBdr>
          <w:top w:val="single" w:sz="4" w:space="1" w:color="auto"/>
          <w:left w:val="single" w:sz="4" w:space="4" w:color="auto"/>
          <w:bottom w:val="single" w:sz="4" w:space="1" w:color="auto"/>
          <w:right w:val="single" w:sz="4" w:space="4" w:color="auto"/>
        </w:pBdr>
      </w:pPr>
      <w:r>
        <w:t>Nem alkalmazandó</w:t>
      </w:r>
    </w:p>
    <w:p>
      <w:pPr>
        <w:pStyle w:val="ManualHeading2"/>
        <w:rPr>
          <w:bCs/>
          <w:noProof/>
          <w:szCs w:val="24"/>
        </w:rPr>
      </w:pPr>
      <w:bookmarkStart w:id="35" w:name="_Toc514938049"/>
      <w:bookmarkStart w:id="36" w:name="_Toc520485048"/>
      <w:r>
        <w:t>2.3.</w:t>
      </w:r>
      <w:r>
        <w:tab/>
      </w:r>
      <w:r>
        <w:rPr>
          <w:noProof/>
        </w:rPr>
        <w:t>A csalások és a szabálytalanságok megelőzésére vonatkozó intézkedések</w:t>
      </w:r>
      <w:bookmarkEnd w:id="35"/>
      <w:bookmarkEnd w:id="36"/>
      <w:r>
        <w:rPr>
          <w:noProof/>
        </w:rPr>
        <w:t xml:space="preserve"> </w:t>
      </w:r>
    </w:p>
    <w:p>
      <w:pPr>
        <w:pStyle w:val="Text1"/>
        <w:rPr>
          <w:i/>
          <w:noProof/>
          <w:sz w:val="20"/>
        </w:rPr>
      </w:pPr>
      <w:r>
        <w:rPr>
          <w:i/>
          <w:noProof/>
          <w:sz w:val="20"/>
        </w:rPr>
        <w:t>Tüntesse fel a meglévő vagy tervezett megelőző és védintézkedéseket, pl. a csalás elleni stratégiából.</w:t>
      </w:r>
    </w:p>
    <w:p>
      <w:pPr>
        <w:pStyle w:val="Text1"/>
        <w:pBdr>
          <w:top w:val="single" w:sz="4" w:space="1" w:color="auto"/>
          <w:left w:val="single" w:sz="4" w:space="4" w:color="auto"/>
          <w:bottom w:val="single" w:sz="4" w:space="1" w:color="auto"/>
          <w:right w:val="single" w:sz="4" w:space="4" w:color="auto"/>
        </w:pBdr>
        <w:jc w:val="left"/>
        <w:sectPr>
          <w:pgSz w:w="11907" w:h="16840" w:code="9"/>
          <w:pgMar w:top="1134" w:right="1418" w:bottom="1134" w:left="1418" w:header="709" w:footer="709" w:gutter="0"/>
          <w:cols w:space="708"/>
          <w:docGrid w:linePitch="360"/>
        </w:sectPr>
      </w:pPr>
      <w:r>
        <w:t>Nem alkalmazandó</w:t>
      </w:r>
    </w:p>
    <w:p>
      <w:pPr>
        <w:pStyle w:val="ManualHeading1"/>
        <w:rPr>
          <w:bCs/>
          <w:noProof/>
          <w:szCs w:val="24"/>
        </w:rPr>
      </w:pPr>
      <w:bookmarkStart w:id="37" w:name="_Toc514938050"/>
      <w:bookmarkStart w:id="38" w:name="_Toc520485049"/>
      <w:r>
        <w:t>3.</w:t>
      </w:r>
      <w:r>
        <w:tab/>
      </w:r>
      <w:r>
        <w:rPr>
          <w:noProof/>
        </w:rPr>
        <w:t>A JAVASLAT/KEZDEMÉNYEZÉS BECSÜLT PÉNZÜGYI HATÁSA</w:t>
      </w:r>
      <w:bookmarkEnd w:id="37"/>
      <w:bookmarkEnd w:id="38"/>
      <w:r>
        <w:rPr>
          <w:noProof/>
        </w:rPr>
        <w:t xml:space="preserve"> </w:t>
      </w:r>
    </w:p>
    <w:p>
      <w:pPr>
        <w:pStyle w:val="ManualHeading2"/>
        <w:rPr>
          <w:noProof/>
        </w:rPr>
      </w:pPr>
      <w:bookmarkStart w:id="39" w:name="_Toc514938051"/>
      <w:bookmarkStart w:id="40" w:name="_Toc520485050"/>
      <w:r>
        <w:t>3.1.</w:t>
      </w:r>
      <w:r>
        <w:tab/>
      </w:r>
      <w:r>
        <w:rPr>
          <w:noProof/>
        </w:rPr>
        <w:t>A többéves pénzügyi keret érintett fejezete(i) és a költségvetés érintett kiadási sora/sorai</w:t>
      </w:r>
      <w:bookmarkEnd w:id="39"/>
      <w:bookmarkEnd w:id="40"/>
      <w:r>
        <w:rPr>
          <w:noProof/>
        </w:rPr>
        <w:t xml:space="preserve"> </w:t>
      </w:r>
    </w:p>
    <w:p>
      <w:pPr>
        <w:pStyle w:val="ListBullet1"/>
        <w:rPr>
          <w:noProof/>
        </w:rPr>
      </w:pPr>
      <w:r>
        <w:rPr>
          <w:noProof/>
        </w:rPr>
        <w:t xml:space="preserve">Jelenlegi költségvetési sorok </w:t>
      </w:r>
    </w:p>
    <w:p>
      <w:pPr>
        <w:pStyle w:val="Text1"/>
        <w:rPr>
          <w:i/>
          <w:noProof/>
        </w:rPr>
      </w:pPr>
      <w:r>
        <w:rPr>
          <w:i/>
          <w:noProof/>
        </w:rPr>
        <w:t xml:space="preserve">A többéves pénzügyi keret fejezetei, azon belül pedig a költségvetési sorok </w:t>
      </w:r>
      <w:r>
        <w:rPr>
          <w:i/>
          <w:noProof/>
          <w:u w:val="single"/>
        </w:rPr>
        <w:t>sorrendjében</w:t>
      </w:r>
      <w:r>
        <w:rPr>
          <w:i/>
          <w:noProof/>
        </w:rPr>
        <w:t>.</w:t>
      </w:r>
    </w:p>
    <w:tbl>
      <w:tblPr>
        <w:tblW w:w="1085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1044"/>
        <w:gridCol w:w="1134"/>
        <w:gridCol w:w="1134"/>
        <w:gridCol w:w="1418"/>
      </w:tblGrid>
      <w:tr>
        <w:tc>
          <w:tcPr>
            <w:tcW w:w="1080" w:type="dxa"/>
            <w:vMerge w:val="restart"/>
            <w:vAlign w:val="center"/>
          </w:tcPr>
          <w:p>
            <w:pPr>
              <w:spacing w:before="60" w:after="60"/>
              <w:jc w:val="center"/>
              <w:rPr>
                <w:noProof/>
              </w:rPr>
            </w:pPr>
            <w:r>
              <w:rPr>
                <w:noProof/>
                <w:sz w:val="18"/>
              </w:rPr>
              <w:t>A többéves pénzügyi keret fejezete</w:t>
            </w:r>
          </w:p>
        </w:tc>
        <w:tc>
          <w:tcPr>
            <w:tcW w:w="3960" w:type="dxa"/>
            <w:vAlign w:val="center"/>
          </w:tcPr>
          <w:p>
            <w:pPr>
              <w:spacing w:before="60" w:after="60"/>
              <w:jc w:val="center"/>
              <w:rPr>
                <w:noProof/>
              </w:rPr>
            </w:pPr>
            <w:r>
              <w:rPr>
                <w:noProof/>
                <w:sz w:val="20"/>
              </w:rPr>
              <w:t>Költségvetési sor</w:t>
            </w:r>
          </w:p>
        </w:tc>
        <w:tc>
          <w:tcPr>
            <w:tcW w:w="1080" w:type="dxa"/>
            <w:vAlign w:val="center"/>
          </w:tcPr>
          <w:p>
            <w:pPr>
              <w:spacing w:before="60" w:after="60"/>
              <w:jc w:val="center"/>
              <w:rPr>
                <w:noProof/>
              </w:rPr>
            </w:pPr>
            <w:r>
              <w:rPr>
                <w:noProof/>
                <w:sz w:val="18"/>
              </w:rPr>
              <w:t>Kiadás</w:t>
            </w:r>
            <w:r>
              <w:rPr>
                <w:noProof/>
                <w:sz w:val="22"/>
              </w:rPr>
              <w:br/>
            </w:r>
            <w:r>
              <w:rPr>
                <w:noProof/>
                <w:sz w:val="18"/>
              </w:rPr>
              <w:t>típusa</w:t>
            </w:r>
          </w:p>
        </w:tc>
        <w:tc>
          <w:tcPr>
            <w:tcW w:w="4730" w:type="dxa"/>
            <w:gridSpan w:val="4"/>
            <w:vAlign w:val="center"/>
          </w:tcPr>
          <w:p>
            <w:pPr>
              <w:spacing w:before="60" w:after="60"/>
              <w:jc w:val="center"/>
              <w:rPr>
                <w:noProof/>
              </w:rPr>
            </w:pPr>
            <w:r>
              <w:rPr>
                <w:noProof/>
                <w:sz w:val="20"/>
              </w:rPr>
              <w:t xml:space="preserve">Hozzájárulás </w:t>
            </w:r>
          </w:p>
        </w:tc>
      </w:tr>
      <w:tr>
        <w:tc>
          <w:tcPr>
            <w:tcW w:w="1080" w:type="dxa"/>
            <w:vMerge/>
            <w:vAlign w:val="center"/>
          </w:tcPr>
          <w:p>
            <w:pPr>
              <w:jc w:val="center"/>
              <w:rPr>
                <w:noProof/>
              </w:rPr>
            </w:pPr>
          </w:p>
        </w:tc>
        <w:tc>
          <w:tcPr>
            <w:tcW w:w="3960" w:type="dxa"/>
            <w:vAlign w:val="center"/>
          </w:tcPr>
          <w:p>
            <w:pPr>
              <w:rPr>
                <w:noProof/>
              </w:rPr>
            </w:pPr>
            <w:r>
              <w:rPr>
                <w:noProof/>
                <w:sz w:val="20"/>
              </w:rPr>
              <w:t xml:space="preserve">Szám </w:t>
            </w:r>
            <w:r>
              <w:rPr>
                <w:noProof/>
                <w:sz w:val="22"/>
              </w:rPr>
              <w:br/>
            </w:r>
          </w:p>
        </w:tc>
        <w:tc>
          <w:tcPr>
            <w:tcW w:w="1080" w:type="dxa"/>
            <w:vAlign w:val="center"/>
          </w:tcPr>
          <w:p>
            <w:pPr>
              <w:jc w:val="center"/>
              <w:rPr>
                <w:noProof/>
              </w:rPr>
            </w:pPr>
            <w:r>
              <w:rPr>
                <w:noProof/>
                <w:sz w:val="18"/>
              </w:rPr>
              <w:t>Diff./Nem diff.</w:t>
            </w:r>
            <w:r>
              <w:rPr>
                <w:rStyle w:val="FootnoteReference"/>
                <w:noProof/>
                <w:sz w:val="18"/>
              </w:rPr>
              <w:footnoteReference w:id="10"/>
            </w:r>
          </w:p>
        </w:tc>
        <w:tc>
          <w:tcPr>
            <w:tcW w:w="1044" w:type="dxa"/>
            <w:vAlign w:val="center"/>
          </w:tcPr>
          <w:p>
            <w:pPr>
              <w:jc w:val="center"/>
              <w:rPr>
                <w:noProof/>
              </w:rPr>
            </w:pPr>
            <w:r>
              <w:rPr>
                <w:noProof/>
                <w:sz w:val="18"/>
              </w:rPr>
              <w:t>EFTA-országoktól</w:t>
            </w:r>
            <w:r>
              <w:rPr>
                <w:rStyle w:val="FootnoteReference"/>
                <w:noProof/>
                <w:sz w:val="18"/>
              </w:rPr>
              <w:footnoteReference w:id="11"/>
            </w:r>
          </w:p>
          <w:p>
            <w:pPr>
              <w:spacing w:before="0" w:after="0"/>
              <w:jc w:val="center"/>
              <w:rPr>
                <w:b/>
                <w:noProof/>
                <w:sz w:val="18"/>
              </w:rPr>
            </w:pPr>
          </w:p>
        </w:tc>
        <w:tc>
          <w:tcPr>
            <w:tcW w:w="1134" w:type="dxa"/>
            <w:vAlign w:val="center"/>
          </w:tcPr>
          <w:p>
            <w:pPr>
              <w:jc w:val="center"/>
              <w:rPr>
                <w:noProof/>
              </w:rPr>
            </w:pPr>
            <w:r>
              <w:rPr>
                <w:noProof/>
                <w:sz w:val="18"/>
              </w:rPr>
              <w:t>tagjelölt országoktól</w:t>
            </w:r>
            <w:r>
              <w:rPr>
                <w:rStyle w:val="FootnoteReference"/>
                <w:noProof/>
                <w:sz w:val="18"/>
              </w:rPr>
              <w:footnoteReference w:id="12"/>
            </w:r>
          </w:p>
          <w:p>
            <w:pPr>
              <w:spacing w:before="0" w:after="0"/>
              <w:jc w:val="center"/>
              <w:rPr>
                <w:noProof/>
                <w:sz w:val="18"/>
              </w:rPr>
            </w:pPr>
          </w:p>
        </w:tc>
        <w:tc>
          <w:tcPr>
            <w:tcW w:w="1134" w:type="dxa"/>
            <w:vAlign w:val="center"/>
          </w:tcPr>
          <w:p>
            <w:pPr>
              <w:jc w:val="center"/>
              <w:rPr>
                <w:noProof/>
                <w:sz w:val="18"/>
              </w:rPr>
            </w:pPr>
            <w:r>
              <w:rPr>
                <w:noProof/>
                <w:sz w:val="18"/>
              </w:rPr>
              <w:t>harmadik országoktól</w:t>
            </w:r>
          </w:p>
        </w:tc>
        <w:tc>
          <w:tcPr>
            <w:tcW w:w="1418" w:type="dxa"/>
            <w:vAlign w:val="center"/>
          </w:tcPr>
          <w:p>
            <w:pPr>
              <w:jc w:val="center"/>
              <w:rPr>
                <w:noProof/>
              </w:rPr>
            </w:pPr>
            <w:r>
              <w:rPr>
                <w:noProof/>
                <w:sz w:val="16"/>
              </w:rPr>
              <w:t xml:space="preserve">a költségvetési rendelet 21. cikke (2) bekezdésének b) pontja értelmében </w:t>
            </w:r>
          </w:p>
        </w:tc>
      </w:tr>
      <w:tr>
        <w:tc>
          <w:tcPr>
            <w:tcW w:w="1080" w:type="dxa"/>
            <w:vAlign w:val="center"/>
          </w:tcPr>
          <w:p>
            <w:pPr>
              <w:jc w:val="center"/>
              <w:rPr>
                <w:noProof/>
                <w:color w:val="0000FF"/>
              </w:rPr>
            </w:pPr>
            <w:r>
              <w:rPr>
                <w:noProof/>
                <w:color w:val="0000FF"/>
              </w:rPr>
              <w:t>13</w:t>
            </w:r>
          </w:p>
        </w:tc>
        <w:tc>
          <w:tcPr>
            <w:tcW w:w="3960" w:type="dxa"/>
            <w:vAlign w:val="center"/>
          </w:tcPr>
          <w:p>
            <w:pPr>
              <w:spacing w:before="60"/>
              <w:rPr>
                <w:noProof/>
                <w:sz w:val="22"/>
              </w:rPr>
            </w:pPr>
          </w:p>
          <w:p>
            <w:pPr>
              <w:spacing w:before="60"/>
              <w:rPr>
                <w:noProof/>
              </w:rPr>
            </w:pPr>
            <w:r>
              <w:rPr>
                <w:noProof/>
                <w:sz w:val="22"/>
              </w:rPr>
              <w:t>13.03.64.01 – Európai Regionális Fejlesztési Alap (ERFA) – Európai területi együttműködés (ETC)</w:t>
            </w:r>
          </w:p>
          <w:p>
            <w:pPr>
              <w:spacing w:after="60"/>
              <w:rPr>
                <w:noProof/>
              </w:rPr>
            </w:pPr>
          </w:p>
        </w:tc>
        <w:tc>
          <w:tcPr>
            <w:tcW w:w="1080" w:type="dxa"/>
            <w:vAlign w:val="center"/>
          </w:tcPr>
          <w:p>
            <w:pPr>
              <w:jc w:val="center"/>
              <w:rPr>
                <w:noProof/>
                <w:color w:val="0000FF"/>
              </w:rPr>
            </w:pPr>
            <w:r>
              <w:rPr>
                <w:noProof/>
                <w:sz w:val="22"/>
              </w:rPr>
              <w:t>Diff.</w:t>
            </w:r>
          </w:p>
        </w:tc>
        <w:tc>
          <w:tcPr>
            <w:tcW w:w="1044" w:type="dxa"/>
            <w:vAlign w:val="center"/>
          </w:tcPr>
          <w:p>
            <w:pPr>
              <w:jc w:val="center"/>
              <w:rPr>
                <w:noProof/>
                <w:sz w:val="20"/>
                <w:szCs w:val="20"/>
              </w:rPr>
            </w:pPr>
            <w:r>
              <w:rPr>
                <w:noProof/>
                <w:sz w:val="20"/>
                <w:szCs w:val="20"/>
              </w:rPr>
              <w:t>NEM</w:t>
            </w:r>
          </w:p>
        </w:tc>
        <w:tc>
          <w:tcPr>
            <w:tcW w:w="1134" w:type="dxa"/>
            <w:vAlign w:val="center"/>
          </w:tcPr>
          <w:p>
            <w:pPr>
              <w:jc w:val="center"/>
              <w:rPr>
                <w:noProof/>
                <w:sz w:val="20"/>
                <w:szCs w:val="20"/>
              </w:rPr>
            </w:pPr>
            <w:r>
              <w:rPr>
                <w:noProof/>
                <w:sz w:val="20"/>
                <w:szCs w:val="20"/>
              </w:rPr>
              <w:t>NEM</w:t>
            </w:r>
          </w:p>
        </w:tc>
        <w:tc>
          <w:tcPr>
            <w:tcW w:w="1134" w:type="dxa"/>
            <w:vAlign w:val="center"/>
          </w:tcPr>
          <w:p>
            <w:pPr>
              <w:jc w:val="center"/>
              <w:rPr>
                <w:noProof/>
                <w:sz w:val="20"/>
                <w:szCs w:val="20"/>
              </w:rPr>
            </w:pPr>
            <w:r>
              <w:rPr>
                <w:noProof/>
                <w:sz w:val="20"/>
                <w:szCs w:val="20"/>
              </w:rPr>
              <w:t>NEM</w:t>
            </w:r>
          </w:p>
        </w:tc>
        <w:tc>
          <w:tcPr>
            <w:tcW w:w="1418" w:type="dxa"/>
            <w:vAlign w:val="center"/>
          </w:tcPr>
          <w:p>
            <w:pPr>
              <w:rPr>
                <w:noProof/>
                <w:sz w:val="20"/>
                <w:szCs w:val="20"/>
              </w:rPr>
            </w:pPr>
            <w:r>
              <w:rPr>
                <w:noProof/>
                <w:sz w:val="20"/>
                <w:szCs w:val="20"/>
              </w:rPr>
              <w:t xml:space="preserve">      NEM</w:t>
            </w:r>
          </w:p>
        </w:tc>
      </w:tr>
    </w:tbl>
    <w:p>
      <w:pPr>
        <w:pStyle w:val="ManualHeading2"/>
        <w:rPr>
          <w:bCs/>
          <w:noProof/>
          <w:szCs w:val="24"/>
        </w:rPr>
      </w:pPr>
      <w:bookmarkStart w:id="41" w:name="_Toc514938052"/>
      <w:bookmarkStart w:id="42" w:name="_Toc520485051"/>
      <w:r>
        <w:t>3.2.</w:t>
      </w:r>
      <w:r>
        <w:tab/>
      </w:r>
      <w:r>
        <w:rPr>
          <w:noProof/>
        </w:rPr>
        <w:t>A javaslat előirányzatokra gyakorolt becsült pénzügyi hatása</w:t>
      </w:r>
      <w:bookmarkEnd w:id="41"/>
      <w:bookmarkEnd w:id="42"/>
      <w:r>
        <w:rPr>
          <w:noProof/>
        </w:rPr>
        <w:t xml:space="preserve"> </w:t>
      </w:r>
    </w:p>
    <w:p>
      <w:pPr>
        <w:pStyle w:val="ManualHeading3"/>
        <w:rPr>
          <w:noProof/>
        </w:rPr>
      </w:pPr>
      <w:bookmarkStart w:id="43" w:name="_Toc514938053"/>
      <w:bookmarkStart w:id="44" w:name="_Toc520485052"/>
      <w:r>
        <w:t>3.2.1.</w:t>
      </w:r>
      <w:r>
        <w:tab/>
      </w:r>
      <w:r>
        <w:rPr>
          <w:noProof/>
        </w:rPr>
        <w:t>Az operatív előirányzatokra gyakorolt becsült hatás összefoglalása</w:t>
      </w:r>
      <w:bookmarkEnd w:id="43"/>
      <w:bookmarkEnd w:id="44"/>
      <w:r>
        <w:rPr>
          <w:noProof/>
        </w:rPr>
        <w:t xml:space="preserve"> </w:t>
      </w:r>
    </w:p>
    <w:p>
      <w:pPr>
        <w:pStyle w:val="ListDash1"/>
        <w:rPr>
          <w:b/>
          <w:noProof/>
        </w:rPr>
      </w:pPr>
      <w:r>
        <w:rPr>
          <w:b/>
          <w:noProof/>
        </w:rPr>
        <w:t>X</w:t>
      </w:r>
      <w:r>
        <w:rPr>
          <w:noProof/>
        </w:rPr>
        <w:tab/>
      </w:r>
      <w:r>
        <w:rPr>
          <w:b/>
          <w:noProof/>
        </w:rPr>
        <w:t xml:space="preserve">E rendeletnek nincs pénzügyi hatása.  </w:t>
      </w:r>
    </w:p>
    <w:p>
      <w:pPr>
        <w:pStyle w:val="Text1"/>
        <w:rPr>
          <w:noProof/>
        </w:rPr>
      </w:pPr>
      <w:r>
        <w:rPr>
          <w:noProof/>
        </w:rPr>
        <w:sym w:font="Wingdings" w:char="F0A8"/>
      </w:r>
      <w:r>
        <w:rPr>
          <w:noProof/>
        </w:rPr>
        <w:tab/>
        <w:t>A javaslat/kezdeményezés az alábbi operatív előirányzatok felhasználását vonja maga után:</w:t>
      </w:r>
    </w:p>
    <w:p>
      <w:pPr>
        <w:jc w:val="right"/>
        <w:rPr>
          <w:noProof/>
          <w:sz w:val="18"/>
          <w:szCs w:val="18"/>
        </w:rPr>
      </w:pPr>
      <w:r>
        <w:rPr>
          <w:noProof/>
          <w:sz w:val="18"/>
          <w:szCs w:val="18"/>
        </w:rPr>
        <w:t xml:space="preserve">EUR </w:t>
      </w:r>
    </w:p>
    <w:p>
      <w:pPr>
        <w:rPr>
          <w:noProof/>
        </w:rPr>
      </w:pPr>
      <w:r>
        <w:rPr>
          <w:noProof/>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b/>
                <w:noProof/>
              </w:rPr>
            </w:pPr>
            <w:r>
              <w:rPr>
                <w:b/>
                <w:noProof/>
                <w:sz w:val="22"/>
              </w:rPr>
              <w:t>A többéves pénzügyi keret</w:t>
            </w:r>
            <w:r>
              <w:rPr>
                <w:noProof/>
                <w:sz w:val="22"/>
              </w:rPr>
              <w:br/>
            </w:r>
            <w:r>
              <w:rPr>
                <w:b/>
                <w:noProof/>
                <w:sz w:val="22"/>
              </w:rPr>
              <w:t xml:space="preserve">fejezete </w:t>
            </w:r>
          </w:p>
        </w:tc>
        <w:tc>
          <w:tcPr>
            <w:tcW w:w="1080" w:type="dxa"/>
            <w:vAlign w:val="center"/>
          </w:tcPr>
          <w:p>
            <w:pPr>
              <w:spacing w:before="60" w:after="60"/>
              <w:jc w:val="center"/>
              <w:rPr>
                <w:noProof/>
              </w:rPr>
            </w:pPr>
            <w:r>
              <w:rPr>
                <w:noProof/>
                <w:sz w:val="22"/>
              </w:rPr>
              <w:t>13</w:t>
            </w:r>
          </w:p>
        </w:tc>
        <w:tc>
          <w:tcPr>
            <w:tcW w:w="7817" w:type="dxa"/>
            <w:vAlign w:val="center"/>
          </w:tcPr>
          <w:p>
            <w:pPr>
              <w:spacing w:before="60" w:after="60"/>
              <w:rPr>
                <w:noProof/>
              </w:rPr>
            </w:pPr>
          </w:p>
        </w:tc>
      </w:tr>
    </w:tbl>
    <w:p>
      <w:pPr>
        <w:rPr>
          <w:noProof/>
          <w:sz w:val="16"/>
        </w:rPr>
      </w:pPr>
    </w:p>
    <w:tbl>
      <w:tblPr>
        <w:tblW w:w="15952" w:type="dxa"/>
        <w:tblInd w:w="-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120"/>
        <w:gridCol w:w="534"/>
        <w:gridCol w:w="1252"/>
        <w:gridCol w:w="1116"/>
        <w:gridCol w:w="1010"/>
        <w:gridCol w:w="1134"/>
        <w:gridCol w:w="1418"/>
        <w:gridCol w:w="1559"/>
        <w:gridCol w:w="2409"/>
      </w:tblGrid>
      <w:tr>
        <w:trPr>
          <w:trHeight w:val="1068"/>
        </w:trPr>
        <w:tc>
          <w:tcPr>
            <w:tcW w:w="3960" w:type="dxa"/>
            <w:vAlign w:val="center"/>
          </w:tcPr>
          <w:p>
            <w:pPr>
              <w:rPr>
                <w:noProof/>
              </w:rPr>
            </w:pPr>
          </w:p>
        </w:tc>
        <w:tc>
          <w:tcPr>
            <w:tcW w:w="1560" w:type="dxa"/>
            <w:gridSpan w:val="2"/>
          </w:tcPr>
          <w:p>
            <w:pPr>
              <w:rPr>
                <w:noProof/>
                <w:sz w:val="20"/>
              </w:rPr>
            </w:pPr>
          </w:p>
        </w:tc>
        <w:tc>
          <w:tcPr>
            <w:tcW w:w="534" w:type="dxa"/>
          </w:tcPr>
          <w:p>
            <w:pPr>
              <w:jc w:val="center"/>
              <w:rPr>
                <w:noProof/>
                <w:sz w:val="20"/>
              </w:rPr>
            </w:pPr>
          </w:p>
        </w:tc>
        <w:tc>
          <w:tcPr>
            <w:tcW w:w="1252" w:type="dxa"/>
            <w:vAlign w:val="center"/>
          </w:tcPr>
          <w:p>
            <w:pPr>
              <w:jc w:val="center"/>
              <w:rPr>
                <w:noProof/>
                <w:sz w:val="20"/>
              </w:rPr>
            </w:pPr>
            <w:r>
              <w:rPr>
                <w:noProof/>
                <w:sz w:val="20"/>
              </w:rPr>
              <w:t>2019</w:t>
            </w:r>
          </w:p>
        </w:tc>
        <w:tc>
          <w:tcPr>
            <w:tcW w:w="1116" w:type="dxa"/>
            <w:vAlign w:val="center"/>
          </w:tcPr>
          <w:p>
            <w:pPr>
              <w:jc w:val="center"/>
              <w:rPr>
                <w:noProof/>
                <w:sz w:val="20"/>
              </w:rPr>
            </w:pPr>
            <w:r>
              <w:rPr>
                <w:noProof/>
                <w:sz w:val="20"/>
              </w:rPr>
              <w:t>2020</w:t>
            </w:r>
          </w:p>
        </w:tc>
        <w:tc>
          <w:tcPr>
            <w:tcW w:w="1010" w:type="dxa"/>
            <w:vAlign w:val="center"/>
          </w:tcPr>
          <w:p>
            <w:pPr>
              <w:jc w:val="center"/>
              <w:rPr>
                <w:noProof/>
                <w:sz w:val="20"/>
              </w:rPr>
            </w:pPr>
            <w:r>
              <w:rPr>
                <w:noProof/>
                <w:sz w:val="20"/>
              </w:rPr>
              <w:t>2021</w:t>
            </w:r>
          </w:p>
        </w:tc>
        <w:tc>
          <w:tcPr>
            <w:tcW w:w="1134" w:type="dxa"/>
            <w:vAlign w:val="center"/>
          </w:tcPr>
          <w:p>
            <w:pPr>
              <w:jc w:val="center"/>
              <w:rPr>
                <w:noProof/>
                <w:sz w:val="20"/>
              </w:rPr>
            </w:pPr>
            <w:r>
              <w:rPr>
                <w:noProof/>
                <w:sz w:val="20"/>
              </w:rPr>
              <w:t>2022</w:t>
            </w:r>
          </w:p>
        </w:tc>
        <w:tc>
          <w:tcPr>
            <w:tcW w:w="1418" w:type="dxa"/>
          </w:tcPr>
          <w:p>
            <w:pPr>
              <w:rPr>
                <w:noProof/>
                <w:sz w:val="20"/>
              </w:rPr>
            </w:pPr>
            <w:r>
              <w:rPr>
                <w:noProof/>
                <w:sz w:val="20"/>
              </w:rPr>
              <w:t xml:space="preserve">   </w:t>
            </w:r>
          </w:p>
          <w:p>
            <w:pPr>
              <w:rPr>
                <w:noProof/>
                <w:sz w:val="20"/>
              </w:rPr>
            </w:pPr>
            <w:r>
              <w:rPr>
                <w:noProof/>
                <w:sz w:val="20"/>
              </w:rPr>
              <w:t xml:space="preserve">      2023</w:t>
            </w:r>
          </w:p>
        </w:tc>
        <w:tc>
          <w:tcPr>
            <w:tcW w:w="1559" w:type="dxa"/>
          </w:tcPr>
          <w:p>
            <w:pPr>
              <w:jc w:val="center"/>
              <w:rPr>
                <w:noProof/>
                <w:sz w:val="20"/>
              </w:rPr>
            </w:pPr>
          </w:p>
          <w:p>
            <w:pPr>
              <w:jc w:val="center"/>
              <w:rPr>
                <w:noProof/>
                <w:sz w:val="20"/>
              </w:rPr>
            </w:pPr>
            <w:r>
              <w:rPr>
                <w:noProof/>
                <w:sz w:val="20"/>
              </w:rPr>
              <w:t>Következő évek</w:t>
            </w:r>
          </w:p>
        </w:tc>
        <w:tc>
          <w:tcPr>
            <w:tcW w:w="2409" w:type="dxa"/>
            <w:vAlign w:val="center"/>
          </w:tcPr>
          <w:p>
            <w:pPr>
              <w:jc w:val="center"/>
              <w:rPr>
                <w:b/>
                <w:noProof/>
                <w:sz w:val="20"/>
              </w:rPr>
            </w:pPr>
            <w:r>
              <w:rPr>
                <w:b/>
                <w:noProof/>
                <w:sz w:val="20"/>
              </w:rPr>
              <w:t>ÖSSZESEN</w:t>
            </w:r>
          </w:p>
        </w:tc>
      </w:tr>
      <w:tr>
        <w:trPr>
          <w:trHeight w:val="213"/>
        </w:trPr>
        <w:tc>
          <w:tcPr>
            <w:tcW w:w="6054" w:type="dxa"/>
            <w:gridSpan w:val="4"/>
            <w:vAlign w:val="center"/>
          </w:tcPr>
          <w:p>
            <w:pPr>
              <w:spacing w:before="20" w:after="20"/>
              <w:rPr>
                <w:b/>
                <w:noProof/>
                <w:szCs w:val="24"/>
              </w:rPr>
            </w:pPr>
            <w:r>
              <w:rPr>
                <w:noProof/>
                <w:sz w:val="21"/>
              </w:rPr>
              <w:sym w:font="Wingdings" w:char="F09F"/>
            </w:r>
            <w:r>
              <w:rPr>
                <w:noProof/>
                <w:sz w:val="21"/>
              </w:rPr>
              <w:t xml:space="preserve"> </w:t>
            </w:r>
            <w:r>
              <w:rPr>
                <w:b/>
                <w:noProof/>
                <w:szCs w:val="24"/>
              </w:rPr>
              <w:t>Az operatív előirányzatok megszüntetése</w:t>
            </w:r>
          </w:p>
        </w:tc>
        <w:tc>
          <w:tcPr>
            <w:tcW w:w="1252" w:type="dxa"/>
            <w:vAlign w:val="center"/>
          </w:tcPr>
          <w:p>
            <w:pPr>
              <w:rPr>
                <w:noProof/>
                <w:sz w:val="20"/>
              </w:rPr>
            </w:pPr>
          </w:p>
        </w:tc>
        <w:tc>
          <w:tcPr>
            <w:tcW w:w="1116" w:type="dxa"/>
            <w:vAlign w:val="center"/>
          </w:tcPr>
          <w:p>
            <w:pPr>
              <w:rPr>
                <w:noProof/>
                <w:sz w:val="20"/>
              </w:rPr>
            </w:pPr>
          </w:p>
        </w:tc>
        <w:tc>
          <w:tcPr>
            <w:tcW w:w="1010" w:type="dxa"/>
            <w:vAlign w:val="center"/>
          </w:tcPr>
          <w:p>
            <w:pPr>
              <w:rPr>
                <w:noProof/>
                <w:sz w:val="20"/>
              </w:rPr>
            </w:pPr>
          </w:p>
        </w:tc>
        <w:tc>
          <w:tcPr>
            <w:tcW w:w="1134" w:type="dxa"/>
            <w:vAlign w:val="center"/>
          </w:tcPr>
          <w:p>
            <w:pPr>
              <w:rPr>
                <w:noProof/>
                <w:sz w:val="20"/>
              </w:rPr>
            </w:pPr>
          </w:p>
        </w:tc>
        <w:tc>
          <w:tcPr>
            <w:tcW w:w="1418" w:type="dxa"/>
          </w:tcPr>
          <w:p>
            <w:pPr>
              <w:rPr>
                <w:b/>
                <w:noProof/>
                <w:sz w:val="20"/>
              </w:rPr>
            </w:pPr>
          </w:p>
        </w:tc>
        <w:tc>
          <w:tcPr>
            <w:tcW w:w="1559" w:type="dxa"/>
          </w:tcPr>
          <w:p>
            <w:pPr>
              <w:rPr>
                <w:b/>
                <w:noProof/>
                <w:sz w:val="20"/>
              </w:rPr>
            </w:pPr>
          </w:p>
        </w:tc>
        <w:tc>
          <w:tcPr>
            <w:tcW w:w="2409" w:type="dxa"/>
            <w:vAlign w:val="center"/>
          </w:tcPr>
          <w:p>
            <w:pPr>
              <w:rPr>
                <w:b/>
                <w:noProof/>
                <w:sz w:val="20"/>
              </w:rPr>
            </w:pPr>
          </w:p>
        </w:tc>
      </w:tr>
      <w:tr>
        <w:trPr>
          <w:trHeight w:val="509"/>
        </w:trPr>
        <w:tc>
          <w:tcPr>
            <w:tcW w:w="3960" w:type="dxa"/>
            <w:vMerge w:val="restart"/>
            <w:vAlign w:val="center"/>
          </w:tcPr>
          <w:p>
            <w:pPr>
              <w:rPr>
                <w:noProof/>
                <w:sz w:val="20"/>
              </w:rPr>
            </w:pPr>
            <w:r>
              <w:rPr>
                <w:noProof/>
                <w:sz w:val="20"/>
              </w:rPr>
              <w:t>13.03.64.01 – Európai Regionális Fejlesztési Alap (ERFA) – Európai területi együttműködés (ETC)</w:t>
            </w:r>
          </w:p>
        </w:tc>
        <w:tc>
          <w:tcPr>
            <w:tcW w:w="1440" w:type="dxa"/>
            <w:vAlign w:val="center"/>
          </w:tcPr>
          <w:p>
            <w:pPr>
              <w:spacing w:before="20" w:after="20"/>
              <w:rPr>
                <w:noProof/>
                <w:sz w:val="18"/>
              </w:rPr>
            </w:pPr>
            <w:r>
              <w:rPr>
                <w:noProof/>
                <w:sz w:val="18"/>
              </w:rPr>
              <w:t>Kötelezettségvállalási előirányzatok</w:t>
            </w:r>
          </w:p>
        </w:tc>
        <w:tc>
          <w:tcPr>
            <w:tcW w:w="654" w:type="dxa"/>
            <w:gridSpan w:val="2"/>
            <w:vAlign w:val="center"/>
          </w:tcPr>
          <w:p>
            <w:pPr>
              <w:spacing w:before="20" w:after="20"/>
              <w:jc w:val="center"/>
              <w:rPr>
                <w:noProof/>
                <w:sz w:val="14"/>
              </w:rPr>
            </w:pPr>
            <w:r>
              <w:rPr>
                <w:noProof/>
                <w:sz w:val="14"/>
              </w:rPr>
              <w:t>(1a)</w:t>
            </w:r>
          </w:p>
        </w:tc>
        <w:tc>
          <w:tcPr>
            <w:tcW w:w="1252" w:type="dxa"/>
            <w:vAlign w:val="center"/>
          </w:tcPr>
          <w:p>
            <w:pPr>
              <w:spacing w:before="20" w:after="20"/>
              <w:rPr>
                <w:noProof/>
                <w:sz w:val="18"/>
                <w:szCs w:val="18"/>
              </w:rPr>
            </w:pPr>
          </w:p>
        </w:tc>
        <w:tc>
          <w:tcPr>
            <w:tcW w:w="1116" w:type="dxa"/>
            <w:vAlign w:val="center"/>
          </w:tcPr>
          <w:p>
            <w:pPr>
              <w:spacing w:before="20" w:after="20"/>
              <w:jc w:val="right"/>
              <w:rPr>
                <w:noProof/>
                <w:sz w:val="18"/>
                <w:szCs w:val="18"/>
              </w:rPr>
            </w:pPr>
          </w:p>
        </w:tc>
        <w:tc>
          <w:tcPr>
            <w:tcW w:w="1010" w:type="dxa"/>
            <w:vAlign w:val="center"/>
          </w:tcPr>
          <w:p>
            <w:pPr>
              <w:spacing w:before="20" w:after="20"/>
              <w:jc w:val="right"/>
              <w:rPr>
                <w:noProof/>
                <w:sz w:val="20"/>
              </w:rPr>
            </w:pPr>
          </w:p>
        </w:tc>
        <w:tc>
          <w:tcPr>
            <w:tcW w:w="1134" w:type="dxa"/>
            <w:vAlign w:val="center"/>
          </w:tcPr>
          <w:p>
            <w:pPr>
              <w:spacing w:before="20" w:after="20"/>
              <w:jc w:val="right"/>
              <w:rPr>
                <w:noProof/>
                <w:sz w:val="20"/>
              </w:rPr>
            </w:pPr>
          </w:p>
        </w:tc>
        <w:tc>
          <w:tcPr>
            <w:tcW w:w="1418" w:type="dxa"/>
          </w:tcPr>
          <w:p>
            <w:pPr>
              <w:spacing w:before="20" w:after="20"/>
              <w:jc w:val="right"/>
              <w:rPr>
                <w:b/>
                <w:noProof/>
                <w:sz w:val="20"/>
              </w:rPr>
            </w:pPr>
          </w:p>
        </w:tc>
        <w:tc>
          <w:tcPr>
            <w:tcW w:w="1559" w:type="dxa"/>
          </w:tcPr>
          <w:p>
            <w:pPr>
              <w:spacing w:before="20" w:after="20"/>
              <w:jc w:val="right"/>
              <w:rPr>
                <w:b/>
                <w:noProof/>
                <w:sz w:val="20"/>
              </w:rPr>
            </w:pPr>
          </w:p>
        </w:tc>
        <w:tc>
          <w:tcPr>
            <w:tcW w:w="2409" w:type="dxa"/>
            <w:vAlign w:val="center"/>
          </w:tcPr>
          <w:p>
            <w:pPr>
              <w:spacing w:before="20" w:after="20"/>
              <w:jc w:val="right"/>
              <w:rPr>
                <w:noProof/>
                <w:sz w:val="18"/>
                <w:szCs w:val="18"/>
              </w:rPr>
            </w:pPr>
          </w:p>
        </w:tc>
      </w:tr>
      <w:tr>
        <w:tc>
          <w:tcPr>
            <w:tcW w:w="3960" w:type="dxa"/>
            <w:vMerge/>
          </w:tcPr>
          <w:p>
            <w:pPr>
              <w:jc w:val="center"/>
              <w:rPr>
                <w:noProof/>
                <w:sz w:val="20"/>
              </w:rPr>
            </w:pPr>
          </w:p>
        </w:tc>
        <w:tc>
          <w:tcPr>
            <w:tcW w:w="1440" w:type="dxa"/>
            <w:vAlign w:val="center"/>
          </w:tcPr>
          <w:p>
            <w:pPr>
              <w:spacing w:before="20" w:after="20"/>
              <w:rPr>
                <w:noProof/>
                <w:sz w:val="18"/>
              </w:rPr>
            </w:pPr>
            <w:r>
              <w:rPr>
                <w:noProof/>
                <w:sz w:val="18"/>
              </w:rPr>
              <w:t>Kifizetési előirányzatok</w:t>
            </w:r>
          </w:p>
        </w:tc>
        <w:tc>
          <w:tcPr>
            <w:tcW w:w="654" w:type="dxa"/>
            <w:gridSpan w:val="2"/>
            <w:vAlign w:val="center"/>
          </w:tcPr>
          <w:p>
            <w:pPr>
              <w:spacing w:before="20" w:after="20"/>
              <w:jc w:val="center"/>
              <w:rPr>
                <w:noProof/>
                <w:sz w:val="14"/>
              </w:rPr>
            </w:pPr>
            <w:r>
              <w:rPr>
                <w:noProof/>
                <w:sz w:val="14"/>
              </w:rPr>
              <w:t>(2a)</w:t>
            </w:r>
          </w:p>
        </w:tc>
        <w:tc>
          <w:tcPr>
            <w:tcW w:w="1252" w:type="dxa"/>
            <w:vAlign w:val="center"/>
          </w:tcPr>
          <w:p>
            <w:pPr>
              <w:spacing w:before="20" w:after="20"/>
              <w:jc w:val="right"/>
              <w:rPr>
                <w:noProof/>
                <w:sz w:val="18"/>
                <w:szCs w:val="18"/>
              </w:rPr>
            </w:pPr>
          </w:p>
        </w:tc>
        <w:tc>
          <w:tcPr>
            <w:tcW w:w="1116" w:type="dxa"/>
            <w:vAlign w:val="center"/>
          </w:tcPr>
          <w:p>
            <w:pPr>
              <w:spacing w:before="20" w:after="20"/>
              <w:jc w:val="right"/>
              <w:rPr>
                <w:noProof/>
                <w:sz w:val="18"/>
                <w:szCs w:val="18"/>
              </w:rPr>
            </w:pPr>
          </w:p>
        </w:tc>
        <w:tc>
          <w:tcPr>
            <w:tcW w:w="1010" w:type="dxa"/>
            <w:vAlign w:val="center"/>
          </w:tcPr>
          <w:p>
            <w:pPr>
              <w:spacing w:before="20" w:after="20"/>
              <w:jc w:val="right"/>
              <w:rPr>
                <w:noProof/>
                <w:sz w:val="18"/>
                <w:szCs w:val="18"/>
                <w:highlight w:val="yellow"/>
              </w:rPr>
            </w:pPr>
          </w:p>
        </w:tc>
        <w:tc>
          <w:tcPr>
            <w:tcW w:w="1134" w:type="dxa"/>
            <w:vAlign w:val="center"/>
          </w:tcPr>
          <w:p>
            <w:pPr>
              <w:spacing w:before="20" w:after="20"/>
              <w:jc w:val="right"/>
              <w:rPr>
                <w:noProof/>
                <w:sz w:val="18"/>
                <w:szCs w:val="18"/>
              </w:rPr>
            </w:pPr>
          </w:p>
        </w:tc>
        <w:tc>
          <w:tcPr>
            <w:tcW w:w="1418" w:type="dxa"/>
          </w:tcPr>
          <w:p>
            <w:pPr>
              <w:spacing w:before="20" w:after="20"/>
              <w:jc w:val="right"/>
              <w:rPr>
                <w:noProof/>
                <w:sz w:val="18"/>
                <w:szCs w:val="18"/>
              </w:rPr>
            </w:pPr>
          </w:p>
        </w:tc>
        <w:tc>
          <w:tcPr>
            <w:tcW w:w="1559" w:type="dxa"/>
          </w:tcPr>
          <w:p>
            <w:pPr>
              <w:spacing w:before="20" w:after="20"/>
              <w:jc w:val="right"/>
              <w:rPr>
                <w:noProof/>
                <w:sz w:val="18"/>
                <w:szCs w:val="18"/>
              </w:rPr>
            </w:pPr>
          </w:p>
        </w:tc>
        <w:tc>
          <w:tcPr>
            <w:tcW w:w="2409" w:type="dxa"/>
            <w:vAlign w:val="center"/>
          </w:tcPr>
          <w:p>
            <w:pPr>
              <w:spacing w:before="20" w:after="20"/>
              <w:jc w:val="right"/>
              <w:rPr>
                <w:noProof/>
                <w:sz w:val="18"/>
                <w:szCs w:val="18"/>
              </w:rPr>
            </w:pPr>
          </w:p>
        </w:tc>
      </w:tr>
      <w:tr>
        <w:tc>
          <w:tcPr>
            <w:tcW w:w="3960" w:type="dxa"/>
            <w:vMerge w:val="restart"/>
            <w:vAlign w:val="center"/>
          </w:tcPr>
          <w:p>
            <w:pPr>
              <w:jc w:val="center"/>
              <w:rPr>
                <w:b/>
                <w:noProof/>
              </w:rPr>
            </w:pPr>
            <w:r>
              <w:rPr>
                <w:b/>
                <w:noProof/>
                <w:sz w:val="22"/>
              </w:rPr>
              <w:t>Előirányzatok ÖSSZESEN</w:t>
            </w:r>
            <w:r>
              <w:rPr>
                <w:noProof/>
                <w:sz w:val="22"/>
              </w:rPr>
              <w:br/>
            </w:r>
          </w:p>
        </w:tc>
        <w:tc>
          <w:tcPr>
            <w:tcW w:w="1440" w:type="dxa"/>
            <w:vAlign w:val="center"/>
          </w:tcPr>
          <w:p>
            <w:pPr>
              <w:rPr>
                <w:noProof/>
                <w:sz w:val="18"/>
              </w:rPr>
            </w:pPr>
            <w:r>
              <w:rPr>
                <w:noProof/>
                <w:sz w:val="18"/>
              </w:rPr>
              <w:t>Kötelezettségvállalási előirányzatok</w:t>
            </w:r>
          </w:p>
        </w:tc>
        <w:tc>
          <w:tcPr>
            <w:tcW w:w="654" w:type="dxa"/>
            <w:gridSpan w:val="2"/>
            <w:vAlign w:val="center"/>
          </w:tcPr>
          <w:p>
            <w:pPr>
              <w:jc w:val="center"/>
              <w:rPr>
                <w:noProof/>
                <w:sz w:val="14"/>
              </w:rPr>
            </w:pPr>
            <w:r>
              <w:rPr>
                <w:noProof/>
                <w:sz w:val="14"/>
              </w:rPr>
              <w:t>=(1a)+(1b)+(3)</w:t>
            </w:r>
          </w:p>
        </w:tc>
        <w:tc>
          <w:tcPr>
            <w:tcW w:w="1252" w:type="dxa"/>
            <w:vAlign w:val="center"/>
          </w:tcPr>
          <w:p>
            <w:pPr>
              <w:spacing w:before="20" w:after="20"/>
              <w:jc w:val="right"/>
              <w:rPr>
                <w:noProof/>
                <w:sz w:val="18"/>
                <w:szCs w:val="18"/>
              </w:rPr>
            </w:pPr>
          </w:p>
        </w:tc>
        <w:tc>
          <w:tcPr>
            <w:tcW w:w="1116" w:type="dxa"/>
            <w:vAlign w:val="center"/>
          </w:tcPr>
          <w:p>
            <w:pPr>
              <w:spacing w:before="20" w:after="20"/>
              <w:jc w:val="right"/>
              <w:rPr>
                <w:noProof/>
                <w:sz w:val="18"/>
                <w:szCs w:val="18"/>
              </w:rPr>
            </w:pPr>
          </w:p>
        </w:tc>
        <w:tc>
          <w:tcPr>
            <w:tcW w:w="1010" w:type="dxa"/>
            <w:vAlign w:val="center"/>
          </w:tcPr>
          <w:p>
            <w:pPr>
              <w:spacing w:before="20" w:after="20"/>
              <w:jc w:val="right"/>
              <w:rPr>
                <w:noProof/>
                <w:sz w:val="18"/>
                <w:szCs w:val="18"/>
              </w:rPr>
            </w:pPr>
          </w:p>
        </w:tc>
        <w:tc>
          <w:tcPr>
            <w:tcW w:w="1134" w:type="dxa"/>
            <w:vAlign w:val="center"/>
          </w:tcPr>
          <w:p>
            <w:pPr>
              <w:spacing w:before="20" w:after="20"/>
              <w:jc w:val="right"/>
              <w:rPr>
                <w:noProof/>
                <w:sz w:val="18"/>
                <w:szCs w:val="18"/>
              </w:rPr>
            </w:pPr>
          </w:p>
        </w:tc>
        <w:tc>
          <w:tcPr>
            <w:tcW w:w="1418" w:type="dxa"/>
          </w:tcPr>
          <w:p>
            <w:pPr>
              <w:spacing w:before="20" w:after="20"/>
              <w:jc w:val="right"/>
              <w:rPr>
                <w:b/>
                <w:noProof/>
                <w:sz w:val="18"/>
                <w:szCs w:val="18"/>
              </w:rPr>
            </w:pPr>
          </w:p>
        </w:tc>
        <w:tc>
          <w:tcPr>
            <w:tcW w:w="1559" w:type="dxa"/>
          </w:tcPr>
          <w:p>
            <w:pPr>
              <w:spacing w:before="20" w:after="20"/>
              <w:jc w:val="right"/>
              <w:rPr>
                <w:b/>
                <w:noProof/>
                <w:sz w:val="18"/>
                <w:szCs w:val="18"/>
              </w:rPr>
            </w:pPr>
          </w:p>
        </w:tc>
        <w:tc>
          <w:tcPr>
            <w:tcW w:w="2409" w:type="dxa"/>
            <w:vAlign w:val="center"/>
          </w:tcPr>
          <w:p>
            <w:pPr>
              <w:spacing w:before="20" w:after="20"/>
              <w:jc w:val="right"/>
              <w:rPr>
                <w:b/>
                <w:noProof/>
                <w:sz w:val="18"/>
                <w:szCs w:val="18"/>
              </w:rPr>
            </w:pPr>
          </w:p>
        </w:tc>
      </w:tr>
      <w:tr>
        <w:tc>
          <w:tcPr>
            <w:tcW w:w="3960" w:type="dxa"/>
            <w:vMerge/>
          </w:tcPr>
          <w:p>
            <w:pPr>
              <w:rPr>
                <w:noProof/>
                <w:sz w:val="20"/>
              </w:rPr>
            </w:pPr>
          </w:p>
        </w:tc>
        <w:tc>
          <w:tcPr>
            <w:tcW w:w="1440" w:type="dxa"/>
            <w:vAlign w:val="center"/>
          </w:tcPr>
          <w:p>
            <w:pPr>
              <w:rPr>
                <w:noProof/>
                <w:sz w:val="18"/>
              </w:rPr>
            </w:pPr>
            <w:r>
              <w:rPr>
                <w:noProof/>
                <w:sz w:val="18"/>
              </w:rPr>
              <w:t>Kifizetési előirányzatok</w:t>
            </w:r>
          </w:p>
        </w:tc>
        <w:tc>
          <w:tcPr>
            <w:tcW w:w="654" w:type="dxa"/>
            <w:gridSpan w:val="2"/>
            <w:vAlign w:val="center"/>
          </w:tcPr>
          <w:p>
            <w:pPr>
              <w:jc w:val="center"/>
              <w:rPr>
                <w:noProof/>
                <w:sz w:val="14"/>
              </w:rPr>
            </w:pPr>
            <w:r>
              <w:rPr>
                <w:noProof/>
                <w:sz w:val="14"/>
              </w:rPr>
              <w:t>=(2a)+(2b)</w:t>
            </w:r>
          </w:p>
          <w:p>
            <w:pPr>
              <w:jc w:val="center"/>
              <w:rPr>
                <w:noProof/>
                <w:sz w:val="14"/>
              </w:rPr>
            </w:pPr>
            <w:r>
              <w:rPr>
                <w:noProof/>
                <w:sz w:val="14"/>
              </w:rPr>
              <w:t>+3</w:t>
            </w:r>
          </w:p>
        </w:tc>
        <w:tc>
          <w:tcPr>
            <w:tcW w:w="1252" w:type="dxa"/>
            <w:vAlign w:val="center"/>
          </w:tcPr>
          <w:p>
            <w:pPr>
              <w:spacing w:before="20" w:after="20"/>
              <w:jc w:val="right"/>
              <w:rPr>
                <w:noProof/>
                <w:sz w:val="18"/>
                <w:szCs w:val="18"/>
              </w:rPr>
            </w:pPr>
          </w:p>
        </w:tc>
        <w:tc>
          <w:tcPr>
            <w:tcW w:w="1116" w:type="dxa"/>
            <w:vAlign w:val="center"/>
          </w:tcPr>
          <w:p>
            <w:pPr>
              <w:spacing w:before="20" w:after="20"/>
              <w:jc w:val="right"/>
              <w:rPr>
                <w:noProof/>
                <w:sz w:val="18"/>
                <w:szCs w:val="18"/>
              </w:rPr>
            </w:pPr>
          </w:p>
        </w:tc>
        <w:tc>
          <w:tcPr>
            <w:tcW w:w="1010" w:type="dxa"/>
            <w:vAlign w:val="center"/>
          </w:tcPr>
          <w:p>
            <w:pPr>
              <w:spacing w:before="20" w:after="20"/>
              <w:jc w:val="right"/>
              <w:rPr>
                <w:noProof/>
                <w:sz w:val="18"/>
                <w:szCs w:val="18"/>
              </w:rPr>
            </w:pPr>
          </w:p>
        </w:tc>
        <w:tc>
          <w:tcPr>
            <w:tcW w:w="1134" w:type="dxa"/>
            <w:vAlign w:val="center"/>
          </w:tcPr>
          <w:p>
            <w:pPr>
              <w:spacing w:before="20" w:after="20"/>
              <w:jc w:val="right"/>
              <w:rPr>
                <w:noProof/>
                <w:sz w:val="18"/>
                <w:szCs w:val="18"/>
              </w:rPr>
            </w:pPr>
          </w:p>
        </w:tc>
        <w:tc>
          <w:tcPr>
            <w:tcW w:w="1418" w:type="dxa"/>
          </w:tcPr>
          <w:p>
            <w:pPr>
              <w:spacing w:before="20" w:after="20"/>
              <w:jc w:val="right"/>
              <w:rPr>
                <w:b/>
                <w:noProof/>
                <w:sz w:val="18"/>
                <w:szCs w:val="18"/>
              </w:rPr>
            </w:pPr>
          </w:p>
        </w:tc>
        <w:tc>
          <w:tcPr>
            <w:tcW w:w="1559" w:type="dxa"/>
          </w:tcPr>
          <w:p>
            <w:pPr>
              <w:spacing w:before="20" w:after="20"/>
              <w:jc w:val="right"/>
              <w:rPr>
                <w:b/>
                <w:noProof/>
                <w:sz w:val="18"/>
                <w:szCs w:val="18"/>
              </w:rPr>
            </w:pPr>
          </w:p>
        </w:tc>
        <w:tc>
          <w:tcPr>
            <w:tcW w:w="2409" w:type="dxa"/>
            <w:vAlign w:val="center"/>
          </w:tcPr>
          <w:p>
            <w:pPr>
              <w:spacing w:before="20" w:after="20"/>
              <w:jc w:val="right"/>
              <w:rPr>
                <w:b/>
                <w:noProof/>
                <w:sz w:val="18"/>
                <w:szCs w:val="18"/>
              </w:rPr>
            </w:pPr>
          </w:p>
        </w:tc>
      </w:tr>
    </w:tbl>
    <w:p>
      <w:pPr>
        <w:rPr>
          <w:noProof/>
        </w:rPr>
      </w:pPr>
      <w:r>
        <w:rPr>
          <w:noProof/>
        </w:rPr>
        <w:br/>
      </w:r>
    </w:p>
    <w:tbl>
      <w:tblPr>
        <w:tblW w:w="14394"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1252"/>
        <w:gridCol w:w="1116"/>
        <w:gridCol w:w="1152"/>
        <w:gridCol w:w="1134"/>
        <w:gridCol w:w="1134"/>
        <w:gridCol w:w="1134"/>
        <w:gridCol w:w="1418"/>
      </w:tblGrid>
      <w:tr>
        <w:trPr>
          <w:trHeight w:val="277"/>
        </w:trPr>
        <w:tc>
          <w:tcPr>
            <w:tcW w:w="3960" w:type="dxa"/>
            <w:vMerge w:val="restart"/>
            <w:vAlign w:val="center"/>
          </w:tcPr>
          <w:p>
            <w:pPr>
              <w:spacing w:before="20" w:after="20"/>
              <w:rPr>
                <w:noProof/>
              </w:rPr>
            </w:pPr>
            <w:r>
              <w:rPr>
                <w:noProof/>
              </w:rPr>
              <w:br w:type="page"/>
            </w:r>
            <w:r>
              <w:rPr>
                <w:noProof/>
                <w:sz w:val="21"/>
              </w:rPr>
              <w:sym w:font="Wingdings" w:char="F09F"/>
            </w:r>
            <w:r>
              <w:rPr>
                <w:noProof/>
                <w:sz w:val="21"/>
              </w:rPr>
              <w:t xml:space="preserve"> Operatív előirányzatok ÖSSZESEN</w:t>
            </w:r>
          </w:p>
        </w:tc>
        <w:tc>
          <w:tcPr>
            <w:tcW w:w="1440" w:type="dxa"/>
            <w:vAlign w:val="center"/>
          </w:tcPr>
          <w:p>
            <w:pPr>
              <w:spacing w:beforeLines="20" w:before="48" w:afterLines="20" w:after="48"/>
              <w:rPr>
                <w:noProof/>
                <w:sz w:val="18"/>
              </w:rPr>
            </w:pPr>
            <w:r>
              <w:rPr>
                <w:noProof/>
                <w:sz w:val="18"/>
              </w:rPr>
              <w:t>Kötelezettségvállalási előirányzatok</w:t>
            </w:r>
          </w:p>
        </w:tc>
        <w:tc>
          <w:tcPr>
            <w:tcW w:w="654" w:type="dxa"/>
            <w:vAlign w:val="center"/>
          </w:tcPr>
          <w:p>
            <w:pPr>
              <w:spacing w:beforeLines="20" w:before="48" w:afterLines="20" w:after="48"/>
              <w:jc w:val="center"/>
              <w:rPr>
                <w:noProof/>
                <w:sz w:val="14"/>
              </w:rPr>
            </w:pPr>
            <w:r>
              <w:rPr>
                <w:noProof/>
                <w:sz w:val="14"/>
              </w:rPr>
              <w:t>(4)</w:t>
            </w:r>
          </w:p>
        </w:tc>
        <w:tc>
          <w:tcPr>
            <w:tcW w:w="1252" w:type="dxa"/>
            <w:vAlign w:val="center"/>
          </w:tcPr>
          <w:p>
            <w:pPr>
              <w:spacing w:before="20" w:after="20"/>
              <w:jc w:val="right"/>
              <w:rPr>
                <w:noProof/>
                <w:sz w:val="20"/>
              </w:rPr>
            </w:pPr>
          </w:p>
        </w:tc>
        <w:tc>
          <w:tcPr>
            <w:tcW w:w="1116" w:type="dxa"/>
            <w:vAlign w:val="center"/>
          </w:tcPr>
          <w:p>
            <w:pPr>
              <w:spacing w:before="20" w:after="20"/>
              <w:jc w:val="right"/>
              <w:rPr>
                <w:noProof/>
                <w:sz w:val="20"/>
              </w:rPr>
            </w:pPr>
          </w:p>
        </w:tc>
        <w:tc>
          <w:tcPr>
            <w:tcW w:w="1152" w:type="dxa"/>
            <w:vAlign w:val="center"/>
          </w:tcPr>
          <w:p>
            <w:pPr>
              <w:spacing w:before="20" w:after="20"/>
              <w:jc w:val="right"/>
              <w:rPr>
                <w:noProof/>
                <w:sz w:val="20"/>
              </w:rPr>
            </w:pPr>
          </w:p>
        </w:tc>
        <w:tc>
          <w:tcPr>
            <w:tcW w:w="1134" w:type="dxa"/>
            <w:vAlign w:val="center"/>
          </w:tcPr>
          <w:p>
            <w:pPr>
              <w:spacing w:before="20" w:after="20"/>
              <w:jc w:val="right"/>
              <w:rPr>
                <w:noProof/>
                <w:sz w:val="20"/>
              </w:rPr>
            </w:pPr>
          </w:p>
        </w:tc>
        <w:tc>
          <w:tcPr>
            <w:tcW w:w="1134" w:type="dxa"/>
            <w:vAlign w:val="center"/>
          </w:tcPr>
          <w:p>
            <w:pPr>
              <w:spacing w:before="20" w:after="20"/>
              <w:jc w:val="right"/>
              <w:rPr>
                <w:noProof/>
                <w:sz w:val="20"/>
              </w:rPr>
            </w:pPr>
          </w:p>
        </w:tc>
        <w:tc>
          <w:tcPr>
            <w:tcW w:w="1134" w:type="dxa"/>
            <w:vAlign w:val="center"/>
          </w:tcPr>
          <w:p>
            <w:pPr>
              <w:spacing w:before="20" w:after="20"/>
              <w:jc w:val="right"/>
              <w:rPr>
                <w:noProof/>
                <w:sz w:val="20"/>
              </w:rPr>
            </w:pPr>
          </w:p>
        </w:tc>
        <w:tc>
          <w:tcPr>
            <w:tcW w:w="1418" w:type="dxa"/>
            <w:vAlign w:val="center"/>
          </w:tcPr>
          <w:p>
            <w:pPr>
              <w:spacing w:before="20" w:after="20"/>
              <w:jc w:val="right"/>
              <w:rPr>
                <w:b/>
                <w:noProof/>
                <w:sz w:val="20"/>
              </w:rPr>
            </w:pPr>
          </w:p>
        </w:tc>
      </w:tr>
      <w:tr>
        <w:tc>
          <w:tcPr>
            <w:tcW w:w="3960" w:type="dxa"/>
            <w:vMerge/>
          </w:tcPr>
          <w:p>
            <w:pPr>
              <w:jc w:val="center"/>
              <w:rPr>
                <w:noProof/>
                <w:sz w:val="20"/>
              </w:rPr>
            </w:pPr>
          </w:p>
        </w:tc>
        <w:tc>
          <w:tcPr>
            <w:tcW w:w="1440" w:type="dxa"/>
            <w:vAlign w:val="center"/>
          </w:tcPr>
          <w:p>
            <w:pPr>
              <w:spacing w:beforeLines="20" w:before="48" w:afterLines="20" w:after="48"/>
              <w:rPr>
                <w:noProof/>
                <w:sz w:val="18"/>
              </w:rPr>
            </w:pPr>
            <w:r>
              <w:rPr>
                <w:noProof/>
                <w:sz w:val="18"/>
              </w:rPr>
              <w:t>Kifizetési előirányzatok</w:t>
            </w:r>
          </w:p>
        </w:tc>
        <w:tc>
          <w:tcPr>
            <w:tcW w:w="654" w:type="dxa"/>
            <w:vAlign w:val="center"/>
          </w:tcPr>
          <w:p>
            <w:pPr>
              <w:spacing w:beforeLines="20" w:before="48" w:afterLines="20" w:after="48"/>
              <w:jc w:val="center"/>
              <w:rPr>
                <w:noProof/>
                <w:sz w:val="14"/>
              </w:rPr>
            </w:pPr>
            <w:r>
              <w:rPr>
                <w:noProof/>
                <w:sz w:val="14"/>
              </w:rPr>
              <w:t>(5)</w:t>
            </w:r>
          </w:p>
        </w:tc>
        <w:tc>
          <w:tcPr>
            <w:tcW w:w="1252" w:type="dxa"/>
            <w:vAlign w:val="center"/>
          </w:tcPr>
          <w:p>
            <w:pPr>
              <w:spacing w:before="20" w:after="20"/>
              <w:jc w:val="right"/>
              <w:rPr>
                <w:noProof/>
                <w:sz w:val="20"/>
              </w:rPr>
            </w:pPr>
          </w:p>
        </w:tc>
        <w:tc>
          <w:tcPr>
            <w:tcW w:w="1116" w:type="dxa"/>
            <w:vAlign w:val="center"/>
          </w:tcPr>
          <w:p>
            <w:pPr>
              <w:spacing w:before="20" w:after="20"/>
              <w:jc w:val="right"/>
              <w:rPr>
                <w:noProof/>
                <w:sz w:val="20"/>
              </w:rPr>
            </w:pPr>
          </w:p>
        </w:tc>
        <w:tc>
          <w:tcPr>
            <w:tcW w:w="1152" w:type="dxa"/>
            <w:vAlign w:val="center"/>
          </w:tcPr>
          <w:p>
            <w:pPr>
              <w:spacing w:before="20" w:after="20"/>
              <w:jc w:val="right"/>
              <w:rPr>
                <w:noProof/>
                <w:sz w:val="20"/>
              </w:rPr>
            </w:pPr>
          </w:p>
        </w:tc>
        <w:tc>
          <w:tcPr>
            <w:tcW w:w="1134" w:type="dxa"/>
            <w:vAlign w:val="center"/>
          </w:tcPr>
          <w:p>
            <w:pPr>
              <w:spacing w:before="20" w:after="20"/>
              <w:jc w:val="right"/>
              <w:rPr>
                <w:noProof/>
                <w:sz w:val="20"/>
              </w:rPr>
            </w:pPr>
          </w:p>
        </w:tc>
        <w:tc>
          <w:tcPr>
            <w:tcW w:w="1134" w:type="dxa"/>
            <w:vAlign w:val="center"/>
          </w:tcPr>
          <w:p>
            <w:pPr>
              <w:spacing w:before="20" w:after="20"/>
              <w:jc w:val="right"/>
              <w:rPr>
                <w:noProof/>
                <w:sz w:val="20"/>
              </w:rPr>
            </w:pPr>
          </w:p>
        </w:tc>
        <w:tc>
          <w:tcPr>
            <w:tcW w:w="1134" w:type="dxa"/>
            <w:vAlign w:val="center"/>
          </w:tcPr>
          <w:p>
            <w:pPr>
              <w:spacing w:before="20" w:after="20"/>
              <w:jc w:val="right"/>
              <w:rPr>
                <w:noProof/>
                <w:sz w:val="20"/>
              </w:rPr>
            </w:pPr>
          </w:p>
        </w:tc>
        <w:tc>
          <w:tcPr>
            <w:tcW w:w="1418" w:type="dxa"/>
            <w:vAlign w:val="center"/>
          </w:tcPr>
          <w:p>
            <w:pPr>
              <w:spacing w:before="20" w:after="20"/>
              <w:jc w:val="right"/>
              <w:rPr>
                <w:b/>
                <w:noProof/>
                <w:sz w:val="20"/>
              </w:rPr>
            </w:pPr>
          </w:p>
        </w:tc>
      </w:tr>
      <w:tr>
        <w:trPr>
          <w:trHeight w:val="533"/>
        </w:trPr>
        <w:tc>
          <w:tcPr>
            <w:tcW w:w="5400" w:type="dxa"/>
            <w:gridSpan w:val="2"/>
            <w:vAlign w:val="center"/>
          </w:tcPr>
          <w:p>
            <w:pPr>
              <w:spacing w:beforeLines="20" w:before="48" w:afterLines="20" w:after="48"/>
              <w:rPr>
                <w:noProof/>
              </w:rPr>
            </w:pPr>
            <w:r>
              <w:rPr>
                <w:noProof/>
                <w:sz w:val="21"/>
              </w:rPr>
              <w:sym w:font="Wingdings" w:char="F09F"/>
            </w:r>
            <w:r>
              <w:rPr>
                <w:noProof/>
                <w:sz w:val="21"/>
              </w:rPr>
              <w:t xml:space="preserve"> Bizonyos egyedi programok keretéből finanszírozott igazgatási jellegű előirányzatok ÖSSZESEN</w:t>
            </w:r>
          </w:p>
        </w:tc>
        <w:tc>
          <w:tcPr>
            <w:tcW w:w="654" w:type="dxa"/>
            <w:vAlign w:val="center"/>
          </w:tcPr>
          <w:p>
            <w:pPr>
              <w:spacing w:beforeLines="20" w:before="48" w:afterLines="20" w:after="48"/>
              <w:jc w:val="center"/>
              <w:rPr>
                <w:noProof/>
                <w:sz w:val="14"/>
              </w:rPr>
            </w:pPr>
            <w:r>
              <w:rPr>
                <w:noProof/>
                <w:sz w:val="14"/>
              </w:rPr>
              <w:t>(6)</w:t>
            </w:r>
          </w:p>
        </w:tc>
        <w:tc>
          <w:tcPr>
            <w:tcW w:w="1252" w:type="dxa"/>
            <w:vAlign w:val="center"/>
          </w:tcPr>
          <w:p>
            <w:pPr>
              <w:spacing w:before="20" w:after="20"/>
              <w:jc w:val="right"/>
              <w:rPr>
                <w:b/>
                <w:noProof/>
                <w:sz w:val="20"/>
              </w:rPr>
            </w:pPr>
          </w:p>
        </w:tc>
        <w:tc>
          <w:tcPr>
            <w:tcW w:w="1116" w:type="dxa"/>
            <w:vAlign w:val="center"/>
          </w:tcPr>
          <w:p>
            <w:pPr>
              <w:spacing w:before="20" w:after="20"/>
              <w:jc w:val="right"/>
              <w:rPr>
                <w:b/>
                <w:noProof/>
                <w:sz w:val="20"/>
              </w:rPr>
            </w:pPr>
          </w:p>
        </w:tc>
        <w:tc>
          <w:tcPr>
            <w:tcW w:w="1152" w:type="dxa"/>
            <w:vAlign w:val="center"/>
          </w:tcPr>
          <w:p>
            <w:pPr>
              <w:spacing w:before="20" w:after="20"/>
              <w:jc w:val="right"/>
              <w:rPr>
                <w:b/>
                <w:noProof/>
                <w:sz w:val="20"/>
              </w:rPr>
            </w:pPr>
          </w:p>
        </w:tc>
        <w:tc>
          <w:tcPr>
            <w:tcW w:w="1134" w:type="dxa"/>
            <w:vAlign w:val="center"/>
          </w:tcPr>
          <w:p>
            <w:pPr>
              <w:spacing w:before="20" w:after="20"/>
              <w:jc w:val="right"/>
              <w:rPr>
                <w:b/>
                <w:noProof/>
                <w:sz w:val="20"/>
              </w:rPr>
            </w:pPr>
          </w:p>
        </w:tc>
        <w:tc>
          <w:tcPr>
            <w:tcW w:w="1134" w:type="dxa"/>
            <w:vAlign w:val="center"/>
          </w:tcPr>
          <w:p>
            <w:pPr>
              <w:spacing w:before="20" w:after="20"/>
              <w:jc w:val="right"/>
              <w:rPr>
                <w:b/>
                <w:noProof/>
                <w:sz w:val="20"/>
              </w:rPr>
            </w:pPr>
          </w:p>
        </w:tc>
        <w:tc>
          <w:tcPr>
            <w:tcW w:w="1134" w:type="dxa"/>
            <w:vAlign w:val="center"/>
          </w:tcPr>
          <w:p>
            <w:pPr>
              <w:spacing w:before="20" w:after="20"/>
              <w:jc w:val="right"/>
              <w:rPr>
                <w:b/>
                <w:noProof/>
                <w:sz w:val="20"/>
              </w:rPr>
            </w:pPr>
          </w:p>
        </w:tc>
        <w:tc>
          <w:tcPr>
            <w:tcW w:w="1418" w:type="dxa"/>
            <w:vAlign w:val="center"/>
          </w:tcPr>
          <w:p>
            <w:pPr>
              <w:spacing w:before="20" w:after="20"/>
              <w:jc w:val="right"/>
              <w:rPr>
                <w:b/>
                <w:noProof/>
                <w:sz w:val="20"/>
              </w:rPr>
            </w:pPr>
          </w:p>
        </w:tc>
      </w:tr>
      <w:tr>
        <w:tc>
          <w:tcPr>
            <w:tcW w:w="3960" w:type="dxa"/>
            <w:vMerge w:val="restart"/>
            <w:shd w:val="thinDiagStripe" w:color="C0C0C0" w:fill="auto"/>
            <w:vAlign w:val="center"/>
          </w:tcPr>
          <w:p>
            <w:pPr>
              <w:jc w:val="center"/>
              <w:rPr>
                <w:b/>
                <w:noProof/>
              </w:rPr>
            </w:pPr>
            <w:r>
              <w:rPr>
                <w:b/>
                <w:noProof/>
                <w:sz w:val="22"/>
              </w:rPr>
              <w:t>ÖSSZESEN</w:t>
            </w:r>
            <w:r>
              <w:rPr>
                <w:noProof/>
                <w:sz w:val="22"/>
              </w:rPr>
              <w:t xml:space="preserve"> a többéves pénzügyi keret</w:t>
            </w:r>
            <w:r>
              <w:rPr>
                <w:noProof/>
                <w:sz w:val="22"/>
              </w:rPr>
              <w:br/>
            </w:r>
            <w:r>
              <w:rPr>
                <w:b/>
                <w:noProof/>
                <w:sz w:val="22"/>
              </w:rPr>
              <w:t>13. FEJEZETÉHEZ</w:t>
            </w:r>
            <w:r>
              <w:rPr>
                <w:noProof/>
                <w:sz w:val="22"/>
              </w:rPr>
              <w:br/>
              <w:t>tartozó előirányzatok</w:t>
            </w:r>
          </w:p>
        </w:tc>
        <w:tc>
          <w:tcPr>
            <w:tcW w:w="1440" w:type="dxa"/>
            <w:vAlign w:val="center"/>
          </w:tcPr>
          <w:p>
            <w:pPr>
              <w:rPr>
                <w:noProof/>
                <w:sz w:val="18"/>
              </w:rPr>
            </w:pPr>
            <w:r>
              <w:rPr>
                <w:noProof/>
                <w:sz w:val="18"/>
              </w:rPr>
              <w:t>Kötelezettségvállalási előirányzatok</w:t>
            </w:r>
          </w:p>
        </w:tc>
        <w:tc>
          <w:tcPr>
            <w:tcW w:w="654" w:type="dxa"/>
            <w:vAlign w:val="center"/>
          </w:tcPr>
          <w:p>
            <w:pPr>
              <w:jc w:val="center"/>
              <w:rPr>
                <w:noProof/>
                <w:sz w:val="14"/>
              </w:rPr>
            </w:pPr>
            <w:r>
              <w:rPr>
                <w:noProof/>
                <w:sz w:val="14"/>
              </w:rPr>
              <w:t>=(4)+(6)</w:t>
            </w:r>
          </w:p>
        </w:tc>
        <w:tc>
          <w:tcPr>
            <w:tcW w:w="1252" w:type="dxa"/>
            <w:vAlign w:val="center"/>
          </w:tcPr>
          <w:p>
            <w:pPr>
              <w:spacing w:before="20" w:after="20"/>
              <w:jc w:val="right"/>
              <w:rPr>
                <w:noProof/>
                <w:sz w:val="18"/>
                <w:szCs w:val="18"/>
              </w:rPr>
            </w:pPr>
          </w:p>
        </w:tc>
        <w:tc>
          <w:tcPr>
            <w:tcW w:w="1116" w:type="dxa"/>
            <w:vAlign w:val="center"/>
          </w:tcPr>
          <w:p>
            <w:pPr>
              <w:spacing w:before="20" w:after="20"/>
              <w:jc w:val="right"/>
              <w:rPr>
                <w:noProof/>
                <w:sz w:val="18"/>
                <w:szCs w:val="18"/>
              </w:rPr>
            </w:pPr>
          </w:p>
        </w:tc>
        <w:tc>
          <w:tcPr>
            <w:tcW w:w="1152" w:type="dxa"/>
            <w:vAlign w:val="center"/>
          </w:tcPr>
          <w:p>
            <w:pPr>
              <w:spacing w:before="20" w:after="20"/>
              <w:jc w:val="right"/>
              <w:rPr>
                <w:noProof/>
                <w:sz w:val="18"/>
                <w:szCs w:val="18"/>
              </w:rPr>
            </w:pPr>
          </w:p>
        </w:tc>
        <w:tc>
          <w:tcPr>
            <w:tcW w:w="1134" w:type="dxa"/>
            <w:vAlign w:val="center"/>
          </w:tcPr>
          <w:p>
            <w:pPr>
              <w:spacing w:before="20" w:after="20"/>
              <w:jc w:val="right"/>
              <w:rPr>
                <w:noProof/>
                <w:sz w:val="18"/>
                <w:szCs w:val="18"/>
              </w:rPr>
            </w:pPr>
          </w:p>
        </w:tc>
        <w:tc>
          <w:tcPr>
            <w:tcW w:w="1134" w:type="dxa"/>
          </w:tcPr>
          <w:p>
            <w:pPr>
              <w:spacing w:before="20" w:after="20"/>
              <w:jc w:val="right"/>
              <w:rPr>
                <w:noProof/>
                <w:sz w:val="18"/>
                <w:szCs w:val="18"/>
              </w:rPr>
            </w:pPr>
          </w:p>
        </w:tc>
        <w:tc>
          <w:tcPr>
            <w:tcW w:w="1134" w:type="dxa"/>
          </w:tcPr>
          <w:p>
            <w:pPr>
              <w:spacing w:before="20" w:after="20"/>
              <w:jc w:val="right"/>
              <w:rPr>
                <w:noProof/>
                <w:sz w:val="18"/>
                <w:szCs w:val="18"/>
              </w:rPr>
            </w:pPr>
          </w:p>
        </w:tc>
        <w:tc>
          <w:tcPr>
            <w:tcW w:w="1418" w:type="dxa"/>
            <w:vAlign w:val="center"/>
          </w:tcPr>
          <w:p>
            <w:pPr>
              <w:spacing w:before="20" w:after="20"/>
              <w:jc w:val="right"/>
              <w:rPr>
                <w:b/>
                <w:noProof/>
                <w:sz w:val="18"/>
                <w:szCs w:val="18"/>
              </w:rPr>
            </w:pPr>
          </w:p>
        </w:tc>
      </w:tr>
      <w:tr>
        <w:tc>
          <w:tcPr>
            <w:tcW w:w="3960" w:type="dxa"/>
            <w:vMerge/>
            <w:shd w:val="thinDiagStripe" w:color="C0C0C0" w:fill="auto"/>
          </w:tcPr>
          <w:p>
            <w:pPr>
              <w:rPr>
                <w:noProof/>
                <w:sz w:val="20"/>
              </w:rPr>
            </w:pPr>
          </w:p>
        </w:tc>
        <w:tc>
          <w:tcPr>
            <w:tcW w:w="1440" w:type="dxa"/>
            <w:vAlign w:val="center"/>
          </w:tcPr>
          <w:p>
            <w:pPr>
              <w:rPr>
                <w:noProof/>
                <w:sz w:val="18"/>
              </w:rPr>
            </w:pPr>
            <w:r>
              <w:rPr>
                <w:noProof/>
                <w:sz w:val="18"/>
              </w:rPr>
              <w:t>Kifizetési előirányzatok</w:t>
            </w:r>
          </w:p>
        </w:tc>
        <w:tc>
          <w:tcPr>
            <w:tcW w:w="654" w:type="dxa"/>
            <w:vAlign w:val="center"/>
          </w:tcPr>
          <w:p>
            <w:pPr>
              <w:jc w:val="center"/>
              <w:rPr>
                <w:noProof/>
                <w:sz w:val="14"/>
              </w:rPr>
            </w:pPr>
            <w:r>
              <w:rPr>
                <w:noProof/>
                <w:sz w:val="14"/>
              </w:rPr>
              <w:t>=(5)+(6)</w:t>
            </w:r>
          </w:p>
        </w:tc>
        <w:tc>
          <w:tcPr>
            <w:tcW w:w="1252" w:type="dxa"/>
            <w:vAlign w:val="center"/>
          </w:tcPr>
          <w:p>
            <w:pPr>
              <w:spacing w:before="20" w:after="20"/>
              <w:jc w:val="right"/>
              <w:rPr>
                <w:noProof/>
                <w:sz w:val="18"/>
                <w:szCs w:val="18"/>
              </w:rPr>
            </w:pPr>
          </w:p>
        </w:tc>
        <w:tc>
          <w:tcPr>
            <w:tcW w:w="1116" w:type="dxa"/>
            <w:vAlign w:val="center"/>
          </w:tcPr>
          <w:p>
            <w:pPr>
              <w:spacing w:before="20" w:after="20"/>
              <w:jc w:val="right"/>
              <w:rPr>
                <w:noProof/>
                <w:sz w:val="18"/>
                <w:szCs w:val="18"/>
              </w:rPr>
            </w:pPr>
          </w:p>
        </w:tc>
        <w:tc>
          <w:tcPr>
            <w:tcW w:w="1152" w:type="dxa"/>
            <w:vAlign w:val="center"/>
          </w:tcPr>
          <w:p>
            <w:pPr>
              <w:spacing w:before="20" w:after="20"/>
              <w:jc w:val="right"/>
              <w:rPr>
                <w:noProof/>
                <w:sz w:val="18"/>
                <w:szCs w:val="18"/>
              </w:rPr>
            </w:pPr>
          </w:p>
        </w:tc>
        <w:tc>
          <w:tcPr>
            <w:tcW w:w="1134" w:type="dxa"/>
            <w:vAlign w:val="center"/>
          </w:tcPr>
          <w:p>
            <w:pPr>
              <w:spacing w:before="20" w:after="20"/>
              <w:jc w:val="right"/>
              <w:rPr>
                <w:noProof/>
                <w:sz w:val="18"/>
                <w:szCs w:val="18"/>
              </w:rPr>
            </w:pPr>
          </w:p>
        </w:tc>
        <w:tc>
          <w:tcPr>
            <w:tcW w:w="1134" w:type="dxa"/>
          </w:tcPr>
          <w:p>
            <w:pPr>
              <w:spacing w:before="20" w:after="20"/>
              <w:jc w:val="right"/>
              <w:rPr>
                <w:noProof/>
                <w:sz w:val="18"/>
                <w:szCs w:val="18"/>
              </w:rPr>
            </w:pPr>
          </w:p>
        </w:tc>
        <w:tc>
          <w:tcPr>
            <w:tcW w:w="1134" w:type="dxa"/>
          </w:tcPr>
          <w:p>
            <w:pPr>
              <w:spacing w:before="20" w:after="20"/>
              <w:jc w:val="right"/>
              <w:rPr>
                <w:noProof/>
                <w:sz w:val="18"/>
                <w:szCs w:val="18"/>
              </w:rPr>
            </w:pPr>
          </w:p>
        </w:tc>
        <w:tc>
          <w:tcPr>
            <w:tcW w:w="1418" w:type="dxa"/>
            <w:vAlign w:val="center"/>
          </w:tcPr>
          <w:p>
            <w:pPr>
              <w:spacing w:before="20" w:after="20"/>
              <w:jc w:val="right"/>
              <w:rPr>
                <w:b/>
                <w:noProof/>
                <w:sz w:val="18"/>
                <w:szCs w:val="18"/>
              </w:rPr>
            </w:pPr>
          </w:p>
        </w:tc>
      </w:tr>
    </w:tbl>
    <w:p>
      <w:pPr>
        <w:spacing w:after="40"/>
        <w:rPr>
          <w:b/>
          <w:noProof/>
          <w:sz w:val="22"/>
          <w:u w:val="single"/>
        </w:rPr>
      </w:pPr>
    </w:p>
    <w:p>
      <w:pPr>
        <w:spacing w:after="40"/>
        <w:rPr>
          <w:b/>
          <w:noProof/>
          <w:sz w:val="22"/>
          <w:u w:val="single"/>
        </w:rPr>
      </w:pPr>
      <w:r>
        <w:rPr>
          <w:b/>
          <w:noProof/>
          <w:sz w:val="22"/>
          <w:u w:val="single"/>
        </w:rPr>
        <w:t>Ha a javaslat/kezdeményezés egynél több operatív fejezetet is érint, ismételje meg a fenti szakaszt:</w:t>
      </w:r>
    </w:p>
    <w:tbl>
      <w:tblPr>
        <w:tblW w:w="0" w:type="auto"/>
        <w:tblInd w:w="-252" w:type="dxa"/>
        <w:tblBorders>
          <w:top w:val="single" w:sz="4" w:space="0" w:color="FF0000"/>
          <w:left w:val="single" w:sz="4" w:space="0" w:color="FF0000"/>
          <w:bottom w:val="single" w:sz="4" w:space="0" w:color="FF0000"/>
          <w:right w:val="single" w:sz="4" w:space="0" w:color="FF0000"/>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868"/>
        <w:gridCol w:w="868"/>
        <w:gridCol w:w="868"/>
        <w:gridCol w:w="868"/>
        <w:gridCol w:w="868"/>
        <w:gridCol w:w="868"/>
        <w:gridCol w:w="868"/>
        <w:gridCol w:w="1777"/>
      </w:tblGrid>
      <w:tr>
        <w:trPr>
          <w:trHeight w:val="277"/>
        </w:trPr>
        <w:tc>
          <w:tcPr>
            <w:tcW w:w="3960" w:type="dxa"/>
            <w:vMerge w:val="restart"/>
            <w:tcBorders>
              <w:top w:val="single" w:sz="4" w:space="0" w:color="auto"/>
              <w:left w:val="single" w:sz="4" w:space="0" w:color="auto"/>
              <w:bottom w:val="single" w:sz="4" w:space="0" w:color="FF0000"/>
            </w:tcBorders>
            <w:vAlign w:val="center"/>
          </w:tcPr>
          <w:p>
            <w:pPr>
              <w:spacing w:before="20" w:after="20"/>
              <w:rPr>
                <w:noProof/>
              </w:rPr>
            </w:pPr>
            <w:r>
              <w:rPr>
                <w:noProof/>
                <w:sz w:val="21"/>
              </w:rPr>
              <w:sym w:font="Wingdings" w:char="F09F"/>
            </w:r>
            <w:r>
              <w:rPr>
                <w:noProof/>
                <w:sz w:val="21"/>
              </w:rPr>
              <w:t xml:space="preserve"> Operatív előirányzatok ÖSSZESEN (összes operatív fejezet)</w:t>
            </w:r>
          </w:p>
        </w:tc>
        <w:tc>
          <w:tcPr>
            <w:tcW w:w="1440" w:type="dxa"/>
            <w:tcBorders>
              <w:top w:val="single" w:sz="4" w:space="0" w:color="auto"/>
            </w:tcBorders>
            <w:vAlign w:val="center"/>
          </w:tcPr>
          <w:p>
            <w:pPr>
              <w:spacing w:beforeLines="20" w:before="48" w:afterLines="20" w:after="48"/>
              <w:rPr>
                <w:noProof/>
                <w:sz w:val="18"/>
              </w:rPr>
            </w:pPr>
            <w:r>
              <w:rPr>
                <w:noProof/>
                <w:sz w:val="18"/>
              </w:rPr>
              <w:t>Kötelezettségvállalási előirányzatok</w:t>
            </w:r>
          </w:p>
        </w:tc>
        <w:tc>
          <w:tcPr>
            <w:tcW w:w="654" w:type="dxa"/>
            <w:tcBorders>
              <w:top w:val="single" w:sz="4" w:space="0" w:color="auto"/>
            </w:tcBorders>
            <w:vAlign w:val="center"/>
          </w:tcPr>
          <w:p>
            <w:pPr>
              <w:spacing w:beforeLines="20" w:before="48" w:afterLines="20" w:after="48"/>
              <w:jc w:val="center"/>
              <w:rPr>
                <w:noProof/>
                <w:sz w:val="14"/>
              </w:rPr>
            </w:pPr>
            <w:r>
              <w:rPr>
                <w:noProof/>
                <w:sz w:val="14"/>
              </w:rPr>
              <w:t>(4)</w:t>
            </w:r>
          </w:p>
        </w:tc>
        <w:tc>
          <w:tcPr>
            <w:tcW w:w="868" w:type="dxa"/>
            <w:tcBorders>
              <w:top w:val="single" w:sz="4" w:space="0" w:color="auto"/>
            </w:tcBorders>
            <w:vAlign w:val="center"/>
          </w:tcPr>
          <w:p>
            <w:pPr>
              <w:spacing w:before="20" w:after="20"/>
              <w:jc w:val="right"/>
              <w:rPr>
                <w:noProof/>
                <w:sz w:val="20"/>
              </w:rPr>
            </w:pPr>
          </w:p>
        </w:tc>
        <w:tc>
          <w:tcPr>
            <w:tcW w:w="868" w:type="dxa"/>
            <w:tcBorders>
              <w:top w:val="single" w:sz="4" w:space="0" w:color="auto"/>
            </w:tcBorders>
            <w:vAlign w:val="center"/>
          </w:tcPr>
          <w:p>
            <w:pPr>
              <w:spacing w:before="20" w:after="20"/>
              <w:jc w:val="right"/>
              <w:rPr>
                <w:noProof/>
                <w:sz w:val="20"/>
              </w:rPr>
            </w:pPr>
          </w:p>
        </w:tc>
        <w:tc>
          <w:tcPr>
            <w:tcW w:w="868" w:type="dxa"/>
            <w:tcBorders>
              <w:top w:val="single" w:sz="4" w:space="0" w:color="auto"/>
            </w:tcBorders>
            <w:vAlign w:val="center"/>
          </w:tcPr>
          <w:p>
            <w:pPr>
              <w:spacing w:before="20" w:after="20"/>
              <w:jc w:val="right"/>
              <w:rPr>
                <w:noProof/>
                <w:sz w:val="20"/>
              </w:rPr>
            </w:pPr>
          </w:p>
        </w:tc>
        <w:tc>
          <w:tcPr>
            <w:tcW w:w="868" w:type="dxa"/>
            <w:tcBorders>
              <w:top w:val="single" w:sz="4" w:space="0" w:color="auto"/>
            </w:tcBorders>
            <w:vAlign w:val="center"/>
          </w:tcPr>
          <w:p>
            <w:pPr>
              <w:spacing w:before="20" w:after="20"/>
              <w:jc w:val="right"/>
              <w:rPr>
                <w:noProof/>
                <w:sz w:val="20"/>
              </w:rPr>
            </w:pPr>
          </w:p>
        </w:tc>
        <w:tc>
          <w:tcPr>
            <w:tcW w:w="868" w:type="dxa"/>
            <w:tcBorders>
              <w:top w:val="single" w:sz="4" w:space="0" w:color="auto"/>
            </w:tcBorders>
            <w:vAlign w:val="center"/>
          </w:tcPr>
          <w:p>
            <w:pPr>
              <w:spacing w:before="20" w:after="20"/>
              <w:jc w:val="right"/>
              <w:rPr>
                <w:noProof/>
                <w:sz w:val="20"/>
              </w:rPr>
            </w:pPr>
          </w:p>
        </w:tc>
        <w:tc>
          <w:tcPr>
            <w:tcW w:w="868" w:type="dxa"/>
            <w:tcBorders>
              <w:top w:val="single" w:sz="4" w:space="0" w:color="auto"/>
            </w:tcBorders>
            <w:vAlign w:val="center"/>
          </w:tcPr>
          <w:p>
            <w:pPr>
              <w:spacing w:before="20" w:after="20"/>
              <w:jc w:val="right"/>
              <w:rPr>
                <w:noProof/>
                <w:sz w:val="20"/>
              </w:rPr>
            </w:pPr>
          </w:p>
        </w:tc>
        <w:tc>
          <w:tcPr>
            <w:tcW w:w="868" w:type="dxa"/>
            <w:tcBorders>
              <w:top w:val="single" w:sz="4" w:space="0" w:color="auto"/>
            </w:tcBorders>
            <w:vAlign w:val="center"/>
          </w:tcPr>
          <w:p>
            <w:pPr>
              <w:spacing w:before="20" w:after="20"/>
              <w:jc w:val="right"/>
              <w:rPr>
                <w:b/>
                <w:noProof/>
                <w:sz w:val="20"/>
              </w:rPr>
            </w:pPr>
          </w:p>
        </w:tc>
        <w:tc>
          <w:tcPr>
            <w:tcW w:w="1777" w:type="dxa"/>
            <w:tcBorders>
              <w:top w:val="single" w:sz="4" w:space="0" w:color="auto"/>
              <w:right w:val="single" w:sz="4" w:space="0" w:color="auto"/>
            </w:tcBorders>
            <w:vAlign w:val="center"/>
          </w:tcPr>
          <w:p>
            <w:pPr>
              <w:spacing w:before="20" w:after="20"/>
              <w:jc w:val="right"/>
              <w:rPr>
                <w:b/>
                <w:noProof/>
                <w:sz w:val="20"/>
              </w:rPr>
            </w:pPr>
          </w:p>
        </w:tc>
      </w:tr>
      <w:tr>
        <w:tc>
          <w:tcPr>
            <w:tcW w:w="3960" w:type="dxa"/>
            <w:vMerge/>
            <w:tcBorders>
              <w:top w:val="single" w:sz="4" w:space="0" w:color="FF0000"/>
              <w:left w:val="single" w:sz="4" w:space="0" w:color="auto"/>
              <w:bottom w:val="single" w:sz="4" w:space="0" w:color="FF0000"/>
            </w:tcBorders>
          </w:tcPr>
          <w:p>
            <w:pPr>
              <w:jc w:val="center"/>
              <w:rPr>
                <w:noProof/>
                <w:sz w:val="20"/>
              </w:rPr>
            </w:pPr>
          </w:p>
        </w:tc>
        <w:tc>
          <w:tcPr>
            <w:tcW w:w="1440" w:type="dxa"/>
            <w:vAlign w:val="center"/>
          </w:tcPr>
          <w:p>
            <w:pPr>
              <w:spacing w:beforeLines="20" w:before="48" w:afterLines="20" w:after="48"/>
              <w:rPr>
                <w:noProof/>
                <w:sz w:val="18"/>
              </w:rPr>
            </w:pPr>
            <w:r>
              <w:rPr>
                <w:noProof/>
                <w:sz w:val="18"/>
              </w:rPr>
              <w:t>Kifizetési előirányzatok</w:t>
            </w:r>
          </w:p>
        </w:tc>
        <w:tc>
          <w:tcPr>
            <w:tcW w:w="654" w:type="dxa"/>
            <w:vAlign w:val="center"/>
          </w:tcPr>
          <w:p>
            <w:pPr>
              <w:spacing w:beforeLines="20" w:before="48" w:afterLines="20" w:after="48"/>
              <w:jc w:val="center"/>
              <w:rPr>
                <w:noProof/>
                <w:sz w:val="14"/>
              </w:rPr>
            </w:pPr>
            <w:r>
              <w:rPr>
                <w:noProof/>
                <w:sz w:val="14"/>
              </w:rPr>
              <w:t>(5)</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Borders>
              <w:right w:val="single" w:sz="4" w:space="0" w:color="auto"/>
            </w:tcBorders>
            <w:vAlign w:val="center"/>
          </w:tcPr>
          <w:p>
            <w:pPr>
              <w:spacing w:before="20" w:after="20"/>
              <w:jc w:val="right"/>
              <w:rPr>
                <w:b/>
                <w:noProof/>
                <w:sz w:val="20"/>
              </w:rPr>
            </w:pPr>
          </w:p>
        </w:tc>
      </w:tr>
      <w:tr>
        <w:tblPrEx>
          <w:tblBorders>
            <w:top w:val="single" w:sz="4" w:space="0" w:color="auto"/>
            <w:left w:val="single" w:sz="4" w:space="0" w:color="auto"/>
            <w:bottom w:val="single" w:sz="4" w:space="0" w:color="auto"/>
            <w:right w:val="single" w:sz="4" w:space="0" w:color="auto"/>
          </w:tblBorders>
        </w:tblPrEx>
        <w:trPr>
          <w:trHeight w:val="533"/>
        </w:trPr>
        <w:tc>
          <w:tcPr>
            <w:tcW w:w="5400" w:type="dxa"/>
            <w:gridSpan w:val="2"/>
            <w:vAlign w:val="center"/>
          </w:tcPr>
          <w:p>
            <w:pPr>
              <w:spacing w:beforeLines="20" w:before="48" w:afterLines="20" w:after="48"/>
              <w:rPr>
                <w:noProof/>
              </w:rPr>
            </w:pPr>
            <w:r>
              <w:rPr>
                <w:noProof/>
                <w:sz w:val="21"/>
              </w:rPr>
              <w:t xml:space="preserve"> Bizonyos egyedi programok keretéből finanszírozott igazgatási jellegű előirányzatok ÖSSZESEN (összes operatív fejezet)</w:t>
            </w:r>
          </w:p>
        </w:tc>
        <w:tc>
          <w:tcPr>
            <w:tcW w:w="654" w:type="dxa"/>
            <w:vAlign w:val="center"/>
          </w:tcPr>
          <w:p>
            <w:pPr>
              <w:rPr>
                <w:noProof/>
              </w:rPr>
            </w:pPr>
          </w:p>
          <w:p>
            <w:pPr>
              <w:spacing w:beforeLines="20" w:before="48" w:afterLines="20" w:after="48"/>
              <w:jc w:val="center"/>
              <w:rPr>
                <w:noProof/>
                <w:sz w:val="14"/>
              </w:rPr>
            </w:pPr>
            <w:r>
              <w:rPr>
                <w:noProof/>
                <w:sz w:val="14"/>
              </w:rPr>
              <w:t>(6)</w:t>
            </w: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c>
          <w:tcPr>
            <w:tcW w:w="3960" w:type="dxa"/>
            <w:vMerge w:val="restart"/>
            <w:tcBorders>
              <w:top w:val="single" w:sz="4" w:space="0" w:color="FF0000"/>
              <w:left w:val="single" w:sz="4" w:space="0" w:color="auto"/>
              <w:bottom w:val="single" w:sz="4" w:space="0" w:color="FF0000"/>
            </w:tcBorders>
            <w:shd w:val="thinDiagStripe" w:color="C0C0C0" w:fill="auto"/>
            <w:vAlign w:val="center"/>
          </w:tcPr>
          <w:p>
            <w:pPr>
              <w:jc w:val="center"/>
              <w:rPr>
                <w:b/>
                <w:noProof/>
              </w:rPr>
            </w:pPr>
            <w:r>
              <w:rPr>
                <w:b/>
                <w:noProof/>
                <w:sz w:val="22"/>
              </w:rPr>
              <w:t>ÖSSZESEN</w:t>
            </w:r>
            <w:r>
              <w:rPr>
                <w:noProof/>
                <w:sz w:val="22"/>
              </w:rPr>
              <w:t xml:space="preserve"> a többéves pénzügyi keret</w:t>
            </w:r>
            <w:r>
              <w:rPr>
                <w:noProof/>
                <w:sz w:val="22"/>
              </w:rPr>
              <w:br/>
            </w:r>
            <w:r>
              <w:rPr>
                <w:b/>
                <w:noProof/>
                <w:sz w:val="22"/>
              </w:rPr>
              <w:t>1–4. FEJEZETÉHEZ</w:t>
            </w:r>
            <w:r>
              <w:rPr>
                <w:noProof/>
                <w:sz w:val="22"/>
              </w:rPr>
              <w:br/>
              <w:t>tartozó előirányzatok</w:t>
            </w:r>
            <w:r>
              <w:rPr>
                <w:noProof/>
                <w:sz w:val="22"/>
              </w:rPr>
              <w:br/>
            </w:r>
            <w:r>
              <w:rPr>
                <w:noProof/>
                <w:sz w:val="20"/>
              </w:rPr>
              <w:t>(Referenciaösszeg)</w:t>
            </w:r>
          </w:p>
        </w:tc>
        <w:tc>
          <w:tcPr>
            <w:tcW w:w="1440" w:type="dxa"/>
            <w:vAlign w:val="center"/>
          </w:tcPr>
          <w:p>
            <w:pPr>
              <w:rPr>
                <w:noProof/>
                <w:sz w:val="18"/>
              </w:rPr>
            </w:pPr>
            <w:r>
              <w:rPr>
                <w:noProof/>
                <w:sz w:val="18"/>
              </w:rPr>
              <w:t>Kötelezettségvállalási előirányzatok</w:t>
            </w:r>
          </w:p>
        </w:tc>
        <w:tc>
          <w:tcPr>
            <w:tcW w:w="654" w:type="dxa"/>
            <w:vAlign w:val="center"/>
          </w:tcPr>
          <w:p>
            <w:pPr>
              <w:jc w:val="center"/>
              <w:rPr>
                <w:noProof/>
                <w:sz w:val="14"/>
              </w:rPr>
            </w:pPr>
            <w:r>
              <w:rPr>
                <w:noProof/>
                <w:sz w:val="14"/>
              </w:rPr>
              <w:t>=(4)+(6)</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Borders>
              <w:right w:val="single" w:sz="4" w:space="0" w:color="auto"/>
            </w:tcBorders>
            <w:vAlign w:val="center"/>
          </w:tcPr>
          <w:p>
            <w:pPr>
              <w:spacing w:before="20" w:after="20"/>
              <w:jc w:val="right"/>
              <w:rPr>
                <w:b/>
                <w:noProof/>
                <w:sz w:val="20"/>
              </w:rPr>
            </w:pPr>
          </w:p>
        </w:tc>
      </w:tr>
      <w:tr>
        <w:tc>
          <w:tcPr>
            <w:tcW w:w="3960" w:type="dxa"/>
            <w:vMerge/>
            <w:tcBorders>
              <w:top w:val="single" w:sz="4" w:space="0" w:color="FF0000"/>
              <w:left w:val="single" w:sz="4" w:space="0" w:color="auto"/>
              <w:bottom w:val="single" w:sz="4" w:space="0" w:color="auto"/>
            </w:tcBorders>
            <w:shd w:val="thinDiagStripe" w:color="C0C0C0" w:fill="auto"/>
          </w:tcPr>
          <w:p>
            <w:pPr>
              <w:rPr>
                <w:noProof/>
                <w:sz w:val="20"/>
              </w:rPr>
            </w:pPr>
          </w:p>
        </w:tc>
        <w:tc>
          <w:tcPr>
            <w:tcW w:w="1440" w:type="dxa"/>
            <w:tcBorders>
              <w:bottom w:val="single" w:sz="4" w:space="0" w:color="auto"/>
            </w:tcBorders>
            <w:vAlign w:val="center"/>
          </w:tcPr>
          <w:p>
            <w:pPr>
              <w:rPr>
                <w:noProof/>
                <w:sz w:val="18"/>
              </w:rPr>
            </w:pPr>
            <w:r>
              <w:rPr>
                <w:noProof/>
                <w:sz w:val="18"/>
              </w:rPr>
              <w:t>Kifizetési előirányzatok</w:t>
            </w:r>
          </w:p>
        </w:tc>
        <w:tc>
          <w:tcPr>
            <w:tcW w:w="654" w:type="dxa"/>
            <w:tcBorders>
              <w:bottom w:val="single" w:sz="4" w:space="0" w:color="auto"/>
            </w:tcBorders>
            <w:vAlign w:val="center"/>
          </w:tcPr>
          <w:p>
            <w:pPr>
              <w:jc w:val="center"/>
              <w:rPr>
                <w:noProof/>
                <w:sz w:val="14"/>
              </w:rPr>
            </w:pPr>
            <w:r>
              <w:rPr>
                <w:noProof/>
                <w:sz w:val="14"/>
              </w:rPr>
              <w:t>=(5)+(6)</w:t>
            </w:r>
          </w:p>
        </w:tc>
        <w:tc>
          <w:tcPr>
            <w:tcW w:w="868" w:type="dxa"/>
            <w:tcBorders>
              <w:bottom w:val="single" w:sz="4" w:space="0" w:color="auto"/>
            </w:tcBorders>
            <w:vAlign w:val="center"/>
          </w:tcPr>
          <w:p>
            <w:pPr>
              <w:spacing w:before="20" w:after="20"/>
              <w:jc w:val="right"/>
              <w:rPr>
                <w:noProof/>
                <w:sz w:val="20"/>
              </w:rPr>
            </w:pPr>
          </w:p>
        </w:tc>
        <w:tc>
          <w:tcPr>
            <w:tcW w:w="868" w:type="dxa"/>
            <w:tcBorders>
              <w:bottom w:val="single" w:sz="4" w:space="0" w:color="auto"/>
            </w:tcBorders>
            <w:vAlign w:val="center"/>
          </w:tcPr>
          <w:p>
            <w:pPr>
              <w:spacing w:before="20" w:after="20"/>
              <w:jc w:val="right"/>
              <w:rPr>
                <w:noProof/>
                <w:sz w:val="20"/>
              </w:rPr>
            </w:pPr>
          </w:p>
        </w:tc>
        <w:tc>
          <w:tcPr>
            <w:tcW w:w="868" w:type="dxa"/>
            <w:tcBorders>
              <w:bottom w:val="single" w:sz="4" w:space="0" w:color="auto"/>
            </w:tcBorders>
            <w:vAlign w:val="center"/>
          </w:tcPr>
          <w:p>
            <w:pPr>
              <w:spacing w:before="20" w:after="20"/>
              <w:jc w:val="right"/>
              <w:rPr>
                <w:noProof/>
                <w:sz w:val="20"/>
              </w:rPr>
            </w:pPr>
          </w:p>
        </w:tc>
        <w:tc>
          <w:tcPr>
            <w:tcW w:w="868" w:type="dxa"/>
            <w:tcBorders>
              <w:bottom w:val="single" w:sz="4" w:space="0" w:color="auto"/>
            </w:tcBorders>
            <w:vAlign w:val="center"/>
          </w:tcPr>
          <w:p>
            <w:pPr>
              <w:spacing w:before="20" w:after="20"/>
              <w:jc w:val="right"/>
              <w:rPr>
                <w:noProof/>
                <w:sz w:val="20"/>
              </w:rPr>
            </w:pPr>
          </w:p>
        </w:tc>
        <w:tc>
          <w:tcPr>
            <w:tcW w:w="868" w:type="dxa"/>
            <w:tcBorders>
              <w:bottom w:val="single" w:sz="4" w:space="0" w:color="auto"/>
            </w:tcBorders>
            <w:vAlign w:val="center"/>
          </w:tcPr>
          <w:p>
            <w:pPr>
              <w:spacing w:before="20" w:after="20"/>
              <w:jc w:val="right"/>
              <w:rPr>
                <w:noProof/>
                <w:sz w:val="20"/>
              </w:rPr>
            </w:pPr>
          </w:p>
        </w:tc>
        <w:tc>
          <w:tcPr>
            <w:tcW w:w="868" w:type="dxa"/>
            <w:tcBorders>
              <w:bottom w:val="single" w:sz="4" w:space="0" w:color="auto"/>
            </w:tcBorders>
            <w:vAlign w:val="center"/>
          </w:tcPr>
          <w:p>
            <w:pPr>
              <w:spacing w:before="20" w:after="20"/>
              <w:jc w:val="right"/>
              <w:rPr>
                <w:noProof/>
                <w:sz w:val="20"/>
              </w:rPr>
            </w:pPr>
          </w:p>
        </w:tc>
        <w:tc>
          <w:tcPr>
            <w:tcW w:w="868" w:type="dxa"/>
            <w:tcBorders>
              <w:bottom w:val="single" w:sz="4" w:space="0" w:color="auto"/>
            </w:tcBorders>
            <w:vAlign w:val="center"/>
          </w:tcPr>
          <w:p>
            <w:pPr>
              <w:spacing w:before="20" w:after="20"/>
              <w:jc w:val="right"/>
              <w:rPr>
                <w:b/>
                <w:noProof/>
                <w:sz w:val="20"/>
              </w:rPr>
            </w:pPr>
          </w:p>
        </w:tc>
        <w:tc>
          <w:tcPr>
            <w:tcW w:w="1777" w:type="dxa"/>
            <w:tcBorders>
              <w:bottom w:val="single" w:sz="4" w:space="0" w:color="auto"/>
              <w:right w:val="single" w:sz="4" w:space="0" w:color="auto"/>
            </w:tcBorders>
            <w:vAlign w:val="center"/>
          </w:tcPr>
          <w:p>
            <w:pPr>
              <w:spacing w:before="20" w:after="20"/>
              <w:jc w:val="right"/>
              <w:rPr>
                <w:b/>
                <w:noProof/>
                <w:sz w:val="20"/>
              </w:rPr>
            </w:pPr>
          </w:p>
        </w:tc>
      </w:tr>
    </w:tbl>
    <w:p>
      <w:pPr>
        <w:rPr>
          <w:noProof/>
        </w:rPr>
      </w:pPr>
    </w:p>
    <w:p>
      <w:pPr>
        <w:spacing w:before="0" w:after="0"/>
        <w:jc w:val="left"/>
        <w:rPr>
          <w:noProof/>
        </w:rPr>
      </w:pPr>
      <w:r>
        <w:rPr>
          <w:noProof/>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b/>
                <w:noProof/>
              </w:rPr>
            </w:pPr>
            <w:r>
              <w:rPr>
                <w:noProof/>
              </w:rPr>
              <w:br w:type="page"/>
            </w:r>
            <w:r>
              <w:rPr>
                <w:b/>
                <w:noProof/>
                <w:sz w:val="22"/>
              </w:rPr>
              <w:t>A többéves pénzügyi keret</w:t>
            </w:r>
            <w:r>
              <w:rPr>
                <w:noProof/>
                <w:sz w:val="22"/>
              </w:rPr>
              <w:br/>
            </w:r>
            <w:r>
              <w:rPr>
                <w:b/>
                <w:noProof/>
                <w:sz w:val="22"/>
              </w:rPr>
              <w:t xml:space="preserve">fejezete </w:t>
            </w:r>
          </w:p>
        </w:tc>
        <w:tc>
          <w:tcPr>
            <w:tcW w:w="1080" w:type="dxa"/>
            <w:shd w:val="thinDiagStripe" w:color="C0C0C0" w:fill="auto"/>
            <w:vAlign w:val="center"/>
          </w:tcPr>
          <w:p>
            <w:pPr>
              <w:spacing w:before="60" w:after="60"/>
              <w:jc w:val="center"/>
              <w:rPr>
                <w:noProof/>
              </w:rPr>
            </w:pPr>
            <w:r>
              <w:rPr>
                <w:b/>
                <w:noProof/>
                <w:sz w:val="22"/>
              </w:rPr>
              <w:t>5</w:t>
            </w:r>
          </w:p>
        </w:tc>
        <w:tc>
          <w:tcPr>
            <w:tcW w:w="7817" w:type="dxa"/>
            <w:vAlign w:val="center"/>
          </w:tcPr>
          <w:p>
            <w:pPr>
              <w:spacing w:before="60" w:after="60"/>
              <w:rPr>
                <w:noProof/>
              </w:rPr>
            </w:pPr>
            <w:r>
              <w:rPr>
                <w:noProof/>
                <w:sz w:val="22"/>
              </w:rPr>
              <w:t>„Igazgatási kiadások”</w:t>
            </w:r>
          </w:p>
        </w:tc>
      </w:tr>
    </w:tbl>
    <w:p>
      <w:pPr>
        <w:jc w:val="left"/>
        <w:rPr>
          <w:noProof/>
          <w:sz w:val="20"/>
        </w:rPr>
      </w:pPr>
      <w:r>
        <w:rPr>
          <w:noProof/>
        </w:rPr>
        <w:t xml:space="preserve">Ezt a részt az igazgatási jellegű költségvetési adatok táblázatában kell kitölteni, melyet először a </w:t>
      </w:r>
      <w:hyperlink r:id="rId22" w:history="1">
        <w:r>
          <w:rPr>
            <w:rStyle w:val="Hyperlink"/>
            <w:noProof/>
          </w:rPr>
          <w:t>pénzügyi kimutatás mellékletébe</w:t>
        </w:r>
      </w:hyperlink>
      <w:r>
        <w:rPr>
          <w:noProof/>
        </w:rPr>
        <w:t xml:space="preserve"> (a belső szabályzat V. melléklete) kell bevezetni; a mellékletet a szolgálatközi konzultációhoz fel kell tölteni a DECIDE rendszerbe.</w:t>
      </w:r>
    </w:p>
    <w:p>
      <w:pPr>
        <w:jc w:val="right"/>
        <w:rPr>
          <w:noProof/>
          <w:sz w:val="20"/>
        </w:rPr>
      </w:pPr>
      <w:r>
        <w:rPr>
          <w:noProof/>
          <w:sz w:val="20"/>
        </w:rPr>
        <w:t>millió EUR (három tizedesjegyig)</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tc>
          <w:tcPr>
            <w:tcW w:w="3960" w:type="dxa"/>
            <w:tcBorders>
              <w:top w:val="nil"/>
              <w:left w:val="nil"/>
              <w:right w:val="nil"/>
            </w:tcBorders>
            <w:vAlign w:val="center"/>
          </w:tcPr>
          <w:p>
            <w:pPr>
              <w:jc w:val="center"/>
              <w:rPr>
                <w:noProof/>
              </w:rPr>
            </w:pPr>
          </w:p>
        </w:tc>
        <w:tc>
          <w:tcPr>
            <w:tcW w:w="1560" w:type="dxa"/>
            <w:tcBorders>
              <w:top w:val="nil"/>
              <w:left w:val="nil"/>
              <w:right w:val="nil"/>
            </w:tcBorders>
          </w:tcPr>
          <w:p>
            <w:pPr>
              <w:rPr>
                <w:noProof/>
                <w:sz w:val="20"/>
              </w:rPr>
            </w:pPr>
          </w:p>
        </w:tc>
        <w:tc>
          <w:tcPr>
            <w:tcW w:w="534" w:type="dxa"/>
            <w:tcBorders>
              <w:top w:val="nil"/>
              <w:left w:val="nil"/>
            </w:tcBorders>
          </w:tcPr>
          <w:p>
            <w:pPr>
              <w:jc w:val="center"/>
              <w:rPr>
                <w:noProof/>
                <w:sz w:val="20"/>
              </w:rPr>
            </w:pPr>
          </w:p>
        </w:tc>
        <w:tc>
          <w:tcPr>
            <w:tcW w:w="868" w:type="dxa"/>
            <w:vAlign w:val="center"/>
          </w:tcPr>
          <w:p>
            <w:pPr>
              <w:jc w:val="center"/>
              <w:rPr>
                <w:noProof/>
                <w:sz w:val="20"/>
              </w:rPr>
            </w:pPr>
            <w:r>
              <w:rPr>
                <w:noProof/>
                <w:sz w:val="20"/>
              </w:rPr>
              <w:t>Év</w:t>
            </w:r>
            <w:r>
              <w:rPr>
                <w:noProof/>
                <w:sz w:val="22"/>
              </w:rPr>
              <w:br/>
            </w:r>
            <w:r>
              <w:rPr>
                <w:b/>
                <w:noProof/>
                <w:sz w:val="20"/>
              </w:rPr>
              <w:t>N</w:t>
            </w:r>
          </w:p>
        </w:tc>
        <w:tc>
          <w:tcPr>
            <w:tcW w:w="868" w:type="dxa"/>
            <w:vAlign w:val="center"/>
          </w:tcPr>
          <w:p>
            <w:pPr>
              <w:jc w:val="center"/>
              <w:rPr>
                <w:noProof/>
                <w:sz w:val="20"/>
              </w:rPr>
            </w:pPr>
            <w:r>
              <w:rPr>
                <w:noProof/>
                <w:sz w:val="20"/>
              </w:rPr>
              <w:t>Év</w:t>
            </w:r>
            <w:r>
              <w:rPr>
                <w:noProof/>
                <w:sz w:val="22"/>
              </w:rPr>
              <w:br/>
            </w:r>
            <w:r>
              <w:rPr>
                <w:b/>
                <w:noProof/>
                <w:sz w:val="20"/>
              </w:rPr>
              <w:t>N+1</w:t>
            </w:r>
          </w:p>
        </w:tc>
        <w:tc>
          <w:tcPr>
            <w:tcW w:w="868" w:type="dxa"/>
            <w:vAlign w:val="center"/>
          </w:tcPr>
          <w:p>
            <w:pPr>
              <w:jc w:val="center"/>
              <w:rPr>
                <w:noProof/>
                <w:sz w:val="20"/>
              </w:rPr>
            </w:pPr>
            <w:r>
              <w:rPr>
                <w:noProof/>
                <w:sz w:val="20"/>
              </w:rPr>
              <w:t>Év</w:t>
            </w:r>
            <w:r>
              <w:rPr>
                <w:noProof/>
                <w:sz w:val="22"/>
              </w:rPr>
              <w:br/>
            </w:r>
            <w:r>
              <w:rPr>
                <w:b/>
                <w:noProof/>
                <w:sz w:val="20"/>
              </w:rPr>
              <w:t>N+2</w:t>
            </w:r>
          </w:p>
        </w:tc>
        <w:tc>
          <w:tcPr>
            <w:tcW w:w="868" w:type="dxa"/>
            <w:vAlign w:val="center"/>
          </w:tcPr>
          <w:p>
            <w:pPr>
              <w:jc w:val="center"/>
              <w:rPr>
                <w:noProof/>
                <w:sz w:val="20"/>
              </w:rPr>
            </w:pPr>
            <w:r>
              <w:rPr>
                <w:noProof/>
                <w:sz w:val="20"/>
              </w:rPr>
              <w:t>Év</w:t>
            </w:r>
            <w:r>
              <w:rPr>
                <w:noProof/>
                <w:sz w:val="22"/>
              </w:rPr>
              <w:br/>
            </w:r>
            <w:r>
              <w:rPr>
                <w:b/>
                <w:noProof/>
                <w:sz w:val="20"/>
              </w:rPr>
              <w:t>N+3</w:t>
            </w:r>
          </w:p>
        </w:tc>
        <w:tc>
          <w:tcPr>
            <w:tcW w:w="2604" w:type="dxa"/>
            <w:gridSpan w:val="3"/>
            <w:vAlign w:val="center"/>
          </w:tcPr>
          <w:p>
            <w:pPr>
              <w:jc w:val="center"/>
              <w:rPr>
                <w:b/>
                <w:noProof/>
                <w:sz w:val="18"/>
              </w:rPr>
            </w:pPr>
            <w:r>
              <w:rPr>
                <w:noProof/>
                <w:sz w:val="18"/>
              </w:rPr>
              <w:t xml:space="preserve">A táblázat a hatás időtartamának megfelelően (vö. 1.6. pont) további évekkel bővíthető. </w:t>
            </w:r>
          </w:p>
        </w:tc>
        <w:tc>
          <w:tcPr>
            <w:tcW w:w="1777" w:type="dxa"/>
            <w:vAlign w:val="center"/>
          </w:tcPr>
          <w:p>
            <w:pPr>
              <w:jc w:val="center"/>
              <w:rPr>
                <w:b/>
                <w:noProof/>
                <w:sz w:val="20"/>
              </w:rPr>
            </w:pPr>
            <w:r>
              <w:rPr>
                <w:b/>
                <w:noProof/>
                <w:sz w:val="20"/>
              </w:rPr>
              <w:t>ÖSSZESEN</w:t>
            </w:r>
          </w:p>
        </w:tc>
      </w:tr>
      <w:tr>
        <w:trPr>
          <w:gridAfter w:val="10"/>
          <w:wAfter w:w="9947" w:type="dxa"/>
        </w:trPr>
        <w:tc>
          <w:tcPr>
            <w:tcW w:w="3960" w:type="dxa"/>
            <w:vAlign w:val="center"/>
          </w:tcPr>
          <w:p>
            <w:pPr>
              <w:spacing w:before="60" w:after="60"/>
              <w:jc w:val="center"/>
              <w:rPr>
                <w:noProof/>
              </w:rPr>
            </w:pPr>
            <w:r>
              <w:rPr>
                <w:noProof/>
                <w:sz w:val="22"/>
              </w:rPr>
              <w:t>Főigazgatóság: &lt;…….&gt;</w:t>
            </w:r>
          </w:p>
        </w:tc>
      </w:tr>
      <w:tr>
        <w:trPr>
          <w:trHeight w:val="313"/>
        </w:trPr>
        <w:tc>
          <w:tcPr>
            <w:tcW w:w="6054" w:type="dxa"/>
            <w:gridSpan w:val="3"/>
            <w:vAlign w:val="center"/>
          </w:tcPr>
          <w:p>
            <w:pPr>
              <w:spacing w:before="20" w:after="20"/>
              <w:rPr>
                <w:noProof/>
              </w:rPr>
            </w:pPr>
            <w:r>
              <w:rPr>
                <w:noProof/>
                <w:sz w:val="22"/>
              </w:rPr>
              <w:sym w:font="Wingdings" w:char="F09F"/>
            </w:r>
            <w:r>
              <w:rPr>
                <w:noProof/>
                <w:sz w:val="22"/>
              </w:rPr>
              <w:t xml:space="preserve"> Humánerőforrás</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rPr>
          <w:trHeight w:val="351"/>
        </w:trPr>
        <w:tc>
          <w:tcPr>
            <w:tcW w:w="6054" w:type="dxa"/>
            <w:gridSpan w:val="3"/>
            <w:vAlign w:val="center"/>
          </w:tcPr>
          <w:p>
            <w:pPr>
              <w:spacing w:before="20" w:after="20"/>
              <w:rPr>
                <w:noProof/>
              </w:rPr>
            </w:pPr>
            <w:r>
              <w:rPr>
                <w:noProof/>
                <w:sz w:val="22"/>
              </w:rPr>
              <w:sym w:font="Wingdings" w:char="F09F"/>
            </w:r>
            <w:r>
              <w:rPr>
                <w:noProof/>
                <w:sz w:val="22"/>
              </w:rPr>
              <w:t xml:space="preserve"> Egyéb igazgatási kiadások</w:t>
            </w: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c>
          <w:tcPr>
            <w:tcW w:w="3960" w:type="dxa"/>
            <w:vAlign w:val="center"/>
          </w:tcPr>
          <w:p>
            <w:pPr>
              <w:jc w:val="center"/>
              <w:rPr>
                <w:b/>
                <w:noProof/>
              </w:rPr>
            </w:pPr>
            <w:r>
              <w:rPr>
                <w:noProof/>
                <w:sz w:val="22"/>
              </w:rPr>
              <w:t xml:space="preserve">&lt;…&gt; </w:t>
            </w:r>
            <w:r>
              <w:rPr>
                <w:b/>
                <w:noProof/>
                <w:sz w:val="22"/>
              </w:rPr>
              <w:t>Főigazgatóság ÖSSZESEN</w:t>
            </w:r>
          </w:p>
        </w:tc>
        <w:tc>
          <w:tcPr>
            <w:tcW w:w="2094" w:type="dxa"/>
            <w:gridSpan w:val="2"/>
            <w:vAlign w:val="center"/>
          </w:tcPr>
          <w:p>
            <w:pPr>
              <w:rPr>
                <w:noProof/>
                <w:sz w:val="14"/>
              </w:rPr>
            </w:pPr>
            <w:r>
              <w:rPr>
                <w:noProof/>
                <w:sz w:val="18"/>
              </w:rPr>
              <w:t xml:space="preserve">Előirányzatok </w:t>
            </w:r>
          </w:p>
        </w:tc>
        <w:tc>
          <w:tcPr>
            <w:tcW w:w="868" w:type="dxa"/>
            <w:vAlign w:val="center"/>
          </w:tcPr>
          <w:p>
            <w:pPr>
              <w:spacing w:before="60" w:after="6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bl>
    <w:p>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868"/>
        <w:gridCol w:w="868"/>
        <w:gridCol w:w="1777"/>
      </w:tblGrid>
      <w:tr>
        <w:tc>
          <w:tcPr>
            <w:tcW w:w="3960" w:type="dxa"/>
            <w:shd w:val="thinDiagStripe" w:color="C0C0C0" w:fill="auto"/>
            <w:vAlign w:val="center"/>
          </w:tcPr>
          <w:p>
            <w:pPr>
              <w:jc w:val="center"/>
              <w:rPr>
                <w:b/>
                <w:noProof/>
              </w:rPr>
            </w:pPr>
            <w:r>
              <w:rPr>
                <w:b/>
                <w:noProof/>
                <w:sz w:val="22"/>
              </w:rPr>
              <w:t>ÖSSZESEN</w:t>
            </w:r>
            <w:r>
              <w:rPr>
                <w:noProof/>
                <w:sz w:val="22"/>
              </w:rPr>
              <w:t xml:space="preserve"> a többéves pénzügyi keret</w:t>
            </w:r>
            <w:r>
              <w:rPr>
                <w:noProof/>
                <w:sz w:val="22"/>
              </w:rPr>
              <w:br/>
            </w:r>
            <w:r>
              <w:rPr>
                <w:b/>
                <w:noProof/>
                <w:sz w:val="22"/>
              </w:rPr>
              <w:t>5. FEJEZETÉHEZ</w:t>
            </w:r>
            <w:r>
              <w:rPr>
                <w:noProof/>
                <w:sz w:val="22"/>
              </w:rPr>
              <w:br/>
              <w:t>tartozó előirányzatok</w:t>
            </w:r>
            <w:r>
              <w:rPr>
                <w:b/>
                <w:noProof/>
                <w:sz w:val="22"/>
              </w:rPr>
              <w:t xml:space="preserve"> </w:t>
            </w:r>
          </w:p>
        </w:tc>
        <w:tc>
          <w:tcPr>
            <w:tcW w:w="2094" w:type="dxa"/>
            <w:vAlign w:val="center"/>
          </w:tcPr>
          <w:p>
            <w:pPr>
              <w:spacing w:before="40" w:after="40"/>
              <w:rPr>
                <w:noProof/>
              </w:rPr>
            </w:pPr>
            <w:r>
              <w:rPr>
                <w:noProof/>
                <w:sz w:val="18"/>
              </w:rPr>
              <w:t>(Összes kötelezettségvállalási előirányzat = Összes kifizetési előirányzat)</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bl>
    <w:p>
      <w:pPr>
        <w:jc w:val="right"/>
        <w:rPr>
          <w:noProof/>
          <w:sz w:val="20"/>
        </w:rPr>
      </w:pPr>
      <w:r>
        <w:rPr>
          <w:noProof/>
          <w:sz w:val="20"/>
        </w:rPr>
        <w:t>millió EUR (három tizedesjegyig)</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tc>
          <w:tcPr>
            <w:tcW w:w="3960" w:type="dxa"/>
            <w:tcBorders>
              <w:top w:val="nil"/>
              <w:left w:val="nil"/>
              <w:right w:val="nil"/>
            </w:tcBorders>
            <w:vAlign w:val="center"/>
          </w:tcPr>
          <w:p>
            <w:pPr>
              <w:jc w:val="center"/>
              <w:rPr>
                <w:noProof/>
              </w:rPr>
            </w:pPr>
          </w:p>
        </w:tc>
        <w:tc>
          <w:tcPr>
            <w:tcW w:w="1560" w:type="dxa"/>
            <w:tcBorders>
              <w:top w:val="nil"/>
              <w:left w:val="nil"/>
              <w:right w:val="nil"/>
            </w:tcBorders>
          </w:tcPr>
          <w:p>
            <w:pPr>
              <w:rPr>
                <w:noProof/>
                <w:sz w:val="20"/>
              </w:rPr>
            </w:pPr>
          </w:p>
        </w:tc>
        <w:tc>
          <w:tcPr>
            <w:tcW w:w="534" w:type="dxa"/>
            <w:tcBorders>
              <w:top w:val="nil"/>
              <w:left w:val="nil"/>
            </w:tcBorders>
          </w:tcPr>
          <w:p>
            <w:pPr>
              <w:jc w:val="center"/>
              <w:rPr>
                <w:noProof/>
                <w:sz w:val="20"/>
              </w:rPr>
            </w:pPr>
          </w:p>
        </w:tc>
        <w:tc>
          <w:tcPr>
            <w:tcW w:w="868" w:type="dxa"/>
            <w:vAlign w:val="center"/>
          </w:tcPr>
          <w:p>
            <w:pPr>
              <w:jc w:val="center"/>
              <w:rPr>
                <w:noProof/>
                <w:sz w:val="20"/>
              </w:rPr>
            </w:pPr>
            <w:r>
              <w:rPr>
                <w:noProof/>
                <w:sz w:val="20"/>
              </w:rPr>
              <w:t>Év</w:t>
            </w:r>
            <w:r>
              <w:rPr>
                <w:noProof/>
                <w:sz w:val="22"/>
              </w:rPr>
              <w:br/>
            </w:r>
            <w:r>
              <w:rPr>
                <w:b/>
                <w:noProof/>
                <w:sz w:val="20"/>
              </w:rPr>
              <w:t>N</w:t>
            </w:r>
            <w:r>
              <w:rPr>
                <w:rStyle w:val="FootnoteReference"/>
                <w:b/>
                <w:noProof/>
                <w:sz w:val="20"/>
              </w:rPr>
              <w:footnoteReference w:id="13"/>
            </w:r>
          </w:p>
        </w:tc>
        <w:tc>
          <w:tcPr>
            <w:tcW w:w="868" w:type="dxa"/>
            <w:vAlign w:val="center"/>
          </w:tcPr>
          <w:p>
            <w:pPr>
              <w:jc w:val="center"/>
              <w:rPr>
                <w:noProof/>
                <w:sz w:val="20"/>
              </w:rPr>
            </w:pPr>
            <w:r>
              <w:rPr>
                <w:noProof/>
                <w:sz w:val="20"/>
              </w:rPr>
              <w:t>Év</w:t>
            </w:r>
            <w:r>
              <w:rPr>
                <w:noProof/>
                <w:sz w:val="22"/>
              </w:rPr>
              <w:br/>
            </w:r>
            <w:r>
              <w:rPr>
                <w:b/>
                <w:noProof/>
                <w:sz w:val="20"/>
              </w:rPr>
              <w:t>N+1</w:t>
            </w:r>
          </w:p>
        </w:tc>
        <w:tc>
          <w:tcPr>
            <w:tcW w:w="868" w:type="dxa"/>
            <w:vAlign w:val="center"/>
          </w:tcPr>
          <w:p>
            <w:pPr>
              <w:jc w:val="center"/>
              <w:rPr>
                <w:noProof/>
                <w:sz w:val="20"/>
              </w:rPr>
            </w:pPr>
            <w:r>
              <w:rPr>
                <w:noProof/>
                <w:sz w:val="20"/>
              </w:rPr>
              <w:t>Év</w:t>
            </w:r>
            <w:r>
              <w:rPr>
                <w:noProof/>
                <w:sz w:val="22"/>
              </w:rPr>
              <w:br/>
            </w:r>
            <w:r>
              <w:rPr>
                <w:b/>
                <w:noProof/>
                <w:sz w:val="20"/>
              </w:rPr>
              <w:t>N+2</w:t>
            </w:r>
          </w:p>
        </w:tc>
        <w:tc>
          <w:tcPr>
            <w:tcW w:w="868" w:type="dxa"/>
            <w:vAlign w:val="center"/>
          </w:tcPr>
          <w:p>
            <w:pPr>
              <w:jc w:val="center"/>
              <w:rPr>
                <w:noProof/>
                <w:sz w:val="20"/>
              </w:rPr>
            </w:pPr>
            <w:r>
              <w:rPr>
                <w:noProof/>
                <w:sz w:val="20"/>
              </w:rPr>
              <w:t>Év</w:t>
            </w:r>
            <w:r>
              <w:rPr>
                <w:noProof/>
                <w:sz w:val="22"/>
              </w:rPr>
              <w:br/>
            </w:r>
            <w:r>
              <w:rPr>
                <w:b/>
                <w:noProof/>
                <w:sz w:val="20"/>
              </w:rPr>
              <w:t>N+3</w:t>
            </w:r>
          </w:p>
        </w:tc>
        <w:tc>
          <w:tcPr>
            <w:tcW w:w="2604" w:type="dxa"/>
            <w:gridSpan w:val="3"/>
            <w:vAlign w:val="center"/>
          </w:tcPr>
          <w:p>
            <w:pPr>
              <w:jc w:val="center"/>
              <w:rPr>
                <w:b/>
                <w:noProof/>
                <w:sz w:val="18"/>
              </w:rPr>
            </w:pPr>
            <w:r>
              <w:rPr>
                <w:noProof/>
                <w:sz w:val="18"/>
              </w:rPr>
              <w:t>A táblázat a hatás időtartamának megfelelően (vö. 1.6. pont) további évekkel bővíthető.</w:t>
            </w:r>
          </w:p>
        </w:tc>
        <w:tc>
          <w:tcPr>
            <w:tcW w:w="1777" w:type="dxa"/>
            <w:vAlign w:val="center"/>
          </w:tcPr>
          <w:p>
            <w:pPr>
              <w:jc w:val="center"/>
              <w:rPr>
                <w:b/>
                <w:noProof/>
                <w:sz w:val="20"/>
              </w:rPr>
            </w:pPr>
            <w:r>
              <w:rPr>
                <w:b/>
                <w:noProof/>
                <w:sz w:val="20"/>
              </w:rPr>
              <w:t>ÖSSZESEN</w:t>
            </w:r>
          </w:p>
        </w:tc>
      </w:tr>
      <w:tr>
        <w:tc>
          <w:tcPr>
            <w:tcW w:w="3960" w:type="dxa"/>
            <w:vMerge w:val="restart"/>
            <w:shd w:val="clear" w:color="auto" w:fill="C0C0C0"/>
            <w:vAlign w:val="center"/>
          </w:tcPr>
          <w:p>
            <w:pPr>
              <w:jc w:val="center"/>
              <w:rPr>
                <w:b/>
                <w:noProof/>
              </w:rPr>
            </w:pPr>
            <w:r>
              <w:rPr>
                <w:b/>
                <w:noProof/>
                <w:sz w:val="22"/>
              </w:rPr>
              <w:t>ÖSSZESEN</w:t>
            </w:r>
            <w:r>
              <w:rPr>
                <w:noProof/>
                <w:sz w:val="22"/>
              </w:rPr>
              <w:t xml:space="preserve"> a többéves pénzügyi keret</w:t>
            </w:r>
            <w:r>
              <w:rPr>
                <w:noProof/>
                <w:sz w:val="22"/>
              </w:rPr>
              <w:br/>
            </w:r>
            <w:r>
              <w:rPr>
                <w:b/>
                <w:noProof/>
                <w:sz w:val="22"/>
              </w:rPr>
              <w:t>1–5. FEJEZETÉHEZ</w:t>
            </w:r>
            <w:r>
              <w:rPr>
                <w:noProof/>
                <w:sz w:val="22"/>
              </w:rPr>
              <w:br/>
              <w:t>tartozó előirányzatok</w:t>
            </w:r>
            <w:r>
              <w:rPr>
                <w:b/>
                <w:noProof/>
                <w:sz w:val="22"/>
              </w:rPr>
              <w:t xml:space="preserve"> </w:t>
            </w:r>
          </w:p>
        </w:tc>
        <w:tc>
          <w:tcPr>
            <w:tcW w:w="2094" w:type="dxa"/>
            <w:gridSpan w:val="2"/>
            <w:vAlign w:val="center"/>
          </w:tcPr>
          <w:p>
            <w:pPr>
              <w:rPr>
                <w:noProof/>
                <w:sz w:val="14"/>
              </w:rPr>
            </w:pPr>
            <w:r>
              <w:rPr>
                <w:noProof/>
                <w:sz w:val="18"/>
              </w:rPr>
              <w:t>Kötelezettségvállalási előirányzatok</w:t>
            </w:r>
          </w:p>
        </w:tc>
        <w:tc>
          <w:tcPr>
            <w:tcW w:w="868" w:type="dxa"/>
            <w:vAlign w:val="center"/>
          </w:tcPr>
          <w:p>
            <w:pPr>
              <w:spacing w:before="60" w:after="60"/>
              <w:jc w:val="right"/>
              <w:rPr>
                <w:noProof/>
                <w:sz w:val="20"/>
              </w:rPr>
            </w:pPr>
          </w:p>
        </w:tc>
        <w:tc>
          <w:tcPr>
            <w:tcW w:w="868" w:type="dxa"/>
            <w:vAlign w:val="center"/>
          </w:tcPr>
          <w:p>
            <w:pPr>
              <w:spacing w:before="60" w:after="60"/>
              <w:jc w:val="right"/>
              <w:rPr>
                <w:noProof/>
                <w:sz w:val="20"/>
              </w:rPr>
            </w:pPr>
          </w:p>
        </w:tc>
        <w:tc>
          <w:tcPr>
            <w:tcW w:w="868" w:type="dxa"/>
            <w:vAlign w:val="center"/>
          </w:tcPr>
          <w:p>
            <w:pPr>
              <w:spacing w:before="60" w:after="60"/>
              <w:jc w:val="right"/>
              <w:rPr>
                <w:noProof/>
                <w:sz w:val="20"/>
              </w:rPr>
            </w:pPr>
          </w:p>
        </w:tc>
        <w:tc>
          <w:tcPr>
            <w:tcW w:w="868" w:type="dxa"/>
            <w:vAlign w:val="center"/>
          </w:tcPr>
          <w:p>
            <w:pPr>
              <w:spacing w:before="60" w:after="60"/>
              <w:jc w:val="right"/>
              <w:rPr>
                <w:noProof/>
                <w:sz w:val="20"/>
              </w:rPr>
            </w:pPr>
          </w:p>
        </w:tc>
        <w:tc>
          <w:tcPr>
            <w:tcW w:w="868" w:type="dxa"/>
            <w:vAlign w:val="center"/>
          </w:tcPr>
          <w:p>
            <w:pPr>
              <w:spacing w:before="60" w:after="60"/>
              <w:jc w:val="right"/>
              <w:rPr>
                <w:noProof/>
                <w:sz w:val="20"/>
              </w:rPr>
            </w:pPr>
          </w:p>
        </w:tc>
        <w:tc>
          <w:tcPr>
            <w:tcW w:w="868" w:type="dxa"/>
            <w:vAlign w:val="center"/>
          </w:tcPr>
          <w:p>
            <w:pPr>
              <w:spacing w:before="60" w:after="60"/>
              <w:jc w:val="right"/>
              <w:rPr>
                <w:noProof/>
                <w:sz w:val="20"/>
              </w:rPr>
            </w:pPr>
          </w:p>
        </w:tc>
        <w:tc>
          <w:tcPr>
            <w:tcW w:w="868" w:type="dxa"/>
            <w:vAlign w:val="center"/>
          </w:tcPr>
          <w:p>
            <w:pPr>
              <w:spacing w:before="60" w:after="60"/>
              <w:jc w:val="right"/>
              <w:rPr>
                <w:b/>
                <w:noProof/>
                <w:sz w:val="20"/>
              </w:rPr>
            </w:pPr>
          </w:p>
        </w:tc>
        <w:tc>
          <w:tcPr>
            <w:tcW w:w="1777" w:type="dxa"/>
            <w:vAlign w:val="center"/>
          </w:tcPr>
          <w:p>
            <w:pPr>
              <w:spacing w:before="60" w:after="60"/>
              <w:jc w:val="right"/>
              <w:rPr>
                <w:b/>
                <w:noProof/>
                <w:sz w:val="20"/>
              </w:rPr>
            </w:pPr>
          </w:p>
        </w:tc>
      </w:tr>
      <w:tr>
        <w:tc>
          <w:tcPr>
            <w:tcW w:w="3960" w:type="dxa"/>
            <w:vMerge/>
            <w:shd w:val="clear" w:color="auto" w:fill="C0C0C0"/>
          </w:tcPr>
          <w:p>
            <w:pPr>
              <w:rPr>
                <w:noProof/>
                <w:sz w:val="20"/>
              </w:rPr>
            </w:pPr>
          </w:p>
        </w:tc>
        <w:tc>
          <w:tcPr>
            <w:tcW w:w="2094" w:type="dxa"/>
            <w:gridSpan w:val="2"/>
            <w:vAlign w:val="center"/>
          </w:tcPr>
          <w:p>
            <w:pPr>
              <w:rPr>
                <w:noProof/>
                <w:sz w:val="14"/>
              </w:rPr>
            </w:pPr>
            <w:r>
              <w:rPr>
                <w:noProof/>
                <w:sz w:val="18"/>
              </w:rPr>
              <w:t>Kifizetési előirányzatok</w:t>
            </w:r>
          </w:p>
        </w:tc>
        <w:tc>
          <w:tcPr>
            <w:tcW w:w="868" w:type="dxa"/>
            <w:vAlign w:val="center"/>
          </w:tcPr>
          <w:p>
            <w:pPr>
              <w:spacing w:before="60" w:after="60"/>
              <w:jc w:val="right"/>
              <w:rPr>
                <w:noProof/>
                <w:sz w:val="20"/>
              </w:rPr>
            </w:pPr>
          </w:p>
        </w:tc>
        <w:tc>
          <w:tcPr>
            <w:tcW w:w="868" w:type="dxa"/>
            <w:vAlign w:val="center"/>
          </w:tcPr>
          <w:p>
            <w:pPr>
              <w:spacing w:before="60" w:after="60"/>
              <w:jc w:val="right"/>
              <w:rPr>
                <w:noProof/>
                <w:sz w:val="20"/>
              </w:rPr>
            </w:pPr>
          </w:p>
        </w:tc>
        <w:tc>
          <w:tcPr>
            <w:tcW w:w="868" w:type="dxa"/>
            <w:vAlign w:val="center"/>
          </w:tcPr>
          <w:p>
            <w:pPr>
              <w:spacing w:before="60" w:after="60"/>
              <w:jc w:val="right"/>
              <w:rPr>
                <w:noProof/>
                <w:sz w:val="20"/>
              </w:rPr>
            </w:pPr>
          </w:p>
        </w:tc>
        <w:tc>
          <w:tcPr>
            <w:tcW w:w="868" w:type="dxa"/>
            <w:vAlign w:val="center"/>
          </w:tcPr>
          <w:p>
            <w:pPr>
              <w:spacing w:before="60" w:after="60"/>
              <w:jc w:val="right"/>
              <w:rPr>
                <w:noProof/>
                <w:sz w:val="20"/>
              </w:rPr>
            </w:pPr>
          </w:p>
        </w:tc>
        <w:tc>
          <w:tcPr>
            <w:tcW w:w="868" w:type="dxa"/>
            <w:vAlign w:val="center"/>
          </w:tcPr>
          <w:p>
            <w:pPr>
              <w:spacing w:before="60" w:after="60"/>
              <w:jc w:val="right"/>
              <w:rPr>
                <w:noProof/>
                <w:sz w:val="20"/>
              </w:rPr>
            </w:pPr>
          </w:p>
        </w:tc>
        <w:tc>
          <w:tcPr>
            <w:tcW w:w="868" w:type="dxa"/>
            <w:vAlign w:val="center"/>
          </w:tcPr>
          <w:p>
            <w:pPr>
              <w:spacing w:before="60" w:after="60"/>
              <w:jc w:val="right"/>
              <w:rPr>
                <w:noProof/>
                <w:sz w:val="20"/>
              </w:rPr>
            </w:pPr>
          </w:p>
        </w:tc>
        <w:tc>
          <w:tcPr>
            <w:tcW w:w="868" w:type="dxa"/>
            <w:vAlign w:val="center"/>
          </w:tcPr>
          <w:p>
            <w:pPr>
              <w:spacing w:before="60" w:after="60"/>
              <w:jc w:val="right"/>
              <w:rPr>
                <w:b/>
                <w:noProof/>
                <w:sz w:val="20"/>
              </w:rPr>
            </w:pPr>
          </w:p>
        </w:tc>
        <w:tc>
          <w:tcPr>
            <w:tcW w:w="1777" w:type="dxa"/>
            <w:vAlign w:val="center"/>
          </w:tcPr>
          <w:p>
            <w:pPr>
              <w:spacing w:before="60" w:after="60"/>
              <w:jc w:val="right"/>
              <w:rPr>
                <w:b/>
                <w:noProof/>
                <w:sz w:val="20"/>
              </w:rPr>
            </w:pPr>
          </w:p>
        </w:tc>
      </w:tr>
    </w:tbl>
    <w:p>
      <w:pPr>
        <w:rPr>
          <w:noProof/>
        </w:rPr>
      </w:pPr>
    </w:p>
    <w:p>
      <w:pPr>
        <w:pStyle w:val="ManualHeading3"/>
        <w:rPr>
          <w:bCs/>
          <w:noProof/>
          <w:szCs w:val="24"/>
        </w:rPr>
      </w:pPr>
      <w:bookmarkStart w:id="45" w:name="_Toc514938054"/>
      <w:bookmarkStart w:id="46" w:name="_Toc520485053"/>
      <w:r>
        <w:t>3.2.2.</w:t>
      </w:r>
      <w:r>
        <w:tab/>
      </w:r>
      <w:r>
        <w:rPr>
          <w:noProof/>
        </w:rPr>
        <w:t>Operatív előirányzatokból finanszírozott becsült kimenet</w:t>
      </w:r>
      <w:bookmarkEnd w:id="45"/>
      <w:bookmarkEnd w:id="46"/>
      <w:r>
        <w:rPr>
          <w:noProof/>
        </w:rPr>
        <w:t xml:space="preserve"> </w:t>
      </w:r>
    </w:p>
    <w:p>
      <w:pPr>
        <w:jc w:val="right"/>
        <w:rPr>
          <w:noProof/>
          <w:sz w:val="20"/>
        </w:rPr>
      </w:pPr>
      <w:r>
        <w:rPr>
          <w:noProof/>
          <w:sz w:val="20"/>
        </w:rPr>
        <w:t>Kötelezettségvállalási előirányzatok, millió EUR (három tizedesjegyig)</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669"/>
        <w:gridCol w:w="540"/>
        <w:gridCol w:w="648"/>
        <w:gridCol w:w="432"/>
        <w:gridCol w:w="720"/>
        <w:gridCol w:w="540"/>
        <w:gridCol w:w="720"/>
        <w:gridCol w:w="720"/>
        <w:gridCol w:w="900"/>
      </w:tblGrid>
      <w:tr>
        <w:trPr>
          <w:jc w:val="center"/>
        </w:trPr>
        <w:tc>
          <w:tcPr>
            <w:tcW w:w="1423" w:type="dxa"/>
            <w:vMerge w:val="restart"/>
            <w:vAlign w:val="center"/>
          </w:tcPr>
          <w:p>
            <w:pPr>
              <w:ind w:right="-29"/>
              <w:jc w:val="center"/>
              <w:rPr>
                <w:b/>
                <w:noProof/>
                <w:sz w:val="18"/>
                <w:szCs w:val="18"/>
              </w:rPr>
            </w:pPr>
            <w:r>
              <w:rPr>
                <w:b/>
                <w:noProof/>
                <w:sz w:val="18"/>
              </w:rPr>
              <w:t xml:space="preserve">Tüntesse fel a célkitűzéseket és a kimeneteket </w:t>
            </w:r>
          </w:p>
          <w:p>
            <w:pPr>
              <w:ind w:right="-29"/>
              <w:jc w:val="center"/>
              <w:rPr>
                <w:b/>
                <w:noProof/>
                <w:sz w:val="18"/>
                <w:szCs w:val="18"/>
              </w:rPr>
            </w:pPr>
          </w:p>
          <w:p>
            <w:pPr>
              <w:ind w:right="-29"/>
              <w:jc w:val="center"/>
              <w:rPr>
                <w:noProof/>
                <w:sz w:val="18"/>
                <w:szCs w:val="18"/>
              </w:rPr>
            </w:pPr>
            <w:r>
              <w:rPr>
                <w:noProof/>
                <w:sz w:val="18"/>
              </w:rPr>
              <w:sym w:font="Wingdings" w:char="F0F2"/>
            </w:r>
          </w:p>
        </w:tc>
        <w:tc>
          <w:tcPr>
            <w:tcW w:w="720" w:type="dxa"/>
            <w:vAlign w:val="center"/>
          </w:tcPr>
          <w:p>
            <w:pPr>
              <w:ind w:right="-29"/>
              <w:jc w:val="center"/>
              <w:rPr>
                <w:noProof/>
                <w:sz w:val="18"/>
                <w:szCs w:val="18"/>
              </w:rPr>
            </w:pPr>
          </w:p>
        </w:tc>
        <w:tc>
          <w:tcPr>
            <w:tcW w:w="701" w:type="dxa"/>
            <w:vAlign w:val="center"/>
          </w:tcPr>
          <w:p>
            <w:pPr>
              <w:ind w:right="-29"/>
              <w:jc w:val="center"/>
              <w:rPr>
                <w:noProof/>
                <w:sz w:val="18"/>
                <w:szCs w:val="18"/>
              </w:rPr>
            </w:pPr>
          </w:p>
        </w:tc>
        <w:tc>
          <w:tcPr>
            <w:tcW w:w="1224" w:type="dxa"/>
            <w:gridSpan w:val="2"/>
            <w:tcBorders>
              <w:left w:val="nil"/>
            </w:tcBorders>
            <w:vAlign w:val="center"/>
          </w:tcPr>
          <w:p>
            <w:pPr>
              <w:ind w:right="-29"/>
              <w:jc w:val="center"/>
              <w:rPr>
                <w:noProof/>
                <w:sz w:val="18"/>
                <w:szCs w:val="18"/>
              </w:rPr>
            </w:pPr>
            <w:r>
              <w:rPr>
                <w:noProof/>
                <w:sz w:val="18"/>
              </w:rPr>
              <w:t>Év</w:t>
            </w:r>
            <w:r>
              <w:rPr>
                <w:noProof/>
                <w:sz w:val="22"/>
              </w:rPr>
              <w:br/>
            </w:r>
            <w:r>
              <w:rPr>
                <w:b/>
                <w:noProof/>
                <w:sz w:val="18"/>
              </w:rPr>
              <w:t>N</w:t>
            </w:r>
          </w:p>
        </w:tc>
        <w:tc>
          <w:tcPr>
            <w:tcW w:w="1260" w:type="dxa"/>
            <w:gridSpan w:val="2"/>
            <w:vAlign w:val="center"/>
          </w:tcPr>
          <w:p>
            <w:pPr>
              <w:ind w:right="-29"/>
              <w:jc w:val="center"/>
              <w:rPr>
                <w:noProof/>
                <w:sz w:val="18"/>
                <w:szCs w:val="18"/>
              </w:rPr>
            </w:pPr>
            <w:r>
              <w:rPr>
                <w:noProof/>
                <w:sz w:val="18"/>
              </w:rPr>
              <w:t>Év</w:t>
            </w:r>
            <w:r>
              <w:rPr>
                <w:noProof/>
                <w:sz w:val="22"/>
              </w:rPr>
              <w:br/>
            </w:r>
            <w:r>
              <w:rPr>
                <w:b/>
                <w:noProof/>
                <w:sz w:val="18"/>
              </w:rPr>
              <w:t>N+1</w:t>
            </w:r>
          </w:p>
        </w:tc>
        <w:tc>
          <w:tcPr>
            <w:tcW w:w="1440" w:type="dxa"/>
            <w:gridSpan w:val="2"/>
            <w:vAlign w:val="center"/>
          </w:tcPr>
          <w:p>
            <w:pPr>
              <w:ind w:right="-29"/>
              <w:jc w:val="center"/>
              <w:rPr>
                <w:noProof/>
                <w:sz w:val="18"/>
                <w:szCs w:val="18"/>
              </w:rPr>
            </w:pPr>
            <w:r>
              <w:rPr>
                <w:noProof/>
                <w:sz w:val="18"/>
              </w:rPr>
              <w:t>Év</w:t>
            </w:r>
            <w:r>
              <w:rPr>
                <w:noProof/>
                <w:sz w:val="22"/>
              </w:rPr>
              <w:br/>
            </w:r>
            <w:r>
              <w:rPr>
                <w:b/>
                <w:noProof/>
                <w:sz w:val="18"/>
              </w:rPr>
              <w:t>N+2</w:t>
            </w:r>
          </w:p>
        </w:tc>
        <w:tc>
          <w:tcPr>
            <w:tcW w:w="1620" w:type="dxa"/>
            <w:gridSpan w:val="3"/>
            <w:vAlign w:val="center"/>
          </w:tcPr>
          <w:p>
            <w:pPr>
              <w:ind w:right="-29"/>
              <w:jc w:val="center"/>
              <w:rPr>
                <w:noProof/>
                <w:sz w:val="18"/>
                <w:szCs w:val="18"/>
              </w:rPr>
            </w:pPr>
            <w:r>
              <w:rPr>
                <w:noProof/>
                <w:sz w:val="18"/>
              </w:rPr>
              <w:t>Év</w:t>
            </w:r>
            <w:r>
              <w:rPr>
                <w:noProof/>
                <w:sz w:val="22"/>
              </w:rPr>
              <w:br/>
            </w:r>
            <w:r>
              <w:rPr>
                <w:b/>
                <w:noProof/>
                <w:sz w:val="18"/>
              </w:rPr>
              <w:t>N+3</w:t>
            </w:r>
          </w:p>
        </w:tc>
        <w:tc>
          <w:tcPr>
            <w:tcW w:w="3600" w:type="dxa"/>
            <w:gridSpan w:val="6"/>
            <w:vAlign w:val="center"/>
          </w:tcPr>
          <w:p>
            <w:pPr>
              <w:jc w:val="center"/>
              <w:rPr>
                <w:noProof/>
                <w:sz w:val="18"/>
                <w:szCs w:val="18"/>
              </w:rPr>
            </w:pPr>
            <w:r>
              <w:rPr>
                <w:noProof/>
                <w:sz w:val="18"/>
              </w:rPr>
              <w:t>A táblázat a hatás időtartamának megfelelően (vö. 1.6. pont) további évekkel bővíthető.</w:t>
            </w:r>
          </w:p>
        </w:tc>
        <w:tc>
          <w:tcPr>
            <w:tcW w:w="1620" w:type="dxa"/>
            <w:gridSpan w:val="2"/>
            <w:tcBorders>
              <w:left w:val="nil"/>
              <w:bottom w:val="nil"/>
            </w:tcBorders>
            <w:vAlign w:val="center"/>
          </w:tcPr>
          <w:p>
            <w:pPr>
              <w:ind w:right="-29"/>
              <w:jc w:val="center"/>
              <w:rPr>
                <w:noProof/>
                <w:sz w:val="18"/>
                <w:szCs w:val="18"/>
              </w:rPr>
            </w:pPr>
            <w:r>
              <w:rPr>
                <w:b/>
                <w:noProof/>
                <w:sz w:val="18"/>
              </w:rPr>
              <w:t>ÖSSZESEN</w:t>
            </w:r>
          </w:p>
        </w:tc>
      </w:tr>
      <w:tr>
        <w:trPr>
          <w:jc w:val="center"/>
        </w:trPr>
        <w:tc>
          <w:tcPr>
            <w:tcW w:w="1423" w:type="dxa"/>
            <w:vMerge/>
            <w:vAlign w:val="center"/>
          </w:tcPr>
          <w:p>
            <w:pPr>
              <w:ind w:right="-29"/>
              <w:jc w:val="center"/>
              <w:rPr>
                <w:noProof/>
                <w:sz w:val="18"/>
                <w:szCs w:val="18"/>
              </w:rPr>
            </w:pPr>
          </w:p>
        </w:tc>
        <w:tc>
          <w:tcPr>
            <w:tcW w:w="12185" w:type="dxa"/>
            <w:gridSpan w:val="19"/>
            <w:vAlign w:val="center"/>
          </w:tcPr>
          <w:p>
            <w:pPr>
              <w:spacing w:before="60" w:after="60"/>
              <w:ind w:right="-29"/>
              <w:jc w:val="center"/>
              <w:rPr>
                <w:noProof/>
                <w:sz w:val="18"/>
                <w:szCs w:val="18"/>
              </w:rPr>
            </w:pPr>
            <w:r>
              <w:rPr>
                <w:b/>
                <w:noProof/>
                <w:sz w:val="18"/>
              </w:rPr>
              <w:t>KIMENETEK</w:t>
            </w:r>
          </w:p>
        </w:tc>
      </w:tr>
      <w:tr>
        <w:trPr>
          <w:cantSplit/>
          <w:trHeight w:val="1134"/>
          <w:jc w:val="center"/>
        </w:trPr>
        <w:tc>
          <w:tcPr>
            <w:tcW w:w="1423" w:type="dxa"/>
            <w:vMerge/>
            <w:vAlign w:val="center"/>
          </w:tcPr>
          <w:p>
            <w:pPr>
              <w:rPr>
                <w:noProof/>
                <w:sz w:val="18"/>
                <w:szCs w:val="18"/>
              </w:rPr>
            </w:pPr>
          </w:p>
        </w:tc>
        <w:tc>
          <w:tcPr>
            <w:tcW w:w="720" w:type="dxa"/>
            <w:vAlign w:val="center"/>
          </w:tcPr>
          <w:p>
            <w:pPr>
              <w:jc w:val="center"/>
              <w:rPr>
                <w:noProof/>
                <w:sz w:val="18"/>
                <w:szCs w:val="18"/>
              </w:rPr>
            </w:pPr>
            <w:r>
              <w:rPr>
                <w:noProof/>
                <w:sz w:val="18"/>
              </w:rPr>
              <w:t>Típus</w:t>
            </w:r>
            <w:r>
              <w:rPr>
                <w:rStyle w:val="FootnoteReference"/>
                <w:noProof/>
                <w:sz w:val="18"/>
              </w:rPr>
              <w:footnoteReference w:id="14"/>
            </w:r>
          </w:p>
          <w:p>
            <w:pPr>
              <w:spacing w:before="0" w:after="0"/>
              <w:jc w:val="center"/>
              <w:rPr>
                <w:noProof/>
                <w:sz w:val="18"/>
                <w:szCs w:val="18"/>
              </w:rPr>
            </w:pPr>
          </w:p>
        </w:tc>
        <w:tc>
          <w:tcPr>
            <w:tcW w:w="701" w:type="dxa"/>
            <w:vAlign w:val="center"/>
          </w:tcPr>
          <w:p>
            <w:pPr>
              <w:jc w:val="center"/>
              <w:rPr>
                <w:noProof/>
                <w:sz w:val="18"/>
                <w:szCs w:val="18"/>
              </w:rPr>
            </w:pPr>
            <w:r>
              <w:rPr>
                <w:noProof/>
                <w:sz w:val="18"/>
              </w:rPr>
              <w:t>Átlagos költség</w:t>
            </w:r>
          </w:p>
        </w:tc>
        <w:tc>
          <w:tcPr>
            <w:tcW w:w="504" w:type="dxa"/>
            <w:tcBorders>
              <w:left w:val="nil"/>
              <w:right w:val="dashSmallGap" w:sz="4" w:space="0" w:color="auto"/>
            </w:tcBorders>
            <w:shd w:val="pct10" w:color="auto" w:fill="auto"/>
            <w:textDirection w:val="btLr"/>
            <w:vAlign w:val="center"/>
          </w:tcPr>
          <w:p>
            <w:pPr>
              <w:ind w:left="113" w:right="113"/>
              <w:jc w:val="center"/>
              <w:rPr>
                <w:noProof/>
                <w:sz w:val="18"/>
                <w:szCs w:val="18"/>
              </w:rPr>
            </w:pPr>
            <w:r>
              <w:rPr>
                <w:noProof/>
                <w:sz w:val="18"/>
              </w:rPr>
              <w:t>Szám</w:t>
            </w:r>
          </w:p>
        </w:tc>
        <w:tc>
          <w:tcPr>
            <w:tcW w:w="720" w:type="dxa"/>
            <w:tcBorders>
              <w:left w:val="dashSmallGap" w:sz="4" w:space="0" w:color="auto"/>
            </w:tcBorders>
            <w:shd w:val="pct10" w:color="auto" w:fill="auto"/>
            <w:vAlign w:val="center"/>
          </w:tcPr>
          <w:p>
            <w:pPr>
              <w:jc w:val="center"/>
              <w:rPr>
                <w:noProof/>
                <w:sz w:val="18"/>
                <w:szCs w:val="18"/>
              </w:rPr>
            </w:pPr>
            <w:r>
              <w:rPr>
                <w:noProof/>
                <w:sz w:val="18"/>
              </w:rPr>
              <w:t>Költség</w:t>
            </w:r>
          </w:p>
        </w:tc>
        <w:tc>
          <w:tcPr>
            <w:tcW w:w="54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Szám</w:t>
            </w:r>
          </w:p>
        </w:tc>
        <w:tc>
          <w:tcPr>
            <w:tcW w:w="720" w:type="dxa"/>
            <w:tcBorders>
              <w:left w:val="dashSmallGap" w:sz="4" w:space="0" w:color="auto"/>
            </w:tcBorders>
            <w:shd w:val="pct10" w:color="auto" w:fill="auto"/>
            <w:vAlign w:val="center"/>
          </w:tcPr>
          <w:p>
            <w:pPr>
              <w:jc w:val="center"/>
              <w:rPr>
                <w:noProof/>
                <w:sz w:val="18"/>
                <w:szCs w:val="18"/>
              </w:rPr>
            </w:pPr>
            <w:r>
              <w:rPr>
                <w:noProof/>
                <w:sz w:val="18"/>
              </w:rPr>
              <w:t>Költség</w:t>
            </w:r>
          </w:p>
        </w:tc>
        <w:tc>
          <w:tcPr>
            <w:tcW w:w="72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Szám</w:t>
            </w:r>
          </w:p>
        </w:tc>
        <w:tc>
          <w:tcPr>
            <w:tcW w:w="720" w:type="dxa"/>
            <w:tcBorders>
              <w:left w:val="dashSmallGap" w:sz="4" w:space="0" w:color="auto"/>
            </w:tcBorders>
            <w:shd w:val="pct10" w:color="auto" w:fill="auto"/>
            <w:vAlign w:val="center"/>
          </w:tcPr>
          <w:p>
            <w:pPr>
              <w:jc w:val="center"/>
              <w:rPr>
                <w:noProof/>
                <w:sz w:val="18"/>
                <w:szCs w:val="18"/>
              </w:rPr>
            </w:pPr>
            <w:r>
              <w:rPr>
                <w:noProof/>
                <w:sz w:val="18"/>
              </w:rPr>
              <w:t>Költség</w:t>
            </w:r>
          </w:p>
        </w:tc>
        <w:tc>
          <w:tcPr>
            <w:tcW w:w="90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Szám</w:t>
            </w:r>
          </w:p>
        </w:tc>
        <w:tc>
          <w:tcPr>
            <w:tcW w:w="720" w:type="dxa"/>
            <w:gridSpan w:val="2"/>
            <w:tcBorders>
              <w:left w:val="dashSmallGap" w:sz="4" w:space="0" w:color="auto"/>
            </w:tcBorders>
            <w:shd w:val="pct10" w:color="auto" w:fill="auto"/>
            <w:vAlign w:val="center"/>
          </w:tcPr>
          <w:p>
            <w:pPr>
              <w:jc w:val="center"/>
              <w:rPr>
                <w:noProof/>
                <w:sz w:val="18"/>
                <w:szCs w:val="18"/>
              </w:rPr>
            </w:pPr>
            <w:r>
              <w:rPr>
                <w:noProof/>
                <w:sz w:val="18"/>
              </w:rPr>
              <w:t>Költség</w:t>
            </w:r>
          </w:p>
        </w:tc>
        <w:tc>
          <w:tcPr>
            <w:tcW w:w="54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Szám</w:t>
            </w:r>
          </w:p>
        </w:tc>
        <w:tc>
          <w:tcPr>
            <w:tcW w:w="648" w:type="dxa"/>
            <w:tcBorders>
              <w:left w:val="dashSmallGap" w:sz="4" w:space="0" w:color="auto"/>
            </w:tcBorders>
            <w:shd w:val="pct10" w:color="auto" w:fill="auto"/>
            <w:vAlign w:val="center"/>
          </w:tcPr>
          <w:p>
            <w:pPr>
              <w:jc w:val="center"/>
              <w:rPr>
                <w:noProof/>
                <w:sz w:val="18"/>
                <w:szCs w:val="18"/>
              </w:rPr>
            </w:pPr>
            <w:r>
              <w:rPr>
                <w:noProof/>
                <w:sz w:val="18"/>
              </w:rPr>
              <w:t>Költség</w:t>
            </w:r>
          </w:p>
        </w:tc>
        <w:tc>
          <w:tcPr>
            <w:tcW w:w="432"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Szám</w:t>
            </w:r>
          </w:p>
        </w:tc>
        <w:tc>
          <w:tcPr>
            <w:tcW w:w="720" w:type="dxa"/>
            <w:tcBorders>
              <w:left w:val="dashSmallGap" w:sz="4" w:space="0" w:color="auto"/>
            </w:tcBorders>
            <w:shd w:val="pct10" w:color="auto" w:fill="auto"/>
            <w:vAlign w:val="center"/>
          </w:tcPr>
          <w:p>
            <w:pPr>
              <w:jc w:val="center"/>
              <w:rPr>
                <w:noProof/>
                <w:sz w:val="18"/>
                <w:szCs w:val="18"/>
              </w:rPr>
            </w:pPr>
            <w:r>
              <w:rPr>
                <w:noProof/>
                <w:sz w:val="18"/>
              </w:rPr>
              <w:t>Költség</w:t>
            </w:r>
          </w:p>
        </w:tc>
        <w:tc>
          <w:tcPr>
            <w:tcW w:w="54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Szám</w:t>
            </w:r>
          </w:p>
        </w:tc>
        <w:tc>
          <w:tcPr>
            <w:tcW w:w="720" w:type="dxa"/>
            <w:tcBorders>
              <w:left w:val="dashSmallGap" w:sz="4" w:space="0" w:color="auto"/>
            </w:tcBorders>
            <w:shd w:val="pct10" w:color="auto" w:fill="auto"/>
            <w:vAlign w:val="center"/>
          </w:tcPr>
          <w:p>
            <w:pPr>
              <w:jc w:val="center"/>
              <w:rPr>
                <w:noProof/>
                <w:sz w:val="18"/>
                <w:szCs w:val="18"/>
              </w:rPr>
            </w:pPr>
            <w:r>
              <w:rPr>
                <w:noProof/>
                <w:sz w:val="18"/>
              </w:rPr>
              <w:t>Költség</w:t>
            </w:r>
          </w:p>
        </w:tc>
        <w:tc>
          <w:tcPr>
            <w:tcW w:w="720" w:type="dxa"/>
            <w:tcBorders>
              <w:right w:val="dashSmallGap" w:sz="4" w:space="0" w:color="auto"/>
            </w:tcBorders>
            <w:shd w:val="pct10" w:color="auto" w:fill="auto"/>
            <w:vAlign w:val="center"/>
          </w:tcPr>
          <w:p>
            <w:pPr>
              <w:jc w:val="center"/>
              <w:rPr>
                <w:noProof/>
                <w:sz w:val="18"/>
                <w:szCs w:val="18"/>
              </w:rPr>
            </w:pPr>
            <w:r>
              <w:rPr>
                <w:noProof/>
                <w:sz w:val="18"/>
              </w:rPr>
              <w:t>Összesített szám</w:t>
            </w:r>
          </w:p>
        </w:tc>
        <w:tc>
          <w:tcPr>
            <w:tcW w:w="900" w:type="dxa"/>
            <w:tcBorders>
              <w:left w:val="dashSmallGap" w:sz="4" w:space="0" w:color="auto"/>
            </w:tcBorders>
            <w:shd w:val="pct10" w:color="auto" w:fill="auto"/>
            <w:vAlign w:val="center"/>
          </w:tcPr>
          <w:p>
            <w:pPr>
              <w:jc w:val="center"/>
              <w:rPr>
                <w:noProof/>
                <w:sz w:val="18"/>
                <w:szCs w:val="18"/>
              </w:rPr>
            </w:pPr>
            <w:r>
              <w:rPr>
                <w:noProof/>
                <w:sz w:val="18"/>
              </w:rPr>
              <w:t>Összköltség</w:t>
            </w:r>
          </w:p>
        </w:tc>
      </w:tr>
      <w:tr>
        <w:trPr>
          <w:jc w:val="center"/>
        </w:trPr>
        <w:tc>
          <w:tcPr>
            <w:tcW w:w="2844" w:type="dxa"/>
            <w:gridSpan w:val="3"/>
            <w:vAlign w:val="center"/>
          </w:tcPr>
          <w:p>
            <w:pPr>
              <w:spacing w:before="60" w:after="60"/>
              <w:ind w:right="-29"/>
              <w:jc w:val="center"/>
              <w:rPr>
                <w:noProof/>
                <w:sz w:val="18"/>
                <w:szCs w:val="18"/>
              </w:rPr>
            </w:pPr>
            <w:r>
              <w:rPr>
                <w:noProof/>
                <w:sz w:val="18"/>
              </w:rPr>
              <w:t>1. KONKRÉT CÉLKITŰZÉS</w:t>
            </w:r>
            <w:r>
              <w:rPr>
                <w:rStyle w:val="FootnoteReference"/>
                <w:noProof/>
                <w:sz w:val="18"/>
              </w:rPr>
              <w:footnoteReference w:id="15"/>
            </w:r>
            <w:r>
              <w:rPr>
                <w:noProof/>
                <w:sz w:val="18"/>
              </w:rPr>
              <w:t xml:space="preserve"> …</w:t>
            </w:r>
          </w:p>
        </w:tc>
        <w:tc>
          <w:tcPr>
            <w:tcW w:w="504"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c>
          <w:tcPr>
            <w:tcW w:w="720" w:type="dxa"/>
            <w:gridSpan w:val="2"/>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648" w:type="dxa"/>
            <w:tcBorders>
              <w:top w:val="nil"/>
              <w:left w:val="nil"/>
              <w:bottom w:val="nil"/>
              <w:right w:val="nil"/>
            </w:tcBorders>
          </w:tcPr>
          <w:p>
            <w:pPr>
              <w:spacing w:before="60" w:after="60"/>
              <w:ind w:right="-29"/>
              <w:jc w:val="center"/>
              <w:rPr>
                <w:noProof/>
                <w:sz w:val="18"/>
                <w:szCs w:val="18"/>
              </w:rPr>
            </w:pPr>
          </w:p>
        </w:tc>
        <w:tc>
          <w:tcPr>
            <w:tcW w:w="432"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Kimenet</w:t>
            </w:r>
          </w:p>
        </w:tc>
        <w:tc>
          <w:tcPr>
            <w:tcW w:w="720" w:type="dxa"/>
          </w:tcPr>
          <w:p>
            <w:pPr>
              <w:ind w:right="-29"/>
              <w:jc w:val="center"/>
              <w:rPr>
                <w:noProof/>
                <w:sz w:val="18"/>
                <w:szCs w:val="18"/>
              </w:rPr>
            </w:pPr>
          </w:p>
        </w:tc>
        <w:tc>
          <w:tcPr>
            <w:tcW w:w="701" w:type="dxa"/>
          </w:tcPr>
          <w:p>
            <w:pPr>
              <w:ind w:right="-29"/>
              <w:jc w:val="center"/>
              <w:rPr>
                <w:noProof/>
                <w:sz w:val="18"/>
                <w:szCs w:val="18"/>
              </w:rPr>
            </w:pPr>
          </w:p>
        </w:tc>
        <w:tc>
          <w:tcPr>
            <w:tcW w:w="504"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900" w:type="dxa"/>
            <w:tcBorders>
              <w:right w:val="dashSmallGap" w:sz="4" w:space="0" w:color="auto"/>
            </w:tcBorders>
          </w:tcPr>
          <w:p>
            <w:pPr>
              <w:ind w:right="-29"/>
              <w:jc w:val="center"/>
              <w:rPr>
                <w:noProof/>
                <w:sz w:val="18"/>
                <w:szCs w:val="18"/>
              </w:rPr>
            </w:pPr>
          </w:p>
        </w:tc>
        <w:tc>
          <w:tcPr>
            <w:tcW w:w="720" w:type="dxa"/>
            <w:gridSpan w:val="2"/>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648" w:type="dxa"/>
            <w:tcBorders>
              <w:left w:val="dashSmallGap" w:sz="4" w:space="0" w:color="auto"/>
            </w:tcBorders>
          </w:tcPr>
          <w:p>
            <w:pPr>
              <w:ind w:right="-29"/>
              <w:jc w:val="center"/>
              <w:rPr>
                <w:noProof/>
                <w:sz w:val="18"/>
                <w:szCs w:val="18"/>
              </w:rPr>
            </w:pPr>
          </w:p>
        </w:tc>
        <w:tc>
          <w:tcPr>
            <w:tcW w:w="432"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Kimenet</w:t>
            </w:r>
          </w:p>
        </w:tc>
        <w:tc>
          <w:tcPr>
            <w:tcW w:w="720" w:type="dxa"/>
          </w:tcPr>
          <w:p>
            <w:pPr>
              <w:ind w:right="-29"/>
              <w:jc w:val="center"/>
              <w:rPr>
                <w:noProof/>
                <w:sz w:val="18"/>
                <w:szCs w:val="18"/>
              </w:rPr>
            </w:pPr>
          </w:p>
        </w:tc>
        <w:tc>
          <w:tcPr>
            <w:tcW w:w="701" w:type="dxa"/>
          </w:tcPr>
          <w:p>
            <w:pPr>
              <w:ind w:right="-29"/>
              <w:jc w:val="center"/>
              <w:rPr>
                <w:noProof/>
                <w:sz w:val="18"/>
                <w:szCs w:val="18"/>
              </w:rPr>
            </w:pPr>
          </w:p>
        </w:tc>
        <w:tc>
          <w:tcPr>
            <w:tcW w:w="504"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900" w:type="dxa"/>
            <w:tcBorders>
              <w:right w:val="dashSmallGap" w:sz="4" w:space="0" w:color="auto"/>
            </w:tcBorders>
          </w:tcPr>
          <w:p>
            <w:pPr>
              <w:ind w:right="-29"/>
              <w:jc w:val="center"/>
              <w:rPr>
                <w:noProof/>
                <w:sz w:val="18"/>
                <w:szCs w:val="18"/>
              </w:rPr>
            </w:pPr>
          </w:p>
        </w:tc>
        <w:tc>
          <w:tcPr>
            <w:tcW w:w="720" w:type="dxa"/>
            <w:gridSpan w:val="2"/>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648" w:type="dxa"/>
            <w:tcBorders>
              <w:left w:val="dashSmallGap" w:sz="4" w:space="0" w:color="auto"/>
            </w:tcBorders>
          </w:tcPr>
          <w:p>
            <w:pPr>
              <w:ind w:right="-29"/>
              <w:jc w:val="center"/>
              <w:rPr>
                <w:noProof/>
                <w:sz w:val="18"/>
                <w:szCs w:val="18"/>
              </w:rPr>
            </w:pPr>
          </w:p>
        </w:tc>
        <w:tc>
          <w:tcPr>
            <w:tcW w:w="432"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Kimenet</w:t>
            </w:r>
          </w:p>
        </w:tc>
        <w:tc>
          <w:tcPr>
            <w:tcW w:w="720" w:type="dxa"/>
          </w:tcPr>
          <w:p>
            <w:pPr>
              <w:ind w:right="-29"/>
              <w:jc w:val="center"/>
              <w:rPr>
                <w:noProof/>
                <w:sz w:val="18"/>
                <w:szCs w:val="18"/>
              </w:rPr>
            </w:pPr>
          </w:p>
        </w:tc>
        <w:tc>
          <w:tcPr>
            <w:tcW w:w="701" w:type="dxa"/>
          </w:tcPr>
          <w:p>
            <w:pPr>
              <w:ind w:right="-29"/>
              <w:jc w:val="center"/>
              <w:rPr>
                <w:noProof/>
                <w:sz w:val="18"/>
                <w:szCs w:val="18"/>
              </w:rPr>
            </w:pPr>
          </w:p>
        </w:tc>
        <w:tc>
          <w:tcPr>
            <w:tcW w:w="504"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c>
          <w:tcPr>
            <w:tcW w:w="720" w:type="dxa"/>
            <w:gridSpan w:val="2"/>
          </w:tcPr>
          <w:p>
            <w:pPr>
              <w:ind w:right="-29"/>
              <w:jc w:val="center"/>
              <w:rPr>
                <w:noProof/>
                <w:sz w:val="18"/>
                <w:szCs w:val="18"/>
              </w:rPr>
            </w:pPr>
          </w:p>
        </w:tc>
        <w:tc>
          <w:tcPr>
            <w:tcW w:w="540" w:type="dxa"/>
          </w:tcPr>
          <w:p>
            <w:pPr>
              <w:ind w:right="-29"/>
              <w:jc w:val="center"/>
              <w:rPr>
                <w:noProof/>
                <w:sz w:val="18"/>
                <w:szCs w:val="18"/>
              </w:rPr>
            </w:pPr>
          </w:p>
        </w:tc>
        <w:tc>
          <w:tcPr>
            <w:tcW w:w="648" w:type="dxa"/>
          </w:tcPr>
          <w:p>
            <w:pPr>
              <w:ind w:right="-29"/>
              <w:jc w:val="center"/>
              <w:rPr>
                <w:noProof/>
                <w:sz w:val="18"/>
                <w:szCs w:val="18"/>
              </w:rPr>
            </w:pPr>
          </w:p>
        </w:tc>
        <w:tc>
          <w:tcPr>
            <w:tcW w:w="432"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trHeight w:val="77"/>
          <w:jc w:val="center"/>
        </w:trPr>
        <w:tc>
          <w:tcPr>
            <w:tcW w:w="2844" w:type="dxa"/>
            <w:gridSpan w:val="3"/>
            <w:tcBorders>
              <w:bottom w:val="single" w:sz="12" w:space="0" w:color="auto"/>
            </w:tcBorders>
            <w:vAlign w:val="center"/>
          </w:tcPr>
          <w:p>
            <w:pPr>
              <w:ind w:right="-29"/>
              <w:jc w:val="center"/>
              <w:rPr>
                <w:noProof/>
                <w:sz w:val="18"/>
                <w:szCs w:val="18"/>
              </w:rPr>
            </w:pPr>
            <w:r>
              <w:rPr>
                <w:noProof/>
                <w:sz w:val="18"/>
              </w:rPr>
              <w:t>1. konkrét célkitűzés részösszege</w:t>
            </w:r>
          </w:p>
        </w:tc>
        <w:tc>
          <w:tcPr>
            <w:tcW w:w="504"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900" w:type="dxa"/>
            <w:tcBorders>
              <w:bottom w:val="single" w:sz="12" w:space="0" w:color="auto"/>
            </w:tcBorders>
          </w:tcPr>
          <w:p>
            <w:pPr>
              <w:ind w:right="-29"/>
              <w:jc w:val="center"/>
              <w:rPr>
                <w:noProof/>
                <w:sz w:val="18"/>
                <w:szCs w:val="18"/>
              </w:rPr>
            </w:pPr>
          </w:p>
        </w:tc>
        <w:tc>
          <w:tcPr>
            <w:tcW w:w="720" w:type="dxa"/>
            <w:gridSpan w:val="2"/>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648" w:type="dxa"/>
            <w:tcBorders>
              <w:bottom w:val="single" w:sz="12" w:space="0" w:color="auto"/>
            </w:tcBorders>
          </w:tcPr>
          <w:p>
            <w:pPr>
              <w:ind w:right="-29"/>
              <w:jc w:val="center"/>
              <w:rPr>
                <w:noProof/>
                <w:sz w:val="18"/>
                <w:szCs w:val="18"/>
              </w:rPr>
            </w:pPr>
          </w:p>
        </w:tc>
        <w:tc>
          <w:tcPr>
            <w:tcW w:w="432"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900" w:type="dxa"/>
            <w:tcBorders>
              <w:bottom w:val="single" w:sz="12" w:space="0" w:color="auto"/>
            </w:tcBorders>
          </w:tcPr>
          <w:p>
            <w:pPr>
              <w:ind w:right="-29"/>
              <w:jc w:val="center"/>
              <w:rPr>
                <w:noProof/>
                <w:sz w:val="18"/>
                <w:szCs w:val="18"/>
              </w:rPr>
            </w:pPr>
          </w:p>
        </w:tc>
      </w:tr>
      <w:tr>
        <w:trPr>
          <w:jc w:val="center"/>
        </w:trPr>
        <w:tc>
          <w:tcPr>
            <w:tcW w:w="2844" w:type="dxa"/>
            <w:gridSpan w:val="3"/>
            <w:vAlign w:val="center"/>
          </w:tcPr>
          <w:p>
            <w:pPr>
              <w:spacing w:before="60" w:after="60"/>
              <w:ind w:right="-29"/>
              <w:jc w:val="center"/>
              <w:rPr>
                <w:noProof/>
                <w:sz w:val="18"/>
                <w:szCs w:val="18"/>
              </w:rPr>
            </w:pPr>
            <w:r>
              <w:rPr>
                <w:noProof/>
                <w:sz w:val="18"/>
              </w:rPr>
              <w:t>2. KONKRÉT CÉLKITŰZÉS …</w:t>
            </w:r>
          </w:p>
        </w:tc>
        <w:tc>
          <w:tcPr>
            <w:tcW w:w="504"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c>
          <w:tcPr>
            <w:tcW w:w="720" w:type="dxa"/>
            <w:gridSpan w:val="2"/>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648" w:type="dxa"/>
            <w:tcBorders>
              <w:top w:val="nil"/>
              <w:left w:val="nil"/>
              <w:bottom w:val="nil"/>
              <w:right w:val="nil"/>
            </w:tcBorders>
          </w:tcPr>
          <w:p>
            <w:pPr>
              <w:spacing w:before="60" w:after="60"/>
              <w:ind w:right="-29"/>
              <w:jc w:val="center"/>
              <w:rPr>
                <w:noProof/>
                <w:sz w:val="18"/>
                <w:szCs w:val="18"/>
              </w:rPr>
            </w:pPr>
          </w:p>
        </w:tc>
        <w:tc>
          <w:tcPr>
            <w:tcW w:w="432"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Kimenet</w:t>
            </w:r>
          </w:p>
        </w:tc>
        <w:tc>
          <w:tcPr>
            <w:tcW w:w="720" w:type="dxa"/>
          </w:tcPr>
          <w:p>
            <w:pPr>
              <w:ind w:right="-29"/>
              <w:jc w:val="center"/>
              <w:rPr>
                <w:noProof/>
                <w:sz w:val="18"/>
                <w:szCs w:val="18"/>
              </w:rPr>
            </w:pPr>
          </w:p>
        </w:tc>
        <w:tc>
          <w:tcPr>
            <w:tcW w:w="701" w:type="dxa"/>
          </w:tcPr>
          <w:p>
            <w:pPr>
              <w:ind w:right="-29"/>
              <w:jc w:val="center"/>
              <w:rPr>
                <w:noProof/>
                <w:sz w:val="18"/>
                <w:szCs w:val="18"/>
              </w:rPr>
            </w:pPr>
          </w:p>
        </w:tc>
        <w:tc>
          <w:tcPr>
            <w:tcW w:w="504"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c>
          <w:tcPr>
            <w:tcW w:w="720" w:type="dxa"/>
            <w:gridSpan w:val="2"/>
          </w:tcPr>
          <w:p>
            <w:pPr>
              <w:ind w:right="-29"/>
              <w:jc w:val="center"/>
              <w:rPr>
                <w:noProof/>
                <w:sz w:val="18"/>
                <w:szCs w:val="18"/>
              </w:rPr>
            </w:pPr>
          </w:p>
        </w:tc>
        <w:tc>
          <w:tcPr>
            <w:tcW w:w="540" w:type="dxa"/>
          </w:tcPr>
          <w:p>
            <w:pPr>
              <w:ind w:right="-29"/>
              <w:jc w:val="center"/>
              <w:rPr>
                <w:noProof/>
                <w:sz w:val="18"/>
                <w:szCs w:val="18"/>
              </w:rPr>
            </w:pPr>
          </w:p>
        </w:tc>
        <w:tc>
          <w:tcPr>
            <w:tcW w:w="648" w:type="dxa"/>
          </w:tcPr>
          <w:p>
            <w:pPr>
              <w:ind w:right="-29"/>
              <w:jc w:val="center"/>
              <w:rPr>
                <w:noProof/>
                <w:sz w:val="18"/>
                <w:szCs w:val="18"/>
              </w:rPr>
            </w:pPr>
          </w:p>
        </w:tc>
        <w:tc>
          <w:tcPr>
            <w:tcW w:w="432"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jc w:val="center"/>
        </w:trPr>
        <w:tc>
          <w:tcPr>
            <w:tcW w:w="2844" w:type="dxa"/>
            <w:gridSpan w:val="3"/>
            <w:tcBorders>
              <w:bottom w:val="single" w:sz="12" w:space="0" w:color="auto"/>
            </w:tcBorders>
            <w:vAlign w:val="center"/>
          </w:tcPr>
          <w:p>
            <w:pPr>
              <w:jc w:val="center"/>
              <w:rPr>
                <w:noProof/>
                <w:sz w:val="18"/>
                <w:szCs w:val="18"/>
              </w:rPr>
            </w:pPr>
            <w:r>
              <w:rPr>
                <w:noProof/>
                <w:sz w:val="18"/>
              </w:rPr>
              <w:t>2. konkrét célkitűzés részösszege</w:t>
            </w:r>
          </w:p>
        </w:tc>
        <w:tc>
          <w:tcPr>
            <w:tcW w:w="504"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951" w:type="dxa"/>
            <w:gridSpan w:val="2"/>
            <w:tcBorders>
              <w:bottom w:val="single" w:sz="12" w:space="0" w:color="auto"/>
            </w:tcBorders>
          </w:tcPr>
          <w:p>
            <w:pPr>
              <w:ind w:right="-29"/>
              <w:jc w:val="center"/>
              <w:rPr>
                <w:noProof/>
                <w:sz w:val="18"/>
                <w:szCs w:val="18"/>
              </w:rPr>
            </w:pPr>
          </w:p>
        </w:tc>
        <w:tc>
          <w:tcPr>
            <w:tcW w:w="669"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648" w:type="dxa"/>
            <w:tcBorders>
              <w:bottom w:val="single" w:sz="12" w:space="0" w:color="auto"/>
            </w:tcBorders>
          </w:tcPr>
          <w:p>
            <w:pPr>
              <w:ind w:right="-29"/>
              <w:jc w:val="center"/>
              <w:rPr>
                <w:noProof/>
                <w:sz w:val="18"/>
                <w:szCs w:val="18"/>
              </w:rPr>
            </w:pPr>
          </w:p>
        </w:tc>
        <w:tc>
          <w:tcPr>
            <w:tcW w:w="432"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900" w:type="dxa"/>
            <w:tcBorders>
              <w:bottom w:val="single" w:sz="12" w:space="0" w:color="auto"/>
            </w:tcBorders>
          </w:tcPr>
          <w:p>
            <w:pPr>
              <w:ind w:right="-29"/>
              <w:jc w:val="center"/>
              <w:rPr>
                <w:noProof/>
                <w:sz w:val="18"/>
                <w:szCs w:val="18"/>
              </w:rPr>
            </w:pPr>
          </w:p>
        </w:tc>
      </w:tr>
      <w:tr>
        <w:trPr>
          <w:jc w:val="center"/>
        </w:trPr>
        <w:tc>
          <w:tcPr>
            <w:tcW w:w="2844" w:type="dxa"/>
            <w:gridSpan w:val="3"/>
            <w:tcBorders>
              <w:top w:val="single" w:sz="12" w:space="0" w:color="auto"/>
              <w:left w:val="single" w:sz="12" w:space="0" w:color="auto"/>
              <w:bottom w:val="single" w:sz="12" w:space="0" w:color="auto"/>
            </w:tcBorders>
            <w:vAlign w:val="center"/>
          </w:tcPr>
          <w:p>
            <w:pPr>
              <w:ind w:right="-29"/>
              <w:jc w:val="center"/>
              <w:rPr>
                <w:noProof/>
                <w:sz w:val="18"/>
                <w:szCs w:val="18"/>
              </w:rPr>
            </w:pPr>
            <w:r>
              <w:rPr>
                <w:b/>
                <w:noProof/>
                <w:sz w:val="18"/>
              </w:rPr>
              <w:t>ÖSSZESEN</w:t>
            </w:r>
          </w:p>
        </w:tc>
        <w:tc>
          <w:tcPr>
            <w:tcW w:w="504"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54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900" w:type="dxa"/>
            <w:tcBorders>
              <w:top w:val="single" w:sz="12" w:space="0" w:color="auto"/>
              <w:bottom w:val="single" w:sz="12" w:space="0" w:color="auto"/>
            </w:tcBorders>
          </w:tcPr>
          <w:p>
            <w:pPr>
              <w:spacing w:before="180" w:after="180"/>
              <w:ind w:right="-29"/>
              <w:jc w:val="center"/>
              <w:rPr>
                <w:noProof/>
                <w:sz w:val="18"/>
                <w:szCs w:val="18"/>
              </w:rPr>
            </w:pPr>
          </w:p>
        </w:tc>
        <w:tc>
          <w:tcPr>
            <w:tcW w:w="720" w:type="dxa"/>
            <w:gridSpan w:val="2"/>
            <w:tcBorders>
              <w:top w:val="single" w:sz="12" w:space="0" w:color="auto"/>
              <w:bottom w:val="single" w:sz="12" w:space="0" w:color="auto"/>
            </w:tcBorders>
          </w:tcPr>
          <w:p>
            <w:pPr>
              <w:spacing w:before="180" w:after="180"/>
              <w:ind w:right="-29"/>
              <w:jc w:val="center"/>
              <w:rPr>
                <w:noProof/>
                <w:sz w:val="18"/>
                <w:szCs w:val="18"/>
              </w:rPr>
            </w:pPr>
          </w:p>
        </w:tc>
        <w:tc>
          <w:tcPr>
            <w:tcW w:w="540" w:type="dxa"/>
            <w:tcBorders>
              <w:top w:val="single" w:sz="12" w:space="0" w:color="auto"/>
              <w:bottom w:val="single" w:sz="12" w:space="0" w:color="auto"/>
            </w:tcBorders>
          </w:tcPr>
          <w:p>
            <w:pPr>
              <w:spacing w:before="180" w:after="180"/>
              <w:ind w:right="-29"/>
              <w:jc w:val="center"/>
              <w:rPr>
                <w:noProof/>
                <w:sz w:val="18"/>
                <w:szCs w:val="18"/>
              </w:rPr>
            </w:pPr>
          </w:p>
        </w:tc>
        <w:tc>
          <w:tcPr>
            <w:tcW w:w="648" w:type="dxa"/>
            <w:tcBorders>
              <w:top w:val="single" w:sz="12" w:space="0" w:color="auto"/>
              <w:bottom w:val="single" w:sz="12" w:space="0" w:color="auto"/>
            </w:tcBorders>
          </w:tcPr>
          <w:p>
            <w:pPr>
              <w:spacing w:before="180" w:after="180"/>
              <w:ind w:right="-29"/>
              <w:jc w:val="center"/>
              <w:rPr>
                <w:noProof/>
                <w:sz w:val="18"/>
                <w:szCs w:val="18"/>
              </w:rPr>
            </w:pPr>
          </w:p>
        </w:tc>
        <w:tc>
          <w:tcPr>
            <w:tcW w:w="432"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54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pPr>
              <w:spacing w:before="180" w:after="180"/>
              <w:ind w:right="-29"/>
              <w:jc w:val="center"/>
              <w:rPr>
                <w:noProof/>
                <w:sz w:val="18"/>
                <w:szCs w:val="18"/>
              </w:rPr>
            </w:pPr>
          </w:p>
        </w:tc>
      </w:tr>
    </w:tbl>
    <w:p>
      <w:pPr>
        <w:rPr>
          <w:noProof/>
        </w:rPr>
        <w:sectPr>
          <w:headerReference w:type="default" r:id="rId23"/>
          <w:footerReference w:type="default" r:id="rId24"/>
          <w:headerReference w:type="first" r:id="rId25"/>
          <w:footerReference w:type="first" r:id="rId26"/>
          <w:pgSz w:w="16840" w:h="11907" w:orient="landscape" w:code="9"/>
          <w:pgMar w:top="1134" w:right="1418" w:bottom="567" w:left="1418" w:header="709" w:footer="709" w:gutter="0"/>
          <w:cols w:space="708"/>
          <w:docGrid w:linePitch="360"/>
        </w:sectPr>
      </w:pPr>
    </w:p>
    <w:p>
      <w:pPr>
        <w:pStyle w:val="ManualHeading3"/>
        <w:rPr>
          <w:bCs/>
          <w:noProof/>
          <w:szCs w:val="24"/>
        </w:rPr>
      </w:pPr>
      <w:bookmarkStart w:id="47" w:name="_Toc514938055"/>
      <w:bookmarkStart w:id="48" w:name="_Toc520485054"/>
      <w:r>
        <w:t>3.2.3.</w:t>
      </w:r>
      <w:r>
        <w:tab/>
      </w:r>
      <w:r>
        <w:rPr>
          <w:noProof/>
        </w:rPr>
        <w:t>Az igazgatási előirányzatokra gyakorolt becsült hatás összefoglalása</w:t>
      </w:r>
      <w:bookmarkEnd w:id="47"/>
      <w:bookmarkEnd w:id="48"/>
      <w:r>
        <w:rPr>
          <w:noProof/>
        </w:rPr>
        <w:t xml:space="preserve"> </w:t>
      </w:r>
    </w:p>
    <w:p>
      <w:pPr>
        <w:pStyle w:val="ListDash1"/>
        <w:rPr>
          <w:noProof/>
        </w:rPr>
      </w:pPr>
      <w:r>
        <w:rPr>
          <w:noProof/>
        </w:rPr>
        <w:sym w:font="Wingdings" w:char="F0A8"/>
      </w:r>
      <w:r>
        <w:rPr>
          <w:noProof/>
        </w:rPr>
        <w:tab/>
        <w:t xml:space="preserve">A javaslat/kezdeményezés nem vonja maga után igazgatási jellegű előirányzatok felhasználását. </w:t>
      </w:r>
    </w:p>
    <w:p>
      <w:pPr>
        <w:pStyle w:val="ListDash1"/>
        <w:rPr>
          <w:noProof/>
        </w:rPr>
      </w:pPr>
      <w:r>
        <w:rPr>
          <w:noProof/>
        </w:rPr>
        <w:sym w:font="Wingdings" w:char="F0A8"/>
      </w:r>
      <w:r>
        <w:rPr>
          <w:noProof/>
        </w:rPr>
        <w:tab/>
        <w:t>A javaslat/kezdeményezés az alábbi igazgatási jellegű előirányzatok felhasználását vonja maga után:</w:t>
      </w:r>
    </w:p>
    <w:p>
      <w:pPr>
        <w:jc w:val="right"/>
        <w:rPr>
          <w:noProof/>
          <w:sz w:val="20"/>
        </w:rPr>
      </w:pPr>
      <w:r>
        <w:rPr>
          <w:noProof/>
          <w:sz w:val="20"/>
        </w:rPr>
        <w:t>millió EUR (három tizedesjegyig)</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3240"/>
        <w:gridCol w:w="1080"/>
      </w:tblGrid>
      <w:tr>
        <w:trPr>
          <w:trHeight w:val="585"/>
        </w:trPr>
        <w:tc>
          <w:tcPr>
            <w:tcW w:w="1980" w:type="dxa"/>
          </w:tcPr>
          <w:p>
            <w:pPr>
              <w:spacing w:before="60" w:after="60" w:line="200" w:lineRule="exact"/>
              <w:rPr>
                <w:noProof/>
                <w:sz w:val="16"/>
                <w:szCs w:val="16"/>
              </w:rPr>
            </w:pPr>
          </w:p>
        </w:tc>
        <w:tc>
          <w:tcPr>
            <w:tcW w:w="1080" w:type="dxa"/>
            <w:vAlign w:val="center"/>
          </w:tcPr>
          <w:p>
            <w:pPr>
              <w:spacing w:before="60" w:after="60" w:line="200" w:lineRule="exact"/>
              <w:jc w:val="center"/>
              <w:rPr>
                <w:noProof/>
                <w:sz w:val="16"/>
                <w:szCs w:val="16"/>
              </w:rPr>
            </w:pPr>
            <w:r>
              <w:rPr>
                <w:noProof/>
                <w:sz w:val="16"/>
              </w:rPr>
              <w:t>Év</w:t>
            </w:r>
            <w:r>
              <w:rPr>
                <w:noProof/>
                <w:sz w:val="22"/>
              </w:rPr>
              <w:br/>
            </w:r>
            <w:r>
              <w:rPr>
                <w:b/>
                <w:noProof/>
                <w:sz w:val="16"/>
              </w:rPr>
              <w:t>N</w:t>
            </w:r>
            <w:r>
              <w:rPr>
                <w:rStyle w:val="FootnoteReference"/>
                <w:b/>
                <w:noProof/>
                <w:sz w:val="16"/>
              </w:rPr>
              <w:footnoteReference w:id="16"/>
            </w:r>
          </w:p>
        </w:tc>
        <w:tc>
          <w:tcPr>
            <w:tcW w:w="1080" w:type="dxa"/>
            <w:vAlign w:val="center"/>
          </w:tcPr>
          <w:p>
            <w:pPr>
              <w:spacing w:before="60" w:after="60" w:line="200" w:lineRule="exact"/>
              <w:jc w:val="center"/>
              <w:rPr>
                <w:noProof/>
                <w:sz w:val="16"/>
                <w:szCs w:val="16"/>
              </w:rPr>
            </w:pPr>
            <w:r>
              <w:rPr>
                <w:noProof/>
                <w:sz w:val="16"/>
              </w:rPr>
              <w:t>Év</w:t>
            </w:r>
            <w:r>
              <w:rPr>
                <w:noProof/>
                <w:sz w:val="22"/>
              </w:rPr>
              <w:br/>
            </w:r>
            <w:r>
              <w:rPr>
                <w:b/>
                <w:noProof/>
                <w:sz w:val="16"/>
              </w:rPr>
              <w:t>N+1</w:t>
            </w:r>
          </w:p>
        </w:tc>
        <w:tc>
          <w:tcPr>
            <w:tcW w:w="1080" w:type="dxa"/>
            <w:vAlign w:val="center"/>
          </w:tcPr>
          <w:p>
            <w:pPr>
              <w:spacing w:before="60" w:after="60" w:line="200" w:lineRule="exact"/>
              <w:jc w:val="center"/>
              <w:rPr>
                <w:noProof/>
                <w:sz w:val="16"/>
                <w:szCs w:val="16"/>
              </w:rPr>
            </w:pPr>
            <w:r>
              <w:rPr>
                <w:noProof/>
                <w:sz w:val="16"/>
              </w:rPr>
              <w:t>Év</w:t>
            </w:r>
            <w:r>
              <w:rPr>
                <w:noProof/>
                <w:sz w:val="22"/>
              </w:rPr>
              <w:br/>
            </w:r>
            <w:r>
              <w:rPr>
                <w:b/>
                <w:noProof/>
                <w:sz w:val="16"/>
              </w:rPr>
              <w:t>N+2</w:t>
            </w:r>
          </w:p>
        </w:tc>
        <w:tc>
          <w:tcPr>
            <w:tcW w:w="1080" w:type="dxa"/>
            <w:vAlign w:val="center"/>
          </w:tcPr>
          <w:p>
            <w:pPr>
              <w:spacing w:before="60" w:after="60" w:line="200" w:lineRule="exact"/>
              <w:jc w:val="center"/>
              <w:rPr>
                <w:noProof/>
                <w:sz w:val="16"/>
                <w:szCs w:val="16"/>
              </w:rPr>
            </w:pPr>
            <w:r>
              <w:rPr>
                <w:noProof/>
                <w:sz w:val="16"/>
              </w:rPr>
              <w:t>Év</w:t>
            </w:r>
            <w:r>
              <w:rPr>
                <w:noProof/>
                <w:sz w:val="22"/>
              </w:rPr>
              <w:br/>
            </w:r>
            <w:r>
              <w:rPr>
                <w:b/>
                <w:noProof/>
                <w:sz w:val="16"/>
              </w:rPr>
              <w:t>N+3</w:t>
            </w:r>
          </w:p>
        </w:tc>
        <w:tc>
          <w:tcPr>
            <w:tcW w:w="3240" w:type="dxa"/>
            <w:vAlign w:val="center"/>
          </w:tcPr>
          <w:p>
            <w:pPr>
              <w:spacing w:line="200" w:lineRule="exact"/>
              <w:jc w:val="center"/>
              <w:rPr>
                <w:b/>
                <w:noProof/>
                <w:sz w:val="16"/>
                <w:szCs w:val="16"/>
              </w:rPr>
            </w:pPr>
            <w:r>
              <w:rPr>
                <w:noProof/>
                <w:sz w:val="16"/>
              </w:rPr>
              <w:t>A táblázat a hatás időtartamának megfelelően (vö. 1.6. pont) további évekkel bővíthető.</w:t>
            </w:r>
          </w:p>
        </w:tc>
        <w:tc>
          <w:tcPr>
            <w:tcW w:w="1080" w:type="dxa"/>
            <w:vAlign w:val="center"/>
          </w:tcPr>
          <w:p>
            <w:pPr>
              <w:spacing w:before="60" w:after="60" w:line="200" w:lineRule="exact"/>
              <w:jc w:val="center"/>
              <w:rPr>
                <w:b/>
                <w:noProof/>
                <w:sz w:val="16"/>
                <w:szCs w:val="16"/>
              </w:rPr>
            </w:pPr>
            <w:r>
              <w:rPr>
                <w:b/>
                <w:noProof/>
                <w:sz w:val="16"/>
              </w:rPr>
              <w:t>ÖSSZESEN</w:t>
            </w:r>
          </w:p>
        </w:tc>
      </w:tr>
    </w:tbl>
    <w:p>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rPr>
              <w:t>A többéves pénzügyi keret</w:t>
            </w:r>
            <w:r>
              <w:rPr>
                <w:noProof/>
                <w:sz w:val="22"/>
              </w:rPr>
              <w:br/>
            </w:r>
            <w:r>
              <w:rPr>
                <w:b/>
                <w:noProof/>
                <w:sz w:val="16"/>
              </w:rPr>
              <w:t>5. FEJEZETE</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Humánerőforrás </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Egyéb igazgatási kiadások </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rPr>
              <w:t>A többéves pénzügyi keret</w:t>
            </w:r>
            <w:r>
              <w:rPr>
                <w:noProof/>
                <w:sz w:val="22"/>
              </w:rPr>
              <w:br/>
            </w:r>
            <w:r>
              <w:rPr>
                <w:b/>
                <w:noProof/>
                <w:sz w:val="16"/>
              </w:rPr>
              <w:t xml:space="preserve">5. FEJEZETÉNEK részösszege </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bl>
    <w:p>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shd w:val="clear" w:color="auto" w:fill="CCCCCC"/>
            <w:vAlign w:val="center"/>
          </w:tcPr>
          <w:p>
            <w:pPr>
              <w:spacing w:before="60" w:after="60" w:line="200" w:lineRule="exact"/>
              <w:jc w:val="center"/>
              <w:rPr>
                <w:noProof/>
                <w:sz w:val="16"/>
                <w:szCs w:val="16"/>
              </w:rPr>
            </w:pPr>
            <w:r>
              <w:rPr>
                <w:b/>
                <w:noProof/>
                <w:sz w:val="16"/>
              </w:rPr>
              <w:t>A többéves pénzügyi keret</w:t>
            </w:r>
            <w:r>
              <w:rPr>
                <w:rStyle w:val="FootnoteReference"/>
                <w:b/>
                <w:noProof/>
                <w:sz w:val="16"/>
              </w:rPr>
              <w:footnoteReference w:id="17"/>
            </w:r>
            <w:r>
              <w:rPr>
                <w:noProof/>
                <w:sz w:val="22"/>
              </w:rPr>
              <w:br/>
            </w:r>
            <w:r>
              <w:rPr>
                <w:b/>
                <w:noProof/>
                <w:sz w:val="16"/>
              </w:rPr>
              <w:t xml:space="preserve">5. FEJEZETÉNEK részösszege </w:t>
            </w:r>
          </w:p>
          <w:p>
            <w:pPr>
              <w:spacing w:before="0" w:after="0" w:line="200" w:lineRule="exact"/>
              <w:jc w:val="center"/>
              <w:rPr>
                <w:b/>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Humánerőforrás </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Egyéb igazgatási </w:t>
            </w:r>
            <w:r>
              <w:rPr>
                <w:noProof/>
                <w:sz w:val="22"/>
              </w:rPr>
              <w:br/>
            </w:r>
            <w:r>
              <w:rPr>
                <w:noProof/>
                <w:sz w:val="16"/>
              </w:rPr>
              <w:t>jellegű kiadások</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rPr>
              <w:t>A többéves pénzügyi keret</w:t>
            </w:r>
            <w:r>
              <w:rPr>
                <w:noProof/>
                <w:sz w:val="22"/>
              </w:rPr>
              <w:br/>
            </w:r>
            <w:r>
              <w:rPr>
                <w:b/>
                <w:noProof/>
                <w:sz w:val="16"/>
              </w:rPr>
              <w:t>5. FEJEZETÉBE</w:t>
            </w:r>
            <w:r>
              <w:rPr>
                <w:noProof/>
                <w:sz w:val="22"/>
              </w:rPr>
              <w:br/>
            </w:r>
            <w:r>
              <w:rPr>
                <w:b/>
                <w:noProof/>
                <w:sz w:val="16"/>
              </w:rPr>
              <w:t xml:space="preserve">bele nem tartozó előirányzatok részösszege </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bl>
    <w:p>
      <w:pPr>
        <w:spacing w:line="200" w:lineRule="exact"/>
        <w:rPr>
          <w:noProof/>
          <w:sz w:val="16"/>
          <w:szCs w:val="16"/>
        </w:rPr>
      </w:pPr>
    </w:p>
    <w:tbl>
      <w:tblPr>
        <w:tblW w:w="10620" w:type="dxa"/>
        <w:tblInd w:w="-612" w:type="dxa"/>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pPr>
              <w:spacing w:before="60" w:after="60" w:line="200" w:lineRule="exact"/>
              <w:jc w:val="center"/>
              <w:rPr>
                <w:noProof/>
                <w:sz w:val="16"/>
                <w:szCs w:val="16"/>
              </w:rPr>
            </w:pPr>
            <w:r>
              <w:rPr>
                <w:b/>
                <w:noProof/>
                <w:sz w:val="16"/>
              </w:rPr>
              <w:t>ÖSSZESEN</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12" w:space="0" w:color="auto"/>
            </w:tcBorders>
            <w:vAlign w:val="center"/>
          </w:tcPr>
          <w:p>
            <w:pPr>
              <w:spacing w:before="60" w:after="60" w:line="200" w:lineRule="exact"/>
              <w:jc w:val="right"/>
              <w:rPr>
                <w:b/>
                <w:noProof/>
                <w:sz w:val="16"/>
                <w:szCs w:val="16"/>
              </w:rPr>
            </w:pPr>
          </w:p>
        </w:tc>
      </w:tr>
    </w:tbl>
    <w:p>
      <w:pPr>
        <w:rPr>
          <w:noProof/>
          <w:sz w:val="18"/>
        </w:rPr>
      </w:pPr>
      <w:r>
        <w:rPr>
          <w:noProof/>
          <w:sz w:val="18"/>
        </w:rPr>
        <w:t>A humánerőforrással és más igazgatási jellegű kiadásokkal kapcsolatos előirányzat-igényeket az adott főigazgatóság rendelkezésére álló, az intézkedés irányításához rendelt előirányzatokkal és/vagy az adott főigazgatóságon belüli átcsoportosítással kell teljesíteni. A források adott esetben a költségvetési korlátok betartása mellett kiegészíthetők az éves elosztási eljárás keretében az irányító főigazgatósághoz rendelt további allokációkkal.</w:t>
      </w:r>
    </w:p>
    <w:p>
      <w:pPr>
        <w:rPr>
          <w:noProof/>
          <w:sz w:val="18"/>
        </w:rPr>
        <w:sectPr>
          <w:headerReference w:type="default" r:id="rId27"/>
          <w:footerReference w:type="default" r:id="rId28"/>
          <w:headerReference w:type="first" r:id="rId29"/>
          <w:footerReference w:type="first" r:id="rId30"/>
          <w:pgSz w:w="11907" w:h="16840"/>
          <w:pgMar w:top="1134" w:right="1418" w:bottom="1134" w:left="1418" w:header="709" w:footer="709" w:gutter="0"/>
          <w:cols w:space="708"/>
          <w:docGrid w:linePitch="360"/>
        </w:sectPr>
      </w:pPr>
    </w:p>
    <w:p>
      <w:pPr>
        <w:pStyle w:val="ManualHeading4"/>
        <w:rPr>
          <w:bCs/>
          <w:noProof/>
          <w:szCs w:val="24"/>
        </w:rPr>
      </w:pPr>
      <w:r>
        <w:t>3.2.3.1.</w:t>
      </w:r>
      <w:r>
        <w:tab/>
      </w:r>
      <w:r>
        <w:rPr>
          <w:noProof/>
        </w:rPr>
        <w:t xml:space="preserve">Becsült humánerőforrás-szükségletek </w:t>
      </w:r>
    </w:p>
    <w:p>
      <w:pPr>
        <w:pStyle w:val="ListDash1"/>
        <w:rPr>
          <w:noProof/>
        </w:rPr>
      </w:pPr>
      <w:r>
        <w:rPr>
          <w:noProof/>
        </w:rPr>
        <w:sym w:font="Wingdings" w:char="F0A8"/>
      </w:r>
      <w:r>
        <w:rPr>
          <w:noProof/>
        </w:rPr>
        <w:tab/>
        <w:t xml:space="preserve">A javaslat/kezdeményezés nem igényel humánerőforrást. </w:t>
      </w:r>
    </w:p>
    <w:p>
      <w:pPr>
        <w:pStyle w:val="ListDash1"/>
        <w:rPr>
          <w:noProof/>
        </w:rPr>
      </w:pPr>
      <w:r>
        <w:rPr>
          <w:noProof/>
        </w:rPr>
        <w:sym w:font="Wingdings" w:char="F0A8"/>
      </w:r>
      <w:r>
        <w:rPr>
          <w:noProof/>
        </w:rPr>
        <w:tab/>
        <w:t>A javaslat/kezdeményezés az alábbi humánerőforrás-igénnyel jár:</w:t>
      </w:r>
    </w:p>
    <w:p>
      <w:pPr>
        <w:spacing w:after="60"/>
        <w:jc w:val="right"/>
        <w:rPr>
          <w:i/>
          <w:noProof/>
          <w:sz w:val="20"/>
        </w:rPr>
      </w:pPr>
      <w:r>
        <w:rPr>
          <w:i/>
          <w:noProof/>
          <w:sz w:val="20"/>
        </w:rPr>
        <w:t>A becsléseket teljes munkaidős egyenértékben kell kifejezni</w:t>
      </w:r>
    </w:p>
    <w:tbl>
      <w:tblPr>
        <w:tblW w:w="988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5"/>
        <w:gridCol w:w="2376"/>
        <w:gridCol w:w="2378"/>
        <w:gridCol w:w="731"/>
        <w:gridCol w:w="731"/>
        <w:gridCol w:w="731"/>
        <w:gridCol w:w="731"/>
        <w:gridCol w:w="731"/>
        <w:gridCol w:w="731"/>
        <w:gridCol w:w="731"/>
      </w:tblGrid>
      <w:tr>
        <w:trPr>
          <w:gridBefore w:val="1"/>
          <w:wBefore w:w="13" w:type="dxa"/>
          <w:trHeight w:val="289"/>
          <w:jc w:val="center"/>
        </w:trPr>
        <w:tc>
          <w:tcPr>
            <w:tcW w:w="3906" w:type="dxa"/>
            <w:gridSpan w:val="2"/>
            <w:shd w:val="clear" w:color="auto" w:fill="auto"/>
          </w:tcPr>
          <w:p>
            <w:pPr>
              <w:pStyle w:val="Text1"/>
              <w:spacing w:before="40" w:after="40"/>
              <w:ind w:left="0"/>
              <w:jc w:val="center"/>
              <w:rPr>
                <w:i/>
                <w:noProof/>
                <w:sz w:val="16"/>
                <w:szCs w:val="16"/>
              </w:rPr>
            </w:pPr>
          </w:p>
        </w:tc>
        <w:tc>
          <w:tcPr>
            <w:tcW w:w="600" w:type="dxa"/>
            <w:shd w:val="clear" w:color="auto" w:fill="auto"/>
            <w:vAlign w:val="center"/>
          </w:tcPr>
          <w:p>
            <w:pPr>
              <w:spacing w:before="20" w:after="20"/>
              <w:jc w:val="center"/>
              <w:rPr>
                <w:noProof/>
                <w:sz w:val="16"/>
                <w:szCs w:val="16"/>
              </w:rPr>
            </w:pPr>
            <w:r>
              <w:rPr>
                <w:noProof/>
                <w:sz w:val="16"/>
              </w:rPr>
              <w:t>Év</w:t>
            </w:r>
            <w:r>
              <w:rPr>
                <w:noProof/>
                <w:sz w:val="22"/>
              </w:rPr>
              <w:br/>
            </w:r>
            <w:r>
              <w:rPr>
                <w:b/>
                <w:noProof/>
                <w:sz w:val="16"/>
              </w:rPr>
              <w:t>N</w:t>
            </w:r>
          </w:p>
        </w:tc>
        <w:tc>
          <w:tcPr>
            <w:tcW w:w="600" w:type="dxa"/>
            <w:shd w:val="clear" w:color="auto" w:fill="auto"/>
            <w:vAlign w:val="center"/>
          </w:tcPr>
          <w:p>
            <w:pPr>
              <w:spacing w:before="20" w:after="20"/>
              <w:jc w:val="center"/>
              <w:rPr>
                <w:noProof/>
                <w:sz w:val="16"/>
                <w:szCs w:val="16"/>
              </w:rPr>
            </w:pPr>
            <w:r>
              <w:rPr>
                <w:noProof/>
                <w:sz w:val="16"/>
              </w:rPr>
              <w:t>Év</w:t>
            </w:r>
            <w:r>
              <w:rPr>
                <w:noProof/>
                <w:sz w:val="22"/>
              </w:rPr>
              <w:br/>
            </w:r>
            <w:r>
              <w:rPr>
                <w:b/>
                <w:noProof/>
                <w:sz w:val="16"/>
              </w:rPr>
              <w:t>N+1</w:t>
            </w:r>
          </w:p>
        </w:tc>
        <w:tc>
          <w:tcPr>
            <w:tcW w:w="600" w:type="dxa"/>
            <w:shd w:val="clear" w:color="auto" w:fill="auto"/>
            <w:vAlign w:val="center"/>
          </w:tcPr>
          <w:p>
            <w:pPr>
              <w:spacing w:before="20" w:after="20"/>
              <w:jc w:val="center"/>
              <w:rPr>
                <w:noProof/>
                <w:sz w:val="16"/>
                <w:szCs w:val="16"/>
              </w:rPr>
            </w:pPr>
            <w:r>
              <w:rPr>
                <w:noProof/>
                <w:sz w:val="16"/>
                <w:szCs w:val="16"/>
              </w:rPr>
              <w:t>Év</w:t>
            </w:r>
            <w:r>
              <w:rPr>
                <w:noProof/>
                <w:sz w:val="16"/>
                <w:szCs w:val="16"/>
              </w:rPr>
              <w:br/>
            </w:r>
            <w:r>
              <w:rPr>
                <w:b/>
                <w:noProof/>
                <w:sz w:val="16"/>
                <w:szCs w:val="16"/>
              </w:rPr>
              <w:t>N+2</w:t>
            </w:r>
          </w:p>
        </w:tc>
        <w:tc>
          <w:tcPr>
            <w:tcW w:w="600" w:type="dxa"/>
            <w:shd w:val="clear" w:color="auto" w:fill="auto"/>
            <w:vAlign w:val="center"/>
          </w:tcPr>
          <w:p>
            <w:pPr>
              <w:spacing w:before="20" w:after="20"/>
              <w:jc w:val="center"/>
              <w:rPr>
                <w:noProof/>
                <w:sz w:val="16"/>
                <w:szCs w:val="16"/>
              </w:rPr>
            </w:pPr>
            <w:r>
              <w:rPr>
                <w:noProof/>
                <w:sz w:val="16"/>
                <w:szCs w:val="16"/>
              </w:rPr>
              <w:t>Év</w:t>
            </w:r>
            <w:r>
              <w:rPr>
                <w:noProof/>
                <w:sz w:val="16"/>
                <w:szCs w:val="16"/>
              </w:rPr>
              <w:br/>
            </w:r>
            <w:r>
              <w:rPr>
                <w:b/>
                <w:noProof/>
                <w:sz w:val="16"/>
                <w:szCs w:val="16"/>
              </w:rPr>
              <w:t>N+3</w:t>
            </w:r>
          </w:p>
        </w:tc>
        <w:tc>
          <w:tcPr>
            <w:tcW w:w="600" w:type="dxa"/>
            <w:gridSpan w:val="3"/>
            <w:shd w:val="clear" w:color="auto" w:fill="auto"/>
            <w:vAlign w:val="center"/>
          </w:tcPr>
          <w:p>
            <w:pPr>
              <w:jc w:val="center"/>
              <w:rPr>
                <w:b/>
                <w:noProof/>
                <w:sz w:val="16"/>
                <w:szCs w:val="16"/>
              </w:rPr>
            </w:pPr>
            <w:r>
              <w:rPr>
                <w:noProof/>
                <w:sz w:val="16"/>
              </w:rPr>
              <w:t>A táblázat a hatás időtartamának megfelelően (vö. 1.6. pont) további évekkel bővíthető.</w:t>
            </w:r>
          </w:p>
        </w:tc>
      </w:tr>
      <w:tr>
        <w:trPr>
          <w:gridBefore w:val="1"/>
          <w:wBefore w:w="13" w:type="dxa"/>
          <w:trHeight w:val="289"/>
          <w:jc w:val="center"/>
        </w:trPr>
        <w:tc>
          <w:tcPr>
            <w:tcW w:w="600" w:type="dxa"/>
            <w:gridSpan w:val="9"/>
            <w:shd w:val="clear" w:color="auto" w:fill="auto"/>
          </w:tcPr>
          <w:p>
            <w:pPr>
              <w:jc w:val="left"/>
              <w:rPr>
                <w:noProof/>
                <w:sz w:val="16"/>
                <w:szCs w:val="16"/>
              </w:rPr>
            </w:pPr>
            <w:r>
              <w:rPr>
                <w:b/>
                <w:noProof/>
                <w:sz w:val="16"/>
              </w:rPr>
              <w:sym w:font="Wingdings" w:char="F09F"/>
            </w:r>
            <w:r>
              <w:rPr>
                <w:b/>
                <w:noProof/>
                <w:sz w:val="16"/>
              </w:rPr>
              <w:t xml:space="preserve"> A létszámtervben szereplő álláshelyek (tisztviselők és ideiglenes alkalmazottak)</w:t>
            </w:r>
          </w:p>
        </w:tc>
      </w:tr>
      <w:tr>
        <w:trPr>
          <w:gridBefore w:val="1"/>
          <w:wBefore w:w="13" w:type="dxa"/>
          <w:trHeight w:val="289"/>
          <w:jc w:val="center"/>
        </w:trPr>
        <w:tc>
          <w:tcPr>
            <w:tcW w:w="3906" w:type="dxa"/>
            <w:gridSpan w:val="2"/>
            <w:shd w:val="clear" w:color="auto" w:fill="auto"/>
            <w:vAlign w:val="center"/>
          </w:tcPr>
          <w:p>
            <w:pPr>
              <w:pStyle w:val="Text1"/>
              <w:spacing w:beforeLines="20" w:before="48" w:afterLines="20" w:after="48"/>
              <w:ind w:left="134"/>
              <w:jc w:val="left"/>
              <w:rPr>
                <w:b/>
                <w:noProof/>
                <w:sz w:val="16"/>
                <w:szCs w:val="16"/>
              </w:rPr>
            </w:pPr>
            <w:r>
              <w:rPr>
                <w:noProof/>
                <w:sz w:val="16"/>
              </w:rPr>
              <w:t>XX 01 01 01 (a központban és a bizottsági képviseleteken)</w:t>
            </w: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r>
      <w:tr>
        <w:trPr>
          <w:gridBefore w:val="1"/>
          <w:wBefore w:w="13" w:type="dxa"/>
          <w:trHeight w:val="289"/>
          <w:jc w:val="center"/>
        </w:trPr>
        <w:tc>
          <w:tcPr>
            <w:tcW w:w="3906" w:type="dxa"/>
            <w:gridSpan w:val="2"/>
            <w:shd w:val="clear" w:color="auto" w:fill="auto"/>
            <w:vAlign w:val="center"/>
          </w:tcPr>
          <w:p>
            <w:pPr>
              <w:pStyle w:val="Text1"/>
              <w:spacing w:beforeLines="20" w:before="48" w:afterLines="20" w:after="48"/>
              <w:ind w:left="134"/>
              <w:jc w:val="left"/>
              <w:rPr>
                <w:noProof/>
                <w:sz w:val="16"/>
                <w:szCs w:val="16"/>
              </w:rPr>
            </w:pPr>
            <w:r>
              <w:rPr>
                <w:noProof/>
                <w:sz w:val="16"/>
              </w:rPr>
              <w:t>XX 01 01 02 (a küldöttségeknél)</w:t>
            </w: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r>
      <w:tr>
        <w:trPr>
          <w:gridBefore w:val="1"/>
          <w:wBefore w:w="13" w:type="dxa"/>
          <w:trHeight w:val="289"/>
          <w:jc w:val="center"/>
        </w:trPr>
        <w:tc>
          <w:tcPr>
            <w:tcW w:w="3906" w:type="dxa"/>
            <w:gridSpan w:val="2"/>
            <w:shd w:val="clear" w:color="auto" w:fill="auto"/>
            <w:vAlign w:val="center"/>
          </w:tcPr>
          <w:p>
            <w:pPr>
              <w:pStyle w:val="Text1"/>
              <w:spacing w:beforeLines="20" w:before="48" w:afterLines="20" w:after="48"/>
              <w:ind w:left="134"/>
              <w:jc w:val="left"/>
              <w:rPr>
                <w:noProof/>
                <w:sz w:val="16"/>
                <w:szCs w:val="16"/>
              </w:rPr>
            </w:pPr>
            <w:r>
              <w:rPr>
                <w:noProof/>
                <w:sz w:val="16"/>
              </w:rPr>
              <w:t>XX 01 05 01/11/21 (közvetett kutatás)</w:t>
            </w: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r>
      <w:tr>
        <w:trPr>
          <w:gridBefore w:val="1"/>
          <w:wBefore w:w="13" w:type="dxa"/>
          <w:trHeight w:val="289"/>
          <w:jc w:val="center"/>
        </w:trPr>
        <w:tc>
          <w:tcPr>
            <w:tcW w:w="3906" w:type="dxa"/>
            <w:gridSpan w:val="2"/>
            <w:shd w:val="clear" w:color="auto" w:fill="auto"/>
            <w:vAlign w:val="center"/>
          </w:tcPr>
          <w:p>
            <w:pPr>
              <w:pStyle w:val="Text1"/>
              <w:spacing w:beforeLines="20" w:before="48" w:afterLines="20" w:after="48"/>
              <w:ind w:left="134"/>
              <w:jc w:val="left"/>
              <w:rPr>
                <w:noProof/>
                <w:sz w:val="16"/>
                <w:szCs w:val="16"/>
              </w:rPr>
            </w:pPr>
            <w:r>
              <w:rPr>
                <w:noProof/>
                <w:sz w:val="16"/>
              </w:rPr>
              <w:t>10 01 05 01/11 (közvetlen kutatás)</w:t>
            </w: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r>
      <w:tr>
        <w:trPr>
          <w:trHeight w:val="248"/>
          <w:jc w:val="center"/>
        </w:trPr>
        <w:tc>
          <w:tcPr>
            <w:tcW w:w="600" w:type="dxa"/>
            <w:gridSpan w:val="10"/>
            <w:shd w:val="clear" w:color="auto" w:fill="auto"/>
            <w:vAlign w:val="center"/>
          </w:tcPr>
          <w:p>
            <w:pPr>
              <w:pStyle w:val="Text1"/>
              <w:spacing w:before="60" w:after="60"/>
              <w:ind w:left="0"/>
              <w:jc w:val="left"/>
              <w:rPr>
                <w:b/>
                <w:noProof/>
                <w:sz w:val="16"/>
                <w:szCs w:val="16"/>
              </w:rPr>
            </w:pPr>
            <w:r>
              <w:rPr>
                <w:b/>
                <w:noProof/>
                <w:sz w:val="16"/>
              </w:rPr>
              <w:sym w:font="Wingdings" w:char="F09F"/>
            </w:r>
            <w:r>
              <w:rPr>
                <w:b/>
                <w:noProof/>
                <w:sz w:val="16"/>
              </w:rPr>
              <w:t xml:space="preserve"> Külső munkatársak teljes munkaidős egyenértékben (FTE) kifejezve</w:t>
            </w:r>
            <w:r>
              <w:rPr>
                <w:rStyle w:val="FootnoteReference"/>
                <w:b/>
                <w:noProof/>
                <w:sz w:val="16"/>
              </w:rPr>
              <w:footnoteReference w:id="18"/>
            </w:r>
          </w:p>
          <w:p>
            <w:pPr>
              <w:pStyle w:val="Text1"/>
              <w:spacing w:before="0" w:after="0"/>
              <w:ind w:left="0"/>
              <w:jc w:val="left"/>
              <w:rPr>
                <w:noProof/>
                <w:sz w:val="16"/>
                <w:szCs w:val="16"/>
              </w:rPr>
            </w:pPr>
          </w:p>
        </w:tc>
      </w:tr>
      <w:tr>
        <w:trPr>
          <w:gridBefore w:val="1"/>
          <w:wBefore w:w="13" w:type="dxa"/>
          <w:trHeight w:val="289"/>
          <w:jc w:val="center"/>
        </w:trPr>
        <w:tc>
          <w:tcPr>
            <w:tcW w:w="3906" w:type="dxa"/>
            <w:gridSpan w:val="2"/>
            <w:shd w:val="clear" w:color="auto" w:fill="auto"/>
            <w:vAlign w:val="center"/>
          </w:tcPr>
          <w:p>
            <w:pPr>
              <w:pStyle w:val="Text1"/>
              <w:spacing w:beforeLines="20" w:before="48" w:afterLines="20" w:after="48"/>
              <w:ind w:left="136"/>
              <w:jc w:val="left"/>
              <w:rPr>
                <w:b/>
                <w:noProof/>
                <w:sz w:val="16"/>
                <w:szCs w:val="16"/>
              </w:rPr>
            </w:pPr>
            <w:r>
              <w:rPr>
                <w:noProof/>
                <w:sz w:val="16"/>
              </w:rPr>
              <w:t>XX 01 02 01 (AC, END, INT a teljes keretből)</w:t>
            </w: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r>
      <w:tr>
        <w:trPr>
          <w:gridBefore w:val="1"/>
          <w:wBefore w:w="13" w:type="dxa"/>
          <w:trHeight w:val="289"/>
          <w:jc w:val="center"/>
        </w:trPr>
        <w:tc>
          <w:tcPr>
            <w:tcW w:w="3906" w:type="dxa"/>
            <w:gridSpan w:val="2"/>
            <w:shd w:val="clear" w:color="auto" w:fill="auto"/>
            <w:vAlign w:val="center"/>
          </w:tcPr>
          <w:p>
            <w:pPr>
              <w:pStyle w:val="Text1"/>
              <w:spacing w:beforeLines="20" w:before="48" w:afterLines="20" w:after="48"/>
              <w:ind w:left="136"/>
              <w:jc w:val="left"/>
              <w:rPr>
                <w:noProof/>
                <w:sz w:val="16"/>
                <w:szCs w:val="16"/>
              </w:rPr>
            </w:pPr>
            <w:r>
              <w:rPr>
                <w:noProof/>
                <w:sz w:val="16"/>
              </w:rPr>
              <w:t>XX 01 02 02 (AC, AL, END, INT és JPD a küldöttségeknél)</w:t>
            </w: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r>
      <w:tr>
        <w:trPr>
          <w:gridBefore w:val="1"/>
          <w:wBefore w:w="13" w:type="dxa"/>
          <w:trHeight w:val="289"/>
          <w:jc w:val="center"/>
        </w:trPr>
        <w:tc>
          <w:tcPr>
            <w:tcW w:w="1952" w:type="dxa"/>
            <w:vMerge w:val="restart"/>
            <w:shd w:val="clear" w:color="auto" w:fill="auto"/>
            <w:vAlign w:val="center"/>
          </w:tcPr>
          <w:p>
            <w:pPr>
              <w:pStyle w:val="Text1"/>
              <w:spacing w:beforeLines="20" w:before="48" w:afterLines="20" w:after="48"/>
              <w:ind w:left="136"/>
              <w:jc w:val="left"/>
              <w:rPr>
                <w:b/>
                <w:noProof/>
                <w:sz w:val="16"/>
                <w:szCs w:val="16"/>
              </w:rPr>
            </w:pPr>
            <w:r>
              <w:rPr>
                <w:b/>
                <w:noProof/>
                <w:sz w:val="16"/>
                <w:szCs w:val="16"/>
              </w:rPr>
              <w:t>XX</w:t>
            </w:r>
            <w:r>
              <w:rPr>
                <w:noProof/>
                <w:sz w:val="16"/>
                <w:szCs w:val="16"/>
              </w:rPr>
              <w:t xml:space="preserve"> 01 04 </w:t>
            </w:r>
            <w:r>
              <w:rPr>
                <w:b/>
                <w:noProof/>
                <w:sz w:val="16"/>
                <w:szCs w:val="16"/>
              </w:rPr>
              <w:t>yy</w:t>
            </w:r>
            <w:r>
              <w:rPr>
                <w:b/>
                <w:i/>
                <w:noProof/>
                <w:sz w:val="16"/>
              </w:rPr>
              <w:t xml:space="preserve"> </w:t>
            </w:r>
            <w:r>
              <w:rPr>
                <w:rStyle w:val="FootnoteReference"/>
                <w:b/>
                <w:i/>
                <w:noProof/>
                <w:sz w:val="16"/>
              </w:rPr>
              <w:footnoteReference w:id="19"/>
            </w:r>
          </w:p>
          <w:p>
            <w:pPr>
              <w:pStyle w:val="Text1"/>
              <w:spacing w:beforeLines="20" w:before="48" w:afterLines="20" w:after="48"/>
              <w:ind w:left="136"/>
              <w:jc w:val="left"/>
              <w:rPr>
                <w:b/>
                <w:noProof/>
                <w:sz w:val="16"/>
                <w:szCs w:val="16"/>
              </w:rPr>
            </w:pPr>
          </w:p>
        </w:tc>
        <w:tc>
          <w:tcPr>
            <w:tcW w:w="1954" w:type="dxa"/>
            <w:shd w:val="clear" w:color="auto" w:fill="auto"/>
            <w:vAlign w:val="center"/>
          </w:tcPr>
          <w:p>
            <w:pPr>
              <w:pStyle w:val="Text1"/>
              <w:spacing w:beforeLines="20" w:before="48" w:afterLines="20" w:after="48"/>
              <w:ind w:left="136"/>
              <w:jc w:val="left"/>
              <w:rPr>
                <w:b/>
                <w:noProof/>
                <w:sz w:val="16"/>
                <w:szCs w:val="16"/>
              </w:rPr>
            </w:pPr>
            <w:r>
              <w:rPr>
                <w:noProof/>
                <w:sz w:val="16"/>
              </w:rPr>
              <w:t>- a központban</w:t>
            </w:r>
          </w:p>
          <w:p>
            <w:pPr>
              <w:pStyle w:val="Text1"/>
              <w:spacing w:beforeLines="20" w:before="48" w:afterLines="20" w:after="48"/>
              <w:ind w:left="136"/>
              <w:jc w:val="left"/>
              <w:rPr>
                <w:b/>
                <w:noProof/>
                <w:sz w:val="16"/>
                <w:szCs w:val="16"/>
              </w:rPr>
            </w:pPr>
          </w:p>
        </w:tc>
        <w:tc>
          <w:tcPr>
            <w:tcW w:w="600" w:type="dxa"/>
            <w:shd w:val="clear" w:color="auto" w:fill="auto"/>
            <w:vAlign w:val="center"/>
          </w:tcPr>
          <w:p>
            <w:pPr>
              <w:pStyle w:val="Text1"/>
              <w:spacing w:beforeLines="20" w:before="48" w:afterLines="20" w:after="48"/>
              <w:ind w:left="0"/>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r>
      <w:tr>
        <w:trPr>
          <w:gridBefore w:val="1"/>
          <w:wBefore w:w="13" w:type="dxa"/>
          <w:trHeight w:val="289"/>
          <w:jc w:val="center"/>
        </w:trPr>
        <w:tc>
          <w:tcPr>
            <w:tcW w:w="1952" w:type="dxa"/>
            <w:vMerge/>
            <w:shd w:val="clear" w:color="auto" w:fill="auto"/>
            <w:vAlign w:val="center"/>
          </w:tcPr>
          <w:p>
            <w:pPr>
              <w:pStyle w:val="Text1"/>
              <w:spacing w:beforeLines="20" w:before="48" w:afterLines="20" w:after="48"/>
              <w:ind w:left="136"/>
              <w:jc w:val="left"/>
              <w:rPr>
                <w:b/>
                <w:noProof/>
                <w:sz w:val="16"/>
                <w:szCs w:val="16"/>
              </w:rPr>
            </w:pPr>
          </w:p>
        </w:tc>
        <w:tc>
          <w:tcPr>
            <w:tcW w:w="1954" w:type="dxa"/>
            <w:shd w:val="clear" w:color="auto" w:fill="auto"/>
            <w:vAlign w:val="center"/>
          </w:tcPr>
          <w:p>
            <w:pPr>
              <w:pStyle w:val="Text1"/>
              <w:spacing w:beforeLines="20" w:before="48" w:afterLines="20" w:after="48"/>
              <w:ind w:left="136"/>
              <w:jc w:val="left"/>
              <w:rPr>
                <w:b/>
                <w:noProof/>
                <w:sz w:val="16"/>
                <w:szCs w:val="16"/>
              </w:rPr>
            </w:pPr>
            <w:r>
              <w:rPr>
                <w:noProof/>
                <w:sz w:val="16"/>
              </w:rPr>
              <w:t xml:space="preserve">- a küldöttségeknél </w:t>
            </w:r>
          </w:p>
        </w:tc>
        <w:tc>
          <w:tcPr>
            <w:tcW w:w="600" w:type="dxa"/>
            <w:shd w:val="clear" w:color="auto" w:fill="auto"/>
            <w:vAlign w:val="center"/>
          </w:tcPr>
          <w:p>
            <w:pPr>
              <w:pStyle w:val="Text1"/>
              <w:spacing w:beforeLines="20" w:before="48" w:afterLines="20" w:after="48"/>
              <w:ind w:left="0"/>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r>
      <w:tr>
        <w:trPr>
          <w:gridBefore w:val="1"/>
          <w:wBefore w:w="13" w:type="dxa"/>
          <w:trHeight w:val="289"/>
          <w:jc w:val="center"/>
        </w:trPr>
        <w:tc>
          <w:tcPr>
            <w:tcW w:w="3906" w:type="dxa"/>
            <w:gridSpan w:val="2"/>
            <w:shd w:val="clear" w:color="auto" w:fill="auto"/>
            <w:vAlign w:val="center"/>
          </w:tcPr>
          <w:p>
            <w:pPr>
              <w:pStyle w:val="Text1"/>
              <w:spacing w:beforeLines="20" w:before="48" w:afterLines="20" w:after="48"/>
              <w:ind w:left="136"/>
              <w:jc w:val="left"/>
              <w:rPr>
                <w:noProof/>
                <w:sz w:val="16"/>
                <w:szCs w:val="16"/>
              </w:rPr>
            </w:pPr>
            <w:r>
              <w:rPr>
                <w:b/>
                <w:noProof/>
                <w:sz w:val="16"/>
                <w:szCs w:val="16"/>
              </w:rPr>
              <w:t>XX</w:t>
            </w:r>
            <w:r>
              <w:rPr>
                <w:noProof/>
                <w:sz w:val="16"/>
                <w:szCs w:val="16"/>
              </w:rPr>
              <w:t xml:space="preserve"> 01 05 02/12/22 (AC, END, INT – közvetett kutatás)</w:t>
            </w: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r>
      <w:tr>
        <w:trPr>
          <w:gridBefore w:val="1"/>
          <w:wBefore w:w="13" w:type="dxa"/>
          <w:trHeight w:val="289"/>
          <w:jc w:val="center"/>
        </w:trPr>
        <w:tc>
          <w:tcPr>
            <w:tcW w:w="3906" w:type="dxa"/>
            <w:gridSpan w:val="2"/>
            <w:shd w:val="clear" w:color="auto" w:fill="auto"/>
            <w:vAlign w:val="center"/>
          </w:tcPr>
          <w:p>
            <w:pPr>
              <w:pStyle w:val="Text1"/>
              <w:spacing w:beforeLines="20" w:before="48" w:afterLines="20" w:after="48"/>
              <w:ind w:left="136"/>
              <w:jc w:val="left"/>
              <w:rPr>
                <w:noProof/>
                <w:sz w:val="16"/>
                <w:szCs w:val="16"/>
              </w:rPr>
            </w:pPr>
            <w:r>
              <w:rPr>
                <w:noProof/>
                <w:sz w:val="16"/>
              </w:rPr>
              <w:t>10 01 05 02/12 (AC, END, INT – közvetlen kutatás)</w:t>
            </w: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r>
      <w:tr>
        <w:trPr>
          <w:gridBefore w:val="1"/>
          <w:wBefore w:w="13" w:type="dxa"/>
          <w:trHeight w:val="289"/>
          <w:jc w:val="center"/>
        </w:trPr>
        <w:tc>
          <w:tcPr>
            <w:tcW w:w="3906" w:type="dxa"/>
            <w:gridSpan w:val="2"/>
            <w:tcBorders>
              <w:bottom w:val="double" w:sz="4" w:space="0" w:color="auto"/>
            </w:tcBorders>
            <w:shd w:val="clear" w:color="auto" w:fill="auto"/>
            <w:vAlign w:val="center"/>
          </w:tcPr>
          <w:p>
            <w:pPr>
              <w:pStyle w:val="Text1"/>
              <w:spacing w:beforeLines="20" w:before="48" w:afterLines="20" w:after="48"/>
              <w:ind w:left="134"/>
              <w:jc w:val="left"/>
              <w:rPr>
                <w:noProof/>
                <w:sz w:val="16"/>
                <w:szCs w:val="16"/>
              </w:rPr>
            </w:pPr>
            <w:r>
              <w:rPr>
                <w:noProof/>
                <w:sz w:val="16"/>
              </w:rPr>
              <w:t>Egyéb költségvetési sor (kérjük megnevezni)</w:t>
            </w:r>
          </w:p>
        </w:tc>
        <w:tc>
          <w:tcPr>
            <w:tcW w:w="600" w:type="dxa"/>
            <w:tcBorders>
              <w:bottom w:val="double" w:sz="4" w:space="0" w:color="auto"/>
            </w:tcBorders>
            <w:shd w:val="clear" w:color="auto" w:fill="auto"/>
            <w:vAlign w:val="center"/>
          </w:tcPr>
          <w:p>
            <w:pPr>
              <w:spacing w:beforeLines="20" w:before="48" w:afterLines="20" w:after="48"/>
              <w:jc w:val="center"/>
              <w:rPr>
                <w:noProof/>
                <w:sz w:val="16"/>
                <w:szCs w:val="16"/>
              </w:rPr>
            </w:pPr>
          </w:p>
        </w:tc>
        <w:tc>
          <w:tcPr>
            <w:tcW w:w="600" w:type="dxa"/>
            <w:tcBorders>
              <w:bottom w:val="double" w:sz="4" w:space="0" w:color="auto"/>
            </w:tcBorders>
            <w:shd w:val="clear" w:color="auto" w:fill="auto"/>
            <w:vAlign w:val="center"/>
          </w:tcPr>
          <w:p>
            <w:pPr>
              <w:spacing w:beforeLines="20" w:before="48" w:afterLines="20" w:after="48"/>
              <w:jc w:val="center"/>
              <w:rPr>
                <w:noProof/>
                <w:sz w:val="16"/>
                <w:szCs w:val="16"/>
              </w:rPr>
            </w:pPr>
          </w:p>
        </w:tc>
        <w:tc>
          <w:tcPr>
            <w:tcW w:w="600" w:type="dxa"/>
            <w:tcBorders>
              <w:bottom w:val="double" w:sz="4" w:space="0" w:color="auto"/>
            </w:tcBorders>
            <w:shd w:val="clear" w:color="auto" w:fill="auto"/>
            <w:vAlign w:val="center"/>
          </w:tcPr>
          <w:p>
            <w:pPr>
              <w:spacing w:beforeLines="20" w:before="48" w:afterLines="20" w:after="48"/>
              <w:jc w:val="center"/>
              <w:rPr>
                <w:noProof/>
                <w:sz w:val="16"/>
                <w:szCs w:val="16"/>
              </w:rPr>
            </w:pPr>
          </w:p>
        </w:tc>
        <w:tc>
          <w:tcPr>
            <w:tcW w:w="600" w:type="dxa"/>
            <w:tcBorders>
              <w:bottom w:val="double" w:sz="4" w:space="0" w:color="auto"/>
            </w:tcBorders>
            <w:shd w:val="clear" w:color="auto" w:fill="auto"/>
            <w:vAlign w:val="center"/>
          </w:tcPr>
          <w:p>
            <w:pPr>
              <w:spacing w:beforeLines="20" w:before="48" w:afterLines="20" w:after="48"/>
              <w:jc w:val="center"/>
              <w:rPr>
                <w:noProof/>
                <w:sz w:val="16"/>
                <w:szCs w:val="16"/>
              </w:rPr>
            </w:pPr>
          </w:p>
        </w:tc>
        <w:tc>
          <w:tcPr>
            <w:tcW w:w="600" w:type="dxa"/>
            <w:tcBorders>
              <w:bottom w:val="double" w:sz="4" w:space="0" w:color="auto"/>
            </w:tcBorders>
            <w:shd w:val="clear" w:color="auto" w:fill="auto"/>
            <w:vAlign w:val="center"/>
          </w:tcPr>
          <w:p>
            <w:pPr>
              <w:spacing w:beforeLines="20" w:before="48" w:afterLines="20" w:after="48"/>
              <w:jc w:val="center"/>
              <w:rPr>
                <w:noProof/>
                <w:sz w:val="16"/>
                <w:szCs w:val="16"/>
              </w:rPr>
            </w:pPr>
          </w:p>
        </w:tc>
        <w:tc>
          <w:tcPr>
            <w:tcW w:w="600" w:type="dxa"/>
            <w:tcBorders>
              <w:bottom w:val="double" w:sz="4" w:space="0" w:color="auto"/>
            </w:tcBorders>
            <w:shd w:val="clear" w:color="auto" w:fill="auto"/>
            <w:vAlign w:val="center"/>
          </w:tcPr>
          <w:p>
            <w:pPr>
              <w:spacing w:beforeLines="20" w:before="48" w:afterLines="20" w:after="48"/>
              <w:jc w:val="center"/>
              <w:rPr>
                <w:noProof/>
                <w:sz w:val="16"/>
                <w:szCs w:val="16"/>
              </w:rPr>
            </w:pPr>
          </w:p>
        </w:tc>
        <w:tc>
          <w:tcPr>
            <w:tcW w:w="600" w:type="dxa"/>
            <w:tcBorders>
              <w:bottom w:val="double" w:sz="4" w:space="0" w:color="auto"/>
            </w:tcBorders>
            <w:shd w:val="clear" w:color="auto" w:fill="auto"/>
            <w:vAlign w:val="center"/>
          </w:tcPr>
          <w:p>
            <w:pPr>
              <w:spacing w:beforeLines="20" w:before="48" w:afterLines="20" w:after="48"/>
              <w:jc w:val="center"/>
              <w:rPr>
                <w:noProof/>
                <w:sz w:val="16"/>
                <w:szCs w:val="16"/>
              </w:rPr>
            </w:pPr>
          </w:p>
        </w:tc>
      </w:tr>
      <w:tr>
        <w:trPr>
          <w:gridBefore w:val="1"/>
          <w:wBefore w:w="13" w:type="dxa"/>
          <w:trHeight w:val="289"/>
          <w:jc w:val="center"/>
        </w:trPr>
        <w:tc>
          <w:tcPr>
            <w:tcW w:w="3906" w:type="dxa"/>
            <w:gridSpan w:val="2"/>
            <w:tcBorders>
              <w:top w:val="double" w:sz="4" w:space="0" w:color="auto"/>
            </w:tcBorders>
            <w:shd w:val="clear" w:color="auto" w:fill="auto"/>
            <w:vAlign w:val="center"/>
          </w:tcPr>
          <w:p>
            <w:pPr>
              <w:pStyle w:val="Text1"/>
              <w:spacing w:beforeLines="20" w:before="48" w:afterLines="20" w:after="48"/>
              <w:ind w:left="136"/>
              <w:jc w:val="left"/>
              <w:rPr>
                <w:noProof/>
                <w:sz w:val="16"/>
                <w:szCs w:val="16"/>
              </w:rPr>
            </w:pPr>
            <w:r>
              <w:rPr>
                <w:b/>
                <w:noProof/>
                <w:sz w:val="16"/>
              </w:rPr>
              <w:t>ÖSSZESEN</w:t>
            </w:r>
          </w:p>
        </w:tc>
        <w:tc>
          <w:tcPr>
            <w:tcW w:w="600" w:type="dxa"/>
            <w:tcBorders>
              <w:top w:val="double" w:sz="4" w:space="0" w:color="auto"/>
            </w:tcBorders>
            <w:shd w:val="clear" w:color="auto" w:fill="auto"/>
            <w:vAlign w:val="center"/>
          </w:tcPr>
          <w:p>
            <w:pPr>
              <w:spacing w:beforeLines="20" w:before="48" w:afterLines="20" w:after="48"/>
              <w:jc w:val="center"/>
              <w:rPr>
                <w:b/>
                <w:noProof/>
                <w:sz w:val="16"/>
                <w:szCs w:val="16"/>
              </w:rPr>
            </w:pPr>
          </w:p>
        </w:tc>
        <w:tc>
          <w:tcPr>
            <w:tcW w:w="600" w:type="dxa"/>
            <w:tcBorders>
              <w:top w:val="double" w:sz="4" w:space="0" w:color="auto"/>
            </w:tcBorders>
            <w:shd w:val="clear" w:color="auto" w:fill="auto"/>
            <w:vAlign w:val="center"/>
          </w:tcPr>
          <w:p>
            <w:pPr>
              <w:spacing w:beforeLines="20" w:before="48" w:afterLines="20" w:after="48"/>
              <w:jc w:val="center"/>
              <w:rPr>
                <w:b/>
                <w:noProof/>
                <w:sz w:val="16"/>
                <w:szCs w:val="16"/>
              </w:rPr>
            </w:pPr>
          </w:p>
        </w:tc>
        <w:tc>
          <w:tcPr>
            <w:tcW w:w="600" w:type="dxa"/>
            <w:tcBorders>
              <w:top w:val="double" w:sz="4" w:space="0" w:color="auto"/>
            </w:tcBorders>
            <w:shd w:val="clear" w:color="auto" w:fill="auto"/>
            <w:vAlign w:val="center"/>
          </w:tcPr>
          <w:p>
            <w:pPr>
              <w:spacing w:beforeLines="20" w:before="48" w:afterLines="20" w:after="48"/>
              <w:jc w:val="center"/>
              <w:rPr>
                <w:b/>
                <w:noProof/>
                <w:sz w:val="16"/>
                <w:szCs w:val="16"/>
              </w:rPr>
            </w:pPr>
          </w:p>
        </w:tc>
        <w:tc>
          <w:tcPr>
            <w:tcW w:w="600" w:type="dxa"/>
            <w:tcBorders>
              <w:top w:val="double" w:sz="4" w:space="0" w:color="auto"/>
            </w:tcBorders>
            <w:shd w:val="clear" w:color="auto" w:fill="auto"/>
            <w:vAlign w:val="center"/>
          </w:tcPr>
          <w:p>
            <w:pPr>
              <w:spacing w:beforeLines="20" w:before="48" w:afterLines="20" w:after="48"/>
              <w:jc w:val="center"/>
              <w:rPr>
                <w:b/>
                <w:noProof/>
                <w:sz w:val="16"/>
                <w:szCs w:val="16"/>
              </w:rPr>
            </w:pPr>
          </w:p>
        </w:tc>
        <w:tc>
          <w:tcPr>
            <w:tcW w:w="600" w:type="dxa"/>
            <w:tcBorders>
              <w:top w:val="double" w:sz="4" w:space="0" w:color="auto"/>
            </w:tcBorders>
            <w:shd w:val="clear" w:color="auto" w:fill="auto"/>
            <w:vAlign w:val="center"/>
          </w:tcPr>
          <w:p>
            <w:pPr>
              <w:spacing w:beforeLines="20" w:before="48" w:afterLines="20" w:after="48"/>
              <w:jc w:val="center"/>
              <w:rPr>
                <w:b/>
                <w:noProof/>
                <w:sz w:val="16"/>
                <w:szCs w:val="16"/>
              </w:rPr>
            </w:pPr>
          </w:p>
        </w:tc>
        <w:tc>
          <w:tcPr>
            <w:tcW w:w="600" w:type="dxa"/>
            <w:tcBorders>
              <w:top w:val="double" w:sz="4" w:space="0" w:color="auto"/>
            </w:tcBorders>
            <w:shd w:val="clear" w:color="auto" w:fill="auto"/>
            <w:vAlign w:val="center"/>
          </w:tcPr>
          <w:p>
            <w:pPr>
              <w:spacing w:beforeLines="20" w:before="48" w:afterLines="20" w:after="48"/>
              <w:jc w:val="center"/>
              <w:rPr>
                <w:b/>
                <w:noProof/>
                <w:sz w:val="16"/>
                <w:szCs w:val="16"/>
              </w:rPr>
            </w:pPr>
          </w:p>
        </w:tc>
        <w:tc>
          <w:tcPr>
            <w:tcW w:w="600" w:type="dxa"/>
            <w:tcBorders>
              <w:top w:val="double" w:sz="4" w:space="0" w:color="auto"/>
            </w:tcBorders>
            <w:shd w:val="clear" w:color="auto" w:fill="auto"/>
            <w:vAlign w:val="center"/>
          </w:tcPr>
          <w:p>
            <w:pPr>
              <w:spacing w:beforeLines="20" w:before="48" w:afterLines="20" w:after="48"/>
              <w:jc w:val="center"/>
              <w:rPr>
                <w:b/>
                <w:noProof/>
                <w:sz w:val="16"/>
                <w:szCs w:val="16"/>
              </w:rPr>
            </w:pPr>
          </w:p>
        </w:tc>
      </w:tr>
    </w:tbl>
    <w:p>
      <w:pPr>
        <w:pStyle w:val="Text1"/>
        <w:spacing w:before="60" w:after="60"/>
        <w:ind w:left="851"/>
        <w:rPr>
          <w:noProof/>
          <w:sz w:val="18"/>
          <w:szCs w:val="18"/>
        </w:rPr>
      </w:pPr>
      <w:r>
        <w:rPr>
          <w:b/>
          <w:noProof/>
          <w:sz w:val="18"/>
          <w:szCs w:val="18"/>
        </w:rPr>
        <w:t>XX</w:t>
      </w:r>
      <w:r>
        <w:rPr>
          <w:noProof/>
          <w:sz w:val="18"/>
          <w:szCs w:val="18"/>
        </w:rPr>
        <w:t xml:space="preserve"> az érintett szakpolitikai terület vagy költségvetési cím.</w:t>
      </w:r>
    </w:p>
    <w:p>
      <w:pPr>
        <w:pStyle w:val="Text1"/>
        <w:rPr>
          <w:noProof/>
          <w:sz w:val="18"/>
          <w:szCs w:val="18"/>
        </w:rPr>
      </w:pPr>
      <w:r>
        <w:rPr>
          <w:noProof/>
          <w:sz w:val="18"/>
        </w:rPr>
        <w:t>A humánerőforrás-igényeknek az adott főigazgatóság rendelkezésére álló, az intézkedés irányításához rendelt és/vagy az adott főigazgatóságon belül átcsoportosított személyzettel kell eleget tenni. A források adott esetben a meglévő költségvetési korlátok betartása mellett kiegészíthetők az éves elosztási eljárás keretében az irányító főigazgatósághoz rendelt további allokációkkal.</w:t>
      </w:r>
    </w:p>
    <w:p>
      <w:pPr>
        <w:rPr>
          <w:noProof/>
          <w:sz w:val="20"/>
        </w:rPr>
      </w:pPr>
      <w:r>
        <w:rPr>
          <w:noProof/>
          <w:sz w:val="20"/>
        </w:rPr>
        <w:t>Az elvégzendő feladatok leírása:</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tc>
          <w:tcPr>
            <w:tcW w:w="3240" w:type="dxa"/>
          </w:tcPr>
          <w:p>
            <w:pPr>
              <w:rPr>
                <w:noProof/>
                <w:sz w:val="20"/>
              </w:rPr>
            </w:pPr>
            <w:r>
              <w:rPr>
                <w:noProof/>
                <w:sz w:val="20"/>
              </w:rPr>
              <w:t>Tisztviselők és ideiglenes alkalmazottak</w:t>
            </w:r>
          </w:p>
        </w:tc>
        <w:tc>
          <w:tcPr>
            <w:tcW w:w="7200" w:type="dxa"/>
          </w:tcPr>
          <w:p>
            <w:pPr>
              <w:rPr>
                <w:noProof/>
                <w:sz w:val="20"/>
              </w:rPr>
            </w:pPr>
          </w:p>
        </w:tc>
      </w:tr>
      <w:tr>
        <w:tc>
          <w:tcPr>
            <w:tcW w:w="3240" w:type="dxa"/>
          </w:tcPr>
          <w:p>
            <w:pPr>
              <w:spacing w:before="60" w:after="60"/>
              <w:rPr>
                <w:noProof/>
                <w:sz w:val="20"/>
              </w:rPr>
            </w:pPr>
            <w:r>
              <w:rPr>
                <w:noProof/>
                <w:sz w:val="20"/>
              </w:rPr>
              <w:t>Külső munkatársak</w:t>
            </w:r>
          </w:p>
        </w:tc>
        <w:tc>
          <w:tcPr>
            <w:tcW w:w="7200" w:type="dxa"/>
          </w:tcPr>
          <w:p>
            <w:pPr>
              <w:rPr>
                <w:noProof/>
                <w:sz w:val="20"/>
              </w:rPr>
            </w:pPr>
          </w:p>
        </w:tc>
      </w:tr>
    </w:tbl>
    <w:p>
      <w:pPr>
        <w:rPr>
          <w:noProof/>
        </w:rPr>
        <w:sectPr>
          <w:pgSz w:w="11907" w:h="16840"/>
          <w:pgMar w:top="1134" w:right="1418" w:bottom="1134" w:left="1418" w:header="709" w:footer="709" w:gutter="0"/>
          <w:cols w:space="708"/>
          <w:docGrid w:linePitch="360"/>
        </w:sectPr>
      </w:pPr>
    </w:p>
    <w:p>
      <w:pPr>
        <w:pStyle w:val="ManualHeading3"/>
        <w:rPr>
          <w:noProof/>
        </w:rPr>
      </w:pPr>
      <w:bookmarkStart w:id="49" w:name="_Toc514938056"/>
      <w:bookmarkStart w:id="50" w:name="_Toc520485055"/>
      <w:r>
        <w:t>3.2.4.</w:t>
      </w:r>
      <w:r>
        <w:tab/>
      </w:r>
      <w:r>
        <w:rPr>
          <w:noProof/>
        </w:rPr>
        <w:t>A jelenlegi többéves pénzügyi kerettel való összeegyeztethetőség</w:t>
      </w:r>
      <w:bookmarkEnd w:id="49"/>
      <w:bookmarkEnd w:id="50"/>
      <w:r>
        <w:rPr>
          <w:noProof/>
        </w:rPr>
        <w:t xml:space="preserve"> </w:t>
      </w:r>
    </w:p>
    <w:p>
      <w:pPr>
        <w:pStyle w:val="Text1"/>
        <w:rPr>
          <w:noProof/>
        </w:rPr>
      </w:pPr>
      <w:r>
        <w:rPr>
          <w:noProof/>
        </w:rPr>
        <w:t>A javaslat/kezdeményezés</w:t>
      </w:r>
    </w:p>
    <w:p>
      <w:pPr>
        <w:pStyle w:val="ListDash1"/>
        <w:rPr>
          <w:noProof/>
        </w:rPr>
      </w:pPr>
      <w:r>
        <w:rPr>
          <w:b/>
          <w:noProof/>
        </w:rPr>
        <w:t>X</w:t>
      </w:r>
      <w:r>
        <w:rPr>
          <w:noProof/>
        </w:rPr>
        <w:tab/>
        <w:t>teljes mértékben finanszírozható a többéves pénzügyi keret vonatkozó fejezete révén.</w:t>
      </w:r>
    </w:p>
    <w:p>
      <w:pPr>
        <w:pStyle w:val="ListDash1"/>
        <w:rPr>
          <w:noProof/>
        </w:rPr>
      </w:pPr>
      <w:r>
        <w:rPr>
          <w:noProof/>
        </w:rPr>
        <w:sym w:font="Wingdings" w:char="F0A8"/>
      </w:r>
      <w:r>
        <w:rPr>
          <w:noProof/>
        </w:rPr>
        <w:tab/>
        <w:t>a többéves pénzügyi keret lekötetlen mozgásterének és/vagy a többéves pénzügyi keretről szóló rendeletben meghatározott különleges eszközök felhasználását teszi szükségessé.</w:t>
      </w:r>
    </w:p>
    <w:p>
      <w:pPr>
        <w:pStyle w:val="Text1"/>
        <w:pBdr>
          <w:top w:val="single" w:sz="4" w:space="1" w:color="auto"/>
          <w:left w:val="single" w:sz="4" w:space="4" w:color="auto"/>
          <w:bottom w:val="single" w:sz="4" w:space="1" w:color="auto"/>
          <w:right w:val="single" w:sz="4" w:space="4" w:color="auto"/>
        </w:pBdr>
        <w:rPr>
          <w:noProof/>
          <w:sz w:val="20"/>
        </w:rPr>
      </w:pPr>
      <w:r>
        <w:rPr>
          <w:noProof/>
          <w:sz w:val="20"/>
        </w:rPr>
        <w:t>Fejtse ki, mire van szükség, meghatározva az érintett fejezeteket és költségvetési sorokat, a megfelelő összegeket és a felhasználni javasolt eszközöket.</w:t>
      </w:r>
    </w:p>
    <w:p>
      <w:pPr>
        <w:pStyle w:val="ListDash1"/>
        <w:rPr>
          <w:noProof/>
        </w:rPr>
      </w:pPr>
      <w:r>
        <w:rPr>
          <w:noProof/>
        </w:rPr>
        <w:sym w:font="Wingdings" w:char="F0A8"/>
      </w:r>
      <w:r>
        <w:rPr>
          <w:noProof/>
        </w:rPr>
        <w:tab/>
        <w:t>a többéves pénzügyi keret módosítását teszi szükségessé.</w:t>
      </w:r>
    </w:p>
    <w:p>
      <w:pPr>
        <w:pStyle w:val="Text1"/>
        <w:pBdr>
          <w:top w:val="single" w:sz="4" w:space="1" w:color="auto"/>
          <w:left w:val="single" w:sz="4" w:space="4" w:color="auto"/>
          <w:bottom w:val="single" w:sz="4" w:space="3" w:color="auto"/>
          <w:right w:val="single" w:sz="4" w:space="4" w:color="auto"/>
        </w:pBdr>
        <w:rPr>
          <w:noProof/>
          <w:sz w:val="20"/>
        </w:rPr>
      </w:pPr>
      <w:r>
        <w:rPr>
          <w:noProof/>
          <w:sz w:val="20"/>
        </w:rPr>
        <w:t>Fejtse ki a szükségleteket: tüntesse fel az érintett fejezeteket és költségvetési sorokat és a megfelelő összegeket.</w:t>
      </w:r>
    </w:p>
    <w:p>
      <w:pPr>
        <w:pStyle w:val="ManualHeading3"/>
        <w:rPr>
          <w:bCs/>
          <w:noProof/>
          <w:szCs w:val="24"/>
        </w:rPr>
      </w:pPr>
      <w:bookmarkStart w:id="51" w:name="_Toc514938058"/>
      <w:bookmarkStart w:id="52" w:name="_Toc520485056"/>
      <w:r>
        <w:t>3.2.5.</w:t>
      </w:r>
      <w:r>
        <w:tab/>
      </w:r>
      <w:r>
        <w:rPr>
          <w:noProof/>
        </w:rPr>
        <w:t>Harmadik felek részvétele a finanszírozásban</w:t>
      </w:r>
      <w:bookmarkEnd w:id="51"/>
      <w:bookmarkEnd w:id="52"/>
      <w:r>
        <w:rPr>
          <w:noProof/>
        </w:rPr>
        <w:t xml:space="preserve"> </w:t>
      </w:r>
    </w:p>
    <w:p>
      <w:pPr>
        <w:pStyle w:val="Text1"/>
        <w:rPr>
          <w:noProof/>
        </w:rPr>
      </w:pPr>
      <w:r>
        <w:rPr>
          <w:noProof/>
        </w:rPr>
        <w:t>A javaslat/kezdeményezés</w:t>
      </w:r>
    </w:p>
    <w:p>
      <w:pPr>
        <w:pStyle w:val="ListDash1"/>
        <w:rPr>
          <w:noProof/>
        </w:rPr>
      </w:pPr>
      <w:r>
        <w:rPr>
          <w:b/>
          <w:noProof/>
        </w:rPr>
        <w:t xml:space="preserve">X </w:t>
      </w:r>
      <w:r>
        <w:rPr>
          <w:noProof/>
        </w:rPr>
        <w:t>nem irányoz elő harmadik felek általi társfinanszírozást.</w:t>
      </w:r>
    </w:p>
    <w:p>
      <w:pPr>
        <w:pStyle w:val="ListDash1"/>
        <w:rPr>
          <w:noProof/>
        </w:rPr>
      </w:pPr>
      <w:r>
        <w:rPr>
          <w:noProof/>
        </w:rPr>
        <w:tab/>
        <w:t>előirányoz harmadik felek általi társfinanszírozást az alábbi becslések szerint:</w:t>
      </w:r>
    </w:p>
    <w:p>
      <w:pPr>
        <w:jc w:val="right"/>
        <w:rPr>
          <w:noProof/>
          <w:sz w:val="20"/>
        </w:rPr>
      </w:pPr>
      <w:r>
        <w:rPr>
          <w:noProof/>
          <w:sz w:val="20"/>
        </w:rPr>
        <w:t xml:space="preserve">Előirányzatok (EUR-ban) </w:t>
      </w:r>
    </w:p>
    <w:p>
      <w:pPr>
        <w:jc w:val="right"/>
        <w:rPr>
          <w:noProof/>
          <w:sz w:val="20"/>
        </w:rPr>
      </w:pPr>
    </w:p>
    <w:p>
      <w:pPr>
        <w:rPr>
          <w:noProof/>
        </w:rPr>
      </w:pPr>
      <w:r>
        <w:rPr>
          <w:noProof/>
        </w:rPr>
        <w:br/>
      </w:r>
    </w:p>
    <w:p>
      <w:pPr>
        <w:pStyle w:val="ManualHeading2"/>
        <w:rPr>
          <w:bCs/>
          <w:noProof/>
          <w:szCs w:val="24"/>
        </w:rPr>
      </w:pPr>
      <w:r>
        <w:rPr>
          <w:noProof/>
        </w:rPr>
        <w:br w:type="page"/>
      </w:r>
      <w:bookmarkStart w:id="53" w:name="_Toc514938059"/>
      <w:bookmarkStart w:id="54" w:name="_Toc520485057"/>
      <w:r>
        <w:t>3.3.</w:t>
      </w:r>
      <w:r>
        <w:tab/>
      </w:r>
      <w:r>
        <w:rPr>
          <w:noProof/>
        </w:rPr>
        <w:t>A bevételre gyakorolt becsült hatás</w:t>
      </w:r>
      <w:bookmarkEnd w:id="53"/>
      <w:bookmarkEnd w:id="54"/>
      <w:r>
        <w:rPr>
          <w:noProof/>
        </w:rPr>
        <w:t xml:space="preserve"> </w:t>
      </w:r>
    </w:p>
    <w:p>
      <w:pPr>
        <w:pStyle w:val="ListDash1"/>
        <w:rPr>
          <w:noProof/>
        </w:rPr>
      </w:pPr>
      <w:r>
        <w:rPr>
          <w:b/>
          <w:noProof/>
        </w:rPr>
        <w:t>X</w:t>
      </w:r>
      <w:r>
        <w:rPr>
          <w:noProof/>
        </w:rPr>
        <w:tab/>
        <w:t xml:space="preserve">A javaslatnak/kezdeményezésnek nincs pénzügyi hatása a bevételre. </w:t>
      </w:r>
    </w:p>
    <w:p>
      <w:pPr>
        <w:pStyle w:val="ListDash1"/>
        <w:rPr>
          <w:noProof/>
        </w:rPr>
      </w:pPr>
      <w:r>
        <w:rPr>
          <w:noProof/>
        </w:rPr>
        <w:tab/>
        <w:t>A javaslatnak/kezdeményezésnek van pénzügyi hatása – a bevételre gyakorolt hatása a következő:</w:t>
      </w:r>
    </w:p>
    <w:p>
      <w:pPr>
        <w:pStyle w:val="Tiret2"/>
        <w:numPr>
          <w:ilvl w:val="0"/>
          <w:numId w:val="16"/>
        </w:numPr>
        <w:rPr>
          <w:noProof/>
        </w:rPr>
      </w:pPr>
      <w:r>
        <w:rPr>
          <w:noProof/>
        </w:rPr>
        <w:sym w:font="Wingdings" w:char="F0A8"/>
      </w:r>
      <w:r>
        <w:rPr>
          <w:noProof/>
        </w:rPr>
        <w:tab/>
        <w:t xml:space="preserve">a javaslat a saját forrásokra gyakorol hatást </w:t>
      </w:r>
    </w:p>
    <w:p>
      <w:pPr>
        <w:pStyle w:val="Tiret2"/>
        <w:rPr>
          <w:noProof/>
        </w:rPr>
      </w:pPr>
      <w:r>
        <w:rPr>
          <w:noProof/>
        </w:rPr>
        <w:sym w:font="Wingdings" w:char="F0A8"/>
      </w:r>
      <w:r>
        <w:rPr>
          <w:noProof/>
        </w:rPr>
        <w:tab/>
        <w:t>a javaslat az egyéb bevételekre gyakorol hatást</w:t>
      </w:r>
    </w:p>
    <w:p>
      <w:pPr>
        <w:pStyle w:val="Tiret2"/>
        <w:rPr>
          <w:noProof/>
        </w:rPr>
      </w:pPr>
      <w:r>
        <w:rPr>
          <w:noProof/>
        </w:rPr>
        <w:t>kérjük adja meg, hogy a bevétel költségvetési tételhez van-e rendelve X</w:t>
      </w:r>
      <w:r>
        <w:rPr>
          <w:noProof/>
        </w:rPr>
        <w:tab/>
      </w:r>
    </w:p>
    <w:p>
      <w:pPr>
        <w:pStyle w:val="ListNumberLevel3"/>
        <w:tabs>
          <w:tab w:val="clear" w:pos="2126"/>
        </w:tabs>
        <w:ind w:firstLine="0"/>
        <w:rPr>
          <w:noProof/>
        </w:rPr>
      </w:pPr>
    </w:p>
    <w:p>
      <w:pPr>
        <w:ind w:left="4320"/>
        <w:rPr>
          <w:i/>
          <w:noProof/>
          <w:sz w:val="20"/>
        </w:rPr>
      </w:pPr>
      <w:r>
        <w:rPr>
          <w:noProof/>
        </w:rPr>
        <w:t xml:space="preserve">     EUR </w:t>
      </w:r>
    </w:p>
    <w:p>
      <w:pPr>
        <w:pStyle w:val="Text1"/>
        <w:rPr>
          <w:noProof/>
          <w:sz w:val="20"/>
        </w:rPr>
      </w:pPr>
      <w:r>
        <w:rPr>
          <w:noProof/>
        </w:rPr>
        <w:br w:type="textWrapping" w:clear="all"/>
      </w:r>
    </w:p>
    <w:p>
      <w:pPr>
        <w:pStyle w:val="Text1"/>
        <w:rPr>
          <w:noProof/>
          <w:sz w:val="20"/>
        </w:rPr>
      </w:pPr>
      <w:r>
        <w:rPr>
          <w:noProof/>
          <w:sz w:val="20"/>
        </w:rPr>
        <w:t>A címzett bevételek esetében tüntesse fel az érintett kiadáshoz tartozó költségvetési sor(oka)t.</w:t>
      </w:r>
    </w:p>
    <w:p>
      <w:pPr>
        <w:pStyle w:val="Text1"/>
        <w:pBdr>
          <w:top w:val="single" w:sz="4" w:space="1" w:color="auto"/>
          <w:left w:val="single" w:sz="4" w:space="4" w:color="auto"/>
          <w:bottom w:val="single" w:sz="4" w:space="1" w:color="auto"/>
          <w:right w:val="single" w:sz="4" w:space="4" w:color="auto"/>
        </w:pBdr>
        <w:rPr>
          <w:noProof/>
        </w:rPr>
      </w:pPr>
      <w:r>
        <w:t>Nem alkalmazandó</w:t>
      </w:r>
    </w:p>
    <w:p>
      <w:pPr>
        <w:pStyle w:val="Text1"/>
        <w:rPr>
          <w:noProof/>
        </w:rPr>
      </w:pPr>
      <w:r>
        <w:rPr>
          <w:noProof/>
          <w:sz w:val="20"/>
        </w:rPr>
        <w:t>Egyéb megjegyzések (pl. a bevételre gyakorolt hatás számítására használt módszer/képlet vagy egyéb más információ).</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HU</w:t>
    </w:r>
    <w:r>
      <w:rPr>
        <w:rFonts w:ascii="Arial" w:hAnsi="Arial" w:cs="Arial"/>
        <w:b/>
        <w:sz w:val="48"/>
      </w:rPr>
      <w:tab/>
    </w:r>
    <w:r>
      <w:rPr>
        <w:rFonts w:ascii="Arial" w:hAnsi="Arial" w:cs="Arial"/>
        <w:b/>
        <w:sz w:val="48"/>
      </w:rPr>
      <w:tab/>
    </w:r>
    <w:r>
      <w:tab/>
    </w:r>
    <w:r>
      <w:rPr>
        <w:rFonts w:ascii="Arial" w:hAnsi="Arial" w:cs="Arial"/>
        <w:b/>
        <w:sz w:val="48"/>
      </w:rPr>
      <w:t>HU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HU</w:t>
    </w:r>
    <w:r>
      <w:rPr>
        <w:rFonts w:ascii="Arial" w:hAnsi="Arial" w:cs="Arial"/>
        <w:b/>
        <w:sz w:val="48"/>
      </w:rPr>
      <w:tab/>
    </w:r>
    <w:r>
      <w:fldChar w:fldCharType="begin"/>
    </w:r>
    <w:r>
      <w:instrText xml:space="preserve"> PAGE  \* MERGEFORMAT </w:instrText>
    </w:r>
    <w:r>
      <w:fldChar w:fldCharType="separate"/>
    </w:r>
    <w:r>
      <w:rPr>
        <w:noProof/>
      </w:rPr>
      <w:t>6</w:t>
    </w:r>
    <w:r>
      <w:fldChar w:fldCharType="end"/>
    </w:r>
    <w:r>
      <w:tab/>
    </w:r>
    <w:r>
      <w:tab/>
    </w:r>
    <w:r>
      <w:rPr>
        <w:rFonts w:ascii="Arial" w:hAnsi="Arial" w:cs="Arial"/>
        <w:b/>
        <w:sz w:val="48"/>
      </w:rPr>
      <w:t>HU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rPr>
        <w:rFonts w:ascii="Arial" w:hAnsi="Arial" w:cs="Arial"/>
        <w:b/>
        <w:sz w:val="48"/>
      </w:rPr>
    </w:pPr>
    <w:r>
      <w:rPr>
        <w:rFonts w:ascii="Arial" w:hAnsi="Arial" w:cs="Arial"/>
        <w:b/>
        <w:sz w:val="48"/>
      </w:rPr>
      <w:t>HU</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HU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HU</w:t>
    </w:r>
    <w:r>
      <w:rPr>
        <w:rFonts w:ascii="Arial" w:hAnsi="Arial" w:cs="Arial"/>
        <w:b/>
        <w:sz w:val="48"/>
      </w:rPr>
      <w:tab/>
    </w:r>
    <w:r>
      <w:fldChar w:fldCharType="begin"/>
    </w:r>
    <w:r>
      <w:instrText xml:space="preserve"> PAGE  \* MERGEFORMAT </w:instrText>
    </w:r>
    <w:r>
      <w:fldChar w:fldCharType="separate"/>
    </w:r>
    <w:r>
      <w:rPr>
        <w:noProof/>
      </w:rPr>
      <w:t>18</w:t>
    </w:r>
    <w:r>
      <w:fldChar w:fldCharType="end"/>
    </w:r>
    <w:r>
      <w:tab/>
    </w:r>
    <w:r>
      <w:tab/>
    </w:r>
    <w:r>
      <w:rPr>
        <w:rFonts w:ascii="Arial" w:hAnsi="Arial" w:cs="Arial"/>
        <w:b/>
        <w:sz w:val="48"/>
      </w:rPr>
      <w:t>HU</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r>
      <w:hyperlink r:id="rId1" w:history="1">
        <w:r>
          <w:rPr>
            <w:rStyle w:val="Hyperlink"/>
          </w:rPr>
          <w:t>https://ec.europa.eu/commission/sites/beta-political/files/draft_withdrawal_agreement_0.pdf</w:t>
        </w:r>
      </w:hyperlink>
      <w:r>
        <w:t>.</w:t>
      </w:r>
    </w:p>
  </w:footnote>
  <w:footnote w:id="2">
    <w:p>
      <w:pPr>
        <w:pStyle w:val="FootnoteText"/>
      </w:pPr>
      <w:r>
        <w:rPr>
          <w:rStyle w:val="FootnoteReference"/>
        </w:rPr>
        <w:footnoteRef/>
      </w:r>
      <w:r>
        <w:tab/>
        <w:t>COM(2018) 880 final, 2018.11.13.</w:t>
      </w:r>
    </w:p>
  </w:footnote>
  <w:footnote w:id="3">
    <w:p>
      <w:pPr>
        <w:pStyle w:val="FootnoteText"/>
      </w:pPr>
      <w:r>
        <w:rPr>
          <w:rStyle w:val="FootnoteReference"/>
        </w:rPr>
        <w:footnoteRef/>
      </w:r>
      <w:r>
        <w:tab/>
        <w:t>E javaslat támpontjául a 2018. augusztus 1-jei COM(2018) 568 javaslat (Javaslat – Az Európai Parlament és a Tanács rendelete az 1316/2013/EU rendeletnek az Egyesült Királyság Unióból való kilépésére figyelemmel történő módosításáról) szolgált.</w:t>
      </w:r>
    </w:p>
  </w:footnote>
  <w:footnote w:id="4">
    <w:p>
      <w:pPr>
        <w:pStyle w:val="FootnoteText"/>
      </w:pPr>
      <w:r>
        <w:rPr>
          <w:rStyle w:val="FootnoteReference"/>
        </w:rPr>
        <w:footnoteRef/>
      </w:r>
      <w:r>
        <w:tab/>
        <w:t>HL C ., , . o.</w:t>
      </w:r>
    </w:p>
  </w:footnote>
  <w:footnote w:id="5">
    <w:p>
      <w:pPr>
        <w:pStyle w:val="FootnoteText"/>
      </w:pPr>
      <w:r>
        <w:rPr>
          <w:rStyle w:val="FootnoteReference"/>
        </w:rPr>
        <w:footnoteRef/>
      </w:r>
      <w:r>
        <w:tab/>
        <w:t>HL C ., , . o.</w:t>
      </w:r>
    </w:p>
  </w:footnote>
  <w:footnote w:id="6">
    <w:p>
      <w:pPr>
        <w:pStyle w:val="FootnoteText"/>
      </w:pPr>
      <w:r>
        <w:rPr>
          <w:rStyle w:val="FootnoteReference"/>
        </w:rPr>
        <w:footnoteRef/>
      </w:r>
      <w:r>
        <w:tab/>
        <w:t>Az Európai Parlament és a Tanács 1299/2013/EU rendelete (2013. december 17.) az Európai Regionális Fejlesztési Alap által az európai területi együttműködési célkitűzésnek nyújtott támogatásra vonatkozó egyedi rendelkezésekről (HL L 347., 2013.12.20., 259. o.).</w:t>
      </w:r>
    </w:p>
  </w:footnote>
  <w:footnote w:id="7">
    <w:p>
      <w:pPr>
        <w:pStyle w:val="FootnoteText"/>
      </w:pPr>
      <w:r>
        <w:rPr>
          <w:rStyle w:val="FootnoteReference"/>
        </w:rPr>
        <w:footnoteRef/>
      </w:r>
      <w:r>
        <w:tab/>
        <w:t>Az Európai Parlament és a Tanács 1303/2013/EU rendelete (2013. december 17.) az Európai Regionális Fejlesztési Alapra, az Európai Szociális Alapra, a Kohéziós Alapra, az Európai Mezőgazdasági Vidékfejlesztési Alapra és az Európai Tengerügyi és Halászati Alapra vonatkozó közös rendelkezések megállapításáról, az Európai Regionális Fejlesztési Alapra, az Európai Szociális Alapra és a Kohéziós Alapra és az Európai Tengerügyi és Halászati Alapra vonatkozó általános rendelkezések megállapításáról és az 1083/2006/EK tanácsi rendelet hatályon kívül helyezéséről (HL L 347., 2013.12.20., 320. o.).</w:t>
      </w:r>
    </w:p>
  </w:footnote>
  <w:footnote w:id="8">
    <w:p>
      <w:pPr>
        <w:pStyle w:val="FootnoteText"/>
      </w:pPr>
      <w:r>
        <w:rPr>
          <w:rStyle w:val="FootnoteReference"/>
        </w:rPr>
        <w:footnoteRef/>
      </w:r>
      <w:r>
        <w:tab/>
        <w:t>Az Európai Parlament és a Tanács (EU, Euratom) 2018/1046 rendelete (2018. július 18.)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(HL L 193., 2018.7.30., 1. o.).</w:t>
      </w:r>
    </w:p>
  </w:footnote>
  <w:footnote w:id="9">
    <w:p>
      <w:pPr>
        <w:pStyle w:val="FootnoteText"/>
        <w:jc w:val="left"/>
        <w:rPr>
          <w:szCs w:val="24"/>
        </w:rPr>
      </w:pPr>
      <w:r>
        <w:rPr>
          <w:rStyle w:val="FootnoteReference"/>
        </w:rPr>
        <w:footnoteRef/>
      </w:r>
      <w:r>
        <w:tab/>
        <w:t xml:space="preserve">Az egyes irányítási módszerek ismertetése, valamint a költségvetési rendeletre való megfelelő hivatkozások megtalálhatók a BudgWeb oldalon: </w:t>
      </w:r>
      <w:hyperlink r:id="rId2" w:history="1">
        <w:r>
          <w:rPr>
            <w:rStyle w:val="Hyperlink"/>
          </w:rPr>
          <w:t>https://myintracomm.ec.europa.eu/budgweb/EN/man/budgmanag/Pages/budgmanag.aspx</w:t>
        </w:r>
      </w:hyperlink>
      <w:r>
        <w:t xml:space="preserve"> </w:t>
      </w:r>
    </w:p>
  </w:footnote>
  <w:footnote w:id="10">
    <w:p>
      <w:pPr>
        <w:pStyle w:val="FootnoteText"/>
        <w:rPr>
          <w:szCs w:val="24"/>
        </w:rPr>
      </w:pPr>
      <w:r>
        <w:rPr>
          <w:rStyle w:val="FootnoteReference"/>
        </w:rPr>
        <w:footnoteRef/>
      </w:r>
      <w:r>
        <w:tab/>
        <w:t>Diff. = Differenciált előirányzatok / Nem diff. = Nem differenciált előirányzatok.</w:t>
      </w:r>
    </w:p>
  </w:footnote>
  <w:footnote w:id="11">
    <w:p>
      <w:pPr>
        <w:pStyle w:val="FootnoteText"/>
        <w:rPr>
          <w:szCs w:val="24"/>
        </w:rPr>
      </w:pPr>
      <w:r>
        <w:rPr>
          <w:rStyle w:val="FootnoteReference"/>
        </w:rPr>
        <w:footnoteRef/>
      </w:r>
      <w:r>
        <w:tab/>
        <w:t xml:space="preserve">EFTA: Európai Szabadkereskedelmi Társulás. </w:t>
      </w:r>
    </w:p>
  </w:footnote>
  <w:footnote w:id="12">
    <w:p>
      <w:pPr>
        <w:pStyle w:val="FootnoteText"/>
        <w:rPr>
          <w:szCs w:val="24"/>
        </w:rPr>
      </w:pPr>
      <w:r>
        <w:rPr>
          <w:rStyle w:val="FootnoteReference"/>
        </w:rPr>
        <w:footnoteRef/>
      </w:r>
      <w:r>
        <w:tab/>
        <w:t>Tagjelölt országok és adott esetben a nyugat-balkáni potenciális tagjelöltek.</w:t>
      </w:r>
    </w:p>
  </w:footnote>
  <w:footnote w:id="13">
    <w:p>
      <w:pPr>
        <w:pStyle w:val="FootnoteText"/>
        <w:rPr>
          <w:szCs w:val="24"/>
        </w:rPr>
      </w:pPr>
      <w:r>
        <w:rPr>
          <w:rStyle w:val="FootnoteReference"/>
        </w:rPr>
        <w:footnoteRef/>
      </w:r>
      <w:r>
        <w:tab/>
      </w:r>
      <w:r>
        <w:rPr>
          <w:sz w:val="18"/>
          <w:szCs w:val="18"/>
        </w:rPr>
        <w:t>Az N. év a javaslat/kezdeményezés végrehajtásának első éve. Az „N” helyére a végrehajtás várható első évét kell beírni (például: 2021) A következő évek esetében ugyanígy kell eljárni.</w:t>
      </w:r>
    </w:p>
  </w:footnote>
  <w:footnote w:id="14">
    <w:p>
      <w:pPr>
        <w:pStyle w:val="FootnoteText"/>
        <w:rPr>
          <w:szCs w:val="24"/>
        </w:rPr>
      </w:pPr>
      <w:r>
        <w:rPr>
          <w:rStyle w:val="FootnoteReference"/>
        </w:rPr>
        <w:footnoteRef/>
      </w:r>
      <w:r>
        <w:tab/>
        <w:t>A kimenetek a nyújtandó termékek és szolgáltatások (pl. finanszírozott diákcserék száma, épített utak hossza kilométerben stb.).</w:t>
      </w:r>
    </w:p>
  </w:footnote>
  <w:footnote w:id="15">
    <w:p>
      <w:pPr>
        <w:pStyle w:val="FootnoteText"/>
        <w:rPr>
          <w:szCs w:val="24"/>
        </w:rPr>
      </w:pPr>
      <w:r>
        <w:rPr>
          <w:rStyle w:val="FootnoteReference"/>
        </w:rPr>
        <w:footnoteRef/>
      </w:r>
      <w:r>
        <w:tab/>
        <w:t xml:space="preserve">Az 1.4.2. szakaszban („Konkrét célkitűzések…”) feltüntetett célkitűzés. </w:t>
      </w:r>
    </w:p>
  </w:footnote>
  <w:footnote w:id="16">
    <w:p>
      <w:pPr>
        <w:pStyle w:val="FootnoteText"/>
        <w:rPr>
          <w:sz w:val="18"/>
          <w:szCs w:val="18"/>
        </w:rPr>
      </w:pPr>
      <w:r>
        <w:rPr>
          <w:rStyle w:val="FootnoteReference"/>
        </w:rPr>
        <w:footnoteRef/>
      </w:r>
      <w:r>
        <w:tab/>
      </w:r>
      <w:r>
        <w:rPr>
          <w:sz w:val="18"/>
          <w:szCs w:val="18"/>
        </w:rPr>
        <w:t>Az N. év a javaslat/kezdeményezés végrehajtásának első éve. Az „N” helyére a végrehajtás várható első évét kell beírni (például: 2021) A következő évek esetében ugyanígy kell eljárni.</w:t>
      </w:r>
    </w:p>
  </w:footnote>
  <w:footnote w:id="17">
    <w:p>
      <w:pPr>
        <w:pStyle w:val="FootnoteText"/>
        <w:rPr>
          <w:szCs w:val="24"/>
        </w:rPr>
      </w:pPr>
      <w:r>
        <w:rPr>
          <w:rStyle w:val="FootnoteReference"/>
        </w:rPr>
        <w:footnoteRef/>
      </w:r>
      <w:r>
        <w:rPr>
          <w:sz w:val="18"/>
          <w:szCs w:val="18"/>
        </w:rPr>
        <w:tab/>
        <w:t>Technikai és/vagy igazgatási segítségnyújtás, valamint uniós programok és/vagy intézkedések végrehajtásához biztosított támogatási kiadások (korábban: BA-tételek), közvetett kutatás, közvetlen kutatás.</w:t>
      </w:r>
    </w:p>
  </w:footnote>
  <w:footnote w:id="18">
    <w:p>
      <w:pPr>
        <w:pStyle w:val="FootnoteText"/>
        <w:rPr>
          <w:szCs w:val="24"/>
        </w:rPr>
      </w:pPr>
      <w:r>
        <w:rPr>
          <w:rStyle w:val="FootnoteReference"/>
        </w:rPr>
        <w:footnoteRef/>
      </w:r>
      <w:r>
        <w:tab/>
        <w:t xml:space="preserve">AC = szerződéses alkalmazott; AL = helyi alkalmazott; END = kirendelt nemzeti szakértő; INT = kölcsönmunkaerő (átmeneti alkalmazott); JPD = küldöttségi pályakezdő szakértő. </w:t>
      </w:r>
    </w:p>
  </w:footnote>
  <w:footnote w:id="19">
    <w:p>
      <w:pPr>
        <w:pStyle w:val="FootnoteText"/>
        <w:rPr>
          <w:szCs w:val="24"/>
        </w:rPr>
      </w:pPr>
      <w:r>
        <w:rPr>
          <w:rStyle w:val="FootnoteReference"/>
        </w:rPr>
        <w:footnoteRef/>
      </w:r>
      <w:r>
        <w:tab/>
        <w:t>Az operatív előirányzatokból finanszírozott külső munkatársakra vonatkozó részleges felső határérték (korábban: BA-tételek).</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EF40EEB0"/>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5E426808"/>
    <w:lvl w:ilvl="0">
      <w:start w:val="1"/>
      <w:numFmt w:val="decimal"/>
      <w:pStyle w:val="ListNumber3"/>
      <w:lvlText w:val="%1."/>
      <w:lvlJc w:val="left"/>
      <w:pPr>
        <w:tabs>
          <w:tab w:val="num" w:pos="926"/>
        </w:tabs>
        <w:ind w:left="926" w:hanging="360"/>
      </w:pPr>
    </w:lvl>
  </w:abstractNum>
  <w:abstractNum w:abstractNumId="2">
    <w:nsid w:val="FFFFFF7F"/>
    <w:multiLevelType w:val="singleLevel"/>
    <w:tmpl w:val="AD16A6D0"/>
    <w:lvl w:ilvl="0">
      <w:start w:val="1"/>
      <w:numFmt w:val="decimal"/>
      <w:pStyle w:val="ListNumber2"/>
      <w:lvlText w:val="%1."/>
      <w:lvlJc w:val="left"/>
      <w:pPr>
        <w:tabs>
          <w:tab w:val="num" w:pos="643"/>
        </w:tabs>
        <w:ind w:left="643" w:hanging="360"/>
      </w:pPr>
    </w:lvl>
  </w:abstractNum>
  <w:abstractNum w:abstractNumId="3">
    <w:nsid w:val="FFFFFF81"/>
    <w:multiLevelType w:val="singleLevel"/>
    <w:tmpl w:val="1804D4C6"/>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2B8633FE"/>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18BC4624"/>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E78C8196"/>
    <w:lvl w:ilvl="0">
      <w:start w:val="1"/>
      <w:numFmt w:val="decimal"/>
      <w:pStyle w:val="ListNumber"/>
      <w:lvlText w:val="%1."/>
      <w:lvlJc w:val="left"/>
      <w:pPr>
        <w:tabs>
          <w:tab w:val="num" w:pos="360"/>
        </w:tabs>
        <w:ind w:left="360" w:hanging="360"/>
      </w:pPr>
    </w:lvl>
  </w:abstractNum>
  <w:abstractNum w:abstractNumId="7">
    <w:nsid w:val="FFFFFF89"/>
    <w:multiLevelType w:val="singleLevel"/>
    <w:tmpl w:val="503453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9">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rPr>
    </w:lvl>
  </w:abstractNum>
  <w:abstractNum w:abstractNumId="14">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rPr>
    </w:lvl>
  </w:abstractNum>
  <w:abstractNum w:abstractNumId="18">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rPr>
    </w:lvl>
  </w:abstractNum>
  <w:abstractNum w:abstractNumId="19">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5">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5"/>
    <w:lvlOverride w:ilvl="0">
      <w:startOverride w:val="1"/>
    </w:lvlOverride>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8"/>
  </w:num>
  <w:num w:numId="11">
    <w:abstractNumId w:val="13"/>
  </w:num>
  <w:num w:numId="12">
    <w:abstractNumId w:val="18"/>
  </w:num>
  <w:num w:numId="13">
    <w:abstractNumId w:val="17"/>
  </w:num>
  <w:num w:numId="1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4"/>
    <w:lvlOverride w:ilvl="0">
      <w:startOverride w:val="1"/>
    </w:lvlOverride>
  </w:num>
  <w:num w:numId="17">
    <w:abstractNumId w:val="22"/>
  </w:num>
  <w:num w:numId="18">
    <w:abstractNumId w:val="14"/>
  </w:num>
  <w:num w:numId="19">
    <w:abstractNumId w:val="24"/>
  </w:num>
  <w:num w:numId="20">
    <w:abstractNumId w:val="12"/>
  </w:num>
  <w:num w:numId="21">
    <w:abstractNumId w:val="15"/>
  </w:num>
  <w:num w:numId="22">
    <w:abstractNumId w:val="10"/>
  </w:num>
  <w:num w:numId="23">
    <w:abstractNumId w:val="23"/>
  </w:num>
  <w:num w:numId="24">
    <w:abstractNumId w:val="9"/>
  </w:num>
  <w:num w:numId="25">
    <w:abstractNumId w:val="16"/>
  </w:num>
  <w:num w:numId="26">
    <w:abstractNumId w:val="20"/>
  </w:num>
  <w:num w:numId="27">
    <w:abstractNumId w:val="21"/>
  </w:num>
  <w:num w:numId="28">
    <w:abstractNumId w:val="11"/>
  </w:num>
  <w:num w:numId="29">
    <w:abstractNumId w:val="19"/>
  </w:num>
  <w:num w:numId="30">
    <w:abstractNumId w:val="25"/>
  </w:num>
  <w:num w:numId="31">
    <w:abstractNumId w:val="22"/>
  </w:num>
  <w:num w:numId="32">
    <w:abstractNumId w:val="14"/>
  </w:num>
  <w:num w:numId="33">
    <w:abstractNumId w:val="24"/>
  </w:num>
  <w:num w:numId="34">
    <w:abstractNumId w:val="12"/>
  </w:num>
  <w:num w:numId="35">
    <w:abstractNumId w:val="15"/>
  </w:num>
  <w:num w:numId="36">
    <w:abstractNumId w:val="10"/>
  </w:num>
  <w:num w:numId="37">
    <w:abstractNumId w:val="23"/>
  </w:num>
  <w:num w:numId="38">
    <w:abstractNumId w:val="9"/>
  </w:num>
  <w:num w:numId="39">
    <w:abstractNumId w:val="16"/>
  </w:num>
  <w:num w:numId="40">
    <w:abstractNumId w:val="20"/>
  </w:num>
  <w:num w:numId="41">
    <w:abstractNumId w:val="21"/>
  </w:num>
  <w:num w:numId="42">
    <w:abstractNumId w:val="11"/>
  </w:num>
  <w:num w:numId="43">
    <w:abstractNumId w:val="19"/>
  </w:num>
  <w:num w:numId="44">
    <w:abstractNumId w:val="25"/>
  </w:num>
  <w:num w:numId="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8-12-21 10:13:37"/>
    <w:docVar w:name="DQCResult_Distribution" w:val="0;1"/>
    <w:docVar w:name="DQCResult_DocumentContent" w:val="0;0"/>
    <w:docVar w:name="DQCResult_DocumentSize" w:val="0;0"/>
    <w:docVar w:name="DQCResult_DocumentVersions" w:val="0;0"/>
    <w:docVar w:name="DQCResult_InvalidFootnotes" w:val="0;0"/>
    <w:docVar w:name="DQCResult_LinkedStyles" w:val="0;0"/>
    <w:docVar w:name="DQCResult_ModifiedMargins" w:val="0;3"/>
    <w:docVar w:name="DQCResult_ModifiedMarkers" w:val="0;0"/>
    <w:docVar w:name="DQCResult_ModifiedNumbering" w:val="0;0"/>
    <w:docVar w:name="DQCResult_Objects" w:val="0;0"/>
    <w:docVar w:name="DQCResult_Sections" w:val="0;0"/>
    <w:docVar w:name="DQCResult_StructureCheck" w:val="0;0"/>
    <w:docVar w:name="DQCResult_SuperfluousWhitespace" w:val="0;10"/>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41CBD426-BD5F-4D59-917D-2133FF1D3974"/>
    <w:docVar w:name="LW_COVERPAGE_TYPE" w:val="1"/>
    <w:docVar w:name="LW_CROSSREFERENCE" w:val="&lt;UNUSED&gt;"/>
    <w:docVar w:name="LW_DocType" w:val="COM"/>
    <w:docVar w:name="LW_EMISSION" w:val="2018.12.19."/>
    <w:docVar w:name="LW_EMISSION_ISODATE" w:val="2018-12-19"/>
    <w:docVar w:name="LW_EMISSION_LOCATION" w:val="BRX"/>
    <w:docVar w:name="LW_EMISSION_PREFIX" w:val="Brüsszel, "/>
    <w:docVar w:name="LW_EMISSION_SUFFIX" w:val=" "/>
    <w:docVar w:name="LW_ID_DOCMODEL" w:val="SJ-023"/>
    <w:docVar w:name="LW_ID_DOCSIGNATURE" w:val="SJ-023"/>
    <w:docVar w:name="LW_ID_DOCSTRUCTURE" w:val="COM/PL/ORG"/>
    <w:docVar w:name="LW_ID_DOCTYPE" w:val="SJ-023"/>
    <w:docVar w:name="LW_ID_EXP.MOTIFS.NEW" w:val="EM_PL_"/>
    <w:docVar w:name="LW_ID_STATUT" w:val="SJ-023"/>
    <w:docVar w:name="LW_INTERETEEE.CP" w:val="&lt;UNUSED&gt;"/>
    <w:docVar w:name="LW_LANGUE" w:val="HU"/>
    <w:docVar w:name="LW_LEVEL_OF_SENSITIVITY" w:val="Standard treatment"/>
    <w:docVar w:name="LW_NOM.INST" w:val="EURÓPAI BIZOTTSÁG"/>
    <w:docVar w:name="LW_NOM.INST_JOINTDOC" w:val="&lt;EMPTY&gt;"/>
    <w:docVar w:name="LW_PART_NBR" w:val="1"/>
    <w:docVar w:name="LW_PART_NBR_TOTAL" w:val="1"/>
    <w:docVar w:name="LW_REF.II.NEW.CP" w:val="COD"/>
    <w:docVar w:name="LW_REF.II.NEW.CP_NUMBER" w:val="0432"/>
    <w:docVar w:name="LW_REF.II.NEW.CP_YEAR" w:val="2018"/>
    <w:docVar w:name="LW_REF.INST.NEW" w:val="COM"/>
    <w:docVar w:name="LW_REF.INST.NEW_ADOPTED" w:val="final"/>
    <w:docVar w:name="LW_REF.INST.NEW_TEXT" w:val="(2018) 89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Javaslat"/>
    <w:docVar w:name="LW_SUPERTITRE" w:val="&lt;UNUSED&gt;"/>
    <w:docVar w:name="LW_TITRE.OBJ.CP" w:val="az Egyesült Királyság Európai Unióból való kilépésére tekintettel a PEACE IV (Írország\u8211?Egyesült Királyság) és az Egyesült Királyság\u8211?Írország (Írország\u8211?Észak-Írország\u8211?Skócia) területi együttm\u369?ködési programok folyamatosságának lehet\u337?vé tételér\u337?l"/>
    <w:docVar w:name="LW_TYPE.DOC.CP" w:val="AZ EURÓPAI PARLAMENT ÉS A TANÁCS RENDELETE"/>
  </w:docVar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table of figures" w:uiPriority="0"/>
    <w:lsdException w:name="annotation reference"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hu-HU"/>
    </w:rPr>
  </w:style>
  <w:style w:type="paragraph" w:styleId="Heading1">
    <w:name w:val="heading 1"/>
    <w:basedOn w:val="Normal"/>
    <w:next w:val="Text1"/>
    <w:link w:val="Heading1Char"/>
    <w:uiPriority w:val="9"/>
    <w:qFormat/>
    <w:pPr>
      <w:keepNext/>
      <w:numPr>
        <w:numId w:val="3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7"/>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spacing w:before="0" w:after="160" w:line="259" w:lineRule="auto"/>
      <w:ind w:left="720"/>
      <w:contextualSpacing/>
      <w:jc w:val="left"/>
    </w:pPr>
    <w:rPr>
      <w:rFonts w:asciiTheme="minorHAnsi" w:hAnsiTheme="minorHAnsi" w:cstheme="minorBidi"/>
      <w:sz w:val="22"/>
    </w:rPr>
  </w:style>
  <w:style w:type="character" w:styleId="CommentReference">
    <w:name w:val="annotation reference"/>
    <w:basedOn w:val="DefaultParagraphFont"/>
    <w:unhideWhenUsed/>
    <w:rPr>
      <w:sz w:val="16"/>
      <w:szCs w:val="16"/>
    </w:rPr>
  </w:style>
  <w:style w:type="paragraph" w:styleId="CommentText">
    <w:name w:val="annotation text"/>
    <w:basedOn w:val="Normal"/>
    <w:link w:val="CommentTextChar"/>
    <w:unhideWhenUsed/>
    <w:pPr>
      <w:spacing w:before="0" w:after="160"/>
      <w:jc w:val="left"/>
    </w:pPr>
    <w:rPr>
      <w:rFonts w:asciiTheme="minorHAnsi" w:hAnsiTheme="minorHAnsi" w:cstheme="minorBidi"/>
      <w:sz w:val="20"/>
      <w:szCs w:val="20"/>
    </w:rPr>
  </w:style>
  <w:style w:type="character" w:customStyle="1" w:styleId="CommentTextChar">
    <w:name w:val="Comment Text Char"/>
    <w:basedOn w:val="DefaultParagraphFont"/>
    <w:link w:val="CommentText"/>
    <w:rPr>
      <w:sz w:val="20"/>
      <w:szCs w:val="20"/>
      <w:lang w:val="hu-HU"/>
    </w:rPr>
  </w:style>
  <w:style w:type="paragraph" w:styleId="BalloonText">
    <w:name w:val="Balloon Text"/>
    <w:basedOn w:val="Normal"/>
    <w:link w:val="BalloonTextChar"/>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val="hu-HU"/>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Caption">
    <w:name w:val="caption"/>
    <w:basedOn w:val="Normal"/>
    <w:next w:val="Normal"/>
    <w:unhideWhenUsed/>
    <w:qFormat/>
    <w:pPr>
      <w:spacing w:before="0" w:after="200"/>
    </w:pPr>
    <w:rPr>
      <w:b/>
      <w:bCs/>
      <w:color w:val="4F81BD" w:themeColor="accent1"/>
      <w:sz w:val="18"/>
      <w:szCs w:val="18"/>
    </w:rPr>
  </w:style>
  <w:style w:type="paragraph" w:styleId="TableofFigures">
    <w:name w:val="table of figures"/>
    <w:basedOn w:val="Normal"/>
    <w:next w:val="Normal"/>
    <w:unhideWhenUsed/>
    <w:pPr>
      <w:spacing w:after="0"/>
    </w:pPr>
  </w:style>
  <w:style w:type="paragraph" w:styleId="ListBullet">
    <w:name w:val="List Bullet"/>
    <w:basedOn w:val="Normal"/>
    <w:unhideWhenUsed/>
    <w:pPr>
      <w:numPr>
        <w:numId w:val="2"/>
      </w:numPr>
      <w:contextualSpacing/>
    </w:pPr>
  </w:style>
  <w:style w:type="paragraph" w:styleId="ListBullet2">
    <w:name w:val="List Bullet 2"/>
    <w:basedOn w:val="Normal"/>
    <w:unhideWhenUsed/>
    <w:pPr>
      <w:numPr>
        <w:numId w:val="3"/>
      </w:numPr>
      <w:contextualSpacing/>
    </w:pPr>
  </w:style>
  <w:style w:type="paragraph" w:styleId="ListBullet3">
    <w:name w:val="List Bullet 3"/>
    <w:basedOn w:val="Normal"/>
    <w:unhideWhenUsed/>
    <w:pPr>
      <w:numPr>
        <w:numId w:val="4"/>
      </w:numPr>
      <w:contextualSpacing/>
    </w:pPr>
  </w:style>
  <w:style w:type="paragraph" w:styleId="ListBullet4">
    <w:name w:val="List Bullet 4"/>
    <w:basedOn w:val="Normal"/>
    <w:unhideWhenUsed/>
    <w:pPr>
      <w:numPr>
        <w:numId w:val="5"/>
      </w:numPr>
      <w:contextualSpacing/>
    </w:pPr>
  </w:style>
  <w:style w:type="paragraph" w:styleId="ListNumber">
    <w:name w:val="List Number"/>
    <w:basedOn w:val="Normal"/>
    <w:unhideWhenUsed/>
    <w:pPr>
      <w:numPr>
        <w:numId w:val="6"/>
      </w:numPr>
      <w:contextualSpacing/>
    </w:pPr>
  </w:style>
  <w:style w:type="paragraph" w:styleId="ListNumber2">
    <w:name w:val="List Number 2"/>
    <w:basedOn w:val="Normal"/>
    <w:unhideWhenUsed/>
    <w:pPr>
      <w:numPr>
        <w:numId w:val="7"/>
      </w:numPr>
      <w:contextualSpacing/>
    </w:pPr>
  </w:style>
  <w:style w:type="paragraph" w:styleId="ListNumber3">
    <w:name w:val="List Number 3"/>
    <w:basedOn w:val="Normal"/>
    <w:unhideWhenUsed/>
    <w:pPr>
      <w:numPr>
        <w:numId w:val="8"/>
      </w:numPr>
      <w:contextualSpacing/>
    </w:pPr>
  </w:style>
  <w:style w:type="paragraph" w:styleId="ListNumber4">
    <w:name w:val="List Number 4"/>
    <w:basedOn w:val="Normal"/>
    <w:unhideWhenUsed/>
    <w:pPr>
      <w:numPr>
        <w:numId w:val="9"/>
      </w:numPr>
      <w:contextualSpacing/>
    </w:pPr>
  </w:style>
  <w:style w:type="paragraph" w:styleId="CommentSubject">
    <w:name w:val="annotation subject"/>
    <w:basedOn w:val="CommentText"/>
    <w:next w:val="CommentText"/>
    <w:link w:val="CommentSubjectChar"/>
    <w:unhideWhenUsed/>
    <w:pPr>
      <w:spacing w:before="120" w:after="120"/>
      <w:jc w:val="both"/>
    </w:pPr>
    <w:rPr>
      <w:rFonts w:ascii="Times New Roman" w:hAnsi="Times New Roman" w:cs="Times New Roman"/>
      <w:b/>
      <w:bCs/>
    </w:rPr>
  </w:style>
  <w:style w:type="character" w:customStyle="1" w:styleId="CommentSubjectChar">
    <w:name w:val="Comment Subject Char"/>
    <w:basedOn w:val="CommentTextChar"/>
    <w:link w:val="CommentSubject"/>
    <w:rPr>
      <w:rFonts w:ascii="Times New Roman" w:hAnsi="Times New Roman" w:cs="Times New Roman"/>
      <w:b/>
      <w:bCs/>
      <w:sz w:val="20"/>
      <w:szCs w:val="20"/>
      <w:lang w:val="hu-HU"/>
    </w:rPr>
  </w:style>
  <w:style w:type="character" w:styleId="Hyperlink">
    <w:name w:val="Hyperlink"/>
    <w:basedOn w:val="DefaultParagraphFont"/>
    <w:uiPriority w:val="99"/>
    <w:unhideWhenUsed/>
    <w:rPr>
      <w:color w:val="0000FF" w:themeColor="hyperlink"/>
      <w:u w:val="single"/>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ListBullet1">
    <w:name w:val="List Bullet 1"/>
    <w:basedOn w:val="Normal"/>
    <w:pPr>
      <w:numPr>
        <w:numId w:val="10"/>
      </w:numPr>
    </w:pPr>
    <w:rPr>
      <w:lang w:eastAsia="en-GB"/>
    </w:rPr>
  </w:style>
  <w:style w:type="paragraph" w:customStyle="1" w:styleId="ListDash">
    <w:name w:val="List Dash"/>
    <w:basedOn w:val="Normal"/>
    <w:pPr>
      <w:numPr>
        <w:numId w:val="11"/>
      </w:numPr>
    </w:pPr>
    <w:rPr>
      <w:lang w:eastAsia="en-GB"/>
    </w:rPr>
  </w:style>
  <w:style w:type="paragraph" w:customStyle="1" w:styleId="ListDash1">
    <w:name w:val="List Dash 1"/>
    <w:basedOn w:val="Normal"/>
    <w:pPr>
      <w:numPr>
        <w:numId w:val="12"/>
      </w:numPr>
    </w:pPr>
    <w:rPr>
      <w:lang w:eastAsia="en-GB"/>
    </w:rPr>
  </w:style>
  <w:style w:type="paragraph" w:customStyle="1" w:styleId="ListDash2">
    <w:name w:val="List Dash 2"/>
    <w:basedOn w:val="Normal"/>
    <w:pPr>
      <w:numPr>
        <w:numId w:val="13"/>
      </w:numPr>
    </w:pPr>
    <w:rPr>
      <w:lang w:eastAsia="en-GB"/>
    </w:rPr>
  </w:style>
  <w:style w:type="paragraph" w:customStyle="1" w:styleId="ListNumberLevel2">
    <w:name w:val="List Number (Level 2)"/>
    <w:basedOn w:val="Normal"/>
    <w:pPr>
      <w:tabs>
        <w:tab w:val="num" w:pos="1417"/>
      </w:tabs>
      <w:ind w:left="1417" w:hanging="708"/>
    </w:pPr>
    <w:rPr>
      <w:lang w:eastAsia="en-GB"/>
    </w:rPr>
  </w:style>
  <w:style w:type="paragraph" w:customStyle="1" w:styleId="ListNumberLevel3">
    <w:name w:val="List Number (Level 3)"/>
    <w:basedOn w:val="Normal"/>
    <w:pPr>
      <w:tabs>
        <w:tab w:val="num" w:pos="2126"/>
      </w:tabs>
      <w:ind w:left="2126" w:hanging="709"/>
    </w:pPr>
    <w:rPr>
      <w:lang w:eastAsia="en-GB"/>
    </w:rPr>
  </w:style>
  <w:style w:type="paragraph" w:customStyle="1" w:styleId="ListNumberLevel4">
    <w:name w:val="List Number (Level 4)"/>
    <w:basedOn w:val="Normal"/>
    <w:pPr>
      <w:tabs>
        <w:tab w:val="num" w:pos="2835"/>
      </w:tabs>
      <w:ind w:left="2835" w:hanging="709"/>
    </w:pPr>
    <w:rPr>
      <w:lang w:eastAsia="en-GB"/>
    </w:rPr>
  </w:style>
  <w:style w:type="paragraph" w:customStyle="1" w:styleId="Sous-titreobjet">
    <w:name w:val="Sous-titre objet"/>
    <w:basedOn w:val="Normal"/>
    <w:pPr>
      <w:spacing w:before="0" w:after="0"/>
      <w:jc w:val="center"/>
    </w:pPr>
    <w:rPr>
      <w:b/>
      <w:lang w:eastAsia="en-GB"/>
    </w:rPr>
  </w:style>
  <w:style w:type="paragraph" w:customStyle="1" w:styleId="Sous-titreobjetPagedecouverture">
    <w:name w:val="Sous-titre objet (Page de couverture)"/>
    <w:basedOn w:val="Sous-titreobjet"/>
  </w:style>
  <w:style w:type="character" w:styleId="FollowedHyperlink">
    <w:name w:val="FollowedHyperlink"/>
    <w:rPr>
      <w:color w:val="800080"/>
      <w:u w:val="single"/>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TOCHeadingChar">
    <w:name w:val="TOC Heading Char"/>
    <w:basedOn w:val="DefaultParagraphFont"/>
    <w:uiPriority w:val="39"/>
    <w:rPr>
      <w:rFonts w:ascii="Times New Roman" w:hAnsi="Times New Roman" w:cs="Times New Roman"/>
      <w:b/>
      <w:sz w:val="28"/>
      <w:lang w:val="hu-HU"/>
    </w:rPr>
  </w:style>
  <w:style w:type="character" w:customStyle="1" w:styleId="FooterCoverPageChar">
    <w:name w:val="Footer Cover Page Char"/>
    <w:basedOn w:val="TOCHeadingChar"/>
    <w:link w:val="FooterCoverPage"/>
    <w:rPr>
      <w:rFonts w:ascii="Times New Roman" w:hAnsi="Times New Roman" w:cs="Times New Roman"/>
      <w:b w:val="0"/>
      <w:sz w:val="24"/>
      <w:lang w:val="hu-HU"/>
    </w:rPr>
  </w:style>
  <w:style w:type="paragraph" w:customStyle="1" w:styleId="HeaderCoverPage">
    <w:name w:val="Header Cover Page"/>
    <w:basedOn w:val="Normal"/>
    <w:link w:val="HeaderCoverPageChar"/>
    <w:pPr>
      <w:tabs>
        <w:tab w:val="center" w:pos="4535"/>
        <w:tab w:val="right" w:pos="9071"/>
      </w:tabs>
      <w:spacing w:before="0"/>
    </w:pPr>
    <w:rPr>
      <w:lang w:eastAsia="en-GB"/>
    </w:rPr>
  </w:style>
  <w:style w:type="character" w:customStyle="1" w:styleId="HeaderCoverPageChar">
    <w:name w:val="Header Cover Page Char"/>
    <w:basedOn w:val="TOCHeadingChar"/>
    <w:link w:val="HeaderCoverPage"/>
    <w:rPr>
      <w:rFonts w:ascii="Times New Roman" w:hAnsi="Times New Roman" w:cs="Times New Roman"/>
      <w:b w:val="0"/>
      <w:sz w:val="24"/>
      <w:lang w:val="hu-HU" w:eastAsia="en-GB"/>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hu-HU"/>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hu-HU"/>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1"/>
      </w:numPr>
    </w:pPr>
  </w:style>
  <w:style w:type="paragraph" w:customStyle="1" w:styleId="Tiret1">
    <w:name w:val="Tiret 1"/>
    <w:basedOn w:val="Point1"/>
    <w:pPr>
      <w:numPr>
        <w:numId w:val="32"/>
      </w:numPr>
    </w:pPr>
  </w:style>
  <w:style w:type="paragraph" w:customStyle="1" w:styleId="Tiret2">
    <w:name w:val="Tiret 2"/>
    <w:basedOn w:val="Point2"/>
    <w:pPr>
      <w:numPr>
        <w:numId w:val="33"/>
      </w:numPr>
    </w:pPr>
  </w:style>
  <w:style w:type="paragraph" w:customStyle="1" w:styleId="Tiret3">
    <w:name w:val="Tiret 3"/>
    <w:basedOn w:val="Point3"/>
    <w:pPr>
      <w:numPr>
        <w:numId w:val="34"/>
      </w:numPr>
    </w:pPr>
  </w:style>
  <w:style w:type="paragraph" w:customStyle="1" w:styleId="Tiret4">
    <w:name w:val="Tiret 4"/>
    <w:basedOn w:val="Point4"/>
    <w:pPr>
      <w:numPr>
        <w:numId w:val="3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6"/>
      </w:numPr>
    </w:pPr>
  </w:style>
  <w:style w:type="paragraph" w:customStyle="1" w:styleId="NumPar2">
    <w:name w:val="NumPar 2"/>
    <w:basedOn w:val="Normal"/>
    <w:next w:val="Text1"/>
    <w:pPr>
      <w:numPr>
        <w:ilvl w:val="1"/>
        <w:numId w:val="36"/>
      </w:numPr>
    </w:pPr>
  </w:style>
  <w:style w:type="paragraph" w:customStyle="1" w:styleId="NumPar3">
    <w:name w:val="NumPar 3"/>
    <w:basedOn w:val="Normal"/>
    <w:next w:val="Text1"/>
    <w:pPr>
      <w:numPr>
        <w:ilvl w:val="2"/>
        <w:numId w:val="36"/>
      </w:numPr>
    </w:pPr>
  </w:style>
  <w:style w:type="paragraph" w:customStyle="1" w:styleId="NumPar4">
    <w:name w:val="NumPar 4"/>
    <w:basedOn w:val="Normal"/>
    <w:next w:val="Text1"/>
    <w:pPr>
      <w:numPr>
        <w:ilvl w:val="3"/>
        <w:numId w:val="3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8"/>
      </w:numPr>
    </w:pPr>
  </w:style>
  <w:style w:type="paragraph" w:customStyle="1" w:styleId="Point1number">
    <w:name w:val="Point 1 (number)"/>
    <w:basedOn w:val="Normal"/>
    <w:pPr>
      <w:numPr>
        <w:ilvl w:val="2"/>
        <w:numId w:val="38"/>
      </w:numPr>
    </w:pPr>
  </w:style>
  <w:style w:type="paragraph" w:customStyle="1" w:styleId="Point2number">
    <w:name w:val="Point 2 (number)"/>
    <w:basedOn w:val="Normal"/>
    <w:pPr>
      <w:numPr>
        <w:ilvl w:val="4"/>
        <w:numId w:val="38"/>
      </w:numPr>
    </w:pPr>
  </w:style>
  <w:style w:type="paragraph" w:customStyle="1" w:styleId="Point3number">
    <w:name w:val="Point 3 (number)"/>
    <w:basedOn w:val="Normal"/>
    <w:pPr>
      <w:numPr>
        <w:ilvl w:val="6"/>
        <w:numId w:val="38"/>
      </w:numPr>
    </w:pPr>
  </w:style>
  <w:style w:type="paragraph" w:customStyle="1" w:styleId="Point0letter">
    <w:name w:val="Point 0 (letter)"/>
    <w:basedOn w:val="Normal"/>
    <w:pPr>
      <w:numPr>
        <w:ilvl w:val="1"/>
        <w:numId w:val="38"/>
      </w:numPr>
    </w:pPr>
  </w:style>
  <w:style w:type="paragraph" w:customStyle="1" w:styleId="Point1letter">
    <w:name w:val="Point 1 (letter)"/>
    <w:basedOn w:val="Normal"/>
    <w:pPr>
      <w:numPr>
        <w:ilvl w:val="3"/>
        <w:numId w:val="38"/>
      </w:numPr>
    </w:pPr>
  </w:style>
  <w:style w:type="paragraph" w:customStyle="1" w:styleId="Point2letter">
    <w:name w:val="Point 2 (letter)"/>
    <w:basedOn w:val="Normal"/>
    <w:pPr>
      <w:numPr>
        <w:ilvl w:val="5"/>
        <w:numId w:val="38"/>
      </w:numPr>
    </w:pPr>
  </w:style>
  <w:style w:type="paragraph" w:customStyle="1" w:styleId="Point3letter">
    <w:name w:val="Point 3 (letter)"/>
    <w:basedOn w:val="Normal"/>
    <w:pPr>
      <w:numPr>
        <w:ilvl w:val="7"/>
        <w:numId w:val="38"/>
      </w:numPr>
    </w:pPr>
  </w:style>
  <w:style w:type="paragraph" w:customStyle="1" w:styleId="Point4letter">
    <w:name w:val="Point 4 (letter)"/>
    <w:basedOn w:val="Normal"/>
    <w:pPr>
      <w:numPr>
        <w:ilvl w:val="8"/>
        <w:numId w:val="38"/>
      </w:numPr>
    </w:pPr>
  </w:style>
  <w:style w:type="paragraph" w:customStyle="1" w:styleId="Bullet0">
    <w:name w:val="Bullet 0"/>
    <w:basedOn w:val="Normal"/>
    <w:pPr>
      <w:numPr>
        <w:numId w:val="39"/>
      </w:numPr>
    </w:pPr>
  </w:style>
  <w:style w:type="paragraph" w:customStyle="1" w:styleId="Bullet1">
    <w:name w:val="Bullet 1"/>
    <w:basedOn w:val="Normal"/>
    <w:pPr>
      <w:numPr>
        <w:numId w:val="40"/>
      </w:numPr>
    </w:pPr>
  </w:style>
  <w:style w:type="paragraph" w:customStyle="1" w:styleId="Bullet2">
    <w:name w:val="Bullet 2"/>
    <w:basedOn w:val="Normal"/>
    <w:pPr>
      <w:numPr>
        <w:numId w:val="41"/>
      </w:numPr>
    </w:pPr>
  </w:style>
  <w:style w:type="paragraph" w:customStyle="1" w:styleId="Bullet3">
    <w:name w:val="Bullet 3"/>
    <w:basedOn w:val="Normal"/>
    <w:pPr>
      <w:numPr>
        <w:numId w:val="42"/>
      </w:numPr>
    </w:pPr>
  </w:style>
  <w:style w:type="paragraph" w:customStyle="1" w:styleId="Bullet4">
    <w:name w:val="Bullet 4"/>
    <w:basedOn w:val="Normal"/>
    <w:pPr>
      <w:numPr>
        <w:numId w:val="4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table of figures" w:uiPriority="0"/>
    <w:lsdException w:name="annotation reference"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hu-HU"/>
    </w:rPr>
  </w:style>
  <w:style w:type="paragraph" w:styleId="Heading1">
    <w:name w:val="heading 1"/>
    <w:basedOn w:val="Normal"/>
    <w:next w:val="Text1"/>
    <w:link w:val="Heading1Char"/>
    <w:uiPriority w:val="9"/>
    <w:qFormat/>
    <w:pPr>
      <w:keepNext/>
      <w:numPr>
        <w:numId w:val="3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7"/>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spacing w:before="0" w:after="160" w:line="259" w:lineRule="auto"/>
      <w:ind w:left="720"/>
      <w:contextualSpacing/>
      <w:jc w:val="left"/>
    </w:pPr>
    <w:rPr>
      <w:rFonts w:asciiTheme="minorHAnsi" w:hAnsiTheme="minorHAnsi" w:cstheme="minorBidi"/>
      <w:sz w:val="22"/>
    </w:rPr>
  </w:style>
  <w:style w:type="character" w:styleId="CommentReference">
    <w:name w:val="annotation reference"/>
    <w:basedOn w:val="DefaultParagraphFont"/>
    <w:unhideWhenUsed/>
    <w:rPr>
      <w:sz w:val="16"/>
      <w:szCs w:val="16"/>
    </w:rPr>
  </w:style>
  <w:style w:type="paragraph" w:styleId="CommentText">
    <w:name w:val="annotation text"/>
    <w:basedOn w:val="Normal"/>
    <w:link w:val="CommentTextChar"/>
    <w:unhideWhenUsed/>
    <w:pPr>
      <w:spacing w:before="0" w:after="160"/>
      <w:jc w:val="left"/>
    </w:pPr>
    <w:rPr>
      <w:rFonts w:asciiTheme="minorHAnsi" w:hAnsiTheme="minorHAnsi" w:cstheme="minorBidi"/>
      <w:sz w:val="20"/>
      <w:szCs w:val="20"/>
    </w:rPr>
  </w:style>
  <w:style w:type="character" w:customStyle="1" w:styleId="CommentTextChar">
    <w:name w:val="Comment Text Char"/>
    <w:basedOn w:val="DefaultParagraphFont"/>
    <w:link w:val="CommentText"/>
    <w:rPr>
      <w:sz w:val="20"/>
      <w:szCs w:val="20"/>
      <w:lang w:val="hu-HU"/>
    </w:rPr>
  </w:style>
  <w:style w:type="paragraph" w:styleId="BalloonText">
    <w:name w:val="Balloon Text"/>
    <w:basedOn w:val="Normal"/>
    <w:link w:val="BalloonTextChar"/>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val="hu-HU"/>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Caption">
    <w:name w:val="caption"/>
    <w:basedOn w:val="Normal"/>
    <w:next w:val="Normal"/>
    <w:unhideWhenUsed/>
    <w:qFormat/>
    <w:pPr>
      <w:spacing w:before="0" w:after="200"/>
    </w:pPr>
    <w:rPr>
      <w:b/>
      <w:bCs/>
      <w:color w:val="4F81BD" w:themeColor="accent1"/>
      <w:sz w:val="18"/>
      <w:szCs w:val="18"/>
    </w:rPr>
  </w:style>
  <w:style w:type="paragraph" w:styleId="TableofFigures">
    <w:name w:val="table of figures"/>
    <w:basedOn w:val="Normal"/>
    <w:next w:val="Normal"/>
    <w:unhideWhenUsed/>
    <w:pPr>
      <w:spacing w:after="0"/>
    </w:pPr>
  </w:style>
  <w:style w:type="paragraph" w:styleId="ListBullet">
    <w:name w:val="List Bullet"/>
    <w:basedOn w:val="Normal"/>
    <w:unhideWhenUsed/>
    <w:pPr>
      <w:numPr>
        <w:numId w:val="2"/>
      </w:numPr>
      <w:contextualSpacing/>
    </w:pPr>
  </w:style>
  <w:style w:type="paragraph" w:styleId="ListBullet2">
    <w:name w:val="List Bullet 2"/>
    <w:basedOn w:val="Normal"/>
    <w:unhideWhenUsed/>
    <w:pPr>
      <w:numPr>
        <w:numId w:val="3"/>
      </w:numPr>
      <w:contextualSpacing/>
    </w:pPr>
  </w:style>
  <w:style w:type="paragraph" w:styleId="ListBullet3">
    <w:name w:val="List Bullet 3"/>
    <w:basedOn w:val="Normal"/>
    <w:unhideWhenUsed/>
    <w:pPr>
      <w:numPr>
        <w:numId w:val="4"/>
      </w:numPr>
      <w:contextualSpacing/>
    </w:pPr>
  </w:style>
  <w:style w:type="paragraph" w:styleId="ListBullet4">
    <w:name w:val="List Bullet 4"/>
    <w:basedOn w:val="Normal"/>
    <w:unhideWhenUsed/>
    <w:pPr>
      <w:numPr>
        <w:numId w:val="5"/>
      </w:numPr>
      <w:contextualSpacing/>
    </w:pPr>
  </w:style>
  <w:style w:type="paragraph" w:styleId="ListNumber">
    <w:name w:val="List Number"/>
    <w:basedOn w:val="Normal"/>
    <w:unhideWhenUsed/>
    <w:pPr>
      <w:numPr>
        <w:numId w:val="6"/>
      </w:numPr>
      <w:contextualSpacing/>
    </w:pPr>
  </w:style>
  <w:style w:type="paragraph" w:styleId="ListNumber2">
    <w:name w:val="List Number 2"/>
    <w:basedOn w:val="Normal"/>
    <w:unhideWhenUsed/>
    <w:pPr>
      <w:numPr>
        <w:numId w:val="7"/>
      </w:numPr>
      <w:contextualSpacing/>
    </w:pPr>
  </w:style>
  <w:style w:type="paragraph" w:styleId="ListNumber3">
    <w:name w:val="List Number 3"/>
    <w:basedOn w:val="Normal"/>
    <w:unhideWhenUsed/>
    <w:pPr>
      <w:numPr>
        <w:numId w:val="8"/>
      </w:numPr>
      <w:contextualSpacing/>
    </w:pPr>
  </w:style>
  <w:style w:type="paragraph" w:styleId="ListNumber4">
    <w:name w:val="List Number 4"/>
    <w:basedOn w:val="Normal"/>
    <w:unhideWhenUsed/>
    <w:pPr>
      <w:numPr>
        <w:numId w:val="9"/>
      </w:numPr>
      <w:contextualSpacing/>
    </w:pPr>
  </w:style>
  <w:style w:type="paragraph" w:styleId="CommentSubject">
    <w:name w:val="annotation subject"/>
    <w:basedOn w:val="CommentText"/>
    <w:next w:val="CommentText"/>
    <w:link w:val="CommentSubjectChar"/>
    <w:unhideWhenUsed/>
    <w:pPr>
      <w:spacing w:before="120" w:after="120"/>
      <w:jc w:val="both"/>
    </w:pPr>
    <w:rPr>
      <w:rFonts w:ascii="Times New Roman" w:hAnsi="Times New Roman" w:cs="Times New Roman"/>
      <w:b/>
      <w:bCs/>
    </w:rPr>
  </w:style>
  <w:style w:type="character" w:customStyle="1" w:styleId="CommentSubjectChar">
    <w:name w:val="Comment Subject Char"/>
    <w:basedOn w:val="CommentTextChar"/>
    <w:link w:val="CommentSubject"/>
    <w:rPr>
      <w:rFonts w:ascii="Times New Roman" w:hAnsi="Times New Roman" w:cs="Times New Roman"/>
      <w:b/>
      <w:bCs/>
      <w:sz w:val="20"/>
      <w:szCs w:val="20"/>
      <w:lang w:val="hu-HU"/>
    </w:rPr>
  </w:style>
  <w:style w:type="character" w:styleId="Hyperlink">
    <w:name w:val="Hyperlink"/>
    <w:basedOn w:val="DefaultParagraphFont"/>
    <w:uiPriority w:val="99"/>
    <w:unhideWhenUsed/>
    <w:rPr>
      <w:color w:val="0000FF" w:themeColor="hyperlink"/>
      <w:u w:val="single"/>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ListBullet1">
    <w:name w:val="List Bullet 1"/>
    <w:basedOn w:val="Normal"/>
    <w:pPr>
      <w:numPr>
        <w:numId w:val="10"/>
      </w:numPr>
    </w:pPr>
    <w:rPr>
      <w:lang w:eastAsia="en-GB"/>
    </w:rPr>
  </w:style>
  <w:style w:type="paragraph" w:customStyle="1" w:styleId="ListDash">
    <w:name w:val="List Dash"/>
    <w:basedOn w:val="Normal"/>
    <w:pPr>
      <w:numPr>
        <w:numId w:val="11"/>
      </w:numPr>
    </w:pPr>
    <w:rPr>
      <w:lang w:eastAsia="en-GB"/>
    </w:rPr>
  </w:style>
  <w:style w:type="paragraph" w:customStyle="1" w:styleId="ListDash1">
    <w:name w:val="List Dash 1"/>
    <w:basedOn w:val="Normal"/>
    <w:pPr>
      <w:numPr>
        <w:numId w:val="12"/>
      </w:numPr>
    </w:pPr>
    <w:rPr>
      <w:lang w:eastAsia="en-GB"/>
    </w:rPr>
  </w:style>
  <w:style w:type="paragraph" w:customStyle="1" w:styleId="ListDash2">
    <w:name w:val="List Dash 2"/>
    <w:basedOn w:val="Normal"/>
    <w:pPr>
      <w:numPr>
        <w:numId w:val="13"/>
      </w:numPr>
    </w:pPr>
    <w:rPr>
      <w:lang w:eastAsia="en-GB"/>
    </w:rPr>
  </w:style>
  <w:style w:type="paragraph" w:customStyle="1" w:styleId="ListNumberLevel2">
    <w:name w:val="List Number (Level 2)"/>
    <w:basedOn w:val="Normal"/>
    <w:pPr>
      <w:tabs>
        <w:tab w:val="num" w:pos="1417"/>
      </w:tabs>
      <w:ind w:left="1417" w:hanging="708"/>
    </w:pPr>
    <w:rPr>
      <w:lang w:eastAsia="en-GB"/>
    </w:rPr>
  </w:style>
  <w:style w:type="paragraph" w:customStyle="1" w:styleId="ListNumberLevel3">
    <w:name w:val="List Number (Level 3)"/>
    <w:basedOn w:val="Normal"/>
    <w:pPr>
      <w:tabs>
        <w:tab w:val="num" w:pos="2126"/>
      </w:tabs>
      <w:ind w:left="2126" w:hanging="709"/>
    </w:pPr>
    <w:rPr>
      <w:lang w:eastAsia="en-GB"/>
    </w:rPr>
  </w:style>
  <w:style w:type="paragraph" w:customStyle="1" w:styleId="ListNumberLevel4">
    <w:name w:val="List Number (Level 4)"/>
    <w:basedOn w:val="Normal"/>
    <w:pPr>
      <w:tabs>
        <w:tab w:val="num" w:pos="2835"/>
      </w:tabs>
      <w:ind w:left="2835" w:hanging="709"/>
    </w:pPr>
    <w:rPr>
      <w:lang w:eastAsia="en-GB"/>
    </w:rPr>
  </w:style>
  <w:style w:type="paragraph" w:customStyle="1" w:styleId="Sous-titreobjet">
    <w:name w:val="Sous-titre objet"/>
    <w:basedOn w:val="Normal"/>
    <w:pPr>
      <w:spacing w:before="0" w:after="0"/>
      <w:jc w:val="center"/>
    </w:pPr>
    <w:rPr>
      <w:b/>
      <w:lang w:eastAsia="en-GB"/>
    </w:rPr>
  </w:style>
  <w:style w:type="paragraph" w:customStyle="1" w:styleId="Sous-titreobjetPagedecouverture">
    <w:name w:val="Sous-titre objet (Page de couverture)"/>
    <w:basedOn w:val="Sous-titreobjet"/>
  </w:style>
  <w:style w:type="character" w:styleId="FollowedHyperlink">
    <w:name w:val="FollowedHyperlink"/>
    <w:rPr>
      <w:color w:val="800080"/>
      <w:u w:val="single"/>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TOCHeadingChar">
    <w:name w:val="TOC Heading Char"/>
    <w:basedOn w:val="DefaultParagraphFont"/>
    <w:uiPriority w:val="39"/>
    <w:rPr>
      <w:rFonts w:ascii="Times New Roman" w:hAnsi="Times New Roman" w:cs="Times New Roman"/>
      <w:b/>
      <w:sz w:val="28"/>
      <w:lang w:val="hu-HU"/>
    </w:rPr>
  </w:style>
  <w:style w:type="character" w:customStyle="1" w:styleId="FooterCoverPageChar">
    <w:name w:val="Footer Cover Page Char"/>
    <w:basedOn w:val="TOCHeadingChar"/>
    <w:link w:val="FooterCoverPage"/>
    <w:rPr>
      <w:rFonts w:ascii="Times New Roman" w:hAnsi="Times New Roman" w:cs="Times New Roman"/>
      <w:b w:val="0"/>
      <w:sz w:val="24"/>
      <w:lang w:val="hu-HU"/>
    </w:rPr>
  </w:style>
  <w:style w:type="paragraph" w:customStyle="1" w:styleId="HeaderCoverPage">
    <w:name w:val="Header Cover Page"/>
    <w:basedOn w:val="Normal"/>
    <w:link w:val="HeaderCoverPageChar"/>
    <w:pPr>
      <w:tabs>
        <w:tab w:val="center" w:pos="4535"/>
        <w:tab w:val="right" w:pos="9071"/>
      </w:tabs>
      <w:spacing w:before="0"/>
    </w:pPr>
    <w:rPr>
      <w:lang w:eastAsia="en-GB"/>
    </w:rPr>
  </w:style>
  <w:style w:type="character" w:customStyle="1" w:styleId="HeaderCoverPageChar">
    <w:name w:val="Header Cover Page Char"/>
    <w:basedOn w:val="TOCHeadingChar"/>
    <w:link w:val="HeaderCoverPage"/>
    <w:rPr>
      <w:rFonts w:ascii="Times New Roman" w:hAnsi="Times New Roman" w:cs="Times New Roman"/>
      <w:b w:val="0"/>
      <w:sz w:val="24"/>
      <w:lang w:val="hu-HU" w:eastAsia="en-GB"/>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hu-HU"/>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hu-HU"/>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1"/>
      </w:numPr>
    </w:pPr>
  </w:style>
  <w:style w:type="paragraph" w:customStyle="1" w:styleId="Tiret1">
    <w:name w:val="Tiret 1"/>
    <w:basedOn w:val="Point1"/>
    <w:pPr>
      <w:numPr>
        <w:numId w:val="32"/>
      </w:numPr>
    </w:pPr>
  </w:style>
  <w:style w:type="paragraph" w:customStyle="1" w:styleId="Tiret2">
    <w:name w:val="Tiret 2"/>
    <w:basedOn w:val="Point2"/>
    <w:pPr>
      <w:numPr>
        <w:numId w:val="33"/>
      </w:numPr>
    </w:pPr>
  </w:style>
  <w:style w:type="paragraph" w:customStyle="1" w:styleId="Tiret3">
    <w:name w:val="Tiret 3"/>
    <w:basedOn w:val="Point3"/>
    <w:pPr>
      <w:numPr>
        <w:numId w:val="34"/>
      </w:numPr>
    </w:pPr>
  </w:style>
  <w:style w:type="paragraph" w:customStyle="1" w:styleId="Tiret4">
    <w:name w:val="Tiret 4"/>
    <w:basedOn w:val="Point4"/>
    <w:pPr>
      <w:numPr>
        <w:numId w:val="3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6"/>
      </w:numPr>
    </w:pPr>
  </w:style>
  <w:style w:type="paragraph" w:customStyle="1" w:styleId="NumPar2">
    <w:name w:val="NumPar 2"/>
    <w:basedOn w:val="Normal"/>
    <w:next w:val="Text1"/>
    <w:pPr>
      <w:numPr>
        <w:ilvl w:val="1"/>
        <w:numId w:val="36"/>
      </w:numPr>
    </w:pPr>
  </w:style>
  <w:style w:type="paragraph" w:customStyle="1" w:styleId="NumPar3">
    <w:name w:val="NumPar 3"/>
    <w:basedOn w:val="Normal"/>
    <w:next w:val="Text1"/>
    <w:pPr>
      <w:numPr>
        <w:ilvl w:val="2"/>
        <w:numId w:val="36"/>
      </w:numPr>
    </w:pPr>
  </w:style>
  <w:style w:type="paragraph" w:customStyle="1" w:styleId="NumPar4">
    <w:name w:val="NumPar 4"/>
    <w:basedOn w:val="Normal"/>
    <w:next w:val="Text1"/>
    <w:pPr>
      <w:numPr>
        <w:ilvl w:val="3"/>
        <w:numId w:val="3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8"/>
      </w:numPr>
    </w:pPr>
  </w:style>
  <w:style w:type="paragraph" w:customStyle="1" w:styleId="Point1number">
    <w:name w:val="Point 1 (number)"/>
    <w:basedOn w:val="Normal"/>
    <w:pPr>
      <w:numPr>
        <w:ilvl w:val="2"/>
        <w:numId w:val="38"/>
      </w:numPr>
    </w:pPr>
  </w:style>
  <w:style w:type="paragraph" w:customStyle="1" w:styleId="Point2number">
    <w:name w:val="Point 2 (number)"/>
    <w:basedOn w:val="Normal"/>
    <w:pPr>
      <w:numPr>
        <w:ilvl w:val="4"/>
        <w:numId w:val="38"/>
      </w:numPr>
    </w:pPr>
  </w:style>
  <w:style w:type="paragraph" w:customStyle="1" w:styleId="Point3number">
    <w:name w:val="Point 3 (number)"/>
    <w:basedOn w:val="Normal"/>
    <w:pPr>
      <w:numPr>
        <w:ilvl w:val="6"/>
        <w:numId w:val="38"/>
      </w:numPr>
    </w:pPr>
  </w:style>
  <w:style w:type="paragraph" w:customStyle="1" w:styleId="Point0letter">
    <w:name w:val="Point 0 (letter)"/>
    <w:basedOn w:val="Normal"/>
    <w:pPr>
      <w:numPr>
        <w:ilvl w:val="1"/>
        <w:numId w:val="38"/>
      </w:numPr>
    </w:pPr>
  </w:style>
  <w:style w:type="paragraph" w:customStyle="1" w:styleId="Point1letter">
    <w:name w:val="Point 1 (letter)"/>
    <w:basedOn w:val="Normal"/>
    <w:pPr>
      <w:numPr>
        <w:ilvl w:val="3"/>
        <w:numId w:val="38"/>
      </w:numPr>
    </w:pPr>
  </w:style>
  <w:style w:type="paragraph" w:customStyle="1" w:styleId="Point2letter">
    <w:name w:val="Point 2 (letter)"/>
    <w:basedOn w:val="Normal"/>
    <w:pPr>
      <w:numPr>
        <w:ilvl w:val="5"/>
        <w:numId w:val="38"/>
      </w:numPr>
    </w:pPr>
  </w:style>
  <w:style w:type="paragraph" w:customStyle="1" w:styleId="Point3letter">
    <w:name w:val="Point 3 (letter)"/>
    <w:basedOn w:val="Normal"/>
    <w:pPr>
      <w:numPr>
        <w:ilvl w:val="7"/>
        <w:numId w:val="38"/>
      </w:numPr>
    </w:pPr>
  </w:style>
  <w:style w:type="paragraph" w:customStyle="1" w:styleId="Point4letter">
    <w:name w:val="Point 4 (letter)"/>
    <w:basedOn w:val="Normal"/>
    <w:pPr>
      <w:numPr>
        <w:ilvl w:val="8"/>
        <w:numId w:val="38"/>
      </w:numPr>
    </w:pPr>
  </w:style>
  <w:style w:type="paragraph" w:customStyle="1" w:styleId="Bullet0">
    <w:name w:val="Bullet 0"/>
    <w:basedOn w:val="Normal"/>
    <w:pPr>
      <w:numPr>
        <w:numId w:val="39"/>
      </w:numPr>
    </w:pPr>
  </w:style>
  <w:style w:type="paragraph" w:customStyle="1" w:styleId="Bullet1">
    <w:name w:val="Bullet 1"/>
    <w:basedOn w:val="Normal"/>
    <w:pPr>
      <w:numPr>
        <w:numId w:val="40"/>
      </w:numPr>
    </w:pPr>
  </w:style>
  <w:style w:type="paragraph" w:customStyle="1" w:styleId="Bullet2">
    <w:name w:val="Bullet 2"/>
    <w:basedOn w:val="Normal"/>
    <w:pPr>
      <w:numPr>
        <w:numId w:val="41"/>
      </w:numPr>
    </w:pPr>
  </w:style>
  <w:style w:type="paragraph" w:customStyle="1" w:styleId="Bullet3">
    <w:name w:val="Bullet 3"/>
    <w:basedOn w:val="Normal"/>
    <w:pPr>
      <w:numPr>
        <w:numId w:val="42"/>
      </w:numPr>
    </w:pPr>
  </w:style>
  <w:style w:type="paragraph" w:customStyle="1" w:styleId="Bullet4">
    <w:name w:val="Bullet 4"/>
    <w:basedOn w:val="Normal"/>
    <w:pPr>
      <w:numPr>
        <w:numId w:val="4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9835442">
      <w:bodyDiv w:val="1"/>
      <w:marLeft w:val="0"/>
      <w:marRight w:val="0"/>
      <w:marTop w:val="0"/>
      <w:marBottom w:val="0"/>
      <w:divBdr>
        <w:top w:val="none" w:sz="0" w:space="0" w:color="auto"/>
        <w:left w:val="none" w:sz="0" w:space="0" w:color="auto"/>
        <w:bottom w:val="none" w:sz="0" w:space="0" w:color="auto"/>
        <w:right w:val="none" w:sz="0" w:space="0" w:color="auto"/>
      </w:divBdr>
    </w:div>
    <w:div w:id="909922137">
      <w:bodyDiv w:val="1"/>
      <w:marLeft w:val="0"/>
      <w:marRight w:val="0"/>
      <w:marTop w:val="0"/>
      <w:marBottom w:val="0"/>
      <w:divBdr>
        <w:top w:val="none" w:sz="0" w:space="0" w:color="auto"/>
        <w:left w:val="none" w:sz="0" w:space="0" w:color="auto"/>
        <w:bottom w:val="none" w:sz="0" w:space="0" w:color="auto"/>
        <w:right w:val="none" w:sz="0" w:space="0" w:color="auto"/>
      </w:divBdr>
    </w:div>
    <w:div w:id="1107970632">
      <w:bodyDiv w:val="1"/>
      <w:marLeft w:val="0"/>
      <w:marRight w:val="0"/>
      <w:marTop w:val="0"/>
      <w:marBottom w:val="0"/>
      <w:divBdr>
        <w:top w:val="none" w:sz="0" w:space="0" w:color="auto"/>
        <w:left w:val="none" w:sz="0" w:space="0" w:color="auto"/>
        <w:bottom w:val="none" w:sz="0" w:space="0" w:color="auto"/>
        <w:right w:val="none" w:sz="0" w:space="0" w:color="auto"/>
      </w:divBdr>
    </w:div>
    <w:div w:id="1344938254">
      <w:bodyDiv w:val="1"/>
      <w:marLeft w:val="0"/>
      <w:marRight w:val="0"/>
      <w:marTop w:val="0"/>
      <w:marBottom w:val="0"/>
      <w:divBdr>
        <w:top w:val="none" w:sz="0" w:space="0" w:color="auto"/>
        <w:left w:val="none" w:sz="0" w:space="0" w:color="auto"/>
        <w:bottom w:val="none" w:sz="0" w:space="0" w:color="auto"/>
        <w:right w:val="none" w:sz="0" w:space="0" w:color="auto"/>
      </w:divBdr>
    </w:div>
    <w:div w:id="1599363576">
      <w:bodyDiv w:val="1"/>
      <w:marLeft w:val="0"/>
      <w:marRight w:val="0"/>
      <w:marTop w:val="0"/>
      <w:marBottom w:val="0"/>
      <w:divBdr>
        <w:top w:val="none" w:sz="0" w:space="0" w:color="auto"/>
        <w:left w:val="none" w:sz="0" w:space="0" w:color="auto"/>
        <w:bottom w:val="none" w:sz="0" w:space="0" w:color="auto"/>
        <w:right w:val="none" w:sz="0" w:space="0" w:color="auto"/>
      </w:divBdr>
    </w:div>
    <w:div w:id="1819226502">
      <w:bodyDiv w:val="1"/>
      <w:marLeft w:val="0"/>
      <w:marRight w:val="0"/>
      <w:marTop w:val="0"/>
      <w:marBottom w:val="0"/>
      <w:divBdr>
        <w:top w:val="none" w:sz="0" w:space="0" w:color="auto"/>
        <w:left w:val="none" w:sz="0" w:space="0" w:color="auto"/>
        <w:bottom w:val="none" w:sz="0" w:space="0" w:color="auto"/>
        <w:right w:val="none" w:sz="0" w:space="0" w:color="auto"/>
      </w:divBdr>
    </w:div>
    <w:div w:id="2040885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emf"/><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4.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footer" Target="footer6.xm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eader" Target="header4.xml"/><Relationship Id="rId28" Type="http://schemas.openxmlformats.org/officeDocument/2006/relationships/footer" Target="footer8.xml"/><Relationship Id="rId10" Type="http://schemas.openxmlformats.org/officeDocument/2006/relationships/webSettings" Target="webSetting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yperlink" Target="https://myintracomm.ec.europa.eu/budgweb/EN/leg/internal/Documents/2016-5-legislative-financial-statement-ann-en.docx" TargetMode="External"/><Relationship Id="rId27" Type="http://schemas.openxmlformats.org/officeDocument/2006/relationships/header" Target="header6.xml"/><Relationship Id="rId30" Type="http://schemas.openxmlformats.org/officeDocument/2006/relationships/footer" Target="footer9.xml"/></Relationships>
</file>

<file path=word/_rels/footnotes.xml.rels><?xml version="1.0" encoding="UTF-8" standalone="yes"?>
<Relationships xmlns="http://schemas.openxmlformats.org/package/2006/relationships"><Relationship Id="rId2" Type="http://schemas.openxmlformats.org/officeDocument/2006/relationships/hyperlink" Target="https://myintracomm.ec.europa.eu/budgweb/EN/man/budgmanag/Pages/budgmanag.aspx" TargetMode="External"/><Relationship Id="rId1" Type="http://schemas.openxmlformats.org/officeDocument/2006/relationships/hyperlink" Target="https://ec.europa.eu/commission/sites/beta-political/files/draft_withdrawal_agreement_0.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C_Collab_Reference xmlns="25173920-bf43-43cc-9123-1897e847dfc2" xsi:nil="true"/>
    <_Status xmlns="http://schemas.microsoft.com/sharepoint/v3/fields">Not Started</_Status>
    <EC_Collab_Status xmlns="25173920-bf43-43cc-9123-1897e847dfc2">Not Started</EC_Collab_Status>
    <DG xmlns="25173920-bf43-43cc-9123-1897e847dfc2"/>
    <EC_Collab_DocumentLanguage xmlns="25173920-bf43-43cc-9123-1897e847dfc2">EN</EC_Collab_DocumentLanguage>
    <RelatedItem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D33D44CF0C8FEB45875F235DEEF2E1B9" ma:contentTypeVersion="7" ma:contentTypeDescription="Create a new document in this library." ma:contentTypeScope="" ma:versionID="0cb51d011d44aaa2f2f2559eb8aaf023">
  <xsd:schema xmlns:xsd="http://www.w3.org/2001/XMLSchema" xmlns:xs="http://www.w3.org/2001/XMLSchema" xmlns:p="http://schemas.microsoft.com/office/2006/metadata/properties" xmlns:ns1="http://schemas.microsoft.com/sharepoint/v3" xmlns:ns2="http://schemas.microsoft.com/sharepoint/v3/fields" xmlns:ns3="25173920-bf43-43cc-9123-1897e847dfc2" targetNamespace="http://schemas.microsoft.com/office/2006/metadata/properties" ma:root="true" ma:fieldsID="a931e117a4c2a292401c17c6d61581df" ns1:_="" ns2:_="" ns3:_="">
    <xsd:import namespace="http://schemas.microsoft.com/sharepoint/v3"/>
    <xsd:import namespace="http://schemas.microsoft.com/sharepoint/v3/fields"/>
    <xsd:import namespace="25173920-bf43-43cc-9123-1897e847dfc2"/>
    <xsd:element name="properties">
      <xsd:complexType>
        <xsd:sequence>
          <xsd:element name="documentManagement">
            <xsd:complexType>
              <xsd:all>
                <xsd:element ref="ns3:EC_Collab_Reference" minOccurs="0"/>
                <xsd:element ref="ns2:_Status" minOccurs="0"/>
                <xsd:element ref="ns3:EC_Collab_DocumentLanguage"/>
                <xsd:element ref="ns3:EC_Collab_Status"/>
                <xsd:element ref="ns1:RelatedItems" minOccurs="0"/>
                <xsd:element ref="ns3:DG" minOccurs="0"/>
                <xsd:element ref="ns1:_dlc_Exemp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elatedItems" ma:index="16" nillable="true" ma:displayName="Related Items" ma:internalName="RelatedItems" ma:readOnly="false">
      <xsd:simpleType>
        <xsd:restriction base="dms:Note"/>
      </xsd:simpleType>
    </xsd:element>
    <xsd:element name="_dlc_Exempt" ma:index="18"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25173920-bf43-43cc-9123-1897e847dfc2"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DG" ma:index="17" nillable="true" ma:displayName="DG" ma:description="Associated DG(s)" ma:list="{a436e1b9-89ab-4a0f-bf89-77e0c01004af}" ma:internalName="DG" ma:showField="Titl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p:Policy xmlns:p="office.server.policy" id="" local="true">
  <p:Name>EC Document</p:Name>
  <p:Description/>
  <p:Statement/>
  <p:PolicyItems>
    <p:PolicyItem featureId="Microsoft.Office.RecordsManagement.PolicyFeatures.PolicyAudit" staticId="0x010100258AA79CEB83498886A3A0868112325000D33D44CF0C8FEB45875F235DEEF2E1B9|8138272" UniqueId="82ebddaa-263f-44a4-b383-ae40ea096670">
      <p:Name>Auditing</p:Name>
      <p:Description>Audits user actions on documents and list items to the Audit Log.</p:Description>
      <p:CustomData>
        <Audit>
          <Update/>
          <View/>
          <CheckInOut/>
          <MoveCopy/>
          <DeleteRestore/>
        </Audit>
      </p:CustomData>
    </p:PolicyItem>
  </p:PolicyItems>
</p:Policy>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30B0AC-03B6-4A47-A2F9-041C46CC9DCE}">
  <ds:schemaRefs>
    <ds:schemaRef ds:uri="http://schemas.microsoft.com/sharepoint/v3/contenttype/forms"/>
  </ds:schemaRefs>
</ds:datastoreItem>
</file>

<file path=customXml/itemProps2.xml><?xml version="1.0" encoding="utf-8"?>
<ds:datastoreItem xmlns:ds="http://schemas.openxmlformats.org/officeDocument/2006/customXml" ds:itemID="{5E7B865B-36F0-4138-B199-ECE1D0A637C6}">
  <ds:schemaRefs>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25173920-bf43-43cc-9123-1897e847dfc2"/>
    <ds:schemaRef ds:uri="http://schemas.microsoft.com/sharepoint/v3/fields"/>
    <ds:schemaRef ds:uri="http://www.w3.org/XML/1998/namespace"/>
    <ds:schemaRef ds:uri="http://purl.org/dc/dcmitype/"/>
  </ds:schemaRefs>
</ds:datastoreItem>
</file>

<file path=customXml/itemProps3.xml><?xml version="1.0" encoding="utf-8"?>
<ds:datastoreItem xmlns:ds="http://schemas.openxmlformats.org/officeDocument/2006/customXml" ds:itemID="{71AF0D82-652B-49F8-AE82-E378CACF6A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3/fields"/>
    <ds:schemaRef ds:uri="25173920-bf43-43cc-9123-1897e847df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9EAE0B0-F058-49FE-8663-1102E71390BC}">
  <ds:schemaRefs>
    <ds:schemaRef ds:uri="office.server.policy"/>
  </ds:schemaRefs>
</ds:datastoreItem>
</file>

<file path=customXml/itemProps5.xml><?xml version="1.0" encoding="utf-8"?>
<ds:datastoreItem xmlns:ds="http://schemas.openxmlformats.org/officeDocument/2006/customXml" ds:itemID="{D46F066D-B6FC-43D1-90B1-13A733673E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19</Pages>
  <Words>3363</Words>
  <Characters>23582</Characters>
  <Application>Microsoft Office Word</Application>
  <DocSecurity>0</DocSecurity>
  <Lines>1241</Lines>
  <Paragraphs>390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2018-12-20T14:38:00Z</dcterms:created>
  <dcterms:modified xsi:type="dcterms:W3CDTF">2018-12-21T09:13:00Z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6.0.1, Build 20180503</vt:lpwstr>
  </property>
  <property fmtid="{D5CDD505-2E9C-101B-9397-08002B2CF9AE}" pid="3" name="Category">
    <vt:lpwstr>COM/PL/ORG</vt:lpwstr>
  </property>
  <property fmtid="{D5CDD505-2E9C-101B-9397-08002B2CF9AE}" pid="4" name="Level of sensitivity">
    <vt:lpwstr>Standard treatment</vt:lpwstr>
  </property>
  <property fmtid="{D5CDD505-2E9C-101B-9397-08002B2CF9AE}" pid="5" name="Part">
    <vt:lpwstr>1</vt:lpwstr>
  </property>
  <property fmtid="{D5CDD505-2E9C-101B-9397-08002B2CF9AE}" pid="6" name="Total parts">
    <vt:lpwstr>1</vt:lpwstr>
  </property>
  <property fmtid="{D5CDD505-2E9C-101B-9397-08002B2CF9AE}" pid="7" name="LWTemplateID">
    <vt:lpwstr>SJ-023</vt:lpwstr>
  </property>
  <property fmtid="{D5CDD505-2E9C-101B-9397-08002B2CF9AE}" pid="8" name="ContentTypeId">
    <vt:lpwstr>0x010100258AA79CEB83498886A3A0868112325000D33D44CF0C8FEB45875F235DEEF2E1B9</vt:lpwstr>
  </property>
  <property fmtid="{D5CDD505-2E9C-101B-9397-08002B2CF9AE}" pid="9" name="DQCStatus">
    <vt:lpwstr>Green (DQC version 03)</vt:lpwstr>
  </property>
</Properties>
</file>