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E2C97CCA-4F76-484D-A0D6-A546B030C418" style="width:450.45pt;height:409.55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color w:val="000000" w:themeColor="text1"/>
        </w:rPr>
      </w:pPr>
      <w:bookmarkStart w:id="0" w:name="_GoBack"/>
      <w:bookmarkEnd w:id="0"/>
      <w:r>
        <w:rPr>
          <w:noProof/>
          <w:color w:val="000000" w:themeColor="text1"/>
        </w:rPr>
        <w:lastRenderedPageBreak/>
        <w:t>INDOKOLÁS</w:t>
      </w:r>
    </w:p>
    <w:p>
      <w:pPr>
        <w:pStyle w:val="ManualHeading1"/>
        <w:rPr>
          <w:noProof/>
          <w:color w:val="000000" w:themeColor="text1"/>
        </w:rPr>
      </w:pPr>
      <w:r>
        <w:rPr>
          <w:noProof/>
          <w:color w:val="000000" w:themeColor="text1"/>
        </w:rPr>
        <w:t>1.</w:t>
      </w:r>
      <w:r>
        <w:rPr>
          <w:noProof/>
        </w:rPr>
        <w:tab/>
      </w:r>
      <w:r>
        <w:rPr>
          <w:noProof/>
          <w:color w:val="000000" w:themeColor="text1"/>
        </w:rPr>
        <w:t>A JAVASLAT HÁTTERE</w:t>
      </w:r>
    </w:p>
    <w:p>
      <w:pPr>
        <w:pStyle w:val="ManualHeading2"/>
        <w:rPr>
          <w:rFonts w:eastAsia="Arial Unicode MS"/>
          <w:noProof/>
          <w:color w:val="000000" w:themeColor="text1"/>
        </w:rPr>
      </w:pPr>
      <w:r>
        <w:rPr>
          <w:noProof/>
          <w:color w:val="000000" w:themeColor="text1"/>
          <w:u w:color="000000"/>
          <w:bdr w:val="nil"/>
        </w:rPr>
        <w:t>•</w:t>
      </w:r>
      <w:r>
        <w:rPr>
          <w:noProof/>
        </w:rPr>
        <w:tab/>
      </w:r>
      <w:r>
        <w:rPr>
          <w:noProof/>
          <w:color w:val="000000" w:themeColor="text1"/>
        </w:rPr>
        <w:t>A javaslat indokai és céljai</w:t>
      </w:r>
    </w:p>
    <w:p>
      <w:pPr>
        <w:pBdr>
          <w:top w:val="nil"/>
          <w:left w:val="nil"/>
          <w:bottom w:val="nil"/>
          <w:right w:val="nil"/>
          <w:between w:val="nil"/>
          <w:bar w:val="nil"/>
        </w:pBdr>
        <w:spacing w:before="0" w:after="240"/>
        <w:rPr>
          <w:noProof/>
        </w:rPr>
      </w:pPr>
      <w:r>
        <w:rPr>
          <w:noProof/>
        </w:rPr>
        <w:t xml:space="preserve">Az Egyesült Királyság 2017. március 29-én az Európai Unióról szóló szerződés 50. cikkének megfelelően bejelentette az Unióból való kilépésre vonatkozó szándékát. Ez azt jelenti, hogy az elsődleges és másodlagos uniós jogszabályok 2019. március 30-ától („a kilépés időpontja”) kezdődően nem alkalmazandók többé az Egyesült Királyságra, kivéve, ha a kilépésről rendelkező, megerősített megállapodás eltérő időpontot határoz meg.  Az Egyesült Királyság ezt követően harmadik ország lesz. </w:t>
      </w:r>
    </w:p>
    <w:p>
      <w:pPr>
        <w:pBdr>
          <w:top w:val="nil"/>
          <w:left w:val="nil"/>
          <w:bottom w:val="nil"/>
          <w:right w:val="nil"/>
          <w:between w:val="nil"/>
          <w:bar w:val="nil"/>
        </w:pBdr>
        <w:spacing w:before="0" w:after="240"/>
        <w:rPr>
          <w:noProof/>
        </w:rPr>
      </w:pPr>
      <w:r>
        <w:rPr>
          <w:noProof/>
        </w:rPr>
        <w:t>Egy esetleges kilépési megállapodásban rögzített átmeneti megállapodás esetét kivéve a több termék típusjóváhagyására vonatkozó uniós szabályozási keret a kilépés időpontjától kezdődően nem lesz alkalmazandó az Egyesült Királyságra, így különösen:</w:t>
      </w:r>
    </w:p>
    <w:p>
      <w:pPr>
        <w:pStyle w:val="Bullet1"/>
        <w:numPr>
          <w:ilvl w:val="0"/>
          <w:numId w:val="10"/>
        </w:numPr>
        <w:rPr>
          <w:noProof/>
          <w:color w:val="000000" w:themeColor="text1"/>
        </w:rPr>
      </w:pPr>
      <w:r>
        <w:rPr>
          <w:noProof/>
        </w:rPr>
        <w:t xml:space="preserve">a gépjárművek és pótkocsijaik típusjóváhagyásáról szóló 2007/46/EK irányelv (amelyet egy </w:t>
      </w:r>
      <w:r>
        <w:rPr>
          <w:noProof/>
          <w:color w:val="000000" w:themeColor="text1"/>
        </w:rPr>
        <w:t>2020. szeptember</w:t>
      </w:r>
      <w:r>
        <w:rPr>
          <w:noProof/>
        </w:rPr>
        <w:t xml:space="preserve"> 1-jétől kezdődően alkalmazandó rendelet vált fel);</w:t>
      </w:r>
      <w:r>
        <w:rPr>
          <w:noProof/>
          <w:color w:val="000000" w:themeColor="text1"/>
        </w:rPr>
        <w:t xml:space="preserve"> </w:t>
      </w:r>
    </w:p>
    <w:p>
      <w:pPr>
        <w:pStyle w:val="Bullet1"/>
        <w:numPr>
          <w:ilvl w:val="0"/>
          <w:numId w:val="10"/>
        </w:numPr>
        <w:rPr>
          <w:noProof/>
        </w:rPr>
      </w:pPr>
      <w:r>
        <w:rPr>
          <w:noProof/>
          <w:color w:val="000000" w:themeColor="text1"/>
        </w:rPr>
        <w:t>a két- vagy háromkerekű járművek, valamint a négykerekű motorkerékpárok típusjóváhagyásáról szóló 168/2013/EU rendelet;</w:t>
      </w:r>
    </w:p>
    <w:p>
      <w:pPr>
        <w:pStyle w:val="Bullet1"/>
        <w:rPr>
          <w:noProof/>
        </w:rPr>
      </w:pPr>
      <w:r>
        <w:rPr>
          <w:noProof/>
          <w:color w:val="000000" w:themeColor="text1"/>
        </w:rPr>
        <w:t xml:space="preserve">a mezőgazdasági és erdészeti járművek típusjóváhagyásáról szóló 167/2013/EU rendelet; valamint </w:t>
      </w:r>
    </w:p>
    <w:p>
      <w:pPr>
        <w:pStyle w:val="Bullet1"/>
        <w:rPr>
          <w:noProof/>
        </w:rPr>
      </w:pPr>
      <w:r>
        <w:rPr>
          <w:noProof/>
        </w:rPr>
        <w:t xml:space="preserve">a nem közúti mozgó gépek típusjóváhagyásáról szóló (EU) 2016/1628 rendelet. </w:t>
      </w:r>
    </w:p>
    <w:p>
      <w:pPr>
        <w:pBdr>
          <w:top w:val="nil"/>
          <w:left w:val="nil"/>
          <w:bottom w:val="nil"/>
          <w:right w:val="nil"/>
          <w:between w:val="nil"/>
          <w:bar w:val="nil"/>
        </w:pBdr>
        <w:spacing w:before="0" w:after="240"/>
        <w:rPr>
          <w:noProof/>
        </w:rPr>
      </w:pPr>
      <w:r>
        <w:rPr>
          <w:noProof/>
        </w:rPr>
        <w:t>Ez azt is jelenti, hogy az Egyesült Királyság típusjóváhagyó hatósága a továbbiakban nem lesz EU-típusjóváhagyó hatóság és már nem lesz képes arra, hogy gyakorolja, illetve teljesítse a típusjóváhagyó hatóság uniós jogszabályokon alapuló bármely hatáskörét, illetve kötelezettségét. Az Egyesült Királyságban a múltban jóváhagyást kapott gyártóknak tehát új jóváhagyásokat kell kapniuk az EU-27 típusjóváhagyó hatóságaitól, a már gyártott termékek vonatkozásában is, annak érdekében, hogy biztosítsák a folyamatos megfelelést az uniós jogszabályoknak, valamint megőrizzék a hozzáférést az uniós piacokhoz.</w:t>
      </w:r>
    </w:p>
    <w:p>
      <w:pPr>
        <w:pBdr>
          <w:top w:val="nil"/>
          <w:left w:val="nil"/>
          <w:bottom w:val="nil"/>
          <w:right w:val="nil"/>
          <w:between w:val="nil"/>
          <w:bar w:val="nil"/>
        </w:pBdr>
        <w:spacing w:before="0" w:after="240"/>
        <w:rPr>
          <w:noProof/>
        </w:rPr>
      </w:pPr>
      <w:r>
        <w:rPr>
          <w:noProof/>
        </w:rPr>
        <w:t>Bár az e termékekre vonatkozó jogi keret olyan eljárási követelményeket rögzít, amelyek harmonizálják a típusjóváhagyások EU-n belüli megadásának módját, bizonyos biztosítékok megnehezíthetik az érintett gyártók számára a szabályozói megfelelés és a folyamatos üzleti tevékenység biztosításához szükséges intézkedések meghozatalát azt követően, hogy az uniós vívmányok alkalmazása megszűnik az Egyesült Királyságban.</w:t>
      </w:r>
    </w:p>
    <w:p>
      <w:pPr>
        <w:pBdr>
          <w:top w:val="nil"/>
          <w:left w:val="nil"/>
          <w:bottom w:val="nil"/>
          <w:right w:val="nil"/>
          <w:between w:val="nil"/>
          <w:bar w:val="nil"/>
        </w:pBdr>
        <w:spacing w:before="0" w:after="240"/>
        <w:rPr>
          <w:noProof/>
        </w:rPr>
      </w:pPr>
      <w:r>
        <w:rPr>
          <w:noProof/>
        </w:rPr>
        <w:t>Az EU-típusjóváhagyási rendszer például lehetővé teszi a gyártók számára, hogy szabadon válasszák meg azt a típusjóváhagyó hatóságot, amely előtt benyújtják típusjóváhagyás iránti kérelmüket. Ugyanakkor nem teszi lehetővé a hatóságváltást a jóváhagyás megadását követően, továbbá az egyik hatóság nem módosíthat egy másik hatóság által kiadott jóváhagyást. Ehhez hasonlóan a típusjóváhagyásról szóló szabályozás szerint a típusjóváhagyó hatóság kizárólag olyan műszaki szolgálatok vizsgálati jegyzőkönyveit fogadhatja el, amelyeket a tagállam előzőleg kijelölt és bejelentett a Bizottságnak. Ezenfelül a típusjóváhagyási rendszer alapvető elve, hogy egy termék csak az új típusokra (szemben az új járművekkel) a jóváhagyás megadásának időpontjában alkalmazandó követelmények alapján hagyható jóvá. Végül, amint az Egyesült Királyság típusjóváhagyó hatósága megszűnik EU-típusjóváhagyó hatóságnak lenni, a továbbiakban nem tudja biztosítani a gyártásmegfelelőséget és a már forgalomban lévő termékek megfelelőségét. Egy felelős típusjóváhagyó hatóságra a biztonsági vagy környezetvédelmi követelményeknek meg nem felelő termék visszahívása céljából is szükség van.</w:t>
      </w:r>
    </w:p>
    <w:p>
      <w:pPr>
        <w:pBdr>
          <w:top w:val="nil"/>
          <w:left w:val="nil"/>
          <w:bottom w:val="nil"/>
          <w:right w:val="nil"/>
          <w:between w:val="nil"/>
          <w:bar w:val="nil"/>
        </w:pBdr>
        <w:spacing w:before="0" w:after="240"/>
        <w:rPr>
          <w:noProof/>
        </w:rPr>
      </w:pPr>
      <w:r>
        <w:rPr>
          <w:noProof/>
        </w:rPr>
        <w:t xml:space="preserve">E problémák jelentős jogbizonytalanságot eredményeznek az Egyesült Királyságban kibocsátott típusjóváhagyásokkal rendelkező gyártók körében. E javaslat célja e problémák kezelése oly módon, hogy időszakosan és nagyon célzott módon módosítja a fennálló szabályokat annak érdekében, hogy lehetővé tegye az érintett gyártók számára, hogy új EU-27 típusjóváhagyásokat szerezzenek be, amelyek felváltják a fennálló, az Egyesült Királyságban típusjóváhagyott termékeiket. A javaslat: </w:t>
      </w:r>
    </w:p>
    <w:p>
      <w:pPr>
        <w:pStyle w:val="Bullet0"/>
        <w:numPr>
          <w:ilvl w:val="0"/>
          <w:numId w:val="11"/>
        </w:numPr>
      </w:pPr>
      <w:r>
        <w:rPr>
          <w:noProof/>
          <w:color w:val="000000" w:themeColor="text1"/>
        </w:rPr>
        <w:t>Kifejezetten lehetővé teszi az érintett gyártók számára, hogy egy EU-27 típusjóváhagyó hatóságtól új jóváhagyásokat kérjenek létező típusokra;</w:t>
      </w:r>
    </w:p>
    <w:p>
      <w:pPr>
        <w:pStyle w:val="Bullet0"/>
      </w:pPr>
      <w:r>
        <w:rPr>
          <w:noProof/>
          <w:color w:val="000000" w:themeColor="text1"/>
        </w:rPr>
        <w:t>Lehetővé teszi, hogy az Egyesült Királyságban kibocsátott típusjóváhagyásokat megalapozó vizsgálatokat ne végezzék el újra amiatt, hogy a műszaki szolgálatot korábban nem jelölték ki és jelentették be az EU-27 típusjóváhagyó hatóság felé;</w:t>
      </w:r>
    </w:p>
    <w:p>
      <w:pPr>
        <w:pStyle w:val="Bullet0"/>
      </w:pPr>
      <w:r>
        <w:rPr>
          <w:noProof/>
          <w:color w:val="000000" w:themeColor="text1"/>
        </w:rPr>
        <w:t>Rögzíti, hogy az ilyen jóváhagyások megadhatók abban az esetben, ha az új járművekre, rendszereikre, alkatrészeikre és önálló műszaki egységeikre (nem pedig az új típusokra) vonatkozó követelmények teljesülnek;</w:t>
      </w:r>
    </w:p>
    <w:p>
      <w:pPr>
        <w:pStyle w:val="Bullet0"/>
      </w:pPr>
      <w:r>
        <w:rPr>
          <w:noProof/>
          <w:color w:val="000000" w:themeColor="text1"/>
        </w:rPr>
        <w:t xml:space="preserve">Javaslatot tesz a kilépést megelőzően már piacon lévő termékek részére az új típusjóváhagyó hatóságok azonosításának elősegítésére, annak elkerülése érdekében, hogy ne legyen olyan hatóság, amely felel a használatban lévő termékek megfelelőségének vizsgálatáért vagy egy esetleges jövőbeli visszahívás kibocsátásáért. </w:t>
      </w:r>
    </w:p>
    <w:p>
      <w:pPr>
        <w:pBdr>
          <w:top w:val="nil"/>
          <w:left w:val="nil"/>
          <w:bottom w:val="nil"/>
          <w:right w:val="nil"/>
          <w:between w:val="nil"/>
          <w:bar w:val="nil"/>
        </w:pBdr>
        <w:spacing w:before="0" w:after="240"/>
        <w:rPr>
          <w:noProof/>
        </w:rPr>
      </w:pPr>
      <w:r>
        <w:rPr>
          <w:noProof/>
        </w:rPr>
        <w:t>A tervezetben javasolt rendelkezések nem csökkentik a járművek, rendszereik, alkatrészeik vagy önálló műszaki egységeik biztonságára vagy környezetvédelmi tulajdonságaira vonatkozó követelményeket. Nem biztosít előnyöket az Egyesült Királyságban kibocsátott típusjóváhagyásokkal rendelkező gyártók számára az EU-27 típusjóváhagyásaival rendelkező gyártókhoz képest. Éppen ellenkezőleg, a kezdeményezés pusztán azt teszi lehetővé a gyártók számára, hogy az alkalmazandó jogi követelményekkel összhangban folytassák termékeik gyártását, anélkül, hogy megszakítanák fennálló termelésüket, ami jelentős társadalmi és gazdasági kihatásokkal járna. A gyártók uniós jognak való megfelelőségének megkönnyítése révén a kezdeményezés a fogyasztók és a polgárok védelmét is szolgálja</w:t>
      </w:r>
      <w:r>
        <w:rPr>
          <w:rFonts w:ascii="Arial" w:hAnsi="Arial"/>
          <w:noProof/>
          <w:color w:val="000000" w:themeColor="text1"/>
          <w:sz w:val="20"/>
        </w:rPr>
        <w:t>.</w:t>
      </w:r>
    </w:p>
    <w:p>
      <w:pPr>
        <w:pStyle w:val="ManualHeading2"/>
        <w:rPr>
          <w:rFonts w:eastAsia="Arial Unicode MS"/>
          <w:noProof/>
          <w:color w:val="000000" w:themeColor="text1"/>
          <w:u w:color="000000"/>
          <w:bdr w:val="nil"/>
        </w:rPr>
      </w:pPr>
      <w:r>
        <w:rPr>
          <w:noProof/>
        </w:rPr>
        <w:t xml:space="preserve">  </w:t>
      </w:r>
      <w:r>
        <w:rPr>
          <w:noProof/>
          <w:color w:val="000000" w:themeColor="text1"/>
          <w:u w:color="000000"/>
          <w:bdr w:val="nil"/>
        </w:rPr>
        <w:t>•</w:t>
      </w:r>
      <w:r>
        <w:rPr>
          <w:noProof/>
        </w:rPr>
        <w:tab/>
      </w:r>
      <w:r>
        <w:rPr>
          <w:noProof/>
          <w:color w:val="000000" w:themeColor="text1"/>
        </w:rPr>
        <w:t>Összhang a szabályozási terület jelenlegi rendelkezéseivel</w:t>
      </w:r>
    </w:p>
    <w:p>
      <w:pPr>
        <w:pBdr>
          <w:top w:val="nil"/>
          <w:left w:val="nil"/>
          <w:bottom w:val="nil"/>
          <w:right w:val="nil"/>
          <w:between w:val="nil"/>
          <w:bar w:val="nil"/>
        </w:pBdr>
        <w:spacing w:before="0" w:after="240"/>
        <w:rPr>
          <w:rFonts w:eastAsia="Arial Unicode MS"/>
          <w:noProof/>
          <w:color w:val="000000" w:themeColor="text1"/>
        </w:rPr>
      </w:pPr>
      <w:r>
        <w:rPr>
          <w:noProof/>
        </w:rPr>
        <w:t xml:space="preserve">A javaslat lex specialist jelent a hatály kapcsán felsorolt négy jogi aktushoz képest, amennyiben az eltér azoktól; e jogi aktusok általános rendelkezéseit egyebekben továbbra is alkalmazni kell. E javaslat tehát teljes mértékben összhangban van a fennálló jogszabályokkal. </w:t>
      </w:r>
    </w:p>
    <w:p>
      <w:pPr>
        <w:pStyle w:val="ManualHeading2"/>
        <w:rPr>
          <w:rFonts w:eastAsia="Arial Unicode MS"/>
          <w:noProof/>
          <w:color w:val="000000" w:themeColor="text1"/>
        </w:rPr>
      </w:pPr>
      <w:r>
        <w:rPr>
          <w:noProof/>
          <w:color w:val="000000" w:themeColor="text1"/>
          <w:u w:color="000000"/>
          <w:bdr w:val="nil"/>
        </w:rPr>
        <w:t>•</w:t>
      </w:r>
      <w:r>
        <w:rPr>
          <w:noProof/>
        </w:rPr>
        <w:tab/>
      </w:r>
      <w:r>
        <w:rPr>
          <w:noProof/>
          <w:color w:val="000000" w:themeColor="text1"/>
        </w:rPr>
        <w:t>Összhang az Unió egyéb szakpolitikáival</w:t>
      </w:r>
    </w:p>
    <w:p>
      <w:pPr>
        <w:pBdr>
          <w:top w:val="nil"/>
          <w:left w:val="nil"/>
          <w:bottom w:val="nil"/>
          <w:right w:val="nil"/>
          <w:between w:val="nil"/>
          <w:bar w:val="nil"/>
        </w:pBdr>
        <w:spacing w:before="0" w:after="240"/>
        <w:rPr>
          <w:rFonts w:eastAsia="Arial Unicode MS"/>
          <w:noProof/>
          <w:color w:val="000000" w:themeColor="text1"/>
        </w:rPr>
      </w:pPr>
      <w:r>
        <w:rPr>
          <w:noProof/>
        </w:rPr>
        <w:t>E javaslat teljes mértékben összhangban van a Tanács felhatalmazásával az Egyesült Királysággal a kilépéséről folytatott tárgyalásokra.</w:t>
      </w:r>
    </w:p>
    <w:p>
      <w:pPr>
        <w:pStyle w:val="ManualHeading1"/>
        <w:rPr>
          <w:noProof/>
          <w:color w:val="000000" w:themeColor="text1"/>
        </w:rPr>
      </w:pPr>
      <w:r>
        <w:rPr>
          <w:noProof/>
          <w:color w:val="000000" w:themeColor="text1"/>
        </w:rPr>
        <w:t>2.</w:t>
      </w:r>
      <w:r>
        <w:rPr>
          <w:noProof/>
        </w:rPr>
        <w:tab/>
      </w:r>
      <w:r>
        <w:rPr>
          <w:noProof/>
          <w:color w:val="000000" w:themeColor="text1"/>
        </w:rPr>
        <w:t>JOGALAP, SZUBSZIDIARITÁS ÉS ARÁNYOSSÁG</w:t>
      </w:r>
    </w:p>
    <w:p>
      <w:pPr>
        <w:pStyle w:val="ManualHeading2"/>
        <w:rPr>
          <w:rFonts w:eastAsia="Arial Unicode MS"/>
          <w:noProof/>
          <w:color w:val="000000" w:themeColor="text1"/>
          <w:u w:color="000000"/>
          <w:bdr w:val="nil"/>
        </w:rPr>
      </w:pPr>
      <w:r>
        <w:rPr>
          <w:noProof/>
          <w:color w:val="000000" w:themeColor="text1"/>
          <w:u w:color="000000"/>
          <w:bdr w:val="nil"/>
        </w:rPr>
        <w:t>•</w:t>
      </w:r>
      <w:r>
        <w:rPr>
          <w:noProof/>
        </w:rPr>
        <w:tab/>
      </w:r>
      <w:r>
        <w:rPr>
          <w:noProof/>
          <w:color w:val="000000" w:themeColor="text1"/>
          <w:u w:color="000000"/>
          <w:bdr w:val="nil"/>
        </w:rPr>
        <w:t>Jogalap</w:t>
      </w:r>
    </w:p>
    <w:p>
      <w:pPr>
        <w:pBdr>
          <w:top w:val="nil"/>
          <w:left w:val="nil"/>
          <w:bottom w:val="nil"/>
          <w:right w:val="nil"/>
          <w:between w:val="nil"/>
          <w:bar w:val="nil"/>
        </w:pBdr>
        <w:spacing w:before="0" w:after="240"/>
        <w:rPr>
          <w:rFonts w:eastAsia="Arial Unicode MS"/>
          <w:noProof/>
          <w:color w:val="000000" w:themeColor="text1"/>
        </w:rPr>
      </w:pPr>
      <w:r>
        <w:rPr>
          <w:noProof/>
        </w:rPr>
        <w:t>A javaslat jogalapja az Európai Unió működéséről szóló szerződés (EUMSZ) 114. cikke.</w:t>
      </w:r>
    </w:p>
    <w:p>
      <w:pPr>
        <w:pStyle w:val="ManualHeading2"/>
        <w:rPr>
          <w:rFonts w:eastAsia="Arial Unicode MS"/>
          <w:noProof/>
          <w:color w:val="000000" w:themeColor="text1"/>
          <w:u w:color="000000"/>
          <w:bdr w:val="nil"/>
        </w:rPr>
      </w:pPr>
      <w:r>
        <w:rPr>
          <w:noProof/>
          <w:color w:val="000000" w:themeColor="text1"/>
          <w:u w:color="000000"/>
          <w:bdr w:val="nil"/>
        </w:rPr>
        <w:t>•</w:t>
      </w:r>
      <w:r>
        <w:rPr>
          <w:noProof/>
        </w:rPr>
        <w:tab/>
      </w:r>
      <w:r>
        <w:rPr>
          <w:noProof/>
          <w:color w:val="000000" w:themeColor="text1"/>
          <w:u w:color="000000"/>
          <w:bdr w:val="nil"/>
        </w:rPr>
        <w:t xml:space="preserve">Szubszidiaritás (nem kizárólagos hatáskör esetén) </w:t>
      </w:r>
    </w:p>
    <w:p>
      <w:pPr>
        <w:pBdr>
          <w:top w:val="nil"/>
          <w:left w:val="nil"/>
          <w:bottom w:val="nil"/>
          <w:right w:val="nil"/>
          <w:between w:val="nil"/>
          <w:bar w:val="nil"/>
        </w:pBdr>
        <w:spacing w:before="0" w:after="240"/>
        <w:rPr>
          <w:rFonts w:eastAsia="Arial Unicode MS"/>
          <w:noProof/>
          <w:color w:val="000000" w:themeColor="text1"/>
        </w:rPr>
      </w:pPr>
      <w:r>
        <w:rPr>
          <w:noProof/>
        </w:rPr>
        <w:t>Mivel a javasolt jogi aktus négy uniós jogi aktust egészít ki, illetve módosítja azok tartalmát, ez csak uniós szintű intézkedésekkel érhető el, tagállami szintű fellépéssel nem.</w:t>
      </w:r>
    </w:p>
    <w:p>
      <w:pPr>
        <w:pStyle w:val="ManualHeading2"/>
        <w:rPr>
          <w:rFonts w:eastAsia="Arial Unicode MS"/>
          <w:noProof/>
          <w:color w:val="000000" w:themeColor="text1"/>
          <w:u w:color="000000"/>
          <w:bdr w:val="nil"/>
        </w:rPr>
      </w:pPr>
      <w:r>
        <w:rPr>
          <w:noProof/>
          <w:color w:val="000000" w:themeColor="text1"/>
          <w:u w:color="000000"/>
          <w:bdr w:val="nil"/>
        </w:rPr>
        <w:t>•</w:t>
      </w:r>
      <w:r>
        <w:rPr>
          <w:noProof/>
        </w:rPr>
        <w:tab/>
      </w:r>
      <w:r>
        <w:rPr>
          <w:noProof/>
          <w:color w:val="000000" w:themeColor="text1"/>
          <w:u w:color="000000"/>
          <w:bdr w:val="nil"/>
        </w:rPr>
        <w:t>Arányosság</w:t>
      </w:r>
    </w:p>
    <w:p>
      <w:pPr>
        <w:pBdr>
          <w:top w:val="nil"/>
          <w:left w:val="nil"/>
          <w:bottom w:val="nil"/>
          <w:right w:val="nil"/>
          <w:between w:val="nil"/>
          <w:bar w:val="nil"/>
        </w:pBdr>
        <w:spacing w:before="0" w:after="240"/>
        <w:rPr>
          <w:noProof/>
        </w:rPr>
      </w:pPr>
      <w:r>
        <w:rPr>
          <w:noProof/>
        </w:rPr>
        <w:t xml:space="preserve">A javaslat arányosnak tekinthető, mivel a szükséges jogszabálymódosításról rendelkezik, ezzel egyidejűleg pedig nem lépi túl az azon célok eléréséhez szükséges mértéket, hogy lehetővé tegyék az Egyesült Királyságban típusjóváhagyással rendelkező gyártók számára, hogy megfeleljenek a típusjóváhagyásra vonatkozó jogszabályoknak. A javaslat az ahhoz szükséges jogi feltételeket rögzíti, hogy a lehetséges mértékben fenntartsák a gyártók között az egyenlő versenyfeltételeket. </w:t>
      </w:r>
    </w:p>
    <w:p>
      <w:pPr>
        <w:pStyle w:val="ManualHeading2"/>
        <w:rPr>
          <w:rFonts w:eastAsia="Arial Unicode MS"/>
          <w:noProof/>
          <w:color w:val="000000" w:themeColor="text1"/>
          <w:u w:color="000000"/>
          <w:bdr w:val="nil"/>
        </w:rPr>
      </w:pPr>
      <w:r>
        <w:rPr>
          <w:noProof/>
        </w:rPr>
        <w:t xml:space="preserve"> </w:t>
      </w:r>
      <w:r>
        <w:rPr>
          <w:noProof/>
          <w:color w:val="000000" w:themeColor="text1"/>
          <w:u w:color="000000"/>
          <w:bdr w:val="nil"/>
        </w:rPr>
        <w:t>•</w:t>
      </w:r>
      <w:r>
        <w:rPr>
          <w:noProof/>
        </w:rPr>
        <w:tab/>
      </w:r>
      <w:r>
        <w:rPr>
          <w:noProof/>
          <w:color w:val="000000" w:themeColor="text1"/>
          <w:u w:color="000000"/>
          <w:bdr w:val="nil"/>
        </w:rPr>
        <w:t>A jogi aktus típusának megválasztása</w:t>
      </w:r>
    </w:p>
    <w:p>
      <w:pPr>
        <w:pBdr>
          <w:top w:val="nil"/>
          <w:left w:val="nil"/>
          <w:bottom w:val="nil"/>
          <w:right w:val="nil"/>
          <w:between w:val="nil"/>
          <w:bar w:val="nil"/>
        </w:pBdr>
        <w:spacing w:before="0" w:after="240"/>
        <w:rPr>
          <w:noProof/>
        </w:rPr>
      </w:pPr>
      <w:r>
        <w:rPr>
          <w:noProof/>
        </w:rPr>
        <w:t>Mivel a jogi aktus sajátos szabályokat állapít meg egy sajátos, egyszeri helyzet kezelésére, kivételes jelleggel nem fogja módosítani e szabályokat, hanem azt korlátozott időtartamra önálló jogi aktusként kell alkalmazni. Mivel az érintett jogi aktusok közül három rendelet, egy pedig irányelv (amelyet hamarosan egy 2020. szeptember 1-jétől alkalmazandó rendelet vált fel), a rendelet tűnik az egyetlen megfelelő formájú jogi aktusnak, amely lehetővé teszi a tagállamok számára, hogy eltérjenek az egyébként alkalmazandó releváns általános szabályoktól. A rendelet felel meg emellett leginkább a tárgy sürgős jellegének.</w:t>
      </w:r>
    </w:p>
    <w:p>
      <w:pPr>
        <w:pStyle w:val="ManualHeading1"/>
        <w:rPr>
          <w:noProof/>
          <w:color w:val="000000" w:themeColor="text1"/>
        </w:rPr>
      </w:pPr>
      <w:r>
        <w:rPr>
          <w:noProof/>
          <w:color w:val="000000" w:themeColor="text1"/>
        </w:rPr>
        <w:t>3.</w:t>
      </w:r>
      <w:r>
        <w:rPr>
          <w:noProof/>
        </w:rPr>
        <w:tab/>
      </w:r>
      <w:r>
        <w:rPr>
          <w:noProof/>
          <w:color w:val="000000" w:themeColor="text1"/>
        </w:rPr>
        <w:t>AZ UTÓLAGOS ÉRTÉKELÉSEK, AZ ÉRDEKELT FELEKKEL FOLYTATOTT KONZULTÁCIÓK ÉS A HATÁSVIZSGÁLATOK EREDMÉNYEI</w:t>
      </w:r>
    </w:p>
    <w:p>
      <w:pPr>
        <w:pStyle w:val="ManualHeading2"/>
        <w:rPr>
          <w:rFonts w:eastAsia="Arial Unicode MS"/>
          <w:noProof/>
          <w:color w:val="000000" w:themeColor="text1"/>
          <w:u w:color="000000"/>
          <w:bdr w:val="nil"/>
        </w:rPr>
      </w:pPr>
      <w:r>
        <w:rPr>
          <w:noProof/>
          <w:color w:val="000000" w:themeColor="text1"/>
          <w:u w:color="000000"/>
          <w:bdr w:val="nil"/>
        </w:rPr>
        <w:t>•</w:t>
      </w:r>
      <w:r>
        <w:rPr>
          <w:noProof/>
        </w:rPr>
        <w:tab/>
      </w:r>
      <w:r>
        <w:rPr>
          <w:noProof/>
          <w:color w:val="000000" w:themeColor="text1"/>
          <w:u w:color="000000"/>
          <w:bdr w:val="nil"/>
        </w:rPr>
        <w:t>A jelenleg hatályban lévő jogszabályok utólagos értékelése / célravezetőségi vizsgálata</w:t>
      </w:r>
    </w:p>
    <w:p>
      <w:pPr>
        <w:pStyle w:val="Text1"/>
        <w:rPr>
          <w:noProof/>
          <w:color w:val="000000" w:themeColor="text1"/>
        </w:rPr>
      </w:pPr>
      <w:r>
        <w:rPr>
          <w:noProof/>
          <w:color w:val="000000" w:themeColor="text1"/>
        </w:rPr>
        <w:t>Tárgytalan.</w:t>
      </w:r>
    </w:p>
    <w:p>
      <w:pPr>
        <w:pStyle w:val="ManualHeading2"/>
        <w:rPr>
          <w:rFonts w:eastAsia="Arial Unicode MS"/>
          <w:noProof/>
          <w:color w:val="000000" w:themeColor="text1"/>
          <w:u w:color="000000"/>
          <w:bdr w:val="nil"/>
        </w:rPr>
      </w:pPr>
      <w:r>
        <w:rPr>
          <w:noProof/>
          <w:color w:val="000000" w:themeColor="text1"/>
          <w:u w:color="000000"/>
          <w:bdr w:val="nil"/>
        </w:rPr>
        <w:t>•</w:t>
      </w:r>
      <w:r>
        <w:rPr>
          <w:noProof/>
        </w:rPr>
        <w:tab/>
      </w:r>
      <w:r>
        <w:rPr>
          <w:noProof/>
          <w:color w:val="000000" w:themeColor="text1"/>
          <w:u w:color="000000"/>
          <w:bdr w:val="nil"/>
        </w:rPr>
        <w:t>Az érdekelt felekkel folytatott konzultációk</w:t>
      </w:r>
    </w:p>
    <w:p>
      <w:pPr>
        <w:pBdr>
          <w:top w:val="nil"/>
          <w:left w:val="nil"/>
          <w:bottom w:val="nil"/>
          <w:right w:val="nil"/>
          <w:between w:val="nil"/>
          <w:bar w:val="nil"/>
        </w:pBdr>
        <w:spacing w:before="0" w:after="240"/>
        <w:ind w:left="850"/>
        <w:rPr>
          <w:noProof/>
        </w:rPr>
      </w:pPr>
      <w:r>
        <w:rPr>
          <w:noProof/>
        </w:rPr>
        <w:t>A típusjóváhagyás tekintetében az Egyesült Királyság Unióból való kilépése kapcsán felmerült kihívások a tagállamokkal tartott több megbeszélés tárgyát képezték, ahol azokat megvitatták. Ezekre a gyártók és az őket képviselő szervezetek is felhívták a Bizottság figyelmét.</w:t>
      </w:r>
    </w:p>
    <w:p>
      <w:pPr>
        <w:pBdr>
          <w:top w:val="nil"/>
          <w:left w:val="nil"/>
          <w:bottom w:val="nil"/>
          <w:right w:val="nil"/>
          <w:between w:val="nil"/>
          <w:bar w:val="nil"/>
        </w:pBdr>
        <w:spacing w:before="0" w:after="240"/>
        <w:ind w:left="850"/>
        <w:rPr>
          <w:noProof/>
        </w:rPr>
      </w:pPr>
      <w:r>
        <w:rPr>
          <w:noProof/>
        </w:rPr>
        <w:t xml:space="preserve">Az érdekelt feleknek lehetőségük volt a kezdeményezéssel kapcsolatos visszajelzésre az Európai Bizottság minőségi jogalkotással foglalkozó honlapján („Ön mit gondol? Mondja el!”). </w:t>
      </w:r>
    </w:p>
    <w:p>
      <w:pPr>
        <w:pBdr>
          <w:top w:val="nil"/>
          <w:left w:val="nil"/>
          <w:bottom w:val="nil"/>
          <w:right w:val="nil"/>
          <w:between w:val="nil"/>
          <w:bar w:val="nil"/>
        </w:pBdr>
        <w:spacing w:before="0" w:after="240"/>
        <w:ind w:left="850"/>
        <w:rPr>
          <w:noProof/>
        </w:rPr>
      </w:pPr>
      <w:r>
        <w:rPr>
          <w:noProof/>
        </w:rPr>
        <w:t xml:space="preserve">A visszajelzésekre nyitva álló 2018. április 26. és 2018. május 10. közötti időszak során 15 érdekelt félt tett észrevételt, köztük az érdekeltek kilenc európai szervezete, három egyesült királyságbeli szervezet, két gyártó és egy polgár. A fokozottabb jogbiztonság megteremtésére irányuló szándékot általában üdvözölték. Néhány észrevétel az áruk minden típusát érintő horizontális kérdésekre, a kilépési megállapodással kapcsolatban folyamatban lévő tárgyalásokra, valamint az Unió és az Egyesült Királyság közötti jövőbeli kapcsolatra vonatkozott. A visszajelzések, ha azok relevánsak voltak, figyelembevételre kerültek a javaslat előkészítése során. </w:t>
      </w:r>
    </w:p>
    <w:p>
      <w:pPr>
        <w:pStyle w:val="ManualHeading2"/>
        <w:rPr>
          <w:rFonts w:eastAsia="Arial Unicode MS"/>
          <w:noProof/>
          <w:color w:val="000000" w:themeColor="text1"/>
          <w:u w:color="000000"/>
          <w:bdr w:val="nil"/>
        </w:rPr>
      </w:pPr>
      <w:r>
        <w:rPr>
          <w:noProof/>
          <w:color w:val="000000" w:themeColor="text1"/>
          <w:u w:color="000000"/>
          <w:bdr w:val="nil"/>
        </w:rPr>
        <w:t>•</w:t>
      </w:r>
      <w:r>
        <w:rPr>
          <w:noProof/>
        </w:rPr>
        <w:tab/>
      </w:r>
      <w:r>
        <w:rPr>
          <w:noProof/>
          <w:color w:val="000000" w:themeColor="text1"/>
          <w:u w:color="000000"/>
          <w:bdr w:val="nil"/>
        </w:rPr>
        <w:t>Szakértői vélemények beszerzése és felhasználása</w:t>
      </w:r>
    </w:p>
    <w:p>
      <w:pPr>
        <w:pBdr>
          <w:top w:val="nil"/>
          <w:left w:val="nil"/>
          <w:bottom w:val="nil"/>
          <w:right w:val="nil"/>
          <w:between w:val="nil"/>
          <w:bar w:val="nil"/>
        </w:pBdr>
        <w:spacing w:before="0" w:after="240"/>
        <w:ind w:left="850"/>
        <w:rPr>
          <w:noProof/>
        </w:rPr>
      </w:pPr>
      <w:r>
        <w:rPr>
          <w:noProof/>
        </w:rPr>
        <w:t>A gyártók és a tagállamok szóbeli és írásbeli észrevételei, lásd fenn.</w:t>
      </w:r>
    </w:p>
    <w:p>
      <w:pPr>
        <w:pBdr>
          <w:top w:val="nil"/>
          <w:left w:val="nil"/>
          <w:bottom w:val="nil"/>
          <w:right w:val="nil"/>
          <w:between w:val="nil"/>
          <w:bar w:val="nil"/>
        </w:pBdr>
        <w:spacing w:before="0" w:after="240"/>
        <w:ind w:left="850"/>
        <w:rPr>
          <w:noProof/>
        </w:rPr>
      </w:pPr>
      <w:r>
        <w:rPr>
          <w:noProof/>
        </w:rPr>
        <w:t xml:space="preserve">Az érdekelt feleknek szánt két dokumentumot alátámasztó típusjóváhagyási jogszabályok jogi elemzése: </w:t>
      </w:r>
      <w:hyperlink r:id="rId16">
        <w:r>
          <w:rPr>
            <w:noProof/>
          </w:rPr>
          <w:t>A gépjárművek típusjóváhagyására gyakorolt hatásról szóló iránymutatás az érdekelt felek részére,</w:t>
        </w:r>
      </w:hyperlink>
      <w:r>
        <w:rPr>
          <w:noProof/>
        </w:rPr>
        <w:t xml:space="preserve"> 2018. február 8. és </w:t>
      </w:r>
      <w:hyperlink r:id="rId17">
        <w:r>
          <w:rPr>
            <w:noProof/>
          </w:rPr>
          <w:t>az egyes járművek és motorok típusjóváhagyására gyakorolt hatásról szóló iránymutatás az érdekelt felek részére,</w:t>
        </w:r>
      </w:hyperlink>
      <w:r>
        <w:rPr>
          <w:noProof/>
        </w:rPr>
        <w:t xml:space="preserve"> 2018. március 28.</w:t>
      </w:r>
    </w:p>
    <w:p>
      <w:pPr>
        <w:pStyle w:val="ManualHeading2"/>
        <w:rPr>
          <w:rFonts w:eastAsia="Arial Unicode MS"/>
          <w:noProof/>
          <w:color w:val="000000" w:themeColor="text1"/>
          <w:u w:color="000000"/>
          <w:bdr w:val="nil"/>
        </w:rPr>
      </w:pPr>
      <w:r>
        <w:rPr>
          <w:noProof/>
          <w:color w:val="000000" w:themeColor="text1"/>
          <w:u w:color="000000"/>
          <w:bdr w:val="nil"/>
        </w:rPr>
        <w:t>•</w:t>
      </w:r>
      <w:r>
        <w:rPr>
          <w:noProof/>
        </w:rPr>
        <w:tab/>
      </w:r>
      <w:r>
        <w:rPr>
          <w:noProof/>
          <w:color w:val="000000" w:themeColor="text1"/>
          <w:u w:color="000000"/>
          <w:bdr w:val="nil"/>
        </w:rPr>
        <w:t>Hatásvizsgálat</w:t>
      </w:r>
    </w:p>
    <w:p>
      <w:pPr>
        <w:pStyle w:val="Text1"/>
        <w:rPr>
          <w:noProof/>
          <w:color w:val="000000" w:themeColor="text1"/>
        </w:rPr>
      </w:pPr>
      <w:r>
        <w:rPr>
          <w:noProof/>
          <w:color w:val="000000" w:themeColor="text1"/>
        </w:rPr>
        <w:t>Tárgytalan.</w:t>
      </w:r>
    </w:p>
    <w:p>
      <w:pPr>
        <w:pStyle w:val="ManualHeading2"/>
        <w:rPr>
          <w:rFonts w:eastAsia="Arial Unicode MS"/>
          <w:noProof/>
          <w:color w:val="000000" w:themeColor="text1"/>
          <w:u w:color="000000"/>
          <w:bdr w:val="nil"/>
        </w:rPr>
      </w:pPr>
      <w:r>
        <w:rPr>
          <w:noProof/>
          <w:color w:val="000000" w:themeColor="text1"/>
          <w:u w:color="000000"/>
          <w:bdr w:val="nil"/>
        </w:rPr>
        <w:t>•</w:t>
      </w:r>
      <w:r>
        <w:rPr>
          <w:noProof/>
        </w:rPr>
        <w:tab/>
      </w:r>
      <w:r>
        <w:rPr>
          <w:noProof/>
          <w:color w:val="000000" w:themeColor="text1"/>
          <w:u w:color="000000"/>
          <w:bdr w:val="nil"/>
        </w:rPr>
        <w:t>Alapjogok</w:t>
      </w:r>
    </w:p>
    <w:p>
      <w:pPr>
        <w:pBdr>
          <w:top w:val="nil"/>
          <w:left w:val="nil"/>
          <w:bottom w:val="nil"/>
          <w:right w:val="nil"/>
          <w:between w:val="nil"/>
          <w:bar w:val="nil"/>
        </w:pBdr>
        <w:spacing w:before="0" w:after="240"/>
        <w:ind w:left="850"/>
        <w:rPr>
          <w:rFonts w:eastAsia="Arial Unicode MS"/>
          <w:noProof/>
          <w:color w:val="000000" w:themeColor="text1"/>
        </w:rPr>
      </w:pPr>
      <w:r>
        <w:rPr>
          <w:noProof/>
        </w:rPr>
        <w:t>E javaslat nem érinti az alapjogok védelmét.</w:t>
      </w:r>
    </w:p>
    <w:p>
      <w:pPr>
        <w:pStyle w:val="ManualHeading1"/>
        <w:rPr>
          <w:noProof/>
          <w:color w:val="000000" w:themeColor="text1"/>
        </w:rPr>
      </w:pPr>
      <w:r>
        <w:rPr>
          <w:noProof/>
          <w:color w:val="000000" w:themeColor="text1"/>
        </w:rPr>
        <w:t>4.</w:t>
      </w:r>
      <w:r>
        <w:rPr>
          <w:noProof/>
        </w:rPr>
        <w:tab/>
      </w:r>
      <w:r>
        <w:rPr>
          <w:noProof/>
          <w:color w:val="000000" w:themeColor="text1"/>
        </w:rPr>
        <w:t>KÖLTSÉGVETÉSI VONZATOK</w:t>
      </w:r>
    </w:p>
    <w:p>
      <w:pPr>
        <w:pStyle w:val="Text1"/>
        <w:rPr>
          <w:noProof/>
          <w:color w:val="000000" w:themeColor="text1"/>
        </w:rPr>
      </w:pPr>
      <w:r>
        <w:rPr>
          <w:noProof/>
          <w:color w:val="000000" w:themeColor="text1"/>
        </w:rPr>
        <w:t>Tárgytalan.</w:t>
      </w:r>
    </w:p>
    <w:p>
      <w:pPr>
        <w:pStyle w:val="ManualHeading1"/>
        <w:rPr>
          <w:noProof/>
          <w:color w:val="000000" w:themeColor="text1"/>
        </w:rPr>
      </w:pPr>
      <w:r>
        <w:rPr>
          <w:noProof/>
          <w:color w:val="000000" w:themeColor="text1"/>
        </w:rPr>
        <w:t>5.</w:t>
      </w:r>
      <w:r>
        <w:rPr>
          <w:noProof/>
        </w:rPr>
        <w:tab/>
      </w:r>
      <w:r>
        <w:rPr>
          <w:noProof/>
          <w:color w:val="000000" w:themeColor="text1"/>
        </w:rPr>
        <w:t>EGYÉB ELEMEK</w:t>
      </w:r>
    </w:p>
    <w:p>
      <w:pPr>
        <w:pStyle w:val="ManualHeading2"/>
        <w:rPr>
          <w:rFonts w:eastAsia="Arial Unicode MS"/>
          <w:noProof/>
          <w:color w:val="000000" w:themeColor="text1"/>
          <w:u w:color="000000"/>
          <w:bdr w:val="nil"/>
        </w:rPr>
      </w:pPr>
      <w:r>
        <w:rPr>
          <w:noProof/>
          <w:color w:val="000000" w:themeColor="text1"/>
          <w:u w:color="000000"/>
          <w:bdr w:val="nil"/>
        </w:rPr>
        <w:t>•</w:t>
      </w:r>
      <w:r>
        <w:rPr>
          <w:noProof/>
        </w:rPr>
        <w:tab/>
      </w:r>
      <w:r>
        <w:rPr>
          <w:noProof/>
          <w:color w:val="000000" w:themeColor="text1"/>
          <w:u w:color="000000"/>
          <w:bdr w:val="nil"/>
        </w:rPr>
        <w:t>Végrehajtási tervek, valamint a nyomon követés, az értékelés és a jelentéstétel szabályai</w:t>
      </w:r>
    </w:p>
    <w:p>
      <w:pPr>
        <w:pStyle w:val="Text1"/>
        <w:rPr>
          <w:noProof/>
          <w:color w:val="000000" w:themeColor="text1"/>
        </w:rPr>
      </w:pPr>
      <w:r>
        <w:rPr>
          <w:noProof/>
          <w:color w:val="000000" w:themeColor="text1"/>
        </w:rPr>
        <w:t>Tárgytalan.</w:t>
      </w:r>
    </w:p>
    <w:p>
      <w:pPr>
        <w:rPr>
          <w:noProof/>
          <w:color w:val="000000" w:themeColor="text1"/>
        </w:rPr>
        <w:sectPr>
          <w:footerReference w:type="default" r:id="rId18"/>
          <w:footerReference w:type="first" r:id="rId19"/>
          <w:pgSz w:w="11907" w:h="16839"/>
          <w:pgMar w:top="1134" w:right="1417" w:bottom="1134" w:left="1417" w:header="709" w:footer="709" w:gutter="0"/>
          <w:cols w:space="708"/>
          <w:docGrid w:linePitch="360"/>
        </w:sectPr>
      </w:pPr>
    </w:p>
    <w:p>
      <w:pPr>
        <w:pStyle w:val="Rfrenceinterinstitutionnelle"/>
        <w:rPr>
          <w:noProof/>
        </w:rPr>
      </w:pPr>
      <w:r>
        <w:rPr>
          <w:noProof/>
        </w:rPr>
        <w:t>2018/0220 (COD)</w:t>
      </w:r>
    </w:p>
    <w:p>
      <w:pPr>
        <w:pStyle w:val="Statut"/>
        <w:rPr>
          <w:noProof/>
        </w:rPr>
      </w:pPr>
      <w:r>
        <w:rPr>
          <w:noProof/>
        </w:rPr>
        <w:t>Javaslat</w:t>
      </w:r>
    </w:p>
    <w:p>
      <w:pPr>
        <w:pStyle w:val="Typedudocument"/>
        <w:rPr>
          <w:noProof/>
        </w:rPr>
      </w:pPr>
      <w:r>
        <w:rPr>
          <w:noProof/>
        </w:rPr>
        <w:t>AZ EURÓPAI PARLAMENT ÉS A TANÁCS RENDELETE</w:t>
      </w:r>
    </w:p>
    <w:p>
      <w:pPr>
        <w:pStyle w:val="Titreobjet"/>
        <w:rPr>
          <w:noProof/>
        </w:rPr>
      </w:pPr>
      <w:r>
        <w:rPr>
          <w:noProof/>
        </w:rPr>
        <w:t>az EU-típusjóváhagyási jogszabályoknak az Egyesült Királyság Unióból való kilépésére figyelemmel történő kiegészítéséről</w:t>
      </w:r>
      <w:r>
        <w:rPr>
          <w:noProof/>
        </w:rPr>
        <w:br/>
      </w:r>
    </w:p>
    <w:p>
      <w:pPr>
        <w:pStyle w:val="IntrtEEE"/>
        <w:rPr>
          <w:noProof/>
        </w:rPr>
      </w:pPr>
      <w:r>
        <w:rPr>
          <w:noProof/>
        </w:rPr>
        <w:t>(EGT-vonatkozású szöveg)</w:t>
      </w:r>
    </w:p>
    <w:p>
      <w:pPr>
        <w:pStyle w:val="Institutionquiagit"/>
        <w:rPr>
          <w:noProof/>
          <w:color w:val="000000" w:themeColor="text1"/>
        </w:rPr>
      </w:pPr>
      <w:r>
        <w:rPr>
          <w:noProof/>
          <w:color w:val="000000" w:themeColor="text1"/>
        </w:rPr>
        <w:t>AZ EURÓPAI PARLAMENT ÉS AZ EURÓPAI UNIÓ TANÁCSA,</w:t>
      </w:r>
    </w:p>
    <w:p>
      <w:pPr>
        <w:rPr>
          <w:noProof/>
          <w:color w:val="000000" w:themeColor="text1"/>
        </w:rPr>
      </w:pPr>
      <w:r>
        <w:rPr>
          <w:noProof/>
          <w:color w:val="000000" w:themeColor="text1"/>
        </w:rPr>
        <w:t>tekintettel az Európai Unió működéséről szóló szerződésre és különösen annak 114. cikkére,</w:t>
      </w:r>
    </w:p>
    <w:p>
      <w:pPr>
        <w:rPr>
          <w:noProof/>
          <w:color w:val="000000" w:themeColor="text1"/>
        </w:rPr>
      </w:pPr>
      <w:r>
        <w:rPr>
          <w:noProof/>
          <w:color w:val="000000" w:themeColor="text1"/>
        </w:rPr>
        <w:t>tekintettel az Európai Bizottság javaslatára,</w:t>
      </w:r>
    </w:p>
    <w:p>
      <w:pPr>
        <w:rPr>
          <w:noProof/>
          <w:color w:val="000000" w:themeColor="text1"/>
        </w:rPr>
      </w:pPr>
      <w:r>
        <w:rPr>
          <w:noProof/>
          <w:color w:val="000000" w:themeColor="text1"/>
        </w:rPr>
        <w:t>a jogalkotási aktus tervezete nemzeti parlamenteknek való megküldését követően,</w:t>
      </w:r>
    </w:p>
    <w:p>
      <w:pPr>
        <w:rPr>
          <w:noProof/>
          <w:color w:val="000000" w:themeColor="text1"/>
        </w:rPr>
      </w:pPr>
      <w:r>
        <w:rPr>
          <w:noProof/>
          <w:color w:val="000000" w:themeColor="text1"/>
        </w:rPr>
        <w:t>tekintettel az Európai Gazdasági és Szociális Bizottság véleményére,</w:t>
      </w:r>
    </w:p>
    <w:p>
      <w:pPr>
        <w:rPr>
          <w:noProof/>
          <w:color w:val="000000" w:themeColor="text1"/>
        </w:rPr>
      </w:pPr>
      <w:r>
        <w:rPr>
          <w:noProof/>
          <w:color w:val="000000" w:themeColor="text1"/>
        </w:rPr>
        <w:t>rendes jogalkotási eljárás keretében,</w:t>
      </w:r>
    </w:p>
    <w:p>
      <w:pPr>
        <w:rPr>
          <w:noProof/>
          <w:color w:val="000000" w:themeColor="text1"/>
        </w:rPr>
      </w:pPr>
      <w:r>
        <w:rPr>
          <w:noProof/>
          <w:color w:val="000000" w:themeColor="text1"/>
        </w:rPr>
        <w:t>mivel:</w:t>
      </w:r>
    </w:p>
    <w:p>
      <w:pPr>
        <w:pStyle w:val="ManualConsidrant"/>
        <w:rPr>
          <w:noProof/>
        </w:rPr>
      </w:pPr>
      <w:r>
        <w:t>(1)</w:t>
      </w:r>
      <w:r>
        <w:tab/>
      </w:r>
      <w:r>
        <w:rPr>
          <w:noProof/>
        </w:rPr>
        <w:t>2017. március 29-én az Egyesült Királyság az Európai Unióról szóló szerződés 50. cikkének megfelelően bejelentette az Unióból való kilépésre vonatkozó szándékát. Ez azt jelenti, hogy az uniós jog 2019. március 30-ától kezdődően nem alkalmazandó többé az Egyesült Királyságra, kivéve, ha a kilépésről rendelkező, megerősített megállapodás vagy az Egyesült Királysággal egyetértve az Európai Tanács egyhangúlag eltérő időpontot határoz meg. Az Egyesült Királyság ezt követően harmadik ország lesz.</w:t>
      </w:r>
    </w:p>
    <w:p>
      <w:pPr>
        <w:pStyle w:val="ManualConsidrant"/>
        <w:rPr>
          <w:noProof/>
        </w:rPr>
      </w:pPr>
      <w:r>
        <w:t>(2)</w:t>
      </w:r>
      <w:r>
        <w:tab/>
      </w:r>
      <w:r>
        <w:rPr>
          <w:noProof/>
        </w:rPr>
        <w:t xml:space="preserve"> Az EU-típusjóváhagyás átfogó jogalkotási keretét a 2007/46/EK európai parlamenti és tanácsi irányelv</w:t>
      </w:r>
      <w:r>
        <w:rPr>
          <w:rStyle w:val="FootnoteReference"/>
          <w:noProof/>
        </w:rPr>
        <w:footnoteReference w:id="1"/>
      </w:r>
      <w:r>
        <w:rPr>
          <w:noProof/>
        </w:rPr>
        <w:t>, a 167/2013/EU európai parlamenti és tanácsi rendelet</w:t>
      </w:r>
      <w:r>
        <w:rPr>
          <w:rStyle w:val="FootnoteReference"/>
          <w:noProof/>
        </w:rPr>
        <w:footnoteReference w:id="2"/>
      </w:r>
      <w:r>
        <w:rPr>
          <w:noProof/>
        </w:rPr>
        <w:t>, a 168/2013/EU európai parlamenti és tanácsi rendelet</w:t>
      </w:r>
      <w:r>
        <w:rPr>
          <w:rStyle w:val="FootnoteReference"/>
          <w:noProof/>
        </w:rPr>
        <w:footnoteReference w:id="3"/>
      </w:r>
      <w:r>
        <w:rPr>
          <w:noProof/>
        </w:rPr>
        <w:t xml:space="preserve"> és az (EU) 2016/1628 európai parlamenti és tanácsi rendelet</w:t>
      </w:r>
      <w:r>
        <w:rPr>
          <w:rStyle w:val="FootnoteReference"/>
          <w:noProof/>
        </w:rPr>
        <w:footnoteReference w:id="4"/>
      </w:r>
      <w:r>
        <w:rPr>
          <w:noProof/>
        </w:rPr>
        <w:t>alakította ki.</w:t>
      </w:r>
    </w:p>
    <w:p>
      <w:pPr>
        <w:pStyle w:val="ManualConsidrant"/>
        <w:rPr>
          <w:noProof/>
        </w:rPr>
      </w:pPr>
      <w:r>
        <w:t>(3)</w:t>
      </w:r>
      <w:r>
        <w:tab/>
      </w:r>
      <w:r>
        <w:rPr>
          <w:noProof/>
        </w:rPr>
        <w:t>E jogi aktusok a gyártókra hagyják azon hatóság megválasztását, amelytől a termékek valamennyi tagállamban történő forgalomba hozatalát lehetővé tevő típusjóváhagyási engedélyt kérnek.</w:t>
      </w:r>
    </w:p>
    <w:p>
      <w:pPr>
        <w:pStyle w:val="ManualConsidrant"/>
        <w:rPr>
          <w:noProof/>
        </w:rPr>
      </w:pPr>
      <w:r>
        <w:t>(4)</w:t>
      </w:r>
      <w:r>
        <w:tab/>
      </w:r>
      <w:r>
        <w:rPr>
          <w:noProof/>
        </w:rPr>
        <w:t>Az Egyesült Királyság Unióból való kilépése bármilyen különleges rendelkezés hiányában azzal a hatással járna, hogy az Egyesült Királyság típusjóváhagyó hatósága által korábban kiadott típusjóváhagyási engedélyek immár nem tudnának hozzáférést biztosítani az uniós piachoz. Ilyen engedélyekkel az Egyesült Királyságtól eltérő tagállamokban letelepedett gyártók is rendelkeznek. Noha az Egyesült Királyság által típusjóváhagyott járművek, rendszerek, alkatrészek és önálló műszaki egységek forgalomba hozhatók az Unióban, amíg meg nem szűnik az uniós jog alkalmazása az Egyesült Királyságra és az Egyesült Királyságban, különleges rendelkezéseket kell kialakítani e termékek Unióban történő forgalomba hozatalának megkönnyítése céljából ezen időpontot követően.</w:t>
      </w:r>
    </w:p>
    <w:p>
      <w:pPr>
        <w:pStyle w:val="ManualConsidrant"/>
        <w:rPr>
          <w:noProof/>
        </w:rPr>
      </w:pPr>
      <w:r>
        <w:t>(5)</w:t>
      </w:r>
      <w:r>
        <w:tab/>
      </w:r>
      <w:r>
        <w:rPr>
          <w:noProof/>
        </w:rPr>
        <w:t xml:space="preserve">Az uniós szabályozás jelenleg nem tartalmazza az Unióban máshol már jóváhagyott típusok újbóli jóváhagyásának lehetőségét. A gyártóknak azonban képeseknek kell lenniük arra, hogy folytassák az Egyesült Királyság által korábban kiadott típusjóváhagyásokon alapuló járművek, rendszerek, alkatrészek és önálló műszaki egységek gyártását, valamint, hogy továbbra is forgalomba hozhassanak ilyen termékeket az Unióban. Ennélfogva lehetővé kell tenni a gyártók számára, hogy új jóváhagyásokat szerezzenek be az Egyesült Királyságtól eltérő tagállamokban található hatóságoktól. </w:t>
      </w:r>
    </w:p>
    <w:p>
      <w:pPr>
        <w:pStyle w:val="ManualConsidrant"/>
        <w:rPr>
          <w:noProof/>
        </w:rPr>
      </w:pPr>
      <w:r>
        <w:t>(6)</w:t>
      </w:r>
      <w:r>
        <w:tab/>
      </w:r>
      <w:r>
        <w:rPr>
          <w:noProof/>
        </w:rPr>
        <w:t>E rendeletnek azt is biztosítania kell, hogy a gyártókat továbbra is a lehető legnagyobb szabadság illesse meg az új jóváhagyó hatóság kiválasztása terén. Közelebbről a gyártó e döntése nem függhet az Egyesült Királyság típusjóváhagyó hatóságának hozzájárulásától, illetve az Egyesült Királyság típusjóváhagyó hatósága és az új típusjóváhagyó hatóság közötti bármilyen megállapodás meglététől.</w:t>
      </w:r>
    </w:p>
    <w:p>
      <w:pPr>
        <w:pStyle w:val="ManualConsidrant"/>
        <w:rPr>
          <w:noProof/>
        </w:rPr>
      </w:pPr>
      <w:r>
        <w:t>(7)</w:t>
      </w:r>
      <w:r>
        <w:tab/>
      </w:r>
      <w:r>
        <w:rPr>
          <w:noProof/>
        </w:rPr>
        <w:t xml:space="preserve">Annak érdekében, hogy a szükséges jogbiztonságot nyújtsák valamennyi érdekelt fél számára, illetve hogy biztosítsák az egyenlő versenyfeltételeket a gyártók részére, átlátható módon egyenlő, valamennyi tagállamban alkalmazható feltételeket kell meghatározni. </w:t>
      </w:r>
    </w:p>
    <w:p>
      <w:pPr>
        <w:pStyle w:val="ManualConsidrant"/>
        <w:rPr>
          <w:noProof/>
        </w:rPr>
      </w:pPr>
      <w:r>
        <w:t>(8)</w:t>
      </w:r>
      <w:r>
        <w:tab/>
      </w:r>
      <w:r>
        <w:rPr>
          <w:noProof/>
        </w:rPr>
        <w:t>A járművek, rendszerek, alkatrészek és önálló műszaki egységek folyamatos gyártásának és forgalomba hozatalának lehetővé tétele érdekében azon követelményeknek, amelyeknek az ilyen típusoknak meg kell felelniük ahhoz, hogy azokat jóváhagyja az Egyesült Királyságtól eltérő tagállam hatósága, az új járművek, rendszerek, alkatrészek és önálló műszaki egységek forgalomba hozatalára vonatkozó követelményeknek kell lenniük, nem pedig az új típusokra alkalmazandó követelményeknek.</w:t>
      </w:r>
    </w:p>
    <w:p>
      <w:pPr>
        <w:pStyle w:val="ManualConsidrant"/>
        <w:rPr>
          <w:noProof/>
        </w:rPr>
      </w:pPr>
      <w:r>
        <w:t>(9)</w:t>
      </w:r>
      <w:r>
        <w:tab/>
      </w:r>
      <w:r>
        <w:rPr>
          <w:noProof/>
        </w:rPr>
        <w:t>Az új járművekre, rendszerekre, alkatrészekre és önálló műszaki egységekre vonatkozó követelmények tehát ugyanúgy alkalmazandók az Egyesült Királyságtól eltérő tagállamok által megadott típusjóváhagyásokkal rendelkező gyártókra. Az tehát, hogy ugyanazon követelményeket írják elő az e rendelet hatálya alá tartozó típusokra és az új járművek, rendszerek, alkatrészek és önálló műszaki egységek forgalomba hozatalára, az Egyesült Királyság kilépése által érintett gyártók és az Egyesült Királyságtól eltérő tagállamok által megadott típusjóváhagyásokkal rendelkező gyártók tekintetében alkalmazott egyenlő bánásmód biztosítását célozza.</w:t>
      </w:r>
    </w:p>
    <w:p>
      <w:pPr>
        <w:pStyle w:val="ManualConsidrant"/>
        <w:rPr>
          <w:noProof/>
        </w:rPr>
      </w:pPr>
      <w:r>
        <w:t>(10)</w:t>
      </w:r>
      <w:r>
        <w:tab/>
      </w:r>
      <w:r>
        <w:rPr>
          <w:noProof/>
        </w:rPr>
        <w:t xml:space="preserve">E rendelet egyik eleme sem akadályozza meg azt, hogy egy jármű gyártója önkéntes alapon uniós típusjóváhagyást kérjen egy az Egyesült Királyságban korábban már a rendszerek, alkatrészek és önálló műszaki egységek új típusaira alkalmazandó egyes követelmények alapján jóváhagyott típusra, amennyiben a jármű típusa egyébként azonos marad az Egyesült Királyságban jóváhagyottal. </w:t>
      </w:r>
    </w:p>
    <w:p>
      <w:pPr>
        <w:pStyle w:val="ManualConsidrant"/>
        <w:rPr>
          <w:noProof/>
        </w:rPr>
      </w:pPr>
      <w:r>
        <w:t>(11)</w:t>
      </w:r>
      <w:r>
        <w:tab/>
      </w:r>
      <w:r>
        <w:rPr>
          <w:noProof/>
        </w:rPr>
        <w:t xml:space="preserve">A járművek, rendszerek, alkatrészek és önálló műszaki egységek teljesen új típusaira kért jóváhagyások nem tartoznak e rendelet hatálya alá. </w:t>
      </w:r>
    </w:p>
    <w:p>
      <w:pPr>
        <w:pStyle w:val="ManualConsidrant"/>
        <w:rPr>
          <w:noProof/>
        </w:rPr>
      </w:pPr>
      <w:r>
        <w:t>(12)</w:t>
      </w:r>
      <w:r>
        <w:tab/>
      </w:r>
      <w:r>
        <w:rPr>
          <w:noProof/>
        </w:rPr>
        <w:t xml:space="preserve">Az e rendelet alapján megadott típusjóváhagyások alapulhatnak az Egyesült Királyságban a jóváhagyás megszerzése érdekében már benyújtott vizsgálati jegyzőkönyveken, amennyiben az ilyen vizsgálati eredmények alapját képező követelmények nem változtak. Annak érdekében, hogy lehetővé tegye az Egyesült Királyság által bejelentett műszaki szolgálat vizsgálati jegyzőkönyveinek folyamatos használatát, e rendeletnek kivételt kell előírni azon követelmény alól, amely szerint az ilyen műszaki szolgálatot a típusjóváhagyást kiadó hatóságnak ki kell jelölnie és be kell jelentenie a Bizottságnak.  Annak érdekében, hogy azon időszakot is a hatálya alá vonja, amikor az uniós jog alkalmazása megszűnik az Egyesült Királyságra és az Egyesült Királyságban, e rendeletnek továbbá kivételt kell előírnia a harmadik országok műszaki szolgálatainak kijelölésére és bejelentésére vonatkozó sajátos előírások alól. </w:t>
      </w:r>
    </w:p>
    <w:p>
      <w:pPr>
        <w:pStyle w:val="ManualConsidrant"/>
        <w:rPr>
          <w:noProof/>
        </w:rPr>
      </w:pPr>
      <w:r>
        <w:t>(13)</w:t>
      </w:r>
      <w:r>
        <w:tab/>
      </w:r>
      <w:r>
        <w:rPr>
          <w:noProof/>
        </w:rPr>
        <w:t>Ugyanakkor mivel a típusjóváhagyó hatóságoknak kell teljes felelősséget viselniük az általuk kiadott új jóváhagyásokért, ezért mérlegelési jogkörrel kell rendelkezniük abban a tekintetben, hogy a jóváhagyás bármelyik általuk célszerűnek tartott eleme vonatkozásában új vizsgálatok végzését írják elő.</w:t>
      </w:r>
    </w:p>
    <w:p>
      <w:pPr>
        <w:pStyle w:val="ManualConsidrant"/>
        <w:rPr>
          <w:noProof/>
        </w:rPr>
      </w:pPr>
      <w:r>
        <w:t>(14)</w:t>
      </w:r>
      <w:r>
        <w:tab/>
      </w:r>
      <w:r>
        <w:rPr>
          <w:noProof/>
        </w:rPr>
        <w:t>E jogi aktus eltérő rendelkezése hiányában továbbra is az EU-típusjóváhagyás általános szabályait kell alkalmazni.</w:t>
      </w:r>
    </w:p>
    <w:p>
      <w:pPr>
        <w:pStyle w:val="ManualConsidrant"/>
        <w:rPr>
          <w:noProof/>
        </w:rPr>
      </w:pPr>
      <w:r>
        <w:t>(15)</w:t>
      </w:r>
      <w:r>
        <w:tab/>
      </w:r>
      <w:r>
        <w:rPr>
          <w:noProof/>
        </w:rPr>
        <w:t xml:space="preserve">Figyelembe kell venni, hogy a típusjóváhagyó hatóságok számára kijelölt szerep nem ér véget a jármű, rendszer, alkatrész vagy önálló műszaki egység gyártásával vagy forgalomba hozatalával, hanem több évre kiterjed az ilyen termékek forgalomba hozatalát követően. Ez különösen alkalmazandó a 2007/46/EK irányelv hatálya alá tartozó járműveket érintő, a már forgalomban lévő termékek megfelelőségére vonatkozó kötelezettségekre, valamint a </w:t>
      </w:r>
      <w:r>
        <w:rPr>
          <w:noProof/>
          <w:color w:val="000000" w:themeColor="text1"/>
        </w:rPr>
        <w:t>2007/46/EK irányelv, a 167/2013/EU rendelet, a 168/2013/EU rendelet és az (EU) 2016/1628 rendelet</w:t>
      </w:r>
      <w:r>
        <w:rPr>
          <w:noProof/>
        </w:rPr>
        <w:t xml:space="preserve"> hatálya alá tartozó járművekre, rendszerekre, alkatrészekre és önálló műszaki egységekre vonatkozó javítási és karbantartási információkra, illetve ezek potenciális visszahívására.</w:t>
      </w:r>
      <w:r>
        <w:rPr>
          <w:noProof/>
          <w:color w:val="000000" w:themeColor="text1"/>
        </w:rPr>
        <w:t xml:space="preserve"> </w:t>
      </w:r>
      <w:r>
        <w:rPr>
          <w:noProof/>
        </w:rPr>
        <w:t xml:space="preserve">Ennélfogva a típusjóváhagyást az e rendeletnek megfelelően kiadó hatóságnak át kell vállalnia e kötelezettségeket az ugyanazon a típuson alapuló és az Unióban már az Egyesült Királyságban kiadott típusjóváhagyás alapján forgalomba hozott járművek, rendszerek, alkatrészek és önálló műszaki egységek vonatkozásában is, annak biztosítása érdekében, hogy legyen felelős típusjóváhagyó hatóság. </w:t>
      </w:r>
    </w:p>
    <w:p>
      <w:pPr>
        <w:pStyle w:val="ManualConsidrant"/>
        <w:rPr>
          <w:noProof/>
        </w:rPr>
      </w:pPr>
      <w:r>
        <w:t>(16)</w:t>
      </w:r>
      <w:r>
        <w:tab/>
      </w:r>
      <w:r>
        <w:rPr>
          <w:noProof/>
        </w:rPr>
        <w:t xml:space="preserve">Ugyanezen okok miatt az is szükséges, hogy egy uniós típusjóváhagyó hatóság lásson el bizonyos kötelezettségeket az Unióban az Egyesült Királyságban kiadott olyan típusjóváhagyások alapján forgalomba hozott járművek, rendszerek, alkatrészek és önálló műszaki egységek vonatkozásában, amelyek már vagy nem érvényesek </w:t>
      </w:r>
      <w:r>
        <w:rPr>
          <w:noProof/>
          <w:color w:val="000000" w:themeColor="text1"/>
        </w:rPr>
        <w:t>a 2007/46/EK irányelv 17. cikke, a 167/2013/EU rendelet 32. cikke, a 168/2013/EU rendelet 37. cikke és az (EU) 2016/1628 rendelet 30. cikke</w:t>
      </w:r>
      <w:r>
        <w:rPr>
          <w:noProof/>
        </w:rPr>
        <w:t xml:space="preserve"> alapján vagy amelyek vonatkozásában nem kértek e rendelet alapján típusjóváhagyást. Annak biztosítása érdekében, hogy legyen felelős típusjóváhagyó hatóság, a gyártók számára elő kell írni, hogy hívják fel a korábban az Egyesült Királyságban jóváhagyott típusokat jóváhagyó hatóságot arra, hogy vállalja a visszahívásokkal, javítási és karbantartási információkkal, valamint a használatban lévő termékek megfelelőségének vizsgálatával kapcsolatos kötelezettségeket a más típusokon alapuló és az Unióban már forgalomban hozott járműveik, rendszereik, alkatrészeik és önálló műszaki egységeik vonatkozásában. Az uniós típusjóváhagyó hatóság által ellátott kötelezettségek mértékének korlátozása érdekében e kötelezettségek kizárólag az </w:t>
      </w:r>
      <w:r>
        <w:rPr>
          <w:noProof/>
          <w:color w:val="000000" w:themeColor="text1"/>
        </w:rPr>
        <w:t>Egyesült Királyságban 2008. január 1. után kiadott típusjóváhagyásokon alapuló</w:t>
      </w:r>
      <w:r>
        <w:rPr>
          <w:noProof/>
        </w:rPr>
        <w:t xml:space="preserve"> termékekre vonatkoznak.</w:t>
      </w:r>
      <w:r>
        <w:rPr>
          <w:noProof/>
          <w:color w:val="000000" w:themeColor="text1"/>
        </w:rPr>
        <w:t xml:space="preserve"> </w:t>
      </w:r>
    </w:p>
    <w:p>
      <w:pPr>
        <w:pStyle w:val="ManualConsidrant"/>
        <w:rPr>
          <w:noProof/>
        </w:rPr>
      </w:pPr>
      <w:r>
        <w:t>(17)</w:t>
      </w:r>
      <w:r>
        <w:tab/>
      </w:r>
      <w:r>
        <w:rPr>
          <w:noProof/>
        </w:rPr>
        <w:t xml:space="preserve">Mivel e rendelet célját, vagyis a 2007/46/EK irányelv, a 167/2013/EU rendelet, a 168/2013/EU rendelet és az (EU) 2016/1628 rendelet kiegészítését az Egyesült Királyság Unióból való kilépésére vonatkozó különleges szabályokkal a tagállamok nem tudják kielégítően megvalósítani, az Unió szintjén azonban e célok jobban megvalósíthatók e szabályok terjedelme és hatásai miatt, az Unió intézkedéseket hozhat az Európai Unióról szóló szerződés 5. cikkében foglalt szubszidiaritás elvének megfelelően. Az említett cikkben foglalt arányosság elvének megfelelően ez a rendelet nem lépi túl az e cél eléréséhez szükséges mértéket. </w:t>
      </w:r>
    </w:p>
    <w:p>
      <w:pPr>
        <w:pStyle w:val="ManualConsidrant"/>
        <w:rPr>
          <w:noProof/>
        </w:rPr>
      </w:pPr>
      <w:r>
        <w:t>(18)</w:t>
      </w:r>
      <w:r>
        <w:tab/>
      </w:r>
      <w:r>
        <w:rPr>
          <w:noProof/>
        </w:rPr>
        <w:t>Annak érdekében, hogy lehetővé tegyék a gyártók számára, hogy a típusjóváhagyási szabályozásra figyelemmel megtegyék a szükséges intézkedéseket annak érdekében, hogy haladéktalanul felkészüljenek az Egyesült Királyság kilépésére, e rendelet a kihirdetését követő harmadik napon lép hatályba.</w:t>
      </w:r>
    </w:p>
    <w:p>
      <w:pPr>
        <w:pStyle w:val="Formuledadoption"/>
        <w:rPr>
          <w:noProof/>
          <w:color w:val="000000" w:themeColor="text1"/>
        </w:rPr>
      </w:pPr>
      <w:r>
        <w:rPr>
          <w:noProof/>
          <w:color w:val="000000" w:themeColor="text1"/>
        </w:rPr>
        <w:t>ELFOGADTA EZT A RENDELETET:</w:t>
      </w:r>
    </w:p>
    <w:p>
      <w:pPr>
        <w:pStyle w:val="Titrearticle"/>
        <w:rPr>
          <w:noProof/>
          <w:color w:val="000000" w:themeColor="text1"/>
        </w:rPr>
      </w:pPr>
      <w:r>
        <w:rPr>
          <w:noProof/>
          <w:color w:val="000000" w:themeColor="text1"/>
        </w:rPr>
        <w:t>1. cikk</w:t>
      </w:r>
      <w:r>
        <w:rPr>
          <w:noProof/>
          <w:color w:val="000000" w:themeColor="text1"/>
        </w:rPr>
        <w:br/>
      </w:r>
      <w:r>
        <w:rPr>
          <w:b/>
          <w:i w:val="0"/>
          <w:noProof/>
          <w:color w:val="000000" w:themeColor="text1"/>
        </w:rPr>
        <w:t>Tárgy</w:t>
      </w:r>
    </w:p>
    <w:p>
      <w:pPr>
        <w:rPr>
          <w:noProof/>
          <w:color w:val="000000" w:themeColor="text1"/>
          <w:szCs w:val="24"/>
        </w:rPr>
      </w:pPr>
      <w:r>
        <w:rPr>
          <w:noProof/>
          <w:color w:val="000000" w:themeColor="text1"/>
        </w:rPr>
        <w:t>E rendelet a 2007/46/EK irányelvet, a 167/2013/EU rendeletet, a 168/2013/EU rendeletet és az (EU) 2016/1628 rendeletet egészíti ki oly módon, hogy különös rendelkezéseket állapít meg az Egyesült Királyság jóváhagyó hatósága (a továbbiakban: az Egyesült Királyság típusjóváhagyó hatósága) által azon időpont előtt típusjóváhagyott járművek, rendszerek, alkatrészek és önálló műszaki egységek EU-típusjóváhagyását és forgalomba hozatalát illetően, hogy megszűnt az uniós jog alkalmazása az Egyesült Királyságra és az Egyesült Királyságban.</w:t>
      </w:r>
    </w:p>
    <w:p>
      <w:pPr>
        <w:pStyle w:val="Titrearticle"/>
        <w:rPr>
          <w:noProof/>
          <w:color w:val="000000" w:themeColor="text1"/>
        </w:rPr>
      </w:pPr>
      <w:r>
        <w:rPr>
          <w:noProof/>
          <w:color w:val="000000" w:themeColor="text1"/>
        </w:rPr>
        <w:t>2. cikk</w:t>
      </w:r>
      <w:r>
        <w:rPr>
          <w:noProof/>
          <w:color w:val="000000" w:themeColor="text1"/>
        </w:rPr>
        <w:br/>
      </w:r>
      <w:r>
        <w:rPr>
          <w:b/>
          <w:i w:val="0"/>
          <w:noProof/>
          <w:color w:val="000000" w:themeColor="text1"/>
        </w:rPr>
        <w:t>Hatály</w:t>
      </w:r>
    </w:p>
    <w:p>
      <w:pPr>
        <w:rPr>
          <w:noProof/>
          <w:color w:val="000000" w:themeColor="text1"/>
          <w:szCs w:val="24"/>
        </w:rPr>
      </w:pPr>
      <w:r>
        <w:rPr>
          <w:noProof/>
          <w:color w:val="000000" w:themeColor="text1"/>
        </w:rPr>
        <w:t xml:space="preserve">(1) E rendeletet a 2007/46/EK irányelv, a 167/2013/EU rendelet, a 168/2013/EU rendelet és az (EU) 2016/1628 rendelet hatálya alá tartozó járművekre, rendszerekre, alkatrészekre és önálló műszaki egységekre, valamint azon típusaikra kell alkalmazni, amelyeket az Egyesült Királyság típusjóváhagyó hatósága ezen jogi aktusok vagy a 2007/46/EK irányelv IV. mellékletében felsorolt bármely jogi aktus, illetve az ezen jogi aktusok által hatályon kívül helyezett bármely jogi aktus alapján hagyott jóvá. </w:t>
      </w:r>
    </w:p>
    <w:p>
      <w:pPr>
        <w:rPr>
          <w:noProof/>
        </w:rPr>
      </w:pPr>
    </w:p>
    <w:p>
      <w:pPr>
        <w:rPr>
          <w:noProof/>
          <w:color w:val="000000" w:themeColor="text1"/>
          <w:szCs w:val="24"/>
        </w:rPr>
      </w:pPr>
      <w:r>
        <w:rPr>
          <w:noProof/>
          <w:color w:val="000000" w:themeColor="text1"/>
        </w:rPr>
        <w:t>(2) Az e rendelet hatálya alá tartozó önálló műszaki egységekre való hivatkozásokat úgy kell értelmezni, mint amelyek az (EU) 2016/1628 rendelet hatálya alá tartozó motorokra való hivatkozást jelentenek.</w:t>
      </w:r>
    </w:p>
    <w:p>
      <w:pPr>
        <w:pStyle w:val="Titrearticle"/>
        <w:rPr>
          <w:noProof/>
          <w:color w:val="000000" w:themeColor="text1"/>
        </w:rPr>
      </w:pPr>
      <w:r>
        <w:rPr>
          <w:noProof/>
          <w:color w:val="000000" w:themeColor="text1"/>
        </w:rPr>
        <w:t>3. cikk</w:t>
      </w:r>
    </w:p>
    <w:p>
      <w:pPr>
        <w:jc w:val="center"/>
        <w:rPr>
          <w:b/>
          <w:noProof/>
          <w:color w:val="000000" w:themeColor="text1"/>
        </w:rPr>
      </w:pPr>
      <w:r>
        <w:rPr>
          <w:b/>
          <w:noProof/>
        </w:rPr>
        <w:t>Fogalommeghatározások</w:t>
      </w:r>
    </w:p>
    <w:p>
      <w:pPr>
        <w:rPr>
          <w:noProof/>
        </w:rPr>
      </w:pPr>
      <w:r>
        <w:rPr>
          <w:noProof/>
        </w:rPr>
        <w:t>E rendelet alkalmazásában:</w:t>
      </w:r>
    </w:p>
    <w:p>
      <w:pPr>
        <w:pStyle w:val="ManualNumPar1"/>
        <w:rPr>
          <w:noProof/>
        </w:rPr>
      </w:pPr>
      <w:r>
        <w:t>1.</w:t>
      </w:r>
      <w:r>
        <w:tab/>
      </w:r>
      <w:r>
        <w:rPr>
          <w:noProof/>
        </w:rPr>
        <w:t xml:space="preserve">„uniós típusjóváhagyó hatóság”: az Egyesült Királyságtól eltérő tagállam típusjóváhagyó hatósága; </w:t>
      </w:r>
    </w:p>
    <w:p>
      <w:pPr>
        <w:pStyle w:val="ManualNumPar1"/>
        <w:rPr>
          <w:noProof/>
        </w:rPr>
      </w:pPr>
      <w:r>
        <w:t>2.</w:t>
      </w:r>
      <w:r>
        <w:tab/>
      </w:r>
      <w:r>
        <w:rPr>
          <w:noProof/>
        </w:rPr>
        <w:t>„egyesült királysági típusjóváhagyás”: az Egyesült Királyság típusjóváhagyó hatósága által kiadott EK-típusjóváhagyás vagy EU-típusjóváhagyás;</w:t>
      </w:r>
    </w:p>
    <w:p>
      <w:pPr>
        <w:pStyle w:val="ManualNumPar1"/>
        <w:rPr>
          <w:noProof/>
        </w:rPr>
      </w:pPr>
      <w:r>
        <w:t>3.</w:t>
      </w:r>
      <w:r>
        <w:tab/>
      </w:r>
      <w:r>
        <w:rPr>
          <w:noProof/>
        </w:rPr>
        <w:t>„uniós típusjóváhagyás”: az uniós típusjóváhagyó hatóság által e rendeletnek megfelelően kiadott EU-típusjóváhagyás.</w:t>
      </w:r>
    </w:p>
    <w:p>
      <w:pPr>
        <w:pStyle w:val="Titrearticle"/>
        <w:rPr>
          <w:noProof/>
          <w:color w:val="000000" w:themeColor="text1"/>
        </w:rPr>
      </w:pPr>
      <w:r>
        <w:rPr>
          <w:noProof/>
          <w:color w:val="000000" w:themeColor="text1"/>
        </w:rPr>
        <w:t>4. cikk</w:t>
      </w:r>
    </w:p>
    <w:p>
      <w:pPr>
        <w:jc w:val="center"/>
        <w:rPr>
          <w:b/>
          <w:noProof/>
        </w:rPr>
      </w:pPr>
      <w:r>
        <w:rPr>
          <w:b/>
          <w:noProof/>
        </w:rPr>
        <w:t xml:space="preserve"> Az uniós típusjóváhagyás iránti kérelem </w:t>
      </w:r>
    </w:p>
    <w:p>
      <w:pPr>
        <w:rPr>
          <w:noProof/>
        </w:rPr>
      </w:pPr>
      <w:r>
        <w:rPr>
          <w:noProof/>
        </w:rPr>
        <w:t xml:space="preserve"> </w:t>
      </w:r>
    </w:p>
    <w:p>
      <w:pPr>
        <w:rPr>
          <w:noProof/>
          <w:color w:val="000000" w:themeColor="text1"/>
          <w:szCs w:val="24"/>
        </w:rPr>
      </w:pPr>
      <w:r>
        <w:rPr>
          <w:noProof/>
          <w:color w:val="000000" w:themeColor="text1"/>
          <w:sz w:val="22"/>
        </w:rPr>
        <w:t>(1)</w:t>
      </w:r>
      <w:r>
        <w:rPr>
          <w:noProof/>
          <w:color w:val="000000" w:themeColor="text1"/>
        </w:rPr>
        <w:t xml:space="preserve"> A 2007/46/EK irányelv 6. cikkének (6) bekezdésétől, a 167/2013/EU rendelet 21. cikkének (2) bekezdésétől, a 168/2013/EU rendelet 26. cikkének (2) bekezdésétől és az (EU) 2016/1628 rendelet 20. cikkének (1) bekezdésétől eltérve az olyan egyesült királysági típusjóváhagyással rendelkező gyártó, amely nem vált érvénytelenné a 2007/46/EK irányelv 17. cikke, a 167/2013/EU rendelet 32. cikke, a 168/2013/EU rendelet 37. cikke vagy az (EU) 2016/1628 rendelet 30. cikke alapján, azt megelőzően, hogy megszűnik az uniós jog alkalmazása az Egyesült Királyságra és az Egyesült Királyságban, ugyanazon típus vonatkozásában uniós típusjóváhagyást kérhet valamely uniós típusjóváhagyó hatóságtól. </w:t>
      </w:r>
    </w:p>
    <w:p>
      <w:pPr>
        <w:tabs>
          <w:tab w:val="left" w:pos="1064"/>
        </w:tabs>
        <w:spacing w:before="0" w:after="200" w:line="276" w:lineRule="auto"/>
        <w:rPr>
          <w:noProof/>
          <w:color w:val="000000" w:themeColor="text1"/>
          <w:szCs w:val="24"/>
        </w:rPr>
      </w:pPr>
      <w:r>
        <w:rPr>
          <w:noProof/>
          <w:color w:val="000000" w:themeColor="text1"/>
        </w:rPr>
        <w:t xml:space="preserve">(2) A jóváhagyás megadásához a típusnak meg kell felelnie legalább az új járművek, rendszerek, alkatrészek és önálló műszaki egységek forgalomba hozatalára, nyilvántartásba vételére vagy forgalomba helyezésére akkor alkalmazandó követelményeknek, amikor az uniós típusjóváhagyás hatályba lép.  </w:t>
      </w:r>
    </w:p>
    <w:p>
      <w:pPr>
        <w:tabs>
          <w:tab w:val="left" w:pos="1064"/>
        </w:tabs>
        <w:spacing w:before="0" w:after="200" w:line="276" w:lineRule="auto"/>
        <w:rPr>
          <w:noProof/>
          <w:color w:val="000000" w:themeColor="text1"/>
          <w:szCs w:val="24"/>
        </w:rPr>
      </w:pPr>
      <w:r>
        <w:rPr>
          <w:noProof/>
          <w:color w:val="000000" w:themeColor="text1"/>
        </w:rPr>
        <w:t>(3) A kérelem (1) bekezdésnek megfelelő benyújtását követően a gyártó köteles megfelelő díjat fizetni az uniós típusjóváhagyó hatóság uniós típusjóváhagyással kapcsolatos hatásköreinek gyakorlásából és kötelezettségeinek teljesítéséből eredő bármely költség után.</w:t>
      </w:r>
    </w:p>
    <w:p>
      <w:pPr>
        <w:pStyle w:val="Titrearticle"/>
        <w:rPr>
          <w:noProof/>
          <w:color w:val="000000" w:themeColor="text1"/>
        </w:rPr>
      </w:pPr>
      <w:r>
        <w:rPr>
          <w:noProof/>
          <w:color w:val="000000" w:themeColor="text1"/>
        </w:rPr>
        <w:t>5. cikk</w:t>
      </w:r>
    </w:p>
    <w:p>
      <w:pPr>
        <w:jc w:val="center"/>
        <w:rPr>
          <w:b/>
          <w:noProof/>
          <w:color w:val="000000" w:themeColor="text1"/>
        </w:rPr>
      </w:pPr>
      <w:r>
        <w:rPr>
          <w:b/>
          <w:noProof/>
          <w:color w:val="000000" w:themeColor="text1"/>
        </w:rPr>
        <w:t xml:space="preserve">Az uniós típusjóváhagyás megadásának feltételei és joghatásai </w:t>
      </w:r>
    </w:p>
    <w:p>
      <w:pPr>
        <w:tabs>
          <w:tab w:val="left" w:pos="1064"/>
        </w:tabs>
        <w:spacing w:before="0" w:after="200" w:line="276" w:lineRule="auto"/>
        <w:rPr>
          <w:noProof/>
          <w:color w:val="000000" w:themeColor="text1"/>
          <w:szCs w:val="24"/>
        </w:rPr>
      </w:pPr>
      <w:r>
        <w:rPr>
          <w:noProof/>
          <w:color w:val="000000" w:themeColor="text1"/>
        </w:rPr>
        <w:t xml:space="preserve">(1) A 2007/46/EK irányelv 8. cikkének (2) bekezdésétől, 9. cikke (1) bekezdésének a) pontjától, valamint 10. cikkének (1) és (2) bekezdésétől, a 167/2013/EU rendelet 6. cikkének (2) bekezdésétől, a 168/2013/EU rendelet 7. cikkének (2) bekezdésétől, valamint 18. cikkétől és az (EU) 2016/1628 rendelet 6. cikkének (2) bekezdésétől eltérve az az uniós típusjóváhagyó hatóság, amelyhez e rendelet 4. cikkének megfelelően kérelmet nyújtottak be, uniós típusjóváhagyást adhat valamely járműre, rendszerre, alkatrészre vagy önálló műszaki egységre, amennyiben a típus a jóváhagyás hatálybalépésének időpontjában megfelel legalább az új járművek, rendszerek, alkatrészek és önálló műszaki egységek forgalomba hozatalára, nyilvántartásba vételére vagy forgalomba helyezésére alkalmazandó követelményeknek.  </w:t>
      </w:r>
    </w:p>
    <w:p>
      <w:pPr>
        <w:tabs>
          <w:tab w:val="left" w:pos="1064"/>
        </w:tabs>
        <w:spacing w:before="0" w:after="200" w:line="276" w:lineRule="auto"/>
        <w:rPr>
          <w:noProof/>
          <w:color w:val="000000" w:themeColor="text1"/>
          <w:szCs w:val="24"/>
        </w:rPr>
      </w:pPr>
      <w:r>
        <w:rPr>
          <w:noProof/>
          <w:color w:val="000000" w:themeColor="text1"/>
        </w:rPr>
        <w:t xml:space="preserve">(2) Amennyiben nem alkalmazandók új követelmények, és a (3) bekezdés sérelme nélkül, az uniós típusjóváhagyás kiadható azon vizsgálati eredmények alapján, amelyeket korábban az egyesült királysági típusjóváhagyás kiadásához használtak a vonatkozó rendelkezéseknek megfelelően, függetlenül attól, hogy a vizsgálati jegyzőkönyvet kiadó műszaki szolgálatot az uniós típusjóváhagyás tagállama a 2007/46/EK irányelvnek, a 167/2013/EU rendeletnek, a 168/2013/EU rendeletnek vagy az (EU) 2016/1628 rendeletnek megfelelően kijelölte és bejelentette-e, még azt követően is, hogy megszűnt az uniós jog alkalmazása az Egyesült Királyságra és az Egyesült Királyságban. </w:t>
      </w:r>
    </w:p>
    <w:p>
      <w:pPr>
        <w:tabs>
          <w:tab w:val="left" w:pos="1064"/>
        </w:tabs>
        <w:spacing w:before="0" w:after="200" w:line="276" w:lineRule="auto"/>
        <w:rPr>
          <w:noProof/>
          <w:color w:val="000000" w:themeColor="text1"/>
          <w:szCs w:val="24"/>
        </w:rPr>
      </w:pPr>
      <w:r>
        <w:rPr>
          <w:noProof/>
          <w:color w:val="000000" w:themeColor="text1"/>
        </w:rPr>
        <w:t xml:space="preserve">(3) Az uniós típusjóváhagyás kiadását megelőzően az uniós típusjóváhagyó hatóság előírhatja meghatározott vizsgálatok megismétlését. Ebben az esetben a vizsgálatot olyan műszaki szolgálatnak kell elvégeznie, amelyet az uniós típusjóváhagyás tagállama a 2007/46/EK irányelvnek, a 167/2013/EU rendeletnek, a 168/2013/EU rendeletnek vagy az (EU) 2016/1628 rendeletnek megfelelően kijelölt és bejelentett. </w:t>
      </w:r>
    </w:p>
    <w:p>
      <w:pPr>
        <w:tabs>
          <w:tab w:val="left" w:pos="1064"/>
        </w:tabs>
        <w:spacing w:before="0" w:after="200" w:line="276" w:lineRule="auto"/>
        <w:rPr>
          <w:noProof/>
          <w:color w:val="000000" w:themeColor="text1"/>
          <w:szCs w:val="24"/>
        </w:rPr>
      </w:pPr>
      <w:r>
        <w:rPr>
          <w:noProof/>
          <w:color w:val="000000" w:themeColor="text1"/>
        </w:rPr>
        <w:t>(4) Az (1) bekezdésnek megfelelően jóváhagyott típus EU-típusbizonyítványt kap olyan számmal, amely azon tagállam azonosító számából áll, amelynek típusjóváhagyó hatósága kiadta az uniós típusjóváhagyást, valamint a 2. cikk (1) bekezdésében hivatkozott alkalmazandó jogi aktus számából. Emellett tartalmaznia kell az utolsó olyan módosító jogi aktus számát, amely olyan, a típusjóváhagyásra vonatkozó követelményeket tartalmaz, amelyekkel összhangban az uniós típusjóváhagyást kiadták. A járművek esetében a típusbizonyítványnak és a megfelelőségi nyilatkozatnak a „Megjegyzések:” rovatban tartalmaznia kell a „Korábbi típusjóváhagyás” szöveget, valamint hivatkoznia kell az egyesült királysági típusjóváhagyás alapján kapott típusbizonyítvány számára. A rendszerek, alkatrészek és önálló műszaki egységek esetében a típusbizonyítványnak tartalmaznia kell a „Korábbi típusjóváhagyás és jelölés” szöveget, valamint hivatkoznia kell az egyesült királysági típusjóváhagyás alapján kapott jelölésre.</w:t>
      </w:r>
    </w:p>
    <w:p>
      <w:pPr>
        <w:tabs>
          <w:tab w:val="left" w:pos="1064"/>
        </w:tabs>
        <w:spacing w:before="0" w:after="200" w:line="276" w:lineRule="auto"/>
        <w:rPr>
          <w:noProof/>
          <w:color w:val="000000" w:themeColor="text1"/>
          <w:szCs w:val="24"/>
        </w:rPr>
      </w:pPr>
      <w:r>
        <w:rPr>
          <w:noProof/>
          <w:color w:val="000000" w:themeColor="text1"/>
        </w:rPr>
        <w:t>(5) Az uniós típusjóváhagyás kiadásának napján vagy az abban meghatározott későbbi időpontban lép hatályba. Az egyesült királysági típusjóváhagyás legkésőbb az uniós típusjóváhagyás hatálybalépésének napján válik érvénytelenné.</w:t>
      </w:r>
    </w:p>
    <w:p>
      <w:pPr>
        <w:tabs>
          <w:tab w:val="left" w:pos="1064"/>
        </w:tabs>
        <w:spacing w:before="0" w:after="200" w:line="276" w:lineRule="auto"/>
        <w:rPr>
          <w:noProof/>
          <w:color w:val="000000" w:themeColor="text1"/>
          <w:szCs w:val="24"/>
        </w:rPr>
      </w:pPr>
      <w:r>
        <w:rPr>
          <w:noProof/>
          <w:color w:val="000000" w:themeColor="text1"/>
        </w:rPr>
        <w:t xml:space="preserve">(6) Az uniós típusjóváhagyást a 2007/46/EK irányelv vagy az irányelv IV. mellékletében felsorolt bármely jogi aktus, a 167/2013/EU rendelet, a 168/2013/EU rendelet vagy az (EU) 2016/1628 rendelet értelmében vett EK-típusjóváhagyásnak vagy EU-típusjóváhagyásnak kell tekinteni. E jogi aktusok minden olyan rendelkezését továbbra is alkalmazni kell, amelynek vonatkozásában e rendelet nem ír elő eltérést.  Az uniós típusjóváhagyó hatóságot terheli a teljes felelősség az uniós típusjóváhagyásból eredő kötelezettségek kapcsán. </w:t>
      </w:r>
    </w:p>
    <w:p>
      <w:pPr>
        <w:tabs>
          <w:tab w:val="left" w:pos="1064"/>
        </w:tabs>
        <w:spacing w:before="0" w:after="200" w:line="276" w:lineRule="auto"/>
        <w:rPr>
          <w:noProof/>
          <w:color w:val="000000" w:themeColor="text1"/>
          <w:szCs w:val="24"/>
        </w:rPr>
      </w:pPr>
      <w:r>
        <w:rPr>
          <w:noProof/>
          <w:color w:val="000000" w:themeColor="text1"/>
        </w:rPr>
        <w:t>Az uniós típusjóváhagyó hatóság emellett az uniós típusjóváhagyás hatálybalépésétől kezdve gyakorolja az egyesült királysági típusjóváhagyó hatóság valamennyi hatáskörét és teljesíti valamennyi kötelezettségét minden, az egyesült királysági típusjóváhagyás alapján gyártott és az Unióban már forgalomba hozott, nyilvántartásba vett vagy forgalomba helyezett jármű, rendszer, alkatrész vagy önálló műszaki egység vonatkozásában. Ez nem terjed ki az egyesült királysági típusjóváhagyó hatóság bármely cselekményéből vagy mulasztásából eredő felelősségre.</w:t>
      </w:r>
    </w:p>
    <w:p>
      <w:pPr>
        <w:pStyle w:val="Titrearticle"/>
        <w:rPr>
          <w:noProof/>
          <w:color w:val="000000" w:themeColor="text1"/>
        </w:rPr>
      </w:pPr>
      <w:r>
        <w:rPr>
          <w:noProof/>
          <w:color w:val="000000" w:themeColor="text1"/>
        </w:rPr>
        <w:t xml:space="preserve"> 6. cikk</w:t>
      </w:r>
    </w:p>
    <w:p>
      <w:pPr>
        <w:tabs>
          <w:tab w:val="left" w:pos="1064"/>
        </w:tabs>
        <w:spacing w:before="0" w:after="200" w:line="276" w:lineRule="auto"/>
        <w:jc w:val="center"/>
        <w:rPr>
          <w:b/>
          <w:noProof/>
          <w:color w:val="000000" w:themeColor="text1"/>
          <w:szCs w:val="24"/>
        </w:rPr>
      </w:pPr>
      <w:r>
        <w:rPr>
          <w:b/>
          <w:noProof/>
          <w:color w:val="000000" w:themeColor="text1"/>
        </w:rPr>
        <w:t xml:space="preserve">Az e rendelet alapján jóvá nem hagyott típusokhoz tartozó járművekért, rendszerekért, alkatrészekért és önálló műszaki egységekért felelős uniós típusjóváhagyó hatóság </w:t>
      </w:r>
    </w:p>
    <w:p>
      <w:pPr>
        <w:tabs>
          <w:tab w:val="left" w:pos="1064"/>
        </w:tabs>
        <w:spacing w:before="0" w:after="200" w:line="276" w:lineRule="auto"/>
        <w:rPr>
          <w:noProof/>
          <w:color w:val="000000" w:themeColor="text1"/>
          <w:szCs w:val="24"/>
        </w:rPr>
      </w:pPr>
      <w:r>
        <w:rPr>
          <w:noProof/>
          <w:color w:val="000000" w:themeColor="text1"/>
        </w:rPr>
        <w:t xml:space="preserve">(1) A gyártónak, amikor a 4. cikk alapján típusjóváhagyást kér, fel kell kérnie a szóban forgó uniós típusjóváhagyó hatóságot arra, hogy vállalja át az egyesült királysági típusjóváhagyó hatóság kötelezettségeit azon járművek, rendszerek, alkatrészek és önálló műszaki egységek vonatkozásában, amelyeket a 2007/46/EK irányelv 17. cikke, a 167/2013/EU rendelet 32. cikke, a 168/2013/EU rendelet 37. cikke és az (EU) 2016/1628 rendelet 30. cikke alapján érvénytelenné vált egyesült királysági típusjóváhagyás alapján hoztak forgalomba, vettek nyilvántartásba vagy helyeztek forgalomba az Unióban, illetve amelyek vonatkozásában nem kértek e rendelet 5. cikke alapján uniós típusjóváhagyást. </w:t>
      </w:r>
    </w:p>
    <w:p>
      <w:pPr>
        <w:tabs>
          <w:tab w:val="left" w:pos="1064"/>
        </w:tabs>
        <w:spacing w:before="0" w:after="200" w:line="276" w:lineRule="auto"/>
        <w:rPr>
          <w:noProof/>
          <w:color w:val="000000" w:themeColor="text1"/>
          <w:szCs w:val="24"/>
        </w:rPr>
      </w:pPr>
      <w:r>
        <w:rPr>
          <w:noProof/>
          <w:color w:val="000000" w:themeColor="text1"/>
        </w:rPr>
        <w:t>Az ilyen kérelmet minden olyan jármű, rendszer, alkatrész vagy önálló műszaki egység vonatkozásában meg kell tenni, amely a gyártó 2008. január 1. után kiadott egyesült királysági típusjóváhagyásán alapul, kivéve, ha a gyártó bizonyítja az uniós típusjóváhagyó hatóság felé, hogy olyan megállapodást kötött egy másik uniós típusjóváhagyó hatósággal, amelynek hatálya kiterjed e járművekre, rendszerekre, alkatrészekre és önálló műszaki egységekre.</w:t>
      </w:r>
    </w:p>
    <w:p>
      <w:pPr>
        <w:tabs>
          <w:tab w:val="left" w:pos="1064"/>
        </w:tabs>
        <w:spacing w:before="0" w:after="200" w:line="276" w:lineRule="auto"/>
        <w:rPr>
          <w:noProof/>
          <w:color w:val="000000" w:themeColor="text1"/>
          <w:szCs w:val="24"/>
        </w:rPr>
      </w:pPr>
      <w:r>
        <w:rPr>
          <w:noProof/>
          <w:color w:val="000000" w:themeColor="text1"/>
        </w:rPr>
        <w:t xml:space="preserve">(2) Az uniós típusjóváhagyó hatóság csak azt követően adhat ki az 5. cikknek megfelelően uniós típusjóváhagyást, hogy elfogadta az (1) bekezdésnek megfelelően benyújtott kérelmet, a gyártó pedig vállalta azon költségek megtérítését, amelyek az uniós típusjóváhagyó hatóságot terhelhetik az érintett járművekre, rendszerekre, alkatrészekre és önálló műszaki egységekre vonatkozóan hatáskörei gyakorlásának és kötelezettségei teljesítésének eredményeként. </w:t>
      </w:r>
    </w:p>
    <w:p>
      <w:pPr>
        <w:tabs>
          <w:tab w:val="left" w:pos="1064"/>
        </w:tabs>
        <w:spacing w:before="0" w:after="200" w:line="276" w:lineRule="auto"/>
        <w:rPr>
          <w:noProof/>
          <w:color w:val="000000" w:themeColor="text1"/>
          <w:szCs w:val="24"/>
        </w:rPr>
      </w:pPr>
      <w:r>
        <w:rPr>
          <w:noProof/>
          <w:color w:val="000000" w:themeColor="text1"/>
        </w:rPr>
        <w:t>(3) Az (1) bekezdésben hivatkozott kérelem elfogadását és az 5. cikkel összhangban az uniós típusjóváhagyás kibocsátását követően a visszahívásokkal, javítási és karbantartási információkkal, valamint a használatban lévő termékek megfelelőségének vizsgálatával kapcsolatban az uniós típusjóváhagyó hatóság gyakorolja az egyesült királysági típusjóváhagyó hatóság valamennyi hatáskörét és teljesíti valamennyi kötelezettségét minden, az (1) bekezdésben hivatkozott egyesült királysági típusjóváhagyások alapján gyártott jármű, rendszer, alkatrész vagy önálló műszaki egység vonatkozásában. Ez nem terjed ki az egyesült királysági típusjóváhagyó hatóság bármely cselekményéből vagy mulasztásából eredő felelősségre.</w:t>
      </w:r>
    </w:p>
    <w:p>
      <w:pPr>
        <w:tabs>
          <w:tab w:val="left" w:pos="1064"/>
        </w:tabs>
        <w:spacing w:before="0" w:after="200" w:line="276" w:lineRule="auto"/>
        <w:rPr>
          <w:noProof/>
          <w:color w:val="000000" w:themeColor="text1"/>
          <w:szCs w:val="24"/>
        </w:rPr>
      </w:pPr>
      <w:r>
        <w:rPr>
          <w:noProof/>
          <w:color w:val="000000" w:themeColor="text1"/>
        </w:rPr>
        <w:t>(4) Az uniós típusjóváhagyó hatóság tájékoztatja a többi tagállam típusjóváhagyó hatóságait és a Bizottságot azon típusokról, amelyek vonatkozásában elfogadta, hogy az (1) bekezdésnek megfelelően átvállalja az egyesült királysági típusjóváhagyó hatóság kötelezettségeit.</w:t>
      </w:r>
    </w:p>
    <w:p>
      <w:pPr>
        <w:pStyle w:val="Titrearticle"/>
        <w:rPr>
          <w:noProof/>
        </w:rPr>
      </w:pPr>
      <w:r>
        <w:rPr>
          <w:noProof/>
          <w:color w:val="000000" w:themeColor="text1"/>
        </w:rPr>
        <w:t>7. cikk</w:t>
      </w:r>
    </w:p>
    <w:p>
      <w:pPr>
        <w:jc w:val="center"/>
        <w:rPr>
          <w:b/>
          <w:noProof/>
          <w:color w:val="000000" w:themeColor="text1"/>
        </w:rPr>
      </w:pPr>
      <w:r>
        <w:rPr>
          <w:b/>
          <w:noProof/>
          <w:color w:val="000000" w:themeColor="text1"/>
        </w:rPr>
        <w:t>Hatálybalépés és alkalmazás</w:t>
      </w:r>
    </w:p>
    <w:p>
      <w:pPr>
        <w:rPr>
          <w:noProof/>
          <w:color w:val="000000" w:themeColor="text1"/>
        </w:rPr>
      </w:pPr>
      <w:r>
        <w:rPr>
          <w:noProof/>
        </w:rPr>
        <w:t xml:space="preserve">Ez a rendelet az </w:t>
      </w:r>
      <w:r>
        <w:rPr>
          <w:i/>
          <w:noProof/>
        </w:rPr>
        <w:t>Európai Unió Hivatalos Lapjában</w:t>
      </w:r>
      <w:r>
        <w:rPr>
          <w:noProof/>
        </w:rPr>
        <w:t xml:space="preserve"> való kihirdetését követő harmadik napon lép hatályba.</w:t>
      </w:r>
      <w:r>
        <w:rPr>
          <w:noProof/>
          <w:color w:val="000000" w:themeColor="text1"/>
        </w:rPr>
        <w:t xml:space="preserve"> </w:t>
      </w:r>
    </w:p>
    <w:p>
      <w:pPr>
        <w:pStyle w:val="Applicationdirecte"/>
        <w:keepNext/>
        <w:keepLines/>
        <w:rPr>
          <w:noProof/>
          <w:color w:val="000000" w:themeColor="text1"/>
        </w:rPr>
      </w:pPr>
      <w:r>
        <w:rPr>
          <w:noProof/>
          <w:color w:val="000000" w:themeColor="text1"/>
        </w:rPr>
        <w:t>Ez a rendelet teljes egészében kötelező és közvetlenül alkalmazandó valamennyi tagállamban.</w:t>
      </w:r>
    </w:p>
    <w:p>
      <w:pPr>
        <w:pStyle w:val="Fait"/>
        <w:rPr>
          <w:noProof/>
        </w:rPr>
      </w:pPr>
      <w:r>
        <w:t>Kelt Brüsszelben, -án/-én.</w:t>
      </w:r>
    </w:p>
    <w:p>
      <w:pPr>
        <w:pStyle w:val="Institutionquisigne"/>
        <w:rPr>
          <w:noProof/>
          <w:color w:val="000000" w:themeColor="text1"/>
        </w:rPr>
      </w:pPr>
      <w:r>
        <w:rPr>
          <w:noProof/>
          <w:color w:val="000000" w:themeColor="text1"/>
        </w:rPr>
        <w:t>az Európai Parlament részéről</w:t>
      </w:r>
      <w:r>
        <w:rPr>
          <w:noProof/>
        </w:rPr>
        <w:tab/>
      </w:r>
      <w:r>
        <w:rPr>
          <w:noProof/>
          <w:color w:val="000000" w:themeColor="text1"/>
        </w:rPr>
        <w:t>a Tanács részéről</w:t>
      </w:r>
    </w:p>
    <w:p>
      <w:pPr>
        <w:pStyle w:val="Personnequisigne"/>
        <w:rPr>
          <w:noProof/>
          <w:color w:val="000000" w:themeColor="text1"/>
        </w:rPr>
      </w:pPr>
      <w:r>
        <w:rPr>
          <w:noProof/>
          <w:color w:val="000000" w:themeColor="text1"/>
        </w:rPr>
        <w:t>az elnök</w:t>
      </w:r>
      <w:r>
        <w:rPr>
          <w:noProof/>
        </w:rPr>
        <w:tab/>
      </w:r>
      <w:r>
        <w:rPr>
          <w:noProof/>
          <w:color w:val="000000" w:themeColor="text1"/>
        </w:rPr>
        <w:t>az elnök</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HU</w:t>
    </w:r>
    <w:r>
      <w:rPr>
        <w:rFonts w:ascii="Arial" w:hAnsi="Arial" w:cs="Arial"/>
        <w:b/>
        <w:sz w:val="48"/>
      </w:rPr>
      <w:tab/>
    </w:r>
    <w:r>
      <w:rPr>
        <w:rFonts w:ascii="Arial" w:hAnsi="Arial" w:cs="Arial"/>
        <w:b/>
        <w:sz w:val="48"/>
      </w:rPr>
      <w:tab/>
    </w:r>
    <w:r>
      <w:tab/>
    </w:r>
    <w:r>
      <w:rPr>
        <w:rFonts w:ascii="Arial" w:hAnsi="Arial" w:cs="Arial"/>
        <w:b/>
        <w:sz w:val="48"/>
      </w:rPr>
      <w:t>HU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HU</w:t>
    </w:r>
    <w:r>
      <w:rPr>
        <w:rFonts w:ascii="Arial" w:hAnsi="Arial" w:cs="Arial"/>
        <w:b/>
        <w:sz w:val="48"/>
      </w:rPr>
      <w:tab/>
    </w:r>
    <w:r>
      <w:fldChar w:fldCharType="begin"/>
    </w:r>
    <w:r>
      <w:instrText xml:space="preserve"> PAGE  \* MERGEFORMAT </w:instrText>
    </w:r>
    <w:r>
      <w:fldChar w:fldCharType="separate"/>
    </w:r>
    <w:r>
      <w:rPr>
        <w:noProof/>
      </w:rPr>
      <w:t>12</w:t>
    </w:r>
    <w:r>
      <w:fldChar w:fldCharType="end"/>
    </w:r>
    <w:r>
      <w:tab/>
    </w:r>
    <w:r>
      <w:tab/>
    </w:r>
    <w:r>
      <w:rPr>
        <w:rFonts w:ascii="Arial" w:hAnsi="Arial" w:cs="Arial"/>
        <w:b/>
        <w:sz w:val="48"/>
      </w:rPr>
      <w:t>HU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Az Európai Parlament és a Tanács 2007/46/EK irányelve (2007. szeptember 5.) a gépjárművek és pótkocsijaik, valamint az ilyen járművek rendszereinek, alkatrészeinek és önálló műszaki egységeinek jóváhagyásáról (HL L 261., 2007.10.9., 1. o.).</w:t>
      </w:r>
    </w:p>
  </w:footnote>
  <w:footnote w:id="2">
    <w:p>
      <w:pPr>
        <w:pStyle w:val="FootnoteText"/>
      </w:pPr>
      <w:r>
        <w:rPr>
          <w:rStyle w:val="FootnoteReference"/>
        </w:rPr>
        <w:footnoteRef/>
      </w:r>
      <w:r>
        <w:tab/>
        <w:t>Az Európai Parlament és a Tanács 167/2013/EU rendelete (2013. február 5.) a mezőgazdasági és erdészeti járművek jóváhagyásáról és piacfelügyeletéről (HL L 60., 2013.3.2., 1. o.).</w:t>
      </w:r>
    </w:p>
  </w:footnote>
  <w:footnote w:id="3">
    <w:p>
      <w:pPr>
        <w:pStyle w:val="FootnoteText"/>
      </w:pPr>
      <w:r>
        <w:rPr>
          <w:rStyle w:val="FootnoteReference"/>
        </w:rPr>
        <w:footnoteRef/>
      </w:r>
      <w:r>
        <w:tab/>
        <w:t>Az Európai Parlament és a Tanács 168/2013/EU rendelete (2013. január 15.) a két- vagy háromkerekű járművek, valamint a négykerekű motorkerékpárok jóváhagyásáról és piacfelügyeletéről (HL L 60., 2013.3.2., 52. o.).</w:t>
      </w:r>
    </w:p>
  </w:footnote>
  <w:footnote w:id="4">
    <w:p>
      <w:pPr>
        <w:pStyle w:val="FootnoteText"/>
      </w:pPr>
      <w:r>
        <w:rPr>
          <w:rStyle w:val="FootnoteReference"/>
        </w:rPr>
        <w:footnoteRef/>
      </w:r>
      <w:r>
        <w:tab/>
        <w:t>Az Európai Parlament és a Tanács (EU) 2016/1628 rendelete (2016. szeptember 14.) a nem közúti mozgó gépek belső égésű motorjainak a gáz- és szilárd halmazállapotú szennyezőanyag-kibocsátási határértékeire és típusjóváhagyására vonatkozó követelményekről, az 1024/2012/EU és a 167/2013/EU rendelet módosításáról, valamint a 97/68/EK irányelv módosításáról és hatályon kívül helyezéséről (HL L 252., 2016.9.16., 53. 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F750414C"/>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6E60CBFA"/>
    <w:lvl w:ilvl="0">
      <w:start w:val="1"/>
      <w:numFmt w:val="decimal"/>
      <w:pStyle w:val="ListNumber3"/>
      <w:lvlText w:val="%1."/>
      <w:lvlJc w:val="left"/>
      <w:pPr>
        <w:tabs>
          <w:tab w:val="num" w:pos="926"/>
        </w:tabs>
        <w:ind w:left="926" w:hanging="360"/>
      </w:pPr>
    </w:lvl>
  </w:abstractNum>
  <w:abstractNum w:abstractNumId="2">
    <w:nsid w:val="FFFFFF7F"/>
    <w:multiLevelType w:val="singleLevel"/>
    <w:tmpl w:val="7E2CE06C"/>
    <w:lvl w:ilvl="0">
      <w:start w:val="1"/>
      <w:numFmt w:val="decimal"/>
      <w:pStyle w:val="ListNumber2"/>
      <w:lvlText w:val="%1."/>
      <w:lvlJc w:val="left"/>
      <w:pPr>
        <w:tabs>
          <w:tab w:val="num" w:pos="643"/>
        </w:tabs>
        <w:ind w:left="643" w:hanging="360"/>
      </w:pPr>
    </w:lvl>
  </w:abstractNum>
  <w:abstractNum w:abstractNumId="3">
    <w:nsid w:val="FFFFFF81"/>
    <w:multiLevelType w:val="singleLevel"/>
    <w:tmpl w:val="9496C278"/>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26560F64"/>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FB1C24D2"/>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9"/>
    <w:multiLevelType w:val="singleLevel"/>
    <w:tmpl w:val="98C062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4">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5">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6">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7">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8">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0"/>
  </w:num>
  <w:num w:numId="2">
    <w:abstractNumId w:val="21"/>
    <w:lvlOverride w:ilvl="0">
      <w:startOverride w:val="1"/>
    </w:lvlOverride>
  </w:num>
  <w:num w:numId="3">
    <w:abstractNumId w:val="6"/>
  </w:num>
  <w:num w:numId="4">
    <w:abstractNumId w:val="5"/>
  </w:num>
  <w:num w:numId="5">
    <w:abstractNumId w:val="4"/>
  </w:num>
  <w:num w:numId="6">
    <w:abstractNumId w:val="3"/>
  </w:num>
  <w:num w:numId="7">
    <w:abstractNumId w:val="2"/>
  </w:num>
  <w:num w:numId="8">
    <w:abstractNumId w:val="1"/>
  </w:num>
  <w:num w:numId="9">
    <w:abstractNumId w:val="0"/>
  </w:num>
  <w:num w:numId="10">
    <w:abstractNumId w:val="15"/>
    <w:lvlOverride w:ilvl="0">
      <w:startOverride w:val="1"/>
    </w:lvlOverride>
  </w:num>
  <w:num w:numId="11">
    <w:abstractNumId w:val="13"/>
    <w:lvlOverride w:ilvl="0">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11"/>
  </w:num>
  <w:num w:numId="15">
    <w:abstractNumId w:val="19"/>
  </w:num>
  <w:num w:numId="16">
    <w:abstractNumId w:val="10"/>
  </w:num>
  <w:num w:numId="17">
    <w:abstractNumId w:val="12"/>
  </w:num>
  <w:num w:numId="18">
    <w:abstractNumId w:val="8"/>
  </w:num>
  <w:num w:numId="19">
    <w:abstractNumId w:val="18"/>
  </w:num>
  <w:num w:numId="20">
    <w:abstractNumId w:val="7"/>
  </w:num>
  <w:num w:numId="21">
    <w:abstractNumId w:val="13"/>
  </w:num>
  <w:num w:numId="22">
    <w:abstractNumId w:val="15"/>
  </w:num>
  <w:num w:numId="23">
    <w:abstractNumId w:val="16"/>
  </w:num>
  <w:num w:numId="24">
    <w:abstractNumId w:val="9"/>
  </w:num>
  <w:num w:numId="25">
    <w:abstractNumId w:val="14"/>
  </w:num>
  <w:num w:numId="26">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hideSpellingErrors/>
  <w:hideGrammaticalErrors/>
  <w:attachedTemplate r:id="rId1"/>
  <w:revisionView w:markup="0"/>
  <w:defaultTabStop w:val="720"/>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6-04 21:38:22"/>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6"/>
    <w:docVar w:name="DQCResult_ModifiedMarkers" w:val="0;0"/>
    <w:docVar w:name="DQCResult_ModifiedNumbering" w:val="0;0"/>
    <w:docVar w:name="DQCResult_Objects" w:val="0;0"/>
    <w:docVar w:name="DQCResult_Sections" w:val="0;0"/>
    <w:docVar w:name="DQCResult_StructureCheck" w:val="0;0"/>
    <w:docVar w:name="DQCResult_SuperfluousWhitespace" w:val="0;12"/>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E2C97CCA-4F76-484D-A0D6-A546B030C418"/>
    <w:docVar w:name="LW_COVERPAGE_TYPE" w:val="1"/>
    <w:docVar w:name="LW_CROSSREFERENCE" w:val="&lt;UNUSED&gt;"/>
    <w:docVar w:name="LW_DocType" w:val="COM"/>
    <w:docVar w:name="LW_EMISSION" w:val="2018.6.4."/>
    <w:docVar w:name="LW_EMISSION_ISODATE" w:val="2018-06-04"/>
    <w:docVar w:name="LW_EMISSION_LOCATION" w:val="BRX"/>
    <w:docVar w:name="LW_EMISSION_PREFIX" w:val="Brüsszel, "/>
    <w:docVar w:name="LW_EMISSION_SUFFIX" w:val="&lt;EMPTY&gt;"/>
    <w:docVar w:name="LW_ID_DOCMODEL" w:val="SJ-023"/>
    <w:docVar w:name="LW_ID_DOCSIGNATURE" w:val="SJ-023"/>
    <w:docVar w:name="LW_ID_DOCSTRUCTURE" w:val="COM/PL/ORG"/>
    <w:docVar w:name="LW_ID_DOCTYPE" w:val="SJ-023"/>
    <w:docVar w:name="LW_ID_EXP.MOTIFS.NEW" w:val="EM_PL_"/>
    <w:docVar w:name="LW_ID_STATUT" w:val="SJ-023"/>
    <w:docVar w:name="LW_INTERETEEE.CP" w:val="(EGT-vonatkozású szöveg)"/>
    <w:docVar w:name="LW_LANGUE" w:val="HU"/>
    <w:docVar w:name="LW_LEVEL_OF_SENSITIVITY" w:val="Standard treatment"/>
    <w:docVar w:name="LW_NOM.INST" w:val="EURÓPAI BIZOTTSÁG"/>
    <w:docVar w:name="LW_NOM.INST_JOINTDOC" w:val="&lt;EMPTY&gt;"/>
    <w:docVar w:name="LW_PART_NBR" w:val="1"/>
    <w:docVar w:name="LW_PART_NBR_TOTAL" w:val="1"/>
    <w:docVar w:name="LW_REF.II.NEW.CP" w:val="COD"/>
    <w:docVar w:name="LW_REF.II.NEW.CP_NUMBER" w:val="0220"/>
    <w:docVar w:name="LW_REF.II.NEW.CP_YEAR" w:val="2018"/>
    <w:docVar w:name="LW_REF.INST.NEW" w:val="COM"/>
    <w:docVar w:name="LW_REF.INST.NEW_ADOPTED" w:val="final"/>
    <w:docVar w:name="LW_REF.INST.NEW_TEXT" w:val="(2018) 39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Javaslat"/>
    <w:docVar w:name="LW_SUPERTITRE" w:val="&lt;UNUSED&gt;"/>
    <w:docVar w:name="LW_TITRE.OBJ.CP" w:val="az EU-típusjóváhagyási jogszabályoknak az Egyesült Királyság Unióból való kilépésére figyelemmel történ\u337? kiegészítésér\u337?l_x000b_"/>
    <w:docVar w:name="LW_TYPE.DOC.CP" w:val="AZ EURÓPAI PARLAMENT ÉS A TANÁCS RENDELETE"/>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hu-HU" w:bidi="hu-HU"/>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1"/>
      </w:numPr>
    </w:pPr>
    <w:rPr>
      <w:rFonts w:eastAsia="Times New Roman"/>
    </w:rPr>
  </w:style>
  <w:style w:type="paragraph" w:customStyle="1" w:styleId="ListNumberLevel2">
    <w:name w:val="List Number (Level 2)"/>
    <w:basedOn w:val="Normal"/>
    <w:pPr>
      <w:numPr>
        <w:ilvl w:val="1"/>
        <w:numId w:val="1"/>
      </w:numPr>
    </w:pPr>
    <w:rPr>
      <w:rFonts w:eastAsia="Times New Roman"/>
    </w:rPr>
  </w:style>
  <w:style w:type="paragraph" w:customStyle="1" w:styleId="ListNumberLevel3">
    <w:name w:val="List Number (Level 3)"/>
    <w:basedOn w:val="Normal"/>
    <w:pPr>
      <w:numPr>
        <w:ilvl w:val="2"/>
        <w:numId w:val="1"/>
      </w:numPr>
    </w:pPr>
    <w:rPr>
      <w:rFonts w:eastAsia="Times New Roman"/>
    </w:rPr>
  </w:style>
  <w:style w:type="paragraph" w:customStyle="1" w:styleId="ListNumberLevel4">
    <w:name w:val="List Number (Level 4)"/>
    <w:basedOn w:val="Normal"/>
    <w:pPr>
      <w:numPr>
        <w:ilvl w:val="3"/>
        <w:numId w:val="1"/>
      </w:numPr>
    </w:pPr>
    <w:rPr>
      <w:rFonts w:eastAsia="Times New Roman"/>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hu-HU"/>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hu-HU"/>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hu-HU"/>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hu-HU" w:bidi="hu-HU"/>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pPr>
      <w:numPr>
        <w:numId w:val="1"/>
      </w:numPr>
    </w:pPr>
    <w:rPr>
      <w:rFonts w:eastAsia="Times New Roman"/>
    </w:rPr>
  </w:style>
  <w:style w:type="paragraph" w:customStyle="1" w:styleId="ListNumberLevel2">
    <w:name w:val="List Number (Level 2)"/>
    <w:basedOn w:val="Normal"/>
    <w:pPr>
      <w:numPr>
        <w:ilvl w:val="1"/>
        <w:numId w:val="1"/>
      </w:numPr>
    </w:pPr>
    <w:rPr>
      <w:rFonts w:eastAsia="Times New Roman"/>
    </w:rPr>
  </w:style>
  <w:style w:type="paragraph" w:customStyle="1" w:styleId="ListNumberLevel3">
    <w:name w:val="List Number (Level 3)"/>
    <w:basedOn w:val="Normal"/>
    <w:pPr>
      <w:numPr>
        <w:ilvl w:val="2"/>
        <w:numId w:val="1"/>
      </w:numPr>
    </w:pPr>
    <w:rPr>
      <w:rFonts w:eastAsia="Times New Roman"/>
    </w:rPr>
  </w:style>
  <w:style w:type="paragraph" w:customStyle="1" w:styleId="ListNumberLevel4">
    <w:name w:val="List Number (Level 4)"/>
    <w:basedOn w:val="Normal"/>
    <w:pPr>
      <w:numPr>
        <w:ilvl w:val="3"/>
        <w:numId w:val="1"/>
      </w:numPr>
    </w:pPr>
    <w:rPr>
      <w:rFonts w:eastAsia="Times New Roman"/>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hu-HU"/>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hu-HU"/>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hu-HU"/>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lang w:eastAsia="en-US" w:bidi="ar-SA"/>
    </w:rPr>
  </w:style>
  <w:style w:type="character" w:customStyle="1" w:styleId="FooterChar">
    <w:name w:val="Footer Char"/>
    <w:basedOn w:val="DefaultParagraphFont"/>
    <w:link w:val="Footer"/>
    <w:uiPriority w:val="99"/>
    <w:rPr>
      <w:rFonts w:ascii="Times New Roman" w:hAnsi="Times New Roman" w:cs="Times New Roman"/>
      <w:sz w:val="24"/>
      <w:lang w:eastAsia="en-US" w:bidi="ar-SA"/>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lang w:eastAsia="en-US" w:bidi="ar-SA"/>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lang w:eastAsia="en-US" w:bidi="ar-SA"/>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lang w:eastAsia="en-US" w:bidi="ar-SA"/>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ec.europa.eu/growth/content/brexit-guidance-stakeholders-impact-type-approval-certain-vehicles-and-engines_en" TargetMode="External"/><Relationship Id="rId2" Type="http://schemas.openxmlformats.org/officeDocument/2006/relationships/numbering" Target="numbering.xml"/><Relationship Id="rId16" Type="http://schemas.openxmlformats.org/officeDocument/2006/relationships/hyperlink" Target="https://ec.europa.eu/growth/content/brexit-%E2%80%93-guidance-stakeholders-impact-type-approval-motor-vehicles_e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56B112-EABF-45D5-98C3-117E0BFFD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13</Pages>
  <Words>3723</Words>
  <Characters>26513</Characters>
  <Application>Microsoft Office Word</Application>
  <DocSecurity>0</DocSecurity>
  <Lines>434</Lines>
  <Paragraphs>138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2018-05-22T09:51:00Z</cp:lastPrinted>
  <dcterms:created xsi:type="dcterms:W3CDTF">2018-06-04T11:22:00Z</dcterms:created>
  <dcterms:modified xsi:type="dcterms:W3CDTF">2018-06-04T19:38:00Z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 Build 20171009</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