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B4" w:rsidRDefault="006719AB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B701CD2-6023-4A74-9F9E-7D16D36676FA" style="width:450.8pt;height:409.45pt">
            <v:imagedata r:id="rId13" o:title=""/>
          </v:shape>
        </w:pict>
      </w:r>
    </w:p>
    <w:p w:rsidR="00706CB4" w:rsidRDefault="00706CB4">
      <w:pPr>
        <w:rPr>
          <w:noProof/>
        </w:rPr>
        <w:sectPr w:rsidR="00706CB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 w:rsidR="00706CB4" w:rsidRDefault="006719AB">
      <w:pPr>
        <w:pStyle w:val="Exposdesmotifstitre"/>
        <w:rPr>
          <w:noProof/>
        </w:rPr>
      </w:pPr>
      <w:r>
        <w:rPr>
          <w:noProof/>
        </w:rPr>
        <w:lastRenderedPageBreak/>
        <w:t>INDOKOLÁS</w:t>
      </w:r>
    </w:p>
    <w:p w:rsidR="00706CB4" w:rsidRDefault="006719AB"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A JAVASLAT HÁTTERE</w:t>
      </w:r>
    </w:p>
    <w:p w:rsidR="00706CB4" w:rsidRDefault="006719AB">
      <w:pPr>
        <w:pStyle w:val="ManualHeading2"/>
        <w:rPr>
          <w:rFonts w:eastAsia="Arial Unicode MS"/>
          <w:noProof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A javaslat indokai és céljai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Az online platformok a digitális kereskedelem fő támogató eszközei. Napjainkban </w:t>
      </w:r>
      <w:r>
        <w:rPr>
          <w:noProof/>
        </w:rPr>
        <w:t>milliónál is több uniós vállalkozás kereskedik online platformokon keresztül ügyfeleik elérése érdekében,</w:t>
      </w:r>
      <w:r>
        <w:rPr>
          <w:rStyle w:val="FootnoteReference"/>
          <w:noProof/>
        </w:rPr>
        <w:footnoteReference w:id="2"/>
      </w:r>
      <w:r>
        <w:rPr>
          <w:noProof/>
        </w:rPr>
        <w:t xml:space="preserve"> és a becslések szerint a teljes digitális gazdasághoz kapcsolódó áruvásárlás és szolgáltatásnyújtás lakossági fogyasztást jelentő részének mintegy 60</w:t>
      </w:r>
      <w:r>
        <w:rPr>
          <w:noProof/>
        </w:rPr>
        <w:t xml:space="preserve"> %-a, és állami fogyasztást jelentő részének mintegy 30 %-a valósul meg online közvetítőkön keresztül.</w:t>
      </w:r>
      <w:bookmarkStart w:id="0" w:name="_Ref496546901"/>
      <w:r>
        <w:rPr>
          <w:rStyle w:val="FootnoteReference"/>
          <w:noProof/>
        </w:rPr>
        <w:footnoteReference w:id="3"/>
      </w:r>
      <w:bookmarkEnd w:id="0"/>
      <w:r>
        <w:rPr>
          <w:noProof/>
        </w:rPr>
        <w:t xml:space="preserve"> Ezek az online közvetítő tevékenységek rendszerint azoknak a fontos, adatközpontú közvetlen és közvetett hálózati hatásoknak az előnyeit élvezik, amelye</w:t>
      </w:r>
      <w:r>
        <w:rPr>
          <w:noProof/>
        </w:rPr>
        <w:t>k csupán korlátozott számú eredményes platformot teremtenek a gazdaság egyes közvetített szegmenseinek részeként. Az online platformokon keresztül megvalósuló efféle, egyre inkább terjedőben lévő ügyletközvetítés az online platformok adatközpontú előnyeibő</w:t>
      </w:r>
      <w:r>
        <w:rPr>
          <w:noProof/>
        </w:rPr>
        <w:t>l táplálkozó, erős közvetett hálózati hatásokkal karöltve azt eredményezi, hogy a vállalkozások mindinkább függésbe kerülnek az online platformoktól mint a piachoz és a fogyasztókhoz vezető út „kapuőreiktől”. A kisszámú – versenyjogi értelemben véve nem fe</w:t>
      </w:r>
      <w:r>
        <w:rPr>
          <w:noProof/>
        </w:rPr>
        <w:t>ltétlenül erőfölényben lévő – vezető online platform viszonylagos piaci ereje közötti asszimetriát fokozza a kiskereskedők ezreiből álló, eleve töredezett kínálati oldal. E töredezettséghez hasonló dinamika nem érhető tetten a vállalkozások közötti kapcsol</w:t>
      </w:r>
      <w:r>
        <w:rPr>
          <w:noProof/>
        </w:rPr>
        <w:t>atokban (B2B) közvetítő online platformok esetében, ahol az üzleti felhasználó és az online platform is olyan nagy és jól kialakított cégek felé hajlik, amelyek inkább biztosíthatják a kiegyensúlyozott szerződéses jogviszonyt. Egy 2006-os bizottsági tanulm</w:t>
      </w:r>
      <w:r>
        <w:rPr>
          <w:noProof/>
        </w:rPr>
        <w:t>ány</w:t>
      </w:r>
      <w:r>
        <w:rPr>
          <w:rStyle w:val="FootnoteReference"/>
          <w:noProof/>
        </w:rPr>
        <w:footnoteReference w:id="4"/>
      </w:r>
      <w:r>
        <w:rPr>
          <w:noProof/>
        </w:rPr>
        <w:t xml:space="preserve"> rámutatott, hogy e kockázattudatosság volt az egyik olyan tényező, amely visszatartotta a B2B jellegű elektronikus piacok széles körben való elfogadását.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iCs/>
          <w:noProof/>
        </w:rPr>
      </w:pPr>
      <w:r>
        <w:rPr>
          <w:noProof/>
        </w:rPr>
        <w:t>A jelen kezdeményezésben szereplő online közvetítő szolgáltatók alapvetően az online elektronikus kereskedelmi piactereket, az online szoftver alkalmazástékákat és az online közösségi médiát fogják át. Az online közvetítő szolgáltatások felsorolt különböző</w:t>
      </w:r>
      <w:r>
        <w:rPr>
          <w:noProof/>
        </w:rPr>
        <w:t xml:space="preserve"> formáinak célja az információs társadalom szolgáltatásainak biztosításán keresztül előmozdítani a szerződéses kapcsolatban álló üzleti felhasználók és fogyasztók közötti közvetlen ügyletek kezdeményezését attól függetlenül, hogy végül online vagy offline </w:t>
      </w:r>
      <w:r>
        <w:rPr>
          <w:noProof/>
        </w:rPr>
        <w:t>kerül-e sor az ügyletekre. E közvetlen ügyletek előmozdítása érdekében ezek az online közvetítő szolgáltatások lényegében anélkül biztosítanak online jelenlétet a fogyasztóknak árukat és szolgáltatásokat kínáló üzleti felhasználóknak, hogy alapvetően önáll</w:t>
      </w:r>
      <w:r>
        <w:rPr>
          <w:noProof/>
        </w:rPr>
        <w:t>ó weboldal működtetését várnák el tőlük. Az online jelenlét üzleti felhasználóknak való lehetővé tétele mellett az online közvetítő szolgáltatások gyakran beágyazott online kommunikációs interfészen keresztül ösztönzik a közvetlen kommunikációt is az egyes</w:t>
      </w:r>
      <w:r>
        <w:rPr>
          <w:noProof/>
        </w:rPr>
        <w:t xml:space="preserve"> üzleti felhasználók és a fogyasztók között. Ami az online közösségi médiát illeti, meg kell jegyezni, hogy az online szolgáltatók e kategóriájába tartozó néhány szolgáltató valójában különböző online közvetítő szolgáltatásokat fog össze egyetlen digitális</w:t>
      </w:r>
      <w:r>
        <w:rPr>
          <w:noProof/>
        </w:rPr>
        <w:t xml:space="preserve"> környezetben, amelyek mindegyike bevonható e kezdeményezés hatálya alá. A szakmai oldalak például lehetővé teszik a fogyasztók számára a helyi vállalkozások és szolgáltatók felkutatását, és fontos szerepet töltenek be az üzleti vállalkozások fogyasztókkal</w:t>
      </w:r>
      <w:r>
        <w:rPr>
          <w:noProof/>
        </w:rPr>
        <w:t xml:space="preserve"> megvalósított (B2C) ügyleteinek lehetővé tételében. Az ilyen szakmai oldalak egyre </w:t>
      </w:r>
      <w:r>
        <w:rPr>
          <w:noProof/>
        </w:rPr>
        <w:lastRenderedPageBreak/>
        <w:t>gyakrabban tartalmaznak közvetlen foglalási vagy vásárlási funkciókat, online e-kereskedelmi piacterekké változtatva ezeket a szolgáltatásokat.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Miközben a (határokon átnyúl</w:t>
      </w:r>
      <w:r>
        <w:rPr>
          <w:noProof/>
        </w:rPr>
        <w:t>ó) piacok hatékony elérése terén óriási lehetőségeket kínálnak, az európai vállalkozások nem tudják teljes mértékben kiaknázni az onlineplatform-gazdaságban rejlő lehetőségeket, és ennek oka számos potenciálisan káros kereskedelmi gyakorlat és a hatékony j</w:t>
      </w:r>
      <w:r>
        <w:rPr>
          <w:noProof/>
        </w:rPr>
        <w:t>ogorvoslati mechanizmusok hiánya az Unióban. Az érintett online szolgáltatók ugyanakkor az egyre növekvő mértékű széttagoltság miatt az egész egységes piacon nehézségekkel kerülnek szembe.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A vállalkozások bizonyos online szolgáltatásoktól való függősége ma</w:t>
      </w:r>
      <w:r>
        <w:rPr>
          <w:noProof/>
        </w:rPr>
        <w:t>gában foglalja, hogy az online közvetítő szolgáltatók számos olyan potenciálisan káros kereskedelmi gyakorlatba bonyolódhatnak, amely korlátozza az üzleti felhasználók rajtuk keresztül történő értékesítéseit és kockáztatja bizalmuk megrendülését. A követke</w:t>
      </w:r>
      <w:r>
        <w:rPr>
          <w:noProof/>
        </w:rPr>
        <w:t>zőkről van szó: A szerződési feltételek előzetes értesítés nélküli, váratlan megváltoztatása; áruk és szolgáltatások listáról való törlése és számlák felfüggesztése egyértelmű indokolás nélkül; az áruk és szolgáltatások, valamit az azokat kínáló vállalkozá</w:t>
      </w:r>
      <w:r>
        <w:rPr>
          <w:noProof/>
        </w:rPr>
        <w:t>sok rangsorolására vonatkozó átláthatóság hiánya; a szolgáltatók által gyűjtött adatokhoz való hozzáférés és az adatkezelés tisztázatlan feltételei; valamint az átláthatóság hiánya a szolgáltatók saját, versenyben lévő szolgáltatásai és az úgynevezett legn</w:t>
      </w:r>
      <w:r>
        <w:rPr>
          <w:noProof/>
        </w:rPr>
        <w:t xml:space="preserve">agyobb kedvezmény záradéka tekintetében, amelyek korlátozzák a vállalkozásokat abban, hogy vonzóbb feltételeket kínálhassanak az online közvetítő szolgáltatásoktól eltérő csatornákon. 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Mindezeken túlmenően az online általános keresőprogramok is fontos forr</w:t>
      </w:r>
      <w:r>
        <w:rPr>
          <w:noProof/>
        </w:rPr>
        <w:t>ását képezhetik a vállalkozások internetes forgalmának, és hatással lehetnek a belső piacon áruikat és szolgáltatásaikat online kínáló kereskedelmiweboldal-használók üzleti eredményességére. Az áruikat és szolgáltatásaikat a fogyasztóknak kínáló vállalkozá</w:t>
      </w:r>
      <w:r>
        <w:rPr>
          <w:noProof/>
        </w:rPr>
        <w:t>sok weboldalait is magukban foglaló weboldalak online keresőprogramok szolgáltatói általi rangsorolása jelentősen befolyásolja a fogyasztók választását és a kereskedelmiweboldal-használók üzleti sikerességét. Ennél fogva az általános online keresőprogramok</w:t>
      </w:r>
      <w:r>
        <w:rPr>
          <w:noProof/>
        </w:rPr>
        <w:t xml:space="preserve">hoz még a kereskedelmiweboldal-használókkal fennálló szerződéses jogviszony hiányában is kapcsolódnak függőségi szempontok, különösen az üzleti felhasználókat esetlegesen érintő, potenciálisan káros rangsorolási gyakorlatok tekintetében. 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Ugyanakkor a megl</w:t>
      </w:r>
      <w:r>
        <w:rPr>
          <w:noProof/>
        </w:rPr>
        <w:t>évő szabályozási keret nem feltétlenül hatékony sem e gyakorlatok némelyikének megelőzésében, sem az eredményes jogorvoslat biztosításában. Az EU-ban megjelenő jelentős szabályozási széttagoltság tovább bonyolítja a szabályozási környezetet. Jóllehet elsős</w:t>
      </w:r>
      <w:r>
        <w:rPr>
          <w:noProof/>
        </w:rPr>
        <w:t>orban üzleti felhasználókat érintő hatásokat eredményez, ugyanakkor ez a helyzet a többoldalú onlineplatform-gazdaság minden szereplőjét érinti, ideértve a fogyasztókat is, akik a versenyképes áruk és szolgáltatások korlátozottabb kínálatával szembesülhetn</w:t>
      </w:r>
      <w:r>
        <w:rPr>
          <w:noProof/>
        </w:rPr>
        <w:t xml:space="preserve">ek. 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A jelen javaslatot kiegészíti az onlineplatform-gazdasági megfigyelőközpont szakértői csoportjának felállításáról szóló bizottsági határozat, amelynek célja lényegében az Unió számára az onlineplatform-gazdaság által nyújtott lehetőségek és teremtett </w:t>
      </w:r>
      <w:r>
        <w:rPr>
          <w:noProof/>
        </w:rPr>
        <w:t xml:space="preserve">kihívások nyomon követése, ideértve a Bizottság ezen rendeletre irányuló javaslatának alkalmazásához kapcsolódó kérdéseket is. </w:t>
      </w:r>
    </w:p>
    <w:p w:rsidR="00706CB4" w:rsidRDefault="006719AB">
      <w:pPr>
        <w:pStyle w:val="ManualHeading2"/>
        <w:rPr>
          <w:rFonts w:eastAsia="Arial Unicode MS"/>
          <w:noProof/>
          <w:color w:val="000000"/>
          <w:u w:color="000000"/>
          <w:bdr w:val="nil"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Összhang a szabályozási terület jelenlegi rendelkezéseivel</w:t>
      </w:r>
    </w:p>
    <w:p w:rsidR="00706CB4" w:rsidRDefault="006719AB">
      <w:pPr>
        <w:pStyle w:val="ManualHeading2"/>
        <w:tabs>
          <w:tab w:val="clear" w:pos="850"/>
        </w:tabs>
        <w:ind w:left="0" w:firstLine="0"/>
        <w:rPr>
          <w:rFonts w:eastAsia="Arial Unicode MS"/>
          <w:b w:val="0"/>
          <w:noProof/>
        </w:rPr>
      </w:pPr>
      <w:r>
        <w:rPr>
          <w:b w:val="0"/>
          <w:noProof/>
        </w:rPr>
        <w:t>Nincs olyan uniós szintű jogszabály, amely az itt tárgyalt online k</w:t>
      </w:r>
      <w:r>
        <w:rPr>
          <w:b w:val="0"/>
          <w:noProof/>
        </w:rPr>
        <w:t>özvetítéssel létrejövő, vállalkozások közötti kapcsolatokat szabályozná.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b/>
          <w:noProof/>
        </w:rPr>
      </w:pPr>
      <w:bookmarkStart w:id="1" w:name="_Toc496619192"/>
      <w:bookmarkStart w:id="2" w:name="_Toc496619992"/>
      <w:bookmarkStart w:id="3" w:name="_Toc464047993"/>
      <w:bookmarkStart w:id="4" w:name="_Toc487739489"/>
      <w:bookmarkStart w:id="5" w:name="_Toc487971288"/>
      <w:bookmarkStart w:id="6" w:name="_Toc496619193"/>
      <w:bookmarkStart w:id="7" w:name="_Toc496619993"/>
      <w:bookmarkStart w:id="8" w:name="_Toc496619194"/>
      <w:bookmarkStart w:id="9" w:name="_Toc496619994"/>
      <w:bookmarkStart w:id="10" w:name="_Toc496619195"/>
      <w:bookmarkStart w:id="11" w:name="_Toc496619995"/>
      <w:bookmarkStart w:id="12" w:name="_Toc496619196"/>
      <w:bookmarkStart w:id="13" w:name="_Toc496619996"/>
      <w:bookmarkStart w:id="14" w:name="_Toc496619197"/>
      <w:bookmarkStart w:id="15" w:name="_Toc496619997"/>
      <w:bookmarkStart w:id="16" w:name="_Toc496619198"/>
      <w:bookmarkStart w:id="17" w:name="_Toc49661999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noProof/>
        </w:rPr>
        <w:t xml:space="preserve">Az uniós versenyjog többek között a vállalkozások versenyellenes magatartására irányul. A jelen kezdeményezés által lefedett, egyoldalú esetlegesen káros kereskedelmi gyakorlatok nem </w:t>
      </w:r>
      <w:r>
        <w:rPr>
          <w:noProof/>
        </w:rPr>
        <w:t>feltétlenül sértik az uniós jogot az EUMSZ 101. vagy 102. cikk értelmében. Ennek eredményeképpen elképzelhető, hogy uniós vagy nemzeti szinten a versenyjog nem foglalkozik a jelen kezdeményezésben szereplő valamennyi kérdésfajtával.</w:t>
      </w:r>
      <w:r>
        <w:rPr>
          <w:b/>
          <w:noProof/>
        </w:rPr>
        <w:t xml:space="preserve"> 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A fogyasztóvédelmi jog</w:t>
      </w:r>
      <w:r>
        <w:rPr>
          <w:noProof/>
        </w:rPr>
        <w:t>, főleg a tisztességtelen kereskedelmi gyakorlatokról szóló 2005/29/EK irányelv</w:t>
      </w:r>
      <w:r>
        <w:rPr>
          <w:rStyle w:val="FootnoteReference"/>
          <w:noProof/>
        </w:rPr>
        <w:footnoteReference w:id="5"/>
      </w:r>
      <w:r>
        <w:rPr>
          <w:noProof/>
        </w:rPr>
        <w:t xml:space="preserve"> és a szerződésekben alkalmazott tisztességtelen feltételekről szóló 93/13/EGK tanácsi irányelv</w:t>
      </w:r>
      <w:r>
        <w:rPr>
          <w:rStyle w:val="FootnoteReference"/>
          <w:noProof/>
        </w:rPr>
        <w:footnoteReference w:id="6"/>
      </w:r>
      <w:r>
        <w:rPr>
          <w:noProof/>
        </w:rPr>
        <w:t xml:space="preserve"> számos potenciálisan káros kereskedelmi gyakorlattal foglalkozik uniós szinten.</w:t>
      </w:r>
      <w:r>
        <w:rPr>
          <w:noProof/>
        </w:rPr>
        <w:t xml:space="preserve"> Ezek az irányelvek magas szintű átláthatóságot és „szakmai gondosságot” követelnek. Hatályuk mindazonáltal az üzleti vállalkozások fogyasztókkal megvalósított (B2C) ügyleteire korlátozódik. A megtévesztő és összehasonlító reklámról szóló 2006/114/EK irány</w:t>
      </w:r>
      <w:r>
        <w:rPr>
          <w:noProof/>
        </w:rPr>
        <w:t>elv</w:t>
      </w:r>
      <w:r>
        <w:rPr>
          <w:rStyle w:val="FootnoteReference"/>
          <w:noProof/>
        </w:rPr>
        <w:footnoteReference w:id="7"/>
      </w:r>
      <w:r>
        <w:rPr>
          <w:noProof/>
        </w:rPr>
        <w:t xml:space="preserve"> ellenben bizonyos vállalkozások közötti kapcsolatokkal foglalkozik. Célja, hogy a kereskedőket megvédje a megtévesztő reklámmal és annak tisztességtelen következményeivel szemben, valamint hogy megállapítsa azokat a feltételeket, amelyek mellett az ös</w:t>
      </w:r>
      <w:r>
        <w:rPr>
          <w:noProof/>
        </w:rPr>
        <w:t>szehasonlító reklám megengedett. Az utóbbi eszköz rendelkezései azonban a reklámgyakorlatokra korlátozódnak és nem foglalkoznak általában azokkal a fent említett potenciálisan káros kereskedelmi gyakorlatokkal, amelyek az online platformok és üzleti felhas</w:t>
      </w:r>
      <w:r>
        <w:rPr>
          <w:noProof/>
        </w:rPr>
        <w:t>ználóik meglévő szerződéses jogviszonyának részeként jelennek meg.</w:t>
      </w:r>
    </w:p>
    <w:p w:rsidR="00706CB4" w:rsidRDefault="006719AB">
      <w:pPr>
        <w:pStyle w:val="ManualHeading2"/>
        <w:rPr>
          <w:rFonts w:eastAsia="Arial Unicode MS"/>
          <w:noProof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Összhang az Unió egyéb szakpolitikáival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A jelen javaslat célja olyan tisztességes, kiszámítható, fenntartható és megbízható jogi környezet biztosítása az üzleti felhasználók, kereskedelmi</w:t>
      </w:r>
      <w:r>
        <w:rPr>
          <w:noProof/>
        </w:rPr>
        <w:t>weboldal-használók, online közvetítő szolgáltatók, online keresőprogramok és hasonlók számára, amely korlátozza a bizonyos online tevékenységek keretében megjelenő káros, platformok és üzleti szereplők közötti kereskedelmi gyakorlatok felmerülését és hatás</w:t>
      </w:r>
      <w:r>
        <w:rPr>
          <w:noProof/>
        </w:rPr>
        <w:t>át, biztosítva ezáltal az onlineplatform-gazdaságba vetett bizalmat és megakadályozva a digitális egységes piac további jogi széttagolódását.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A kezdeményezés ezzel hozzájárul a digitális egységes piaci stratégia célkitűzéseihez oly módon, hogy egyértelmű, </w:t>
      </w:r>
      <w:r>
        <w:rPr>
          <w:noProof/>
        </w:rPr>
        <w:t>átlátható és stabil jogi környezetet teremt az online B2C szolgáltatók és üzleti felhasználóik számára, hozzájárul továbbá a piac széttagolódásának kezeléséhez és annak lehetővé tételéhez, hogy valamennyi szereplő tisztességes és kiegyensúlyozott feltétele</w:t>
      </w:r>
      <w:r>
        <w:rPr>
          <w:noProof/>
        </w:rPr>
        <w:t xml:space="preserve">k, valamint megfelelő szintű átláthatóság mellett léphessen az új piaci dinamikákba. 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A javaslat összhangban áll továbbá számos más uniós szakpolitikával és szabállyal. Különösen kiegészíti a fent említett versenyjogot és fogyasztóvédelmi jogot, érintetlen</w:t>
      </w:r>
      <w:r>
        <w:rPr>
          <w:noProof/>
        </w:rPr>
        <w:t xml:space="preserve">ül hagyva azok szabályainak alkalmazását. 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Továbbá a javaslatot – különösen a jogorvoslatok tekintetében – a polgári ügyekben folytatott igazságügyi együttműködésre vonatkozó uniós jog ismeretében kell értelmezni, melynek része például a polgári és kereske</w:t>
      </w:r>
      <w:r>
        <w:rPr>
          <w:noProof/>
        </w:rPr>
        <w:t>delmi ügyekben a joghatóságról, valamint a határozatok elismeréséről és végrehajtásáról szóló 1215/2012/EU rendelet</w:t>
      </w:r>
      <w:r>
        <w:rPr>
          <w:rStyle w:val="FootnoteReference"/>
          <w:noProof/>
        </w:rPr>
        <w:footnoteReference w:id="8"/>
      </w:r>
      <w:r>
        <w:rPr>
          <w:noProof/>
        </w:rPr>
        <w:t>, a szerződéses kötelezettségekre alkalmazandó jogról szóló 593/2008/EK rendelet</w:t>
      </w:r>
      <w:r>
        <w:rPr>
          <w:rStyle w:val="FootnoteReference"/>
          <w:noProof/>
        </w:rPr>
        <w:footnoteReference w:id="9"/>
      </w:r>
      <w:r>
        <w:rPr>
          <w:noProof/>
        </w:rPr>
        <w:t>, a szerződésen kívüli kötelmi viszonyokra alkalmazandó jog</w:t>
      </w:r>
      <w:r>
        <w:rPr>
          <w:noProof/>
        </w:rPr>
        <w:t>ról szóló 864/2007/EK rendelet</w:t>
      </w:r>
      <w:r>
        <w:rPr>
          <w:rStyle w:val="FootnoteReference"/>
          <w:noProof/>
        </w:rPr>
        <w:footnoteReference w:id="10"/>
      </w:r>
      <w:r>
        <w:rPr>
          <w:noProof/>
        </w:rPr>
        <w:t xml:space="preserve"> és a polgári és kereskedelmi ügyekben végzett közvetítés egyes szempontjairól szóló 2008/52/EK irányelv</w:t>
      </w:r>
      <w:r>
        <w:rPr>
          <w:rStyle w:val="FootnoteReference"/>
          <w:noProof/>
        </w:rPr>
        <w:footnoteReference w:id="11"/>
      </w:r>
      <w:r>
        <w:rPr>
          <w:noProof/>
        </w:rPr>
        <w:t xml:space="preserve">. 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iCs/>
          <w:noProof/>
        </w:rPr>
      </w:pPr>
      <w:r>
        <w:rPr>
          <w:noProof/>
        </w:rPr>
        <w:t>A fő rangsorolási paraméterek bemutatásának kötelezettsége kiegészíti az uniós fogyasztóvédelmi jog hatálya alá tarto</w:t>
      </w:r>
      <w:r>
        <w:rPr>
          <w:noProof/>
        </w:rPr>
        <w:t>zó kereskedőkre vonatkozó követelményeket. Ezzel összefüggésben megjegyzendő, hogy a Bizottság az Új megállapodás a fogyasztói érdekekért kezdeményezés</w:t>
      </w:r>
      <w:r>
        <w:rPr>
          <w:rStyle w:val="FootnoteReference"/>
          <w:noProof/>
        </w:rPr>
        <w:footnoteReference w:id="12"/>
      </w:r>
      <w:r>
        <w:rPr>
          <w:noProof/>
        </w:rPr>
        <w:t xml:space="preserve"> részeként módosításokat javasolt, melyek tartalmazzák a fizetés alapján kiemelt keresési eredmények fog</w:t>
      </w:r>
      <w:r>
        <w:rPr>
          <w:noProof/>
        </w:rPr>
        <w:t xml:space="preserve">yasztók számára történő egyértelmű azonosításának követelményét, valamint az online piacok rangsorolását meghatározó fő paraméterekről való tájékoztatás kötelezettségét. 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Végül a jelen javaslat összhangban áll a belső piacon az információs társadalommal ös</w:t>
      </w:r>
      <w:r>
        <w:rPr>
          <w:noProof/>
        </w:rPr>
        <w:t>szefüggő szolgáltatások, különösen az elektronikus kereskedelem, egyes jogi vonatkozásairól szóló 2000/31/EK irányelvvel</w:t>
      </w:r>
      <w:r>
        <w:rPr>
          <w:rStyle w:val="FootnoteReference"/>
          <w:noProof/>
        </w:rPr>
        <w:footnoteReference w:id="13"/>
      </w:r>
      <w:r>
        <w:rPr>
          <w:noProof/>
        </w:rPr>
        <w:t>, amely általános keretet határoz meg az információs társadalommal összefüggő szolgáltatások nyújtásához az Unióban.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A rendeletre irány</w:t>
      </w:r>
      <w:r>
        <w:rPr>
          <w:noProof/>
        </w:rPr>
        <w:t>uló javaslat nem érint egyetlen fent említett meglévő uniós jogi aktust sem.</w:t>
      </w:r>
    </w:p>
    <w:p w:rsidR="00706CB4" w:rsidRDefault="006719AB"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JOGALAP, SZUBSZIDIARITÁS ÉS ARÁNYOSSÁG</w:t>
      </w:r>
    </w:p>
    <w:p w:rsidR="00706CB4" w:rsidRDefault="006719AB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Jogalap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Mivel i. a kezdeményezés a digitális egységes piaci stratégia központi elemét képezi, ii. a szóban forgó online szolgáltatások </w:t>
      </w:r>
      <w:r>
        <w:rPr>
          <w:noProof/>
        </w:rPr>
        <w:t xml:space="preserve">eleve határon átnyúló jellegűek, és iii. a lefedett kérdésekre vonatkozó különös nemzeti jogok miatt felmerül az egységes piac széttagoltsága, a jelen kezdeményezés megfelelő jogalapja az EUMSZ 114. cikk. 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Az EUMSZ 114. cikk célja a tagállami jogszabályok </w:t>
      </w:r>
      <w:r>
        <w:rPr>
          <w:noProof/>
        </w:rPr>
        <w:t>közelítése és annak biztosítása, hogy koherens és megkülönböztetésmentes szabályokat alkalmazzanak Unió-szerte. A közös szabályok ilyen, Unió-szerte történő alkalmazása kezeli és megelőzi a tagállamok közötti eltéréseket és biztosítja a jogbiztonságot, leh</w:t>
      </w:r>
      <w:r>
        <w:rPr>
          <w:noProof/>
        </w:rPr>
        <w:t>etővé téve ezáltal a vállalkozások és a fogyasztók számára a belső piac előnyeinek kiaknázását. A kezdeményezés mint olyan hozzájárul a belső piac létrehozatalához és megfelelő működéséhez.</w:t>
      </w:r>
    </w:p>
    <w:p w:rsidR="00706CB4" w:rsidRDefault="006719AB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 xml:space="preserve">Szubszidiaritás (nem kizárólagos hatáskör esetén) 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A szóban forg</w:t>
      </w:r>
      <w:r>
        <w:rPr>
          <w:noProof/>
        </w:rPr>
        <w:t>ó online szolgáltatások eleve határokon átnyúló jellege azt jelenti, hogy a tagállamok önállóan nem tudják hatékonyan megvalósítani a célkitűzéseket. A vezető online közvetítő szolgáltatók csak egy tagállamban rendelkeznek székhellyel, ám szinte a teljes u</w:t>
      </w:r>
      <w:r>
        <w:rPr>
          <w:noProof/>
        </w:rPr>
        <w:t>niós lakosság részére biztosítanak hozzáférést a szolgáltatásokhoz rendes lakóhelyükről és az Unióban való utazás során egyaránt. Fontos, hogy az online szolgáltatások bizonyos fajtáit ugyanakkor kereskedelmi kommunikációra használják, amint az a Bizottság</w:t>
      </w:r>
      <w:r>
        <w:rPr>
          <w:noProof/>
        </w:rPr>
        <w:t xml:space="preserve"> platformok és vállalkozások közötti kapcsolatokra irányuló tényfeltáró kutatásából kiderül, amelyben a válaszadók 90 %-a úgy nyilatkozott, hogy jelen van a világhálón. 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Az uniós cselekvés jelenti ezért az egyetlen utat annak biztosítására, hogy a szerződé</w:t>
      </w:r>
      <w:r>
        <w:rPr>
          <w:noProof/>
        </w:rPr>
        <w:t>si feltételekben azonosított jogra és vitarendezési fórumokra tekintet nélkül közös, megfelelő és hatékony szabályokat lehessen alkalmazni az érintett szolgáltatások nyújtóira és e szolgáltatások igénybevevőire. Az itt bemutatott különös kérdésekkel kapcso</w:t>
      </w:r>
      <w:r>
        <w:rPr>
          <w:noProof/>
        </w:rPr>
        <w:t>latban az Európai Tanács „</w:t>
      </w:r>
      <w:r>
        <w:rPr>
          <w:i/>
          <w:noProof/>
        </w:rPr>
        <w:t>hangsúlyozta, hogy fokozni kell a digitális platformok működésének és használatának átláthatóságát</w:t>
      </w:r>
      <w:r>
        <w:rPr>
          <w:noProof/>
        </w:rPr>
        <w:t>”</w:t>
      </w:r>
      <w:r>
        <w:rPr>
          <w:rStyle w:val="FootnoteReference"/>
          <w:noProof/>
        </w:rPr>
        <w:footnoteReference w:id="14"/>
      </w:r>
      <w:r>
        <w:rPr>
          <w:noProof/>
        </w:rPr>
        <w:t xml:space="preserve"> a jövőorientált uniós szabályozási keret részeként.</w:t>
      </w:r>
    </w:p>
    <w:p w:rsidR="00706CB4" w:rsidRDefault="006719AB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Arányosság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E javaslat célja továbbfejlesztett üzleti környezet lehetőségének megteremtése az Unióban kereskedő üzleti felhasználók és kereskedelmiweboldal-használók számára. Ugyanakkor az érintett online szolgáltatók alapvetően továbbra is szabadon megállapíthatják a</w:t>
      </w:r>
      <w:r>
        <w:rPr>
          <w:noProof/>
        </w:rPr>
        <w:t xml:space="preserve"> szolgáltatásnyújtásukra vonatkozó általános politikákat, és lehetőségük nyílik arra, hogy ágazati magatartási kódexek segítségével az alapelvekre épülő jogi kereten belül maguk alakítsák önkéntes kötelezettségvállalásaikat. Megfelelő választ próbál adni t</w:t>
      </w:r>
      <w:r>
        <w:rPr>
          <w:noProof/>
        </w:rPr>
        <w:t xml:space="preserve">ehát az azonosított problémára, biztosítva az online szolgáltatók innovációs kapacitását. A rendelet választása előmozdítja továbbá a szolgáltatók számának az online közvetítéssel létrejövő szolgáltatások területén működő valamennyi szereplő előnyére váló </w:t>
      </w:r>
      <w:r>
        <w:rPr>
          <w:noProof/>
        </w:rPr>
        <w:t xml:space="preserve">növekedését, mivel az Unió-szerte alkalmazandó közös szabályok eleve csökkentik a megfelelési költségeket és különösen a határokon átnyúló műveletek esetében javítják a jogbiztonságot. 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Az előnyben részesített alternatíva arányossága, amint azt e javaslat </w:t>
      </w:r>
      <w:r>
        <w:rPr>
          <w:noProof/>
        </w:rPr>
        <w:t>tükrözi, abban is rejlik, hogy az ágazati cselekvésnek tág teret biztosító viszonylag általános, alapelvekre épülő uniós szabályokat célzott nyomon követéssel kombinálják. Ez a megközelítés igazodik a gyorsan változó online technológiai és gazdasági környe</w:t>
      </w:r>
      <w:r>
        <w:rPr>
          <w:noProof/>
        </w:rPr>
        <w:t>zethez. Az onlineplatform-gazdasági megfigyelőközpont e javaslattal párhuzamosan létrejövő szakértői csoportja követni fogja mind a tágabb értelemben vett onlineplatform-gazdaság általános fejlődését, mind pedig az itt tárgyalt konkrét kérdéseket, többek k</w:t>
      </w:r>
      <w:r>
        <w:rPr>
          <w:noProof/>
        </w:rPr>
        <w:t xml:space="preserve">özött a jogi átláthatóságra vonatkozó követelményekből származó információk alapján. Az e rendeletjavaslatban bemutatott megközelítés tehát továbbra is arányos a vállalkozások közötti online kapcsolatok tekintetében azonosított kérdések szempontjából. 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Ami</w:t>
      </w:r>
      <w:r>
        <w:rPr>
          <w:noProof/>
        </w:rPr>
        <w:t xml:space="preserve"> a kezdeményezés különböző összetevőinek adminisztratív terheit illeti, a kisvállalkozások előnyére szolgál, hogy célzottan mentesülnek azon megvalósítandó kötelezettség alól, hogy hatékony belső panaszkezelési rendszert működtessenek. Fontos megjegyezni, </w:t>
      </w:r>
      <w:r>
        <w:rPr>
          <w:noProof/>
        </w:rPr>
        <w:t>hogy e konkrét kötelezettség csupán viszonylag nagymértékű hatékonysági és hozzáférhetőségi kritériumokat állapít meg, amelyek alapján a szolgáltatók szabadon alkalmazhatnak az átlagnál kisebb költségeket eredményező költséghatékony műszaki megoldásokat. A</w:t>
      </w:r>
      <w:r>
        <w:rPr>
          <w:noProof/>
        </w:rPr>
        <w:t xml:space="preserve"> célzott mentesítés biztosítja, hogy amennyiben a kezdeményezésből fakadó adminisztratív teher nem zárható ki teljes mértékben, úgy csak az ennek vállalásához megfelelő nyereséget termelő vállalkozások legyenek érintettek általa. </w:t>
      </w:r>
    </w:p>
    <w:p w:rsidR="00706CB4" w:rsidRDefault="006719AB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 xml:space="preserve">A jogi aktus típusának </w:t>
      </w:r>
      <w:r>
        <w:rPr>
          <w:noProof/>
        </w:rPr>
        <w:t>megválasztása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Az uniós cselekvés önkéntes ágazati cselekvések ösztönzésére és meghatározott kísérő intézkedésekre való korlátozása lehetséges, de vélhetően nem lesz hatékony, mivel a kérdés lényegében így az ágazat saját kezdeményezéseitől és a status quo </w:t>
      </w:r>
      <w:r>
        <w:rPr>
          <w:noProof/>
        </w:rPr>
        <w:t>megváltoztatására való hajlandóságától függ. Bár a szolgáltatók és üzleti felhasználóik egyaránt érdekeltek a platformokon a fogyasztókkal megvalósuló interakciók és ügyletek maximalizálásában, ugyanakkor csupán tökéletlenül valósul meg az üzleti viszonyai</w:t>
      </w:r>
      <w:r>
        <w:rPr>
          <w:noProof/>
        </w:rPr>
        <w:t>kban felmerülő kérdések kezelésére vonatkozó, rövid távú érdekeik összehangolása. Az élelmiszerágazatban az ellátási lánc kezdeményezéssel összefüggésben szerzett korábbi tapasztalatok ugyancsak arra utalnak, hogy a pusztán önkéntes kezdeményezések nem alk</w:t>
      </w:r>
      <w:r>
        <w:rPr>
          <w:noProof/>
        </w:rPr>
        <w:t>almasak a működő független jogorvoslati mechanizmus és a piac mindkét oldala számára megbízható és vonzó, tisztességességet biztosító szabályok kialakítására. Valamilyen szintű előrelépés (a helyes gyakorlatokra vonatkozó elvek kialakítása és irányítócsopo</w:t>
      </w:r>
      <w:r>
        <w:rPr>
          <w:noProof/>
        </w:rPr>
        <w:t>rt felállítása) ellenére – a rendszer fő kedvezményezettjeinek vélt – mezőgazdasági szolgáltatók azért nem jelentkeztek be a rendszerbe, mert kételkedtek a titoktartásban és a végrehajtásban. Mindeközben 21 tagállam már elfogadott olyan nemzeti jogszabályo</w:t>
      </w:r>
      <w:r>
        <w:rPr>
          <w:noProof/>
        </w:rPr>
        <w:t>kat és kezdeményezéseket, amelyek a potenciálisan káros kereskedelmi gyakorlatok megszüntetésére irányulnak az élelmiszer-ellátási lánc keretében.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Így csak jogalkotási eszköz kezelheti eredményesen az azonosított problémákat. A rendeleti forma részesül elő</w:t>
      </w:r>
      <w:r>
        <w:rPr>
          <w:noProof/>
        </w:rPr>
        <w:t>nyben továbbá azért, mert közvetlenül alkalmazandó a tagállamokban, azonos szintű kötelezettségeket teremt a magánfelek részére, és az eleve határokon átnyúló, online közvetítéssel létrejövő kereskedelem és online keresés területén lehetővé teszi a szabály</w:t>
      </w:r>
      <w:r>
        <w:rPr>
          <w:noProof/>
        </w:rPr>
        <w:t>ok összehangolt alkalmazását. Mindez kezeli és megelőzi továbbá a digitális egységes piac széttagolódását.</w:t>
      </w:r>
    </w:p>
    <w:p w:rsidR="00706CB4" w:rsidRDefault="006719AB"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>AZ UTÓLAGOS ÉRTÉKELÉSEK, AZ ÉRDEKELT FELEKKEL FOLYTATOTT KONZULTÁCIÓK ÉS A HATÁSVIZSGÁLATOK EREDMÉNYEI</w:t>
      </w:r>
    </w:p>
    <w:p w:rsidR="00706CB4" w:rsidRDefault="006719AB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A jelenleg hatályban lévő jogszabályok ut</w:t>
      </w:r>
      <w:r>
        <w:rPr>
          <w:noProof/>
        </w:rPr>
        <w:t>ólagos értékelése / célravezetőségi vizsgálata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A fogyasztóvédelmi és marketingjogra vonatkozó célravezetőségi vizsgálatról szóló jelentés</w:t>
      </w:r>
      <w:r>
        <w:rPr>
          <w:rStyle w:val="FootnoteReference"/>
          <w:noProof/>
        </w:rPr>
        <w:footnoteReference w:id="15"/>
      </w:r>
      <w:r>
        <w:rPr>
          <w:noProof/>
        </w:rPr>
        <w:t xml:space="preserve"> megállapította, hogy megfontolandó a megtévesztő és összehasonlító reklámról szóló irányelv módosítása a vállalkozáso</w:t>
      </w:r>
      <w:r>
        <w:rPr>
          <w:noProof/>
        </w:rPr>
        <w:t>k közötti kapcsolatok tekintetében, és nagymértékben megerősítette a Bizottságnak a szóban forgó irányelv felülvizsgálatára irányuló szándékát bejelentő 2012. évi közleményében</w:t>
      </w:r>
      <w:r>
        <w:rPr>
          <w:rStyle w:val="FootnoteReference"/>
          <w:noProof/>
        </w:rPr>
        <w:footnoteReference w:id="16"/>
      </w:r>
      <w:r>
        <w:rPr>
          <w:noProof/>
        </w:rPr>
        <w:t xml:space="preserve"> szereplő megállapításokat. Az uniós fogyasztóvédelmi irányelvek célzott felülv</w:t>
      </w:r>
      <w:r>
        <w:rPr>
          <w:noProof/>
        </w:rPr>
        <w:t>izsgálatához kapcsolódó bevezető hatásvizsgálat mindazonáltal hangsúlyozta, hogy a célravezetőségi vizsgálat megállapításai inkább tájékoztatásként szolgálnak a platformok és a vállalkozások közötti viszonyokhoz kapcsolódó e kezdeményezéshez, különösen a d</w:t>
      </w:r>
      <w:r>
        <w:rPr>
          <w:noProof/>
        </w:rPr>
        <w:t>igitális egységes piacon belül. Ez a kezdeményezés ezért a fogyasztóvédelmi és marketingjogra vonatkozó legfrissebb célravezetőségi vizsgálat megállapításaira épít.</w:t>
      </w:r>
    </w:p>
    <w:p w:rsidR="00706CB4" w:rsidRDefault="006719AB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Konzultációk az érdekelt felekkel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A Bizottság széles körű konzultációt folytatott a válla</w:t>
      </w:r>
      <w:r>
        <w:rPr>
          <w:noProof/>
        </w:rPr>
        <w:t>lkozások közötti kapcsolatokhoz az online platform környezetben fűződő kérdésekről. Először is, az online platformokról szóló 2016. májusi bizottsági közleményt</w:t>
      </w:r>
      <w:r>
        <w:rPr>
          <w:rStyle w:val="FootnoteReference"/>
          <w:noProof/>
        </w:rPr>
        <w:footnoteReference w:id="17"/>
      </w:r>
      <w:r>
        <w:rPr>
          <w:noProof/>
        </w:rPr>
        <w:t xml:space="preserve"> megelőző, széles körben folytatott konzultáció egyértelműbbé tette a probléma hatókörét, és me</w:t>
      </w:r>
      <w:r>
        <w:rPr>
          <w:noProof/>
        </w:rPr>
        <w:t>gkezdődött az alapos tényfeltárás. Másodszor, számos műhely és különböző felmérésekből álló széles kört érintő konzultáció segítette a problémameghatározást és előzetes szakpolitikai alternatívákat tárt fel. Végül, alapos fókuszcsoportok, műhelyek, egy kér</w:t>
      </w:r>
      <w:r>
        <w:rPr>
          <w:noProof/>
        </w:rPr>
        <w:t>dőív és a tagállamoknak címzett nyílt bemutató támogatta a szakpolitikai alternatívák kialakítását és tesztelését. Az igénybe vett kommunikációs eszközök mellett a Bizottság szolgálata számos érdekelt féllel egyeztetett kétoldalú találkozók keretében.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Az ü</w:t>
      </w:r>
      <w:r>
        <w:rPr>
          <w:noProof/>
        </w:rPr>
        <w:t>zleti felhasználók, különösen a mikro-, kis- és középvállalkozások általánosságban támogatják a jogalkotási folyamatot a hatékony jogorvoslati lehetőségek, a rangsorolási gyakorlatoknak és a legnagyobb kedvezmény záradékainak (árparitás) nagyobb átláthatós</w:t>
      </w:r>
      <w:r>
        <w:rPr>
          <w:noProof/>
        </w:rPr>
        <w:t xml:space="preserve">ága, valamint a listáról való törlés eljárásával kapcsolatos átláthatóság biztosítása érdekében. 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A konzultációban megkérdezett online szolgáltatók többsége egyetért abban, hogy az üzleti felhasználónak nyújtandó magyarázat észszerű jogi kötelezettséget je</w:t>
      </w:r>
      <w:r>
        <w:rPr>
          <w:noProof/>
        </w:rPr>
        <w:t>lent a listáról törlés vagy valamely ajánlat levétele esetében, feltéve, hogy figyelembe veszik az illegális tartalmak törlésére és a nyomozás során tanúsítandó együttműködésre vonatkozó jogi kötelezettségüket. A megkeresett szolgáltatók azzal érveltek, ho</w:t>
      </w:r>
      <w:r>
        <w:rPr>
          <w:noProof/>
        </w:rPr>
        <w:t>gy azért nem látnak többletértéket a külső vitarendezésben, mert bíznak saját belső vitarendezési rendszereikben. Általában véve nem látnak problémát a szerződési feltételek megváltoztatásakor alkalmazandó értesítési határidők megvalósításában, bár nem rés</w:t>
      </w:r>
      <w:r>
        <w:rPr>
          <w:noProof/>
        </w:rPr>
        <w:t>zesítik előnyben a merev értesítési határidőket. A rangsoroláshoz és az adatkezeléshez kapcsolódó átláthatóság tekintetében a szolgáltatók többnyire egyetértenek a viszonylag magas szintű közzététel kötelezettségével, de figyelmeztetnek a „hazardírozás” és</w:t>
      </w:r>
      <w:r>
        <w:rPr>
          <w:noProof/>
        </w:rPr>
        <w:t xml:space="preserve"> a túlságosan átlátható algoritmusokkal való manipulálás veszélyére. A szolgáltatók általában támogatják az onlineplatform-gazdaság nyomon követésének elképzelését, feltéve, hogy ez a nyomon követés teljes mértékben tiszteletben tartja kereskedelmi titkaik</w:t>
      </w:r>
      <w:r>
        <w:rPr>
          <w:noProof/>
        </w:rPr>
        <w:t xml:space="preserve"> megőrzését.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Sok tagállami közigazgatási nemzeti szakértő véli úgy, hogy a szerződési feltételekkel kapcsolatos kérdések kezelése valamennyi vállalkozások közötti online kapcsolatra vonatkozó téma központi eleme. Úgy látják továbbá, hogy az átláthatósági k</w:t>
      </w:r>
      <w:r>
        <w:rPr>
          <w:noProof/>
        </w:rPr>
        <w:t>övetelmény arányossága a szövegezés pontosságától és a szolgáltató méretétől függ. Az értesítési határidőhöz hasonló kérdésekben eltérőek a vélemények attól függően, hogy milyen a nemzeti szintű tapasztalat, és a skála a szabályozás szükségtelenségétől a k</w:t>
      </w:r>
      <w:r>
        <w:rPr>
          <w:noProof/>
        </w:rPr>
        <w:t>ötelezően megállapított értesítési határidők szükségességéig terjed. Néhány nemzeti szakértő úgy véli továbbá, hogy a szerződési feltételeket egyszerűsíteni kell annak érdekében, hogy átláthatóbbak és felhasználóbarátabbak legyenek a vállalkozások számára.</w:t>
      </w:r>
      <w:r>
        <w:rPr>
          <w:noProof/>
        </w:rPr>
        <w:t xml:space="preserve"> A megkeresett nemzeti szakértők támogatják a listáról való törlés indokolására irányuló, átláthatóságra vonatkozó jogi kötelezettséget. Osztják azt az általános álláspontot, miszerint a listáról való törléshez kapcsolódó követelményeket össze kell hangoln</w:t>
      </w:r>
      <w:r>
        <w:rPr>
          <w:noProof/>
        </w:rPr>
        <w:t>i az illegális tartalmakra vonatkozó, valamint a bejelentési-cselekvési eljárásokkal. A rangsorolási kritériumokra vonatkozó átláthatósági követelményt általánosan arányosnak és jogszerűnek minősítik. A rangsorolási kérdésekben nagyobb tapasztalattal rende</w:t>
      </w:r>
      <w:r>
        <w:rPr>
          <w:noProof/>
        </w:rPr>
        <w:t>lkező szakértők támogatják az olyan intézkedéseket, amelyek gyorsan megoldanák a felmerülő problémákat, bár néhányan úgy vélik, hogy a kereskedelmi és versenyjogra kell bízni ezt a kérdést. Általános egyetértés alakult ki abban, hogy előnyben részesítik i.</w:t>
      </w:r>
      <w:r>
        <w:rPr>
          <w:noProof/>
        </w:rPr>
        <w:t xml:space="preserve"> a rangsorolási gyakorlatokat általánosan fedő átláthatósági kötelezettséget, és ii. tovább kell munkálkodni a rangsorolás helyes gyakorlatainak azonosításán. Az adatokkal kapcsolatban a hátrányos megkülönböztetés területén és a legnagyobb kedvezmény terül</w:t>
      </w:r>
      <w:r>
        <w:rPr>
          <w:noProof/>
        </w:rPr>
        <w:t>etén tevékenykedő szakértők figyelmeztettek a további reflexiók szükségességére. A szakértők mindazonáltal teljesen egyetértenek a jogorvoslat fontosságában. Felmerült némi aggodalom a tekintetben, hogy a belső panaszkezelési rendszerek megterhelők lehetne</w:t>
      </w:r>
      <w:r>
        <w:rPr>
          <w:noProof/>
        </w:rPr>
        <w:t xml:space="preserve">k a kis- és középvállalkozások (kkv-k) számára. Néhány nemzeti szakértő a meglévő helyes gyakorlatok támogatását részesíti előnyben (esetlegesen valamely önszabályozó intézkedés részeként). A nemzeti hatóságokat képviselő szakértők egységesen elismerték a </w:t>
      </w:r>
      <w:r>
        <w:rPr>
          <w:noProof/>
        </w:rPr>
        <w:t>nyomonkövetési gyakorlatra vonatkozó érdeket. Mindazonáltal általában ellenzik egy ebből a célból felállítandó új szerv vagy európai ügynökség létrehozatalát.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A megkeresett különböző érdekelt felekből álló csoportok álláspontjában kialakult közös vonásokat</w:t>
      </w:r>
      <w:r>
        <w:rPr>
          <w:noProof/>
        </w:rPr>
        <w:t xml:space="preserve"> tükrözi e kezdeményezés célzott és társszabályozó jellege, amelynek alapja az átláthatósági és jogorvoslati intézkedések kombinációja a párhuzamosan felállítandó szakértői csoport általi fokozott nyomon követéssel. </w:t>
      </w:r>
    </w:p>
    <w:p w:rsidR="00706CB4" w:rsidRDefault="006719AB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Szakértői vélemények beszerzése és fe</w:t>
      </w:r>
      <w:r>
        <w:rPr>
          <w:noProof/>
        </w:rPr>
        <w:t>lhasználása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Cs w:val="24"/>
        </w:rPr>
      </w:pPr>
      <w:r>
        <w:rPr>
          <w:noProof/>
        </w:rPr>
        <w:t>2015 és 2017 között a Bizottság vagy külső szerződéses partnerei számos felmérést végeztek, egy nyilvános konzultációt szerveztek és különböző tanulmányokat készítettek el. A belső gazdasági kutatómunka és a Közös Kutatóközpont szakpolitikai ki</w:t>
      </w:r>
      <w:r>
        <w:rPr>
          <w:noProof/>
        </w:rPr>
        <w:t>alakítására vonatkozó támogatása tovább segítette a jelen kezdeményezés alapjául szolgáló hatásvizsgálatot. A tagállamokat megkeresték továbbá online konzultáció keretében, amelynek eredményeit beépítették az ezen kezdeményezéshez rendelt e-kereskedelmi sz</w:t>
      </w:r>
      <w:r>
        <w:rPr>
          <w:noProof/>
        </w:rPr>
        <w:t>akértői munkacsoport ülésének munkájába. A Bizottság végül számos szemináriumot szervezett tudományos szakértők részvétele mellett, akik álláspontjukkal hozzájárultak a probléma felvázolásához és a bizonyítékgyűjtési stratégiához.</w:t>
      </w:r>
    </w:p>
    <w:p w:rsidR="00706CB4" w:rsidRDefault="006719AB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Hatásvizsgálat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E </w:t>
      </w:r>
      <w:r>
        <w:rPr>
          <w:noProof/>
        </w:rPr>
        <w:t xml:space="preserve">javaslat hatásvizsgálaton alapul. A Szabályozói Ellenőrzési Testület 2017. december 1-jén először negatív véleményt bocsátott ki az e hatásvizsgálat átfogó véleményezése mellett. A hatásvizsgálat jelentős felülvizsgálatát követően a Testület 2018. március </w:t>
      </w:r>
      <w:r>
        <w:rPr>
          <w:noProof/>
        </w:rPr>
        <w:t xml:space="preserve">22-én végül pozitív véleményt adott ki, fenntartásokkal. Az e javaslatot kísérő bizottsági szolgálati munkadokumentum 1. melléklete tartalmazza a Testület véleményét, ajánlásait és annak ismertetését, hogy az ajánlások miként kerültek figyelembevételre. A </w:t>
      </w:r>
      <w:r>
        <w:rPr>
          <w:noProof/>
        </w:rPr>
        <w:t>4. melléklete áttekintést nyújt arra vonatkozóan, hogy ez a javaslat kit és hogyan fog érinteni.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A Bizottság különböző szakpolitikai alternatívákat vizsgált a tekintetben, hogy hogyan lehet megvalósítani e kezdeményezés általános célkitűzését, amely nem má</w:t>
      </w:r>
      <w:r>
        <w:rPr>
          <w:noProof/>
        </w:rPr>
        <w:t xml:space="preserve">s, mint tisztességes, kiszámítható, fenntartható és megbízható üzleti környezet megteremtése, megőrizve és továbbfejlesztve az uniós online platformok innovációvezérelt ökoszisztémáját EU-szerte. Egy ilyen környezetben a kereskedők számára garantálni kell </w:t>
      </w:r>
      <w:r>
        <w:rPr>
          <w:noProof/>
        </w:rPr>
        <w:t>a tisztességtelen kereskedelmi gyakorlatokból származó károk elleni szükséges biztosítékokat, és lehetővé kell tenni számukra, hogy szükség szerint hatékony jogorvoslatot vehessenek igénybe. E kezdeményezés hivatott a szabályozási széttagolódás megelőzésér</w:t>
      </w:r>
      <w:r>
        <w:rPr>
          <w:noProof/>
        </w:rPr>
        <w:t>e és kezelésére is az Unióban. Az üzleti felhasználókat érintő jogbiztonság és kiszámíthatóság biztosításához szükséges előnyben részesített társszabályozási kialakításon belül az online szolgáltatók innovációs lehetőségeinek biztosítása mellett végül négy</w:t>
      </w:r>
      <w:r>
        <w:rPr>
          <w:noProof/>
        </w:rPr>
        <w:t xml:space="preserve"> szakpolitikai alternatívát tartottak fenn. E szakpolitikai alternatívák mindegyike viszonylag magas szintű, alapelvekre épülő jogi átláthatóságot és a szolgáltatókat terhelő jogorvoslati kötelezettségeket irányoz elő, az általuk érintett, potenciálisan ká</w:t>
      </w:r>
      <w:r>
        <w:rPr>
          <w:noProof/>
        </w:rPr>
        <w:t>ros kereskedelmi gyakorlatok hatóköre tekintetében azonban eltérnek egymástól. A négy megtartott alternatíva közül továbbá kettő kiterjesztette a rangsorolás átláthatóságára vonatkozó jogi kötelezettséget az online általános keresőprogramok működtetői teki</w:t>
      </w:r>
      <w:r>
        <w:rPr>
          <w:noProof/>
        </w:rPr>
        <w:t>ntetében annak érdekében, hogy maximalizálja a hatékonyságot és egyenlő bánásmódot biztosítson. E két utóbbi alternatíva közül végül az egyik olyan egységes, átfogóbb kötelezettséget tartalmazott a szolgáltatók számára, amely szerint lehetővé kell tenni az</w:t>
      </w:r>
      <w:r>
        <w:rPr>
          <w:noProof/>
        </w:rPr>
        <w:t xml:space="preserve"> üzleti felhasználóknak, hogy az általános adatvédelmi rendelettel</w:t>
      </w:r>
      <w:r>
        <w:rPr>
          <w:rStyle w:val="FootnoteReference"/>
          <w:noProof/>
        </w:rPr>
        <w:footnoteReference w:id="18"/>
      </w:r>
      <w:r>
        <w:rPr>
          <w:noProof/>
        </w:rPr>
        <w:t xml:space="preserve"> összhangban az ügyfelek egyetértését kérjék ahhoz, hogy a szolgáltatás igénybevételével megvalósuló ügylet befejezését követően rögzíthessék és kezelhessék e-mail-címeiket. 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A potenciálisa</w:t>
      </w:r>
      <w:r>
        <w:rPr>
          <w:noProof/>
        </w:rPr>
        <w:t>n káros kereskedelmi gyakorlatok korlátozottabb számára átláthatóságra vonatkozó jogi kötelezettséget előirányzó szakpolitikai alternatívát korlátozottan tartották hatékonynak. Míg a jogi átláthatóság és a jogorvoslati intézkedések révén fokozza a jogbizto</w:t>
      </w:r>
      <w:r>
        <w:rPr>
          <w:noProof/>
        </w:rPr>
        <w:t>nságot, fontos, hogy fennmaradna az üzleteket érintő közvetlen kár és a széttagolódás veszélye, mivel úgy ítélték meg, hogy néhány nagyhatású kereskedelmi gyakorlat (rangsorolás, adatkezelés, hátrányos megkülönböztetés, legnagyobb kedvezmények) aligha keze</w:t>
      </w:r>
      <w:r>
        <w:rPr>
          <w:noProof/>
        </w:rPr>
        <w:t>lhető megfelelően önszabályozással.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A potenciálisan káros kereskedelmi gyakorlatok teljes spektruma tekintetében átláthatóságra vonatkozó jogi kötelezettséget előirányzó további három, a jelen kezdeményezés részeként azonosított szakpolitikai alternatívát </w:t>
      </w:r>
      <w:r>
        <w:rPr>
          <w:noProof/>
        </w:rPr>
        <w:t>mindenki hatékonynak találta. A rangsorolást érintő átláthatóságra vonatkozó különös jogi kötelezettség alkalmazási körének online általános keresőprogramok működtetőire való kiterjesztése tűnt e tekintetben megfelelőnek a viszonylag legnagyobb szintű haté</w:t>
      </w:r>
      <w:r>
        <w:rPr>
          <w:noProof/>
        </w:rPr>
        <w:t>konyság eléréséhez. Az egységes, átfogóbb adatmegosztási kötelezettséget magában foglaló alternatíva ugyanakkor aránytalannak bizonyult, egyrészt az onlineplatform-gazdaság innovációs lehetőségeinek fenntartására irányuló különös célkitűzés miatt, másrészt</w:t>
      </w:r>
      <w:r>
        <w:rPr>
          <w:noProof/>
        </w:rPr>
        <w:t xml:space="preserve"> azon párhuzamosan ismertetett nem jogalkotási jellegű intézkedések fényében, amelyek a tisztességes vállalkozások közötti adatmegosztási politikák ösztönzését célozzák. Ezen túlmenően a fennmaradó szakpolitikai alternatíva értelmében az átláthatóságra von</w:t>
      </w:r>
      <w:r>
        <w:rPr>
          <w:noProof/>
        </w:rPr>
        <w:t>atkozó jogi kötelezettségeket az online platformok kereskedelmi gyakorlataira vonatkozó fokozott külső ellenőrzés kíséri, amely fontos tényezője az üzleti felhasználók számára biztosítandó tisztességes és kiszámítható környezet ösztönzésének.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Az optimális </w:t>
      </w:r>
      <w:r>
        <w:rPr>
          <w:noProof/>
        </w:rPr>
        <w:t>szakpolitikai választás ezért a jelen kezdeményezés részeként azonosított potenciálisan káros kereskedelmi gyakorlatok mindegyikére jogilag kötelező átláthatósági és jogorvoslati kötelezettség előírása, ideértve az online általános keresés során való rangs</w:t>
      </w:r>
      <w:r>
        <w:rPr>
          <w:noProof/>
        </w:rPr>
        <w:t>orolás kérdését is (amelyre az arányosság biztosítása érdekében csupán a közös jogorvoslati végrehajtási rendelkezés lenne alkalmazandó, és nem e rendeletjavaslat egyéb jogorvoslati rendelkezései). Az egységes piac onlineplatform-gazdaságban rejlő lehetősé</w:t>
      </w:r>
      <w:r>
        <w:rPr>
          <w:noProof/>
        </w:rPr>
        <w:t>gének biztosítása mellett a javaslat várhatóan alkalmas lesz az onlineplatform-gazdaságra gyakorolt azon tompító hatás visszafordítására, amely annak eredménye, hogy az üzleti felhasználók bizalmatlansága legalább 0,81 milliárd és 4,05 milliárd eurót jelen</w:t>
      </w:r>
      <w:r>
        <w:rPr>
          <w:noProof/>
        </w:rPr>
        <w:t xml:space="preserve">t. Ezen túlmenően pozitív szociális hatása is lesz, mivel a rendeletre irányuló javaslat növeli az online közvetítő szolgáltatásokat használó uniós vállalkozások forgalmát, amely várhatóan további foglalkoztatási lehetőségeket von maga után. 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Jóllehet az e</w:t>
      </w:r>
      <w:r>
        <w:rPr>
          <w:noProof/>
        </w:rPr>
        <w:t xml:space="preserve">lvileg a kezdeményezés hatálya alá tartozó különböző szolgáltatók egyik fajtáját jelentő e-kereskedelmi piacterekhez kapcsolódhat az üzleti felhasználók által a fogyasztóknak értékesített áruk fizikai kiszállítása, az ilyen fajta szolgáltatások számának a </w:t>
      </w:r>
      <w:r>
        <w:rPr>
          <w:noProof/>
        </w:rPr>
        <w:t>javaslatot követő növekedése várhatóan nem lesz jelentős hátrányos hatással a környezetre. A javaslathoz kapcsolódó megfelelőségi költségek valószínűleg korlátozottak maradnak, és főleg az online közvetítő szolgáltatókat és az online keresőprogramokat műkö</w:t>
      </w:r>
      <w:r>
        <w:rPr>
          <w:noProof/>
        </w:rPr>
        <w:t xml:space="preserve">dtetőket fogják érinteni. A belső panaszkezelési rendszer létrehozatalára vonatkozó javasolt kötelezettség rója a szolgáltatókra a viszonylag legmagasabb költségterhet, a kisebb szolgáltatók vélhetően csak bizonyos mértékű költséggel szembesülnek. Ezért a </w:t>
      </w:r>
      <w:r>
        <w:rPr>
          <w:noProof/>
        </w:rPr>
        <w:t>kkv-król szóló 2003-as bizottsági ajánlás</w:t>
      </w:r>
      <w:r>
        <w:rPr>
          <w:rStyle w:val="FootnoteReference"/>
          <w:noProof/>
        </w:rPr>
        <w:footnoteReference w:id="19"/>
      </w:r>
      <w:r>
        <w:rPr>
          <w:noProof/>
        </w:rPr>
        <w:t xml:space="preserve"> értelmében vett kisvállalkozók mentesülnek e konkrét rendelkezés hatálya alól. A javaslat tehát arányosnak is bizonyult.</w:t>
      </w:r>
      <w:r>
        <w:rPr>
          <w:noProof/>
          <w:color w:val="000000"/>
        </w:rPr>
        <w:t xml:space="preserve"> </w:t>
      </w:r>
    </w:p>
    <w:p w:rsidR="00706CB4" w:rsidRDefault="006719AB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Célravezető szabályozás és egyszerűsítés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A fentieknek megfelelően a kisvállalkozások előn</w:t>
      </w:r>
      <w:r>
        <w:rPr>
          <w:noProof/>
        </w:rPr>
        <w:t>yére szolgál, hogy célzottan mentesülnek azon megvalósítandó kötelezettség alól, hogy belső panaszkezelési rendszert működtessenek. A javaslat különösen az online közvetítő szolgáltatások fenntartható növekedésének előmozdítását célozza, és teljes mértékbe</w:t>
      </w:r>
      <w:r>
        <w:rPr>
          <w:noProof/>
        </w:rPr>
        <w:t xml:space="preserve">n technológia-semleges módon került kialakításra. </w:t>
      </w:r>
    </w:p>
    <w:p w:rsidR="00706CB4" w:rsidRDefault="006719AB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Alapjogok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Az Unió elkötelezett az alapjogok magas szintű biztosítása mellett. A gyors és hatékony jogorvoslat üzleti felhasználók részére való biztosításának különös célja előmozdítja az üzleti felhaszná</w:t>
      </w:r>
      <w:r>
        <w:rPr>
          <w:noProof/>
        </w:rPr>
        <w:t xml:space="preserve">lók hatékony jogorvoslathoz és tisztességes eljáráshoz való jogának biztosítását (az Európai Unió Alapjogi Chartájának 47. cikke), amennyiben magával vonja a bírósági út igénybevételének fokozott hozzáférhetőségét. 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A jelen javaslat által létrehozni kívánt</w:t>
      </w:r>
      <w:r>
        <w:rPr>
          <w:noProof/>
        </w:rPr>
        <w:t xml:space="preserve"> tisztességes, kiszámítható, fenntartható és megbízható online üzleti környezet ezen túlmenően hozzájárul a vállalkozás szabadsága (az Európai Unió Alapjogi Chartájának 16. cikke) tekintetében a szolgáltatókat és üzleti felhasználóikat megillető megfelelő </w:t>
      </w:r>
      <w:r>
        <w:rPr>
          <w:noProof/>
        </w:rPr>
        <w:t>szabadságok közötti megfelelő egyensúly biztosításához. A rendeletre irányuló javaslatban bemutatott átláthatósági intézkedések különösen előfeltételét jelentik az arra vonatkozó ellenőrzésnek, hogy nem korlátozódik-e jogellenesen a vállalkozás szabadságán</w:t>
      </w:r>
      <w:r>
        <w:rPr>
          <w:noProof/>
        </w:rPr>
        <w:t>ak alapjoga, amennyiben a gyengébb fél vállalkozások közötti kapcsolatokban érintett.</w:t>
      </w:r>
    </w:p>
    <w:p w:rsidR="00706CB4" w:rsidRDefault="006719AB">
      <w:pPr>
        <w:pStyle w:val="ManualHeading1"/>
        <w:rPr>
          <w:noProof/>
        </w:rPr>
      </w:pPr>
      <w:r>
        <w:rPr>
          <w:noProof/>
        </w:rPr>
        <w:t>4.</w:t>
      </w:r>
      <w:r>
        <w:rPr>
          <w:noProof/>
        </w:rPr>
        <w:tab/>
        <w:t>KÖLTSÉGVETÉSI VONZATOK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A javaslatnak nincsenek az EU költségvetését érintő vonzatai.</w:t>
      </w:r>
    </w:p>
    <w:p w:rsidR="00706CB4" w:rsidRDefault="006719AB">
      <w:pPr>
        <w:pStyle w:val="ManualHeading1"/>
        <w:rPr>
          <w:noProof/>
        </w:rPr>
      </w:pPr>
      <w:r>
        <w:rPr>
          <w:noProof/>
        </w:rPr>
        <w:t>5.</w:t>
      </w:r>
      <w:r>
        <w:rPr>
          <w:noProof/>
        </w:rPr>
        <w:tab/>
        <w:t>EGYÉB ELEMEK</w:t>
      </w:r>
    </w:p>
    <w:p w:rsidR="00706CB4" w:rsidRDefault="006719AB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 xml:space="preserve">Végrehajtási tervek, valamint a nyomon követés, az értékelés és </w:t>
      </w:r>
      <w:r>
        <w:rPr>
          <w:noProof/>
        </w:rPr>
        <w:t>a jelentéstétel szabályai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A hatások értékelésének nyomon követése fontos részét alkotja a javasolt beavatkozásnak ezen a területen, mivel az onlineplatform-gazdaság továbbra is a gazdaság egyik dinamikus, gyorsan fejlődő területe. A nyomon követést ezért k</w:t>
      </w:r>
      <w:r>
        <w:rPr>
          <w:noProof/>
        </w:rPr>
        <w:t>ét stratégiai részre osztották: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Az egyik részért egy kijelölt szakértői csoport felel, amely egy bizottsági tisztviselői csoporttal kiegészülve az EU onlineplatform-gazdasági megfigyelőközpontját alkotja. A C(2018)2393 bizottsági határozat szerint a szakér</w:t>
      </w:r>
      <w:r>
        <w:rPr>
          <w:noProof/>
        </w:rPr>
        <w:t>tői csoport tanácsokkal és szakértői elemzésekkel segíti az onlineplatform-gazdaság fejlődését különösen az algoritmusos döntéshozatal, az adatokhoz való hozzáférés, az online bemutatott tartalmak díjazása, az online reklámmal összefüggésben a vállalkozáso</w:t>
      </w:r>
      <w:r>
        <w:rPr>
          <w:noProof/>
        </w:rPr>
        <w:t>k közöttikapcsolatok átláthatósága és elszámoltathatósága, valamint azon megkülönböztetett bánásmód és korlátozások tekintetében, amelyek a más forgalmazási csatornák használatával eltérő feltételeket kínáló üzleti felhasználókra vonatkoznak. A szakértői c</w:t>
      </w:r>
      <w:r>
        <w:rPr>
          <w:noProof/>
        </w:rPr>
        <w:t xml:space="preserve">soport továbbá kapcsolatot teremt más releváns szakértői csoportokkal és adott esetben az EU, valamint a tagállamok által létrehozott egyéb kiválósági központokkal is. 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A másik rész a rendeletjavaslat szabályozási és önszabályozási elemeihez kapcsolódó hat</w:t>
      </w:r>
      <w:r>
        <w:rPr>
          <w:noProof/>
        </w:rPr>
        <w:t>ások értékelésének speciális nyomon követése.</w:t>
      </w:r>
    </w:p>
    <w:p w:rsidR="00706CB4" w:rsidRDefault="006719AB">
      <w:pPr>
        <w:rPr>
          <w:noProof/>
        </w:rPr>
      </w:pPr>
      <w:r>
        <w:rPr>
          <w:noProof/>
        </w:rPr>
        <w:t>A Bizottság – az onlineplatform-gazdasági megfigyelőközpont segítségével és a szakértői csoport munkája alapján – nyomon követi az onlineplatform-gazdaság piaci mutatóit. Ez az elemzés a következőkhöz hasonló a</w:t>
      </w:r>
      <w:r>
        <w:rPr>
          <w:noProof/>
        </w:rPr>
        <w:t>datokat tartalmazza: az online közvetítő szolgáltatásokat használó vállalkozások száma és típusa, a belső és külső jogorvoslati lehetőségek útján kezelt panaszok száma és fajtája, az eredményesen zárult ügyek száma, az ügy megoldásához szükséges időtartam,</w:t>
      </w:r>
      <w:r>
        <w:rPr>
          <w:noProof/>
        </w:rPr>
        <w:t xml:space="preserve"> a székhely, az EU-ban kereskedő szolgáltatók mérete, ideértve az uniós piacon online közvetítőként megvalósított forgalmat. Az uniós megfigyelőközpont tevékenységének megkezdésétől számított két éven belül a Bizottság szolgálatai jelentést készítenek a me</w:t>
      </w:r>
      <w:r>
        <w:rPr>
          <w:noProof/>
        </w:rPr>
        <w:t>gfigyelőközpont működése, az aktuális helyzet felmérése, a szakpolitikai célkitűzések megvalósítása és a megoldatlan kérdések terén tett előrelépések alapján.</w:t>
      </w:r>
    </w:p>
    <w:p w:rsidR="00706CB4" w:rsidRDefault="006719AB">
      <w:pPr>
        <w:rPr>
          <w:rFonts w:eastAsia="Arial Unicode MS"/>
          <w:noProof/>
        </w:rPr>
      </w:pPr>
      <w:r>
        <w:rPr>
          <w:noProof/>
        </w:rPr>
        <w:t>A szolgálatok meghatározott mutatók segítségével nyomon fogják követni a javaslat hatékonyságát é</w:t>
      </w:r>
      <w:r>
        <w:rPr>
          <w:noProof/>
        </w:rPr>
        <w:t>s eredményességét, hogy képet kapjanak a szakpolitikai fejlődésről a potenciálisan káros kereskedelmi gyakorlatok változásai tekintetében. Következésképpen a beavatkozás hatását egy értékelés keretében fogják felmérni, és e felmérés eredményét – amennyiben</w:t>
      </w:r>
      <w:r>
        <w:rPr>
          <w:noProof/>
        </w:rPr>
        <w:t xml:space="preserve"> szükséges – a felülvizsgálati záradékban meghatározottak szerint be fogják építeni a javasolt rendelet felülvizsgálatába, amelyre a hatálybalépést követő három év elteltével és azt követően háromévente kerül sor.</w:t>
      </w:r>
    </w:p>
    <w:p w:rsidR="00706CB4" w:rsidRDefault="006719AB"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A javaslat egyes rendelkezéseinek részle</w:t>
      </w:r>
      <w:r>
        <w:rPr>
          <w:noProof/>
        </w:rPr>
        <w:t>tes magyarázata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 xml:space="preserve">Az 1. cikk megállapítja a javasolt rendelet tárgyát és hatályát. Meghatározza az online közvetítő szolgáltatók – és bizonyos tekintetben az online keresőprogramok – arra irányuló kötelezettségét, hogy megfelelő átláthatóságot biztosítsanak </w:t>
      </w:r>
      <w:r>
        <w:rPr>
          <w:noProof/>
          <w:sz w:val="23"/>
        </w:rPr>
        <w:t>az üzleti felhasználók, illetve a kereskedelmiweboldal-használók részére, és hogy meghatározott jogorvoslati lehetőségeket kínáljanak számukra. Kifejti továbbá a javasolt rendelet területi hatályát, amely tükrözi a releváns online szolgáltatások eleve hatá</w:t>
      </w:r>
      <w:r>
        <w:rPr>
          <w:noProof/>
          <w:sz w:val="23"/>
        </w:rPr>
        <w:t>rokon átnyúló jellegét, amelynek keretében a nem az Unióban létrehozott szolgáltatók közvetítik az Unióban felmerülő tevékenységeket és ügyleteket.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>A 2. cikk az alkalmazandó jogi fogalommeghatározásokat tartalmazza.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>A 3. cikk megállapítja az online közvetí</w:t>
      </w:r>
      <w:r>
        <w:rPr>
          <w:noProof/>
          <w:sz w:val="23"/>
        </w:rPr>
        <w:t>tő szolgáltatók által használt, előre meghatározott általános szerződési feltételek egyértelműségére, hozzáférhetőségére és módosításaira vonatkozó követelményeket.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>A 4. cikk megállapítja az online közvetítő szolgáltató indokolási kötelezettségét, ha felfü</w:t>
      </w:r>
      <w:r>
        <w:rPr>
          <w:noProof/>
          <w:sz w:val="23"/>
        </w:rPr>
        <w:t xml:space="preserve">ggeszti vagy megszünteti közvetítő szolgáltatásának valamely üzleti felhasználó általi használatát. 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>Az 5. cikk megállapítja az üzleti felhasználók keresési eredményekben való rangsorolását meghatározó fő paraméterek online közvetítő szolgáltatók által alk</w:t>
      </w:r>
      <w:r>
        <w:rPr>
          <w:noProof/>
          <w:sz w:val="23"/>
        </w:rPr>
        <w:t xml:space="preserve">almazott szerződési feltételek közötti megjelenítésére vonatkozó követelményeket, ideértve annak megjelenítését is, amikor az üzleti felhasználó közvetlen vagy közvetett díjfizetése befolyásolja a rangsorolást. </w:t>
      </w:r>
      <w:r>
        <w:rPr>
          <w:noProof/>
        </w:rPr>
        <w:t>A cikk hasonló követelményt hoz létre a tekin</w:t>
      </w:r>
      <w:r>
        <w:rPr>
          <w:noProof/>
        </w:rPr>
        <w:t>tetben, hogy könnyen hozzáférhető és nyilvános megjelenítési eszközökkel rendelkezésre kell bocsátani az online keresőprogramok szolgáltatóira vonatkozó rangsorolást meghatározó fő paramétereket.</w:t>
      </w:r>
      <w:r>
        <w:rPr>
          <w:noProof/>
          <w:sz w:val="23"/>
        </w:rPr>
        <w:t xml:space="preserve"> Előírja továbbá, hogy a rangsorolást meghatározó fő paraméte</w:t>
      </w:r>
      <w:r>
        <w:rPr>
          <w:noProof/>
          <w:sz w:val="23"/>
        </w:rPr>
        <w:t>reknek kellőképpen érthetővé kell tenniük az érintett üzleti felhasználók vagy kereskedelmiweboldal-használók számára a kínált áruk és szolgáltatások jellemzői, e jellemzők fogyasztói relevanciája, valamint az online keresőprogramokkal kapcsolatban használ</w:t>
      </w:r>
      <w:r>
        <w:rPr>
          <w:noProof/>
          <w:sz w:val="23"/>
        </w:rPr>
        <w:t>t weboldalak kialakítási jellemzői következtében jelentkező hatásokat.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>A 6. cikk megállapítja azt a követelményt, hogy az online közvetítő szolgáltatók által alkalmazott szerződési feltételek között szerepeltetni kell az online közvetítő szolgáltatás nyújt</w:t>
      </w:r>
      <w:r>
        <w:rPr>
          <w:noProof/>
          <w:sz w:val="23"/>
        </w:rPr>
        <w:t xml:space="preserve">ója vagy az irányítása alatt álló üzleti felhasználók által kínált árukkal és szolgáltatásokkal kapcsolatos megkülönböztetett bánásmód leírását. 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>A 7. cikk megállapítja azt a követelményt, hogy az online közvetítő szolgáltatók által alkalmazott általános s</w:t>
      </w:r>
      <w:r>
        <w:rPr>
          <w:noProof/>
          <w:sz w:val="23"/>
        </w:rPr>
        <w:t>zerződési feltételek között szerepeltetni kell azon személyes adatokhoz vagy más adatokhoz való hozzáférés leírását, amelyeket az üzleti felhasználók vagy fogyasztók bocsátanak az online közvetítő szolgáltatók rendelkezésére, vagy amelyeket e szolgáltatáso</w:t>
      </w:r>
      <w:r>
        <w:rPr>
          <w:noProof/>
          <w:sz w:val="23"/>
        </w:rPr>
        <w:t xml:space="preserve">k generálnak. 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>A 8. cikk megállapítja azt a követelményt, hogy az online közvetítő szolgáltatók által alkalmazott szerződési feltételek között szerepeltetni kell és közzé kell tenni annak indokait, ha az üzleti felhasználók lehetőségét korlátozzák a tekint</w:t>
      </w:r>
      <w:r>
        <w:rPr>
          <w:noProof/>
          <w:sz w:val="23"/>
        </w:rPr>
        <w:t xml:space="preserve">etben, hogy a fogyasztóknak különböző feltételeket ajánlanak az online közvetítő szolgáltatástól eltérő egyéb eszközökön keresztüli áruvásárlás vagy szolgáltatás-igénybevétel tekintetében. 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>A 9. cikk megállapítja azt a követelményt, hogy az online közvetít</w:t>
      </w:r>
      <w:r>
        <w:rPr>
          <w:noProof/>
          <w:sz w:val="23"/>
        </w:rPr>
        <w:t>ő szolgáltatónak biztosítania kell egy belső rendszert üzleti felhasználói panaszainak kezelésére az ilyen panaszok kezelésére vonatkozó követelményekkel együtt, ideérte annak kötelezettségét, hogy a panaszokkal megfelelő gyorsasággal és hatékonysággal fog</w:t>
      </w:r>
      <w:r>
        <w:rPr>
          <w:noProof/>
          <w:sz w:val="23"/>
        </w:rPr>
        <w:t xml:space="preserve">lalkozzanak, és az eredményt egyértelműen és kétséget kizáró módon közöljék az üzleti felhasználóval. Megállapítja továbbá azt a követelményt, hogy a szerződési feltételek között szerepeltetni kell bizonyos információkat a belső panaszkezelési rendszerrel </w:t>
      </w:r>
      <w:r>
        <w:rPr>
          <w:noProof/>
          <w:sz w:val="23"/>
        </w:rPr>
        <w:t xml:space="preserve">kapcsolatban. Kitér továbbá az online közvetítő szolgáltató azon kötelezettségére, hogy jelentéseket tegyen közzé a benyújtott panaszok számáról, a panaszok tárgyáról, a panaszkezeléshez szükséges időtartamokról és a panaszokkal kapcsolatos döntésről. 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>A 1</w:t>
      </w:r>
      <w:r>
        <w:rPr>
          <w:noProof/>
          <w:sz w:val="23"/>
        </w:rPr>
        <w:t>0. cikk megállapítja azt a követelményt, hogy az online közvetítő szolgáltatónak szerződési feltételei között fel kell sorolnia egy vagy több olyan közvetítőt, akikkel a szolgáltató hajlandó bíróságon kívül rendezni egy vitás ügyet, például amikor a (9. ci</w:t>
      </w:r>
      <w:r>
        <w:rPr>
          <w:noProof/>
          <w:sz w:val="23"/>
        </w:rPr>
        <w:t>kk szerint létrehozott) belső panaszkezelési rendszerben nem sikerül megoldani valamely kérdést. Megállapítja továbbá a közvetítők bizonyos kötelezettségeit, ideértve a pártatlanságot, az elérhetőséget, a kompetenciát és a forrásokat, valamint az online kö</w:t>
      </w:r>
      <w:r>
        <w:rPr>
          <w:noProof/>
          <w:sz w:val="23"/>
        </w:rPr>
        <w:t xml:space="preserve">zvetítő szolgáltató közvetítésben való jóhiszemű részvételre irányuló kötelezettségét. A cikkben szereplő követelmények nem érintik egyik fél bíróság előtti eljárásindításhoz való jogát sem. 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 xml:space="preserve">A 11. cikk megállapítja azt a követelményt a Bizottság számára, </w:t>
      </w:r>
      <w:r>
        <w:rPr>
          <w:noProof/>
          <w:sz w:val="23"/>
        </w:rPr>
        <w:t>hogy az online közvetítő szolgáltatókat ösztönözze önállóan vagy közösen egy vagy több független közvetítői szervezet felállítására az online közvetítő szolgáltatások során felmerülő viták bíróságon kívüli rendezésének előmozdítására, különös tekintettel h</w:t>
      </w:r>
      <w:r>
        <w:rPr>
          <w:noProof/>
          <w:sz w:val="23"/>
        </w:rPr>
        <w:t xml:space="preserve">atárokon átnyúló jellegükre. 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>A 12. cikk megállapítja, hogy képviseleti szerveknek, egyesületeknek vagy közjogi szerveknek jogában áll bíróság előtti eljárást indítani annak érdekében, hogy megakadályozzák vagy az online közvetítő szolgáltatók számára megt</w:t>
      </w:r>
      <w:r>
        <w:rPr>
          <w:noProof/>
          <w:sz w:val="23"/>
        </w:rPr>
        <w:t>iltsák a rendelet rendelkezéseiben szereplő követelményeknek való meg nem felelést. Előírja továbbá bizonyos követelmények teljesítését a képviseleti szervek és egyesületek számára, ilyen például a non-profit jelleg, az adott tagállam joga szerinti jogi sz</w:t>
      </w:r>
      <w:r>
        <w:rPr>
          <w:noProof/>
          <w:sz w:val="23"/>
        </w:rPr>
        <w:t xml:space="preserve">emélyiséggel rendelkezés, és olyan célok követése, amelyek az általuk képviselt üzleti felhasználók közös érdekeit szolgálják. 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 xml:space="preserve">A 13. cikk megállapítja azt a követelményt a Bizottság számára, hogy ösztönözze az online közvetítő szolgáltatókat és az online </w:t>
      </w:r>
      <w:r>
        <w:rPr>
          <w:noProof/>
          <w:sz w:val="23"/>
        </w:rPr>
        <w:t xml:space="preserve">keresőprogramok szolgáltatóit, valamint az azokat képviselő szervezeteket és egyesületeket magatartási kódexek létrehozatalára. 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>A 14. cikk megállapítja azt a követelményt a Bizottság számára, hogy rendszeresen értékelje a rendeletet, először a rendelet ha</w:t>
      </w:r>
      <w:r>
        <w:rPr>
          <w:noProof/>
          <w:sz w:val="23"/>
        </w:rPr>
        <w:t xml:space="preserve">tálybalépését követő három év elteltével. </w:t>
      </w:r>
    </w:p>
    <w:p w:rsidR="00706CB4" w:rsidRDefault="006719AB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  <w:sz w:val="23"/>
          <w:szCs w:val="23"/>
        </w:rPr>
      </w:pPr>
      <w:r>
        <w:rPr>
          <w:noProof/>
          <w:sz w:val="23"/>
        </w:rPr>
        <w:t>A 15. cikk megállapítja, hogy a rendelet hat hónappal a közzétételt követően alkalmazandó.</w:t>
      </w:r>
    </w:p>
    <w:p w:rsidR="00706CB4" w:rsidRDefault="00706CB4"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  <w:sectPr w:rsidR="00706CB4">
          <w:footerReference w:type="default" r:id="rId20"/>
          <w:footerReference w:type="first" r:id="rId21"/>
          <w:footnotePr>
            <w:numRestart w:val="eachSect"/>
          </w:footnotePr>
          <w:pgSz w:w="11907" w:h="16839"/>
          <w:pgMar w:top="1134" w:right="1417" w:bottom="1134" w:left="1417" w:header="709" w:footer="709" w:gutter="0"/>
          <w:pgNumType w:start="1"/>
          <w:cols w:space="708"/>
          <w:docGrid w:linePitch="360"/>
        </w:sectPr>
      </w:pPr>
    </w:p>
    <w:p w:rsidR="00706CB4" w:rsidRDefault="006719AB">
      <w:pPr>
        <w:pStyle w:val="Rfrenceinterinstitutionnelle"/>
        <w:rPr>
          <w:noProof/>
        </w:rPr>
      </w:pPr>
      <w:r>
        <w:rPr>
          <w:noProof/>
        </w:rPr>
        <w:t>2018/0112 (COD)</w:t>
      </w:r>
    </w:p>
    <w:p w:rsidR="00706CB4" w:rsidRDefault="006719AB">
      <w:pPr>
        <w:pStyle w:val="Statut"/>
        <w:rPr>
          <w:noProof/>
        </w:rPr>
      </w:pPr>
      <w:r>
        <w:rPr>
          <w:noProof/>
        </w:rPr>
        <w:t>Javaslat</w:t>
      </w:r>
    </w:p>
    <w:p w:rsidR="00706CB4" w:rsidRDefault="006719AB">
      <w:pPr>
        <w:pStyle w:val="Typedudocument"/>
        <w:rPr>
          <w:noProof/>
        </w:rPr>
      </w:pPr>
      <w:r>
        <w:rPr>
          <w:noProof/>
        </w:rPr>
        <w:t>AZ EURÓPAI PARLAMENT ÉS A TANÁCS RE</w:t>
      </w:r>
      <w:r>
        <w:rPr>
          <w:noProof/>
        </w:rPr>
        <w:t>NDELETE</w:t>
      </w:r>
    </w:p>
    <w:p w:rsidR="00706CB4" w:rsidRDefault="006719AB">
      <w:pPr>
        <w:pStyle w:val="Titreobjet"/>
        <w:rPr>
          <w:noProof/>
        </w:rPr>
      </w:pPr>
      <w:r>
        <w:rPr>
          <w:noProof/>
        </w:rPr>
        <w:t>az online közvetítő szolgáltatások üzleti felhasználói tekintetében alkalmazandó tisztességes és átlátható feltételek előmozdításáról</w:t>
      </w:r>
    </w:p>
    <w:p w:rsidR="00706CB4" w:rsidRDefault="006719AB">
      <w:pPr>
        <w:pStyle w:val="IntrtEEE"/>
        <w:rPr>
          <w:noProof/>
        </w:rPr>
      </w:pPr>
      <w:r>
        <w:rPr>
          <w:noProof/>
        </w:rPr>
        <w:t>(EGT-vonatkozású szöveg)</w:t>
      </w:r>
    </w:p>
    <w:p w:rsidR="00706CB4" w:rsidRDefault="006719AB">
      <w:pPr>
        <w:pStyle w:val="Institutionquiagit"/>
        <w:rPr>
          <w:noProof/>
        </w:rPr>
      </w:pPr>
      <w:r>
        <w:rPr>
          <w:noProof/>
        </w:rPr>
        <w:t>AZ EURÓPAI PARLAMENT ÉS AZ EURÓPAI UNIÓ TANÁCSA,</w:t>
      </w:r>
    </w:p>
    <w:p w:rsidR="00706CB4" w:rsidRDefault="006719AB">
      <w:pPr>
        <w:rPr>
          <w:noProof/>
        </w:rPr>
      </w:pPr>
      <w:r>
        <w:rPr>
          <w:noProof/>
        </w:rPr>
        <w:t xml:space="preserve">tekintettel az Európai Unió működéséről </w:t>
      </w:r>
      <w:r>
        <w:rPr>
          <w:noProof/>
        </w:rPr>
        <w:t>szóló szerződésre és különösen annak 114. cikkére,</w:t>
      </w:r>
    </w:p>
    <w:p w:rsidR="00706CB4" w:rsidRDefault="006719AB">
      <w:pPr>
        <w:rPr>
          <w:noProof/>
        </w:rPr>
      </w:pPr>
      <w:r>
        <w:rPr>
          <w:noProof/>
        </w:rPr>
        <w:t>tekintettel az Európai Bizottság javaslatára,</w:t>
      </w:r>
    </w:p>
    <w:p w:rsidR="00706CB4" w:rsidRDefault="006719AB">
      <w:pPr>
        <w:rPr>
          <w:noProof/>
        </w:rPr>
      </w:pPr>
      <w:r>
        <w:rPr>
          <w:noProof/>
        </w:rPr>
        <w:t>a jogalkotási aktus tervezete nemzeti parlamenteknek való megküldését követően,</w:t>
      </w:r>
    </w:p>
    <w:p w:rsidR="00706CB4" w:rsidRDefault="006719AB">
      <w:pPr>
        <w:rPr>
          <w:noProof/>
        </w:rPr>
      </w:pPr>
      <w:r>
        <w:rPr>
          <w:noProof/>
        </w:rPr>
        <w:t>tekintettel az Európai Gazdasági és Szociális Bizottság véleményére,</w:t>
      </w:r>
      <w:r>
        <w:rPr>
          <w:rStyle w:val="FootnoteReference"/>
          <w:noProof/>
        </w:rPr>
        <w:footnoteReference w:id="20"/>
      </w:r>
      <w:r>
        <w:rPr>
          <w:noProof/>
        </w:rPr>
        <w:t xml:space="preserve"> </w:t>
      </w:r>
    </w:p>
    <w:p w:rsidR="00706CB4" w:rsidRDefault="006719AB">
      <w:pPr>
        <w:rPr>
          <w:noProof/>
        </w:rPr>
      </w:pPr>
      <w:r>
        <w:rPr>
          <w:noProof/>
        </w:rPr>
        <w:t>tekintet</w:t>
      </w:r>
      <w:r>
        <w:rPr>
          <w:noProof/>
        </w:rPr>
        <w:t>tel a Régiók Bizottságának véleményére,</w:t>
      </w:r>
      <w:r>
        <w:rPr>
          <w:rStyle w:val="FootnoteReference"/>
          <w:noProof/>
        </w:rPr>
        <w:footnoteReference w:id="21"/>
      </w:r>
      <w:r>
        <w:rPr>
          <w:noProof/>
        </w:rPr>
        <w:t xml:space="preserve"> </w:t>
      </w:r>
    </w:p>
    <w:p w:rsidR="00706CB4" w:rsidRDefault="006719AB">
      <w:pPr>
        <w:rPr>
          <w:noProof/>
        </w:rPr>
      </w:pPr>
      <w:r>
        <w:rPr>
          <w:noProof/>
        </w:rPr>
        <w:t>rendes jogalkotási eljárás keretében,</w:t>
      </w:r>
    </w:p>
    <w:p w:rsidR="00706CB4" w:rsidRDefault="006719AB">
      <w:pPr>
        <w:rPr>
          <w:noProof/>
        </w:rPr>
      </w:pPr>
      <w:r>
        <w:rPr>
          <w:noProof/>
        </w:rPr>
        <w:t>mivel: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(1)</w:t>
      </w:r>
      <w:r>
        <w:rPr>
          <w:noProof/>
        </w:rPr>
        <w:tab/>
        <w:t>Az online közvetítő szolgáltatások a vállalkozás, a kereskedelem és az innováció fő támogató eszközei, amelyek javíthatják a fogyasztók jólétét, és amelyeket a magán</w:t>
      </w:r>
      <w:r>
        <w:rPr>
          <w:noProof/>
        </w:rPr>
        <w:t>- és a közszféra is növekvő mértékben használ. Új piacokhoz és kereskedelmi lehetőségekhez kínálnak hozzáférést, lehetővé téve a vállalkozások számára a belső piac előnyeinek kiaknázását. A fogyasztók számára is lehetővé teszik az Unióban ezen előnyök kiha</w:t>
      </w:r>
      <w:r>
        <w:rPr>
          <w:noProof/>
        </w:rPr>
        <w:t xml:space="preserve">sználását, különösen azáltal, hogy bővítik az online kínált árukra és szolgáltatásokra vonatkozó választási lehetőségeket. 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(2)</w:t>
      </w:r>
      <w:r>
        <w:rPr>
          <w:noProof/>
        </w:rPr>
        <w:tab/>
        <w:t>Az online közvetítő szolgáltatások kulcsfontosságúak lehetnek a fogyasztók eléréséhez ilyen szolgáltatásokat igénybe vevő vállal</w:t>
      </w:r>
      <w:r>
        <w:rPr>
          <w:noProof/>
        </w:rPr>
        <w:t xml:space="preserve">kozások üzleti eredményessége szempontjából. Az erősen adatközpontú közvetett hálózati hatásokkal átszőtt online közvetítő szolgáltatások segítségével közvetített ügyletek számának növekedése fokozta az ilyen üzleti felhasználóknak – köztük a mikro-, kis- </w:t>
      </w:r>
      <w:r>
        <w:rPr>
          <w:noProof/>
        </w:rPr>
        <w:t>és középvállalkozásoknak – az említett szolgáltatásoktól való függőségét a fogyasztók elérése tekintetében. Ezen egyre fokozódó függőségre tekintettel e szolgáltatások nyújtói gyakran erőfölényből tárgyalnak, amely lehetővé teszi számukra az olyan hatékony</w:t>
      </w:r>
      <w:r>
        <w:rPr>
          <w:noProof/>
        </w:rPr>
        <w:t xml:space="preserve"> egyoldalú fellépést, amely nemcsak tisztességtelen lehet, de sértheti is üzleti felhasználóik és – közvetett módon – az uniós fogyasztók jogos érdekeit.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(3)</w:t>
      </w:r>
      <w:r>
        <w:rPr>
          <w:noProof/>
        </w:rPr>
        <w:tab/>
        <w:t>Hasonlóképpen az online általános keresőprogramok is fontos forrását képezhetik az árukat vagy szo</w:t>
      </w:r>
      <w:r>
        <w:rPr>
          <w:noProof/>
        </w:rPr>
        <w:t>lgáltatásokat weboldalakon keresztül fogyasztóiknak kínáló vállalkozások internetes forgalmának, ezért nagyban befolyásolhatják a belső piacon áruikat és szolgáltatásaikat online kínáló kereskedelmiweboldal-használók üzleti eredményességét. E tekintetben a</w:t>
      </w:r>
      <w:r>
        <w:rPr>
          <w:noProof/>
        </w:rPr>
        <w:t>z áruikat és szolgáltatásaikat a fogyasztóknak kínáló kereskedelmiweboldal-használók weboldalait is magukban foglaló weboldalak online keresőprogramok szolgáltatói általi rangsorolása jelentős hatással van a fogyasztók választására és e kereskedelmiwebolda</w:t>
      </w:r>
      <w:r>
        <w:rPr>
          <w:noProof/>
        </w:rPr>
        <w:t>l-használók üzleti eredményességére. Ezért az online keresőprogramok szolgáltatói a kereskedelmiweboldal-használókkal fennálló szerződéses jogviszony hiányában is megvalósíthatnak hatékony egyoldalú fellépést, amely tisztességtelen lehet, és sértheti a ker</w:t>
      </w:r>
      <w:r>
        <w:rPr>
          <w:noProof/>
        </w:rPr>
        <w:t xml:space="preserve">eskedelmiweboldal-használók és – közvetett módon – az uniós fogyasztók jogos érdekeit. 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(4)</w:t>
      </w:r>
      <w:r>
        <w:rPr>
          <w:noProof/>
        </w:rPr>
        <w:tab/>
        <w:t>Az üzleti felhasználók online közvetítő szolgáltatásoktól való függősége olyan helyzeteket is teremthet, amelyben az üzleti felhasználóknak gyakran korlátozottan va</w:t>
      </w:r>
      <w:r>
        <w:rPr>
          <w:noProof/>
        </w:rPr>
        <w:t>n lehetősége jogorvoslatra, amennyiben az ilyen szolgáltatók egyoldalú tevékenysége vitához vezet. E szolgáltatók sok esetben nem kínálnak elérhető és hatékony belső panaszkezelési rendszert. Számos okból hatástalanok lehetnek a létező, bírósági úton kívül</w:t>
      </w:r>
      <w:r>
        <w:rPr>
          <w:noProof/>
        </w:rPr>
        <w:t>i alternatív vitarendezési módszerek is, ideértve a szakosodott közvetítők hiányát és az üzleti felhasználók megtorlástól való félelmét.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(5)</w:t>
      </w:r>
      <w:r>
        <w:rPr>
          <w:noProof/>
        </w:rPr>
        <w:tab/>
        <w:t>Az online közvetítő szolgáltatások és az online keresőprogramok, valamint az ezen szolgáltatások által ösztönzött k</w:t>
      </w:r>
      <w:r>
        <w:rPr>
          <w:noProof/>
        </w:rPr>
        <w:t>ereskedelmi ügyletek eleve határokon átnyúló lehetőségekkel rendelkeznek, és különösen fontosak az Unió belső piacának napjaink gazdaságában való megfelelő működése tekintetében. Az ilyen szolgáltatások meghatározott nyújtóinak üzleti felhasználók és keres</w:t>
      </w:r>
      <w:r>
        <w:rPr>
          <w:noProof/>
        </w:rPr>
        <w:t>kedelmiweboldal-használók vonatkozásában potenciálisan tisztességtelen és káros kereskedelmi gyakorlatai akadályozzák e lehetőség teljes megvalósítását, és hátrányosan érintik a belső piac megfelelő működését. Akadályozzák továbbá e lehetőség teljes megval</w:t>
      </w:r>
      <w:r>
        <w:rPr>
          <w:noProof/>
        </w:rPr>
        <w:t xml:space="preserve">ósítását és hátrányosan érintik a belső piac megfelelő működését bizonyos tagállamok eltérő jogi szabályozásai, melyek különböző hatásfokkal szabályozzák e szolgáltatásokat, miközben más tagállamok éppen ilyen jogszabályok elfogadását fontolgatják. 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(6)</w:t>
      </w:r>
      <w:r>
        <w:rPr>
          <w:noProof/>
        </w:rPr>
        <w:tab/>
        <w:t>Ez</w:t>
      </w:r>
      <w:r>
        <w:rPr>
          <w:noProof/>
        </w:rPr>
        <w:t>ért kötelező szabályok Uniós szinten megállapított, egységes és célzott együttesének kell biztosítania a tisztességes, kiszámítható, fenntartható és megbízható online üzleti környezetet a belső piacon, különös tekintettel az online közvetítő szolgáltatások</w:t>
      </w:r>
      <w:r>
        <w:rPr>
          <w:noProof/>
        </w:rPr>
        <w:t xml:space="preserve"> üzleti felhasználói részére Unió-szerte biztosított megfelelő átláthatóságra és hatékony jogorvoslati lehetőségre. E szabályoknak meg kell teremteniük továbbá a megfelelő átláthatóságot a kereskedelmiweboldal-használók online keresőprogramok által generál</w:t>
      </w:r>
      <w:r>
        <w:rPr>
          <w:noProof/>
        </w:rPr>
        <w:t xml:space="preserve">t keresési eredményekben való rangsorolása tekintetében. Ugyanakkor e szabályoknak biztosítaniuk kell a szélesebb körű onlineplatform-gazdaság fontos innovációs lehetőségét is. 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(7)</w:t>
      </w:r>
      <w:r>
        <w:rPr>
          <w:noProof/>
        </w:rPr>
        <w:tab/>
        <w:t>Mivel az online közvetítő szolgáltatások és az online keresőprogramok tipi</w:t>
      </w:r>
      <w:r>
        <w:rPr>
          <w:noProof/>
        </w:rPr>
        <w:t>kusan globális dimenzióval rendelkeznek, e rendelet arra való tekintet nélkül alkalmazandó e szolgáltatókra, hogy székhelyük egy tagállamban vagy az Unió területén kívül van-e, két feltétel együttes teljesülése esetén. Először is, az üzleti felhasználók va</w:t>
      </w:r>
      <w:r>
        <w:rPr>
          <w:noProof/>
        </w:rPr>
        <w:t>gy a kereskedelmiweboldal-használók székhelyének az Unióban kell lennie. Másodszor, az üzleti felhasználók vagy kereskedelmiweboldal-használók e szolgáltatások igénybevételével legalább az ügylet egy része tekintetében az Unió területén tartózkodó fogyaszt</w:t>
      </w:r>
      <w:r>
        <w:rPr>
          <w:noProof/>
        </w:rPr>
        <w:t>óknak kínálják áruikat vagy szolgáltatásaikat. Az ilyen fogyasztóknak az Unióban kell tartózkodniuk, de nem szükséges, hogy lakóhelyük az Unióban legyen, vagy hogy valamely tagállam állampolgárai legyenek. Ennek megfelelően e rendelet nem alkalmazandó olya</w:t>
      </w:r>
      <w:r>
        <w:rPr>
          <w:noProof/>
        </w:rPr>
        <w:t>n esetekre, amikor az üzleti felhasználók vagy a kereskedelmiweboldal-használók székhelye nem az Unióban van, vagy amennyiben az Unióban van, az online közvetítő szolgáltatásokat vagy az online keresőprogramokat arra használják, hogy kizárólag az Unió terü</w:t>
      </w:r>
      <w:r>
        <w:rPr>
          <w:noProof/>
        </w:rPr>
        <w:t xml:space="preserve">letén kívül tartózkodó fogyasztók vagy fohyasztónak nem minősülő személyek részére kínáljanak árukat és szolgáltatásokat. 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(8)</w:t>
      </w:r>
      <w:r>
        <w:rPr>
          <w:noProof/>
        </w:rPr>
        <w:tab/>
        <w:t>A lényegében azonos környezetépítő üzleti modellen alapuló többoldalú szolgáltatásokat működtető szolgáltatók sokféle, vállalkozá</w:t>
      </w:r>
      <w:r>
        <w:rPr>
          <w:noProof/>
        </w:rPr>
        <w:t>sok és fogyasztók közötti kereskedelmi kapcsolatot közvetítenek online. A vonatkozó szolgáltatások megragadása érdekében az online közvetítő szolgáltatásokat pontosan és technológiai szempontból semleges módon kell meghatározni. A szolgáltatásoknak különös</w:t>
      </w:r>
      <w:r>
        <w:rPr>
          <w:noProof/>
        </w:rPr>
        <w:t>en az információs társadalom szolgáltatásait kell magukban foglalniuk, amelyeknekjellemzően az üzleti felhasználók és a fogyasztók közötti közvetlen ügyletek kezdeményezésének előmozdítása a célja, tekintet nélkül arra, hogy az ügyletekre végül online, a s</w:t>
      </w:r>
      <w:r>
        <w:rPr>
          <w:noProof/>
        </w:rPr>
        <w:t xml:space="preserve">zóban forgó online közvetítő szolgáltatás nyújtójának vagy az üzleti felhasználónak az online portálján vagy offline kerül sor. A szolgáltatásnyújtást továbbá mind a szolgáltatók és az üzleti felhasználók között, mind a szolgáltatók és a fogyasztók között </w:t>
      </w:r>
      <w:r>
        <w:rPr>
          <w:noProof/>
        </w:rPr>
        <w:t>szerződéses jogviszony alapján kell végezni. Akkor áll fenn ilyen szerződéses jogviszony, ha mindkét érintett fél határozottan és igazolható módon kijelenti elköteleződési szándékát, de nem szükséges a kifejezett írásbeli megállapodás.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(9)</w:t>
      </w:r>
      <w:r>
        <w:rPr>
          <w:noProof/>
        </w:rPr>
        <w:tab/>
        <w:t>A rendelet hatál</w:t>
      </w:r>
      <w:r>
        <w:rPr>
          <w:noProof/>
        </w:rPr>
        <w:t>ya alá tartozó online közvetítő szolgáltatások példáinak következetesen magukban kell foglalniuk az online e-kereskedelmi piactereket, ideértve azon közösségi piacokat, amelyeken az üzleti felhasználók tevékenykednek, az online szoftver alkalmazás szolgált</w:t>
      </w:r>
      <w:r>
        <w:rPr>
          <w:noProof/>
        </w:rPr>
        <w:t>atásokat és az online közösségi média szolgáltatásokat. A rendelet mindazonáltal nem alkalmazandó az olyan online reklámeszközökre vagy online reklámcserékre, amelyeket nem azzal a céllal biztosítanak, hogy ösztönözzék a közvetlen ügyletek kezdeményezését,</w:t>
      </w:r>
      <w:r>
        <w:rPr>
          <w:noProof/>
        </w:rPr>
        <w:t xml:space="preserve"> és amelyek nem foglalnak magukban fogyasztókkal fennálló szerződéses jogviszonyt. A rendelet nem alkalmazandó továbbá az online fizetési szolgáltatásokra, mivel azok önmagukban nem felelnek meg az alkalmazandó követelményeknek, sokkal inkább eleve kiegész</w:t>
      </w:r>
      <w:r>
        <w:rPr>
          <w:noProof/>
        </w:rPr>
        <w:t xml:space="preserve">ítői az érintett fogyasztók felé irányuló, árukat és szolgáltatásokat érintő ügyleteknek. 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(10)</w:t>
      </w:r>
      <w:r>
        <w:rPr>
          <w:noProof/>
        </w:rPr>
        <w:tab/>
        <w:t>Az Európai Unió Bíróságának vonatkozó ítélkezési gyakorlatával összhangban és tekintettel arra a tényre, hogy az üzleti felhasználók függőségi helyzetét elsősor</w:t>
      </w:r>
      <w:r>
        <w:rPr>
          <w:noProof/>
        </w:rPr>
        <w:t>ban azon online közvetítő szolgáltatók tekintetében figyelték meg, amelyek a természetes személyeknek minősülő fogyasztók felé képeznek utat, a fogyasztónak a rendelet hatályának meghatározásához használt fogalmát úgy kell értelmezni, hogy az kizárólag oly</w:t>
      </w:r>
      <w:r>
        <w:rPr>
          <w:noProof/>
        </w:rPr>
        <w:t>an természetes személyekre utal, akik kereskedelmi, ipari, kézműipari vagy szakmai tevékenységén kívül eső célokból járnak el.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(11)</w:t>
      </w:r>
      <w:r>
        <w:rPr>
          <w:noProof/>
        </w:rPr>
        <w:tab/>
        <w:t xml:space="preserve">A következetesség érdekében az online keresőprogram e rendeletben használt fogalmát összhangba kell hozni az (EU) 2016/1148 </w:t>
      </w:r>
      <w:r>
        <w:rPr>
          <w:noProof/>
        </w:rPr>
        <w:t>európai parlamenti és tanácsi irányelvben</w:t>
      </w:r>
      <w:r>
        <w:rPr>
          <w:rStyle w:val="FootnoteReference"/>
          <w:noProof/>
        </w:rPr>
        <w:footnoteReference w:id="22"/>
      </w:r>
      <w:r>
        <w:rPr>
          <w:noProof/>
        </w:rPr>
        <w:t xml:space="preserve"> alkalmazott fogalommeghatározással. 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(12)</w:t>
      </w:r>
      <w:r>
        <w:rPr>
          <w:noProof/>
        </w:rPr>
        <w:tab/>
        <w:t>Az üzleti felhasználók szükség szerinti hatékony védelme érdekében a rendelet akkor alkalmazandó, amikor a felek nem egyedileg tárgyalták meg az elnevezésétől vagy formájá</w:t>
      </w:r>
      <w:r>
        <w:rPr>
          <w:noProof/>
        </w:rPr>
        <w:t>tól függetlenül valamely szerződéses jogviszony szerződési feltételeit. A szerződési feltételek egyedileg való megtárgyalását vagy ennek hiányát átfogó értékelés alapján kell megállapítani, ennek során önmagában véve nem döntő az a körülmény, hogy annak bi</w:t>
      </w:r>
      <w:r>
        <w:rPr>
          <w:noProof/>
        </w:rPr>
        <w:t>zonyos rendelkezéseiről egyenként is születhetett döntés.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(13)</w:t>
      </w:r>
      <w:r>
        <w:rPr>
          <w:noProof/>
        </w:rPr>
        <w:tab/>
        <w:t>Annak biztosítása érdekében, hogy a szerződéses jogviszony általános szerződési feltételei lehetővé tegyék az üzleti felhasználók számára az online közvetítő szolgáltatás igénybevételére, felfü</w:t>
      </w:r>
      <w:r>
        <w:rPr>
          <w:noProof/>
        </w:rPr>
        <w:t>ggesztésére és megszüntetésére irányuló kereskedelmi feltételek megállapítását és üzleti kapcsolatukban a kiszámíthatóság elérését, e szerződési feltételeket az átlagos üzleti felhasználó számára könnyen érthető, egyértelmű és kétséget kizáró módon kell me</w:t>
      </w:r>
      <w:r>
        <w:rPr>
          <w:noProof/>
        </w:rPr>
        <w:t>gfogalmazni. A szerződési feltételek nem minősülnek egyértelműnek és kétséget kizáró módon megfogalmazottnak, ha homályosak, nem konkrétak vagy hiányoznak belőlük fontos kereskedelmi kérdések részletei, és ezért nem biztosíthatnak az üzleti felhasználók sz</w:t>
      </w:r>
      <w:r>
        <w:rPr>
          <w:noProof/>
        </w:rPr>
        <w:t xml:space="preserve">ámára észszerű szintű kiszámíthatóságot a szerződéses jogviszony legfontosabb szempontjai tekintetében. 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(14)</w:t>
      </w:r>
      <w:r>
        <w:rPr>
          <w:noProof/>
        </w:rPr>
        <w:tab/>
        <w:t>A szerződési feltételek átláthatóságának biztosítása döntő lehet a fenntartható üzleti viszonyok előmozdításában és az üzleti felhasználókat sértő</w:t>
      </w:r>
      <w:r>
        <w:rPr>
          <w:noProof/>
        </w:rPr>
        <w:t xml:space="preserve"> tisztességtelen magatartás megakadályozásában. Az online közvetítő szolgáltatóknak ezért biztosítaniuk kell azt is, hogy a szerződési feltételek a szerződéses jogviszony valamennyi szakaszában könnyen hozzáférhetők, ideértve a szerződéskötést megelőző sza</w:t>
      </w:r>
      <w:r>
        <w:rPr>
          <w:noProof/>
        </w:rPr>
        <w:t>kaszban a leendő üzleti felhasználók számára való hozzáférhetőséget is, és hogy e feltételek minden változásáról értesítik az üzleti felhasználókat olyan meghatározott értesítési határidőn belül, amely a különös körülmények tekintetében észszerű és arányos</w:t>
      </w:r>
      <w:r>
        <w:rPr>
          <w:noProof/>
        </w:rPr>
        <w:t>, és legalább 15 nap. Az értesítési határidő nem alkalmazandó akkor és annyiban, amikor és amennyiben attól az érintett üzleti felhasználó egyértelműen eltekint, vagy akkor és annyiban, amikor és amennyiben a módosítás értesítési határidő lejárta előtti vé</w:t>
      </w:r>
      <w:r>
        <w:rPr>
          <w:noProof/>
        </w:rPr>
        <w:t>grehajtásának szükségessége a szolgáltatót uniós vagy nemzeti jog értelmében terhelő jogi kötelezettség következménye.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(15)</w:t>
      </w:r>
      <w:r>
        <w:rPr>
          <w:noProof/>
        </w:rPr>
        <w:tab/>
        <w:t xml:space="preserve">Az üzleti felhasználók védelme érdekében lehetővé kell tenni az illetékes bíróság számára annak </w:t>
      </w:r>
      <w:r>
        <w:rPr>
          <w:i/>
          <w:noProof/>
        </w:rPr>
        <w:t>ex nunc</w:t>
      </w:r>
      <w:r>
        <w:rPr>
          <w:noProof/>
        </w:rPr>
        <w:t xml:space="preserve"> hatállyal történő megállapít</w:t>
      </w:r>
      <w:r>
        <w:rPr>
          <w:noProof/>
        </w:rPr>
        <w:t>ását, hogy a követelményeknek nem megfelelő szerződési feltételek nem kötelezők az érintett üzleti felhasználó vonatkozásában. Bármely ilyen bírósági megállapítás azonban csak a szerződési feltételek azon konkrét rendelkezéseire vonatkozik, amelyek nem fel</w:t>
      </w:r>
      <w:r>
        <w:rPr>
          <w:noProof/>
        </w:rPr>
        <w:t>elnek meg a követelményeknek. A fennmaradó rendelkezések továbbra is érvényesek és végrehajthatók, amennyiben elkülöníthetők a követelményeknek nem megfelelő rendelkezésektől. A meglévő szerződési feltételek hirtelen megváltoztatása jelentősen megzavarhatj</w:t>
      </w:r>
      <w:r>
        <w:rPr>
          <w:noProof/>
        </w:rPr>
        <w:t>a az üzleti felhasználók működését. Az üzleti felhasználókat érintő ilyen negatív hatások korlátozása és az ilyen magatartás megakadályozása érdekében ezért a konkrét értesítési határidő megállapítására irányuló kötelezettség megszegésével végrehajtott mód</w:t>
      </w:r>
      <w:r>
        <w:rPr>
          <w:noProof/>
        </w:rPr>
        <w:t xml:space="preserve">osítás érvénytelen, vagyis olyannak minősül, mint amely </w:t>
      </w:r>
      <w:r>
        <w:rPr>
          <w:i/>
          <w:noProof/>
        </w:rPr>
        <w:t>erga omnes</w:t>
      </w:r>
      <w:r>
        <w:rPr>
          <w:noProof/>
        </w:rPr>
        <w:t xml:space="preserve"> és </w:t>
      </w:r>
      <w:r>
        <w:rPr>
          <w:i/>
          <w:noProof/>
        </w:rPr>
        <w:t>ex tunc</w:t>
      </w:r>
      <w:r>
        <w:rPr>
          <w:noProof/>
        </w:rPr>
        <w:t xml:space="preserve"> hatállyal soha nem létezett. 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(16)</w:t>
      </w:r>
      <w:r>
        <w:rPr>
          <w:noProof/>
        </w:rPr>
        <w:tab/>
        <w:t>Az online közvetítő szolgáltatás nyújtójának jogos érdekében állhat a szolgáltatásnyújtás teljes körű vagy részleges felfüggesztésére vagy megs</w:t>
      </w:r>
      <w:r>
        <w:rPr>
          <w:noProof/>
        </w:rPr>
        <w:t>züntetésére irányuló döntés meghozatala valamely adott üzleti felhasználó tekintetében, ideértve azt is, amikor egy adott üzleti felhasználó egyes áruit vagy szolgáltatásait törli a listáról vagy gyakorlatilag eltávolítja a keresési eredményeket. Mivel azo</w:t>
      </w:r>
      <w:r>
        <w:rPr>
          <w:noProof/>
        </w:rPr>
        <w:t xml:space="preserve">nban az ilyen döntések jelentősen befolyásolják az érintett üzleti felhasználó érdekeit, megfelelően tájékoztatni kell őt ennek okairól. Az indokolásnak lehetővé kell tennie az üzleti felhasználó számára annak megállapítását, hogy van-e lehetőség a döntés </w:t>
      </w:r>
      <w:r>
        <w:rPr>
          <w:noProof/>
        </w:rPr>
        <w:t>megváltoztatására, javítva ezzel az üzleti felhasználók lehetőségeit a hatékony jogorvoslat szükség szerinti igénybevételére. Összhangban az (EU) 2018/334 bizottsági ajánlással</w:t>
      </w:r>
      <w:r>
        <w:rPr>
          <w:rStyle w:val="FootnoteReference"/>
          <w:noProof/>
        </w:rPr>
        <w:footnoteReference w:id="23"/>
      </w:r>
      <w:r>
        <w:rPr>
          <w:noProof/>
        </w:rPr>
        <w:t>, az indokolási előírás segít továbbá az üzleti felhasználó által biztosított o</w:t>
      </w:r>
      <w:r>
        <w:rPr>
          <w:noProof/>
        </w:rPr>
        <w:t>lyan online tartalom szándékolatlan eltávolításának megelőzésében vagy orvoslásában, amelyet a szolgáltató tévesen jogellenes tartalomnak minősít. Az indokolásnak azonosítania kell a döntés objektív okát vagy okait a szolgáltató által a szerződési feltétel</w:t>
      </w:r>
      <w:r>
        <w:rPr>
          <w:noProof/>
        </w:rPr>
        <w:t>ekben előre megállapított okok alapján, és arányosan hivatkoznia kell a döntéshez vezető lényeges konkrét körülményekre.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(17)</w:t>
      </w:r>
      <w:r>
        <w:rPr>
          <w:noProof/>
        </w:rPr>
        <w:tab/>
        <w:t>Az áruk és szolgáltatások online közvetítő szolgáltatók általi rangsorolása fontos hatást gyakorol a fogyasztók választásaira, köv</w:t>
      </w:r>
      <w:r>
        <w:rPr>
          <w:noProof/>
        </w:rPr>
        <w:t>etkezésképpen az ezen árukat és szolgáltatásokat a fogyasztóknak kínáló üzleti felhasználók kereskedelmi eredményességére is. Az online közvetítő szolgáltatóknak ezért előre be kell mutatniuk a rangsorolást meghatározó paramétereket annak érdekében, hogy n</w:t>
      </w:r>
      <w:r>
        <w:rPr>
          <w:noProof/>
        </w:rPr>
        <w:t>öveljék az üzleti felhasználók számára a kiszámíthatóságot, valamint hogy lehetővé tegyék számukra a rangsorolási módszer jobb megértését és a különböző szolgáltatók rangsorolási gyakorlatainak összehasonlítását. A fő paraméter fogalma a rangsorolással öss</w:t>
      </w:r>
      <w:r>
        <w:rPr>
          <w:noProof/>
        </w:rPr>
        <w:t>zefüggésben használt általános kritériumra, folyamatra, algoritmusokba épített különös jelekre vagy más illesztési vagy visszavetési mechanizmusra utal. A rangsorolást meghatározó fő paraméterek leírása tartalmazza továbbá az üzleti felhasználók számára bi</w:t>
      </w:r>
      <w:r>
        <w:rPr>
          <w:noProof/>
        </w:rPr>
        <w:t>ztosított azon lehetőség bemutatását, hogy díjfizetéssel aktívan befolyásolhatják a rangsorolást, valamint e lehetőség viszonylagos hatásainak ismertetését Ennek a leírásnak kellőképpen érthetővé kell tennie az üzleti felhasználók számára azt, hogy a rangs</w:t>
      </w:r>
      <w:r>
        <w:rPr>
          <w:noProof/>
        </w:rPr>
        <w:t>orolási mechanizmus hogyan veszi figyelembe az üzleti felhasználó által kínált aktuális áru vagy szolgáltatás jellemzőit, és a konkrét online közvetítő szolgáltatás fogyasztók szempontjából való jelentőségét.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(18)</w:t>
      </w:r>
      <w:r>
        <w:rPr>
          <w:noProof/>
        </w:rPr>
        <w:tab/>
        <w:t>Hasonlóképpen, a mindenekelőtt az árukat é</w:t>
      </w:r>
      <w:r>
        <w:rPr>
          <w:noProof/>
        </w:rPr>
        <w:t>s szolgáltatásokat a fogyasztóknak kínáló vállalkozások weboldalait magukban foglaló weboldalak online keresőprogramok szolgáltatói általi rangsorolása lényegesen befolyásolja a fogyasztók választását és a kereskedelmi weboldal-használók üzleti eredményess</w:t>
      </w:r>
      <w:r>
        <w:rPr>
          <w:noProof/>
        </w:rPr>
        <w:t>égét. Az online keresőprogramok szolgáltatóinak ezért be kell mutatniuk a valamennyi indexált weboldal rangsorolását meghatározó fő paramétereket, ideértve a kereskedelmiweboldal-használókét és más weboldalakat is. Az áruk és szolgáltatások jellemzői és fo</w:t>
      </w:r>
      <w:r>
        <w:rPr>
          <w:noProof/>
        </w:rPr>
        <w:t>gyasztók szempontjából való jelentőségük mellett e leírásnak az online keresőprogramok esetében lehetővé kell tenni továbbá a kereskedelmiweboldal-használók számára annak megfelelő átlátását, hogy figyelembe vegyék-e, és ha igen, milyen mértékben a használ</w:t>
      </w:r>
      <w:r>
        <w:rPr>
          <w:noProof/>
        </w:rPr>
        <w:t>t weboldal bizonyos jellemzőit, például a mobil telekommunikációs eszközökön való megjelenítésre történő optimalizációt. Az online keresőprogramok és a kereskedelmiweboldal-használók közötti szerződéses jogviszony hiányában e leírást az érintett online ker</w:t>
      </w:r>
      <w:r>
        <w:rPr>
          <w:noProof/>
        </w:rPr>
        <w:t>esőprogram valamely nyilvánvaló és a nyilvánosság számára könnyen hozzáférhető felületén kell közzétenni. A kiszámíthatóság kereskedelmiweboldal-használók számára való biztosítása érdekében a leírást frissíteni kell, ideértve annak lehetőségét, hogy könnye</w:t>
      </w:r>
      <w:r>
        <w:rPr>
          <w:noProof/>
        </w:rPr>
        <w:t>n hozzáférhetővé kell tenni a fő paraméterekben bekövetkezett valamennyi módosítást. Míg a szolgáltatóknak semmilyen körülmények között nem kell közzétenni az (EU) 2016/943 európai parlamenti és tanácsi irányelvben</w:t>
      </w:r>
      <w:r>
        <w:rPr>
          <w:rStyle w:val="FootnoteReference"/>
          <w:noProof/>
        </w:rPr>
        <w:footnoteReference w:id="24"/>
      </w:r>
      <w:r>
        <w:rPr>
          <w:noProof/>
        </w:rPr>
        <w:t xml:space="preserve"> meghatározott üzleti titkot a fő rangsor</w:t>
      </w:r>
      <w:r>
        <w:rPr>
          <w:noProof/>
        </w:rPr>
        <w:t>olási paraméterek bemutatására vonatkozó e követelménynek megfelelés során, a leírásnak legalább a használt rangsorolási paraméterek relevanciájára vonatkozó aktuális adatokon kell alapulnia.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(19)</w:t>
      </w:r>
      <w:r>
        <w:rPr>
          <w:noProof/>
        </w:rPr>
        <w:tab/>
        <w:t xml:space="preserve">Ha az online közvetítő szolgáltatás nyújtója saját online </w:t>
      </w:r>
      <w:r>
        <w:rPr>
          <w:noProof/>
        </w:rPr>
        <w:t xml:space="preserve">közvetítő szolgáltatásán keresztül maga kínál bizonyos árukat vagy szolgáltatásokat a fogyasztók számára vagy irányítása alatt álló üzleti felhasználón keresztül teszi ezt, akkor e szolgáltató közvetlen versenyben állhat az online közvetítő szolgáltatását </w:t>
      </w:r>
      <w:r>
        <w:rPr>
          <w:noProof/>
        </w:rPr>
        <w:t>igénybe vevő más, a szolgáltató által nem irányított üzleti felhasználókkal. Ilyen helyzetekben különösen fontos, hogy az online közvetítő szolgáltatás nyújtója átlátható módon járjon el, és bemutasson minden olyan, akár jogi, kereskedelmi vagy műszaki jel</w:t>
      </w:r>
      <w:r>
        <w:rPr>
          <w:noProof/>
        </w:rPr>
        <w:t>legű eltérő bánásmódot, amelyet gyakorolhat a maga által kínált áruk vagy szolgáltatásokkal kapcsolatban az üzleti felhasználók által kínáltakhoz képest. Az arányosság biztosítása érdekében e kötelezettség az általános online közvetítő szolgáltatások szint</w:t>
      </w:r>
      <w:r>
        <w:rPr>
          <w:noProof/>
        </w:rPr>
        <w:t>jén alkalmazandó, nem pedig az e szolgáltatások segítségével kínált egyes áruk vagy szolgáltatások szintjén.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(20)</w:t>
      </w:r>
      <w:r>
        <w:rPr>
          <w:noProof/>
        </w:rPr>
        <w:tab/>
        <w:t xml:space="preserve">Az adatokhoz – köztük a személyes adatokhoz – való hozzáférésre és azok kezelésére vonatkozó képesség fontos értékteremtést tehet lehetővé az </w:t>
      </w:r>
      <w:r>
        <w:rPr>
          <w:noProof/>
        </w:rPr>
        <w:t>onlineplatform-gazdaságban. Ennek megfelelően fontos, hogy az online közvetítő szolgáltatók egyértelműen bemutassák az üzleti felhasználóknak azt, hogy milyen mértékben, hogyan és milyen feltételek mellett férnek hozzá és kezelnek meghatározott adatkategór</w:t>
      </w:r>
      <w:r>
        <w:rPr>
          <w:noProof/>
        </w:rPr>
        <w:t>iákat. A leírásnak arányosnak kell lennie, az aktuális adatok vagy adatkategóriák kimerítő azonosítása helyett vonatkozhat az általános hozzáférési feltételekre, és az üzleti felhasználók számára egyértelművé kell tennie, hogy használhatják-e az adatokat é</w:t>
      </w:r>
      <w:r>
        <w:rPr>
          <w:noProof/>
        </w:rPr>
        <w:t>rtékteremtésük javítása érdekében, ideértve annak lehetőségét is, hogy esetlegesen megőrzik harmadik felek adatszolgáltatásait. A személyes adatok kezelésének meg kell felelnie az (EU) 2016/679 európai parlamenti és tanácsi rendeletnek</w:t>
      </w:r>
      <w:r>
        <w:rPr>
          <w:rStyle w:val="FootnoteReference"/>
          <w:noProof/>
        </w:rPr>
        <w:footnoteReference w:id="25"/>
      </w:r>
      <w:r>
        <w:rPr>
          <w:noProof/>
        </w:rPr>
        <w:t>.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(21)</w:t>
      </w:r>
      <w:r>
        <w:rPr>
          <w:noProof/>
        </w:rPr>
        <w:tab/>
        <w:t>Az online köz</w:t>
      </w:r>
      <w:r>
        <w:rPr>
          <w:noProof/>
        </w:rPr>
        <w:t>vetítő szolgáltatók a szerződési feltételekben bizonyos esetekben korlátozhatják az üzleti felhasználók lehetőségét arra, hogy az adott online közvetítő szolgáltatástól eltérő egyéb eszközökön keresztül kedvezőbb feltételek mellett kínáljanak a fogyasztókn</w:t>
      </w:r>
      <w:r>
        <w:rPr>
          <w:noProof/>
        </w:rPr>
        <w:t xml:space="preserve">ak árut vagy szolgáltatást. Ilyen esetekben az érintett szolgáltatóknak indokolniuk kell ezt az eljárást különösen a korlátozások fő gazdasági, kereskedelmi vagy jogi szempontjaival. Ezt az átláthatósági követelményt azonban nem lehet úgy értelmezni, hogy </w:t>
      </w:r>
      <w:r>
        <w:rPr>
          <w:noProof/>
        </w:rPr>
        <w:t>érinti a versenyjog és a tisztességtelen kereskedelmi gyakorlatok területét is magában foglaló, más uniós jogi vagy uniós joggal összhangban álló tagállami jogi aktusok szerinti ilyen korlátozások jogszerűségének értékelését, valamint e jogok alkalmazását.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(22)</w:t>
      </w:r>
      <w:r>
        <w:rPr>
          <w:noProof/>
        </w:rPr>
        <w:tab/>
        <w:t>Annak lehetővé tétele érdekében, hogy az üzleti felhasználók azonnali, megfelelő és hatékony jogorvoslati lehetőségekhez jussanak, ideértve azokat az üzleti felhasználókat is, akiknek felfüggeszthették vagy megszüntethették a vonatkozó online közvetí</w:t>
      </w:r>
      <w:r>
        <w:rPr>
          <w:noProof/>
        </w:rPr>
        <w:t>tő szolgáltatásokra irányuló használatát, az online közvetítő szolgáltatóknak gondoskodniuk kell belső panaszkezelési rendszerről. A belső panaszkezelési rendszer célja annak biztosítása, hogy a panaszok jelentős hányadát egymás között megoldhassa az onlin</w:t>
      </w:r>
      <w:r>
        <w:rPr>
          <w:noProof/>
        </w:rPr>
        <w:t>e közvetítő szolgáltató és az érintett üzleti felhasználó. Annak biztosítása továbbá, hogy az online közvetítő szolgáltatók közzéteszik a belső panaszkezelési rendszerük működésére és hatékonyságára vonatkozó tájékoztatást, hozzásegíti az üzleti felhasznál</w:t>
      </w:r>
      <w:r>
        <w:rPr>
          <w:noProof/>
        </w:rPr>
        <w:t>ókat annak megértéséhez, hogy milyen fajta kérdések merülhetnek fel a különböző online közvetítő szolgáltatások nyújtásával összefüggésben, és előmozdítja a gyors és hatékony kétszereplős problémamegoldás lehetőségét.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(23)</w:t>
      </w:r>
      <w:r>
        <w:rPr>
          <w:noProof/>
        </w:rPr>
        <w:tab/>
        <w:t>Az adminisztratív terhek minimali</w:t>
      </w:r>
      <w:r>
        <w:rPr>
          <w:noProof/>
        </w:rPr>
        <w:t>zálása érdekében a rendelet belső panaszkezelési rendszerekre vonatkozó követelményei lehetővé teszik az online közvetítő szolgáltatók számára észszerű mértékű rugalmasság tanúsítását e rendszerek működtetése során, valamint az egyéni panaszok kezelését. A</w:t>
      </w:r>
      <w:r>
        <w:rPr>
          <w:noProof/>
        </w:rPr>
        <w:t xml:space="preserve"> belső panaszkezelési rendszerek továbbá lehetővé teszik az online közvetítő szolgáltatók számára azt, hogy szükség esetén megfelelően kezelhessenek minden rosszhiszemű használatot, amellyel egyes üzleti felhasználók próbálkozhatnak e rendszerekben. A rend</w:t>
      </w:r>
      <w:r>
        <w:rPr>
          <w:noProof/>
        </w:rPr>
        <w:t>eletben szereplő jogi kötelezettségeknek megfelelés állítólagos hiányától eltérő esetekben a belső panaszkezelési rendszer nem áll továbbá nyitva az érintett üzleti felhasználót érintő, csupán elhanyagolható negatív hatásokra vonatkozó panaszok előtt. A Bi</w:t>
      </w:r>
      <w:r>
        <w:rPr>
          <w:noProof/>
        </w:rPr>
        <w:t>zottság 2003/361/EK ajánlásával</w:t>
      </w:r>
      <w:r>
        <w:rPr>
          <w:rStyle w:val="FootnoteReference"/>
          <w:noProof/>
        </w:rPr>
        <w:footnoteReference w:id="26"/>
      </w:r>
      <w:r>
        <w:rPr>
          <w:noProof/>
        </w:rPr>
        <w:t xml:space="preserve"> összhangban az ilyen rendszerek felállításának és működtetésének költségeire tekintettel helyénvaló mentesíteni e kötelezettségek alól a kisvállalkozásnak minősülő online közvetítő szolgáltatókat. 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(24)</w:t>
      </w:r>
      <w:r>
        <w:rPr>
          <w:noProof/>
        </w:rPr>
        <w:tab/>
        <w:t>A közvetítés kielégí</w:t>
      </w:r>
      <w:r>
        <w:rPr>
          <w:noProof/>
        </w:rPr>
        <w:t>tő vitarendezési módot kínálhat az online közvetítő szolgáltatóknak és üzleti felhasználóiknak anélkül, hogy igénybe kellene venniük az adott esetben hosszadalmas és költséges bírósági eljárást. Az online közvetítő szolgáltatóknak ezért ösztönözniük kell a</w:t>
      </w:r>
      <w:r>
        <w:rPr>
          <w:noProof/>
        </w:rPr>
        <w:t xml:space="preserve"> közvetítést, különösen azon közvetítők azonosításával, akikkel készek együttműködni. A szolgáltatásaikat az Unión kívülről nyújtó közvetítők csupán akkor azonosítandók, ha biztosított, hogy szolgáltatásuk igénybevétele semmilyen módon nem csorbítja az éri</w:t>
      </w:r>
      <w:r>
        <w:rPr>
          <w:noProof/>
        </w:rPr>
        <w:t>ntett üzleti felhasználóknak az uniós jog vagy a tagállami jogok által kínált jogvédelmét, ideértve e rendelet követelményeit, valamint a személyes adatok és az üzleti titkok védelmére vonatkozó jogot. Annak érdekében, hogy elérhetők, tisztességesek és a l</w:t>
      </w:r>
      <w:r>
        <w:rPr>
          <w:noProof/>
        </w:rPr>
        <w:t>ehető leggyorsabbak, leghatékonyabbak és legeredményesebbek legyenek, e közvetítőknek meg kell felelniük bizonyos meghatározott kritériumoknak.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(25)</w:t>
      </w:r>
      <w:r>
        <w:rPr>
          <w:noProof/>
        </w:rPr>
        <w:tab/>
        <w:t>Az online közvetítő szolgáltatóknak vállalniuk kell a közvetítés teljes költségének észszerű hányadát, figy</w:t>
      </w:r>
      <w:r>
        <w:rPr>
          <w:noProof/>
        </w:rPr>
        <w:t>elembe véve a szóban forgó eset valamennyi lényeges elemét. E cél megvalósítása érdekében a közvetítőnek javaslatot kell tennie az egyedi ügyben észszerűnek tartott hányadra. Ez a hányad azonban soha nem lehet kevesebb az ilyen költségek felénél.</w:t>
      </w:r>
      <w:r>
        <w:rPr>
          <w:noProof/>
        </w:rPr>
        <w:tab/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(26)</w:t>
      </w:r>
      <w:r>
        <w:rPr>
          <w:noProof/>
        </w:rPr>
        <w:tab/>
        <w:t xml:space="preserve">Az </w:t>
      </w:r>
      <w:r>
        <w:rPr>
          <w:noProof/>
        </w:rPr>
        <w:t>online közvetítő szolgáltatások nyújtásával kapcsolatos viták közvetítőkkel való uniós rendezésének előmozdítása érdekében a Bizottság ösztönzi a jelenleg még hiányzó szakosodott közvetítői szervezetek felállítását. Az online közvetítő szolgáltatásokkal, o</w:t>
      </w:r>
      <w:r>
        <w:rPr>
          <w:noProof/>
        </w:rPr>
        <w:t>nline keresőprogramokkal és az e szolgáltatásoknak teret adó egyes ágazatokkal kapcsolatos szaktudással rendelkező közvetítők bevonása hozzájárul a közvetítői szolgáltatásba vetett bizalomhoz mindkét fél részéről, és növeli a valószínűségét annak, hogy e f</w:t>
      </w:r>
      <w:r>
        <w:rPr>
          <w:noProof/>
        </w:rPr>
        <w:t>olyamat gyors, igazságos és kielégítő eredménnyel zárul.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(27)</w:t>
      </w:r>
      <w:r>
        <w:rPr>
          <w:noProof/>
        </w:rPr>
        <w:tab/>
        <w:t xml:space="preserve">A meglévő bírósági jogorvoslati lehetőségek hatékonyságát, különösen azokét, amelyek azt igénylik, hogy az üzleti felhasználók vagy a kereskedelmiweboldal-használók egyénileg és azonosítható </w:t>
      </w:r>
      <w:r>
        <w:rPr>
          <w:noProof/>
        </w:rPr>
        <w:t>módon járjanak el, számos tényező korlátozhatja, például korlátozott pénzügyi eszközök, a megtorlástól való félelem és a szerződési feltételekben szereplő, kizárólagos jogot és vitarendezési fórumot meghatározó rendelkezések. A rendelet hatékony alkalmazás</w:t>
      </w:r>
      <w:r>
        <w:rPr>
          <w:noProof/>
        </w:rPr>
        <w:t>ának biztosítása érdekében az üzleti felhasználókat vagy kereskedelmiweboldal-használókat képviselő szervezeteknek, egyesületeknek, valamint a tagállamokban létrehozott bizonyos közjogi szerveknek lehetőséget kell biztosítani a nemzeti bíróságok előtti elj</w:t>
      </w:r>
      <w:r>
        <w:rPr>
          <w:noProof/>
        </w:rPr>
        <w:t>árásra. A nemzeti bíróságok előtti ilyen eljárás célja megakadályozni vagy megtiltani a rendeletben szereplő szabályok megsértését, és megelőzni az olyan jövőbeli kárt, amely alááshatja a fenntartható üzleti viszonyokat az onlineplatform-gazdaságban. Annak</w:t>
      </w:r>
      <w:r>
        <w:rPr>
          <w:noProof/>
        </w:rPr>
        <w:t xml:space="preserve"> biztosítása érdekében, hogy az ilyen szervezetek vagy egyesületek hatékonyan és megfelelő módon gyakorolhassák ezt a jogot, meg kell felelniük bizonyos kritériumoknak. Tekintettel a releváns közjogi szervek különleges helyzetére azon tagállamokban, amelye</w:t>
      </w:r>
      <w:r>
        <w:rPr>
          <w:noProof/>
        </w:rPr>
        <w:t>kben őket létrehozták, elég lenne annyit előírni, hogy a szóban forgó közjogi szerveket a nemzeti jog vonatkozó szabályainak megfelelően kifejezetten megbízzák azzal, hogy vagy az érintett felek közös érdekében, vagy a köz érdekében bírósági eljárást indít</w:t>
      </w:r>
      <w:r>
        <w:rPr>
          <w:noProof/>
        </w:rPr>
        <w:t>hassanak anélkül, hogy rájuk az említett kritériumokat alkalmazni kellene. Az ilyen tevékenységek semmilyen módon nem érintik az üzleti felhasználók és kereskedelmiweboldal-használók azon jogát, hogy egyéni kezdeményezés alapján bírósághoz forduljanak.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(28</w:t>
      </w:r>
      <w:r>
        <w:rPr>
          <w:noProof/>
        </w:rPr>
        <w:t>)</w:t>
      </w:r>
      <w:r>
        <w:rPr>
          <w:noProof/>
        </w:rPr>
        <w:tab/>
        <w:t>Az érintett szolgáltatók vagy az azokat képviselő szervezetek vagy egyesületek által kialakított magatartási kódexek hozzájárulhatnak a rendelet megfelelő alkalmazásához, ezért ösztönözni kell azokat. Az ilyen magatartási kódexek megszövegezésekor a vala</w:t>
      </w:r>
      <w:r>
        <w:rPr>
          <w:noProof/>
        </w:rPr>
        <w:t xml:space="preserve">mennyi érintettel való konzultáció során figyelembe kell venni az érintett ágazat sajátos jellemzőit, valamint a mikro-, kis- és középvállalkozások sajátos jellemzőit. 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(29)</w:t>
      </w:r>
      <w:r>
        <w:rPr>
          <w:noProof/>
        </w:rPr>
        <w:tab/>
        <w:t xml:space="preserve">A Bizottságnak e rendelet rendelkezéseit időszakonként értékelnie kell, különösen </w:t>
      </w:r>
      <w:r>
        <w:rPr>
          <w:noProof/>
        </w:rPr>
        <w:t xml:space="preserve">annak megállapítása céljából, hogy a technológiai és kereskedelmi feltételek változásai tükrében szükség van-e azok módosítására. 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(30)</w:t>
      </w:r>
      <w:r>
        <w:rPr>
          <w:noProof/>
        </w:rPr>
        <w:tab/>
        <w:t>A rendeletben szereplő tájékoztatás nyújtása során a lehető legnagyobb mértékben figyelemmel kell lenni a fogyatékosságg</w:t>
      </w:r>
      <w:r>
        <w:rPr>
          <w:noProof/>
        </w:rPr>
        <w:t>al élő személyek különös igényeire, összhangban az Egyesült Nemzetek Szervezete fogyatékossággal élő személyek jogairól szóló egyezményével</w:t>
      </w:r>
      <w:r>
        <w:rPr>
          <w:rStyle w:val="FootnoteReference"/>
          <w:noProof/>
        </w:rPr>
        <w:footnoteReference w:id="27"/>
      </w:r>
      <w:r>
        <w:rPr>
          <w:noProof/>
        </w:rPr>
        <w:t>.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(31)</w:t>
      </w:r>
      <w:r>
        <w:rPr>
          <w:noProof/>
        </w:rPr>
        <w:tab/>
        <w:t>Mivel e rendelet célját, nevezetesen a tisztességes, kiszámítható, fenntartható és megbízható online üzleti k</w:t>
      </w:r>
      <w:r>
        <w:rPr>
          <w:noProof/>
        </w:rPr>
        <w:t>örnyezet belső piacon belüli biztosítását a tagállamok nem tudják kielégítően megvalósítani, az Unió szintjén azonban nagyságrendje és hatásai miatt e cél jobban megvalósítható, az Unió intézkedéseket hozhat az Európai Unióról szóló szerződés 5. cikkében f</w:t>
      </w:r>
      <w:r>
        <w:rPr>
          <w:noProof/>
        </w:rPr>
        <w:t>oglalt szubszidiaritás elvének megfelelően. Az említett cikkben foglalt arányosság elvének megfelelően ez a rendelet nem lépi túl a cél eléréséhez szükséges mértéket.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(32)</w:t>
      </w:r>
      <w:r>
        <w:rPr>
          <w:noProof/>
        </w:rPr>
        <w:tab/>
        <w:t>Helyénvaló tisztázni, hogy e rendelet nem érinti a polgári ügyekben folytatott igazs</w:t>
      </w:r>
      <w:r>
        <w:rPr>
          <w:noProof/>
        </w:rPr>
        <w:t xml:space="preserve">ágügyi együttműködés, a verseny, a fogyasztóvédelem, az elektronikus kereskedelem és a pénzügyi szolgáltatások területén alkalmazandó vonatkozó uniós jogi szabályok alkalmazását. </w:t>
      </w:r>
    </w:p>
    <w:p w:rsidR="00706CB4" w:rsidRDefault="006719AB">
      <w:pPr>
        <w:pStyle w:val="ManualConsidrant"/>
        <w:rPr>
          <w:noProof/>
        </w:rPr>
      </w:pPr>
      <w:r>
        <w:rPr>
          <w:noProof/>
        </w:rPr>
        <w:t>(33)</w:t>
      </w:r>
      <w:r>
        <w:rPr>
          <w:noProof/>
        </w:rPr>
        <w:tab/>
        <w:t>A rendelet teljes mértékben tiszteletben kívánja tartani a hatékony jog</w:t>
      </w:r>
      <w:r>
        <w:rPr>
          <w:noProof/>
        </w:rPr>
        <w:t>orvoslathoz és tisztességes eljáráshoz való jogot, és elő kívánja mozdítani a vállalkozás szabadságához való jogot, az Európai Unió Alapjogi Chartájának megfelelő 47. és 16. cikkében foglaltak szerint,</w:t>
      </w:r>
    </w:p>
    <w:p w:rsidR="00706CB4" w:rsidRDefault="00706CB4">
      <w:pPr>
        <w:rPr>
          <w:noProof/>
        </w:rPr>
      </w:pPr>
    </w:p>
    <w:p w:rsidR="00706CB4" w:rsidRDefault="006719AB">
      <w:pPr>
        <w:pStyle w:val="Formuledadoption"/>
        <w:rPr>
          <w:noProof/>
        </w:rPr>
      </w:pPr>
      <w:r>
        <w:rPr>
          <w:noProof/>
        </w:rPr>
        <w:t>ELFOGADTA EZT A RENDELETET:</w:t>
      </w:r>
    </w:p>
    <w:p w:rsidR="00706CB4" w:rsidRDefault="00706CB4">
      <w:pPr>
        <w:pStyle w:val="SectionTitle"/>
        <w:rPr>
          <w:noProof/>
        </w:rPr>
      </w:pPr>
    </w:p>
    <w:p w:rsidR="00706CB4" w:rsidRDefault="006719AB">
      <w:pPr>
        <w:pStyle w:val="Titrearticle"/>
        <w:rPr>
          <w:noProof/>
        </w:rPr>
      </w:pPr>
      <w:r>
        <w:rPr>
          <w:noProof/>
        </w:rPr>
        <w:t>1. cikk</w:t>
      </w:r>
    </w:p>
    <w:p w:rsidR="00706CB4" w:rsidRDefault="006719AB">
      <w:pPr>
        <w:pStyle w:val="NormalCentered"/>
        <w:keepNext/>
        <w:rPr>
          <w:b/>
          <w:noProof/>
        </w:rPr>
      </w:pPr>
      <w:r>
        <w:rPr>
          <w:b/>
          <w:noProof/>
        </w:rPr>
        <w:t>Tárgy és hatály</w:t>
      </w:r>
    </w:p>
    <w:p w:rsidR="00706CB4" w:rsidRDefault="006719AB">
      <w:pPr>
        <w:pStyle w:val="Point0"/>
        <w:rPr>
          <w:noProof/>
          <w:color w:val="1F497D" w:themeColor="text2"/>
        </w:rPr>
      </w:pPr>
      <w:r>
        <w:rPr>
          <w:noProof/>
        </w:rPr>
        <w:t>(1)</w:t>
      </w:r>
      <w:r>
        <w:rPr>
          <w:noProof/>
        </w:rPr>
        <w:tab/>
        <w:t>Ez a rendelet szabályokat állapít meg annak biztosítására, hogy az online közvetítő szolgáltatások üzleti felhasználói és az online keresőprogramok tekintetében a kereskedelmiweboldal-használók számára megfelelő átláthatóság és hatékony jogorvoslati le</w:t>
      </w:r>
      <w:r>
        <w:rPr>
          <w:noProof/>
        </w:rPr>
        <w:t>hetőség álljon rendelkezésre.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(2)</w:t>
      </w:r>
      <w:r>
        <w:rPr>
          <w:noProof/>
        </w:rPr>
        <w:tab/>
        <w:t>Ezt a rendeletet megfelelően kell alkalmazni az azon üzleti felhasználóknak és kereskedelmiweboldal-használóknak nyújtott vagy igénybevételre kínált online közvetítő szolgáltatásokra és online keresőprogramokra, akiknek sz</w:t>
      </w:r>
      <w:r>
        <w:rPr>
          <w:noProof/>
        </w:rPr>
        <w:t xml:space="preserve">ékhelye vagy lakóhelye az Unióban van, és akik online közvetítő szolgáltatások vagy online keresőmotorok segítségével kínálnak árukat vagy szolgáltatásokat az Unió területén tartózkodó fogyasztóknak, tekintet nélkül e szolgáltatások nyújtóinak székhelyére </w:t>
      </w:r>
      <w:r>
        <w:rPr>
          <w:noProof/>
        </w:rPr>
        <w:t>vagy lakóhelyére.</w:t>
      </w:r>
    </w:p>
    <w:p w:rsidR="00706CB4" w:rsidRDefault="00706CB4">
      <w:pPr>
        <w:pStyle w:val="Point0"/>
        <w:rPr>
          <w:noProof/>
        </w:rPr>
      </w:pPr>
    </w:p>
    <w:p w:rsidR="00706CB4" w:rsidRDefault="006719AB">
      <w:pPr>
        <w:pStyle w:val="Titrearticle"/>
        <w:rPr>
          <w:noProof/>
        </w:rPr>
      </w:pPr>
      <w:r>
        <w:rPr>
          <w:noProof/>
        </w:rPr>
        <w:t>2. cikk</w:t>
      </w:r>
    </w:p>
    <w:p w:rsidR="00706CB4" w:rsidRDefault="006719AB">
      <w:pPr>
        <w:pStyle w:val="NormalCentered"/>
        <w:keepNext/>
        <w:rPr>
          <w:b/>
          <w:noProof/>
        </w:rPr>
      </w:pPr>
      <w:r>
        <w:rPr>
          <w:b/>
          <w:noProof/>
        </w:rPr>
        <w:t>Fogalommeghatározások</w:t>
      </w:r>
    </w:p>
    <w:p w:rsidR="00706CB4" w:rsidRDefault="006719AB">
      <w:pPr>
        <w:rPr>
          <w:noProof/>
        </w:rPr>
      </w:pPr>
      <w:r>
        <w:rPr>
          <w:noProof/>
        </w:rPr>
        <w:t>E rendelet alkalmazásában:</w:t>
      </w:r>
    </w:p>
    <w:p w:rsidR="00706CB4" w:rsidRDefault="006719AB">
      <w:pPr>
        <w:pStyle w:val="Point0"/>
        <w:rPr>
          <w:i/>
          <w:noProof/>
          <w:color w:val="1F497D" w:themeColor="text2"/>
        </w:rPr>
      </w:pPr>
      <w:r>
        <w:rPr>
          <w:noProof/>
        </w:rPr>
        <w:t xml:space="preserve">1. </w:t>
      </w:r>
      <w:r>
        <w:rPr>
          <w:noProof/>
        </w:rPr>
        <w:tab/>
        <w:t>„üzleti felhasználó”: bármely természetes vagy jogi személy, aki online közvetítő szolgáltatáson keresztül kínál fogyasztóknak árut vagy szolgáltatást kereskedelmi, ipari, kézm</w:t>
      </w:r>
      <w:r>
        <w:rPr>
          <w:noProof/>
        </w:rPr>
        <w:t xml:space="preserve">űipari vagy szakmai tevékenységéhez kapcsolódó célokból; 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2.</w:t>
      </w:r>
      <w:r>
        <w:rPr>
          <w:noProof/>
        </w:rPr>
        <w:tab/>
        <w:t>„online közvetítő szolgáltatás”: olyan szolgáltatás, amely megfelel valamennyi alábbi követelménynek:</w:t>
      </w:r>
    </w:p>
    <w:p w:rsidR="00706CB4" w:rsidRDefault="006719AB">
      <w:pPr>
        <w:pStyle w:val="Point1"/>
        <w:rPr>
          <w:iCs/>
          <w:noProof/>
        </w:rPr>
      </w:pPr>
      <w:r>
        <w:rPr>
          <w:noProof/>
        </w:rPr>
        <w:t xml:space="preserve">a) </w:t>
      </w:r>
      <w:r>
        <w:rPr>
          <w:noProof/>
        </w:rPr>
        <w:tab/>
        <w:t xml:space="preserve">az információs társadalom szolgáltatásának minősül az (EU) 2015/1535 európai parlamenti </w:t>
      </w:r>
      <w:r>
        <w:rPr>
          <w:noProof/>
        </w:rPr>
        <w:t>és tanácsi irányelv</w:t>
      </w:r>
      <w:r>
        <w:rPr>
          <w:rStyle w:val="FootnoteReference"/>
          <w:noProof/>
        </w:rPr>
        <w:footnoteReference w:id="28"/>
      </w:r>
      <w:r>
        <w:rPr>
          <w:noProof/>
        </w:rPr>
        <w:t xml:space="preserve"> 1. cikke (1) bekezdésének b) pontja szerint;</w:t>
      </w:r>
    </w:p>
    <w:p w:rsidR="00706CB4" w:rsidRDefault="006719AB">
      <w:pPr>
        <w:pStyle w:val="Point1"/>
        <w:rPr>
          <w:noProof/>
        </w:rPr>
      </w:pPr>
      <w:r>
        <w:rPr>
          <w:noProof/>
        </w:rPr>
        <w:t xml:space="preserve">b) </w:t>
      </w:r>
      <w:r>
        <w:rPr>
          <w:noProof/>
        </w:rPr>
        <w:tab/>
        <w:t>lehetővé teszi az üzleti felhasználók számára áruk és szolgáltatások fogyasztóknak való kínálását azzal a céllal, hogy előmozdítsa az üzleti felhasználók és a fogyasztók közötti közvetle</w:t>
      </w:r>
      <w:r>
        <w:rPr>
          <w:noProof/>
        </w:rPr>
        <w:t>n ügyletek kezdeményezését, tekintet nélkül arra, hogy az ügyletekre végül hol kerül sor;</w:t>
      </w:r>
    </w:p>
    <w:p w:rsidR="00706CB4" w:rsidRDefault="006719AB">
      <w:pPr>
        <w:pStyle w:val="Point1"/>
        <w:rPr>
          <w:noProof/>
        </w:rPr>
      </w:pPr>
      <w:r>
        <w:rPr>
          <w:noProof/>
        </w:rPr>
        <w:t xml:space="preserve">c) </w:t>
      </w:r>
      <w:r>
        <w:rPr>
          <w:noProof/>
        </w:rPr>
        <w:tab/>
        <w:t>üzleti felhasználók részére nyújtják egyfelől a szolgáltató, másfelől az üzleti felhasználók és azon fogyasztók között létrejött szerződéses jogviszony alapján, a</w:t>
      </w:r>
      <w:r>
        <w:rPr>
          <w:noProof/>
        </w:rPr>
        <w:t>kiknek az üzleti felhasználók árukat és szolgáltatásokat kínálnak;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3.</w:t>
      </w:r>
      <w:r>
        <w:rPr>
          <w:noProof/>
        </w:rPr>
        <w:tab/>
        <w:t>„online közvetítő szolgáltató”: bármely természetes vagy jogi személy, aki online közvetítő szolgáltatást nyújt vagy igénybevételre kínál üzleti felhasználók részére;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4.</w:t>
      </w:r>
      <w:r>
        <w:rPr>
          <w:noProof/>
        </w:rPr>
        <w:tab/>
        <w:t>„fogyasztó”: bár</w:t>
      </w:r>
      <w:r>
        <w:rPr>
          <w:noProof/>
        </w:rPr>
        <w:t>mely természetes személy, aki kereskedelmi, ipari, kézműipari vagy szakmai tevékenységén kívül eső célok érdekében jár el;</w:t>
      </w:r>
    </w:p>
    <w:p w:rsidR="00706CB4" w:rsidRDefault="006719AB">
      <w:pPr>
        <w:pStyle w:val="Point0"/>
        <w:rPr>
          <w:i/>
          <w:noProof/>
        </w:rPr>
      </w:pPr>
      <w:r>
        <w:rPr>
          <w:noProof/>
        </w:rPr>
        <w:t xml:space="preserve">5. </w:t>
      </w:r>
      <w:r>
        <w:rPr>
          <w:noProof/>
        </w:rPr>
        <w:tab/>
        <w:t xml:space="preserve">„online keresőprogram”: olyan digitális szolgáltatás, amelynek segítségével a felhasználók elvileg az összes weboldalon vagy egy </w:t>
      </w:r>
      <w:r>
        <w:rPr>
          <w:noProof/>
        </w:rPr>
        <w:t>adott nyelvhez tartozó weboldalakon kulcsszó, kifejezés vagy egyéb formában megadott lekérdezés alapján bármilyen témában kereséseket végezhetnek, és amely ennek eredményeként olyan hivatkozásokat (linkeket) ad meg, amelyekkel elérhetők a keresett tartalom</w:t>
      </w:r>
      <w:r>
        <w:rPr>
          <w:noProof/>
        </w:rPr>
        <w:t xml:space="preserve">mal kapcsolatos információk; 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6.</w:t>
      </w:r>
      <w:r>
        <w:rPr>
          <w:noProof/>
        </w:rPr>
        <w:tab/>
        <w:t>„online keresőprogram szolgáltató”: bármely természetes vagy jogi személy, aki online keresőprogramot biztosít vagy igénybevételre kínál fogyasztók részére;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7.</w:t>
      </w:r>
      <w:r>
        <w:rPr>
          <w:noProof/>
        </w:rPr>
        <w:tab/>
        <w:t xml:space="preserve">„kereskedelmiweboldal-használó”: bármely természetes vagy jogi </w:t>
      </w:r>
      <w:r>
        <w:rPr>
          <w:noProof/>
        </w:rPr>
        <w:t>személy, aki weboldalakat használ annak érdekében, hogy árut vagy szolgáltatást kínáljon fogyasztók részére kereskedelmi, ipari, kézműipari vagy szakmai tevékenységéhez kapcsolódó célokból;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8.</w:t>
      </w:r>
      <w:r>
        <w:rPr>
          <w:noProof/>
        </w:rPr>
        <w:tab/>
        <w:t>„rangsorolás”: az üzleti felhasználók által online közvetítő sz</w:t>
      </w:r>
      <w:r>
        <w:rPr>
          <w:noProof/>
        </w:rPr>
        <w:t>olgáltatáson keresztül fogyasztóknak kínált áruknak és szolgáltatásoknak, vagy az online keresőprogramok által fogyasztóknak indexált weboldalaknak biztosított viszonylagos kiemelés, ahogyan azt az online közvetítő szolgáltatók, illetve az online keresőpro</w:t>
      </w:r>
      <w:r>
        <w:rPr>
          <w:noProof/>
        </w:rPr>
        <w:t>gram szolgáltatók bemutatják, szervezik vagy kommunikálják az adott fogyasztók részére, tekintet nélkül az ilyen bemutatáshoz, szervezéshez vagy kommunikációhoz használt technológiai eszközökre;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9.</w:t>
      </w:r>
      <w:r>
        <w:rPr>
          <w:noProof/>
        </w:rPr>
        <w:tab/>
        <w:t>„irányítás”: egy vállalkozás tulajdonjoga, vagy a 139/2004</w:t>
      </w:r>
      <w:r>
        <w:rPr>
          <w:noProof/>
        </w:rPr>
        <w:t>/EK tanácsi rendelet</w:t>
      </w:r>
      <w:r>
        <w:rPr>
          <w:rStyle w:val="FootnoteReference"/>
          <w:noProof/>
        </w:rPr>
        <w:footnoteReference w:id="29"/>
      </w:r>
      <w:r>
        <w:rPr>
          <w:noProof/>
        </w:rPr>
        <w:t xml:space="preserve"> 3. cikkének (2) bekezdése szerint a vállalkozás feletti meghatározó befolyás gyakorlására való képesség;</w:t>
      </w:r>
    </w:p>
    <w:p w:rsidR="00706CB4" w:rsidRDefault="006719AB">
      <w:pPr>
        <w:pStyle w:val="Point0"/>
        <w:rPr>
          <w:i/>
          <w:noProof/>
        </w:rPr>
      </w:pPr>
      <w:r>
        <w:rPr>
          <w:noProof/>
        </w:rPr>
        <w:t>10.</w:t>
      </w:r>
      <w:r>
        <w:rPr>
          <w:noProof/>
        </w:rPr>
        <w:tab/>
        <w:t>„szerződési feltételek”: elnevezésüktől vagy formájuktól függetlenül mindazon feltételek, záradékok és más információk, amely</w:t>
      </w:r>
      <w:r>
        <w:rPr>
          <w:noProof/>
        </w:rPr>
        <w:t>ek az online közvetítő szolgáltatók és üzleti felhasználóik közötti szerződéses jogviszonyt szabályozzák, és amelyeket az online közvetítő szolgáltató egyoldalúan határoz meg.</w:t>
      </w:r>
    </w:p>
    <w:p w:rsidR="00706CB4" w:rsidRDefault="00706CB4">
      <w:pPr>
        <w:rPr>
          <w:noProof/>
        </w:rPr>
      </w:pPr>
    </w:p>
    <w:p w:rsidR="00706CB4" w:rsidRDefault="006719AB">
      <w:pPr>
        <w:pStyle w:val="Titrearticle"/>
        <w:rPr>
          <w:noProof/>
        </w:rPr>
      </w:pPr>
      <w:r>
        <w:rPr>
          <w:noProof/>
        </w:rPr>
        <w:t>3. cikk</w:t>
      </w:r>
    </w:p>
    <w:p w:rsidR="00706CB4" w:rsidRDefault="006719AB">
      <w:pPr>
        <w:pStyle w:val="NormalCentered"/>
        <w:keepNext/>
        <w:rPr>
          <w:b/>
          <w:noProof/>
        </w:rPr>
      </w:pPr>
      <w:r>
        <w:rPr>
          <w:b/>
          <w:noProof/>
        </w:rPr>
        <w:t>Szerződési feltételek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(1)</w:t>
      </w:r>
      <w:r>
        <w:rPr>
          <w:noProof/>
        </w:rPr>
        <w:tab/>
        <w:t>Az online közvetítő szolgáltatók gondoskodnak</w:t>
      </w:r>
      <w:r>
        <w:rPr>
          <w:noProof/>
        </w:rPr>
        <w:t xml:space="preserve"> arról, hogy szerződési feltételeik: </w:t>
      </w:r>
    </w:p>
    <w:p w:rsidR="00706CB4" w:rsidRDefault="006719AB">
      <w:pPr>
        <w:pStyle w:val="Point1"/>
        <w:rPr>
          <w:noProof/>
          <w:color w:val="1F497D" w:themeColor="text2"/>
        </w:rPr>
      </w:pPr>
      <w:r>
        <w:rPr>
          <w:noProof/>
        </w:rPr>
        <w:t>a)</w:t>
      </w:r>
      <w:r>
        <w:rPr>
          <w:noProof/>
        </w:rPr>
        <w:tab/>
        <w:t>megfogalmazása egyértelműen és kétséget kizáró módon történjen;</w:t>
      </w:r>
      <w:r>
        <w:rPr>
          <w:noProof/>
          <w:color w:val="1F497D" w:themeColor="text2"/>
        </w:rPr>
        <w:t xml:space="preserve"> </w:t>
      </w:r>
    </w:p>
    <w:p w:rsidR="00706CB4" w:rsidRDefault="006719AB">
      <w:pPr>
        <w:pStyle w:val="Point1"/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r>
        <w:rPr>
          <w:noProof/>
        </w:rPr>
        <w:t xml:space="preserve">az online közvetítő szolgáltatóval fennálló kereskedelmi viszony valamennyi szakaszában (ideértve a szerződéskötést megelőző szakaszt) könnyen hozzáférhetők legyenek az üzleti felhasználók részére; </w:t>
      </w:r>
    </w:p>
    <w:p w:rsidR="00706CB4" w:rsidRDefault="006719AB">
      <w:pPr>
        <w:pStyle w:val="Point1"/>
        <w:rPr>
          <w:noProof/>
          <w:color w:val="1F497D" w:themeColor="text2"/>
        </w:rPr>
      </w:pPr>
      <w:r>
        <w:rPr>
          <w:noProof/>
        </w:rPr>
        <w:t>c)</w:t>
      </w:r>
      <w:r>
        <w:rPr>
          <w:noProof/>
        </w:rPr>
        <w:tab/>
        <w:t>meghatározzák az online közvetítő szolgáltatásuk üzlet</w:t>
      </w:r>
      <w:r>
        <w:rPr>
          <w:noProof/>
        </w:rPr>
        <w:t xml:space="preserve">i felhasználók részére történő nyújtásának teljes vagy részleges mértékű felfüggesztésére vagy megszüntetésére irányuló döntés objektív indokait. </w:t>
      </w:r>
    </w:p>
    <w:p w:rsidR="00706CB4" w:rsidRDefault="006719AB">
      <w:pPr>
        <w:pStyle w:val="Point0"/>
        <w:rPr>
          <w:i/>
          <w:noProof/>
        </w:rPr>
      </w:pPr>
      <w:r>
        <w:rPr>
          <w:noProof/>
        </w:rPr>
        <w:t>(2)</w:t>
      </w:r>
      <w:r>
        <w:rPr>
          <w:noProof/>
        </w:rPr>
        <w:tab/>
        <w:t>Az (1) bekezdésben szereplő követelményeknek nem megfelelő szerződési feltételek vagy azok konkrét rendel</w:t>
      </w:r>
      <w:r>
        <w:rPr>
          <w:noProof/>
        </w:rPr>
        <w:t xml:space="preserve">kezése nem kötelező az érintett üzleti felhasználóra, ha illetékes bíróság megállapítja ezt a meg nem felelést. 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 xml:space="preserve">(3) </w:t>
      </w:r>
      <w:r>
        <w:rPr>
          <w:noProof/>
        </w:rPr>
        <w:tab/>
        <w:t xml:space="preserve">Az online közvetítő szolgáltatók értesítik az érintett üzleti felhasználókat szerződési feltételeik bármely tervezett módosításáról. </w:t>
      </w:r>
    </w:p>
    <w:p w:rsidR="00706CB4" w:rsidRDefault="006719AB">
      <w:pPr>
        <w:pStyle w:val="Point0"/>
        <w:ind w:firstLine="0"/>
        <w:rPr>
          <w:noProof/>
        </w:rPr>
      </w:pPr>
      <w:r>
        <w:rPr>
          <w:noProof/>
        </w:rPr>
        <w:t>A te</w:t>
      </w:r>
      <w:r>
        <w:rPr>
          <w:noProof/>
        </w:rPr>
        <w:t>rvezett módosításokat nem lehet végrehajtani azon értesítési határidő lejárta előtt, amely észszerű és arányos a tervezett módosítás jellegéhez és mértékéhez és az érintett üzleti felhasználót érintő következményekhez képest. Ez az értesítési határidő lega</w:t>
      </w:r>
      <w:r>
        <w:rPr>
          <w:noProof/>
        </w:rPr>
        <w:t>lább 15 nap attól a naptól számítva, amikor az online közvetítő szolgáltató értesíti az érintett üzleti felhasználókat a tervezett módosításokról.</w:t>
      </w:r>
    </w:p>
    <w:p w:rsidR="00706CB4" w:rsidRDefault="006719AB">
      <w:pPr>
        <w:pStyle w:val="Point0"/>
        <w:ind w:firstLine="0"/>
        <w:rPr>
          <w:noProof/>
        </w:rPr>
      </w:pPr>
      <w:r>
        <w:rPr>
          <w:noProof/>
        </w:rPr>
        <w:t>Az érintett üzleti felhasználó írásos nyilatkozattal vagy egyértelmű jóváhagyó cselekvéssel eltekinthet a más</w:t>
      </w:r>
      <w:r>
        <w:rPr>
          <w:noProof/>
        </w:rPr>
        <w:t xml:space="preserve">odik albekezdésben említett értesítési határidőtől. 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 xml:space="preserve">(4) </w:t>
      </w:r>
      <w:r>
        <w:rPr>
          <w:noProof/>
        </w:rPr>
        <w:tab/>
        <w:t xml:space="preserve">A szerződési feltételek online közvetítő szolgáltató által eszközölt, a (3) bekezdés rendelkezéseivel ellentétes módosításai érvénytelenek. 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 xml:space="preserve">(5) </w:t>
      </w:r>
      <w:r>
        <w:rPr>
          <w:noProof/>
        </w:rPr>
        <w:tab/>
        <w:t>A (3) bekezdés nem alkalmazandó, ha az online közvet</w:t>
      </w:r>
      <w:r>
        <w:rPr>
          <w:noProof/>
        </w:rPr>
        <w:t xml:space="preserve">ítő szolgáltatóra olyan jogi kötelezettség hárul, amely szerint szerződési feltételeit oly módon kell módosítania, amely nem teszi lehetővé számára a (3) bekezdés második albekezdésében említett értesítési határidő betartását. </w:t>
      </w:r>
    </w:p>
    <w:p w:rsidR="00706CB4" w:rsidRDefault="006719AB">
      <w:pPr>
        <w:pStyle w:val="Titrearticle"/>
        <w:rPr>
          <w:noProof/>
        </w:rPr>
      </w:pPr>
      <w:r>
        <w:rPr>
          <w:noProof/>
        </w:rPr>
        <w:t>4. cikk</w:t>
      </w:r>
    </w:p>
    <w:p w:rsidR="00706CB4" w:rsidRDefault="006719AB">
      <w:pPr>
        <w:pStyle w:val="NormalCentered"/>
        <w:keepNext/>
        <w:rPr>
          <w:b/>
          <w:noProof/>
        </w:rPr>
      </w:pPr>
      <w:r>
        <w:rPr>
          <w:b/>
          <w:noProof/>
        </w:rPr>
        <w:t>Felfüggesztés és meg</w:t>
      </w:r>
      <w:r>
        <w:rPr>
          <w:b/>
          <w:noProof/>
        </w:rPr>
        <w:t>szüntetés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(1)</w:t>
      </w:r>
      <w:r>
        <w:rPr>
          <w:noProof/>
        </w:rPr>
        <w:tab/>
        <w:t>Ha valamely online közvetítő szolgáltató úgy dönt, hogy teljesen vagy részleges mértékben felfüggeszti vagy megszünteti online közvetítő szolgáltatását valamely adott üzleti felhasználó tekintetében, akkor indokolatlan késedelem nélkül közöln</w:t>
      </w:r>
      <w:r>
        <w:rPr>
          <w:noProof/>
        </w:rPr>
        <w:t xml:space="preserve">ie kell e döntésének indokolását az érintett üzleti felhasználóval. 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(2)</w:t>
      </w:r>
      <w:r>
        <w:rPr>
          <w:noProof/>
        </w:rPr>
        <w:tab/>
        <w:t xml:space="preserve">Az (1) bekezdésben említett indokolásnak tartalmaznia kell az online közvetítő szolgáltató döntéséhez vezető konkrét tényeket vagy körülményeket, valamint a döntéshez igénybe vett, a </w:t>
      </w:r>
      <w:r>
        <w:rPr>
          <w:noProof/>
        </w:rPr>
        <w:t>3. cikk (1) bekezdésének c) pontjában említett objektív indokot vagy indokokat.</w:t>
      </w:r>
    </w:p>
    <w:p w:rsidR="00706CB4" w:rsidRDefault="00706CB4">
      <w:pPr>
        <w:rPr>
          <w:noProof/>
        </w:rPr>
      </w:pPr>
    </w:p>
    <w:p w:rsidR="00706CB4" w:rsidRDefault="006719AB">
      <w:pPr>
        <w:pStyle w:val="Titrearticle"/>
        <w:rPr>
          <w:noProof/>
        </w:rPr>
      </w:pPr>
      <w:r>
        <w:rPr>
          <w:noProof/>
        </w:rPr>
        <w:t>5. cikk</w:t>
      </w:r>
    </w:p>
    <w:p w:rsidR="00706CB4" w:rsidRDefault="006719AB">
      <w:pPr>
        <w:pStyle w:val="NormalCentered"/>
        <w:keepNext/>
        <w:rPr>
          <w:b/>
          <w:noProof/>
        </w:rPr>
      </w:pPr>
      <w:r>
        <w:rPr>
          <w:b/>
          <w:noProof/>
        </w:rPr>
        <w:t>Rangsorolás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(1)</w:t>
      </w:r>
      <w:r>
        <w:rPr>
          <w:noProof/>
        </w:rPr>
        <w:tab/>
        <w:t>Az online közvetítő szolgáltatók szerződési feltételeikben meghatározzák a rangsorolást meghatározó fő paramétereket, és e fő paraméterek más paraméter</w:t>
      </w:r>
      <w:r>
        <w:rPr>
          <w:noProof/>
        </w:rPr>
        <w:t>ekhez képest meglévő viszonylagos jelentőségének okait.</w:t>
      </w:r>
    </w:p>
    <w:p w:rsidR="00706CB4" w:rsidRDefault="006719AB">
      <w:pPr>
        <w:pStyle w:val="Point0"/>
        <w:ind w:firstLine="0"/>
        <w:rPr>
          <w:noProof/>
        </w:rPr>
      </w:pPr>
      <w:r>
        <w:rPr>
          <w:noProof/>
        </w:rPr>
        <w:t>Ha e fő paraméterek között szerepel a rangsorolás befolyásolásának lehetősége az üzleti felhasználó által az érintett online közvetítő szolgáltatónak fizetett bármely közvetlen vagy közvetett díj elle</w:t>
      </w:r>
      <w:r>
        <w:rPr>
          <w:noProof/>
        </w:rPr>
        <w:t>nében, akkor az online közvetítő szolgáltató szerződési feltételeiben feltünteti ezt a lehetőséget és az ilyen díjfizetés rangsorolásra gyakorolt hatásait is.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(2)</w:t>
      </w:r>
      <w:r>
        <w:rPr>
          <w:noProof/>
        </w:rPr>
        <w:tab/>
        <w:t>Az online keresőprogramok szolgáltatói meghatározzák a kereskedelmiweboldal-használók számára</w:t>
      </w:r>
      <w:r>
        <w:rPr>
          <w:noProof/>
        </w:rPr>
        <w:t xml:space="preserve"> a rangsorolást meghatározó fő paramétereket azáltal, hogy könnyen és nyilvánosan hozzáférhető módon egyértelműen és kétséget kizáró módon megfogalmazott leírást helyeznek el online keresőprogramjaik felületén. Gondoskodnak e leírás frissítéséről.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 xml:space="preserve">(3) </w:t>
      </w:r>
      <w:r>
        <w:rPr>
          <w:noProof/>
        </w:rPr>
        <w:tab/>
        <w:t xml:space="preserve">Az </w:t>
      </w:r>
      <w:r>
        <w:rPr>
          <w:noProof/>
        </w:rPr>
        <w:t>(1) és (2) bekezdésben szereplő leírásnak elegendőnek kell lennie ahhoz, hogy lehetővé tegye az üzleti felhasználók vagy kereskedelmiweboldal-használók számára annak megfelelő megértését, hogy a rangsorolási módszer figyelembe veszi-e, és ha igen, mennyibe</w:t>
      </w:r>
      <w:r>
        <w:rPr>
          <w:noProof/>
        </w:rPr>
        <w:t xml:space="preserve">n az alábbiakat: </w:t>
      </w:r>
    </w:p>
    <w:p w:rsidR="00706CB4" w:rsidRDefault="006719AB">
      <w:pPr>
        <w:pStyle w:val="Point1"/>
        <w:rPr>
          <w:noProof/>
        </w:rPr>
      </w:pPr>
      <w:r>
        <w:rPr>
          <w:noProof/>
        </w:rPr>
        <w:t>a)</w:t>
      </w:r>
      <w:r>
        <w:rPr>
          <w:noProof/>
        </w:rPr>
        <w:tab/>
        <w:t xml:space="preserve">a fogyasztóknak online közvetítő szolgáltatáson vagy online keresőprogramon keresztül kínált áruk és szolgáltatások jellege; </w:t>
      </w:r>
    </w:p>
    <w:p w:rsidR="00706CB4" w:rsidRDefault="006719AB">
      <w:pPr>
        <w:pStyle w:val="Point1"/>
        <w:rPr>
          <w:noProof/>
        </w:rPr>
      </w:pPr>
      <w:r>
        <w:rPr>
          <w:noProof/>
        </w:rPr>
        <w:t>b)</w:t>
      </w:r>
      <w:r>
        <w:rPr>
          <w:noProof/>
        </w:rPr>
        <w:tab/>
        <w:t xml:space="preserve">e jellemzők jelentősége a fogyasztók szempontjából; </w:t>
      </w:r>
    </w:p>
    <w:p w:rsidR="00706CB4" w:rsidRDefault="006719AB">
      <w:pPr>
        <w:pStyle w:val="Point1"/>
        <w:rPr>
          <w:noProof/>
        </w:rPr>
      </w:pPr>
      <w:r>
        <w:rPr>
          <w:noProof/>
        </w:rPr>
        <w:t>c)</w:t>
      </w:r>
      <w:r>
        <w:rPr>
          <w:noProof/>
        </w:rPr>
        <w:tab/>
        <w:t>az online keresőprogramok tekintetében a kereskede</w:t>
      </w:r>
      <w:r>
        <w:rPr>
          <w:noProof/>
        </w:rPr>
        <w:t xml:space="preserve">lmiweboldal-használók által használt weboldal kialakításának jellemzői. 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(4)</w:t>
      </w:r>
      <w:r>
        <w:rPr>
          <w:noProof/>
        </w:rPr>
        <w:tab/>
        <w:t>Az online közvetítő szolgáltatók és az online keresőprogram szolgáltatók az e cikknek való megfelelés során nem kötelesek közzétenni az (EU) 2016/943 irányelv 2. cikkének (1) beke</w:t>
      </w:r>
      <w:r>
        <w:rPr>
          <w:noProof/>
        </w:rPr>
        <w:t>zdése szerinti üzleti titkot.</w:t>
      </w:r>
    </w:p>
    <w:p w:rsidR="00706CB4" w:rsidRDefault="006719AB">
      <w:pPr>
        <w:pStyle w:val="Titrearticle"/>
        <w:rPr>
          <w:noProof/>
        </w:rPr>
      </w:pPr>
      <w:r>
        <w:rPr>
          <w:noProof/>
        </w:rPr>
        <w:t>6. cikk</w:t>
      </w:r>
    </w:p>
    <w:p w:rsidR="00706CB4" w:rsidRDefault="006719AB">
      <w:pPr>
        <w:pStyle w:val="NormalCentered"/>
        <w:keepNext/>
        <w:rPr>
          <w:b/>
          <w:noProof/>
        </w:rPr>
      </w:pPr>
      <w:r>
        <w:rPr>
          <w:b/>
          <w:noProof/>
        </w:rPr>
        <w:t>Megkülönböztetett bánásmód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(1)</w:t>
      </w:r>
      <w:r>
        <w:rPr>
          <w:noProof/>
        </w:rPr>
        <w:tab/>
        <w:t>Az online közvetítő szolgáltatók szerződési feltételeikben szerepeltetik az általuk biztosított vagy biztosítható megkülönböztetett bánásmódot egyrészt az ezen online közvetítő szolgáltat</w:t>
      </w:r>
      <w:r>
        <w:rPr>
          <w:noProof/>
        </w:rPr>
        <w:t xml:space="preserve">áson keresztül a szolgáltató vagy az irányítása alatt álló üzleti felhasználó által a fogyasztóknak kínált áruk és szolgáltatások, másrészt más üzleti felhasználók tekintetében. 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(2)</w:t>
      </w:r>
      <w:r>
        <w:rPr>
          <w:noProof/>
        </w:rPr>
        <w:tab/>
        <w:t>Az (1) bekezdésben szereplő meghatározás magában foglalja adott esetben l</w:t>
      </w:r>
      <w:r>
        <w:rPr>
          <w:noProof/>
        </w:rPr>
        <w:t xml:space="preserve">egalább az online közvetítő szolgáltató által az alábbiak bármelyike tekintetében különös intézkedésekkel vagy magatartásával biztosított megkülönböztetett bánásmódot: </w:t>
      </w:r>
    </w:p>
    <w:p w:rsidR="00706CB4" w:rsidRDefault="006719AB">
      <w:pPr>
        <w:pStyle w:val="Point1"/>
        <w:rPr>
          <w:noProof/>
        </w:rPr>
      </w:pPr>
      <w:r>
        <w:rPr>
          <w:noProof/>
        </w:rPr>
        <w:t>a)</w:t>
      </w:r>
      <w:r>
        <w:rPr>
          <w:noProof/>
        </w:rPr>
        <w:tab/>
        <w:t>az a hozzáférés, amellyel a szolgáltató vagy a szolgáltató irányítása alatt álló üzl</w:t>
      </w:r>
      <w:r>
        <w:rPr>
          <w:noProof/>
        </w:rPr>
        <w:t>eti felhasználó rendelkezhet bármely olyan személyes adat vagy más adat vagy mindkettő tekintetében, amelyeket az üzleti felhasználók vagy a fogyasztók bocsátanak rendelkezésre az érintett online közvetítő szolgáltatás igénybevételéért vagy amelyek e szolg</w:t>
      </w:r>
      <w:r>
        <w:rPr>
          <w:noProof/>
        </w:rPr>
        <w:t>áltatások nyújtása során keletkeznek;</w:t>
      </w:r>
    </w:p>
    <w:p w:rsidR="00706CB4" w:rsidRDefault="006719AB">
      <w:pPr>
        <w:pStyle w:val="Point1"/>
        <w:rPr>
          <w:noProof/>
        </w:rPr>
      </w:pPr>
      <w:r>
        <w:rPr>
          <w:noProof/>
        </w:rPr>
        <w:t>b)</w:t>
      </w:r>
      <w:r>
        <w:rPr>
          <w:noProof/>
        </w:rPr>
        <w:tab/>
        <w:t>rangsorolás;</w:t>
      </w:r>
    </w:p>
    <w:p w:rsidR="00706CB4" w:rsidRDefault="006719AB">
      <w:pPr>
        <w:pStyle w:val="Point1"/>
        <w:rPr>
          <w:noProof/>
        </w:rPr>
      </w:pPr>
      <w:r>
        <w:rPr>
          <w:noProof/>
        </w:rPr>
        <w:t>c)</w:t>
      </w:r>
      <w:r>
        <w:rPr>
          <w:noProof/>
        </w:rPr>
        <w:tab/>
        <w:t>bármely, az érintett online közvetítő szolgáltatás igénybevételéért felszámított közvetlen vagy közvetett díj;</w:t>
      </w:r>
    </w:p>
    <w:p w:rsidR="00706CB4" w:rsidRDefault="006719AB">
      <w:pPr>
        <w:pStyle w:val="Point1"/>
        <w:rPr>
          <w:noProof/>
        </w:rPr>
      </w:pPr>
      <w:r>
        <w:rPr>
          <w:noProof/>
        </w:rPr>
        <w:t>d)</w:t>
      </w:r>
      <w:r>
        <w:rPr>
          <w:noProof/>
        </w:rPr>
        <w:tab/>
        <w:t>az érintett online közvetítő szolgáltatásokhoz közvetlenül kapcsolódó vagy azokat kie</w:t>
      </w:r>
      <w:r>
        <w:rPr>
          <w:noProof/>
        </w:rPr>
        <w:t>gészítő szolgáltatásokhoz való hozzáférés vagy igénybevételük feltételei.</w:t>
      </w:r>
    </w:p>
    <w:p w:rsidR="00706CB4" w:rsidRDefault="00706CB4">
      <w:pPr>
        <w:rPr>
          <w:noProof/>
        </w:rPr>
      </w:pPr>
    </w:p>
    <w:p w:rsidR="00706CB4" w:rsidRDefault="006719AB">
      <w:pPr>
        <w:pStyle w:val="Titrearticle"/>
        <w:rPr>
          <w:noProof/>
        </w:rPr>
      </w:pPr>
      <w:r>
        <w:rPr>
          <w:noProof/>
        </w:rPr>
        <w:t>7. cikk</w:t>
      </w:r>
    </w:p>
    <w:p w:rsidR="00706CB4" w:rsidRDefault="006719AB">
      <w:pPr>
        <w:pStyle w:val="NormalCentered"/>
        <w:keepNext/>
        <w:rPr>
          <w:b/>
          <w:noProof/>
        </w:rPr>
      </w:pPr>
      <w:r>
        <w:rPr>
          <w:b/>
          <w:noProof/>
        </w:rPr>
        <w:t>Az adatokhoz való hozzáférés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(1)</w:t>
      </w:r>
      <w:r>
        <w:rPr>
          <w:noProof/>
        </w:rPr>
        <w:tab/>
        <w:t>Az online közvetítő szolgáltatók szerződési feltételeikben szerepeltetik az üzleti felhasználók műszaki és szerződéses hozzáférésének leírás</w:t>
      </w:r>
      <w:r>
        <w:rPr>
          <w:noProof/>
        </w:rPr>
        <w:t>át vagy ezek hiányát bármely olyan személyes adat vagy más adat vagy mindkettő tekintetében, amelyeket az üzleti felhasználók vagy a fogyasztók bocsátanak rendelkezésre az érintett online közvetítő szolgáltatás igénybevételéért vagy amelyek e szolgáltatáso</w:t>
      </w:r>
      <w:r>
        <w:rPr>
          <w:noProof/>
        </w:rPr>
        <w:t xml:space="preserve">k nyújtása során keletkeznek. 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(2)</w:t>
      </w:r>
      <w:r>
        <w:rPr>
          <w:noProof/>
        </w:rPr>
        <w:tab/>
        <w:t>Az (1) bekezdés szerinti leírás során az online közvetítő szolgáltatók megfelelően értesítik az üzleti felhasználókat legalább az alábbiakról:</w:t>
      </w:r>
    </w:p>
    <w:p w:rsidR="00706CB4" w:rsidRDefault="006719AB">
      <w:pPr>
        <w:pStyle w:val="Point1"/>
        <w:rPr>
          <w:noProof/>
        </w:rPr>
      </w:pPr>
      <w:r>
        <w:rPr>
          <w:noProof/>
        </w:rPr>
        <w:t>a)</w:t>
      </w:r>
      <w:r>
        <w:rPr>
          <w:noProof/>
        </w:rPr>
        <w:tab/>
        <w:t>rendelkezik-e az online közvetítő szolgáltató hozzáféréssel bármely olyan s</w:t>
      </w:r>
      <w:r>
        <w:rPr>
          <w:noProof/>
        </w:rPr>
        <w:t xml:space="preserve">zemélyes adathoz vagy más adathoz vagy mindkettőhöz, amelyeket az üzleti felhasználók vagy a fogyasztók bocsátanak rendelkezésre az érintett szolgáltatás igénybevételéért vagy amelyek e szolgáltatások nyújtása során keletkeznek, és ha igen, akkor az ilyen </w:t>
      </w:r>
      <w:r>
        <w:rPr>
          <w:noProof/>
        </w:rPr>
        <w:t xml:space="preserve">adatok mely kategóriái tekintetében és milyen feltételek mellett; </w:t>
      </w:r>
    </w:p>
    <w:p w:rsidR="00706CB4" w:rsidRDefault="006719AB">
      <w:pPr>
        <w:pStyle w:val="Point1"/>
        <w:rPr>
          <w:noProof/>
        </w:rPr>
      </w:pPr>
      <w:r>
        <w:rPr>
          <w:noProof/>
        </w:rPr>
        <w:t>b)</w:t>
      </w:r>
      <w:r>
        <w:rPr>
          <w:noProof/>
        </w:rPr>
        <w:tab/>
        <w:t>rendelkezik-e az üzleti felhasználó hozzáféréssel bármely olyan személyes adathoz vagy más adathoz vagy mindkettőhöz, amelyeket az említett üzleti felhasználó bocsát rendelkezésre az éri</w:t>
      </w:r>
      <w:r>
        <w:rPr>
          <w:noProof/>
        </w:rPr>
        <w:t xml:space="preserve">ntett online közvetítő szolgáltatás igénybevételével kapcsolatban vagy amelyek e szolgáltatásoknak a szóban forgó üzleti felhasználónak történő nyújtása során keletkeznek, és ha igen, akkor az ilyen adatok mely kategóriái tekintetében és milyen feltételek </w:t>
      </w:r>
      <w:r>
        <w:rPr>
          <w:noProof/>
        </w:rPr>
        <w:t>mellett;</w:t>
      </w:r>
    </w:p>
    <w:p w:rsidR="00706CB4" w:rsidRDefault="006719AB">
      <w:pPr>
        <w:pStyle w:val="Point1"/>
        <w:rPr>
          <w:noProof/>
        </w:rPr>
      </w:pPr>
      <w:r>
        <w:rPr>
          <w:noProof/>
        </w:rPr>
        <w:t>c)</w:t>
      </w:r>
      <w:r>
        <w:rPr>
          <w:noProof/>
        </w:rPr>
        <w:tab/>
        <w:t xml:space="preserve">rendelkezik-e az üzleti felhasználó hozzáféréssel a b) ponton túlmenően bármely olyan személyes adathoz vagy más adathoz vagy mindkettőhöz, az összesített adatokat is ideértve, amelyeket az online közvetítő szolgáltatás valamennyi üzleti </w:t>
      </w:r>
      <w:r>
        <w:rPr>
          <w:noProof/>
        </w:rPr>
        <w:t>felhasználó és fogyasztó tekintetében történő nyújtása bocsát rendelkezésre vagy hoz létre, és ha igen, akkor az ilyen adatok mely kategóriái tekintetében és milyen feltételek mellett.</w:t>
      </w:r>
    </w:p>
    <w:p w:rsidR="00706CB4" w:rsidRDefault="00706CB4">
      <w:pPr>
        <w:rPr>
          <w:noProof/>
        </w:rPr>
      </w:pPr>
    </w:p>
    <w:p w:rsidR="00706CB4" w:rsidRDefault="006719AB">
      <w:pPr>
        <w:pStyle w:val="Titrearticle"/>
        <w:rPr>
          <w:noProof/>
        </w:rPr>
      </w:pPr>
      <w:r>
        <w:rPr>
          <w:noProof/>
        </w:rPr>
        <w:t>8. cikk</w:t>
      </w:r>
    </w:p>
    <w:p w:rsidR="00706CB4" w:rsidRDefault="006719AB">
      <w:pPr>
        <w:pStyle w:val="NormalCentered"/>
        <w:keepNext/>
        <w:rPr>
          <w:b/>
          <w:noProof/>
        </w:rPr>
      </w:pPr>
      <w:r>
        <w:rPr>
          <w:b/>
          <w:noProof/>
        </w:rPr>
        <w:t xml:space="preserve">Eltérő feltételek egyéb eszközökön keresztüli kínálatának korlátozása </w:t>
      </w:r>
    </w:p>
    <w:p w:rsidR="00706CB4" w:rsidRDefault="006719AB">
      <w:pPr>
        <w:pStyle w:val="Point0"/>
        <w:ind w:left="720" w:hanging="720"/>
        <w:rPr>
          <w:noProof/>
        </w:rPr>
      </w:pPr>
      <w:r>
        <w:rPr>
          <w:noProof/>
        </w:rPr>
        <w:t>(1)</w:t>
      </w:r>
      <w:r>
        <w:rPr>
          <w:noProof/>
        </w:rPr>
        <w:tab/>
        <w:t>Amennyiben szolgáltatásuk nyújtása során az online közvetítő szolgáltatók korlátozzák az üzleti felhasználók azon képességét, hogy ugyanazon árukat és szolgáltatásokat különböző fel</w:t>
      </w:r>
      <w:r>
        <w:rPr>
          <w:noProof/>
        </w:rPr>
        <w:t xml:space="preserve">tételek mellett, az említett szolgáltatásoktól eltérő eszközök segítségével kínálják a fogyasztóknak, akkor szerződési feltételeik között fel kell tüntetniük e korlátozás okait, és ezeket könnyen hozzáférhetővé kell tenniük a nyilvánosság számára. Ezek az </w:t>
      </w:r>
      <w:r>
        <w:rPr>
          <w:noProof/>
        </w:rPr>
        <w:t>okok magukban foglalják az említett korlátozások gazdasági, kereskedelmi vagy jogi szempontjait.</w:t>
      </w:r>
    </w:p>
    <w:p w:rsidR="00706CB4" w:rsidRDefault="006719AB">
      <w:pPr>
        <w:pStyle w:val="Point0"/>
        <w:ind w:left="720" w:hanging="720"/>
        <w:rPr>
          <w:noProof/>
        </w:rPr>
      </w:pPr>
      <w:r>
        <w:rPr>
          <w:noProof/>
        </w:rPr>
        <w:t xml:space="preserve">(2) </w:t>
      </w:r>
      <w:r>
        <w:rPr>
          <w:noProof/>
        </w:rPr>
        <w:tab/>
        <w:t>Az (1) bekezdésben szereplő kötelezettség nem érinti az online közvetítő szolgáltatókra vonatkozó, az uniós jogból vagy az uniós joggal összhangban álló t</w:t>
      </w:r>
      <w:r>
        <w:rPr>
          <w:noProof/>
        </w:rPr>
        <w:t>agállami jogi aktusokból fakadó ilyen korlátozások megállapítása tekintetében fennálló bármely tilalmat vagy korlátozást.</w:t>
      </w:r>
    </w:p>
    <w:p w:rsidR="00706CB4" w:rsidRDefault="00706CB4">
      <w:pPr>
        <w:pStyle w:val="SectionTitle"/>
        <w:rPr>
          <w:noProof/>
        </w:rPr>
      </w:pPr>
    </w:p>
    <w:p w:rsidR="00706CB4" w:rsidRDefault="006719AB">
      <w:pPr>
        <w:pStyle w:val="Titrearticle"/>
        <w:rPr>
          <w:noProof/>
        </w:rPr>
      </w:pPr>
      <w:r>
        <w:rPr>
          <w:noProof/>
        </w:rPr>
        <w:t>9. cikk</w:t>
      </w:r>
    </w:p>
    <w:p w:rsidR="00706CB4" w:rsidRDefault="006719AB">
      <w:pPr>
        <w:pStyle w:val="NormalCentered"/>
        <w:keepNext/>
        <w:rPr>
          <w:b/>
          <w:noProof/>
        </w:rPr>
      </w:pPr>
      <w:r>
        <w:rPr>
          <w:b/>
          <w:noProof/>
        </w:rPr>
        <w:t xml:space="preserve">Belső panaszkezelési rendszer 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(1)</w:t>
      </w:r>
      <w:r>
        <w:rPr>
          <w:noProof/>
        </w:rPr>
        <w:tab/>
        <w:t>Az online közvetítő szolgáltatók belső rendszert biztosítanak az üzleti felhasználók panas</w:t>
      </w:r>
      <w:r>
        <w:rPr>
          <w:noProof/>
        </w:rPr>
        <w:t xml:space="preserve">zainak kezelésére. </w:t>
      </w:r>
    </w:p>
    <w:p w:rsidR="00706CB4" w:rsidRDefault="006719AB">
      <w:pPr>
        <w:pStyle w:val="Point0"/>
        <w:ind w:firstLine="0"/>
        <w:rPr>
          <w:noProof/>
        </w:rPr>
      </w:pPr>
      <w:r>
        <w:rPr>
          <w:noProof/>
        </w:rPr>
        <w:t xml:space="preserve">A belső panaszkezelési rendszernek könnyen hozzáférhetőnek kell lennie az üzleti felhasználók számára. Lehetővé kell tennie számukra a közvetlen panaszbenyújtást az érintett szolgáltatóhoz az alábbi kérdések bármelyikében: </w:t>
      </w:r>
    </w:p>
    <w:p w:rsidR="00706CB4" w:rsidRDefault="006719AB">
      <w:pPr>
        <w:pStyle w:val="Point1"/>
        <w:rPr>
          <w:noProof/>
        </w:rPr>
      </w:pPr>
      <w:r>
        <w:rPr>
          <w:noProof/>
        </w:rPr>
        <w:t>a)</w:t>
      </w:r>
      <w:r>
        <w:rPr>
          <w:noProof/>
        </w:rPr>
        <w:tab/>
        <w:t>a rendele</w:t>
      </w:r>
      <w:r>
        <w:rPr>
          <w:noProof/>
        </w:rPr>
        <w:t>tben szereplő bármely jogi kötelezettségnek való megfelelés állítólagos hiánya az említett szolgáltató tekintetében, amely hátrányosan érinti a panaszost;</w:t>
      </w:r>
    </w:p>
    <w:p w:rsidR="00706CB4" w:rsidRDefault="006719AB">
      <w:pPr>
        <w:pStyle w:val="Point1"/>
        <w:rPr>
          <w:noProof/>
        </w:rPr>
      </w:pPr>
      <w:r>
        <w:rPr>
          <w:noProof/>
        </w:rPr>
        <w:t>b)</w:t>
      </w:r>
      <w:r>
        <w:rPr>
          <w:noProof/>
        </w:rPr>
        <w:tab/>
        <w:t>az online közvetítő szolgáltatások nyújtásához közvetlenül kapcsolódó technológiai kérdések, amely</w:t>
      </w:r>
      <w:r>
        <w:rPr>
          <w:noProof/>
        </w:rPr>
        <w:t>ek el nem hanyagolható módon hátrányosan érintik a panaszost;</w:t>
      </w:r>
    </w:p>
    <w:p w:rsidR="00706CB4" w:rsidRDefault="006719AB">
      <w:pPr>
        <w:pStyle w:val="Point1"/>
        <w:rPr>
          <w:noProof/>
        </w:rPr>
      </w:pPr>
      <w:r>
        <w:rPr>
          <w:noProof/>
        </w:rPr>
        <w:t>c)</w:t>
      </w:r>
      <w:r>
        <w:rPr>
          <w:noProof/>
        </w:rPr>
        <w:tab/>
        <w:t>a szóban forgó szolgáltató online közvetítő szolgáltatások nyújtásához közvetlenül kapcsolódó intézkedése vagy magatartása, amely el nem hanyagolható módon hátrányosan érinti a panaszost.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(2)</w:t>
      </w:r>
      <w:r>
        <w:rPr>
          <w:noProof/>
        </w:rPr>
        <w:t xml:space="preserve"> </w:t>
      </w:r>
      <w:r>
        <w:rPr>
          <w:noProof/>
        </w:rPr>
        <w:tab/>
        <w:t>Belső panaszkezelési rendszerük részeként az online közvetítő szolgáltatók:</w:t>
      </w:r>
    </w:p>
    <w:p w:rsidR="00706CB4" w:rsidRDefault="006719AB">
      <w:pPr>
        <w:pStyle w:val="Point1"/>
        <w:rPr>
          <w:noProof/>
        </w:rPr>
      </w:pPr>
      <w:r>
        <w:rPr>
          <w:noProof/>
        </w:rPr>
        <w:t>a)</w:t>
      </w:r>
      <w:r>
        <w:rPr>
          <w:noProof/>
        </w:rPr>
        <w:tab/>
        <w:t>megfelelően figyelembe veszik a benyújtott panaszokat és a panasznak a felmerülő kérdés megfelelő kezeléséhez esetlegesen szükséges nyomon követését, a kérdés jelentőségével é</w:t>
      </w:r>
      <w:r>
        <w:rPr>
          <w:noProof/>
        </w:rPr>
        <w:t>s összetettségével arányban álló módon;</w:t>
      </w:r>
    </w:p>
    <w:p w:rsidR="00706CB4" w:rsidRDefault="006719AB">
      <w:pPr>
        <w:pStyle w:val="Point1"/>
        <w:rPr>
          <w:noProof/>
        </w:rPr>
      </w:pPr>
      <w:r>
        <w:rPr>
          <w:noProof/>
        </w:rPr>
        <w:t>b)</w:t>
      </w:r>
      <w:r>
        <w:rPr>
          <w:noProof/>
        </w:rPr>
        <w:tab/>
        <w:t xml:space="preserve">gyorsan és hatékonyan kezelik a panaszokat, figyelembe véve a felmerülő kérdés jelentőségét és összetettségét; </w:t>
      </w:r>
    </w:p>
    <w:p w:rsidR="00706CB4" w:rsidRDefault="006719AB">
      <w:pPr>
        <w:pStyle w:val="Point1"/>
        <w:rPr>
          <w:noProof/>
        </w:rPr>
      </w:pPr>
      <w:r>
        <w:rPr>
          <w:noProof/>
        </w:rPr>
        <w:t>c)</w:t>
      </w:r>
      <w:r>
        <w:rPr>
          <w:noProof/>
        </w:rPr>
        <w:tab/>
        <w:t>egyedileg, egyértelmű és kétséget kizáró megfogalmazásban közlik a panaszossal a belső panaszkezel</w:t>
      </w:r>
      <w:r>
        <w:rPr>
          <w:noProof/>
        </w:rPr>
        <w:t>ési folyamat eredményét.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(3)</w:t>
      </w:r>
      <w:r>
        <w:rPr>
          <w:noProof/>
        </w:rPr>
        <w:tab/>
        <w:t xml:space="preserve">Az online közvetítő szolgáltatók szerződési feltételeikben szerepeltetik a belső panaszkezelési rendszerükhöz való hozzáférésre és annak működésére vonatkozó valamennyi lényeges információt. 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(4)</w:t>
      </w:r>
      <w:r>
        <w:rPr>
          <w:noProof/>
        </w:rPr>
        <w:tab/>
        <w:t>Az online közvetítő szolgáltató</w:t>
      </w:r>
      <w:r>
        <w:rPr>
          <w:noProof/>
        </w:rPr>
        <w:t xml:space="preserve">k évente létrehozzák és a nyilvánosság számára könnyen hozzáférhető módon rendelkezésre bocsátják a belső panaszkezelési rendszerük működésére és hatékonyságára vonatkozó tájékoztatást. </w:t>
      </w:r>
    </w:p>
    <w:p w:rsidR="00706CB4" w:rsidRDefault="006719AB">
      <w:pPr>
        <w:pStyle w:val="Point0"/>
        <w:ind w:firstLine="0"/>
        <w:rPr>
          <w:noProof/>
        </w:rPr>
      </w:pPr>
      <w:r>
        <w:rPr>
          <w:noProof/>
        </w:rPr>
        <w:t>Ez a tájékoztatás tartalmazza az összes benyújtott panasz számát, a p</w:t>
      </w:r>
      <w:r>
        <w:rPr>
          <w:noProof/>
        </w:rPr>
        <w:t xml:space="preserve">anaszok tárgyát, a panaszkezeléshez szükséges időtartamot és a panaszok eldöntése során hozott döntést. </w:t>
      </w:r>
    </w:p>
    <w:p w:rsidR="00706CB4" w:rsidRDefault="006719AB">
      <w:pPr>
        <w:pStyle w:val="Point0"/>
        <w:rPr>
          <w:noProof/>
          <w:color w:val="1F497D" w:themeColor="text2"/>
        </w:rPr>
      </w:pPr>
      <w:r>
        <w:rPr>
          <w:noProof/>
        </w:rPr>
        <w:t>(5)</w:t>
      </w:r>
      <w:r>
        <w:rPr>
          <w:noProof/>
        </w:rPr>
        <w:tab/>
        <w:t>E cikk rendelkezései nem alkalmazandók azokra az online közvetítő szolgáltatókra, akik a 2003/361/EK ajánlás</w:t>
      </w:r>
      <w:r>
        <w:rPr>
          <w:rStyle w:val="FootnoteReference"/>
          <w:noProof/>
        </w:rPr>
        <w:footnoteReference w:id="30"/>
      </w:r>
      <w:r>
        <w:rPr>
          <w:noProof/>
        </w:rPr>
        <w:t xml:space="preserve"> melléklete 2. cikkének (2) bekezdése </w:t>
      </w:r>
      <w:r>
        <w:rPr>
          <w:noProof/>
        </w:rPr>
        <w:t xml:space="preserve">értelmében vett kisvállalkozások. </w:t>
      </w:r>
    </w:p>
    <w:p w:rsidR="00706CB4" w:rsidRDefault="00706CB4">
      <w:pPr>
        <w:rPr>
          <w:noProof/>
        </w:rPr>
      </w:pPr>
    </w:p>
    <w:p w:rsidR="00706CB4" w:rsidRDefault="006719AB">
      <w:pPr>
        <w:pStyle w:val="Titrearticle"/>
        <w:rPr>
          <w:noProof/>
        </w:rPr>
      </w:pPr>
      <w:r>
        <w:rPr>
          <w:noProof/>
        </w:rPr>
        <w:t>10. cikk</w:t>
      </w:r>
    </w:p>
    <w:p w:rsidR="00706CB4" w:rsidRDefault="006719AB">
      <w:pPr>
        <w:pStyle w:val="NormalCentered"/>
        <w:keepNext/>
        <w:rPr>
          <w:b/>
          <w:noProof/>
        </w:rPr>
      </w:pPr>
      <w:r>
        <w:rPr>
          <w:b/>
          <w:noProof/>
        </w:rPr>
        <w:t xml:space="preserve">Közvetítés 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(1)</w:t>
      </w:r>
      <w:r>
        <w:rPr>
          <w:noProof/>
        </w:rPr>
        <w:tab/>
        <w:t>Az online közvetítő szolgáltatók szerződési feltételeikben feltüntetnek egy vagy több olyan közvetítőt, akit bíróságon kívüli úton be kívánnak vonni az üzleti felhasználóval való megállapodásra i</w:t>
      </w:r>
      <w:r>
        <w:rPr>
          <w:noProof/>
        </w:rPr>
        <w:t>rányuló törekvésbe olyan viták során, amely az érintett online közvetítő szolgáltatás nyújtása tekintetében merül fel a szolgáltató és az üzleti felhasználó között, ideértve azokat a panaszokat is, amelyeket nem sikerült kezelni a 9. cikkben szereplő belső</w:t>
      </w:r>
      <w:r>
        <w:rPr>
          <w:noProof/>
        </w:rPr>
        <w:t xml:space="preserve"> panaszkezelési rendszer eszközeivel. </w:t>
      </w:r>
    </w:p>
    <w:p w:rsidR="00706CB4" w:rsidRDefault="006719AB">
      <w:pPr>
        <w:pStyle w:val="Point0"/>
        <w:ind w:firstLine="0"/>
        <w:rPr>
          <w:i/>
          <w:noProof/>
          <w:color w:val="FF0000"/>
        </w:rPr>
      </w:pPr>
      <w:r>
        <w:rPr>
          <w:noProof/>
        </w:rPr>
        <w:t xml:space="preserve">Az online közvetítő szolgáltatók csak abban az esetben jelölhetnek meg az Unió területén kívülről közvetítő szolgáltatást nyújtó közvetítőket, ha biztosított, hogy az ilyen szolgáltatásokat az Unió területén kívülről </w:t>
      </w:r>
      <w:r>
        <w:rPr>
          <w:noProof/>
        </w:rPr>
        <w:t>nyújtó közvetítő következményeként az érintett üzleti felhasználókat nem fosztják meg eredményesen az uniós jog vagy a tagállamok joga szerint biztosított semmilyen jogi garancia előnyeitől.</w:t>
      </w:r>
    </w:p>
    <w:p w:rsidR="00706CB4" w:rsidRDefault="006719AB">
      <w:pPr>
        <w:pStyle w:val="Point0"/>
        <w:ind w:left="0" w:firstLine="0"/>
        <w:rPr>
          <w:noProof/>
        </w:rPr>
      </w:pPr>
      <w:r>
        <w:rPr>
          <w:noProof/>
        </w:rPr>
        <w:t>(2)</w:t>
      </w:r>
      <w:r>
        <w:rPr>
          <w:noProof/>
        </w:rPr>
        <w:tab/>
        <w:t xml:space="preserve">Az (1) bekezdésben meghatározott közvetítőknek teljesíteniük </w:t>
      </w:r>
      <w:r>
        <w:rPr>
          <w:noProof/>
        </w:rPr>
        <w:t>kell a következő feltételeket:</w:t>
      </w:r>
    </w:p>
    <w:p w:rsidR="00706CB4" w:rsidRDefault="006719AB">
      <w:pPr>
        <w:pStyle w:val="Point1"/>
        <w:rPr>
          <w:noProof/>
        </w:rPr>
      </w:pPr>
      <w:r>
        <w:rPr>
          <w:noProof/>
        </w:rPr>
        <w:t>a)</w:t>
      </w:r>
      <w:r>
        <w:rPr>
          <w:noProof/>
        </w:rPr>
        <w:tab/>
        <w:t>pártatlanok és függetlenek;</w:t>
      </w:r>
    </w:p>
    <w:p w:rsidR="00706CB4" w:rsidRDefault="006719AB">
      <w:pPr>
        <w:pStyle w:val="Point1"/>
        <w:rPr>
          <w:noProof/>
        </w:rPr>
      </w:pPr>
      <w:r>
        <w:rPr>
          <w:noProof/>
        </w:rPr>
        <w:t>b)</w:t>
      </w:r>
      <w:r>
        <w:rPr>
          <w:noProof/>
        </w:rPr>
        <w:tab/>
        <w:t>a közvetítői szolgáltatás az érintett online közvetítő szolgáltatás átlagos üzleti felhasználója számára megfizethető;</w:t>
      </w:r>
    </w:p>
    <w:p w:rsidR="00706CB4" w:rsidRDefault="006719AB">
      <w:pPr>
        <w:pStyle w:val="Point1"/>
        <w:rPr>
          <w:noProof/>
        </w:rPr>
      </w:pPr>
      <w:r>
        <w:rPr>
          <w:noProof/>
        </w:rPr>
        <w:t>c)</w:t>
      </w:r>
      <w:r>
        <w:rPr>
          <w:noProof/>
        </w:rPr>
        <w:tab/>
        <w:t>a közvetítői szolgáltatást képesek az online közvetítő szolgáltató és</w:t>
      </w:r>
      <w:r>
        <w:rPr>
          <w:noProof/>
        </w:rPr>
        <w:t xml:space="preserve"> érintett üzleti felhasználó között fennálló szerződéses jogviszonyt szabályozó szerződési feltételekben használt nyelven nyújtani;</w:t>
      </w:r>
    </w:p>
    <w:p w:rsidR="00706CB4" w:rsidRDefault="006719AB">
      <w:pPr>
        <w:pStyle w:val="Point1"/>
        <w:rPr>
          <w:noProof/>
        </w:rPr>
      </w:pPr>
      <w:r>
        <w:rPr>
          <w:noProof/>
        </w:rPr>
        <w:t>d)</w:t>
      </w:r>
      <w:r>
        <w:rPr>
          <w:noProof/>
        </w:rPr>
        <w:tab/>
        <w:t>könnyen elérhetők vagy fizikailag az üzleti felhasználó székhelyén vagy lakóhelyén, vagy távhozzáférés keretében telekomm</w:t>
      </w:r>
      <w:r>
        <w:rPr>
          <w:noProof/>
        </w:rPr>
        <w:t>unikációs technológiák igénybevételével;</w:t>
      </w:r>
    </w:p>
    <w:p w:rsidR="00706CB4" w:rsidRDefault="006719AB">
      <w:pPr>
        <w:pStyle w:val="Point1"/>
        <w:rPr>
          <w:noProof/>
        </w:rPr>
      </w:pPr>
      <w:r>
        <w:rPr>
          <w:noProof/>
        </w:rPr>
        <w:t>e)</w:t>
      </w:r>
      <w:r>
        <w:rPr>
          <w:noProof/>
        </w:rPr>
        <w:tab/>
        <w:t>indokolatlan késedelem nélkül képesek közvetítői szolgáltatást nyújtani;</w:t>
      </w:r>
    </w:p>
    <w:p w:rsidR="00706CB4" w:rsidRDefault="006719AB">
      <w:pPr>
        <w:pStyle w:val="Point1"/>
        <w:rPr>
          <w:noProof/>
        </w:rPr>
      </w:pPr>
      <w:r>
        <w:rPr>
          <w:noProof/>
        </w:rPr>
        <w:t>f)</w:t>
      </w:r>
      <w:r>
        <w:rPr>
          <w:noProof/>
        </w:rPr>
        <w:tab/>
        <w:t>megfelelően ismerik a vállalkozások közötti általános kereskedelmi kapcsolatokat, amely lehetővé teszi számukra a vitarendezési kísérlet</w:t>
      </w:r>
      <w:r>
        <w:rPr>
          <w:noProof/>
        </w:rPr>
        <w:t xml:space="preserve"> eredményes támogatását.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(3)</w:t>
      </w:r>
      <w:r>
        <w:rPr>
          <w:noProof/>
        </w:rPr>
        <w:tab/>
        <w:t>Az online közvetítő szolgáltatók jóhiszeműen vesznek részt az (1) bekezdéssel összhangban megjelölt bármely közvetítő megállapodásra irányuló közvetítésében azzal a céllal, hogy megállapodjanak a vita rendezéséről.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(4)</w:t>
      </w:r>
      <w:r>
        <w:rPr>
          <w:noProof/>
        </w:rPr>
        <w:tab/>
        <w:t>Az onlin</w:t>
      </w:r>
      <w:r>
        <w:rPr>
          <w:noProof/>
        </w:rPr>
        <w:t>e közvetítő szolgáltatók az egyedi ügyek teljes közvetítési költségének észszerű hányadát viselik. Az említett teljes költség észszerű hányadát a közvetítő javaslata alapján úgy kell megállapítani, hogy figyelembe kell venni a szóban forgó ügy valamennyi l</w:t>
      </w:r>
      <w:r>
        <w:rPr>
          <w:noProof/>
        </w:rPr>
        <w:t xml:space="preserve">ényeges elemét, különösen a vitában részt vevő felek érveinek viszonylagos megalapozottságát, a felek magatartását, valamint a felek egymáshoz viszonyított méretét és pénzügyi erejét. Az online közvetítő szolgáltatóknak azonban minden esetben viselni kell </w:t>
      </w:r>
      <w:r>
        <w:rPr>
          <w:noProof/>
        </w:rPr>
        <w:t>a teljes költség legalább felét.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(5)</w:t>
      </w:r>
      <w:r>
        <w:rPr>
          <w:noProof/>
        </w:rPr>
        <w:tab/>
        <w:t>A vitarendezésre e cikkel összhangban közvetítés útján tett bármely kísérlet nem érinti az online közvetítő szolgáltatók és az érintett üzleti felhasználók arra vonatkozó jogát, hogy a közvetítési folyamat alatt vagy az</w:t>
      </w:r>
      <w:r>
        <w:rPr>
          <w:noProof/>
        </w:rPr>
        <w:t>t követően bírósági eljárást indítsanak.</w:t>
      </w:r>
    </w:p>
    <w:p w:rsidR="00706CB4" w:rsidRDefault="00706CB4">
      <w:pPr>
        <w:rPr>
          <w:noProof/>
        </w:rPr>
      </w:pPr>
    </w:p>
    <w:p w:rsidR="00706CB4" w:rsidRDefault="006719AB">
      <w:pPr>
        <w:pStyle w:val="Titrearticle"/>
        <w:rPr>
          <w:noProof/>
        </w:rPr>
      </w:pPr>
      <w:r>
        <w:rPr>
          <w:noProof/>
        </w:rPr>
        <w:t>11. cikk</w:t>
      </w:r>
    </w:p>
    <w:p w:rsidR="00706CB4" w:rsidRDefault="006719AB">
      <w:pPr>
        <w:pStyle w:val="NormalCentered"/>
        <w:keepNext/>
        <w:rPr>
          <w:b/>
          <w:noProof/>
        </w:rPr>
      </w:pPr>
      <w:r>
        <w:rPr>
          <w:b/>
          <w:noProof/>
        </w:rPr>
        <w:t>Szakosodott közvetítők</w:t>
      </w:r>
    </w:p>
    <w:p w:rsidR="00706CB4" w:rsidRDefault="006719AB">
      <w:pPr>
        <w:pStyle w:val="Point0"/>
        <w:ind w:left="0" w:firstLine="0"/>
        <w:rPr>
          <w:noProof/>
        </w:rPr>
      </w:pPr>
      <w:r>
        <w:rPr>
          <w:noProof/>
        </w:rPr>
        <w:t>A Bizottság ösztönzi az online közvetítő szolgáltatókat és az őket képviselő szervezeteket és egyesületeket, hogy önállóan vagy közösen hozzanak létre egy vagy több, a 10. cikk (2) b</w:t>
      </w:r>
      <w:r>
        <w:rPr>
          <w:noProof/>
        </w:rPr>
        <w:t xml:space="preserve">ekezdésében pontosított követelményeknek megfelelő közvetítői szolgáltatást nyújtó szervezetet az online közvetítő szolgáltatások során az üzleti felhasználókkal e szolgáltatásnyújtás keretében felmerülő viták bíróságon kívüli rendezésének előmozdítására, </w:t>
      </w:r>
      <w:r>
        <w:rPr>
          <w:noProof/>
        </w:rPr>
        <w:t xml:space="preserve">különös tekintettel az online közvetítői szolgáltatások határokon átnyúló jellegére </w:t>
      </w:r>
    </w:p>
    <w:p w:rsidR="00706CB4" w:rsidRDefault="00706CB4">
      <w:pPr>
        <w:rPr>
          <w:noProof/>
        </w:rPr>
      </w:pPr>
    </w:p>
    <w:p w:rsidR="00706CB4" w:rsidRDefault="006719AB">
      <w:pPr>
        <w:pStyle w:val="Titrearticle"/>
        <w:rPr>
          <w:noProof/>
        </w:rPr>
      </w:pPr>
      <w:r>
        <w:rPr>
          <w:noProof/>
        </w:rPr>
        <w:t>12. cikk</w:t>
      </w:r>
    </w:p>
    <w:p w:rsidR="00706CB4" w:rsidRDefault="006719AB">
      <w:pPr>
        <w:pStyle w:val="NormalCentered"/>
        <w:keepNext/>
        <w:rPr>
          <w:b/>
          <w:noProof/>
        </w:rPr>
      </w:pPr>
      <w:r>
        <w:rPr>
          <w:b/>
          <w:noProof/>
        </w:rPr>
        <w:t>Képviselő szervezetek vagy egyesületek és közjogi szervek bírósági eljárásai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(1)</w:t>
      </w:r>
      <w:r>
        <w:rPr>
          <w:noProof/>
        </w:rPr>
        <w:tab/>
      </w:r>
      <w:r>
        <w:rPr>
          <w:noProof/>
        </w:rPr>
        <w:t xml:space="preserve">Az üzleti felhasználók vagy kereskedelmiweboldal-használók jogos érdekeit képviselő szervezetek és egyesületek, valamint a tagállamokban létrehozott közjogi szervek jogosultak az Unió területén eljárást indítani a nemzeti bíróságok előtt az eljárásindítás </w:t>
      </w:r>
      <w:r>
        <w:rPr>
          <w:noProof/>
        </w:rPr>
        <w:t>helye szerinti tagállam jogszabályaival összhangban annak érdekében, hogy megakadályozzák vagy az online közvetítő szolgáltatók vagy online keresőprogramok számára megtiltsák a rendelet rendelkezéseiben szereplő vonatkozó követelményeknek való meg nem fele</w:t>
      </w:r>
      <w:r>
        <w:rPr>
          <w:noProof/>
        </w:rPr>
        <w:t xml:space="preserve">lést. 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(2)</w:t>
      </w:r>
      <w:r>
        <w:rPr>
          <w:noProof/>
        </w:rPr>
        <w:tab/>
        <w:t>A szervezetek vagy egyesületek csak akkor rendelkeznek az (1) bekezdésben szereplő joggal, ha az eljárásindítás időpontjában megfelelnek valamennyi alábbi követelménynek:</w:t>
      </w:r>
    </w:p>
    <w:p w:rsidR="00706CB4" w:rsidRDefault="006719AB">
      <w:pPr>
        <w:pStyle w:val="Point1"/>
        <w:rPr>
          <w:noProof/>
        </w:rPr>
      </w:pPr>
      <w:r>
        <w:rPr>
          <w:noProof/>
        </w:rPr>
        <w:t>a)</w:t>
      </w:r>
      <w:r>
        <w:rPr>
          <w:noProof/>
        </w:rPr>
        <w:tab/>
        <w:t>valamely tagállam joga szerint megfelelően jöttek létre;</w:t>
      </w:r>
    </w:p>
    <w:p w:rsidR="00706CB4" w:rsidRDefault="006719AB">
      <w:pPr>
        <w:pStyle w:val="Point1"/>
        <w:rPr>
          <w:noProof/>
        </w:rPr>
      </w:pPr>
      <w:r>
        <w:rPr>
          <w:noProof/>
        </w:rPr>
        <w:t>b)</w:t>
      </w:r>
      <w:r>
        <w:rPr>
          <w:noProof/>
        </w:rPr>
        <w:tab/>
        <w:t xml:space="preserve">az általuk </w:t>
      </w:r>
      <w:r>
        <w:rPr>
          <w:noProof/>
        </w:rPr>
        <w:t>képviselt üzleti felhasználók vagy kereskedelmiweboldal-használók csoportjának közös érdekében álló célokat követnek;</w:t>
      </w:r>
    </w:p>
    <w:p w:rsidR="00706CB4" w:rsidRDefault="006719AB">
      <w:pPr>
        <w:pStyle w:val="Point1"/>
        <w:rPr>
          <w:noProof/>
        </w:rPr>
      </w:pPr>
      <w:r>
        <w:rPr>
          <w:noProof/>
        </w:rPr>
        <w:t>c)</w:t>
      </w:r>
      <w:r>
        <w:rPr>
          <w:noProof/>
        </w:rPr>
        <w:tab/>
        <w:t xml:space="preserve">nonprofit jellegűek. </w:t>
      </w:r>
      <w:r>
        <w:rPr>
          <w:noProof/>
        </w:rPr>
        <w:tab/>
      </w:r>
    </w:p>
    <w:p w:rsidR="00706CB4" w:rsidRDefault="006719AB">
      <w:pPr>
        <w:ind w:left="850"/>
        <w:rPr>
          <w:noProof/>
        </w:rPr>
      </w:pPr>
      <w:r>
        <w:rPr>
          <w:noProof/>
        </w:rPr>
        <w:t>Azon tagállamokban, amelyekben ilyen közjogi szerveket hoztak létre, a szóban forgó közjogi szervek számára bizt</w:t>
      </w:r>
      <w:r>
        <w:rPr>
          <w:noProof/>
        </w:rPr>
        <w:t>osítani kell az (1) bekezdésben említett jogot, amennyiben az érintett tagállam nemzeti jogával összhangban megbízták őket az üzleti felhasználók vagy kereskedelmiweboldal-használók csoportja közös érdekeinek védelmével, illetve az e rendeletben meghatároz</w:t>
      </w:r>
      <w:r>
        <w:rPr>
          <w:noProof/>
        </w:rPr>
        <w:t xml:space="preserve">ott követelményeknek való megfelelés biztosításával. 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 xml:space="preserve">(3) </w:t>
      </w:r>
      <w:r>
        <w:rPr>
          <w:noProof/>
        </w:rPr>
        <w:tab/>
        <w:t>Az (1) bekezdésben szereplő jog nem érinti az üzleti felhasználók és kereskedelmiweboldal-használók arra irányuló jogát, hogy önállóan indítsanak eljárást az illetékes nemzeti bíróságok előtt az el</w:t>
      </w:r>
      <w:r>
        <w:rPr>
          <w:noProof/>
        </w:rPr>
        <w:t>járásindítás helye szerinti tagállam jogszabályaival összhangban annak érdekében, hogy kezeljék az online közvetítő szolgáltatók e rendelet rendelkezéseiben szereplő vonatkozó követelményeknek való megfelelésének hiányát.</w:t>
      </w:r>
    </w:p>
    <w:p w:rsidR="00706CB4" w:rsidRDefault="00706CB4">
      <w:pPr>
        <w:rPr>
          <w:noProof/>
        </w:rPr>
      </w:pPr>
    </w:p>
    <w:p w:rsidR="00706CB4" w:rsidRDefault="006719AB">
      <w:pPr>
        <w:pStyle w:val="Titrearticle"/>
        <w:rPr>
          <w:noProof/>
        </w:rPr>
      </w:pPr>
      <w:r>
        <w:rPr>
          <w:noProof/>
        </w:rPr>
        <w:t>13. cikk</w:t>
      </w:r>
    </w:p>
    <w:p w:rsidR="00706CB4" w:rsidRDefault="006719AB">
      <w:pPr>
        <w:pStyle w:val="NormalCentered"/>
        <w:keepNext/>
        <w:rPr>
          <w:b/>
          <w:noProof/>
        </w:rPr>
      </w:pPr>
      <w:r>
        <w:rPr>
          <w:b/>
          <w:noProof/>
        </w:rPr>
        <w:t>Magatartási kódexek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(1)</w:t>
      </w:r>
      <w:r>
        <w:rPr>
          <w:noProof/>
        </w:rPr>
        <w:tab/>
      </w:r>
      <w:r>
        <w:rPr>
          <w:noProof/>
        </w:rPr>
        <w:t>Az e rendelet megfelelő alkalmazásához való hozzájárulás céljából a Bizottság ösztönzi magatartási kódexeknek az online közvetítő szolgáltatók és az azokat képviselő szervezetek és egyesületek általi létrehozatalát, figyelembe véve az online közvetítői szo</w:t>
      </w:r>
      <w:r>
        <w:rPr>
          <w:noProof/>
        </w:rPr>
        <w:t xml:space="preserve">lgáltatásoknak teret adó különböző ágazatok sajátosságait, valamint a mikro-, kis- és középvállalkozások speciális jellemzőit. 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 xml:space="preserve">(2) </w:t>
      </w:r>
      <w:r>
        <w:rPr>
          <w:noProof/>
        </w:rPr>
        <w:tab/>
        <w:t xml:space="preserve">Az e rendelet 5. cikke (2) bekezdésének és 5. cikke (3) bekezdésének megfelelő alkalmazásához való hozzájárulás céljából a </w:t>
      </w:r>
      <w:r>
        <w:rPr>
          <w:noProof/>
        </w:rPr>
        <w:t>Bizottság ösztönzi magatartási kódexeknek az online keresőprogramok szolgáltatói és az azokat képviselő szervezetek és egyesületek általi létrehozatalát.</w:t>
      </w:r>
    </w:p>
    <w:p w:rsidR="00706CB4" w:rsidRDefault="00706CB4">
      <w:pPr>
        <w:rPr>
          <w:noProof/>
        </w:rPr>
      </w:pPr>
    </w:p>
    <w:p w:rsidR="00706CB4" w:rsidRDefault="006719AB">
      <w:pPr>
        <w:pStyle w:val="Titrearticle"/>
        <w:rPr>
          <w:noProof/>
        </w:rPr>
      </w:pPr>
      <w:r>
        <w:rPr>
          <w:noProof/>
        </w:rPr>
        <w:t>14. cikk</w:t>
      </w:r>
    </w:p>
    <w:p w:rsidR="00706CB4" w:rsidRDefault="006719AB">
      <w:pPr>
        <w:pStyle w:val="NormalCentered"/>
        <w:keepNext/>
        <w:rPr>
          <w:b/>
          <w:noProof/>
        </w:rPr>
      </w:pPr>
      <w:r>
        <w:rPr>
          <w:b/>
          <w:noProof/>
        </w:rPr>
        <w:t>Értékelés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(1)</w:t>
      </w:r>
      <w:r>
        <w:rPr>
          <w:noProof/>
        </w:rPr>
        <w:tab/>
        <w:t>A [</w:t>
      </w:r>
      <w:r>
        <w:rPr>
          <w:i/>
          <w:noProof/>
        </w:rPr>
        <w:t>dátum: a hatálybalépést követő három év elteltével</w:t>
      </w:r>
      <w:r>
        <w:rPr>
          <w:noProof/>
        </w:rPr>
        <w:t>] és azt követően háromév</w:t>
      </w:r>
      <w:r>
        <w:rPr>
          <w:noProof/>
        </w:rPr>
        <w:t xml:space="preserve">ente a Bizottság értékeli e rendeletet, és jelentést nyújt be az Európai Parlamentnek, a Tanácsnak és az Európai Gazdasági és Szociális Bizottságnak. 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(2)</w:t>
      </w:r>
      <w:r>
        <w:rPr>
          <w:noProof/>
        </w:rPr>
        <w:tab/>
        <w:t>E rendelet első értékelését különösen az 5., 6., 7. és 8. cikkben szereplő kötelezettségeknek való me</w:t>
      </w:r>
      <w:r>
        <w:rPr>
          <w:noProof/>
        </w:rPr>
        <w:t>gfelelésre és azok onlineplatform-gazdaságra gyakorolt hatása tekintetében kell elvégezni, valamint azzal kapcsolatban, hogy a tisztességes, kiszámítható, fenntartható és megbízható online üzleti környezet belső piacon való biztosítása igényel-e további sz</w:t>
      </w:r>
      <w:r>
        <w:rPr>
          <w:noProof/>
        </w:rPr>
        <w:t xml:space="preserve">abályokat, ideértve a végrehajtást is. 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(3)</w:t>
      </w:r>
      <w:r>
        <w:rPr>
          <w:noProof/>
        </w:rPr>
        <w:tab/>
        <w:t xml:space="preserve">A tagállamok rendelkezésre bocsátják azokat az adatokat, amelyeket a Bizottság az (1) bekezdés szerinti jelentés elkészítéséhez kérhet. 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 xml:space="preserve">(4) </w:t>
      </w:r>
      <w:r>
        <w:rPr>
          <w:noProof/>
        </w:rPr>
        <w:tab/>
        <w:t>E rendelet értékelése során a Bizottság figyelembe veszi a C(2018)2393</w:t>
      </w:r>
      <w:r>
        <w:rPr>
          <w:noProof/>
        </w:rPr>
        <w:t xml:space="preserve"> bizottsági határozattal összhangban létrehozott onlineplatform-gazdasági megfigyelőközpont szakértői csoportja által rendelkezésére bocsátott véleményeket és jelentéseket.</w:t>
      </w:r>
      <w:r>
        <w:rPr>
          <w:noProof/>
          <w:color w:val="FF0000"/>
        </w:rPr>
        <w:t xml:space="preserve"> </w:t>
      </w:r>
      <w:r>
        <w:rPr>
          <w:noProof/>
        </w:rPr>
        <w:t>Figyelembe veszi továbbá adott esetben a 13. cikkben szereplő magatartási kódexek t</w:t>
      </w:r>
      <w:r>
        <w:rPr>
          <w:noProof/>
        </w:rPr>
        <w:t>artalmát és működését.</w:t>
      </w:r>
      <w:r>
        <w:rPr>
          <w:i/>
          <w:noProof/>
          <w:color w:val="1F497D" w:themeColor="text2"/>
        </w:rPr>
        <w:t xml:space="preserve"> </w:t>
      </w:r>
    </w:p>
    <w:p w:rsidR="00706CB4" w:rsidRDefault="00706CB4">
      <w:pPr>
        <w:rPr>
          <w:noProof/>
        </w:rPr>
      </w:pPr>
    </w:p>
    <w:p w:rsidR="00706CB4" w:rsidRDefault="006719AB">
      <w:pPr>
        <w:pStyle w:val="Titrearticle"/>
        <w:rPr>
          <w:noProof/>
        </w:rPr>
      </w:pPr>
      <w:r>
        <w:rPr>
          <w:noProof/>
        </w:rPr>
        <w:t>15. cikk</w:t>
      </w:r>
    </w:p>
    <w:p w:rsidR="00706CB4" w:rsidRDefault="006719AB">
      <w:pPr>
        <w:pStyle w:val="NormalCentered"/>
        <w:keepNext/>
        <w:rPr>
          <w:b/>
          <w:noProof/>
        </w:rPr>
      </w:pPr>
      <w:r>
        <w:rPr>
          <w:b/>
          <w:noProof/>
        </w:rPr>
        <w:t>Hatálybalépés és alkalmazás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(1)</w:t>
      </w:r>
      <w:r>
        <w:rPr>
          <w:noProof/>
        </w:rPr>
        <w:tab/>
        <w:t>Ez a rendelet az Európai Unió Hivatalos Lapjában való kihirdetését követő huszadik napon lép hatályba.</w:t>
      </w:r>
    </w:p>
    <w:p w:rsidR="00706CB4" w:rsidRDefault="006719AB">
      <w:pPr>
        <w:pStyle w:val="Point0"/>
        <w:rPr>
          <w:noProof/>
        </w:rPr>
      </w:pPr>
      <w:r>
        <w:rPr>
          <w:noProof/>
        </w:rPr>
        <w:t>(2)</w:t>
      </w:r>
      <w:r>
        <w:rPr>
          <w:noProof/>
        </w:rPr>
        <w:tab/>
        <w:t>A hatálybalépés kezdete [</w:t>
      </w:r>
      <w:r>
        <w:rPr>
          <w:i/>
          <w:noProof/>
        </w:rPr>
        <w:t>dátum: a közzététel napját követő hat hónap</w:t>
      </w:r>
      <w:r>
        <w:rPr>
          <w:noProof/>
        </w:rPr>
        <w:t>].</w:t>
      </w:r>
    </w:p>
    <w:p w:rsidR="00706CB4" w:rsidRDefault="006719AB">
      <w:pPr>
        <w:pStyle w:val="Applicationdirecte"/>
        <w:rPr>
          <w:noProof/>
        </w:rPr>
      </w:pPr>
      <w:r>
        <w:rPr>
          <w:noProof/>
        </w:rPr>
        <w:t>Ez a rendele</w:t>
      </w:r>
      <w:r>
        <w:rPr>
          <w:noProof/>
        </w:rPr>
        <w:t>t teljes egészében kötelező és közvetlenül alkalmazandó valamennyi tagállamban.</w:t>
      </w:r>
    </w:p>
    <w:p w:rsidR="00706CB4" w:rsidRDefault="00706CB4">
      <w:pPr>
        <w:pStyle w:val="Applicationdirecte"/>
        <w:rPr>
          <w:noProof/>
        </w:rPr>
      </w:pPr>
    </w:p>
    <w:p w:rsidR="00706CB4" w:rsidRDefault="006719AB">
      <w:pPr>
        <w:pStyle w:val="Fait"/>
        <w:rPr>
          <w:noProof/>
        </w:rPr>
      </w:pPr>
      <w:r>
        <w:t xml:space="preserve">Kelt Brüsszelben, </w:t>
      </w:r>
      <w:proofErr w:type="spellStart"/>
      <w:r>
        <w:t>-án</w:t>
      </w:r>
      <w:proofErr w:type="spellEnd"/>
      <w:r>
        <w:t>/</w:t>
      </w:r>
      <w:proofErr w:type="spellStart"/>
      <w:r>
        <w:t>-én</w:t>
      </w:r>
      <w:proofErr w:type="spellEnd"/>
      <w:r>
        <w:t>.</w:t>
      </w:r>
    </w:p>
    <w:p w:rsidR="00706CB4" w:rsidRDefault="006719AB">
      <w:pPr>
        <w:pStyle w:val="Institutionquisigne"/>
        <w:rPr>
          <w:noProof/>
        </w:rPr>
      </w:pPr>
      <w:r>
        <w:rPr>
          <w:noProof/>
        </w:rPr>
        <w:t>az Európai Parlament részéről</w:t>
      </w:r>
      <w:r>
        <w:rPr>
          <w:noProof/>
        </w:rPr>
        <w:tab/>
        <w:t>a Tanács részéről</w:t>
      </w:r>
    </w:p>
    <w:p w:rsidR="00706CB4" w:rsidRDefault="006719AB">
      <w:pPr>
        <w:pStyle w:val="Personnequisigne"/>
        <w:rPr>
          <w:noProof/>
        </w:rPr>
      </w:pPr>
      <w:r>
        <w:rPr>
          <w:noProof/>
        </w:rPr>
        <w:t>az elnök</w:t>
      </w:r>
      <w:r>
        <w:rPr>
          <w:noProof/>
        </w:rPr>
        <w:tab/>
        <w:t>az elnök</w:t>
      </w:r>
    </w:p>
    <w:sectPr w:rsidR="00706CB4">
      <w:headerReference w:type="default" r:id="rId22"/>
      <w:footerReference w:type="default" r:id="rId23"/>
      <w:headerReference w:type="first" r:id="rId24"/>
      <w:footerReference w:type="first" r:id="rId25"/>
      <w:footnotePr>
        <w:numRestart w:val="eachSect"/>
      </w:footnotePr>
      <w:pgSz w:w="11907" w:h="16839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1F1EBE" w15:done="0"/>
  <w15:commentEx w15:paraId="3A49FF6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CB4" w:rsidRDefault="006719AB">
      <w:pPr>
        <w:spacing w:before="0" w:after="0"/>
      </w:pPr>
      <w:r>
        <w:separator/>
      </w:r>
    </w:p>
  </w:endnote>
  <w:endnote w:type="continuationSeparator" w:id="0">
    <w:p w:rsidR="00706CB4" w:rsidRDefault="006719AB">
      <w:pPr>
        <w:spacing w:before="0" w:after="0"/>
      </w:pPr>
      <w:r>
        <w:continuationSeparator/>
      </w:r>
    </w:p>
  </w:endnote>
  <w:endnote w:type="continuationNotice" w:id="1">
    <w:p w:rsidR="00706CB4" w:rsidRDefault="00706CB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9AB" w:rsidRDefault="006719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CB4" w:rsidRDefault="006719AB">
    <w:pPr>
      <w:pStyle w:val="Footer"/>
      <w:rPr>
        <w:rFonts w:ascii="Arial" w:hAnsi="Arial" w:cs="Arial"/>
        <w:b/>
        <w:sz w:val="48"/>
      </w:rPr>
    </w:pPr>
    <w:proofErr w:type="gramStart"/>
    <w:r>
      <w:rPr>
        <w:rFonts w:ascii="Arial" w:hAnsi="Arial" w:cs="Arial"/>
        <w:b/>
        <w:sz w:val="48"/>
      </w:rPr>
      <w:t>HU</w:t>
    </w:r>
    <w:proofErr w:type="gramEnd"/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proofErr w:type="spellStart"/>
    <w:r>
      <w:rPr>
        <w:rFonts w:ascii="Arial" w:hAnsi="Arial" w:cs="Arial"/>
        <w:b/>
        <w:sz w:val="48"/>
      </w:rPr>
      <w:t>HU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9AB" w:rsidRDefault="006719A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CB4" w:rsidRDefault="006719AB">
    <w:pPr>
      <w:pStyle w:val="Footer"/>
      <w:rPr>
        <w:rFonts w:ascii="Arial" w:hAnsi="Arial" w:cs="Arial"/>
        <w:b/>
        <w:sz w:val="48"/>
      </w:rPr>
    </w:pPr>
    <w:proofErr w:type="gramStart"/>
    <w:r>
      <w:rPr>
        <w:rFonts w:ascii="Arial" w:hAnsi="Arial" w:cs="Arial"/>
        <w:b/>
        <w:sz w:val="48"/>
      </w:rPr>
      <w:t>HU</w:t>
    </w:r>
    <w:proofErr w:type="gramEnd"/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13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HU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CB4" w:rsidRDefault="00706CB4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CB4" w:rsidRDefault="006719AB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 xml:space="preserve">     </w:t>
    </w:r>
    <w:bookmarkStart w:id="18" w:name="_GoBack"/>
    <w:bookmarkEnd w:id="18"/>
    <w:proofErr w:type="gramStart"/>
    <w:r>
      <w:rPr>
        <w:rFonts w:ascii="Arial" w:hAnsi="Arial" w:cs="Arial"/>
        <w:b/>
        <w:sz w:val="48"/>
      </w:rPr>
      <w:t>HU</w:t>
    </w:r>
    <w:proofErr w:type="gramEnd"/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14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HU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CB4" w:rsidRDefault="00706C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CB4" w:rsidRDefault="006719AB">
      <w:pPr>
        <w:spacing w:before="0" w:after="0"/>
      </w:pPr>
      <w:r>
        <w:separator/>
      </w:r>
    </w:p>
  </w:footnote>
  <w:footnote w:type="continuationSeparator" w:id="0">
    <w:p w:rsidR="00706CB4" w:rsidRDefault="006719AB">
      <w:pPr>
        <w:spacing w:before="0" w:after="0"/>
      </w:pPr>
      <w:r>
        <w:continuationSeparator/>
      </w:r>
    </w:p>
  </w:footnote>
  <w:footnote w:type="continuationNotice" w:id="1">
    <w:p w:rsidR="00706CB4" w:rsidRDefault="00706CB4">
      <w:pPr>
        <w:spacing w:before="0" w:after="0"/>
      </w:pPr>
    </w:p>
  </w:footnote>
  <w:footnote w:id="2">
    <w:p w:rsidR="00706CB4" w:rsidRDefault="006719AB">
      <w:pPr>
        <w:pStyle w:val="FootnoteText"/>
        <w:tabs>
          <w:tab w:val="left" w:pos="426"/>
        </w:tabs>
        <w:ind w:left="284" w:hanging="284"/>
        <w:rPr>
          <w:lang w:val="en-US"/>
        </w:rPr>
      </w:pPr>
      <w:r>
        <w:rPr>
          <w:rStyle w:val="FootnoteReference"/>
        </w:rPr>
        <w:footnoteRef/>
      </w:r>
      <w:r>
        <w:tab/>
      </w:r>
      <w:hyperlink r:id="rId1">
        <w:proofErr w:type="spellStart"/>
        <w:r>
          <w:rPr>
            <w:rStyle w:val="Hyperlink"/>
          </w:rPr>
          <w:t>Copenhagen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Economics</w:t>
        </w:r>
        <w:proofErr w:type="spellEnd"/>
      </w:hyperlink>
      <w:r>
        <w:t xml:space="preserve">, „Online </w:t>
      </w:r>
      <w:proofErr w:type="spellStart"/>
      <w:r>
        <w:t>Intermediaries</w:t>
      </w:r>
      <w:proofErr w:type="spellEnd"/>
      <w:r>
        <w:t xml:space="preserve">: </w:t>
      </w:r>
      <w:proofErr w:type="spellStart"/>
      <w:r>
        <w:t>Impact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EU </w:t>
      </w:r>
      <w:proofErr w:type="spellStart"/>
      <w:r>
        <w:t>economy</w:t>
      </w:r>
      <w:proofErr w:type="spellEnd"/>
      <w:r>
        <w:t xml:space="preserve">” 2015. </w:t>
      </w:r>
    </w:p>
  </w:footnote>
  <w:footnote w:id="3">
    <w:p w:rsidR="00706CB4" w:rsidRDefault="006719AB">
      <w:pPr>
        <w:pStyle w:val="FootnoteText"/>
        <w:tabs>
          <w:tab w:val="left" w:pos="426"/>
        </w:tabs>
        <w:ind w:left="284" w:hanging="284"/>
      </w:pPr>
      <w:r>
        <w:rPr>
          <w:rStyle w:val="FootnoteReference"/>
        </w:rPr>
        <w:footnoteRef/>
      </w:r>
      <w:r>
        <w:tab/>
        <w:t xml:space="preserve">Ugyanott. </w:t>
      </w:r>
    </w:p>
  </w:footnote>
  <w:footnote w:id="4">
    <w:p w:rsidR="00706CB4" w:rsidRDefault="006719AB"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</w:r>
      <w:proofErr w:type="spellStart"/>
      <w:r>
        <w:t>Legal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unfair </w:t>
      </w:r>
      <w:proofErr w:type="spellStart"/>
      <w:r>
        <w:t>commercial</w:t>
      </w:r>
      <w:proofErr w:type="spellEnd"/>
      <w:r>
        <w:t xml:space="preserve"> </w:t>
      </w:r>
      <w:proofErr w:type="spellStart"/>
      <w:r>
        <w:t>practices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B2B </w:t>
      </w:r>
      <w:proofErr w:type="spellStart"/>
      <w:r>
        <w:t>e-markets</w:t>
      </w:r>
      <w:proofErr w:type="spellEnd"/>
      <w:r>
        <w:t>, ENTR/04/69., 2006. május</w:t>
      </w:r>
    </w:p>
    <w:p w:rsidR="00706CB4" w:rsidRDefault="00706CB4">
      <w:pPr>
        <w:pStyle w:val="FootnoteText"/>
      </w:pPr>
    </w:p>
  </w:footnote>
  <w:footnote w:id="5">
    <w:p w:rsidR="00706CB4" w:rsidRDefault="006719AB">
      <w:pPr>
        <w:pStyle w:val="FootnoteText"/>
        <w:rPr>
          <w:rFonts w:eastAsia="Arial Unicode MS"/>
          <w:lang w:val="pt-PT"/>
        </w:rPr>
      </w:pPr>
      <w:r>
        <w:rPr>
          <w:rStyle w:val="FootnoteReference"/>
        </w:rPr>
        <w:footnoteRef/>
      </w:r>
      <w:r>
        <w:tab/>
        <w:t>HL L 149., 2005.6.11</w:t>
      </w:r>
      <w:proofErr w:type="gramStart"/>
      <w:r>
        <w:t>.,</w:t>
      </w:r>
      <w:proofErr w:type="gramEnd"/>
      <w:r>
        <w:t xml:space="preserve"> 22. o.</w:t>
      </w:r>
    </w:p>
  </w:footnote>
  <w:footnote w:id="6">
    <w:p w:rsidR="00706CB4" w:rsidRDefault="006719AB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tab/>
        <w:t>HL L 95., 1993.4.21</w:t>
      </w:r>
      <w:proofErr w:type="gramStart"/>
      <w:r>
        <w:t>.,</w:t>
      </w:r>
      <w:proofErr w:type="gramEnd"/>
      <w:r>
        <w:t xml:space="preserve"> 29. o.</w:t>
      </w:r>
    </w:p>
  </w:footnote>
  <w:footnote w:id="7">
    <w:p w:rsidR="00706CB4" w:rsidRDefault="006719AB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tab/>
        <w:t>HL L 376., 2006.12.27</w:t>
      </w:r>
      <w:proofErr w:type="gramStart"/>
      <w:r>
        <w:t>.,</w:t>
      </w:r>
      <w:proofErr w:type="gramEnd"/>
      <w:r>
        <w:t xml:space="preserve"> 21. o.</w:t>
      </w:r>
    </w:p>
  </w:footnote>
  <w:footnote w:id="8">
    <w:p w:rsidR="00706CB4" w:rsidRDefault="006719AB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tab/>
        <w:t>HL L 351., 2012.12.20</w:t>
      </w:r>
      <w:proofErr w:type="gramStart"/>
      <w:r>
        <w:t>.,</w:t>
      </w:r>
      <w:proofErr w:type="gramEnd"/>
      <w:r>
        <w:t xml:space="preserve"> 1. o. </w:t>
      </w:r>
    </w:p>
  </w:footnote>
  <w:footnote w:id="9">
    <w:p w:rsidR="00706CB4" w:rsidRDefault="006719AB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tab/>
        <w:t>HL L 177., 2008.7.4</w:t>
      </w:r>
      <w:proofErr w:type="gramStart"/>
      <w:r>
        <w:t>.,</w:t>
      </w:r>
      <w:proofErr w:type="gramEnd"/>
      <w:r>
        <w:t xml:space="preserve"> 6. o.</w:t>
      </w:r>
    </w:p>
  </w:footnote>
  <w:footnote w:id="10">
    <w:p w:rsidR="00706CB4" w:rsidRDefault="006719AB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tab/>
        <w:t>HL L</w:t>
      </w:r>
      <w:r>
        <w:t> 199., 2007.7.31</w:t>
      </w:r>
      <w:proofErr w:type="gramStart"/>
      <w:r>
        <w:t>.,</w:t>
      </w:r>
      <w:proofErr w:type="gramEnd"/>
      <w:r>
        <w:t xml:space="preserve"> 40. o.</w:t>
      </w:r>
    </w:p>
  </w:footnote>
  <w:footnote w:id="11">
    <w:p w:rsidR="00706CB4" w:rsidRDefault="006719AB">
      <w:pPr>
        <w:pStyle w:val="FootnoteText"/>
      </w:pPr>
      <w:r>
        <w:rPr>
          <w:rStyle w:val="FootnoteReference"/>
        </w:rPr>
        <w:footnoteRef/>
      </w:r>
      <w:r>
        <w:tab/>
        <w:t>HL L 136., 2008.5.24</w:t>
      </w:r>
      <w:proofErr w:type="gramStart"/>
      <w:r>
        <w:t>.,</w:t>
      </w:r>
      <w:proofErr w:type="gramEnd"/>
      <w:r>
        <w:t xml:space="preserve"> 3. o.</w:t>
      </w:r>
    </w:p>
  </w:footnote>
  <w:footnote w:id="12">
    <w:p w:rsidR="00706CB4" w:rsidRDefault="006719AB">
      <w:pPr>
        <w:pStyle w:val="FootnoteText"/>
        <w:rPr>
          <w:lang w:val="pt-PT"/>
        </w:rPr>
      </w:pPr>
      <w:r>
        <w:rPr>
          <w:rStyle w:val="FootnoteReference"/>
        </w:rPr>
        <w:footnoteRef/>
      </w:r>
      <w:r>
        <w:tab/>
      </w:r>
      <w:proofErr w:type="gramStart"/>
      <w:r>
        <w:t>COM(</w:t>
      </w:r>
      <w:proofErr w:type="gramEnd"/>
      <w:r>
        <w:t>2018) 185 (</w:t>
      </w:r>
      <w:proofErr w:type="spellStart"/>
      <w:r>
        <w:t>final</w:t>
      </w:r>
      <w:proofErr w:type="spellEnd"/>
      <w:r>
        <w:t xml:space="preserve">), 2018.4.11., lásd: https://eur-lex.europa.eu/legal-content/HU/TXT/?qid=1523880940100&amp;uri=COM:2018:185:FIN </w:t>
      </w:r>
    </w:p>
  </w:footnote>
  <w:footnote w:id="13">
    <w:p w:rsidR="00706CB4" w:rsidRDefault="006719AB">
      <w:pPr>
        <w:pStyle w:val="FootnoteText"/>
      </w:pPr>
      <w:r>
        <w:rPr>
          <w:rStyle w:val="FootnoteReference"/>
        </w:rPr>
        <w:footnoteRef/>
      </w:r>
      <w:r>
        <w:tab/>
        <w:t>HL L 178., 2000.7.17</w:t>
      </w:r>
      <w:proofErr w:type="gramStart"/>
      <w:r>
        <w:t>.,</w:t>
      </w:r>
      <w:proofErr w:type="gramEnd"/>
      <w:r>
        <w:t xml:space="preserve"> 1. o.</w:t>
      </w:r>
    </w:p>
  </w:footnote>
  <w:footnote w:id="14">
    <w:p w:rsidR="00706CB4" w:rsidRDefault="006719AB"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  <w:t>Az Európai Tanács 2017. október 19-</w:t>
      </w:r>
      <w:r>
        <w:t xml:space="preserve">i következtetései, </w:t>
      </w:r>
      <w:hyperlink r:id="rId2">
        <w:r>
          <w:rPr>
            <w:rStyle w:val="Hyperlink"/>
          </w:rPr>
          <w:t>ST 14 2017 INIT</w:t>
        </w:r>
      </w:hyperlink>
      <w:r>
        <w:t xml:space="preserve">. </w:t>
      </w:r>
    </w:p>
  </w:footnote>
  <w:footnote w:id="15">
    <w:p w:rsidR="00706CB4" w:rsidRDefault="006719AB">
      <w:pPr>
        <w:pStyle w:val="FootnoteText"/>
        <w:ind w:left="284" w:hanging="284"/>
      </w:pPr>
      <w:r>
        <w:rPr>
          <w:rStyle w:val="FootnoteReference"/>
        </w:rPr>
        <w:footnoteRef/>
      </w:r>
      <w:r>
        <w:tab/>
        <w:t xml:space="preserve">Az uniós fogyasztóvédelmi és marketingjogra vonatkozó REFIT célravezetőségi vizsgálat elérhető: </w:t>
      </w:r>
      <w:hyperlink r:id="rId3">
        <w:r>
          <w:rPr>
            <w:rStyle w:val="Hyperlink"/>
          </w:rPr>
          <w:t>http://ec.europa.eu/newsroom/just/item-detail.cfm?item_id=59332</w:t>
        </w:r>
      </w:hyperlink>
      <w:r>
        <w:t xml:space="preserve"> </w:t>
      </w:r>
    </w:p>
  </w:footnote>
  <w:footnote w:id="16">
    <w:p w:rsidR="00706CB4" w:rsidRDefault="006719AB">
      <w:pPr>
        <w:pStyle w:val="FootnoteText"/>
      </w:pPr>
      <w:r>
        <w:rPr>
          <w:rStyle w:val="FootnoteReference"/>
        </w:rPr>
        <w:footnoteRef/>
      </w:r>
      <w:r>
        <w:tab/>
        <w:t xml:space="preserve">COM (2012) 702 </w:t>
      </w:r>
      <w:proofErr w:type="spellStart"/>
      <w:r>
        <w:t>final</w:t>
      </w:r>
      <w:proofErr w:type="spellEnd"/>
      <w:r>
        <w:t>.</w:t>
      </w:r>
    </w:p>
  </w:footnote>
  <w:footnote w:id="17">
    <w:p w:rsidR="00706CB4" w:rsidRDefault="006719AB">
      <w:pPr>
        <w:pStyle w:val="FootnoteText"/>
      </w:pPr>
      <w:r>
        <w:rPr>
          <w:rStyle w:val="FootnoteReference"/>
        </w:rPr>
        <w:footnoteRef/>
      </w:r>
      <w:r>
        <w:tab/>
        <w:t xml:space="preserve">COM (2016) 288 </w:t>
      </w:r>
      <w:proofErr w:type="spellStart"/>
      <w:r>
        <w:t>final</w:t>
      </w:r>
      <w:proofErr w:type="spellEnd"/>
      <w:r>
        <w:t>.</w:t>
      </w:r>
    </w:p>
  </w:footnote>
  <w:footnote w:id="18">
    <w:p w:rsidR="00706CB4" w:rsidRDefault="006719AB">
      <w:pPr>
        <w:pStyle w:val="FootnoteText"/>
      </w:pPr>
      <w:r>
        <w:rPr>
          <w:rStyle w:val="FootnoteReference"/>
        </w:rPr>
        <w:footnoteRef/>
      </w:r>
      <w:r>
        <w:tab/>
        <w:t>Az Európai Parlament és a Tanács (EU) 2016/679 rendelete (2016. áp</w:t>
      </w:r>
      <w:r>
        <w:t>rilis 27.) a természetes személyeknek a személyes adatok kezelése tekintetében történő védelméről és az ilyen adatok szabad áramlásáról, valamint a 95/46/EK irányelv hatályon kívül helyezéséről (HL L 119., 2016.5.4</w:t>
      </w:r>
      <w:proofErr w:type="gramStart"/>
      <w:r>
        <w:t>.,</w:t>
      </w:r>
      <w:proofErr w:type="gramEnd"/>
      <w:r>
        <w:t xml:space="preserve"> 1. o.).</w:t>
      </w:r>
    </w:p>
  </w:footnote>
  <w:footnote w:id="19">
    <w:p w:rsidR="00706CB4" w:rsidRDefault="006719AB">
      <w:pPr>
        <w:pStyle w:val="FootnoteText"/>
      </w:pPr>
      <w:r>
        <w:rPr>
          <w:rStyle w:val="FootnoteReference"/>
        </w:rPr>
        <w:footnoteRef/>
      </w:r>
      <w:r>
        <w:tab/>
        <w:t>A Bizottság 2003/361/EK ajánl</w:t>
      </w:r>
      <w:r>
        <w:t>ása (2003. május 6.) a mikro-, kis- és középvállalkozások meghatározásáról (HL L 124., 2003.5.20</w:t>
      </w:r>
      <w:proofErr w:type="gramStart"/>
      <w:r>
        <w:t>.,</w:t>
      </w:r>
      <w:proofErr w:type="gramEnd"/>
      <w:r>
        <w:t xml:space="preserve"> 36. o.).</w:t>
      </w:r>
    </w:p>
  </w:footnote>
  <w:footnote w:id="20">
    <w:p w:rsidR="00706CB4" w:rsidRDefault="006719AB">
      <w:pPr>
        <w:pStyle w:val="FootnoteText"/>
      </w:pPr>
      <w:r>
        <w:rPr>
          <w:rStyle w:val="FootnoteReference"/>
        </w:rPr>
        <w:footnoteRef/>
      </w:r>
      <w:r>
        <w:tab/>
        <w:t>HL C</w:t>
      </w:r>
      <w:proofErr w:type="gramStart"/>
      <w:r>
        <w:t>… ,</w:t>
      </w:r>
      <w:proofErr w:type="gramEnd"/>
      <w:r>
        <w:t xml:space="preserve"> , . .o.</w:t>
      </w:r>
    </w:p>
  </w:footnote>
  <w:footnote w:id="21">
    <w:p w:rsidR="00706CB4" w:rsidRDefault="006719AB">
      <w:pPr>
        <w:pStyle w:val="FootnoteText"/>
      </w:pPr>
      <w:r>
        <w:rPr>
          <w:rStyle w:val="FootnoteReference"/>
        </w:rPr>
        <w:footnoteRef/>
      </w:r>
      <w:r>
        <w:tab/>
        <w:t>HL C</w:t>
      </w:r>
      <w:proofErr w:type="gramStart"/>
      <w:r>
        <w:t>… ,</w:t>
      </w:r>
      <w:proofErr w:type="gramEnd"/>
      <w:r>
        <w:t xml:space="preserve"> , . .o.</w:t>
      </w:r>
    </w:p>
  </w:footnote>
  <w:footnote w:id="22">
    <w:p w:rsidR="00706CB4" w:rsidRDefault="006719AB">
      <w:pPr>
        <w:pStyle w:val="FootnoteText"/>
      </w:pPr>
      <w:r>
        <w:rPr>
          <w:rStyle w:val="FootnoteReference"/>
        </w:rPr>
        <w:footnoteRef/>
      </w:r>
      <w:r>
        <w:tab/>
        <w:t>Az Európai Parlament és a Tanács (EU) 2016/1148 irányelve (2016. július 6.) a hálózati és információs rendszer</w:t>
      </w:r>
      <w:r>
        <w:t>ek biztonságának az egész Unióban egységesen magas szintjét biztosító intézkedésekről (HL L 194., 2016.7.19</w:t>
      </w:r>
      <w:proofErr w:type="gramStart"/>
      <w:r>
        <w:t>.,</w:t>
      </w:r>
      <w:proofErr w:type="gramEnd"/>
      <w:r>
        <w:t xml:space="preserve"> 1. o.).</w:t>
      </w:r>
    </w:p>
  </w:footnote>
  <w:footnote w:id="23">
    <w:p w:rsidR="00706CB4" w:rsidRDefault="006719AB">
      <w:pPr>
        <w:pStyle w:val="FootnoteText"/>
      </w:pPr>
      <w:r>
        <w:rPr>
          <w:rStyle w:val="FootnoteReference"/>
        </w:rPr>
        <w:footnoteRef/>
      </w:r>
      <w:r>
        <w:tab/>
      </w:r>
      <w:r>
        <w:t>A Bizottság (EU) 2018/334 ajánlása (2018. március 1.) az illegális online tartalom hatékony kezelésére irányuló intézkedésekről (HL L 63., 2018.3.6</w:t>
      </w:r>
      <w:proofErr w:type="gramStart"/>
      <w:r>
        <w:t>.,</w:t>
      </w:r>
      <w:proofErr w:type="gramEnd"/>
      <w:r>
        <w:t xml:space="preserve"> 50. o.). </w:t>
      </w:r>
    </w:p>
  </w:footnote>
  <w:footnote w:id="24">
    <w:p w:rsidR="00706CB4" w:rsidRDefault="006719AB">
      <w:pPr>
        <w:pStyle w:val="FootnoteText"/>
      </w:pPr>
      <w:r>
        <w:rPr>
          <w:rStyle w:val="FootnoteReference"/>
        </w:rPr>
        <w:footnoteRef/>
      </w:r>
      <w:r>
        <w:tab/>
      </w:r>
      <w:r>
        <w:t>Az Európai Parlament és a Tanács (EU) 2016/943 irányelve (2016. június 8.) a nem nyilvános know-how és üzleti információk (üzleti titkok) jogosulatlan megszerzésével, hasznosításával és felfedésével szembeni védelemről, HL L 157., 2016.6.15</w:t>
      </w:r>
      <w:proofErr w:type="gramStart"/>
      <w:r>
        <w:t>.,</w:t>
      </w:r>
      <w:proofErr w:type="gramEnd"/>
      <w:r>
        <w:t xml:space="preserve"> 1. o. </w:t>
      </w:r>
    </w:p>
  </w:footnote>
  <w:footnote w:id="25">
    <w:p w:rsidR="00706CB4" w:rsidRDefault="006719AB">
      <w:pPr>
        <w:pStyle w:val="FootnoteText"/>
      </w:pPr>
      <w:r>
        <w:rPr>
          <w:rStyle w:val="FootnoteReference"/>
        </w:rPr>
        <w:footnoteRef/>
      </w:r>
      <w:r>
        <w:tab/>
        <w:t>Az E</w:t>
      </w:r>
      <w:r>
        <w:t xml:space="preserve">urópai Parlament és a Tanács (EU) 2016/679 rendelete (2016. április 27.) a természetes személyeknek a személyes adatok kezelése tekintetében történő védelméről és az ilyen adatok szabad áramlásáról, valamint a 95/46/EK irányelv hatályon kívül helyezéséről </w:t>
      </w:r>
      <w:r>
        <w:t>(általános adatvédelmi rendelet) (HL L 119., 2016.5.4</w:t>
      </w:r>
      <w:proofErr w:type="gramStart"/>
      <w:r>
        <w:t>.,</w:t>
      </w:r>
      <w:proofErr w:type="gramEnd"/>
      <w:r>
        <w:t xml:space="preserve"> 1. o.).</w:t>
      </w:r>
    </w:p>
  </w:footnote>
  <w:footnote w:id="26">
    <w:p w:rsidR="00706CB4" w:rsidRDefault="006719AB">
      <w:pPr>
        <w:pStyle w:val="FootnoteText"/>
      </w:pPr>
      <w:r>
        <w:rPr>
          <w:rStyle w:val="FootnoteReference"/>
        </w:rPr>
        <w:footnoteRef/>
      </w:r>
      <w:r>
        <w:tab/>
        <w:t>A Bizottság 2003/361/EK ajánlása (2003. május 6.) a mikro-, kis- és középvállalkozások meghatározásáról (HL L 124., 2003.5.20</w:t>
      </w:r>
      <w:proofErr w:type="gramStart"/>
      <w:r>
        <w:t>.,</w:t>
      </w:r>
      <w:proofErr w:type="gramEnd"/>
      <w:r>
        <w:t xml:space="preserve"> 36. o.). </w:t>
      </w:r>
    </w:p>
  </w:footnote>
  <w:footnote w:id="27">
    <w:p w:rsidR="00706CB4" w:rsidRDefault="006719AB">
      <w:pPr>
        <w:pStyle w:val="FootnoteText"/>
      </w:pPr>
      <w:r>
        <w:rPr>
          <w:rStyle w:val="FootnoteReference"/>
        </w:rPr>
        <w:footnoteRef/>
      </w:r>
      <w:r>
        <w:tab/>
        <w:t>Az Egyesült Nemzetek Szervezete fogyatékossággal é</w:t>
      </w:r>
      <w:r>
        <w:t>lő személyek jogairól szóló egyezménye (UNCRPD) a következő címen érhető el: https://www.un.org/development/desa/disabilities/convention-on-the-rights-of-persons-with-disabilities.html</w:t>
      </w:r>
    </w:p>
  </w:footnote>
  <w:footnote w:id="28">
    <w:p w:rsidR="00706CB4" w:rsidRDefault="006719AB">
      <w:pPr>
        <w:pStyle w:val="FootnoteText"/>
        <w:rPr>
          <w:lang w:val="mt-MT"/>
        </w:rPr>
      </w:pPr>
      <w:r>
        <w:rPr>
          <w:rStyle w:val="FootnoteReference"/>
        </w:rPr>
        <w:footnoteRef/>
      </w:r>
      <w:r>
        <w:tab/>
        <w:t>Az Európai Parlament és a Tanács (EU) 2015/1535 irányelve (2015. szep</w:t>
      </w:r>
      <w:r>
        <w:t>tember 9.) a műszaki szabályokkal és az információs társadalom szolgáltatásaira vonatkozó szabályokkal kapcsolatos információszolgáltatási eljárás megállapításáról (</w:t>
      </w:r>
      <w:proofErr w:type="spellStart"/>
      <w:r>
        <w:t>EGT-vonatkozású</w:t>
      </w:r>
      <w:proofErr w:type="spellEnd"/>
      <w:r>
        <w:t xml:space="preserve"> szöveg) (HL L 241., 2015.9.17</w:t>
      </w:r>
      <w:proofErr w:type="gramStart"/>
      <w:r>
        <w:t>.,</w:t>
      </w:r>
      <w:proofErr w:type="gramEnd"/>
      <w:r>
        <w:t xml:space="preserve"> 1. o.).</w:t>
      </w:r>
    </w:p>
  </w:footnote>
  <w:footnote w:id="29">
    <w:p w:rsidR="00706CB4" w:rsidRDefault="006719AB">
      <w:pPr>
        <w:pStyle w:val="FootnoteText"/>
        <w:rPr>
          <w:lang w:val="mt-MT"/>
        </w:rPr>
      </w:pPr>
      <w:r>
        <w:rPr>
          <w:rStyle w:val="FootnoteReference"/>
        </w:rPr>
        <w:footnoteRef/>
      </w:r>
      <w:r>
        <w:tab/>
        <w:t>A Tanács 139/2004/EK rendelete (2</w:t>
      </w:r>
      <w:r>
        <w:t>004. január 20.) a vállalkozások közötti összefonódások ellenőrzéséről (az EK összefonódás-ellenőrzési rendelete) (HL L 24</w:t>
      </w:r>
      <w:proofErr w:type="gramStart"/>
      <w:r>
        <w:t>.,</w:t>
      </w:r>
      <w:proofErr w:type="gramEnd"/>
      <w:r>
        <w:t xml:space="preserve"> 2004.1.29., 1. o.).</w:t>
      </w:r>
    </w:p>
  </w:footnote>
  <w:footnote w:id="30">
    <w:p w:rsidR="00706CB4" w:rsidRDefault="006719AB">
      <w:pPr>
        <w:pStyle w:val="FootnoteText"/>
      </w:pPr>
      <w:r>
        <w:rPr>
          <w:rStyle w:val="FootnoteReference"/>
        </w:rPr>
        <w:footnoteRef/>
      </w:r>
      <w:r>
        <w:tab/>
        <w:t>A Bizottság 2003/361/EK ajánlása (2003. május 6.) a mikro-, kis- és középvállalkozások meghatározásáról (HL L</w:t>
      </w:r>
      <w:r>
        <w:t> 124., 2003.5.20</w:t>
      </w:r>
      <w:proofErr w:type="gramStart"/>
      <w:r>
        <w:t>.,</w:t>
      </w:r>
      <w:proofErr w:type="gramEnd"/>
      <w:r>
        <w:t xml:space="preserve"> 36. o.).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9AB" w:rsidRDefault="006719A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9AB" w:rsidRDefault="006719A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9AB" w:rsidRDefault="006719A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CB4" w:rsidRDefault="00706CB4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CB4" w:rsidRDefault="00706C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E19A5D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962C90A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74B258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50DA4AD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365CD9A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484CDF6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C8E8E5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0A082E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8"/>
  </w:num>
  <w:num w:numId="10">
    <w:abstractNumId w:val="12"/>
  </w:num>
  <w:num w:numId="11">
    <w:abstractNumId w:val="20"/>
  </w:num>
  <w:num w:numId="12">
    <w:abstractNumId w:val="11"/>
  </w:num>
  <w:num w:numId="13">
    <w:abstractNumId w:val="13"/>
  </w:num>
  <w:num w:numId="14">
    <w:abstractNumId w:val="9"/>
  </w:num>
  <w:num w:numId="15">
    <w:abstractNumId w:val="19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  <w:num w:numId="20">
    <w:abstractNumId w:val="10"/>
  </w:num>
  <w:num w:numId="21">
    <w:abstractNumId w:val="15"/>
  </w:num>
  <w:num w:numId="22">
    <w:abstractNumId w:val="21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HITTAKER Leena (GROW)">
    <w15:presenceInfo w15:providerId="None" w15:userId="WHITTAKER Leena (GROW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QCDateTime" w:val="2018-05-03 13:24:08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17"/>
    <w:docVar w:name="DQCResult_ModifiedMarkers" w:val="0;0"/>
    <w:docVar w:name="DQCResult_ModifiedNumbering" w:val="0;0"/>
    <w:docVar w:name="DQCResult_Objects" w:val="0;0"/>
    <w:docVar w:name="DQCResult_Sections" w:val="0;1"/>
    <w:docVar w:name="DQCResult_StructureCheck" w:val="0;0"/>
    <w:docVar w:name="DQCResult_SuperfluousWhitespace" w:val="0;31"/>
    <w:docVar w:name="DQCResult_UnknownFonts" w:val="0;0"/>
    <w:docVar w:name="DQCResult_UnknownStyles" w:val="0;0"/>
    <w:docVar w:name="DQCStatus" w:val="Yellow"/>
    <w:docVar w:name="DQCVersion" w:val="3"/>
    <w:docVar w:name="DQCWithWarnings" w:val="0"/>
    <w:docVar w:name="LW_CORRIGENDUM" w:val="&lt;UNUSED&gt;"/>
    <w:docVar w:name="LW_COVERPAGE_EXISTS" w:val="True"/>
    <w:docVar w:name="LW_COVERPAGE_GUID" w:val="DB701CD2-6023-4A74-9F9E-7D16D36676FA"/>
    <w:docVar w:name="LW_COVERPAGE_TYPE" w:val="1"/>
    <w:docVar w:name="LW_CROSSREFERENCE" w:val="{SEC(2018) 209 final}_x000b_{SWD(2018) 138 final}_x000b_{SWD(2018) 139 final}"/>
    <w:docVar w:name="LW_DocType" w:val="COM"/>
    <w:docVar w:name="LW_EMISSION" w:val="2018.4.26."/>
    <w:docVar w:name="LW_EMISSION_ISODATE" w:val="2018-04-26"/>
    <w:docVar w:name="LW_EMISSION_LOCATION" w:val="BRX"/>
    <w:docVar w:name="LW_EMISSION_PREFIX" w:val="Brüsszel, "/>
    <w:docVar w:name="LW_EMISSION_SUFFIX" w:val=" "/>
    <w:docVar w:name="LW_ID_DOCMODEL" w:val="SJ-023"/>
    <w:docVar w:name="LW_ID_DOCSIGNATURE" w:val="SJ-023"/>
    <w:docVar w:name="LW_ID_DOCSTRUCTURE" w:val="COM/PL/ORG"/>
    <w:docVar w:name="LW_ID_DOCTYPE" w:val="SJ-023"/>
    <w:docVar w:name="LW_ID_STATUT" w:val="SJ-023"/>
    <w:docVar w:name="LW_INTERETEEE.CP" w:val="(EGT-vonatkozású szöveg)"/>
    <w:docVar w:name="LW_LANGUE" w:val="HU"/>
    <w:docVar w:name="LW_LEVEL_OF_SENSITIVITY" w:val="Standard treatment"/>
    <w:docVar w:name="LW_NOM.INST" w:val="EURÓPAI BIZOTTSÁG"/>
    <w:docVar w:name="LW_NOM.INST_JOINTDOC" w:val="&lt;EMPTY&gt;"/>
    <w:docVar w:name="LW_PART_NBR" w:val="1"/>
    <w:docVar w:name="LW_PART_NBR_TOTAL" w:val="1"/>
    <w:docVar w:name="LW_REF.II.NEW.CP" w:val="COD"/>
    <w:docVar w:name="LW_REF.II.NEW.CP_NUMBER" w:val="0112"/>
    <w:docVar w:name="LW_REF.II.NEW.CP_YEAR" w:val="2018"/>
    <w:docVar w:name="LW_REF.INST.NEW" w:val="COM"/>
    <w:docVar w:name="LW_REF.INST.NEW_ADOPTED" w:val="final"/>
    <w:docVar w:name="LW_REF.INST.NEW_TEXT" w:val="(2018) 238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OUS.TITRE.OBJ.CP" w:val="&lt;UNUSED&gt;"/>
    <w:docVar w:name="LW_STATUT.CP" w:val="Javaslat"/>
    <w:docVar w:name="LW_SUPERTITRE" w:val="&lt;UNUSED&gt;"/>
    <w:docVar w:name="LW_TITRE.OBJ.CP" w:val="az online közvetít\u337? szolgáltatások üzleti felhasználói tekintetében alkalmazandó tisztességes és átlátható feltételek el\u337?mozdításáról"/>
    <w:docVar w:name="LW_TYPE.DOC.CP" w:val="AZ EURÓPAI PARLAMENT ÉS A TANÁCS RENDELETE"/>
  </w:docVars>
  <w:rsids>
    <w:rsidRoot w:val="00706CB4"/>
    <w:rsid w:val="006719AB"/>
    <w:rsid w:val="0070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hu-H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ous-titreobjetPagedecouverture">
    <w:name w:val="Sous-titre objet (Page de couverture)"/>
    <w:basedOn w:val="Sous-titreobjet"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hu-HU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hu-HU"/>
    </w:rPr>
  </w:style>
  <w:style w:type="character" w:customStyle="1" w:styleId="Text1Char">
    <w:name w:val="Text 1 Char"/>
    <w:rPr>
      <w:rFonts w:ascii="Times New Roman" w:hAnsi="Times New Roman" w:cs="Times New Roman"/>
      <w:sz w:val="24"/>
      <w:lang w:val="hu-HU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rmal2">
    <w:name w:val="normal2"/>
    <w:basedOn w:val="Normal"/>
    <w:pPr>
      <w:spacing w:after="0" w:line="312" w:lineRule="atLeast"/>
    </w:pPr>
    <w:rPr>
      <w:rFonts w:eastAsia="Times New Roman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6"/>
      </w:numPr>
    </w:pPr>
  </w:style>
  <w:style w:type="paragraph" w:customStyle="1" w:styleId="Point1number">
    <w:name w:val="Point 1 (number)"/>
    <w:basedOn w:val="Normal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pPr>
      <w:numPr>
        <w:ilvl w:val="8"/>
        <w:numId w:val="16"/>
      </w:numPr>
    </w:pPr>
  </w:style>
  <w:style w:type="paragraph" w:customStyle="1" w:styleId="Bullet0">
    <w:name w:val="Bullet 0"/>
    <w:basedOn w:val="Normal"/>
    <w:pPr>
      <w:numPr>
        <w:numId w:val="17"/>
      </w:numPr>
    </w:pPr>
  </w:style>
  <w:style w:type="paragraph" w:customStyle="1" w:styleId="Bullet1">
    <w:name w:val="Bullet 1"/>
    <w:basedOn w:val="Normal"/>
    <w:pPr>
      <w:numPr>
        <w:numId w:val="18"/>
      </w:numPr>
    </w:pPr>
  </w:style>
  <w:style w:type="paragraph" w:customStyle="1" w:styleId="Bullet2">
    <w:name w:val="Bullet 2"/>
    <w:basedOn w:val="Normal"/>
    <w:pPr>
      <w:numPr>
        <w:numId w:val="19"/>
      </w:numPr>
    </w:pPr>
  </w:style>
  <w:style w:type="paragraph" w:customStyle="1" w:styleId="Bullet3">
    <w:name w:val="Bullet 3"/>
    <w:basedOn w:val="Normal"/>
    <w:pPr>
      <w:numPr>
        <w:numId w:val="20"/>
      </w:numPr>
    </w:pPr>
  </w:style>
  <w:style w:type="paragraph" w:customStyle="1" w:styleId="Bullet4">
    <w:name w:val="Bullet 4"/>
    <w:basedOn w:val="Normal"/>
    <w:pPr>
      <w:numPr>
        <w:numId w:val="21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hu-H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5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ous-titreobjetPagedecouverture">
    <w:name w:val="Sous-titre objet (Page de couverture)"/>
    <w:basedOn w:val="Sous-titreobjet"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  <w:lang w:val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hu-HU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hu-HU"/>
    </w:rPr>
  </w:style>
  <w:style w:type="character" w:customStyle="1" w:styleId="Text1Char">
    <w:name w:val="Text 1 Char"/>
    <w:rPr>
      <w:rFonts w:ascii="Times New Roman" w:hAnsi="Times New Roman" w:cs="Times New Roman"/>
      <w:sz w:val="24"/>
      <w:lang w:val="hu-HU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normal2">
    <w:name w:val="normal2"/>
    <w:basedOn w:val="Normal"/>
    <w:pPr>
      <w:spacing w:after="0" w:line="312" w:lineRule="atLeast"/>
    </w:pPr>
    <w:rPr>
      <w:rFonts w:eastAsia="Times New Roman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9"/>
      </w:numPr>
    </w:pPr>
  </w:style>
  <w:style w:type="paragraph" w:customStyle="1" w:styleId="Tiret1">
    <w:name w:val="Tiret 1"/>
    <w:basedOn w:val="Point1"/>
    <w:pPr>
      <w:numPr>
        <w:numId w:val="10"/>
      </w:numPr>
    </w:pPr>
  </w:style>
  <w:style w:type="paragraph" w:customStyle="1" w:styleId="Tiret2">
    <w:name w:val="Tiret 2"/>
    <w:basedOn w:val="Point2"/>
    <w:pPr>
      <w:numPr>
        <w:numId w:val="11"/>
      </w:numPr>
    </w:pPr>
  </w:style>
  <w:style w:type="paragraph" w:customStyle="1" w:styleId="Tiret3">
    <w:name w:val="Tiret 3"/>
    <w:basedOn w:val="Point3"/>
    <w:pPr>
      <w:numPr>
        <w:numId w:val="12"/>
      </w:numPr>
    </w:pPr>
  </w:style>
  <w:style w:type="paragraph" w:customStyle="1" w:styleId="Tiret4">
    <w:name w:val="Tiret 4"/>
    <w:basedOn w:val="Point4"/>
    <w:pPr>
      <w:numPr>
        <w:numId w:val="1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6"/>
      </w:numPr>
    </w:pPr>
  </w:style>
  <w:style w:type="paragraph" w:customStyle="1" w:styleId="Point1number">
    <w:name w:val="Point 1 (number)"/>
    <w:basedOn w:val="Normal"/>
    <w:pPr>
      <w:numPr>
        <w:ilvl w:val="2"/>
        <w:numId w:val="16"/>
      </w:numPr>
    </w:pPr>
  </w:style>
  <w:style w:type="paragraph" w:customStyle="1" w:styleId="Point2number">
    <w:name w:val="Point 2 (number)"/>
    <w:basedOn w:val="Normal"/>
    <w:pPr>
      <w:numPr>
        <w:ilvl w:val="4"/>
        <w:numId w:val="16"/>
      </w:numPr>
    </w:pPr>
  </w:style>
  <w:style w:type="paragraph" w:customStyle="1" w:styleId="Point3number">
    <w:name w:val="Point 3 (number)"/>
    <w:basedOn w:val="Normal"/>
    <w:pPr>
      <w:numPr>
        <w:ilvl w:val="6"/>
        <w:numId w:val="16"/>
      </w:numPr>
    </w:pPr>
  </w:style>
  <w:style w:type="paragraph" w:customStyle="1" w:styleId="Point0letter">
    <w:name w:val="Point 0 (letter)"/>
    <w:basedOn w:val="Normal"/>
    <w:pPr>
      <w:numPr>
        <w:ilvl w:val="1"/>
        <w:numId w:val="16"/>
      </w:numPr>
    </w:pPr>
  </w:style>
  <w:style w:type="paragraph" w:customStyle="1" w:styleId="Point1letter">
    <w:name w:val="Point 1 (letter)"/>
    <w:basedOn w:val="Normal"/>
    <w:pPr>
      <w:numPr>
        <w:ilvl w:val="3"/>
        <w:numId w:val="16"/>
      </w:numPr>
    </w:pPr>
  </w:style>
  <w:style w:type="paragraph" w:customStyle="1" w:styleId="Point2letter">
    <w:name w:val="Point 2 (letter)"/>
    <w:basedOn w:val="Normal"/>
    <w:pPr>
      <w:numPr>
        <w:ilvl w:val="5"/>
        <w:numId w:val="16"/>
      </w:numPr>
    </w:pPr>
  </w:style>
  <w:style w:type="paragraph" w:customStyle="1" w:styleId="Point3letter">
    <w:name w:val="Point 3 (letter)"/>
    <w:basedOn w:val="Normal"/>
    <w:pPr>
      <w:numPr>
        <w:ilvl w:val="7"/>
        <w:numId w:val="16"/>
      </w:numPr>
    </w:pPr>
  </w:style>
  <w:style w:type="paragraph" w:customStyle="1" w:styleId="Point4letter">
    <w:name w:val="Point 4 (letter)"/>
    <w:basedOn w:val="Normal"/>
    <w:pPr>
      <w:numPr>
        <w:ilvl w:val="8"/>
        <w:numId w:val="16"/>
      </w:numPr>
    </w:pPr>
  </w:style>
  <w:style w:type="paragraph" w:customStyle="1" w:styleId="Bullet0">
    <w:name w:val="Bullet 0"/>
    <w:basedOn w:val="Normal"/>
    <w:pPr>
      <w:numPr>
        <w:numId w:val="17"/>
      </w:numPr>
    </w:pPr>
  </w:style>
  <w:style w:type="paragraph" w:customStyle="1" w:styleId="Bullet1">
    <w:name w:val="Bullet 1"/>
    <w:basedOn w:val="Normal"/>
    <w:pPr>
      <w:numPr>
        <w:numId w:val="18"/>
      </w:numPr>
    </w:pPr>
  </w:style>
  <w:style w:type="paragraph" w:customStyle="1" w:styleId="Bullet2">
    <w:name w:val="Bullet 2"/>
    <w:basedOn w:val="Normal"/>
    <w:pPr>
      <w:numPr>
        <w:numId w:val="19"/>
      </w:numPr>
    </w:pPr>
  </w:style>
  <w:style w:type="paragraph" w:customStyle="1" w:styleId="Bullet3">
    <w:name w:val="Bullet 3"/>
    <w:basedOn w:val="Normal"/>
    <w:pPr>
      <w:numPr>
        <w:numId w:val="20"/>
      </w:numPr>
    </w:pPr>
  </w:style>
  <w:style w:type="paragraph" w:customStyle="1" w:styleId="Bullet4">
    <w:name w:val="Bullet 4"/>
    <w:basedOn w:val="Normal"/>
    <w:pPr>
      <w:numPr>
        <w:numId w:val="21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093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7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3085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8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46586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75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55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08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86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0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6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header" Target="header4.xml"/><Relationship Id="rId27" Type="http://schemas.openxmlformats.org/officeDocument/2006/relationships/theme" Target="theme/theme1.xml"/><Relationship Id="rId30" Type="http://schemas.microsoft.com/office/2011/relationships/people" Target="people.xml"/></Relationships>
</file>

<file path=word/_rels/footnotes.xml.rels><?xml version='1.0' encoding='UTF-8' standalone='yes'?>
<Relationships xmlns="http://schemas.openxmlformats.org/package/2006/relationships"><Relationship Id="rId3" Type="http://schemas.openxmlformats.org/officeDocument/2006/relationships/hyperlink" Target="http://ec.europa.eu/newsroom/just/item-detail.cfm?item_id=59332" TargetMode="External"/><Relationship Id="rId2" Type="http://schemas.openxmlformats.org/officeDocument/2006/relationships/hyperlink" Target="http://www.consilium.europa.eu/register/en/content/out?&amp;typ=ENTRY&amp;i=ADV&amp;DOC_ID=ST-8-2017-INIT" TargetMode="External"/><Relationship Id="rId1" Type="http://schemas.openxmlformats.org/officeDocument/2006/relationships/hyperlink" Target="https://www.copenhageneconomics.com/dyn/resources/Publication/publicationPDF/2/342/1454501505/edima-online-intermediaries-eu-growth-engines.pdf.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BE9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2dd8d85e-8862-4fd7-b17a-fcd630b045fb">EN</EC_Collab_DocumentLanguage>
    <EC_Collab_Reference xmlns="2dd8d85e-8862-4fd7-b17a-fcd630b045fb" xsi:nil="true"/>
    <_dlc_DocId xmlns="866aabb8-7ec2-447a-a7ff-f911015037e7">UVNUSV5RWJH5-1794381228-357</_dlc_DocId>
    <_dlc_DocIdUrl xmlns="866aabb8-7ec2-447a-a7ff-f911015037e7">
      <Url>https://myintracomm-collab.ec.europa.eu/dg/CONNECT/directorateF/UnitF2/_layouts/15/DocIdRedir.aspx?ID=UVNUSV5RWJH5-1794381228-357</Url>
      <Description>UVNUSV5RWJH5-1794381228-357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A0BDFF1823B4BC488305CC72AA7E9C5D" ma:contentTypeVersion="9" ma:contentTypeDescription="Create a new document." ma:contentTypeScope="" ma:versionID="877edf150fa67393dd088c620ab8eadc">
  <xsd:schema xmlns:xsd="http://www.w3.org/2001/XMLSchema" xmlns:xs="http://www.w3.org/2001/XMLSchema" xmlns:p="http://schemas.microsoft.com/office/2006/metadata/properties" xmlns:ns3="2dd8d85e-8862-4fd7-b17a-fcd630b045fb" xmlns:ns4="866aabb8-7ec2-447a-a7ff-f911015037e7" targetNamespace="http://schemas.microsoft.com/office/2006/metadata/properties" ma:root="true" ma:fieldsID="4402f2a74c11f2208144076cf1280f8b" ns3:_="" ns4:_="">
    <xsd:import namespace="2dd8d85e-8862-4fd7-b17a-fcd630b045fb"/>
    <xsd:import namespace="866aabb8-7ec2-447a-a7ff-f911015037e7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8d85e-8862-4fd7-b17a-fcd630b045fb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nillable="true" ma:displayName="Language" ma:default="EN" ma:internalName="EC_Collab_DocumentLanguage" ma:readOnly="fals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aabb8-7ec2-447a-a7ff-f911015037e7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9E725-42E7-4835-823C-46FD4726B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46BDB-D393-470F-A1FB-05A8189980CF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866aabb8-7ec2-447a-a7ff-f911015037e7"/>
    <ds:schemaRef ds:uri="http://schemas.microsoft.com/office/2006/metadata/properties"/>
    <ds:schemaRef ds:uri="http://schemas.openxmlformats.org/package/2006/metadata/core-properties"/>
    <ds:schemaRef ds:uri="2dd8d85e-8862-4fd7-b17a-fcd630b045f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7EFDAD-61C4-4C77-B2C5-874658050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8d85e-8862-4fd7-b17a-fcd630b045fb"/>
    <ds:schemaRef ds:uri="866aabb8-7ec2-447a-a7ff-f91101503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B8FE43-33DB-4E3B-AABF-EEE601734A7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99E430E-E26B-4D82-A83A-758CD20C7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2</TotalTime>
  <Pages>30</Pages>
  <Words>12340</Words>
  <Characters>79100</Characters>
  <Application>Microsoft Office Word</Application>
  <DocSecurity>0</DocSecurity>
  <Lines>1146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Instrument_ISG version_clean_Without commentary</vt:lpstr>
    </vt:vector>
  </TitlesOfParts>
  <Manager/>
  <Company/>
  <LinksUpToDate>false</LinksUpToDate>
  <CharactersWithSpaces>91124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Instrument_ISG version_clean_Without commentary</dc:title>
  <dc:creator/>
  <dc:description>To implement LS comments post ISC</dc:description>
  <cp:lastModifiedBy/>
  <cp:revision>20</cp:revision>
  <cp:lastPrinted>2018-04-16T13:08:00Z</cp:lastPrinted>
  <dcterms:created xsi:type="dcterms:W3CDTF">2018-05-03T07:29:00Z</dcterms:created>
  <dcterms:modified xsi:type="dcterms:W3CDTF">2018-05-03T11:47:00Z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5.8.86.0</vt:lpwstr>
  </property>
  <property fmtid="{D5CDD505-2E9C-101B-9397-08002B2CF9AE}" pid="4" name="Last edited using">
    <vt:lpwstr>LW 6.0, Build 20171009</vt:lpwstr>
  </property>
  <property fmtid="{D5CDD505-2E9C-101B-9397-08002B2CF9AE}" pid="5" name="Created using">
    <vt:lpwstr>LW 5.8.4, Build 20150407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WTemplateID">
    <vt:lpwstr>SJ-023</vt:lpwstr>
  </property>
  <property fmtid="{D5CDD505-2E9C-101B-9397-08002B2CF9AE}" pid="9" name="ContentTypeId">
    <vt:lpwstr>0x010100258AA79CEB83498886A3A0868112325000A0BDFF1823B4BC488305CC72AA7E9C5D</vt:lpwstr>
  </property>
  <property fmtid="{D5CDD505-2E9C-101B-9397-08002B2CF9AE}" pid="10" name="_dlc_DocIdItemGuid">
    <vt:lpwstr>3e8a0284-aa1e-4e5d-b5f3-7d6976337ae3</vt:lpwstr>
  </property>
  <property fmtid="{D5CDD505-2E9C-101B-9397-08002B2CF9AE}" pid="11" name="Level of sensitivity">
    <vt:lpwstr>Standard treatment</vt:lpwstr>
  </property>
  <property fmtid="{D5CDD505-2E9C-101B-9397-08002B2CF9AE}" pid="12" name="DQCStatus">
    <vt:lpwstr>Yellow (DQC version 03)</vt:lpwstr>
  </property>
  <property name="OP_sanitized" fmtid="{D5CDD505-2E9C-101B-9397-08002B2CF9AE}" pid="13">
    <vt:lpwstr>True</vt:lpwstr>
  </property>
</Properties>
</file>