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B77" w:rsidRDefault="00294BD2">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85A07D8-B5C7-4B4B-9D2B-6F4600565B8A" style="width:450.75pt;height:351.75pt">
            <v:imagedata r:id="rId9" o:title=""/>
          </v:shape>
        </w:pict>
      </w:r>
    </w:p>
    <w:p w:rsidR="000E1B77" w:rsidRDefault="000E1B77">
      <w:pPr>
        <w:rPr>
          <w:noProof/>
        </w:rPr>
        <w:sectPr w:rsidR="000E1B77">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0E1B77" w:rsidRDefault="00294BD2">
      <w:pPr>
        <w:pStyle w:val="Exposdesmotifstitre"/>
        <w:rPr>
          <w:noProof/>
        </w:rPr>
      </w:pPr>
      <w:r>
        <w:rPr>
          <w:noProof/>
        </w:rPr>
        <w:lastRenderedPageBreak/>
        <w:t>INDOKOLÁS</w:t>
      </w:r>
    </w:p>
    <w:p w:rsidR="000E1B77" w:rsidRDefault="00294BD2">
      <w:pPr>
        <w:pStyle w:val="ManualHeading1"/>
        <w:rPr>
          <w:noProof/>
        </w:rPr>
      </w:pPr>
      <w:r>
        <w:rPr>
          <w:noProof/>
        </w:rPr>
        <w:t>A JAVASLAT HÁTTERE</w:t>
      </w:r>
    </w:p>
    <w:p w:rsidR="000E1B77" w:rsidRDefault="00294BD2">
      <w:pPr>
        <w:pStyle w:val="ManualNumPar1"/>
        <w:rPr>
          <w:noProof/>
        </w:rPr>
      </w:pPr>
      <w:r>
        <w:t>1.</w:t>
      </w:r>
      <w:r>
        <w:tab/>
      </w:r>
      <w:r>
        <w:rPr>
          <w:noProof/>
        </w:rPr>
        <w:t xml:space="preserve">Az Európai Globalizációs Alkalmazkodási Alapból (EGAA) nyújtott pénzügyi hozzájárulásokra vonatkozó szabályokat az </w:t>
      </w:r>
      <w:r>
        <w:rPr>
          <w:noProof/>
        </w:rPr>
        <w:t>Európai Globalizációs Alkalmazkodási Alapról (2014–2020) és az 1927/2006/EK rendelet hatályon kívül helyezéséről szóló, 2013. december 17-i 1309/2013/EU európai parlamenti és tanácsi rendelet</w:t>
      </w:r>
      <w:r>
        <w:rPr>
          <w:rStyle w:val="FootnoteReference"/>
          <w:noProof/>
        </w:rPr>
        <w:footnoteReference w:id="1"/>
      </w:r>
      <w:r>
        <w:rPr>
          <w:noProof/>
        </w:rPr>
        <w:t xml:space="preserve"> (a továbbiakban: EGAA-rendelet) határozza meg.</w:t>
      </w:r>
    </w:p>
    <w:p w:rsidR="000E1B77" w:rsidRDefault="00294BD2">
      <w:pPr>
        <w:pStyle w:val="ManualNumPar1"/>
        <w:rPr>
          <w:noProof/>
        </w:rPr>
      </w:pPr>
      <w:r>
        <w:t>2.</w:t>
      </w:r>
      <w:r>
        <w:tab/>
      </w:r>
      <w:r>
        <w:rPr>
          <w:noProof/>
        </w:rPr>
        <w:t>2017. decembe</w:t>
      </w:r>
      <w:r>
        <w:rPr>
          <w:noProof/>
        </w:rPr>
        <w:t>r 18-án Belgium EGF/2017/010 BE/Caterpillar referenciaszámmal kérelmet nyújtott be az EGAA-ból igénybe vehető pénzügyi hozzájárulás iránt a Caterpillar vállalatnál és 5 beszállítójánál történt elbocsátásokat</w:t>
      </w:r>
      <w:r>
        <w:rPr>
          <w:rStyle w:val="FootnoteReference"/>
          <w:noProof/>
        </w:rPr>
        <w:footnoteReference w:id="2"/>
      </w:r>
      <w:r>
        <w:rPr>
          <w:noProof/>
        </w:rPr>
        <w:t xml:space="preserve"> (a továbbiakban: elbocsátások) követően. </w:t>
      </w:r>
    </w:p>
    <w:p w:rsidR="000E1B77" w:rsidRDefault="00294BD2">
      <w:pPr>
        <w:pStyle w:val="ManualNumPar1"/>
        <w:rPr>
          <w:noProof/>
        </w:rPr>
      </w:pPr>
      <w:r>
        <w:t>3.</w:t>
      </w:r>
      <w:r>
        <w:tab/>
      </w:r>
      <w:r>
        <w:rPr>
          <w:noProof/>
        </w:rPr>
        <w:t xml:space="preserve">A </w:t>
      </w:r>
      <w:r>
        <w:rPr>
          <w:noProof/>
        </w:rPr>
        <w:t xml:space="preserve">kérelem értékelése után a Bizottság az EGAA-rendelet valamennyi vonatkozó rendelkezése alapján megállapította, hogy az EGAA-ból igénybe vehető pénzügyi hozzájárulás odaítélésének feltételei teljesülnek. </w:t>
      </w:r>
    </w:p>
    <w:p w:rsidR="000E1B77" w:rsidRDefault="00294BD2">
      <w:pPr>
        <w:pStyle w:val="ManualHeading1"/>
        <w:rPr>
          <w:noProof/>
        </w:rPr>
      </w:pPr>
      <w:r>
        <w:rPr>
          <w:noProof/>
        </w:rPr>
        <w:t>A KÉRELEM ÖSSZEFOGLALÁSA</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0E1B77">
        <w:tc>
          <w:tcPr>
            <w:tcW w:w="4908" w:type="dxa"/>
            <w:shd w:val="clear" w:color="auto" w:fill="auto"/>
          </w:tcPr>
          <w:p w:rsidR="000E1B77" w:rsidRDefault="00294BD2">
            <w:pPr>
              <w:spacing w:before="60" w:after="60"/>
              <w:jc w:val="left"/>
              <w:rPr>
                <w:rFonts w:eastAsia="Calibri"/>
                <w:noProof/>
              </w:rPr>
            </w:pPr>
            <w:r>
              <w:rPr>
                <w:noProof/>
              </w:rPr>
              <w:t>EGAA-kérelem</w:t>
            </w:r>
          </w:p>
        </w:tc>
        <w:tc>
          <w:tcPr>
            <w:tcW w:w="4379" w:type="dxa"/>
            <w:shd w:val="clear" w:color="auto" w:fill="auto"/>
          </w:tcPr>
          <w:p w:rsidR="000E1B77" w:rsidRDefault="00294BD2">
            <w:pPr>
              <w:spacing w:before="60" w:after="60"/>
              <w:ind w:rightChars="192" w:right="461"/>
              <w:jc w:val="left"/>
              <w:rPr>
                <w:rFonts w:eastAsia="Calibri"/>
                <w:noProof/>
              </w:rPr>
            </w:pPr>
            <w:r>
              <w:rPr>
                <w:noProof/>
              </w:rPr>
              <w:t xml:space="preserve">EGF/2017/010 BE/Caterpillar </w:t>
            </w:r>
          </w:p>
        </w:tc>
      </w:tr>
      <w:tr w:rsidR="000E1B77">
        <w:tc>
          <w:tcPr>
            <w:tcW w:w="4908" w:type="dxa"/>
            <w:shd w:val="clear" w:color="auto" w:fill="auto"/>
          </w:tcPr>
          <w:p w:rsidR="000E1B77" w:rsidRDefault="00294BD2">
            <w:pPr>
              <w:spacing w:before="60" w:after="60"/>
              <w:jc w:val="left"/>
              <w:rPr>
                <w:rFonts w:eastAsia="Calibri"/>
                <w:noProof/>
              </w:rPr>
            </w:pPr>
            <w:r>
              <w:rPr>
                <w:noProof/>
              </w:rPr>
              <w:t>Tagállam</w:t>
            </w:r>
          </w:p>
        </w:tc>
        <w:tc>
          <w:tcPr>
            <w:tcW w:w="4379" w:type="dxa"/>
            <w:shd w:val="clear" w:color="auto" w:fill="auto"/>
          </w:tcPr>
          <w:p w:rsidR="000E1B77" w:rsidRDefault="00294BD2">
            <w:pPr>
              <w:spacing w:before="60" w:after="60"/>
              <w:ind w:rightChars="192" w:right="461"/>
              <w:jc w:val="left"/>
              <w:rPr>
                <w:rFonts w:eastAsia="Calibri"/>
                <w:noProof/>
              </w:rPr>
            </w:pPr>
            <w:r>
              <w:rPr>
                <w:noProof/>
              </w:rPr>
              <w:t>Belgium</w:t>
            </w:r>
          </w:p>
        </w:tc>
      </w:tr>
      <w:tr w:rsidR="000E1B77">
        <w:tc>
          <w:tcPr>
            <w:tcW w:w="4908" w:type="dxa"/>
            <w:tcBorders>
              <w:bottom w:val="single" w:sz="4" w:space="0" w:color="auto"/>
            </w:tcBorders>
            <w:shd w:val="clear" w:color="auto" w:fill="auto"/>
          </w:tcPr>
          <w:p w:rsidR="000E1B77" w:rsidRDefault="00294BD2">
            <w:pPr>
              <w:spacing w:before="60" w:after="60"/>
              <w:jc w:val="left"/>
              <w:rPr>
                <w:rFonts w:eastAsia="Calibri"/>
                <w:noProof/>
              </w:rPr>
            </w:pPr>
            <w:r>
              <w:rPr>
                <w:noProof/>
              </w:rPr>
              <w:t>Érintett régió(k) (NUTS</w:t>
            </w:r>
            <w:r>
              <w:rPr>
                <w:rStyle w:val="FootnoteReference"/>
                <w:noProof/>
              </w:rPr>
              <w:footnoteReference w:id="3"/>
            </w:r>
            <w:r>
              <w:rPr>
                <w:noProof/>
              </w:rPr>
              <w:t xml:space="preserve"> 2 szint)</w:t>
            </w:r>
          </w:p>
        </w:tc>
        <w:tc>
          <w:tcPr>
            <w:tcW w:w="4379" w:type="dxa"/>
            <w:tcBorders>
              <w:bottom w:val="single" w:sz="4" w:space="0" w:color="auto"/>
            </w:tcBorders>
            <w:shd w:val="clear" w:color="auto" w:fill="auto"/>
          </w:tcPr>
          <w:p w:rsidR="000E1B77" w:rsidRDefault="00294BD2">
            <w:pPr>
              <w:spacing w:before="60" w:after="60"/>
              <w:ind w:rightChars="192" w:right="461"/>
              <w:jc w:val="left"/>
              <w:rPr>
                <w:noProof/>
              </w:rPr>
            </w:pPr>
            <w:r>
              <w:rPr>
                <w:noProof/>
              </w:rPr>
              <w:t>Hainaut (BE32)</w:t>
            </w:r>
          </w:p>
        </w:tc>
      </w:tr>
      <w:tr w:rsidR="000E1B77">
        <w:tc>
          <w:tcPr>
            <w:tcW w:w="4908" w:type="dxa"/>
            <w:tcBorders>
              <w:bottom w:val="dotted" w:sz="4" w:space="0" w:color="auto"/>
            </w:tcBorders>
            <w:shd w:val="clear" w:color="auto" w:fill="auto"/>
          </w:tcPr>
          <w:p w:rsidR="000E1B77" w:rsidRDefault="00294BD2">
            <w:pPr>
              <w:spacing w:before="60" w:after="60"/>
              <w:jc w:val="left"/>
              <w:rPr>
                <w:rFonts w:eastAsia="Calibri"/>
                <w:noProof/>
              </w:rPr>
            </w:pPr>
            <w:r>
              <w:rPr>
                <w:noProof/>
              </w:rPr>
              <w:t>A kérelem benyújtásának dátuma</w:t>
            </w:r>
          </w:p>
        </w:tc>
        <w:tc>
          <w:tcPr>
            <w:tcW w:w="4379" w:type="dxa"/>
            <w:tcBorders>
              <w:bottom w:val="dotted" w:sz="4" w:space="0" w:color="auto"/>
            </w:tcBorders>
            <w:shd w:val="clear" w:color="auto" w:fill="auto"/>
          </w:tcPr>
          <w:p w:rsidR="000E1B77" w:rsidRDefault="00294BD2">
            <w:pPr>
              <w:spacing w:before="60" w:after="60"/>
              <w:ind w:rightChars="192" w:right="461"/>
              <w:jc w:val="left"/>
              <w:rPr>
                <w:rFonts w:eastAsia="Calibri"/>
                <w:noProof/>
              </w:rPr>
            </w:pPr>
            <w:r>
              <w:rPr>
                <w:noProof/>
              </w:rPr>
              <w:t>2017. december 18.</w:t>
            </w:r>
          </w:p>
        </w:tc>
      </w:tr>
      <w:tr w:rsidR="000E1B77">
        <w:tc>
          <w:tcPr>
            <w:tcW w:w="4908" w:type="dxa"/>
            <w:tcBorders>
              <w:top w:val="dotted" w:sz="4" w:space="0" w:color="auto"/>
              <w:bottom w:val="dotted" w:sz="4" w:space="0" w:color="auto"/>
            </w:tcBorders>
            <w:shd w:val="clear" w:color="auto" w:fill="auto"/>
          </w:tcPr>
          <w:p w:rsidR="000E1B77" w:rsidRDefault="00294BD2">
            <w:pPr>
              <w:spacing w:before="60" w:after="60"/>
              <w:jc w:val="left"/>
              <w:rPr>
                <w:rFonts w:eastAsia="Calibri"/>
                <w:noProof/>
              </w:rPr>
            </w:pPr>
            <w:r>
              <w:rPr>
                <w:noProof/>
              </w:rPr>
              <w:t>A kérelem átvételi elismervényén feltüntetett dátum</w:t>
            </w:r>
          </w:p>
        </w:tc>
        <w:tc>
          <w:tcPr>
            <w:tcW w:w="4379" w:type="dxa"/>
            <w:tcBorders>
              <w:top w:val="dotted" w:sz="4" w:space="0" w:color="auto"/>
              <w:bottom w:val="dotted" w:sz="4" w:space="0" w:color="auto"/>
            </w:tcBorders>
            <w:shd w:val="clear" w:color="auto" w:fill="auto"/>
          </w:tcPr>
          <w:p w:rsidR="000E1B77" w:rsidRDefault="00294BD2">
            <w:pPr>
              <w:spacing w:before="60" w:after="60"/>
              <w:ind w:rightChars="192" w:right="461"/>
              <w:jc w:val="left"/>
              <w:rPr>
                <w:rFonts w:eastAsia="Calibri"/>
                <w:noProof/>
              </w:rPr>
            </w:pPr>
            <w:r>
              <w:rPr>
                <w:noProof/>
              </w:rPr>
              <w:t>2017. december 18.</w:t>
            </w:r>
          </w:p>
        </w:tc>
      </w:tr>
      <w:tr w:rsidR="000E1B77">
        <w:tc>
          <w:tcPr>
            <w:tcW w:w="4908" w:type="dxa"/>
            <w:tcBorders>
              <w:top w:val="dotted" w:sz="4" w:space="0" w:color="auto"/>
              <w:bottom w:val="dotted" w:sz="4" w:space="0" w:color="auto"/>
            </w:tcBorders>
            <w:shd w:val="clear" w:color="auto" w:fill="auto"/>
          </w:tcPr>
          <w:p w:rsidR="000E1B77" w:rsidRDefault="00294BD2">
            <w:pPr>
              <w:spacing w:before="60" w:after="60"/>
              <w:jc w:val="left"/>
              <w:rPr>
                <w:rFonts w:eastAsia="Calibri"/>
                <w:noProof/>
              </w:rPr>
            </w:pPr>
            <w:r>
              <w:rPr>
                <w:noProof/>
              </w:rPr>
              <w:t xml:space="preserve">A kiegészítő információk iránti </w:t>
            </w:r>
            <w:r>
              <w:rPr>
                <w:noProof/>
              </w:rPr>
              <w:t>kérelem dátuma</w:t>
            </w:r>
          </w:p>
        </w:tc>
        <w:tc>
          <w:tcPr>
            <w:tcW w:w="4379" w:type="dxa"/>
            <w:tcBorders>
              <w:top w:val="dotted" w:sz="4" w:space="0" w:color="auto"/>
              <w:bottom w:val="dotted" w:sz="4" w:space="0" w:color="auto"/>
            </w:tcBorders>
            <w:shd w:val="clear" w:color="auto" w:fill="auto"/>
          </w:tcPr>
          <w:p w:rsidR="000E1B77" w:rsidRDefault="00294BD2">
            <w:pPr>
              <w:spacing w:before="60" w:after="60"/>
              <w:ind w:rightChars="192" w:right="461"/>
              <w:jc w:val="left"/>
              <w:rPr>
                <w:rFonts w:eastAsia="Calibri"/>
                <w:noProof/>
              </w:rPr>
            </w:pPr>
            <w:r>
              <w:rPr>
                <w:noProof/>
              </w:rPr>
              <w:t>2017. december 24.</w:t>
            </w:r>
          </w:p>
        </w:tc>
      </w:tr>
      <w:tr w:rsidR="000E1B77">
        <w:tc>
          <w:tcPr>
            <w:tcW w:w="4908" w:type="dxa"/>
            <w:tcBorders>
              <w:top w:val="dotted" w:sz="4" w:space="0" w:color="auto"/>
              <w:bottom w:val="dotted" w:sz="4" w:space="0" w:color="auto"/>
            </w:tcBorders>
            <w:shd w:val="clear" w:color="auto" w:fill="auto"/>
          </w:tcPr>
          <w:p w:rsidR="000E1B77" w:rsidRDefault="00294BD2">
            <w:pPr>
              <w:spacing w:before="60" w:after="60"/>
              <w:jc w:val="left"/>
              <w:rPr>
                <w:rFonts w:eastAsia="Calibri"/>
                <w:noProof/>
              </w:rPr>
            </w:pPr>
            <w:r>
              <w:rPr>
                <w:noProof/>
              </w:rPr>
              <w:t>A kiegészítő információk benyújtásának határideje</w:t>
            </w:r>
          </w:p>
        </w:tc>
        <w:tc>
          <w:tcPr>
            <w:tcW w:w="4379" w:type="dxa"/>
            <w:tcBorders>
              <w:top w:val="dotted" w:sz="4" w:space="0" w:color="auto"/>
              <w:bottom w:val="dotted" w:sz="4" w:space="0" w:color="auto"/>
            </w:tcBorders>
            <w:shd w:val="clear" w:color="auto" w:fill="auto"/>
          </w:tcPr>
          <w:p w:rsidR="000E1B77" w:rsidRDefault="00294BD2">
            <w:pPr>
              <w:spacing w:before="60" w:after="60"/>
              <w:ind w:rightChars="192" w:right="461"/>
              <w:jc w:val="left"/>
              <w:rPr>
                <w:rFonts w:eastAsia="Calibri"/>
                <w:noProof/>
              </w:rPr>
            </w:pPr>
            <w:r>
              <w:rPr>
                <w:noProof/>
              </w:rPr>
              <w:t xml:space="preserve">2018. február 4. </w:t>
            </w:r>
          </w:p>
        </w:tc>
      </w:tr>
      <w:tr w:rsidR="000E1B77">
        <w:tc>
          <w:tcPr>
            <w:tcW w:w="4908" w:type="dxa"/>
            <w:tcBorders>
              <w:top w:val="dotted" w:sz="4" w:space="0" w:color="auto"/>
            </w:tcBorders>
            <w:shd w:val="clear" w:color="auto" w:fill="auto"/>
          </w:tcPr>
          <w:p w:rsidR="000E1B77" w:rsidRDefault="00294BD2">
            <w:pPr>
              <w:spacing w:before="60" w:after="60"/>
              <w:jc w:val="left"/>
              <w:rPr>
                <w:rFonts w:eastAsia="Calibri"/>
                <w:noProof/>
              </w:rPr>
            </w:pPr>
            <w:r>
              <w:rPr>
                <w:noProof/>
              </w:rPr>
              <w:t>Az értékelés befejezésének határideje</w:t>
            </w:r>
          </w:p>
        </w:tc>
        <w:tc>
          <w:tcPr>
            <w:tcW w:w="4379" w:type="dxa"/>
            <w:tcBorders>
              <w:top w:val="dotted" w:sz="4" w:space="0" w:color="auto"/>
            </w:tcBorders>
            <w:shd w:val="clear" w:color="auto" w:fill="auto"/>
          </w:tcPr>
          <w:p w:rsidR="000E1B77" w:rsidRDefault="00294BD2">
            <w:pPr>
              <w:spacing w:before="60" w:after="60"/>
              <w:ind w:rightChars="192" w:right="461"/>
              <w:jc w:val="left"/>
              <w:rPr>
                <w:rFonts w:eastAsia="Calibri"/>
                <w:noProof/>
              </w:rPr>
            </w:pPr>
            <w:r>
              <w:rPr>
                <w:noProof/>
              </w:rPr>
              <w:t>2018. április 29.</w:t>
            </w:r>
          </w:p>
        </w:tc>
      </w:tr>
      <w:tr w:rsidR="000E1B77">
        <w:tc>
          <w:tcPr>
            <w:tcW w:w="4908" w:type="dxa"/>
            <w:shd w:val="clear" w:color="auto" w:fill="auto"/>
          </w:tcPr>
          <w:p w:rsidR="000E1B77" w:rsidRDefault="00294BD2">
            <w:pPr>
              <w:spacing w:before="60" w:after="60"/>
              <w:jc w:val="left"/>
              <w:rPr>
                <w:rFonts w:eastAsia="Calibri"/>
                <w:noProof/>
              </w:rPr>
            </w:pPr>
            <w:r>
              <w:rPr>
                <w:noProof/>
              </w:rPr>
              <w:t>Beavatkozási kritérium</w:t>
            </w:r>
          </w:p>
        </w:tc>
        <w:tc>
          <w:tcPr>
            <w:tcW w:w="4379" w:type="dxa"/>
            <w:shd w:val="clear" w:color="auto" w:fill="auto"/>
          </w:tcPr>
          <w:p w:rsidR="000E1B77" w:rsidRDefault="00294BD2">
            <w:pPr>
              <w:spacing w:before="60" w:after="60"/>
              <w:ind w:rightChars="192" w:right="461"/>
              <w:jc w:val="left"/>
              <w:rPr>
                <w:rFonts w:eastAsia="Calibri"/>
                <w:noProof/>
              </w:rPr>
            </w:pPr>
            <w:r>
              <w:rPr>
                <w:noProof/>
              </w:rPr>
              <w:t>Az EGAA-rendelet 4. cikke (1) bekezdésének a) pontja</w:t>
            </w:r>
          </w:p>
        </w:tc>
      </w:tr>
      <w:tr w:rsidR="000E1B77">
        <w:tc>
          <w:tcPr>
            <w:tcW w:w="4908" w:type="dxa"/>
            <w:tcBorders>
              <w:top w:val="single" w:sz="4" w:space="0" w:color="auto"/>
              <w:bottom w:val="single" w:sz="4" w:space="0" w:color="auto"/>
              <w:right w:val="single" w:sz="4" w:space="0" w:color="auto"/>
            </w:tcBorders>
            <w:shd w:val="clear" w:color="auto" w:fill="auto"/>
          </w:tcPr>
          <w:p w:rsidR="000E1B77" w:rsidRDefault="00294BD2">
            <w:pPr>
              <w:spacing w:before="60" w:after="60"/>
              <w:jc w:val="left"/>
              <w:rPr>
                <w:rFonts w:eastAsia="Calibri"/>
                <w:noProof/>
              </w:rPr>
            </w:pPr>
            <w:r>
              <w:rPr>
                <w:noProof/>
              </w:rPr>
              <w:br w:type="page"/>
              <w:t xml:space="preserve">Elsődlegesen </w:t>
            </w:r>
            <w:r>
              <w:rPr>
                <w:noProof/>
              </w:rPr>
              <w:t>érintett vállalat</w:t>
            </w:r>
          </w:p>
        </w:tc>
        <w:tc>
          <w:tcPr>
            <w:tcW w:w="4379" w:type="dxa"/>
            <w:tcBorders>
              <w:top w:val="single" w:sz="4" w:space="0" w:color="auto"/>
              <w:left w:val="single" w:sz="4" w:space="0" w:color="auto"/>
              <w:bottom w:val="single" w:sz="4" w:space="0" w:color="auto"/>
            </w:tcBorders>
            <w:shd w:val="clear" w:color="auto" w:fill="auto"/>
          </w:tcPr>
          <w:p w:rsidR="000E1B77" w:rsidRDefault="00294BD2">
            <w:pPr>
              <w:spacing w:before="60" w:after="60"/>
              <w:ind w:rightChars="192" w:right="461"/>
              <w:jc w:val="left"/>
              <w:rPr>
                <w:noProof/>
                <w:szCs w:val="24"/>
              </w:rPr>
            </w:pPr>
            <w:r>
              <w:rPr>
                <w:noProof/>
              </w:rPr>
              <w:t>Caterpillar – Solar Gosselies</w:t>
            </w:r>
          </w:p>
        </w:tc>
      </w:tr>
      <w:tr w:rsidR="000E1B77">
        <w:tc>
          <w:tcPr>
            <w:tcW w:w="4908" w:type="dxa"/>
            <w:tcBorders>
              <w:top w:val="single" w:sz="4" w:space="0" w:color="auto"/>
              <w:bottom w:val="single" w:sz="4" w:space="0" w:color="auto"/>
              <w:right w:val="single" w:sz="4" w:space="0" w:color="auto"/>
            </w:tcBorders>
            <w:shd w:val="clear" w:color="auto" w:fill="auto"/>
          </w:tcPr>
          <w:p w:rsidR="000E1B77" w:rsidRDefault="00294BD2">
            <w:pPr>
              <w:spacing w:before="60" w:after="60"/>
              <w:jc w:val="left"/>
              <w:rPr>
                <w:rFonts w:eastAsia="Calibri"/>
                <w:noProof/>
              </w:rPr>
            </w:pPr>
            <w:r>
              <w:rPr>
                <w:noProof/>
              </w:rPr>
              <w:br w:type="page"/>
              <w:t>Az érintett vállalatok száma</w:t>
            </w:r>
          </w:p>
        </w:tc>
        <w:tc>
          <w:tcPr>
            <w:tcW w:w="4379" w:type="dxa"/>
            <w:tcBorders>
              <w:top w:val="single" w:sz="4" w:space="0" w:color="auto"/>
              <w:left w:val="single" w:sz="4" w:space="0" w:color="auto"/>
              <w:bottom w:val="single" w:sz="4" w:space="0" w:color="auto"/>
            </w:tcBorders>
            <w:shd w:val="clear" w:color="auto" w:fill="auto"/>
          </w:tcPr>
          <w:p w:rsidR="000E1B77" w:rsidRDefault="00294BD2">
            <w:pPr>
              <w:spacing w:before="60" w:after="60"/>
              <w:ind w:rightChars="192" w:right="461"/>
              <w:jc w:val="left"/>
              <w:rPr>
                <w:noProof/>
                <w:szCs w:val="24"/>
              </w:rPr>
            </w:pPr>
            <w:r>
              <w:rPr>
                <w:noProof/>
              </w:rPr>
              <w:t>1</w:t>
            </w:r>
          </w:p>
        </w:tc>
      </w:tr>
      <w:tr w:rsidR="000E1B77">
        <w:tc>
          <w:tcPr>
            <w:tcW w:w="4908" w:type="dxa"/>
            <w:shd w:val="clear" w:color="auto" w:fill="auto"/>
          </w:tcPr>
          <w:p w:rsidR="000E1B77" w:rsidRDefault="00294BD2">
            <w:pPr>
              <w:spacing w:before="60" w:after="60"/>
              <w:jc w:val="left"/>
              <w:rPr>
                <w:rFonts w:eastAsia="Calibri"/>
                <w:noProof/>
              </w:rPr>
            </w:pPr>
            <w:r>
              <w:rPr>
                <w:noProof/>
              </w:rPr>
              <w:t>Gazdasági ágazat(ok)</w:t>
            </w:r>
          </w:p>
          <w:p w:rsidR="000E1B77" w:rsidRDefault="00294BD2">
            <w:pPr>
              <w:spacing w:before="60" w:after="60"/>
              <w:jc w:val="left"/>
              <w:rPr>
                <w:rFonts w:eastAsia="Calibri"/>
                <w:noProof/>
              </w:rPr>
            </w:pPr>
            <w:r>
              <w:rPr>
                <w:noProof/>
              </w:rPr>
              <w:t>(NACE Revison 2. rendszer szerinti ágazat)</w:t>
            </w:r>
            <w:r>
              <w:rPr>
                <w:rStyle w:val="FootnoteReference"/>
                <w:noProof/>
              </w:rPr>
              <w:footnoteReference w:id="4"/>
            </w:r>
          </w:p>
        </w:tc>
        <w:tc>
          <w:tcPr>
            <w:tcW w:w="4379" w:type="dxa"/>
            <w:shd w:val="clear" w:color="auto" w:fill="auto"/>
          </w:tcPr>
          <w:p w:rsidR="000E1B77" w:rsidRDefault="00294BD2">
            <w:pPr>
              <w:spacing w:before="60" w:after="60"/>
              <w:ind w:rightChars="192" w:right="461"/>
              <w:jc w:val="left"/>
              <w:rPr>
                <w:rFonts w:eastAsia="Calibri"/>
                <w:noProof/>
              </w:rPr>
            </w:pPr>
            <w:r>
              <w:rPr>
                <w:noProof/>
              </w:rPr>
              <w:t>28 – Máshova nem sorolt gép, berendezés gyártása</w:t>
            </w:r>
          </w:p>
        </w:tc>
      </w:tr>
      <w:tr w:rsidR="000E1B77">
        <w:tc>
          <w:tcPr>
            <w:tcW w:w="4908" w:type="dxa"/>
            <w:shd w:val="clear" w:color="auto" w:fill="auto"/>
          </w:tcPr>
          <w:p w:rsidR="000E1B77" w:rsidRDefault="00294BD2">
            <w:pPr>
              <w:spacing w:before="60" w:after="60"/>
              <w:jc w:val="left"/>
              <w:rPr>
                <w:rFonts w:eastAsia="Calibri"/>
                <w:noProof/>
              </w:rPr>
            </w:pPr>
            <w:r>
              <w:rPr>
                <w:noProof/>
              </w:rPr>
              <w:br w:type="page"/>
              <w:t xml:space="preserve">A leányvállalatok, a beszállítók és az ellátási </w:t>
            </w:r>
            <w:r>
              <w:rPr>
                <w:noProof/>
              </w:rPr>
              <w:lastRenderedPageBreak/>
              <w:t xml:space="preserve">lánc </w:t>
            </w:r>
            <w:r>
              <w:rPr>
                <w:noProof/>
              </w:rPr>
              <w:t>következő szintjein álló termelők száma</w:t>
            </w:r>
          </w:p>
        </w:tc>
        <w:tc>
          <w:tcPr>
            <w:tcW w:w="4379" w:type="dxa"/>
            <w:shd w:val="clear" w:color="auto" w:fill="auto"/>
          </w:tcPr>
          <w:p w:rsidR="000E1B77" w:rsidRDefault="00294BD2">
            <w:pPr>
              <w:spacing w:before="60" w:after="60"/>
              <w:ind w:rightChars="192" w:right="461"/>
              <w:jc w:val="left"/>
              <w:rPr>
                <w:rFonts w:eastAsia="Calibri"/>
                <w:noProof/>
              </w:rPr>
            </w:pPr>
            <w:r>
              <w:rPr>
                <w:noProof/>
                <w:color w:val="000000" w:themeColor="text1"/>
              </w:rPr>
              <w:lastRenderedPageBreak/>
              <w:t>5</w:t>
            </w:r>
            <w:r>
              <w:rPr>
                <w:rStyle w:val="FootnoteReference"/>
                <w:noProof/>
                <w:color w:val="000000" w:themeColor="text1"/>
              </w:rPr>
              <w:footnoteReference w:id="5"/>
            </w:r>
          </w:p>
        </w:tc>
      </w:tr>
      <w:tr w:rsidR="000E1B77">
        <w:tc>
          <w:tcPr>
            <w:tcW w:w="4908" w:type="dxa"/>
            <w:tcBorders>
              <w:bottom w:val="single" w:sz="4" w:space="0" w:color="auto"/>
            </w:tcBorders>
            <w:shd w:val="clear" w:color="auto" w:fill="auto"/>
          </w:tcPr>
          <w:p w:rsidR="000E1B77" w:rsidRDefault="00294BD2">
            <w:pPr>
              <w:spacing w:before="60" w:after="60"/>
              <w:jc w:val="left"/>
              <w:rPr>
                <w:rFonts w:eastAsia="Calibri"/>
                <w:noProof/>
              </w:rPr>
            </w:pPr>
            <w:r>
              <w:rPr>
                <w:noProof/>
              </w:rPr>
              <w:lastRenderedPageBreak/>
              <w:t>Referencia-időszak (négy hónap):</w:t>
            </w:r>
          </w:p>
        </w:tc>
        <w:tc>
          <w:tcPr>
            <w:tcW w:w="4379" w:type="dxa"/>
            <w:tcBorders>
              <w:bottom w:val="single" w:sz="4" w:space="0" w:color="auto"/>
            </w:tcBorders>
            <w:shd w:val="clear" w:color="auto" w:fill="auto"/>
          </w:tcPr>
          <w:p w:rsidR="000E1B77" w:rsidRDefault="00294BD2">
            <w:pPr>
              <w:spacing w:before="60" w:after="60"/>
              <w:ind w:rightChars="192" w:right="461"/>
              <w:jc w:val="left"/>
              <w:rPr>
                <w:rFonts w:eastAsia="Calibri"/>
                <w:noProof/>
              </w:rPr>
            </w:pPr>
            <w:r>
              <w:rPr>
                <w:noProof/>
              </w:rPr>
              <w:t xml:space="preserve">2017. május 31. – 2017. szeptember 30. </w:t>
            </w:r>
          </w:p>
        </w:tc>
      </w:tr>
      <w:tr w:rsidR="000E1B77">
        <w:tc>
          <w:tcPr>
            <w:tcW w:w="4908" w:type="dxa"/>
            <w:tcBorders>
              <w:bottom w:val="dotted" w:sz="4" w:space="0" w:color="auto"/>
            </w:tcBorders>
            <w:shd w:val="clear" w:color="auto" w:fill="auto"/>
          </w:tcPr>
          <w:p w:rsidR="000E1B77" w:rsidRDefault="00294BD2">
            <w:pPr>
              <w:spacing w:before="60" w:after="60"/>
              <w:jc w:val="left"/>
              <w:rPr>
                <w:rFonts w:eastAsia="Calibri"/>
                <w:noProof/>
                <w:highlight w:val="magenta"/>
              </w:rPr>
            </w:pPr>
            <w:r>
              <w:rPr>
                <w:noProof/>
              </w:rPr>
              <w:t>A referencia-időszak alatt elbocsátottak száma (</w:t>
            </w:r>
            <w:r>
              <w:rPr>
                <w:i/>
                <w:noProof/>
              </w:rPr>
              <w:t>a</w:t>
            </w:r>
            <w:r>
              <w:rPr>
                <w:noProof/>
              </w:rPr>
              <w:t>)</w:t>
            </w:r>
          </w:p>
        </w:tc>
        <w:tc>
          <w:tcPr>
            <w:tcW w:w="4379" w:type="dxa"/>
            <w:tcBorders>
              <w:bottom w:val="dotted" w:sz="4" w:space="0" w:color="auto"/>
            </w:tcBorders>
            <w:shd w:val="clear" w:color="auto" w:fill="auto"/>
          </w:tcPr>
          <w:p w:rsidR="000E1B77" w:rsidRDefault="00294BD2">
            <w:pPr>
              <w:spacing w:before="60" w:after="60"/>
              <w:ind w:rightChars="192" w:right="461"/>
              <w:jc w:val="left"/>
              <w:rPr>
                <w:rFonts w:eastAsia="Calibri"/>
                <w:noProof/>
                <w:highlight w:val="magenta"/>
              </w:rPr>
            </w:pPr>
            <w:r>
              <w:rPr>
                <w:noProof/>
              </w:rPr>
              <w:t>1 364</w:t>
            </w:r>
          </w:p>
        </w:tc>
      </w:tr>
      <w:tr w:rsidR="000E1B77">
        <w:tc>
          <w:tcPr>
            <w:tcW w:w="4908" w:type="dxa"/>
            <w:tcBorders>
              <w:top w:val="dotted" w:sz="4" w:space="0" w:color="auto"/>
              <w:bottom w:val="dotted" w:sz="4" w:space="0" w:color="auto"/>
            </w:tcBorders>
            <w:shd w:val="clear" w:color="auto" w:fill="auto"/>
          </w:tcPr>
          <w:p w:rsidR="000E1B77" w:rsidRDefault="00294BD2">
            <w:pPr>
              <w:spacing w:before="60" w:after="60"/>
              <w:jc w:val="left"/>
              <w:rPr>
                <w:rFonts w:eastAsia="Calibri"/>
                <w:noProof/>
                <w:highlight w:val="magenta"/>
              </w:rPr>
            </w:pPr>
            <w:r>
              <w:rPr>
                <w:noProof/>
              </w:rPr>
              <w:t>A referencia-időszak előtt vagy után elbocsátottak száma (</w:t>
            </w:r>
            <w:r>
              <w:rPr>
                <w:i/>
                <w:noProof/>
              </w:rPr>
              <w:t>b</w:t>
            </w:r>
            <w:r>
              <w:rPr>
                <w:noProof/>
              </w:rPr>
              <w:t>)</w:t>
            </w:r>
          </w:p>
        </w:tc>
        <w:tc>
          <w:tcPr>
            <w:tcW w:w="4379" w:type="dxa"/>
            <w:tcBorders>
              <w:top w:val="dotted" w:sz="4" w:space="0" w:color="auto"/>
              <w:bottom w:val="dotted" w:sz="4" w:space="0" w:color="auto"/>
            </w:tcBorders>
            <w:shd w:val="clear" w:color="auto" w:fill="auto"/>
          </w:tcPr>
          <w:p w:rsidR="000E1B77" w:rsidRDefault="00294BD2">
            <w:pPr>
              <w:spacing w:before="60" w:after="60"/>
              <w:ind w:rightChars="192" w:right="461"/>
              <w:jc w:val="left"/>
              <w:rPr>
                <w:rFonts w:eastAsia="Calibri"/>
                <w:noProof/>
              </w:rPr>
            </w:pPr>
            <w:r>
              <w:rPr>
                <w:noProof/>
              </w:rPr>
              <w:t>   921</w:t>
            </w:r>
          </w:p>
        </w:tc>
      </w:tr>
      <w:tr w:rsidR="000E1B77">
        <w:tc>
          <w:tcPr>
            <w:tcW w:w="4908" w:type="dxa"/>
            <w:tcBorders>
              <w:top w:val="dotted" w:sz="4" w:space="0" w:color="auto"/>
              <w:bottom w:val="single" w:sz="4" w:space="0" w:color="auto"/>
            </w:tcBorders>
            <w:shd w:val="clear" w:color="auto" w:fill="auto"/>
          </w:tcPr>
          <w:p w:rsidR="000E1B77" w:rsidRDefault="00294BD2">
            <w:pPr>
              <w:spacing w:before="60" w:after="60"/>
              <w:jc w:val="left"/>
              <w:rPr>
                <w:rFonts w:eastAsia="Calibri"/>
                <w:noProof/>
              </w:rPr>
            </w:pPr>
            <w:r>
              <w:rPr>
                <w:noProof/>
              </w:rPr>
              <w:t xml:space="preserve">Az elbocsátottak száma összesen </w:t>
            </w:r>
          </w:p>
        </w:tc>
        <w:tc>
          <w:tcPr>
            <w:tcW w:w="4379" w:type="dxa"/>
            <w:tcBorders>
              <w:top w:val="dotted" w:sz="4" w:space="0" w:color="auto"/>
              <w:bottom w:val="single" w:sz="4" w:space="0" w:color="auto"/>
            </w:tcBorders>
            <w:shd w:val="clear" w:color="auto" w:fill="auto"/>
          </w:tcPr>
          <w:p w:rsidR="000E1B77" w:rsidRDefault="00294BD2">
            <w:pPr>
              <w:spacing w:before="60" w:after="60"/>
              <w:ind w:rightChars="192" w:right="461"/>
              <w:jc w:val="left"/>
              <w:rPr>
                <w:rFonts w:eastAsia="Calibri"/>
                <w:noProof/>
              </w:rPr>
            </w:pPr>
            <w:r>
              <w:rPr>
                <w:noProof/>
              </w:rPr>
              <w:t>2 287</w:t>
            </w:r>
          </w:p>
        </w:tc>
      </w:tr>
      <w:tr w:rsidR="000E1B77">
        <w:tc>
          <w:tcPr>
            <w:tcW w:w="4908" w:type="dxa"/>
            <w:tcBorders>
              <w:bottom w:val="dotted" w:sz="4" w:space="0" w:color="auto"/>
            </w:tcBorders>
            <w:shd w:val="clear" w:color="auto" w:fill="auto"/>
          </w:tcPr>
          <w:p w:rsidR="000E1B77" w:rsidRDefault="00294BD2">
            <w:pPr>
              <w:spacing w:before="60" w:after="60"/>
              <w:jc w:val="left"/>
              <w:rPr>
                <w:rFonts w:eastAsia="Calibri"/>
                <w:noProof/>
              </w:rPr>
            </w:pPr>
            <w:r>
              <w:rPr>
                <w:noProof/>
              </w:rPr>
              <w:t>A támogatható kedvezményezettek száma összesen</w:t>
            </w:r>
          </w:p>
        </w:tc>
        <w:tc>
          <w:tcPr>
            <w:tcW w:w="4379" w:type="dxa"/>
            <w:tcBorders>
              <w:bottom w:val="dotted" w:sz="4" w:space="0" w:color="auto"/>
            </w:tcBorders>
            <w:shd w:val="clear" w:color="auto" w:fill="auto"/>
          </w:tcPr>
          <w:p w:rsidR="000E1B77" w:rsidRDefault="00294BD2">
            <w:pPr>
              <w:spacing w:before="60" w:after="60"/>
              <w:ind w:rightChars="192" w:right="461"/>
              <w:jc w:val="left"/>
              <w:rPr>
                <w:rFonts w:eastAsia="Calibri"/>
                <w:noProof/>
              </w:rPr>
            </w:pPr>
            <w:r>
              <w:rPr>
                <w:noProof/>
              </w:rPr>
              <w:t>2 287</w:t>
            </w:r>
          </w:p>
        </w:tc>
      </w:tr>
      <w:tr w:rsidR="000E1B77">
        <w:tc>
          <w:tcPr>
            <w:tcW w:w="4908" w:type="dxa"/>
            <w:tcBorders>
              <w:top w:val="dotted" w:sz="4" w:space="0" w:color="auto"/>
              <w:bottom w:val="dotted" w:sz="4" w:space="0" w:color="auto"/>
            </w:tcBorders>
            <w:shd w:val="clear" w:color="auto" w:fill="auto"/>
          </w:tcPr>
          <w:p w:rsidR="000E1B77" w:rsidRDefault="00294BD2">
            <w:pPr>
              <w:spacing w:before="60" w:after="60"/>
              <w:jc w:val="left"/>
              <w:rPr>
                <w:rFonts w:eastAsia="Calibri"/>
                <w:noProof/>
              </w:rPr>
            </w:pPr>
            <w:r>
              <w:rPr>
                <w:noProof/>
              </w:rPr>
              <w:t>A támogatásra jogosult kedvezményezettek száma összesen</w:t>
            </w:r>
          </w:p>
        </w:tc>
        <w:tc>
          <w:tcPr>
            <w:tcW w:w="4379" w:type="dxa"/>
            <w:tcBorders>
              <w:top w:val="dotted" w:sz="4" w:space="0" w:color="auto"/>
              <w:bottom w:val="dotted" w:sz="4" w:space="0" w:color="auto"/>
            </w:tcBorders>
            <w:shd w:val="clear" w:color="auto" w:fill="auto"/>
          </w:tcPr>
          <w:p w:rsidR="000E1B77" w:rsidRDefault="00294BD2">
            <w:pPr>
              <w:spacing w:before="60" w:after="60"/>
              <w:ind w:rightChars="192" w:right="461"/>
              <w:jc w:val="left"/>
              <w:rPr>
                <w:rFonts w:eastAsia="Calibri"/>
                <w:noProof/>
              </w:rPr>
            </w:pPr>
            <w:r>
              <w:rPr>
                <w:noProof/>
              </w:rPr>
              <w:t>2 287</w:t>
            </w:r>
          </w:p>
        </w:tc>
      </w:tr>
      <w:tr w:rsidR="000E1B77">
        <w:tc>
          <w:tcPr>
            <w:tcW w:w="4908" w:type="dxa"/>
            <w:tcBorders>
              <w:top w:val="dotted" w:sz="4" w:space="0" w:color="auto"/>
              <w:bottom w:val="single" w:sz="4" w:space="0" w:color="auto"/>
            </w:tcBorders>
            <w:shd w:val="clear" w:color="auto" w:fill="auto"/>
          </w:tcPr>
          <w:p w:rsidR="000E1B77" w:rsidRDefault="00294BD2">
            <w:pPr>
              <w:spacing w:before="60" w:after="60"/>
              <w:jc w:val="left"/>
              <w:rPr>
                <w:rFonts w:eastAsia="Calibri"/>
                <w:noProof/>
              </w:rPr>
            </w:pPr>
            <w:r>
              <w:rPr>
                <w:noProof/>
              </w:rPr>
              <w:t xml:space="preserve">A támogatásra jogosult nem foglalkoztatott, oktatásban és képzésben nem részesülő fiatalok </w:t>
            </w:r>
            <w:r>
              <w:rPr>
                <w:noProof/>
              </w:rPr>
              <w:t>(NEET-fiatalok) száma</w:t>
            </w:r>
          </w:p>
        </w:tc>
        <w:tc>
          <w:tcPr>
            <w:tcW w:w="4379" w:type="dxa"/>
            <w:tcBorders>
              <w:top w:val="dotted" w:sz="4" w:space="0" w:color="auto"/>
              <w:bottom w:val="single" w:sz="4" w:space="0" w:color="auto"/>
            </w:tcBorders>
            <w:shd w:val="clear" w:color="auto" w:fill="auto"/>
          </w:tcPr>
          <w:p w:rsidR="000E1B77" w:rsidRDefault="00294BD2">
            <w:pPr>
              <w:spacing w:before="60" w:after="60"/>
              <w:ind w:rightChars="192" w:right="461"/>
              <w:jc w:val="left"/>
              <w:rPr>
                <w:rFonts w:eastAsia="Calibri"/>
                <w:noProof/>
              </w:rPr>
            </w:pPr>
            <w:r>
              <w:rPr>
                <w:noProof/>
              </w:rPr>
              <w:t>   300</w:t>
            </w:r>
          </w:p>
        </w:tc>
      </w:tr>
      <w:tr w:rsidR="000E1B77">
        <w:tc>
          <w:tcPr>
            <w:tcW w:w="4908" w:type="dxa"/>
            <w:tcBorders>
              <w:bottom w:val="dotted" w:sz="4" w:space="0" w:color="auto"/>
            </w:tcBorders>
            <w:shd w:val="clear" w:color="auto" w:fill="auto"/>
            <w:vAlign w:val="center"/>
          </w:tcPr>
          <w:p w:rsidR="000E1B77" w:rsidRDefault="00294BD2">
            <w:pPr>
              <w:spacing w:before="0" w:after="0"/>
              <w:jc w:val="left"/>
              <w:rPr>
                <w:noProof/>
                <w:szCs w:val="24"/>
              </w:rPr>
            </w:pPr>
            <w:r>
              <w:rPr>
                <w:noProof/>
              </w:rPr>
              <w:t>A személyre szabott szolgáltatásokhoz kapcsolódó költségvetés (EUR)</w:t>
            </w:r>
          </w:p>
        </w:tc>
        <w:tc>
          <w:tcPr>
            <w:tcW w:w="4379" w:type="dxa"/>
            <w:tcBorders>
              <w:bottom w:val="dotted" w:sz="4" w:space="0" w:color="auto"/>
            </w:tcBorders>
            <w:shd w:val="clear" w:color="auto" w:fill="auto"/>
            <w:vAlign w:val="center"/>
          </w:tcPr>
          <w:p w:rsidR="000E1B77" w:rsidRDefault="00294BD2">
            <w:pPr>
              <w:spacing w:before="0" w:after="0"/>
              <w:ind w:rightChars="192" w:right="461"/>
              <w:jc w:val="left"/>
              <w:rPr>
                <w:noProof/>
                <w:szCs w:val="24"/>
              </w:rPr>
            </w:pPr>
            <w:r>
              <w:rPr>
                <w:noProof/>
                <w:color w:val="222222"/>
              </w:rPr>
              <w:t>7 </w:t>
            </w:r>
            <w:r>
              <w:rPr>
                <w:noProof/>
              </w:rPr>
              <w:t>575 294</w:t>
            </w:r>
          </w:p>
        </w:tc>
      </w:tr>
      <w:tr w:rsidR="000E1B77">
        <w:tc>
          <w:tcPr>
            <w:tcW w:w="4908" w:type="dxa"/>
            <w:tcBorders>
              <w:top w:val="dotted" w:sz="4" w:space="0" w:color="auto"/>
              <w:bottom w:val="dotted" w:sz="4" w:space="0" w:color="auto"/>
            </w:tcBorders>
            <w:shd w:val="clear" w:color="auto" w:fill="auto"/>
            <w:vAlign w:val="center"/>
          </w:tcPr>
          <w:p w:rsidR="000E1B77" w:rsidRDefault="00294BD2">
            <w:pPr>
              <w:spacing w:before="0" w:after="0"/>
              <w:jc w:val="left"/>
              <w:rPr>
                <w:noProof/>
              </w:rPr>
            </w:pPr>
            <w:r>
              <w:rPr>
                <w:noProof/>
              </w:rPr>
              <w:t>Az EGAA</w:t>
            </w:r>
            <w:r>
              <w:rPr>
                <w:rStyle w:val="FootnoteReference"/>
                <w:noProof/>
              </w:rPr>
              <w:footnoteReference w:id="6"/>
            </w:r>
            <w:r>
              <w:rPr>
                <w:noProof/>
              </w:rPr>
              <w:t xml:space="preserve"> végrehajtásához kapcsolódó költségvetés (EUR)</w:t>
            </w:r>
          </w:p>
        </w:tc>
        <w:tc>
          <w:tcPr>
            <w:tcW w:w="4379" w:type="dxa"/>
            <w:tcBorders>
              <w:top w:val="dotted" w:sz="4" w:space="0" w:color="auto"/>
              <w:bottom w:val="dotted" w:sz="4" w:space="0" w:color="auto"/>
            </w:tcBorders>
            <w:shd w:val="clear" w:color="auto" w:fill="auto"/>
            <w:vAlign w:val="center"/>
          </w:tcPr>
          <w:p w:rsidR="000E1B77" w:rsidRDefault="00294BD2">
            <w:pPr>
              <w:spacing w:before="0" w:after="0"/>
              <w:ind w:rightChars="192" w:right="461"/>
              <w:jc w:val="left"/>
              <w:rPr>
                <w:noProof/>
              </w:rPr>
            </w:pPr>
            <w:r>
              <w:rPr>
                <w:noProof/>
              </w:rPr>
              <w:t>   127 400</w:t>
            </w:r>
          </w:p>
        </w:tc>
      </w:tr>
      <w:tr w:rsidR="000E1B77">
        <w:tc>
          <w:tcPr>
            <w:tcW w:w="4908" w:type="dxa"/>
            <w:tcBorders>
              <w:top w:val="dotted" w:sz="4" w:space="0" w:color="auto"/>
              <w:bottom w:val="dotted" w:sz="4" w:space="0" w:color="auto"/>
            </w:tcBorders>
            <w:shd w:val="clear" w:color="auto" w:fill="auto"/>
            <w:vAlign w:val="center"/>
          </w:tcPr>
          <w:p w:rsidR="000E1B77" w:rsidRDefault="00294BD2">
            <w:pPr>
              <w:spacing w:before="0" w:after="0"/>
              <w:jc w:val="left"/>
              <w:rPr>
                <w:noProof/>
                <w:szCs w:val="24"/>
              </w:rPr>
            </w:pPr>
            <w:r>
              <w:rPr>
                <w:noProof/>
              </w:rPr>
              <w:t>Teljes költségvetés (EUR)</w:t>
            </w:r>
          </w:p>
        </w:tc>
        <w:tc>
          <w:tcPr>
            <w:tcW w:w="4379" w:type="dxa"/>
            <w:tcBorders>
              <w:top w:val="dotted" w:sz="4" w:space="0" w:color="auto"/>
              <w:bottom w:val="dotted" w:sz="4" w:space="0" w:color="auto"/>
            </w:tcBorders>
            <w:shd w:val="clear" w:color="auto" w:fill="auto"/>
            <w:vAlign w:val="center"/>
          </w:tcPr>
          <w:p w:rsidR="000E1B77" w:rsidRDefault="00294BD2">
            <w:pPr>
              <w:spacing w:before="0" w:after="0"/>
              <w:ind w:rightChars="192" w:right="461"/>
              <w:jc w:val="left"/>
              <w:rPr>
                <w:noProof/>
                <w:szCs w:val="24"/>
              </w:rPr>
            </w:pPr>
            <w:r>
              <w:rPr>
                <w:noProof/>
                <w:color w:val="222222"/>
              </w:rPr>
              <w:t>7 702 694</w:t>
            </w:r>
          </w:p>
        </w:tc>
      </w:tr>
      <w:tr w:rsidR="000E1B77">
        <w:tc>
          <w:tcPr>
            <w:tcW w:w="4908" w:type="dxa"/>
            <w:tcBorders>
              <w:top w:val="dotted" w:sz="4" w:space="0" w:color="auto"/>
            </w:tcBorders>
            <w:shd w:val="clear" w:color="auto" w:fill="auto"/>
            <w:vAlign w:val="center"/>
          </w:tcPr>
          <w:p w:rsidR="000E1B77" w:rsidRDefault="00294BD2">
            <w:pPr>
              <w:spacing w:before="0" w:after="0"/>
              <w:jc w:val="left"/>
              <w:rPr>
                <w:noProof/>
                <w:szCs w:val="24"/>
              </w:rPr>
            </w:pPr>
            <w:r>
              <w:rPr>
                <w:noProof/>
              </w:rPr>
              <w:t>EGAA-hozzájárulás (60 %) (EUR)</w:t>
            </w:r>
          </w:p>
        </w:tc>
        <w:tc>
          <w:tcPr>
            <w:tcW w:w="4379" w:type="dxa"/>
            <w:tcBorders>
              <w:top w:val="dotted" w:sz="4" w:space="0" w:color="auto"/>
            </w:tcBorders>
            <w:shd w:val="clear" w:color="auto" w:fill="auto"/>
            <w:vAlign w:val="center"/>
          </w:tcPr>
          <w:p w:rsidR="000E1B77" w:rsidRDefault="00294BD2">
            <w:pPr>
              <w:shd w:val="clear" w:color="auto" w:fill="FFFFFF"/>
              <w:spacing w:before="0" w:after="0" w:line="270" w:lineRule="atLeast"/>
              <w:jc w:val="left"/>
              <w:textAlignment w:val="top"/>
              <w:rPr>
                <w:rFonts w:eastAsia="Times New Roman"/>
                <w:noProof/>
                <w:color w:val="222222"/>
                <w:szCs w:val="24"/>
              </w:rPr>
            </w:pPr>
            <w:r>
              <w:rPr>
                <w:noProof/>
                <w:color w:val="222222"/>
              </w:rPr>
              <w:t>4 621 616</w:t>
            </w:r>
          </w:p>
        </w:tc>
      </w:tr>
    </w:tbl>
    <w:p w:rsidR="000E1B77" w:rsidRDefault="00294BD2">
      <w:pPr>
        <w:pStyle w:val="ManualHeading1"/>
        <w:rPr>
          <w:noProof/>
        </w:rPr>
      </w:pPr>
      <w:r>
        <w:rPr>
          <w:noProof/>
        </w:rPr>
        <w:t>A</w:t>
      </w:r>
      <w:r>
        <w:rPr>
          <w:noProof/>
        </w:rPr>
        <w:t xml:space="preserve"> KÉRELEM ÉRTÉKELÉSE</w:t>
      </w:r>
    </w:p>
    <w:p w:rsidR="000E1B77" w:rsidRDefault="00294BD2">
      <w:pPr>
        <w:pStyle w:val="ManualHeading2"/>
        <w:rPr>
          <w:noProof/>
        </w:rPr>
      </w:pPr>
      <w:r>
        <w:rPr>
          <w:noProof/>
        </w:rPr>
        <w:t>Az eljárás</w:t>
      </w:r>
    </w:p>
    <w:p w:rsidR="000E1B77" w:rsidRDefault="00294BD2">
      <w:pPr>
        <w:pStyle w:val="ManualNumPar1"/>
        <w:rPr>
          <w:noProof/>
        </w:rPr>
      </w:pPr>
      <w:r>
        <w:t>4.</w:t>
      </w:r>
      <w:r>
        <w:tab/>
      </w:r>
      <w:r>
        <w:rPr>
          <w:noProof/>
        </w:rPr>
        <w:t>Belgium 2017. december 18-án EGF/2017/010 BE/Caterpillar referenciaszámon kérelmet nyújtott be, 12 héten belül attól az időponttól számítva, hogy az EGAA-rendelet 4. cikkében meghatározott beavatkozási kritériumok teljesül</w:t>
      </w:r>
      <w:r>
        <w:rPr>
          <w:noProof/>
        </w:rPr>
        <w:t>tek. A Bizottság ugyanazon a napon visszaigazolta a kérelem beérkezését, és 2017. december 24-én kiegészítő információkat kért Belgiumtól. Belgium a kéréstől számított hat héten belül megküldte a szóban forgó kiegészítő információkat. A teljes kérelem kézh</w:t>
      </w:r>
      <w:r>
        <w:rPr>
          <w:noProof/>
        </w:rPr>
        <w:t>ezvételétől számított 12 hetes határidő, amelyen belül a Bizottságnak le kell zárnia annak értékelését, hogy a kérelem megfelel-e a pénzügyi hozzájárulás feltételeinek, 2018. április 29-én jár le.</w:t>
      </w:r>
    </w:p>
    <w:p w:rsidR="000E1B77" w:rsidRDefault="00294BD2">
      <w:pPr>
        <w:pStyle w:val="ManualHeading2"/>
        <w:rPr>
          <w:noProof/>
        </w:rPr>
      </w:pPr>
      <w:r>
        <w:rPr>
          <w:noProof/>
        </w:rPr>
        <w:t>A kérelem elfogadhatósága</w:t>
      </w:r>
    </w:p>
    <w:p w:rsidR="000E1B77" w:rsidRDefault="00294BD2">
      <w:pPr>
        <w:pStyle w:val="ManualHeading3"/>
        <w:rPr>
          <w:noProof/>
        </w:rPr>
      </w:pPr>
      <w:r>
        <w:rPr>
          <w:noProof/>
        </w:rPr>
        <w:t>Az érintett vállalatok és kedvezm</w:t>
      </w:r>
      <w:r>
        <w:rPr>
          <w:noProof/>
        </w:rPr>
        <w:t>ényezettek</w:t>
      </w:r>
    </w:p>
    <w:p w:rsidR="000E1B77" w:rsidRDefault="00294BD2">
      <w:pPr>
        <w:pStyle w:val="ManualNumPar1"/>
        <w:rPr>
          <w:noProof/>
        </w:rPr>
      </w:pPr>
      <w:r>
        <w:t>5.</w:t>
      </w:r>
      <w:r>
        <w:tab/>
      </w:r>
      <w:r>
        <w:rPr>
          <w:noProof/>
        </w:rPr>
        <w:t xml:space="preserve">A kérelem a Caterpillar Solar Gosselies (Caterpillar) vállalat és 5 </w:t>
      </w:r>
      <w:r>
        <w:rPr>
          <w:noProof/>
          <w:color w:val="000000" w:themeColor="text1"/>
        </w:rPr>
        <w:t>beszállítója</w:t>
      </w:r>
      <w:r>
        <w:rPr>
          <w:noProof/>
        </w:rPr>
        <w:t xml:space="preserve"> által elbocsátott </w:t>
      </w:r>
      <w:r>
        <w:rPr>
          <w:noProof/>
          <w:color w:val="000000" w:themeColor="text1"/>
        </w:rPr>
        <w:t>2 287</w:t>
      </w:r>
      <w:r>
        <w:rPr>
          <w:noProof/>
        </w:rPr>
        <w:t xml:space="preserve"> munkavállalóra vonatkozik. A Caterpillar a NACE Rev. 2. rendszer szerinti gazdasági ágazatok közül a 28. ágazatban („Gép, gépi berendezés</w:t>
      </w:r>
      <w:r>
        <w:rPr>
          <w:noProof/>
        </w:rPr>
        <w:t xml:space="preserve"> gyártása”) működik. Az érintett vállalatoktól történt elbocsátások az Hainaut BE32 NUTS 2. szintű régióban következtek be.</w:t>
      </w:r>
    </w:p>
    <w:tbl>
      <w:tblPr>
        <w:tblpPr w:leftFromText="180" w:rightFromText="180" w:vertAnchor="text" w:horzAnchor="margin" w:tblpXSpec="right" w:tblpY="191"/>
        <w:tblW w:w="8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3455"/>
        <w:gridCol w:w="1525"/>
      </w:tblGrid>
      <w:tr w:rsidR="000E1B77">
        <w:trPr>
          <w:trHeight w:val="284"/>
          <w:tblHeader/>
        </w:trPr>
        <w:tc>
          <w:tcPr>
            <w:tcW w:w="8340" w:type="dxa"/>
            <w:gridSpan w:val="3"/>
            <w:shd w:val="clear" w:color="auto" w:fill="D9D9D9" w:themeFill="background1" w:themeFillShade="D9"/>
          </w:tcPr>
          <w:p w:rsidR="000E1B77" w:rsidRDefault="00294BD2">
            <w:pPr>
              <w:spacing w:beforeLines="20" w:before="48" w:afterLines="20" w:after="48" w:line="276" w:lineRule="auto"/>
              <w:ind w:left="57"/>
              <w:jc w:val="center"/>
              <w:rPr>
                <w:rFonts w:eastAsia="Calibri"/>
                <w:noProof/>
                <w:szCs w:val="24"/>
              </w:rPr>
            </w:pPr>
            <w:r>
              <w:rPr>
                <w:b/>
                <w:noProof/>
              </w:rPr>
              <w:t xml:space="preserve">A vállalatok és az elbocsátott személyek száma </w:t>
            </w:r>
          </w:p>
        </w:tc>
      </w:tr>
      <w:tr w:rsidR="000E1B77">
        <w:tc>
          <w:tcPr>
            <w:tcW w:w="3360" w:type="dxa"/>
            <w:tcBorders>
              <w:bottom w:val="nil"/>
              <w:right w:val="nil"/>
            </w:tcBorders>
            <w:shd w:val="clear" w:color="auto" w:fill="auto"/>
            <w:vAlign w:val="center"/>
          </w:tcPr>
          <w:p w:rsidR="000E1B77" w:rsidRDefault="00294BD2">
            <w:pPr>
              <w:spacing w:before="0" w:after="0"/>
              <w:ind w:right="252"/>
              <w:jc w:val="left"/>
              <w:rPr>
                <w:noProof/>
                <w:sz w:val="20"/>
                <w:szCs w:val="20"/>
              </w:rPr>
            </w:pPr>
            <w:r>
              <w:rPr>
                <w:noProof/>
                <w:sz w:val="20"/>
              </w:rPr>
              <w:lastRenderedPageBreak/>
              <w:t xml:space="preserve">Caterpillar </w:t>
            </w:r>
          </w:p>
        </w:tc>
        <w:tc>
          <w:tcPr>
            <w:tcW w:w="4980" w:type="dxa"/>
            <w:gridSpan w:val="2"/>
            <w:tcBorders>
              <w:left w:val="nil"/>
              <w:bottom w:val="nil"/>
            </w:tcBorders>
            <w:shd w:val="clear" w:color="auto" w:fill="auto"/>
            <w:vAlign w:val="center"/>
          </w:tcPr>
          <w:p w:rsidR="000E1B77" w:rsidRDefault="00294BD2">
            <w:pPr>
              <w:spacing w:before="0" w:after="0"/>
              <w:ind w:left="-828"/>
              <w:jc w:val="right"/>
              <w:rPr>
                <w:noProof/>
                <w:sz w:val="20"/>
                <w:szCs w:val="20"/>
              </w:rPr>
            </w:pPr>
            <w:r>
              <w:rPr>
                <w:noProof/>
                <w:color w:val="000000" w:themeColor="text1"/>
                <w:sz w:val="20"/>
              </w:rPr>
              <w:t>1 997</w:t>
            </w:r>
          </w:p>
        </w:tc>
      </w:tr>
      <w:tr w:rsidR="000E1B77">
        <w:tc>
          <w:tcPr>
            <w:tcW w:w="3360" w:type="dxa"/>
            <w:tcBorders>
              <w:bottom w:val="nil"/>
              <w:right w:val="nil"/>
            </w:tcBorders>
            <w:shd w:val="clear" w:color="auto" w:fill="auto"/>
            <w:vAlign w:val="center"/>
          </w:tcPr>
          <w:p w:rsidR="000E1B77" w:rsidRDefault="00294BD2">
            <w:pPr>
              <w:spacing w:before="0" w:after="0"/>
              <w:ind w:right="252"/>
              <w:jc w:val="left"/>
              <w:rPr>
                <w:noProof/>
                <w:sz w:val="20"/>
                <w:szCs w:val="20"/>
              </w:rPr>
            </w:pPr>
            <w:r>
              <w:rPr>
                <w:noProof/>
                <w:sz w:val="20"/>
              </w:rPr>
              <w:t>Cediwal</w:t>
            </w:r>
          </w:p>
        </w:tc>
        <w:tc>
          <w:tcPr>
            <w:tcW w:w="4980" w:type="dxa"/>
            <w:gridSpan w:val="2"/>
            <w:tcBorders>
              <w:left w:val="nil"/>
              <w:bottom w:val="nil"/>
            </w:tcBorders>
            <w:shd w:val="clear" w:color="auto" w:fill="auto"/>
            <w:vAlign w:val="center"/>
          </w:tcPr>
          <w:p w:rsidR="000E1B77" w:rsidRDefault="00294BD2">
            <w:pPr>
              <w:spacing w:before="0" w:after="0"/>
              <w:ind w:left="-828"/>
              <w:jc w:val="right"/>
              <w:rPr>
                <w:noProof/>
                <w:sz w:val="20"/>
                <w:szCs w:val="20"/>
              </w:rPr>
            </w:pPr>
            <w:r>
              <w:rPr>
                <w:noProof/>
                <w:sz w:val="20"/>
              </w:rPr>
              <w:t>68</w:t>
            </w:r>
          </w:p>
        </w:tc>
      </w:tr>
      <w:tr w:rsidR="000E1B77">
        <w:tc>
          <w:tcPr>
            <w:tcW w:w="3360" w:type="dxa"/>
            <w:tcBorders>
              <w:bottom w:val="nil"/>
              <w:right w:val="nil"/>
            </w:tcBorders>
            <w:shd w:val="clear" w:color="auto" w:fill="auto"/>
            <w:vAlign w:val="center"/>
          </w:tcPr>
          <w:p w:rsidR="000E1B77" w:rsidRDefault="00294BD2">
            <w:pPr>
              <w:spacing w:before="0" w:after="0"/>
              <w:ind w:right="252"/>
              <w:jc w:val="left"/>
              <w:rPr>
                <w:noProof/>
                <w:sz w:val="20"/>
                <w:szCs w:val="20"/>
              </w:rPr>
            </w:pPr>
            <w:r>
              <w:rPr>
                <w:noProof/>
                <w:sz w:val="20"/>
              </w:rPr>
              <w:t>Eutraco</w:t>
            </w:r>
          </w:p>
        </w:tc>
        <w:tc>
          <w:tcPr>
            <w:tcW w:w="4980" w:type="dxa"/>
            <w:gridSpan w:val="2"/>
            <w:tcBorders>
              <w:left w:val="nil"/>
              <w:bottom w:val="nil"/>
            </w:tcBorders>
            <w:shd w:val="clear" w:color="auto" w:fill="auto"/>
            <w:vAlign w:val="center"/>
          </w:tcPr>
          <w:p w:rsidR="000E1B77" w:rsidRDefault="00294BD2">
            <w:pPr>
              <w:spacing w:before="0" w:after="0"/>
              <w:ind w:left="-828"/>
              <w:jc w:val="right"/>
              <w:rPr>
                <w:noProof/>
                <w:sz w:val="20"/>
                <w:szCs w:val="20"/>
              </w:rPr>
            </w:pPr>
            <w:r>
              <w:rPr>
                <w:noProof/>
                <w:sz w:val="20"/>
              </w:rPr>
              <w:t>63</w:t>
            </w:r>
          </w:p>
        </w:tc>
      </w:tr>
      <w:tr w:rsidR="000E1B77">
        <w:tc>
          <w:tcPr>
            <w:tcW w:w="3360" w:type="dxa"/>
            <w:tcBorders>
              <w:bottom w:val="nil"/>
              <w:right w:val="nil"/>
            </w:tcBorders>
            <w:shd w:val="clear" w:color="auto" w:fill="auto"/>
            <w:vAlign w:val="center"/>
          </w:tcPr>
          <w:p w:rsidR="000E1B77" w:rsidRDefault="00294BD2">
            <w:pPr>
              <w:spacing w:before="0" w:after="0"/>
              <w:ind w:right="252"/>
              <w:jc w:val="left"/>
              <w:rPr>
                <w:noProof/>
                <w:sz w:val="20"/>
                <w:szCs w:val="20"/>
              </w:rPr>
            </w:pPr>
            <w:r>
              <w:rPr>
                <w:noProof/>
                <w:sz w:val="20"/>
              </w:rPr>
              <w:t>Yusen</w:t>
            </w:r>
          </w:p>
        </w:tc>
        <w:tc>
          <w:tcPr>
            <w:tcW w:w="4980" w:type="dxa"/>
            <w:gridSpan w:val="2"/>
            <w:tcBorders>
              <w:left w:val="nil"/>
              <w:bottom w:val="nil"/>
            </w:tcBorders>
            <w:shd w:val="clear" w:color="auto" w:fill="auto"/>
            <w:vAlign w:val="center"/>
          </w:tcPr>
          <w:p w:rsidR="000E1B77" w:rsidRDefault="00294BD2">
            <w:pPr>
              <w:spacing w:before="0" w:after="0"/>
              <w:ind w:left="-828"/>
              <w:jc w:val="right"/>
              <w:rPr>
                <w:noProof/>
                <w:sz w:val="20"/>
                <w:szCs w:val="20"/>
              </w:rPr>
            </w:pPr>
            <w:r>
              <w:rPr>
                <w:noProof/>
                <w:sz w:val="20"/>
              </w:rPr>
              <w:t>125</w:t>
            </w:r>
          </w:p>
        </w:tc>
      </w:tr>
      <w:tr w:rsidR="000E1B77">
        <w:tc>
          <w:tcPr>
            <w:tcW w:w="3360" w:type="dxa"/>
            <w:tcBorders>
              <w:bottom w:val="single" w:sz="4" w:space="0" w:color="auto"/>
              <w:right w:val="nil"/>
            </w:tcBorders>
            <w:shd w:val="clear" w:color="auto" w:fill="auto"/>
            <w:vAlign w:val="center"/>
          </w:tcPr>
          <w:p w:rsidR="000E1B77" w:rsidRDefault="00294BD2">
            <w:pPr>
              <w:spacing w:before="0" w:after="0"/>
              <w:ind w:right="252"/>
              <w:jc w:val="left"/>
              <w:rPr>
                <w:noProof/>
                <w:sz w:val="20"/>
                <w:szCs w:val="20"/>
              </w:rPr>
            </w:pPr>
            <w:r>
              <w:rPr>
                <w:noProof/>
                <w:sz w:val="20"/>
              </w:rPr>
              <w:t>Attecam</w:t>
            </w:r>
          </w:p>
        </w:tc>
        <w:tc>
          <w:tcPr>
            <w:tcW w:w="4980" w:type="dxa"/>
            <w:gridSpan w:val="2"/>
            <w:tcBorders>
              <w:left w:val="nil"/>
              <w:bottom w:val="single" w:sz="4" w:space="0" w:color="auto"/>
            </w:tcBorders>
            <w:shd w:val="clear" w:color="auto" w:fill="auto"/>
            <w:vAlign w:val="center"/>
          </w:tcPr>
          <w:p w:rsidR="000E1B77" w:rsidRDefault="00294BD2">
            <w:pPr>
              <w:spacing w:before="0" w:after="0"/>
              <w:ind w:left="-828"/>
              <w:jc w:val="right"/>
              <w:rPr>
                <w:noProof/>
                <w:sz w:val="20"/>
                <w:szCs w:val="20"/>
              </w:rPr>
            </w:pPr>
            <w:r>
              <w:rPr>
                <w:noProof/>
                <w:sz w:val="20"/>
              </w:rPr>
              <w:t>9</w:t>
            </w:r>
          </w:p>
        </w:tc>
      </w:tr>
      <w:tr w:rsidR="000E1B77">
        <w:tc>
          <w:tcPr>
            <w:tcW w:w="3360" w:type="dxa"/>
            <w:tcBorders>
              <w:bottom w:val="single" w:sz="4" w:space="0" w:color="auto"/>
              <w:right w:val="nil"/>
            </w:tcBorders>
            <w:shd w:val="clear" w:color="auto" w:fill="auto"/>
            <w:vAlign w:val="center"/>
          </w:tcPr>
          <w:p w:rsidR="000E1B77" w:rsidRDefault="00294BD2">
            <w:pPr>
              <w:spacing w:before="0" w:after="0"/>
              <w:ind w:right="252"/>
              <w:jc w:val="left"/>
              <w:rPr>
                <w:rFonts w:eastAsia="Calibri"/>
                <w:noProof/>
                <w:sz w:val="20"/>
                <w:szCs w:val="20"/>
              </w:rPr>
            </w:pPr>
            <w:r>
              <w:rPr>
                <w:noProof/>
                <w:sz w:val="20"/>
              </w:rPr>
              <w:t>MHP</w:t>
            </w:r>
          </w:p>
        </w:tc>
        <w:tc>
          <w:tcPr>
            <w:tcW w:w="4980" w:type="dxa"/>
            <w:gridSpan w:val="2"/>
            <w:tcBorders>
              <w:left w:val="nil"/>
              <w:bottom w:val="single" w:sz="4" w:space="0" w:color="auto"/>
            </w:tcBorders>
            <w:shd w:val="clear" w:color="auto" w:fill="auto"/>
            <w:vAlign w:val="center"/>
          </w:tcPr>
          <w:p w:rsidR="000E1B77" w:rsidRDefault="00294BD2">
            <w:pPr>
              <w:spacing w:before="0" w:after="0"/>
              <w:ind w:left="-828"/>
              <w:jc w:val="right"/>
              <w:rPr>
                <w:rFonts w:eastAsia="Calibri"/>
                <w:noProof/>
                <w:sz w:val="20"/>
                <w:szCs w:val="20"/>
              </w:rPr>
            </w:pPr>
            <w:r>
              <w:rPr>
                <w:noProof/>
                <w:sz w:val="20"/>
              </w:rPr>
              <w:t>25</w:t>
            </w:r>
          </w:p>
        </w:tc>
      </w:tr>
      <w:tr w:rsidR="000E1B77">
        <w:tc>
          <w:tcPr>
            <w:tcW w:w="3360" w:type="dxa"/>
            <w:tcBorders>
              <w:top w:val="single" w:sz="4" w:space="0" w:color="auto"/>
              <w:bottom w:val="nil"/>
              <w:right w:val="nil"/>
            </w:tcBorders>
            <w:shd w:val="pct10" w:color="auto" w:fill="auto"/>
            <w:vAlign w:val="center"/>
          </w:tcPr>
          <w:p w:rsidR="000E1B77" w:rsidRDefault="00294BD2">
            <w:pPr>
              <w:spacing w:before="0" w:after="0"/>
              <w:ind w:right="252"/>
              <w:jc w:val="left"/>
              <w:rPr>
                <w:noProof/>
                <w:sz w:val="20"/>
                <w:szCs w:val="20"/>
              </w:rPr>
            </w:pPr>
            <w:r>
              <w:rPr>
                <w:b/>
                <w:noProof/>
              </w:rPr>
              <w:t xml:space="preserve">A </w:t>
            </w:r>
            <w:r>
              <w:rPr>
                <w:b/>
                <w:noProof/>
              </w:rPr>
              <w:t>vállalatok száma összesen:</w:t>
            </w:r>
            <w:r>
              <w:rPr>
                <w:b/>
                <w:noProof/>
                <w:sz w:val="22"/>
              </w:rPr>
              <w:t xml:space="preserve"> 6</w:t>
            </w:r>
          </w:p>
        </w:tc>
        <w:tc>
          <w:tcPr>
            <w:tcW w:w="4980" w:type="dxa"/>
            <w:gridSpan w:val="2"/>
            <w:tcBorders>
              <w:top w:val="single" w:sz="4" w:space="0" w:color="auto"/>
              <w:left w:val="nil"/>
              <w:bottom w:val="nil"/>
            </w:tcBorders>
            <w:shd w:val="pct10" w:color="auto" w:fill="auto"/>
            <w:vAlign w:val="center"/>
          </w:tcPr>
          <w:p w:rsidR="000E1B77" w:rsidRDefault="00294BD2">
            <w:pPr>
              <w:spacing w:before="0" w:after="0"/>
              <w:ind w:left="-828"/>
              <w:jc w:val="right"/>
              <w:rPr>
                <w:noProof/>
                <w:sz w:val="20"/>
                <w:szCs w:val="20"/>
              </w:rPr>
            </w:pPr>
            <w:r>
              <w:rPr>
                <w:b/>
                <w:noProof/>
              </w:rPr>
              <w:t>Az elbocsátottak száma összesen:</w:t>
            </w:r>
            <w:r>
              <w:rPr>
                <w:b/>
                <w:noProof/>
                <w:sz w:val="22"/>
              </w:rPr>
              <w:t xml:space="preserve"> 2 287</w:t>
            </w:r>
          </w:p>
        </w:tc>
      </w:tr>
      <w:tr w:rsidR="000E1B77">
        <w:tc>
          <w:tcPr>
            <w:tcW w:w="6815" w:type="dxa"/>
            <w:gridSpan w:val="2"/>
            <w:tcBorders>
              <w:bottom w:val="nil"/>
              <w:right w:val="nil"/>
            </w:tcBorders>
            <w:shd w:val="pct10" w:color="auto" w:fill="auto"/>
            <w:vAlign w:val="center"/>
          </w:tcPr>
          <w:p w:rsidR="000E1B77" w:rsidRDefault="00294BD2">
            <w:pPr>
              <w:spacing w:before="0" w:after="0"/>
              <w:ind w:right="252"/>
              <w:jc w:val="left"/>
              <w:rPr>
                <w:rFonts w:eastAsia="Calibri"/>
                <w:b/>
                <w:noProof/>
                <w:szCs w:val="24"/>
              </w:rPr>
            </w:pPr>
            <w:r>
              <w:rPr>
                <w:b/>
                <w:noProof/>
              </w:rPr>
              <w:t>A tevékenységüket megszüntető önálló vállalkozók száma összesen:</w:t>
            </w:r>
            <w:r>
              <w:rPr>
                <w:noProof/>
              </w:rPr>
              <w:t xml:space="preserve"> </w:t>
            </w:r>
          </w:p>
        </w:tc>
        <w:tc>
          <w:tcPr>
            <w:tcW w:w="1525" w:type="dxa"/>
            <w:tcBorders>
              <w:left w:val="nil"/>
              <w:bottom w:val="nil"/>
            </w:tcBorders>
            <w:shd w:val="pct10" w:color="auto" w:fill="auto"/>
            <w:vAlign w:val="center"/>
          </w:tcPr>
          <w:p w:rsidR="000E1B77" w:rsidRDefault="00294BD2">
            <w:pPr>
              <w:spacing w:before="0" w:after="0"/>
              <w:ind w:left="-828"/>
              <w:jc w:val="right"/>
              <w:rPr>
                <w:rFonts w:eastAsia="Calibri"/>
                <w:b/>
                <w:noProof/>
                <w:szCs w:val="24"/>
              </w:rPr>
            </w:pPr>
            <w:r>
              <w:rPr>
                <w:b/>
                <w:noProof/>
              </w:rPr>
              <w:t>0</w:t>
            </w:r>
          </w:p>
        </w:tc>
      </w:tr>
      <w:tr w:rsidR="000E1B77">
        <w:tc>
          <w:tcPr>
            <w:tcW w:w="6815" w:type="dxa"/>
            <w:gridSpan w:val="2"/>
            <w:tcBorders>
              <w:bottom w:val="nil"/>
              <w:right w:val="nil"/>
            </w:tcBorders>
            <w:shd w:val="pct10" w:color="auto" w:fill="auto"/>
            <w:vAlign w:val="center"/>
          </w:tcPr>
          <w:p w:rsidR="000E1B77" w:rsidRDefault="00294BD2">
            <w:pPr>
              <w:spacing w:before="0" w:after="0"/>
              <w:ind w:right="252"/>
              <w:jc w:val="left"/>
              <w:rPr>
                <w:rFonts w:eastAsia="Calibri"/>
                <w:b/>
                <w:noProof/>
                <w:szCs w:val="24"/>
              </w:rPr>
            </w:pPr>
            <w:r>
              <w:rPr>
                <w:b/>
                <w:noProof/>
              </w:rPr>
              <w:t xml:space="preserve">A támogatásra jogosult munkavállalók és önálló vállalkozók száma összesen:          </w:t>
            </w:r>
          </w:p>
        </w:tc>
        <w:tc>
          <w:tcPr>
            <w:tcW w:w="1525" w:type="dxa"/>
            <w:tcBorders>
              <w:left w:val="nil"/>
              <w:bottom w:val="nil"/>
            </w:tcBorders>
            <w:shd w:val="pct10" w:color="auto" w:fill="auto"/>
            <w:vAlign w:val="center"/>
          </w:tcPr>
          <w:p w:rsidR="000E1B77" w:rsidRDefault="00294BD2">
            <w:pPr>
              <w:spacing w:before="0" w:after="0"/>
              <w:ind w:left="-828"/>
              <w:jc w:val="right"/>
              <w:rPr>
                <w:rFonts w:eastAsia="Calibri"/>
                <w:b/>
                <w:noProof/>
                <w:szCs w:val="24"/>
              </w:rPr>
            </w:pPr>
            <w:r>
              <w:rPr>
                <w:b/>
                <w:noProof/>
              </w:rPr>
              <w:t>2 287</w:t>
            </w:r>
          </w:p>
        </w:tc>
      </w:tr>
    </w:tbl>
    <w:p w:rsidR="000E1B77" w:rsidRDefault="000E1B77">
      <w:pPr>
        <w:pStyle w:val="Text1"/>
        <w:rPr>
          <w:noProof/>
        </w:rPr>
      </w:pPr>
    </w:p>
    <w:p w:rsidR="000E1B77" w:rsidRDefault="000E1B77">
      <w:pPr>
        <w:pStyle w:val="ManualHeading3"/>
        <w:rPr>
          <w:noProof/>
        </w:rPr>
      </w:pPr>
    </w:p>
    <w:p w:rsidR="000E1B77" w:rsidRDefault="000E1B77">
      <w:pPr>
        <w:pStyle w:val="ManualHeading3"/>
        <w:rPr>
          <w:noProof/>
        </w:rPr>
      </w:pPr>
    </w:p>
    <w:p w:rsidR="000E1B77" w:rsidRDefault="000E1B77">
      <w:pPr>
        <w:pStyle w:val="ManualHeading3"/>
        <w:rPr>
          <w:noProof/>
        </w:rPr>
      </w:pPr>
    </w:p>
    <w:p w:rsidR="000E1B77" w:rsidRDefault="000E1B77">
      <w:pPr>
        <w:pStyle w:val="ManualHeading3"/>
        <w:rPr>
          <w:noProof/>
        </w:rPr>
      </w:pPr>
    </w:p>
    <w:p w:rsidR="000E1B77" w:rsidRDefault="000E1B77">
      <w:pPr>
        <w:pStyle w:val="ManualHeading3"/>
        <w:rPr>
          <w:noProof/>
        </w:rPr>
      </w:pPr>
    </w:p>
    <w:p w:rsidR="000E1B77" w:rsidRDefault="000E1B77">
      <w:pPr>
        <w:pStyle w:val="ManualHeading3"/>
        <w:rPr>
          <w:noProof/>
        </w:rPr>
      </w:pPr>
    </w:p>
    <w:p w:rsidR="000E1B77" w:rsidRDefault="000E1B77">
      <w:pPr>
        <w:pStyle w:val="ManualHeading3"/>
        <w:rPr>
          <w:noProof/>
        </w:rPr>
      </w:pPr>
    </w:p>
    <w:p w:rsidR="000E1B77" w:rsidRDefault="000E1B77">
      <w:pPr>
        <w:pStyle w:val="ManualHeading3"/>
        <w:rPr>
          <w:noProof/>
        </w:rPr>
      </w:pPr>
    </w:p>
    <w:p w:rsidR="000E1B77" w:rsidRDefault="00294BD2">
      <w:pPr>
        <w:pStyle w:val="ManualHeading3"/>
        <w:rPr>
          <w:noProof/>
        </w:rPr>
      </w:pPr>
      <w:r>
        <w:rPr>
          <w:noProof/>
        </w:rPr>
        <w:t xml:space="preserve">Beavatkozási </w:t>
      </w:r>
      <w:r>
        <w:rPr>
          <w:noProof/>
        </w:rPr>
        <w:t>kritériumok</w:t>
      </w:r>
    </w:p>
    <w:p w:rsidR="000E1B77" w:rsidRDefault="00294BD2">
      <w:pPr>
        <w:pStyle w:val="ManualNumPar1"/>
        <w:rPr>
          <w:noProof/>
        </w:rPr>
      </w:pPr>
      <w:r>
        <w:t>6.</w:t>
      </w:r>
      <w:r>
        <w:tab/>
      </w:r>
      <w:r>
        <w:rPr>
          <w:noProof/>
        </w:rPr>
        <w:t xml:space="preserve">Belgium kérelmét az EGAA-rendelet 4. cikke (1) bekezdésének a) pontja szerinti beavatkozási kritériumok alapján nyújtotta be, amely a támogatást a következőkhöz köti: legalább 500 elbocsátott munkavállaló egy négy hónapos referencia-időszak </w:t>
      </w:r>
      <w:r>
        <w:rPr>
          <w:noProof/>
        </w:rPr>
        <w:t>alatt egy vállalkozáson belül egy tagállamban, ideértve a beszállítók és a felhasználó gyártók körében elbocsátott munkavállalókat is.</w:t>
      </w:r>
      <w:bookmarkStart w:id="1" w:name="_Ref372189348"/>
      <w:r>
        <w:rPr>
          <w:noProof/>
          <w:color w:val="FFFFFF" w:themeColor="background1"/>
        </w:rPr>
        <w:t xml:space="preserve"> </w:t>
      </w:r>
    </w:p>
    <w:p w:rsidR="000E1B77" w:rsidRDefault="00294BD2">
      <w:pPr>
        <w:pStyle w:val="ManualNumPar1"/>
        <w:rPr>
          <w:noProof/>
        </w:rPr>
      </w:pPr>
      <w:r>
        <w:t>7.</w:t>
      </w:r>
      <w:r>
        <w:tab/>
      </w:r>
      <w:r>
        <w:rPr>
          <w:noProof/>
        </w:rPr>
        <w:t xml:space="preserve">A kérelemmel összefüggő négy hónapos referencia-időszak 2017. május 31-től 2017. szeptember 30-ig tartott. </w:t>
      </w:r>
      <w:bookmarkEnd w:id="1"/>
    </w:p>
    <w:p w:rsidR="000E1B77" w:rsidRDefault="00294BD2">
      <w:pPr>
        <w:pStyle w:val="ManualNumPar1"/>
        <w:rPr>
          <w:noProof/>
        </w:rPr>
      </w:pPr>
      <w:r>
        <w:t>8.</w:t>
      </w:r>
      <w:r>
        <w:tab/>
      </w:r>
      <w:r>
        <w:rPr>
          <w:noProof/>
        </w:rPr>
        <w:t>A refe</w:t>
      </w:r>
      <w:r>
        <w:rPr>
          <w:noProof/>
        </w:rPr>
        <w:t>rencia-időszak alatt bekövetkezett elbocsátások megoszlása a következő volt:</w:t>
      </w:r>
    </w:p>
    <w:p w:rsidR="000E1B77" w:rsidRDefault="00294BD2">
      <w:pPr>
        <w:pStyle w:val="Tiret1"/>
        <w:numPr>
          <w:ilvl w:val="0"/>
          <w:numId w:val="11"/>
        </w:numPr>
        <w:rPr>
          <w:noProof/>
        </w:rPr>
      </w:pPr>
      <w:r>
        <w:rPr>
          <w:noProof/>
        </w:rPr>
        <w:t xml:space="preserve">A Caterpillar 1 161 munkavállalót bocsátott el. </w:t>
      </w:r>
    </w:p>
    <w:p w:rsidR="000E1B77" w:rsidRDefault="00294BD2">
      <w:pPr>
        <w:pStyle w:val="Tiret1"/>
        <w:numPr>
          <w:ilvl w:val="0"/>
          <w:numId w:val="11"/>
        </w:numPr>
        <w:rPr>
          <w:noProof/>
        </w:rPr>
      </w:pPr>
      <w:r>
        <w:rPr>
          <w:noProof/>
        </w:rPr>
        <w:t>A Caterpillar négy beszállítója 203 munkavállalót bocsátott el.</w:t>
      </w:r>
    </w:p>
    <w:p w:rsidR="000E1B77" w:rsidRDefault="00294BD2">
      <w:pPr>
        <w:pStyle w:val="ManualHeading3"/>
        <w:rPr>
          <w:noProof/>
        </w:rPr>
      </w:pPr>
      <w:r>
        <w:rPr>
          <w:noProof/>
        </w:rPr>
        <w:t>Az elbocsátásoknak és az önálló vállalkozók tevékenysége megszünte</w:t>
      </w:r>
      <w:r>
        <w:rPr>
          <w:noProof/>
        </w:rPr>
        <w:t>tésének a számításba vétele</w:t>
      </w:r>
    </w:p>
    <w:p w:rsidR="000E1B77" w:rsidRDefault="00294BD2">
      <w:pPr>
        <w:pStyle w:val="ManualNumPar1"/>
        <w:rPr>
          <w:noProof/>
        </w:rPr>
      </w:pPr>
      <w:r>
        <w:t>9.</w:t>
      </w:r>
      <w:r>
        <w:tab/>
      </w:r>
      <w:r>
        <w:rPr>
          <w:noProof/>
        </w:rPr>
        <w:t>Mind az 1 364 munkavállaló referencia-időszak alatt bekövetkezett elbocsátását a munkaszerződés tényleges megszüntetésének vagy lejáratának időpontjától vették számításba.</w:t>
      </w:r>
    </w:p>
    <w:p w:rsidR="000E1B77" w:rsidRDefault="00294BD2">
      <w:pPr>
        <w:pStyle w:val="ManualHeading3"/>
        <w:ind w:left="0" w:firstLine="0"/>
        <w:rPr>
          <w:noProof/>
        </w:rPr>
      </w:pPr>
      <w:r>
        <w:rPr>
          <w:noProof/>
        </w:rPr>
        <w:t>Támogatható kedvezményezettek</w:t>
      </w:r>
    </w:p>
    <w:p w:rsidR="000E1B77" w:rsidRDefault="00294BD2">
      <w:pPr>
        <w:pStyle w:val="ManualNumPar1"/>
        <w:rPr>
          <w:noProof/>
        </w:rPr>
      </w:pPr>
      <w:r>
        <w:t>10.</w:t>
      </w:r>
      <w:r>
        <w:tab/>
      </w:r>
      <w:r>
        <w:rPr>
          <w:noProof/>
        </w:rPr>
        <w:t>A már említett munk</w:t>
      </w:r>
      <w:r>
        <w:rPr>
          <w:noProof/>
        </w:rPr>
        <w:t>avállalókon túl 923 olyan munkavállaló is a támogatható kedvezményezettek közé tartozik, akiket a négy hónapos referencia-időszak előtt vagy azt követően bocsátottak el. A támogatásra jogosult kedvezményezettek száma tehát összesen 2 287. Az EGF/2014/011 B</w:t>
      </w:r>
      <w:r>
        <w:rPr>
          <w:noProof/>
        </w:rPr>
        <w:t>E/Caterpillar referenciaszámú kérelem és a jelenlegi kérelem keretében támogatásban részesülő munkavállalói kör között nincs átfedés.</w:t>
      </w:r>
    </w:p>
    <w:p w:rsidR="000E1B77" w:rsidRDefault="00294BD2">
      <w:pPr>
        <w:pStyle w:val="ManualHeading2"/>
        <w:rPr>
          <w:noProof/>
        </w:rPr>
      </w:pPr>
      <w:r>
        <w:rPr>
          <w:noProof/>
        </w:rPr>
        <w:t>Az elbocsátások és a világkereskedelemben a globalizáció hatására bekövetkezett jelentős strukturális változások közötti k</w:t>
      </w:r>
      <w:r>
        <w:rPr>
          <w:noProof/>
        </w:rPr>
        <w:t>apcsolat</w:t>
      </w:r>
    </w:p>
    <w:p w:rsidR="000E1B77" w:rsidRDefault="00294BD2">
      <w:pPr>
        <w:pStyle w:val="ManualNumPar1"/>
        <w:rPr>
          <w:noProof/>
        </w:rPr>
      </w:pPr>
      <w:r>
        <w:t>11.</w:t>
      </w:r>
      <w:r>
        <w:tab/>
      </w:r>
      <w:r>
        <w:rPr>
          <w:noProof/>
        </w:rPr>
        <w:t>Az elbocsátások és a világkereskedelemben a globalizáció hatására bekövetkezett jelentős strukturális változások közötti kapcsolat bizonyítása érdekében Belgium azzal érvelt, hogy a munkaerő-leépítés oka az építőipari- és bányászatigép-ágazatb</w:t>
      </w:r>
      <w:r>
        <w:rPr>
          <w:noProof/>
        </w:rPr>
        <w:t>an tapasztalható világméretű verseny és ennek következtében a Caterpillar bányászatigép-ágazatban való piaci részesedésének visszaesése</w:t>
      </w:r>
      <w:r>
        <w:rPr>
          <w:rStyle w:val="FootnoteReference"/>
          <w:noProof/>
        </w:rPr>
        <w:footnoteReference w:id="7"/>
      </w:r>
      <w:r>
        <w:rPr>
          <w:noProof/>
        </w:rPr>
        <w:t>.</w:t>
      </w:r>
    </w:p>
    <w:p w:rsidR="000E1B77" w:rsidRDefault="00294BD2">
      <w:pPr>
        <w:pStyle w:val="ManualNumPar1"/>
        <w:rPr>
          <w:noProof/>
        </w:rPr>
      </w:pPr>
      <w:r>
        <w:t>12.</w:t>
      </w:r>
      <w:r>
        <w:tab/>
      </w:r>
      <w:r>
        <w:rPr>
          <w:noProof/>
        </w:rPr>
        <w:t xml:space="preserve">A bányászati ágazatot tekintve az európai termelés a 2012. évi 234 millió EUR-ról 2015-re 180 millió EUR-ra esett </w:t>
      </w:r>
      <w:r>
        <w:rPr>
          <w:noProof/>
        </w:rPr>
        <w:t>vissza</w:t>
      </w:r>
      <w:r>
        <w:rPr>
          <w:rStyle w:val="FootnoteReference"/>
          <w:noProof/>
        </w:rPr>
        <w:footnoteReference w:id="8"/>
      </w:r>
      <w:r>
        <w:rPr>
          <w:noProof/>
        </w:rPr>
        <w:t>, és az EU-28-ak exportja is drámaian csökken 2014 óta</w:t>
      </w:r>
      <w:r>
        <w:rPr>
          <w:rStyle w:val="FootnoteReference"/>
          <w:noProof/>
        </w:rPr>
        <w:footnoteReference w:id="9"/>
      </w:r>
      <w:r>
        <w:rPr>
          <w:noProof/>
        </w:rPr>
        <w:t xml:space="preserve">. </w:t>
      </w:r>
    </w:p>
    <w:p w:rsidR="000E1B77" w:rsidRDefault="00294BD2">
      <w:pPr>
        <w:pStyle w:val="ManualNumPar1"/>
        <w:rPr>
          <w:noProof/>
        </w:rPr>
      </w:pPr>
      <w:r>
        <w:t>13.</w:t>
      </w:r>
      <w:r>
        <w:tab/>
      </w:r>
      <w:r>
        <w:rPr>
          <w:noProof/>
        </w:rPr>
        <w:t xml:space="preserve">A belga hatóságok által benyújtott információk szerint a Caterpillar gyártóüzemei a piacaik közelében helyezkednek el, ami magyarázatot ad az európai és a globális piaci fejlemények, </w:t>
      </w:r>
      <w:r>
        <w:rPr>
          <w:noProof/>
        </w:rPr>
        <w:t>valamint a Gosselies-ben található üzem személyzetének csökkentése közötti kapcsolatra. Közelebbről vizsgálva, 2003 és 2013 között Ázsia részaránya csaknem kétszeresére nőtt a Caterpillar forgalmán belül</w:t>
      </w:r>
      <w:r>
        <w:rPr>
          <w:rStyle w:val="FootnoteReference"/>
          <w:noProof/>
        </w:rPr>
        <w:footnoteReference w:id="10"/>
      </w:r>
      <w:r>
        <w:rPr>
          <w:noProof/>
        </w:rPr>
        <w:t>.</w:t>
      </w:r>
    </w:p>
    <w:p w:rsidR="000E1B77" w:rsidRDefault="00294BD2">
      <w:pPr>
        <w:pStyle w:val="ManualNumPar1"/>
        <w:rPr>
          <w:noProof/>
        </w:rPr>
      </w:pPr>
      <w:r>
        <w:t>14.</w:t>
      </w:r>
      <w:r>
        <w:tab/>
      </w:r>
      <w:r>
        <w:rPr>
          <w:noProof/>
        </w:rPr>
        <w:t>2008-ban az európai acél ára meredeken nőtt, m</w:t>
      </w:r>
      <w:r>
        <w:rPr>
          <w:noProof/>
        </w:rPr>
        <w:t>iközben a kínaié csökkent, és jelenleg is alacsonyabb az európai árnál</w:t>
      </w:r>
      <w:r>
        <w:rPr>
          <w:rStyle w:val="FootnoteReference"/>
          <w:noProof/>
        </w:rPr>
        <w:footnoteReference w:id="11"/>
      </w:r>
      <w:r>
        <w:rPr>
          <w:noProof/>
        </w:rPr>
        <w:t>. Ennek következtében Gosselies-ben 21 %-kal drágábban lehet gépeket előállítani, mint Kínában</w:t>
      </w:r>
      <w:r>
        <w:rPr>
          <w:rStyle w:val="FootnoteReference"/>
          <w:noProof/>
        </w:rPr>
        <w:footnoteReference w:id="12"/>
      </w:r>
      <w:r>
        <w:rPr>
          <w:noProof/>
        </w:rPr>
        <w:t>.</w:t>
      </w:r>
    </w:p>
    <w:p w:rsidR="000E1B77" w:rsidRDefault="00294BD2">
      <w:pPr>
        <w:pStyle w:val="ManualHeading3"/>
        <w:rPr>
          <w:noProof/>
        </w:rPr>
      </w:pPr>
      <w:r>
        <w:rPr>
          <w:noProof/>
        </w:rPr>
        <w:t>Az elbocsátásokhoz és az önálló vállalkozók tevékenységének megszüntetéséhez vezető esem</w:t>
      </w:r>
      <w:r>
        <w:rPr>
          <w:noProof/>
        </w:rPr>
        <w:t>ények</w:t>
      </w:r>
    </w:p>
    <w:p w:rsidR="000E1B77" w:rsidRDefault="00294BD2">
      <w:pPr>
        <w:pStyle w:val="ManualNumPar1"/>
        <w:rPr>
          <w:noProof/>
        </w:rPr>
      </w:pPr>
      <w:r>
        <w:t>15.</w:t>
      </w:r>
      <w:r>
        <w:tab/>
      </w:r>
      <w:r>
        <w:rPr>
          <w:noProof/>
        </w:rPr>
        <w:t xml:space="preserve">Az elbocsátások elsődleges oka, hogy a Caterpillar Belgium S.A. 2016. szeptember 2-án bejelentette, hogy csoportos létszám-leépítési eljárást kezd gosselies-i gyárában. </w:t>
      </w:r>
    </w:p>
    <w:p w:rsidR="000E1B77" w:rsidRDefault="00294BD2">
      <w:pPr>
        <w:pStyle w:val="ManualNumPar1"/>
        <w:rPr>
          <w:noProof/>
        </w:rPr>
      </w:pPr>
      <w:r>
        <w:t>16.</w:t>
      </w:r>
      <w:r>
        <w:tab/>
      </w:r>
      <w:r>
        <w:rPr>
          <w:noProof/>
        </w:rPr>
        <w:t>Belgium immár második alkalommal nyújt be EGAA-kérelmet a Caterpillar vo</w:t>
      </w:r>
      <w:r>
        <w:rPr>
          <w:noProof/>
        </w:rPr>
        <w:t xml:space="preserve">natkozásában. A vállalatnál korábban végrehajtott elbocsátások következtében benyújtott első EGAA-kérelem 2014-ben 1 399 munkavállalót érintett. A jelenlegi javaslat a megmaradt 1 997 munkásra vonatkozik. </w:t>
      </w:r>
    </w:p>
    <w:p w:rsidR="000E1B77" w:rsidRDefault="00294BD2">
      <w:pPr>
        <w:pStyle w:val="ManualNumPar1"/>
        <w:rPr>
          <w:noProof/>
        </w:rPr>
      </w:pPr>
      <w:r>
        <w:t>17.</w:t>
      </w:r>
      <w:r>
        <w:tab/>
      </w:r>
      <w:r>
        <w:rPr>
          <w:noProof/>
        </w:rPr>
        <w:t>2015-ben a Caterpillar piaci pozíciójának javí</w:t>
      </w:r>
      <w:r>
        <w:rPr>
          <w:noProof/>
        </w:rPr>
        <w:t xml:space="preserve">tása érdekében új gyártósorba ruházott be. A várakozásokkal ellentétben azonban az európai gazdasági növekedés nagyon lassú volt, és emiatt a cég gazdasági helyzete nem javult a várt mértékben. </w:t>
      </w:r>
    </w:p>
    <w:p w:rsidR="000E1B77" w:rsidRDefault="00294BD2">
      <w:pPr>
        <w:pStyle w:val="ManualNumPar1"/>
        <w:rPr>
          <w:noProof/>
        </w:rPr>
      </w:pPr>
      <w:r>
        <w:t>18.</w:t>
      </w:r>
      <w:r>
        <w:tab/>
      </w:r>
      <w:r>
        <w:rPr>
          <w:noProof/>
        </w:rPr>
        <w:t>A cég többi gyárához viszonyítva a Gosselies-ben találhat</w:t>
      </w:r>
      <w:r>
        <w:rPr>
          <w:noProof/>
        </w:rPr>
        <w:t>ó belgiumi üzem ma már nem versenyképes. Következésképpen a Caterpillar termelését olyan ázsiai és latin-amerikai országokba helyezte át, mint Kína vagy Dél-Korea, mivel ezekben a piacok rohamos ütemben nőnek, és a kevésbé szigorú környezetvédelmi követelm</w:t>
      </w:r>
      <w:r>
        <w:rPr>
          <w:noProof/>
        </w:rPr>
        <w:t>ények és az alacsonyabb munkabérek következtében alacsonyak a termelési költségek.</w:t>
      </w:r>
      <w:r>
        <w:rPr>
          <w:b/>
          <w:noProof/>
        </w:rPr>
        <w:t xml:space="preserve"> </w:t>
      </w:r>
      <w:r>
        <w:rPr>
          <w:noProof/>
        </w:rPr>
        <w:t xml:space="preserve">A vállalat most valamennyi belgiumi tevékenységét felszámolja. </w:t>
      </w:r>
    </w:p>
    <w:p w:rsidR="000E1B77" w:rsidRDefault="00294BD2">
      <w:pPr>
        <w:pStyle w:val="ManualHeading3"/>
        <w:tabs>
          <w:tab w:val="clear" w:pos="850"/>
          <w:tab w:val="left" w:pos="0"/>
        </w:tabs>
        <w:ind w:left="0" w:firstLine="0"/>
        <w:rPr>
          <w:noProof/>
        </w:rPr>
      </w:pPr>
      <w:r>
        <w:rPr>
          <w:noProof/>
        </w:rPr>
        <w:t>Az elbocsátások várható hatása a helyi, a regionális és az országos gazdaságra és foglalkoztatásra</w:t>
      </w:r>
    </w:p>
    <w:p w:rsidR="000E1B77" w:rsidRDefault="00294BD2">
      <w:pPr>
        <w:pStyle w:val="ManualNumPar1"/>
        <w:rPr>
          <w:noProof/>
        </w:rPr>
      </w:pPr>
      <w:r>
        <w:t>19.</w:t>
      </w:r>
      <w:r>
        <w:tab/>
      </w:r>
      <w:r>
        <w:rPr>
          <w:noProof/>
        </w:rPr>
        <w:t>A FORE</w:t>
      </w:r>
      <w:r>
        <w:rPr>
          <w:noProof/>
        </w:rPr>
        <w:t>M (Vallónia Állami Foglalkoztatási Szolgálta) szerint a munkanélküliség Hainaut régióban várhatóan 6,1 %-kal fog nőni</w:t>
      </w:r>
      <w:r>
        <w:rPr>
          <w:rStyle w:val="FootnoteReference"/>
          <w:noProof/>
        </w:rPr>
        <w:footnoteReference w:id="13"/>
      </w:r>
      <w:r>
        <w:rPr>
          <w:noProof/>
        </w:rPr>
        <w:t xml:space="preserve">. </w:t>
      </w:r>
    </w:p>
    <w:p w:rsidR="000E1B77" w:rsidRDefault="00294BD2">
      <w:pPr>
        <w:pStyle w:val="ManualNumPar1"/>
        <w:rPr>
          <w:noProof/>
        </w:rPr>
      </w:pPr>
      <w:r>
        <w:t>20.</w:t>
      </w:r>
      <w:r>
        <w:tab/>
      </w:r>
      <w:r>
        <w:rPr>
          <w:noProof/>
        </w:rPr>
        <w:t>A Caterpillar gyárának bezárása következtében a cég beszállítói 288 munkavállalót bocsátottak el.</w:t>
      </w:r>
    </w:p>
    <w:p w:rsidR="000E1B77" w:rsidRDefault="00294BD2">
      <w:pPr>
        <w:pStyle w:val="ManualNumPar1"/>
        <w:rPr>
          <w:noProof/>
        </w:rPr>
      </w:pPr>
      <w:r>
        <w:t>21.</w:t>
      </w:r>
      <w:r>
        <w:tab/>
      </w:r>
      <w:r>
        <w:rPr>
          <w:noProof/>
        </w:rPr>
        <w:t xml:space="preserve">A támogatásra jogosult munkavállalók több mint 11 %-a 55 év feletti. </w:t>
      </w:r>
    </w:p>
    <w:p w:rsidR="000E1B77" w:rsidRDefault="00294BD2">
      <w:pPr>
        <w:pStyle w:val="ManualNumPar1"/>
        <w:rPr>
          <w:noProof/>
        </w:rPr>
      </w:pPr>
      <w:r>
        <w:t>22.</w:t>
      </w:r>
      <w:r>
        <w:tab/>
      </w:r>
      <w:r>
        <w:rPr>
          <w:noProof/>
        </w:rPr>
        <w:t>Charleroi-ban az álláskeresők többsége alacsony képzettségű (50,6 %-uknak nincs középfokú végzettsége) és 40 %-uk tartósan (több mint 24 hónapja) munkanélküli. Charleroi-ban a foglal</w:t>
      </w:r>
      <w:r>
        <w:rPr>
          <w:noProof/>
        </w:rPr>
        <w:t>koztatási ráta mindössze 52,2 %, csaknem 5 százalékponttal alacsonyabb, mint a Vallon régióra jellemző átlag (57,1 %) (Forrás: FOREM)</w:t>
      </w:r>
      <w:r>
        <w:rPr>
          <w:rStyle w:val="FootnoteReference"/>
          <w:noProof/>
        </w:rPr>
        <w:footnoteReference w:id="14"/>
      </w:r>
      <w:r>
        <w:rPr>
          <w:noProof/>
        </w:rPr>
        <w:t>.</w:t>
      </w:r>
    </w:p>
    <w:p w:rsidR="000E1B77" w:rsidRDefault="00294BD2">
      <w:pPr>
        <w:pStyle w:val="ManualHeading2"/>
        <w:rPr>
          <w:noProof/>
        </w:rPr>
      </w:pPr>
      <w:r>
        <w:rPr>
          <w:noProof/>
        </w:rPr>
        <w:t>A támogatásra jogosult kedvezményezettek és a javasolt intézkedések</w:t>
      </w:r>
    </w:p>
    <w:p w:rsidR="000E1B77" w:rsidRDefault="00294BD2">
      <w:pPr>
        <w:pStyle w:val="ManualHeading3"/>
        <w:rPr>
          <w:noProof/>
        </w:rPr>
      </w:pPr>
      <w:r>
        <w:rPr>
          <w:noProof/>
        </w:rPr>
        <w:t>A támogatásra jogosult kedvezményezettek</w:t>
      </w:r>
    </w:p>
    <w:p w:rsidR="000E1B77" w:rsidRDefault="00294BD2">
      <w:pPr>
        <w:pStyle w:val="ManualNumPar1"/>
        <w:rPr>
          <w:noProof/>
        </w:rPr>
      </w:pPr>
      <w:r>
        <w:t>23.</w:t>
      </w:r>
      <w:r>
        <w:tab/>
      </w:r>
      <w:r>
        <w:rPr>
          <w:noProof/>
        </w:rPr>
        <w:t>Várható</w:t>
      </w:r>
      <w:r>
        <w:rPr>
          <w:noProof/>
        </w:rPr>
        <w:t>an mind a 2 287 munkavállaló részt vesz az intézkedésekben. E munkavállalók adatai nemek, állampolgárság és életkor szerinti bontásban:</w:t>
      </w:r>
    </w:p>
    <w:tbl>
      <w:tblPr>
        <w:tblW w:w="0" w:type="auto"/>
        <w:jc w:val="center"/>
        <w:tblLook w:val="04A0" w:firstRow="1" w:lastRow="0" w:firstColumn="1" w:lastColumn="0" w:noHBand="0" w:noVBand="1"/>
      </w:tblPr>
      <w:tblGrid>
        <w:gridCol w:w="1816"/>
        <w:gridCol w:w="2063"/>
        <w:gridCol w:w="1176"/>
        <w:gridCol w:w="1485"/>
      </w:tblGrid>
      <w:tr w:rsidR="000E1B77">
        <w:trPr>
          <w:jc w:val="center"/>
        </w:trPr>
        <w:tc>
          <w:tcPr>
            <w:tcW w:w="3559" w:type="dxa"/>
            <w:gridSpan w:val="2"/>
            <w:tcBorders>
              <w:top w:val="single" w:sz="4" w:space="0" w:color="auto"/>
              <w:left w:val="nil"/>
              <w:bottom w:val="single" w:sz="4" w:space="0" w:color="auto"/>
              <w:right w:val="nil"/>
            </w:tcBorders>
            <w:hideMark/>
          </w:tcPr>
          <w:p w:rsidR="000E1B77" w:rsidRDefault="00294BD2">
            <w:pPr>
              <w:spacing w:before="60" w:after="60"/>
              <w:jc w:val="center"/>
              <w:rPr>
                <w:noProof/>
              </w:rPr>
            </w:pPr>
            <w:r>
              <w:rPr>
                <w:noProof/>
              </w:rPr>
              <w:t>Kategória</w:t>
            </w:r>
          </w:p>
        </w:tc>
        <w:tc>
          <w:tcPr>
            <w:tcW w:w="2661" w:type="dxa"/>
            <w:gridSpan w:val="2"/>
            <w:tcBorders>
              <w:top w:val="single" w:sz="4" w:space="0" w:color="auto"/>
              <w:left w:val="nil"/>
              <w:bottom w:val="single" w:sz="4" w:space="0" w:color="auto"/>
              <w:right w:val="nil"/>
            </w:tcBorders>
            <w:hideMark/>
          </w:tcPr>
          <w:p w:rsidR="000E1B77" w:rsidRDefault="00294BD2">
            <w:pPr>
              <w:spacing w:before="60" w:after="60"/>
              <w:jc w:val="center"/>
              <w:rPr>
                <w:noProof/>
              </w:rPr>
            </w:pPr>
            <w:r>
              <w:rPr>
                <w:noProof/>
              </w:rPr>
              <w:t>A támogatásra jogosult kedvezményezettek száma</w:t>
            </w:r>
          </w:p>
        </w:tc>
      </w:tr>
      <w:tr w:rsidR="000E1B77">
        <w:trPr>
          <w:jc w:val="center"/>
        </w:trPr>
        <w:tc>
          <w:tcPr>
            <w:tcW w:w="1496" w:type="dxa"/>
            <w:tcBorders>
              <w:top w:val="single" w:sz="4" w:space="0" w:color="auto"/>
              <w:left w:val="nil"/>
              <w:bottom w:val="nil"/>
              <w:right w:val="nil"/>
            </w:tcBorders>
            <w:hideMark/>
          </w:tcPr>
          <w:p w:rsidR="000E1B77" w:rsidRDefault="00294BD2">
            <w:pPr>
              <w:spacing w:before="60" w:after="60"/>
              <w:rPr>
                <w:noProof/>
              </w:rPr>
            </w:pPr>
            <w:r>
              <w:rPr>
                <w:noProof/>
              </w:rPr>
              <w:t>Nem:</w:t>
            </w:r>
          </w:p>
        </w:tc>
        <w:tc>
          <w:tcPr>
            <w:tcW w:w="2063" w:type="dxa"/>
            <w:tcBorders>
              <w:top w:val="single" w:sz="4" w:space="0" w:color="auto"/>
              <w:left w:val="nil"/>
              <w:right w:val="nil"/>
            </w:tcBorders>
            <w:hideMark/>
          </w:tcPr>
          <w:p w:rsidR="000E1B77" w:rsidRDefault="00294BD2">
            <w:pPr>
              <w:spacing w:before="60" w:after="60"/>
              <w:rPr>
                <w:noProof/>
              </w:rPr>
            </w:pPr>
            <w:r>
              <w:rPr>
                <w:noProof/>
              </w:rPr>
              <w:t>Férfiak:</w:t>
            </w:r>
          </w:p>
        </w:tc>
        <w:tc>
          <w:tcPr>
            <w:tcW w:w="1176" w:type="dxa"/>
            <w:tcBorders>
              <w:top w:val="single" w:sz="4" w:space="0" w:color="auto"/>
              <w:left w:val="nil"/>
              <w:right w:val="nil"/>
            </w:tcBorders>
            <w:hideMark/>
          </w:tcPr>
          <w:p w:rsidR="000E1B77" w:rsidRDefault="00294BD2">
            <w:pPr>
              <w:spacing w:before="60" w:after="60"/>
              <w:jc w:val="right"/>
              <w:rPr>
                <w:noProof/>
              </w:rPr>
            </w:pPr>
            <w:r>
              <w:rPr>
                <w:noProof/>
              </w:rPr>
              <w:t>2 115</w:t>
            </w:r>
          </w:p>
        </w:tc>
        <w:tc>
          <w:tcPr>
            <w:tcW w:w="1485" w:type="dxa"/>
            <w:tcBorders>
              <w:top w:val="single" w:sz="4" w:space="0" w:color="auto"/>
              <w:left w:val="nil"/>
              <w:right w:val="nil"/>
            </w:tcBorders>
            <w:hideMark/>
          </w:tcPr>
          <w:p w:rsidR="000E1B77" w:rsidRDefault="00294BD2">
            <w:pPr>
              <w:spacing w:before="60" w:after="60"/>
              <w:jc w:val="right"/>
              <w:rPr>
                <w:noProof/>
              </w:rPr>
            </w:pPr>
            <w:r>
              <w:rPr>
                <w:noProof/>
              </w:rPr>
              <w:t>(92,47 %)</w:t>
            </w:r>
          </w:p>
        </w:tc>
      </w:tr>
      <w:tr w:rsidR="000E1B77">
        <w:trPr>
          <w:jc w:val="center"/>
        </w:trPr>
        <w:tc>
          <w:tcPr>
            <w:tcW w:w="1496" w:type="dxa"/>
            <w:tcBorders>
              <w:top w:val="nil"/>
              <w:left w:val="nil"/>
              <w:bottom w:val="single" w:sz="4" w:space="0" w:color="auto"/>
              <w:right w:val="nil"/>
            </w:tcBorders>
          </w:tcPr>
          <w:p w:rsidR="000E1B77" w:rsidRDefault="000E1B77">
            <w:pPr>
              <w:spacing w:before="60" w:after="60"/>
              <w:rPr>
                <w:noProof/>
              </w:rPr>
            </w:pPr>
          </w:p>
        </w:tc>
        <w:tc>
          <w:tcPr>
            <w:tcW w:w="2063" w:type="dxa"/>
            <w:tcBorders>
              <w:top w:val="nil"/>
              <w:left w:val="nil"/>
              <w:bottom w:val="single" w:sz="4" w:space="0" w:color="auto"/>
              <w:right w:val="nil"/>
            </w:tcBorders>
            <w:hideMark/>
          </w:tcPr>
          <w:p w:rsidR="000E1B77" w:rsidRDefault="00294BD2">
            <w:pPr>
              <w:spacing w:before="60" w:after="60"/>
              <w:rPr>
                <w:noProof/>
              </w:rPr>
            </w:pPr>
            <w:r>
              <w:rPr>
                <w:noProof/>
              </w:rPr>
              <w:t>Nők:</w:t>
            </w:r>
          </w:p>
        </w:tc>
        <w:tc>
          <w:tcPr>
            <w:tcW w:w="1176" w:type="dxa"/>
            <w:tcBorders>
              <w:bottom w:val="single" w:sz="4" w:space="0" w:color="auto"/>
            </w:tcBorders>
            <w:hideMark/>
          </w:tcPr>
          <w:p w:rsidR="000E1B77" w:rsidRDefault="00294BD2">
            <w:pPr>
              <w:spacing w:before="60" w:after="60"/>
              <w:jc w:val="right"/>
              <w:rPr>
                <w:noProof/>
              </w:rPr>
            </w:pPr>
            <w:r>
              <w:rPr>
                <w:noProof/>
              </w:rPr>
              <w:t> 172</w:t>
            </w:r>
          </w:p>
        </w:tc>
        <w:tc>
          <w:tcPr>
            <w:tcW w:w="1485" w:type="dxa"/>
            <w:tcBorders>
              <w:bottom w:val="single" w:sz="4" w:space="0" w:color="auto"/>
            </w:tcBorders>
            <w:hideMark/>
          </w:tcPr>
          <w:p w:rsidR="000E1B77" w:rsidRDefault="00294BD2">
            <w:pPr>
              <w:spacing w:before="60" w:after="60"/>
              <w:jc w:val="right"/>
              <w:rPr>
                <w:noProof/>
              </w:rPr>
            </w:pPr>
            <w:r>
              <w:rPr>
                <w:noProof/>
              </w:rPr>
              <w:t>(7,53 %)</w:t>
            </w:r>
          </w:p>
        </w:tc>
      </w:tr>
      <w:tr w:rsidR="000E1B77">
        <w:trPr>
          <w:jc w:val="center"/>
        </w:trPr>
        <w:tc>
          <w:tcPr>
            <w:tcW w:w="1496" w:type="dxa"/>
            <w:tcBorders>
              <w:top w:val="single" w:sz="4" w:space="0" w:color="auto"/>
              <w:left w:val="nil"/>
              <w:bottom w:val="nil"/>
              <w:right w:val="nil"/>
            </w:tcBorders>
            <w:hideMark/>
          </w:tcPr>
          <w:p w:rsidR="000E1B77" w:rsidRDefault="00294BD2">
            <w:pPr>
              <w:spacing w:before="60" w:after="60"/>
              <w:rPr>
                <w:noProof/>
              </w:rPr>
            </w:pPr>
            <w:r>
              <w:rPr>
                <w:noProof/>
              </w:rPr>
              <w:t>Állampolgárság:</w:t>
            </w:r>
          </w:p>
        </w:tc>
        <w:tc>
          <w:tcPr>
            <w:tcW w:w="2063" w:type="dxa"/>
            <w:tcBorders>
              <w:top w:val="single" w:sz="4" w:space="0" w:color="auto"/>
              <w:left w:val="nil"/>
              <w:bottom w:val="nil"/>
              <w:right w:val="nil"/>
            </w:tcBorders>
            <w:hideMark/>
          </w:tcPr>
          <w:p w:rsidR="000E1B77" w:rsidRDefault="00294BD2">
            <w:pPr>
              <w:spacing w:before="60" w:after="60"/>
              <w:rPr>
                <w:noProof/>
              </w:rPr>
            </w:pPr>
            <w:r>
              <w:rPr>
                <w:noProof/>
              </w:rPr>
              <w:t>Uniós polgárok:</w:t>
            </w:r>
          </w:p>
        </w:tc>
        <w:tc>
          <w:tcPr>
            <w:tcW w:w="1176" w:type="dxa"/>
            <w:tcBorders>
              <w:top w:val="single" w:sz="4" w:space="0" w:color="auto"/>
            </w:tcBorders>
            <w:hideMark/>
          </w:tcPr>
          <w:p w:rsidR="000E1B77" w:rsidRDefault="00294BD2">
            <w:pPr>
              <w:spacing w:before="60" w:after="60"/>
              <w:jc w:val="right"/>
              <w:rPr>
                <w:noProof/>
              </w:rPr>
            </w:pPr>
            <w:r>
              <w:rPr>
                <w:noProof/>
              </w:rPr>
              <w:t>2 233</w:t>
            </w:r>
          </w:p>
        </w:tc>
        <w:tc>
          <w:tcPr>
            <w:tcW w:w="1485" w:type="dxa"/>
            <w:tcBorders>
              <w:top w:val="single" w:sz="4" w:space="0" w:color="auto"/>
            </w:tcBorders>
            <w:hideMark/>
          </w:tcPr>
          <w:p w:rsidR="000E1B77" w:rsidRDefault="00294BD2">
            <w:pPr>
              <w:spacing w:before="60" w:after="60"/>
              <w:jc w:val="right"/>
              <w:rPr>
                <w:noProof/>
              </w:rPr>
            </w:pPr>
            <w:r>
              <w:rPr>
                <w:noProof/>
              </w:rPr>
              <w:t>(97,64 %)</w:t>
            </w:r>
          </w:p>
        </w:tc>
      </w:tr>
      <w:tr w:rsidR="000E1B77">
        <w:trPr>
          <w:jc w:val="center"/>
        </w:trPr>
        <w:tc>
          <w:tcPr>
            <w:tcW w:w="1496" w:type="dxa"/>
            <w:tcBorders>
              <w:top w:val="nil"/>
              <w:left w:val="nil"/>
              <w:bottom w:val="single" w:sz="4" w:space="0" w:color="auto"/>
              <w:right w:val="nil"/>
            </w:tcBorders>
          </w:tcPr>
          <w:p w:rsidR="000E1B77" w:rsidRDefault="000E1B77">
            <w:pPr>
              <w:spacing w:before="60" w:after="60"/>
              <w:rPr>
                <w:noProof/>
              </w:rPr>
            </w:pPr>
          </w:p>
        </w:tc>
        <w:tc>
          <w:tcPr>
            <w:tcW w:w="2063" w:type="dxa"/>
            <w:tcBorders>
              <w:top w:val="nil"/>
              <w:left w:val="nil"/>
              <w:bottom w:val="single" w:sz="4" w:space="0" w:color="auto"/>
              <w:right w:val="nil"/>
            </w:tcBorders>
            <w:hideMark/>
          </w:tcPr>
          <w:p w:rsidR="000E1B77" w:rsidRDefault="00294BD2">
            <w:pPr>
              <w:spacing w:before="60" w:after="60"/>
              <w:rPr>
                <w:noProof/>
              </w:rPr>
            </w:pPr>
            <w:r>
              <w:rPr>
                <w:noProof/>
              </w:rPr>
              <w:t>Nem uniós polgárok:</w:t>
            </w:r>
          </w:p>
        </w:tc>
        <w:tc>
          <w:tcPr>
            <w:tcW w:w="1176" w:type="dxa"/>
            <w:tcBorders>
              <w:bottom w:val="single" w:sz="4" w:space="0" w:color="auto"/>
            </w:tcBorders>
            <w:hideMark/>
          </w:tcPr>
          <w:p w:rsidR="000E1B77" w:rsidRDefault="00294BD2">
            <w:pPr>
              <w:spacing w:before="60" w:after="60"/>
              <w:jc w:val="right"/>
              <w:rPr>
                <w:noProof/>
              </w:rPr>
            </w:pPr>
            <w:r>
              <w:rPr>
                <w:noProof/>
              </w:rPr>
              <w:t> 54</w:t>
            </w:r>
          </w:p>
        </w:tc>
        <w:tc>
          <w:tcPr>
            <w:tcW w:w="1485" w:type="dxa"/>
            <w:tcBorders>
              <w:bottom w:val="single" w:sz="4" w:space="0" w:color="auto"/>
            </w:tcBorders>
            <w:hideMark/>
          </w:tcPr>
          <w:p w:rsidR="000E1B77" w:rsidRDefault="00294BD2">
            <w:pPr>
              <w:spacing w:before="60" w:after="60"/>
              <w:jc w:val="right"/>
              <w:rPr>
                <w:noProof/>
              </w:rPr>
            </w:pPr>
            <w:r>
              <w:rPr>
                <w:noProof/>
              </w:rPr>
              <w:t>(2,36 %)</w:t>
            </w:r>
          </w:p>
        </w:tc>
      </w:tr>
      <w:tr w:rsidR="000E1B77">
        <w:trPr>
          <w:jc w:val="center"/>
        </w:trPr>
        <w:tc>
          <w:tcPr>
            <w:tcW w:w="1496" w:type="dxa"/>
            <w:tcBorders>
              <w:top w:val="single" w:sz="4" w:space="0" w:color="auto"/>
              <w:left w:val="nil"/>
              <w:bottom w:val="nil"/>
              <w:right w:val="nil"/>
            </w:tcBorders>
            <w:hideMark/>
          </w:tcPr>
          <w:p w:rsidR="000E1B77" w:rsidRDefault="00294BD2">
            <w:pPr>
              <w:spacing w:before="60" w:after="60"/>
              <w:rPr>
                <w:noProof/>
              </w:rPr>
            </w:pPr>
            <w:r>
              <w:rPr>
                <w:noProof/>
              </w:rPr>
              <w:t>Korcsoport:</w:t>
            </w:r>
          </w:p>
        </w:tc>
        <w:tc>
          <w:tcPr>
            <w:tcW w:w="2063" w:type="dxa"/>
            <w:tcBorders>
              <w:top w:val="single" w:sz="4" w:space="0" w:color="auto"/>
              <w:left w:val="nil"/>
              <w:bottom w:val="nil"/>
              <w:right w:val="nil"/>
            </w:tcBorders>
            <w:hideMark/>
          </w:tcPr>
          <w:p w:rsidR="000E1B77" w:rsidRDefault="00294BD2">
            <w:pPr>
              <w:spacing w:before="60" w:after="60"/>
              <w:rPr>
                <w:noProof/>
              </w:rPr>
            </w:pPr>
            <w:r>
              <w:rPr>
                <w:noProof/>
              </w:rPr>
              <w:t>15–24 év közöttiek:</w:t>
            </w:r>
          </w:p>
        </w:tc>
        <w:tc>
          <w:tcPr>
            <w:tcW w:w="1176" w:type="dxa"/>
            <w:tcBorders>
              <w:top w:val="single" w:sz="4" w:space="0" w:color="auto"/>
            </w:tcBorders>
            <w:hideMark/>
          </w:tcPr>
          <w:p w:rsidR="000E1B77" w:rsidRDefault="00294BD2">
            <w:pPr>
              <w:spacing w:before="60" w:after="60"/>
              <w:jc w:val="right"/>
              <w:rPr>
                <w:noProof/>
              </w:rPr>
            </w:pPr>
            <w:r>
              <w:rPr>
                <w:noProof/>
              </w:rPr>
              <w:t> 2</w:t>
            </w:r>
          </w:p>
        </w:tc>
        <w:tc>
          <w:tcPr>
            <w:tcW w:w="1485" w:type="dxa"/>
            <w:tcBorders>
              <w:top w:val="single" w:sz="4" w:space="0" w:color="auto"/>
            </w:tcBorders>
            <w:hideMark/>
          </w:tcPr>
          <w:p w:rsidR="000E1B77" w:rsidRDefault="00294BD2">
            <w:pPr>
              <w:spacing w:before="60" w:after="60"/>
              <w:jc w:val="right"/>
              <w:rPr>
                <w:noProof/>
              </w:rPr>
            </w:pPr>
            <w:r>
              <w:rPr>
                <w:noProof/>
              </w:rPr>
              <w:t>(0,09 %)</w:t>
            </w:r>
          </w:p>
        </w:tc>
      </w:tr>
      <w:tr w:rsidR="000E1B77">
        <w:trPr>
          <w:jc w:val="center"/>
        </w:trPr>
        <w:tc>
          <w:tcPr>
            <w:tcW w:w="1496" w:type="dxa"/>
          </w:tcPr>
          <w:p w:rsidR="000E1B77" w:rsidRDefault="000E1B77">
            <w:pPr>
              <w:spacing w:before="60" w:after="60"/>
              <w:rPr>
                <w:noProof/>
              </w:rPr>
            </w:pPr>
          </w:p>
        </w:tc>
        <w:tc>
          <w:tcPr>
            <w:tcW w:w="2063" w:type="dxa"/>
            <w:hideMark/>
          </w:tcPr>
          <w:p w:rsidR="000E1B77" w:rsidRDefault="00294BD2">
            <w:pPr>
              <w:spacing w:before="60" w:after="60"/>
              <w:rPr>
                <w:noProof/>
              </w:rPr>
            </w:pPr>
            <w:r>
              <w:rPr>
                <w:noProof/>
              </w:rPr>
              <w:t>25–29 év közöttiek:</w:t>
            </w:r>
          </w:p>
        </w:tc>
        <w:tc>
          <w:tcPr>
            <w:tcW w:w="1176" w:type="dxa"/>
            <w:hideMark/>
          </w:tcPr>
          <w:p w:rsidR="000E1B77" w:rsidRDefault="00294BD2">
            <w:pPr>
              <w:spacing w:before="60" w:after="60"/>
              <w:jc w:val="right"/>
              <w:rPr>
                <w:noProof/>
              </w:rPr>
            </w:pPr>
            <w:r>
              <w:rPr>
                <w:noProof/>
              </w:rPr>
              <w:t> 70</w:t>
            </w:r>
          </w:p>
        </w:tc>
        <w:tc>
          <w:tcPr>
            <w:tcW w:w="1485" w:type="dxa"/>
            <w:hideMark/>
          </w:tcPr>
          <w:p w:rsidR="000E1B77" w:rsidRDefault="00294BD2">
            <w:pPr>
              <w:spacing w:before="60" w:after="60"/>
              <w:jc w:val="right"/>
              <w:rPr>
                <w:noProof/>
              </w:rPr>
            </w:pPr>
            <w:r>
              <w:rPr>
                <w:noProof/>
              </w:rPr>
              <w:t>(3,06 %)</w:t>
            </w:r>
          </w:p>
        </w:tc>
      </w:tr>
      <w:tr w:rsidR="000E1B77">
        <w:trPr>
          <w:jc w:val="center"/>
        </w:trPr>
        <w:tc>
          <w:tcPr>
            <w:tcW w:w="1496" w:type="dxa"/>
          </w:tcPr>
          <w:p w:rsidR="000E1B77" w:rsidRDefault="000E1B77">
            <w:pPr>
              <w:spacing w:before="60" w:after="60"/>
              <w:rPr>
                <w:noProof/>
              </w:rPr>
            </w:pPr>
          </w:p>
        </w:tc>
        <w:tc>
          <w:tcPr>
            <w:tcW w:w="2063" w:type="dxa"/>
            <w:hideMark/>
          </w:tcPr>
          <w:p w:rsidR="000E1B77" w:rsidRDefault="00294BD2">
            <w:pPr>
              <w:spacing w:before="60" w:after="60"/>
              <w:rPr>
                <w:noProof/>
              </w:rPr>
            </w:pPr>
            <w:r>
              <w:rPr>
                <w:noProof/>
              </w:rPr>
              <w:t>30-54 év közöttiek:</w:t>
            </w:r>
          </w:p>
        </w:tc>
        <w:tc>
          <w:tcPr>
            <w:tcW w:w="1176" w:type="dxa"/>
            <w:hideMark/>
          </w:tcPr>
          <w:p w:rsidR="000E1B77" w:rsidRDefault="00294BD2">
            <w:pPr>
              <w:spacing w:before="60" w:after="60"/>
              <w:jc w:val="right"/>
              <w:rPr>
                <w:noProof/>
              </w:rPr>
            </w:pPr>
            <w:r>
              <w:rPr>
                <w:noProof/>
              </w:rPr>
              <w:t>1 952</w:t>
            </w:r>
          </w:p>
        </w:tc>
        <w:tc>
          <w:tcPr>
            <w:tcW w:w="1485" w:type="dxa"/>
            <w:hideMark/>
          </w:tcPr>
          <w:p w:rsidR="000E1B77" w:rsidRDefault="00294BD2">
            <w:pPr>
              <w:spacing w:before="60" w:after="60"/>
              <w:jc w:val="right"/>
              <w:rPr>
                <w:noProof/>
              </w:rPr>
            </w:pPr>
            <w:r>
              <w:rPr>
                <w:noProof/>
              </w:rPr>
              <w:t>(85,34 %)</w:t>
            </w:r>
          </w:p>
        </w:tc>
      </w:tr>
      <w:tr w:rsidR="000E1B77">
        <w:trPr>
          <w:jc w:val="center"/>
        </w:trPr>
        <w:tc>
          <w:tcPr>
            <w:tcW w:w="1496" w:type="dxa"/>
          </w:tcPr>
          <w:p w:rsidR="000E1B77" w:rsidRDefault="000E1B77">
            <w:pPr>
              <w:spacing w:before="60" w:after="60"/>
              <w:rPr>
                <w:noProof/>
              </w:rPr>
            </w:pPr>
          </w:p>
        </w:tc>
        <w:tc>
          <w:tcPr>
            <w:tcW w:w="2063" w:type="dxa"/>
            <w:hideMark/>
          </w:tcPr>
          <w:p w:rsidR="000E1B77" w:rsidRDefault="00294BD2">
            <w:pPr>
              <w:spacing w:before="60" w:after="60"/>
              <w:rPr>
                <w:noProof/>
              </w:rPr>
            </w:pPr>
            <w:r>
              <w:rPr>
                <w:noProof/>
              </w:rPr>
              <w:t>55-64 év közöttiek:</w:t>
            </w:r>
          </w:p>
        </w:tc>
        <w:tc>
          <w:tcPr>
            <w:tcW w:w="1176" w:type="dxa"/>
            <w:hideMark/>
          </w:tcPr>
          <w:p w:rsidR="000E1B77" w:rsidRDefault="00294BD2">
            <w:pPr>
              <w:spacing w:before="60" w:after="60"/>
              <w:jc w:val="right"/>
              <w:rPr>
                <w:noProof/>
              </w:rPr>
            </w:pPr>
            <w:r>
              <w:rPr>
                <w:noProof/>
              </w:rPr>
              <w:t> 263</w:t>
            </w:r>
          </w:p>
        </w:tc>
        <w:tc>
          <w:tcPr>
            <w:tcW w:w="1485" w:type="dxa"/>
            <w:hideMark/>
          </w:tcPr>
          <w:p w:rsidR="000E1B77" w:rsidRDefault="00294BD2">
            <w:pPr>
              <w:spacing w:before="60" w:after="60"/>
              <w:jc w:val="right"/>
              <w:rPr>
                <w:noProof/>
              </w:rPr>
            </w:pPr>
            <w:r>
              <w:rPr>
                <w:noProof/>
              </w:rPr>
              <w:t>(11,51 %)</w:t>
            </w:r>
          </w:p>
        </w:tc>
      </w:tr>
      <w:tr w:rsidR="000E1B77">
        <w:trPr>
          <w:jc w:val="center"/>
        </w:trPr>
        <w:tc>
          <w:tcPr>
            <w:tcW w:w="1496" w:type="dxa"/>
            <w:tcBorders>
              <w:top w:val="nil"/>
              <w:left w:val="nil"/>
              <w:bottom w:val="single" w:sz="4" w:space="0" w:color="auto"/>
              <w:right w:val="nil"/>
            </w:tcBorders>
          </w:tcPr>
          <w:p w:rsidR="000E1B77" w:rsidRDefault="000E1B77">
            <w:pPr>
              <w:spacing w:before="60" w:after="60"/>
              <w:rPr>
                <w:noProof/>
              </w:rPr>
            </w:pPr>
          </w:p>
        </w:tc>
        <w:tc>
          <w:tcPr>
            <w:tcW w:w="2063" w:type="dxa"/>
            <w:tcBorders>
              <w:top w:val="nil"/>
              <w:left w:val="nil"/>
              <w:bottom w:val="single" w:sz="4" w:space="0" w:color="auto"/>
              <w:right w:val="nil"/>
            </w:tcBorders>
            <w:hideMark/>
          </w:tcPr>
          <w:p w:rsidR="000E1B77" w:rsidRDefault="00294BD2">
            <w:pPr>
              <w:spacing w:before="60" w:after="60"/>
              <w:rPr>
                <w:noProof/>
              </w:rPr>
            </w:pPr>
            <w:r>
              <w:rPr>
                <w:noProof/>
              </w:rPr>
              <w:t>64 év felettiek:</w:t>
            </w:r>
          </w:p>
        </w:tc>
        <w:tc>
          <w:tcPr>
            <w:tcW w:w="1176" w:type="dxa"/>
            <w:tcBorders>
              <w:top w:val="nil"/>
              <w:left w:val="nil"/>
              <w:bottom w:val="single" w:sz="4" w:space="0" w:color="auto"/>
              <w:right w:val="nil"/>
            </w:tcBorders>
            <w:hideMark/>
          </w:tcPr>
          <w:p w:rsidR="000E1B77" w:rsidRDefault="00294BD2">
            <w:pPr>
              <w:spacing w:before="60" w:after="60"/>
              <w:jc w:val="right"/>
              <w:rPr>
                <w:noProof/>
              </w:rPr>
            </w:pPr>
            <w:r>
              <w:rPr>
                <w:noProof/>
              </w:rPr>
              <w:t> 0</w:t>
            </w:r>
          </w:p>
        </w:tc>
        <w:tc>
          <w:tcPr>
            <w:tcW w:w="1485" w:type="dxa"/>
            <w:tcBorders>
              <w:top w:val="nil"/>
              <w:left w:val="nil"/>
              <w:bottom w:val="single" w:sz="4" w:space="0" w:color="auto"/>
              <w:right w:val="nil"/>
            </w:tcBorders>
            <w:hideMark/>
          </w:tcPr>
          <w:p w:rsidR="000E1B77" w:rsidRDefault="00294BD2">
            <w:pPr>
              <w:spacing w:before="60" w:after="60"/>
              <w:jc w:val="right"/>
              <w:rPr>
                <w:noProof/>
              </w:rPr>
            </w:pPr>
            <w:r>
              <w:rPr>
                <w:noProof/>
              </w:rPr>
              <w:t>(0,00 %)</w:t>
            </w:r>
          </w:p>
        </w:tc>
      </w:tr>
    </w:tbl>
    <w:p w:rsidR="000E1B77" w:rsidRDefault="00294BD2">
      <w:pPr>
        <w:pStyle w:val="ManualNumPar1"/>
        <w:rPr>
          <w:noProof/>
        </w:rPr>
      </w:pPr>
      <w:r>
        <w:t>24.</w:t>
      </w:r>
      <w:r>
        <w:tab/>
      </w:r>
      <w:r>
        <w:rPr>
          <w:noProof/>
        </w:rPr>
        <w:t xml:space="preserve">Belgium továbbá az EGAA-ból társfinanszírozott, személyre szabott szolgáltatásokat fog nyújtani 300 olyan nem foglalkoztatott, oktatásban és képzésben nem részesülő fiatal (NEET-fiatal) számára, akik a kérelem benyújtásának időpontjában </w:t>
      </w:r>
      <w:r>
        <w:rPr>
          <w:noProof/>
        </w:rPr>
        <w:t>30 év alattiak voltak, tekintve, hogy a 8. pontban említett elbocsátások közül 1 364-re az ifjúsági foglalkoztatási kezdeményezés alapján támogatható NUTS 2. szintű régióban (Hainaut – BE32) kerül sor.</w:t>
      </w:r>
    </w:p>
    <w:p w:rsidR="000E1B77" w:rsidRDefault="00294BD2">
      <w:pPr>
        <w:pStyle w:val="ManualNumPar1"/>
        <w:rPr>
          <w:noProof/>
          <w:szCs w:val="20"/>
        </w:rPr>
      </w:pPr>
      <w:r>
        <w:t>25.</w:t>
      </w:r>
      <w:r>
        <w:tab/>
      </w:r>
      <w:r>
        <w:rPr>
          <w:noProof/>
        </w:rPr>
        <w:t>Az EGAA-rendelet 6. cikkének (2) bekezdése értelmé</w:t>
      </w:r>
      <w:r>
        <w:rPr>
          <w:noProof/>
        </w:rPr>
        <w:t>ben a tagállamok 2017. december 31-ig a nem foglalkoztatott, oktatásban és képzésben nem részesülő fiatalok számára is biztosíthatnak az EGAA által társfinanszírozott, személyre szabott szolgáltatásokat. Az Unió általános költségvetésére alkalmazandó pénzü</w:t>
      </w:r>
      <w:r>
        <w:rPr>
          <w:noProof/>
        </w:rPr>
        <w:t>gyi szabályokról szóló európai parlamenti és tanácsi rendeletre</w:t>
      </w:r>
      <w:r>
        <w:rPr>
          <w:rStyle w:val="FootnoteReference"/>
          <w:noProof/>
        </w:rPr>
        <w:footnoteReference w:id="15"/>
      </w:r>
      <w:r>
        <w:rPr>
          <w:noProof/>
        </w:rPr>
        <w:t xml:space="preserve"> (salátarendelet) irányuló javaslat a NEET-fiatalokra vonatkozó eltérés meghosszabbítása érdekében az EGAA-rendelet 6. cikkének (2) bekezdésének módosítását is tartalmazza. Az Eurostat által 2</w:t>
      </w:r>
      <w:r>
        <w:rPr>
          <w:noProof/>
        </w:rPr>
        <w:t>018. január 17-én közzétett adatok szerint Hainaut régióban a 15–24 év közötti fiatalok körében a munkanélküliség 33,3 %-os. Ezért a régió az EGAA-rendelet 6. cikkének (2) bekezdése értelmében továbbra is jogosult az eltérésre. Ez a módosítás visszamenőleg</w:t>
      </w:r>
      <w:r>
        <w:rPr>
          <w:noProof/>
        </w:rPr>
        <w:t>es hatállyal 2018. január 1-jétől lenne alkalmazandó. Ennek következtében ez a határozat, mely a NEET-fiatalok támogatásával is foglalkozik, a salátarendelet elfogadása és hatálybalépése után kerülhet elfogadásra.</w:t>
      </w:r>
    </w:p>
    <w:p w:rsidR="000E1B77" w:rsidRDefault="00294BD2">
      <w:pPr>
        <w:pStyle w:val="ManualNumPar1"/>
        <w:rPr>
          <w:noProof/>
          <w:szCs w:val="20"/>
        </w:rPr>
      </w:pPr>
      <w:r>
        <w:t>26.</w:t>
      </w:r>
      <w:r>
        <w:tab/>
      </w:r>
      <w:r>
        <w:rPr>
          <w:noProof/>
        </w:rPr>
        <w:t>Az intézkedések által várhatóan érinte</w:t>
      </w:r>
      <w:r>
        <w:rPr>
          <w:noProof/>
        </w:rPr>
        <w:t>tt, támogatásra jogosult kedvezményezettek teljes becsült száma – a NEET-fiatalokat is beleértve – tehát 2 587.</w:t>
      </w:r>
    </w:p>
    <w:p w:rsidR="000E1B77" w:rsidRDefault="00294BD2">
      <w:pPr>
        <w:pStyle w:val="ManualHeading3"/>
        <w:rPr>
          <w:noProof/>
          <w:u w:val="single"/>
        </w:rPr>
      </w:pPr>
      <w:r>
        <w:rPr>
          <w:noProof/>
        </w:rPr>
        <w:t>A javasolt intézkedések támogathatósága</w:t>
      </w:r>
      <w:bookmarkStart w:id="2" w:name="_Ref372214239"/>
    </w:p>
    <w:p w:rsidR="000E1B77" w:rsidRDefault="00294BD2">
      <w:pPr>
        <w:pStyle w:val="ManualNumPar1"/>
        <w:rPr>
          <w:noProof/>
        </w:rPr>
      </w:pPr>
      <w:r>
        <w:t>27.</w:t>
      </w:r>
      <w:r>
        <w:tab/>
      </w:r>
      <w:r>
        <w:rPr>
          <w:noProof/>
        </w:rPr>
        <w:t>Az elbocsátott dolgozók és a NEET-fiatalok részére nyújtandó személyre szabott szolgáltatások az alá</w:t>
      </w:r>
      <w:r>
        <w:rPr>
          <w:noProof/>
        </w:rPr>
        <w:t xml:space="preserve">bbiakat foglalják magukban: </w:t>
      </w:r>
      <w:bookmarkEnd w:id="2"/>
    </w:p>
    <w:p w:rsidR="000E1B77" w:rsidRDefault="00294BD2">
      <w:pPr>
        <w:pStyle w:val="Tiret1"/>
        <w:rPr>
          <w:noProof/>
          <w:color w:val="000000" w:themeColor="text1"/>
        </w:rPr>
      </w:pPr>
      <w:r>
        <w:rPr>
          <w:noProof/>
          <w:color w:val="000000" w:themeColor="text1"/>
          <w:u w:val="single"/>
        </w:rPr>
        <w:t>Egyéni álláskeresési segítség, ügykezelés és általános tájékoztatási szolgáltatások:</w:t>
      </w:r>
      <w:r>
        <w:rPr>
          <w:noProof/>
          <w:color w:val="000000" w:themeColor="text1"/>
        </w:rPr>
        <w:t xml:space="preserve"> Ezen intézkedések alatt olyan, személyre szabott elhelyezkedési segítségnyújtás értendő, mint a tanácsadás vagy a pályaorientáció, illetve a m</w:t>
      </w:r>
      <w:r>
        <w:rPr>
          <w:noProof/>
          <w:color w:val="000000" w:themeColor="text1"/>
        </w:rPr>
        <w:t>unkavállalóknak és a NEET-fiataloknak nyújtott, nyílt tájékoztatási szolgáltatások.</w:t>
      </w:r>
    </w:p>
    <w:p w:rsidR="000E1B77" w:rsidRDefault="00294BD2">
      <w:pPr>
        <w:pStyle w:val="Tiret1"/>
        <w:rPr>
          <w:noProof/>
          <w:color w:val="000000" w:themeColor="text1"/>
        </w:rPr>
      </w:pPr>
      <w:r>
        <w:rPr>
          <w:noProof/>
          <w:color w:val="000000" w:themeColor="text1"/>
          <w:u w:val="single"/>
        </w:rPr>
        <w:t>Képzés és átképzés:</w:t>
      </w:r>
      <w:r>
        <w:rPr>
          <w:noProof/>
          <w:color w:val="000000" w:themeColor="text1"/>
        </w:rPr>
        <w:t xml:space="preserve"> Ide a munkavállalóknak és a NEET-fiataloknak nyújtott szakképzés és továbbképzés tartozik. A képzések úgy kerülnek kidolgozásra, hogy a kurzuskínálat il</w:t>
      </w:r>
      <w:r>
        <w:rPr>
          <w:noProof/>
          <w:color w:val="000000" w:themeColor="text1"/>
        </w:rPr>
        <w:t>leszkedjen a CATCH tervben</w:t>
      </w:r>
      <w:r>
        <w:rPr>
          <w:rStyle w:val="FootnoteReference"/>
          <w:noProof/>
          <w:color w:val="000000" w:themeColor="text1"/>
        </w:rPr>
        <w:footnoteReference w:id="16"/>
      </w:r>
      <w:r>
        <w:rPr>
          <w:noProof/>
          <w:color w:val="000000" w:themeColor="text1"/>
        </w:rPr>
        <w:t xml:space="preserve"> Charleroi-ra vonatkozóan kijelölt fejlesztési prioritásokhoz. </w:t>
      </w:r>
    </w:p>
    <w:p w:rsidR="000E1B77" w:rsidRDefault="00294BD2">
      <w:pPr>
        <w:pStyle w:val="Tiret1"/>
        <w:rPr>
          <w:noProof/>
          <w:color w:val="000000" w:themeColor="text1"/>
        </w:rPr>
      </w:pPr>
      <w:r>
        <w:rPr>
          <w:noProof/>
          <w:color w:val="000000" w:themeColor="text1"/>
          <w:u w:val="single"/>
        </w:rPr>
        <w:t>Vállalkozásösztönzés:</w:t>
      </w:r>
      <w:r>
        <w:rPr>
          <w:noProof/>
          <w:color w:val="000000" w:themeColor="text1"/>
        </w:rPr>
        <w:t xml:space="preserve"> Ezen intézkedés keretében a vállalkozók egy olyan támogatási rendszer előnyeit élvezhetik, amely szoros együttműködést irányoz elő az önfoglalk</w:t>
      </w:r>
      <w:r>
        <w:rPr>
          <w:noProof/>
          <w:color w:val="000000" w:themeColor="text1"/>
        </w:rPr>
        <w:t>oztatás támogatásáért felelős regionális hatóságok között.</w:t>
      </w:r>
    </w:p>
    <w:p w:rsidR="000E1B77" w:rsidRDefault="00294BD2">
      <w:pPr>
        <w:pStyle w:val="Tiret1"/>
        <w:rPr>
          <w:noProof/>
          <w:color w:val="000000" w:themeColor="text1"/>
        </w:rPr>
      </w:pPr>
      <w:r>
        <w:rPr>
          <w:noProof/>
          <w:color w:val="000000" w:themeColor="text1"/>
          <w:u w:val="single"/>
        </w:rPr>
        <w:t>Vállalkozási tevékenység megkezdésének támogatása</w:t>
      </w:r>
      <w:r>
        <w:rPr>
          <w:noProof/>
          <w:color w:val="000000" w:themeColor="text1"/>
        </w:rPr>
        <w:t>:</w:t>
      </w:r>
      <w:r>
        <w:rPr>
          <w:b/>
          <w:noProof/>
          <w:color w:val="000000" w:themeColor="text1"/>
        </w:rPr>
        <w:t xml:space="preserve"> </w:t>
      </w:r>
      <w:r>
        <w:rPr>
          <w:noProof/>
          <w:color w:val="000000" w:themeColor="text1"/>
        </w:rPr>
        <w:t xml:space="preserve">Ezen intézkedés keretében az induló vállalkozások az önfoglalkoztatáshoz, az üzleti tevékenység elkezdéséhez, valamint teljes vagy részidős </w:t>
      </w:r>
      <w:r>
        <w:rPr>
          <w:noProof/>
          <w:color w:val="000000" w:themeColor="text1"/>
        </w:rPr>
        <w:t>vállalkozói tevékenység beindításához kaphatnak támogatást.</w:t>
      </w:r>
    </w:p>
    <w:p w:rsidR="000E1B77" w:rsidRDefault="00294BD2">
      <w:pPr>
        <w:pStyle w:val="Tiret1"/>
        <w:rPr>
          <w:noProof/>
        </w:rPr>
      </w:pPr>
      <w:r>
        <w:rPr>
          <w:noProof/>
          <w:color w:val="000000" w:themeColor="text1"/>
          <w:u w:val="single"/>
        </w:rPr>
        <w:t>Juttatások:</w:t>
      </w:r>
      <w:r>
        <w:rPr>
          <w:noProof/>
          <w:color w:val="000000" w:themeColor="text1"/>
        </w:rPr>
        <w:t xml:space="preserve"> Ide tartoznak a következők: </w:t>
      </w:r>
      <w:r>
        <w:rPr>
          <w:b/>
          <w:noProof/>
          <w:color w:val="000000" w:themeColor="text1"/>
        </w:rPr>
        <w:t>1)</w:t>
      </w:r>
      <w:r>
        <w:rPr>
          <w:noProof/>
          <w:color w:val="000000" w:themeColor="text1"/>
        </w:rPr>
        <w:t xml:space="preserve"> </w:t>
      </w:r>
      <w:r>
        <w:rPr>
          <w:b/>
          <w:noProof/>
          <w:color w:val="000000" w:themeColor="text1"/>
        </w:rPr>
        <w:t>Képzési juttatások</w:t>
      </w:r>
      <w:r>
        <w:rPr>
          <w:noProof/>
          <w:color w:val="000000" w:themeColor="text1"/>
        </w:rPr>
        <w:t xml:space="preserve"> az álláskeresőknél és a NEET-fiataloknál a képzések során felmerült költségek fedezésére; </w:t>
      </w:r>
      <w:r>
        <w:rPr>
          <w:b/>
          <w:noProof/>
          <w:color w:val="000000" w:themeColor="text1"/>
        </w:rPr>
        <w:t>2)</w:t>
      </w:r>
      <w:r>
        <w:rPr>
          <w:noProof/>
          <w:color w:val="000000" w:themeColor="text1"/>
        </w:rPr>
        <w:t xml:space="preserve"> </w:t>
      </w:r>
      <w:r>
        <w:rPr>
          <w:b/>
          <w:noProof/>
          <w:color w:val="000000" w:themeColor="text1"/>
        </w:rPr>
        <w:t>Mobilitási juttatások</w:t>
      </w:r>
      <w:r>
        <w:rPr>
          <w:noProof/>
          <w:color w:val="000000" w:themeColor="text1"/>
        </w:rPr>
        <w:t xml:space="preserve"> munkavállaló olyan </w:t>
      </w:r>
      <w:r>
        <w:rPr>
          <w:noProof/>
          <w:color w:val="000000" w:themeColor="text1"/>
        </w:rPr>
        <w:t xml:space="preserve">esetekben való támogatására, amikor hosszabb ingázási távolságra fekvő helyen vállal munkát; </w:t>
      </w:r>
      <w:r>
        <w:rPr>
          <w:b/>
          <w:noProof/>
          <w:color w:val="000000" w:themeColor="text1"/>
        </w:rPr>
        <w:t xml:space="preserve">3) </w:t>
      </w:r>
      <w:r>
        <w:rPr>
          <w:rStyle w:val="shorttext"/>
          <w:b/>
          <w:noProof/>
          <w:color w:val="000000" w:themeColor="text1"/>
        </w:rPr>
        <w:t>Az oktatásba való visszatéréshez nyújtott juttatás</w:t>
      </w:r>
      <w:r>
        <w:rPr>
          <w:noProof/>
          <w:color w:val="000000" w:themeColor="text1"/>
        </w:rPr>
        <w:t xml:space="preserve"> – amelynek célja az oktatási rendszerbe való visszatérés ösztönzése – legfeljebb 12 hónapig folyósítható, és </w:t>
      </w:r>
      <w:r>
        <w:rPr>
          <w:noProof/>
          <w:color w:val="000000" w:themeColor="text1"/>
        </w:rPr>
        <w:t xml:space="preserve">feltétele, hogy a kérelmező bizonyítsa, hogy felsőoktatási intézménybe iratkozott be; </w:t>
      </w:r>
      <w:r>
        <w:rPr>
          <w:b/>
          <w:noProof/>
          <w:color w:val="000000" w:themeColor="text1"/>
        </w:rPr>
        <w:t>4) Álláskeresési juttatás</w:t>
      </w:r>
      <w:r>
        <w:rPr>
          <w:noProof/>
          <w:color w:val="000000" w:themeColor="text1"/>
        </w:rPr>
        <w:t xml:space="preserve"> a munkavállalóknál és a NEET-fiataloknál az álláskereséshez kapcsolódó tevékenységek látogatása miatt felmerülő költségek ellentételezésére; </w:t>
      </w:r>
      <w:r>
        <w:rPr>
          <w:b/>
          <w:noProof/>
          <w:color w:val="000000" w:themeColor="text1"/>
        </w:rPr>
        <w:t xml:space="preserve">5) </w:t>
      </w:r>
      <w:r>
        <w:rPr>
          <w:b/>
          <w:noProof/>
          <w:color w:val="000000" w:themeColor="text1"/>
        </w:rPr>
        <w:t>Vállalkozói juttatás</w:t>
      </w:r>
      <w:r>
        <w:rPr>
          <w:noProof/>
          <w:color w:val="548DD4" w:themeColor="text2" w:themeTint="99"/>
        </w:rPr>
        <w:t xml:space="preserve"> </w:t>
      </w:r>
      <w:r>
        <w:rPr>
          <w:noProof/>
          <w:color w:val="000000" w:themeColor="text1"/>
        </w:rPr>
        <w:t xml:space="preserve"> az álláskeresőknél a képzések során felmerült költségek fedezésére szolgál, és </w:t>
      </w:r>
      <w:r>
        <w:rPr>
          <w:noProof/>
        </w:rPr>
        <w:t xml:space="preserve"> feltétele, hogy a kérelmező benyújtson egy egyéni vagy kollektív önfoglalkoztatási tervet.</w:t>
      </w:r>
    </w:p>
    <w:p w:rsidR="000E1B77" w:rsidRDefault="00294BD2">
      <w:pPr>
        <w:pStyle w:val="ManualNumPar1"/>
        <w:rPr>
          <w:noProof/>
        </w:rPr>
      </w:pPr>
      <w:bookmarkStart w:id="3" w:name="_Ref372214242"/>
      <w:r>
        <w:t>28.</w:t>
      </w:r>
      <w:r>
        <w:tab/>
      </w:r>
      <w:r>
        <w:rPr>
          <w:noProof/>
        </w:rPr>
        <w:t>A NEET-fiatalok részére nyújtandó személyre szabott szolgál</w:t>
      </w:r>
      <w:r>
        <w:rPr>
          <w:noProof/>
        </w:rPr>
        <w:t>tatások ugyanazokból a tevékenységekből állnak, mint az elbocsátott dolgozók esetében.</w:t>
      </w:r>
    </w:p>
    <w:p w:rsidR="000E1B77" w:rsidRDefault="00294BD2">
      <w:pPr>
        <w:pStyle w:val="ManualNumPar1"/>
        <w:rPr>
          <w:noProof/>
        </w:rPr>
      </w:pPr>
      <w:r>
        <w:t>29.</w:t>
      </w:r>
      <w:r>
        <w:tab/>
      </w:r>
      <w:r>
        <w:rPr>
          <w:noProof/>
        </w:rPr>
        <w:t>Az itt bemutatott javasolt intézkedések az EGAA-rendelet 7. cikke szerinti támogatható tevékenységek közé tartozó aktív munkaerőpiaci intézkedéseknek minősülnek. Eze</w:t>
      </w:r>
      <w:r>
        <w:rPr>
          <w:noProof/>
        </w:rPr>
        <w:t>k az intézkedések nem helyettesítik a passzív szociális védelmi intézkedéseket.</w:t>
      </w:r>
    </w:p>
    <w:p w:rsidR="000E1B77" w:rsidRDefault="00294BD2">
      <w:pPr>
        <w:pStyle w:val="ManualNumPar1"/>
        <w:rPr>
          <w:noProof/>
        </w:rPr>
      </w:pPr>
      <w:r>
        <w:t>30.</w:t>
      </w:r>
      <w:r>
        <w:tab/>
      </w:r>
      <w:r>
        <w:rPr>
          <w:noProof/>
        </w:rPr>
        <w:t>Belgium megadta a szükséges információkat a nemzeti jog vagy a kollektív szerződések értelmében az érintett vállalatra nézve kötelező intézkedésekről. Megerősítette, hogy a</w:t>
      </w:r>
      <w:r>
        <w:rPr>
          <w:noProof/>
        </w:rPr>
        <w:t>z EGAA-ból származó pénzügyi hozzájárulás nem helyettesíti ezeket az intézkedéseket.</w:t>
      </w:r>
      <w:bookmarkEnd w:id="3"/>
    </w:p>
    <w:p w:rsidR="000E1B77" w:rsidRDefault="00294BD2">
      <w:pPr>
        <w:pStyle w:val="ManualHeading3"/>
        <w:rPr>
          <w:noProof/>
        </w:rPr>
      </w:pPr>
      <w:r>
        <w:rPr>
          <w:noProof/>
        </w:rPr>
        <w:t>Becsült költségvetés</w:t>
      </w:r>
    </w:p>
    <w:p w:rsidR="000E1B77" w:rsidRDefault="00294BD2">
      <w:pPr>
        <w:pStyle w:val="ManualNumPar1"/>
        <w:rPr>
          <w:noProof/>
        </w:rPr>
      </w:pPr>
      <w:r>
        <w:t>31.</w:t>
      </w:r>
      <w:r>
        <w:tab/>
      </w:r>
      <w:r>
        <w:rPr>
          <w:noProof/>
        </w:rPr>
        <w:t xml:space="preserve">A teljes becsült költség 7 702 694 EUR, amely a személyre szabott szolgáltatásokra szánt </w:t>
      </w:r>
      <w:r>
        <w:rPr>
          <w:noProof/>
          <w:color w:val="000000" w:themeColor="text1"/>
        </w:rPr>
        <w:t xml:space="preserve">7 575 294 </w:t>
      </w:r>
      <w:r>
        <w:rPr>
          <w:noProof/>
        </w:rPr>
        <w:t>EUR-ból és az előkészítési, igazgatási, tájékoz</w:t>
      </w:r>
      <w:r>
        <w:rPr>
          <w:noProof/>
        </w:rPr>
        <w:t xml:space="preserve">tatási és népszerűsítési tevékenységekre szánt </w:t>
      </w:r>
      <w:r>
        <w:rPr>
          <w:noProof/>
          <w:color w:val="000000" w:themeColor="text1"/>
        </w:rPr>
        <w:t>127 400</w:t>
      </w:r>
      <w:r>
        <w:rPr>
          <w:noProof/>
        </w:rPr>
        <w:t xml:space="preserve"> EUR-ból tevődik össze.</w:t>
      </w:r>
    </w:p>
    <w:p w:rsidR="000E1B77" w:rsidRDefault="00294BD2">
      <w:pPr>
        <w:pStyle w:val="ManualNumPar1"/>
        <w:rPr>
          <w:noProof/>
        </w:rPr>
      </w:pPr>
      <w:bookmarkStart w:id="4" w:name="_Ref372550770"/>
      <w:r>
        <w:t>32.</w:t>
      </w:r>
      <w:r>
        <w:tab/>
      </w:r>
      <w:r>
        <w:rPr>
          <w:noProof/>
        </w:rPr>
        <w:t>Az EGAA-ból igényelt teljes pénzügyi hozzájárulás 4</w:t>
      </w:r>
      <w:r>
        <w:rPr>
          <w:noProof/>
          <w:color w:val="222222"/>
        </w:rPr>
        <w:t xml:space="preserve"> 621 616 </w:t>
      </w:r>
      <w:r>
        <w:rPr>
          <w:noProof/>
        </w:rPr>
        <w:t xml:space="preserve"> EUR (az összköltség 60 %-a).</w:t>
      </w:r>
      <w:bookmarkEnd w:id="4"/>
    </w:p>
    <w:p w:rsidR="000E1B77" w:rsidRDefault="000E1B77">
      <w:pPr>
        <w:pStyle w:val="Text1"/>
        <w:rPr>
          <w:noProof/>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3"/>
        <w:gridCol w:w="1548"/>
        <w:gridCol w:w="1548"/>
        <w:gridCol w:w="1548"/>
      </w:tblGrid>
      <w:tr w:rsidR="000E1B77">
        <w:tc>
          <w:tcPr>
            <w:tcW w:w="4643" w:type="dxa"/>
            <w:shd w:val="clear" w:color="auto" w:fill="auto"/>
            <w:vAlign w:val="center"/>
          </w:tcPr>
          <w:p w:rsidR="000E1B77" w:rsidRDefault="00294BD2">
            <w:pPr>
              <w:spacing w:before="60" w:after="60"/>
              <w:jc w:val="center"/>
              <w:rPr>
                <w:rFonts w:eastAsia="Times New Roman"/>
                <w:noProof/>
                <w:sz w:val="22"/>
              </w:rPr>
            </w:pPr>
            <w:r>
              <w:rPr>
                <w:noProof/>
                <w:sz w:val="22"/>
              </w:rPr>
              <w:t>Intézkedés</w:t>
            </w:r>
          </w:p>
        </w:tc>
        <w:tc>
          <w:tcPr>
            <w:tcW w:w="1548" w:type="dxa"/>
            <w:shd w:val="clear" w:color="auto" w:fill="auto"/>
            <w:vAlign w:val="center"/>
          </w:tcPr>
          <w:p w:rsidR="000E1B77" w:rsidRDefault="00294BD2">
            <w:pPr>
              <w:spacing w:before="60" w:after="60"/>
              <w:jc w:val="center"/>
              <w:rPr>
                <w:rFonts w:eastAsia="Times New Roman"/>
                <w:noProof/>
                <w:sz w:val="22"/>
              </w:rPr>
            </w:pPr>
            <w:r>
              <w:rPr>
                <w:noProof/>
                <w:sz w:val="22"/>
              </w:rPr>
              <w:t>A résztvevők becsült száma</w:t>
            </w:r>
          </w:p>
        </w:tc>
        <w:tc>
          <w:tcPr>
            <w:tcW w:w="1548" w:type="dxa"/>
            <w:shd w:val="clear" w:color="auto" w:fill="auto"/>
            <w:vAlign w:val="center"/>
          </w:tcPr>
          <w:p w:rsidR="000E1B77" w:rsidRDefault="00294BD2">
            <w:pPr>
              <w:spacing w:before="60" w:after="60"/>
              <w:jc w:val="center"/>
              <w:rPr>
                <w:rFonts w:eastAsia="Times New Roman"/>
                <w:noProof/>
                <w:sz w:val="22"/>
              </w:rPr>
            </w:pPr>
            <w:r>
              <w:rPr>
                <w:noProof/>
                <w:sz w:val="22"/>
              </w:rPr>
              <w:t>Egy résztvevőre eső becsült költség</w:t>
            </w:r>
            <w:r>
              <w:rPr>
                <w:rFonts w:eastAsia="Times New Roman"/>
                <w:noProof/>
                <w:sz w:val="22"/>
              </w:rPr>
              <w:br/>
            </w:r>
            <w:r>
              <w:rPr>
                <w:i/>
                <w:noProof/>
                <w:sz w:val="22"/>
              </w:rPr>
              <w:t>(EUR)</w:t>
            </w:r>
          </w:p>
        </w:tc>
        <w:tc>
          <w:tcPr>
            <w:tcW w:w="1548" w:type="dxa"/>
            <w:shd w:val="clear" w:color="auto" w:fill="auto"/>
            <w:vAlign w:val="center"/>
          </w:tcPr>
          <w:p w:rsidR="000E1B77" w:rsidRDefault="00294BD2">
            <w:pPr>
              <w:spacing w:before="60" w:after="60"/>
              <w:jc w:val="center"/>
              <w:rPr>
                <w:rFonts w:eastAsia="Times New Roman"/>
                <w:noProof/>
                <w:sz w:val="22"/>
              </w:rPr>
            </w:pPr>
            <w:r>
              <w:rPr>
                <w:noProof/>
                <w:sz w:val="22"/>
              </w:rPr>
              <w:t>Becsült összköltség</w:t>
            </w:r>
          </w:p>
          <w:p w:rsidR="000E1B77" w:rsidRDefault="00294BD2">
            <w:pPr>
              <w:spacing w:before="60" w:after="60"/>
              <w:jc w:val="center"/>
              <w:rPr>
                <w:rFonts w:eastAsia="Times New Roman"/>
                <w:noProof/>
                <w:sz w:val="22"/>
              </w:rPr>
            </w:pPr>
            <w:r>
              <w:rPr>
                <w:i/>
                <w:noProof/>
                <w:sz w:val="22"/>
              </w:rPr>
              <w:t>(EUR)</w:t>
            </w:r>
            <w:r>
              <w:rPr>
                <w:rStyle w:val="FootnoteReference"/>
                <w:i/>
                <w:noProof/>
                <w:sz w:val="22"/>
              </w:rPr>
              <w:footnoteReference w:id="17"/>
            </w:r>
            <w:r>
              <w:rPr>
                <w:i/>
                <w:noProof/>
                <w:sz w:val="22"/>
              </w:rPr>
              <w:t xml:space="preserve"> </w:t>
            </w:r>
          </w:p>
        </w:tc>
      </w:tr>
      <w:tr w:rsidR="000E1B77">
        <w:tc>
          <w:tcPr>
            <w:tcW w:w="9287" w:type="dxa"/>
            <w:gridSpan w:val="4"/>
            <w:shd w:val="clear" w:color="auto" w:fill="auto"/>
          </w:tcPr>
          <w:p w:rsidR="000E1B77" w:rsidRDefault="00294BD2">
            <w:pPr>
              <w:spacing w:before="60" w:after="60"/>
              <w:jc w:val="left"/>
              <w:rPr>
                <w:rFonts w:eastAsia="Times New Roman"/>
                <w:noProof/>
                <w:sz w:val="22"/>
              </w:rPr>
            </w:pPr>
            <w:r>
              <w:rPr>
                <w:noProof/>
                <w:sz w:val="22"/>
              </w:rPr>
              <w:t>Személyre szabott szolgáltatások (az EGAA-rendelet 7. cikke (1) bekezdésének a) és c) pontja szerinti tevékenységek).</w:t>
            </w:r>
          </w:p>
        </w:tc>
      </w:tr>
      <w:tr w:rsidR="000E1B77">
        <w:trPr>
          <w:trHeight w:val="802"/>
        </w:trPr>
        <w:tc>
          <w:tcPr>
            <w:tcW w:w="4643" w:type="dxa"/>
            <w:tcBorders>
              <w:top w:val="single" w:sz="4" w:space="0" w:color="auto"/>
              <w:left w:val="nil"/>
              <w:bottom w:val="single" w:sz="4" w:space="0" w:color="auto"/>
              <w:right w:val="single" w:sz="4" w:space="0" w:color="auto"/>
            </w:tcBorders>
            <w:vAlign w:val="center"/>
            <w:hideMark/>
          </w:tcPr>
          <w:p w:rsidR="000E1B77" w:rsidRDefault="00294BD2">
            <w:pPr>
              <w:spacing w:before="60" w:after="60"/>
              <w:jc w:val="left"/>
              <w:rPr>
                <w:noProof/>
              </w:rPr>
            </w:pPr>
            <w:r>
              <w:rPr>
                <w:noProof/>
              </w:rPr>
              <w:t>Coaching és felkészítő intézkedések (</w:t>
            </w:r>
            <w:r>
              <w:rPr>
                <w:i/>
                <w:noProof/>
              </w:rPr>
              <w:t>Reconversion: accompagnement/orientation/insertion</w:t>
            </w:r>
            <w:r>
              <w:rPr>
                <w:noProof/>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0E1B77" w:rsidRDefault="00294BD2">
            <w:pPr>
              <w:spacing w:before="60" w:after="60"/>
              <w:jc w:val="center"/>
              <w:rPr>
                <w:noProof/>
              </w:rPr>
            </w:pPr>
            <w:r>
              <w:rPr>
                <w:noProof/>
              </w:rPr>
              <w:t>2 587</w:t>
            </w:r>
          </w:p>
        </w:tc>
        <w:tc>
          <w:tcPr>
            <w:tcW w:w="1548" w:type="dxa"/>
            <w:tcBorders>
              <w:top w:val="single" w:sz="4" w:space="0" w:color="auto"/>
              <w:left w:val="single" w:sz="4" w:space="0" w:color="auto"/>
              <w:bottom w:val="single" w:sz="4" w:space="0" w:color="auto"/>
              <w:right w:val="single" w:sz="4" w:space="0" w:color="auto"/>
            </w:tcBorders>
            <w:vAlign w:val="center"/>
            <w:hideMark/>
          </w:tcPr>
          <w:p w:rsidR="000E1B77" w:rsidRDefault="00294BD2">
            <w:pPr>
              <w:spacing w:before="60" w:after="60"/>
              <w:jc w:val="center"/>
              <w:rPr>
                <w:noProof/>
              </w:rPr>
            </w:pPr>
            <w:r>
              <w:rPr>
                <w:noProof/>
              </w:rPr>
              <w:t>1 852</w:t>
            </w:r>
          </w:p>
        </w:tc>
        <w:tc>
          <w:tcPr>
            <w:tcW w:w="1548" w:type="dxa"/>
            <w:tcBorders>
              <w:top w:val="single" w:sz="4" w:space="0" w:color="auto"/>
              <w:left w:val="single" w:sz="4" w:space="0" w:color="auto"/>
              <w:bottom w:val="single" w:sz="4" w:space="0" w:color="auto"/>
              <w:right w:val="nil"/>
            </w:tcBorders>
            <w:vAlign w:val="center"/>
            <w:hideMark/>
          </w:tcPr>
          <w:p w:rsidR="000E1B77" w:rsidRDefault="00294BD2">
            <w:pPr>
              <w:spacing w:before="60" w:after="60"/>
              <w:jc w:val="center"/>
              <w:rPr>
                <w:noProof/>
              </w:rPr>
            </w:pPr>
            <w:r>
              <w:rPr>
                <w:noProof/>
              </w:rPr>
              <w:t>4 790 323</w:t>
            </w:r>
          </w:p>
        </w:tc>
      </w:tr>
      <w:tr w:rsidR="000E1B77">
        <w:trPr>
          <w:trHeight w:val="802"/>
        </w:trPr>
        <w:tc>
          <w:tcPr>
            <w:tcW w:w="4643" w:type="dxa"/>
            <w:tcBorders>
              <w:top w:val="single" w:sz="4" w:space="0" w:color="auto"/>
              <w:left w:val="nil"/>
              <w:bottom w:val="single" w:sz="4" w:space="0" w:color="auto"/>
              <w:right w:val="single" w:sz="4" w:space="0" w:color="auto"/>
            </w:tcBorders>
            <w:vAlign w:val="center"/>
            <w:hideMark/>
          </w:tcPr>
          <w:p w:rsidR="000E1B77" w:rsidRDefault="00294BD2">
            <w:pPr>
              <w:spacing w:before="60" w:after="60"/>
              <w:jc w:val="left"/>
              <w:rPr>
                <w:noProof/>
              </w:rPr>
            </w:pPr>
            <w:r>
              <w:rPr>
                <w:noProof/>
              </w:rPr>
              <w:t>Képzés és átképzés</w:t>
            </w:r>
          </w:p>
          <w:p w:rsidR="000E1B77" w:rsidRDefault="00294BD2">
            <w:pPr>
              <w:spacing w:before="60" w:after="60"/>
              <w:jc w:val="left"/>
              <w:rPr>
                <w:noProof/>
              </w:rPr>
            </w:pPr>
            <w:r>
              <w:rPr>
                <w:noProof/>
              </w:rPr>
              <w:t>(</w:t>
            </w:r>
            <w:r>
              <w:rPr>
                <w:i/>
                <w:noProof/>
              </w:rPr>
              <w:t>Formations spécifiques</w:t>
            </w:r>
            <w:r>
              <w:rPr>
                <w:noProof/>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0E1B77" w:rsidRDefault="00294BD2">
            <w:pPr>
              <w:spacing w:before="60" w:after="60"/>
              <w:jc w:val="center"/>
              <w:rPr>
                <w:noProof/>
              </w:rPr>
            </w:pPr>
            <w:r>
              <w:rPr>
                <w:noProof/>
              </w:rPr>
              <w:t>1 050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0E1B77" w:rsidRDefault="00294BD2">
            <w:pPr>
              <w:spacing w:before="60" w:after="60"/>
              <w:jc w:val="center"/>
              <w:rPr>
                <w:noProof/>
              </w:rPr>
            </w:pPr>
            <w:r>
              <w:rPr>
                <w:noProof/>
              </w:rPr>
              <w:t>841</w:t>
            </w:r>
          </w:p>
        </w:tc>
        <w:tc>
          <w:tcPr>
            <w:tcW w:w="1548" w:type="dxa"/>
            <w:tcBorders>
              <w:top w:val="single" w:sz="4" w:space="0" w:color="auto"/>
              <w:left w:val="single" w:sz="4" w:space="0" w:color="auto"/>
              <w:bottom w:val="single" w:sz="4" w:space="0" w:color="auto"/>
              <w:right w:val="nil"/>
            </w:tcBorders>
            <w:vAlign w:val="center"/>
            <w:hideMark/>
          </w:tcPr>
          <w:p w:rsidR="000E1B77" w:rsidRDefault="00294BD2">
            <w:pPr>
              <w:spacing w:before="60" w:after="60"/>
              <w:jc w:val="center"/>
              <w:rPr>
                <w:noProof/>
              </w:rPr>
            </w:pPr>
            <w:r>
              <w:rPr>
                <w:noProof/>
              </w:rPr>
              <w:t>883 265</w:t>
            </w:r>
          </w:p>
        </w:tc>
      </w:tr>
      <w:tr w:rsidR="000E1B77">
        <w:trPr>
          <w:trHeight w:val="802"/>
        </w:trPr>
        <w:tc>
          <w:tcPr>
            <w:tcW w:w="4643" w:type="dxa"/>
            <w:tcBorders>
              <w:top w:val="single" w:sz="4" w:space="0" w:color="auto"/>
              <w:left w:val="nil"/>
              <w:bottom w:val="single" w:sz="4" w:space="0" w:color="auto"/>
              <w:right w:val="single" w:sz="4" w:space="0" w:color="auto"/>
            </w:tcBorders>
            <w:vAlign w:val="center"/>
            <w:hideMark/>
          </w:tcPr>
          <w:p w:rsidR="000E1B77" w:rsidRDefault="00294BD2">
            <w:pPr>
              <w:spacing w:before="60" w:after="60"/>
              <w:jc w:val="left"/>
              <w:rPr>
                <w:noProof/>
              </w:rPr>
            </w:pPr>
            <w:r>
              <w:rPr>
                <w:noProof/>
              </w:rPr>
              <w:t>Vállalkozásösztönzés</w:t>
            </w:r>
          </w:p>
          <w:p w:rsidR="000E1B77" w:rsidRDefault="00294BD2">
            <w:pPr>
              <w:spacing w:before="60" w:after="60"/>
              <w:jc w:val="left"/>
              <w:rPr>
                <w:i/>
                <w:noProof/>
              </w:rPr>
            </w:pPr>
            <w:r>
              <w:rPr>
                <w:noProof/>
              </w:rPr>
              <w:t>(</w:t>
            </w:r>
            <w:r>
              <w:rPr>
                <w:i/>
                <w:noProof/>
              </w:rPr>
              <w:t>Dispositif d'accompagnement à l'entreprenariat)</w:t>
            </w:r>
          </w:p>
        </w:tc>
        <w:tc>
          <w:tcPr>
            <w:tcW w:w="1548" w:type="dxa"/>
            <w:tcBorders>
              <w:top w:val="single" w:sz="4" w:space="0" w:color="auto"/>
              <w:left w:val="single" w:sz="4" w:space="0" w:color="auto"/>
              <w:bottom w:val="single" w:sz="4" w:space="0" w:color="auto"/>
              <w:right w:val="single" w:sz="4" w:space="0" w:color="auto"/>
            </w:tcBorders>
            <w:vAlign w:val="center"/>
            <w:hideMark/>
          </w:tcPr>
          <w:p w:rsidR="000E1B77" w:rsidRDefault="00294BD2">
            <w:pPr>
              <w:spacing w:before="60" w:after="60"/>
              <w:jc w:val="center"/>
              <w:rPr>
                <w:noProof/>
                <w:szCs w:val="24"/>
              </w:rPr>
            </w:pPr>
            <w:r>
              <w:rPr>
                <w:noProof/>
              </w:rPr>
              <w:t>250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0E1B77" w:rsidRDefault="00294BD2">
            <w:pPr>
              <w:spacing w:before="60" w:after="60"/>
              <w:jc w:val="center"/>
              <w:rPr>
                <w:noProof/>
                <w:szCs w:val="24"/>
              </w:rPr>
            </w:pPr>
            <w:r>
              <w:rPr>
                <w:noProof/>
              </w:rPr>
              <w:t>463</w:t>
            </w:r>
          </w:p>
        </w:tc>
        <w:tc>
          <w:tcPr>
            <w:tcW w:w="1548" w:type="dxa"/>
            <w:tcBorders>
              <w:top w:val="single" w:sz="4" w:space="0" w:color="auto"/>
              <w:left w:val="single" w:sz="4" w:space="0" w:color="auto"/>
              <w:bottom w:val="single" w:sz="4" w:space="0" w:color="auto"/>
              <w:right w:val="nil"/>
            </w:tcBorders>
            <w:vAlign w:val="center"/>
            <w:hideMark/>
          </w:tcPr>
          <w:p w:rsidR="000E1B77" w:rsidRDefault="00294BD2">
            <w:pPr>
              <w:spacing w:before="60" w:after="60"/>
              <w:jc w:val="center"/>
              <w:rPr>
                <w:noProof/>
                <w:szCs w:val="24"/>
              </w:rPr>
            </w:pPr>
            <w:r>
              <w:rPr>
                <w:noProof/>
              </w:rPr>
              <w:t>115 743</w:t>
            </w:r>
          </w:p>
        </w:tc>
      </w:tr>
      <w:tr w:rsidR="000E1B77">
        <w:trPr>
          <w:trHeight w:val="802"/>
        </w:trPr>
        <w:tc>
          <w:tcPr>
            <w:tcW w:w="4643" w:type="dxa"/>
            <w:tcBorders>
              <w:top w:val="single" w:sz="4" w:space="0" w:color="auto"/>
              <w:left w:val="nil"/>
              <w:bottom w:val="single" w:sz="4" w:space="0" w:color="auto"/>
              <w:right w:val="single" w:sz="4" w:space="0" w:color="auto"/>
            </w:tcBorders>
            <w:vAlign w:val="center"/>
            <w:hideMark/>
          </w:tcPr>
          <w:p w:rsidR="000E1B77" w:rsidRDefault="00294BD2">
            <w:pPr>
              <w:spacing w:before="60" w:after="60"/>
              <w:jc w:val="left"/>
              <w:rPr>
                <w:noProof/>
              </w:rPr>
            </w:pPr>
            <w:r>
              <w:rPr>
                <w:noProof/>
              </w:rPr>
              <w:t>Vállalkozásindítási támogatás</w:t>
            </w:r>
          </w:p>
          <w:p w:rsidR="000E1B77" w:rsidRDefault="00294BD2">
            <w:pPr>
              <w:spacing w:before="60" w:after="60"/>
              <w:jc w:val="left"/>
              <w:rPr>
                <w:noProof/>
              </w:rPr>
            </w:pPr>
            <w:r>
              <w:rPr>
                <w:noProof/>
              </w:rPr>
              <w:t>(</w:t>
            </w:r>
            <w:r>
              <w:rPr>
                <w:i/>
                <w:noProof/>
              </w:rPr>
              <w:t>Bourse de lancement</w:t>
            </w:r>
            <w:r>
              <w:rPr>
                <w:noProof/>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0E1B77" w:rsidRDefault="00294BD2">
            <w:pPr>
              <w:spacing w:before="60" w:after="60"/>
              <w:jc w:val="center"/>
              <w:rPr>
                <w:noProof/>
              </w:rPr>
            </w:pPr>
            <w:r>
              <w:rPr>
                <w:noProof/>
              </w:rPr>
              <w:t>75</w:t>
            </w:r>
          </w:p>
        </w:tc>
        <w:tc>
          <w:tcPr>
            <w:tcW w:w="1548" w:type="dxa"/>
            <w:tcBorders>
              <w:top w:val="single" w:sz="4" w:space="0" w:color="auto"/>
              <w:left w:val="single" w:sz="4" w:space="0" w:color="auto"/>
              <w:bottom w:val="single" w:sz="4" w:space="0" w:color="auto"/>
              <w:right w:val="single" w:sz="4" w:space="0" w:color="auto"/>
            </w:tcBorders>
            <w:vAlign w:val="center"/>
            <w:hideMark/>
          </w:tcPr>
          <w:p w:rsidR="000E1B77" w:rsidRDefault="00294BD2">
            <w:pPr>
              <w:spacing w:before="60" w:after="60"/>
              <w:jc w:val="center"/>
              <w:rPr>
                <w:noProof/>
                <w:szCs w:val="24"/>
              </w:rPr>
            </w:pPr>
            <w:r>
              <w:rPr>
                <w:noProof/>
              </w:rPr>
              <w:t>10 000</w:t>
            </w:r>
          </w:p>
        </w:tc>
        <w:tc>
          <w:tcPr>
            <w:tcW w:w="1548" w:type="dxa"/>
            <w:tcBorders>
              <w:top w:val="single" w:sz="4" w:space="0" w:color="auto"/>
              <w:left w:val="single" w:sz="4" w:space="0" w:color="auto"/>
              <w:bottom w:val="single" w:sz="4" w:space="0" w:color="auto"/>
              <w:right w:val="nil"/>
            </w:tcBorders>
            <w:vAlign w:val="center"/>
            <w:hideMark/>
          </w:tcPr>
          <w:p w:rsidR="000E1B77" w:rsidRDefault="00294BD2">
            <w:pPr>
              <w:spacing w:before="60" w:after="60"/>
              <w:jc w:val="center"/>
              <w:rPr>
                <w:noProof/>
              </w:rPr>
            </w:pPr>
            <w:r>
              <w:rPr>
                <w:noProof/>
              </w:rPr>
              <w:t>750 000</w:t>
            </w:r>
          </w:p>
        </w:tc>
      </w:tr>
      <w:tr w:rsidR="000E1B77">
        <w:trPr>
          <w:trHeight w:val="398"/>
        </w:trPr>
        <w:tc>
          <w:tcPr>
            <w:tcW w:w="4643" w:type="dxa"/>
            <w:vMerge w:val="restart"/>
            <w:shd w:val="clear" w:color="auto" w:fill="auto"/>
            <w:vAlign w:val="center"/>
          </w:tcPr>
          <w:p w:rsidR="000E1B77" w:rsidRDefault="00294BD2">
            <w:pPr>
              <w:spacing w:before="60" w:after="60"/>
              <w:jc w:val="right"/>
              <w:rPr>
                <w:rFonts w:eastAsia="Times New Roman"/>
                <w:noProof/>
                <w:sz w:val="22"/>
              </w:rPr>
            </w:pPr>
            <w:r>
              <w:rPr>
                <w:noProof/>
                <w:sz w:val="22"/>
              </w:rPr>
              <w:t>Részösszeg a):</w:t>
            </w:r>
          </w:p>
          <w:p w:rsidR="000E1B77" w:rsidRDefault="00294BD2">
            <w:pPr>
              <w:spacing w:before="60" w:after="60"/>
              <w:jc w:val="right"/>
              <w:rPr>
                <w:rFonts w:eastAsia="Times New Roman"/>
                <w:noProof/>
                <w:sz w:val="22"/>
              </w:rPr>
            </w:pPr>
            <w:r>
              <w:rPr>
                <w:noProof/>
                <w:sz w:val="22"/>
              </w:rPr>
              <w:t xml:space="preserve">A személyre szabott szolgáltatáscsomag százalékaránya </w:t>
            </w:r>
          </w:p>
        </w:tc>
        <w:tc>
          <w:tcPr>
            <w:tcW w:w="3096" w:type="dxa"/>
            <w:gridSpan w:val="2"/>
            <w:vMerge w:val="restart"/>
            <w:shd w:val="clear" w:color="auto" w:fill="D9D9D9"/>
            <w:vAlign w:val="center"/>
          </w:tcPr>
          <w:p w:rsidR="000E1B77" w:rsidRDefault="00294BD2">
            <w:pPr>
              <w:spacing w:before="60" w:after="60"/>
              <w:jc w:val="center"/>
              <w:rPr>
                <w:rFonts w:eastAsia="Times New Roman"/>
                <w:noProof/>
                <w:sz w:val="22"/>
              </w:rPr>
            </w:pPr>
            <w:r>
              <w:rPr>
                <w:noProof/>
                <w:sz w:val="22"/>
              </w:rPr>
              <w:t>–</w:t>
            </w:r>
          </w:p>
        </w:tc>
        <w:tc>
          <w:tcPr>
            <w:tcW w:w="1548" w:type="dxa"/>
            <w:tcBorders>
              <w:bottom w:val="nil"/>
            </w:tcBorders>
            <w:shd w:val="clear" w:color="auto" w:fill="auto"/>
            <w:vAlign w:val="center"/>
          </w:tcPr>
          <w:p w:rsidR="000E1B77" w:rsidRDefault="00294BD2">
            <w:pPr>
              <w:spacing w:before="60" w:after="60"/>
              <w:jc w:val="center"/>
              <w:rPr>
                <w:rFonts w:eastAsia="Times New Roman"/>
                <w:noProof/>
                <w:sz w:val="22"/>
              </w:rPr>
            </w:pPr>
            <w:r>
              <w:rPr>
                <w:noProof/>
              </w:rPr>
              <w:t>6 539 331</w:t>
            </w:r>
          </w:p>
        </w:tc>
      </w:tr>
      <w:tr w:rsidR="000E1B77">
        <w:trPr>
          <w:trHeight w:val="397"/>
        </w:trPr>
        <w:tc>
          <w:tcPr>
            <w:tcW w:w="4643" w:type="dxa"/>
            <w:vMerge/>
            <w:shd w:val="clear" w:color="auto" w:fill="auto"/>
            <w:vAlign w:val="center"/>
          </w:tcPr>
          <w:p w:rsidR="000E1B77" w:rsidRDefault="000E1B77">
            <w:pPr>
              <w:spacing w:before="60" w:after="60"/>
              <w:jc w:val="right"/>
              <w:rPr>
                <w:rFonts w:eastAsia="Times New Roman"/>
                <w:noProof/>
                <w:sz w:val="22"/>
              </w:rPr>
            </w:pPr>
          </w:p>
        </w:tc>
        <w:tc>
          <w:tcPr>
            <w:tcW w:w="3096" w:type="dxa"/>
            <w:gridSpan w:val="2"/>
            <w:vMerge/>
            <w:shd w:val="clear" w:color="auto" w:fill="D9D9D9"/>
            <w:vAlign w:val="center"/>
          </w:tcPr>
          <w:p w:rsidR="000E1B77" w:rsidRDefault="000E1B77">
            <w:pPr>
              <w:spacing w:before="60" w:after="60"/>
              <w:jc w:val="center"/>
              <w:rPr>
                <w:rFonts w:eastAsia="Times New Roman"/>
                <w:noProof/>
                <w:sz w:val="22"/>
              </w:rPr>
            </w:pPr>
          </w:p>
        </w:tc>
        <w:tc>
          <w:tcPr>
            <w:tcW w:w="1548" w:type="dxa"/>
            <w:tcBorders>
              <w:top w:val="nil"/>
            </w:tcBorders>
            <w:shd w:val="clear" w:color="auto" w:fill="auto"/>
            <w:vAlign w:val="center"/>
          </w:tcPr>
          <w:p w:rsidR="000E1B77" w:rsidRDefault="00294BD2">
            <w:pPr>
              <w:spacing w:before="60" w:after="60"/>
              <w:jc w:val="center"/>
              <w:rPr>
                <w:rFonts w:eastAsia="Times New Roman"/>
                <w:noProof/>
                <w:sz w:val="22"/>
              </w:rPr>
            </w:pPr>
            <w:r>
              <w:rPr>
                <w:noProof/>
                <w:sz w:val="22"/>
              </w:rPr>
              <w:t>(86,32</w:t>
            </w:r>
            <w:r>
              <w:rPr>
                <w:noProof/>
              </w:rPr>
              <w:t> </w:t>
            </w:r>
            <w:r>
              <w:rPr>
                <w:noProof/>
                <w:sz w:val="22"/>
              </w:rPr>
              <w:t>%)</w:t>
            </w:r>
          </w:p>
        </w:tc>
      </w:tr>
      <w:tr w:rsidR="000E1B77">
        <w:tc>
          <w:tcPr>
            <w:tcW w:w="9287" w:type="dxa"/>
            <w:gridSpan w:val="4"/>
            <w:shd w:val="clear" w:color="auto" w:fill="auto"/>
            <w:vAlign w:val="center"/>
          </w:tcPr>
          <w:p w:rsidR="000E1B77" w:rsidRDefault="00294BD2">
            <w:pPr>
              <w:spacing w:before="60" w:after="60"/>
              <w:jc w:val="left"/>
              <w:rPr>
                <w:noProof/>
                <w:sz w:val="22"/>
              </w:rPr>
            </w:pPr>
            <w:r>
              <w:rPr>
                <w:noProof/>
                <w:sz w:val="22"/>
              </w:rPr>
              <w:t>Juttatások és ösztönzők (az EGAA-rendelet 7. cikke (1) bekezdésének b) pontja szerinti intézkedések)</w:t>
            </w:r>
          </w:p>
        </w:tc>
      </w:tr>
      <w:tr w:rsidR="000E1B77">
        <w:trPr>
          <w:trHeight w:val="802"/>
        </w:trPr>
        <w:tc>
          <w:tcPr>
            <w:tcW w:w="4643" w:type="dxa"/>
            <w:tcBorders>
              <w:top w:val="single" w:sz="4" w:space="0" w:color="auto"/>
              <w:left w:val="nil"/>
              <w:bottom w:val="single" w:sz="4" w:space="0" w:color="auto"/>
              <w:right w:val="single" w:sz="4" w:space="0" w:color="auto"/>
            </w:tcBorders>
            <w:vAlign w:val="center"/>
            <w:hideMark/>
          </w:tcPr>
          <w:p w:rsidR="000E1B77" w:rsidRDefault="00294BD2">
            <w:pPr>
              <w:spacing w:before="60" w:after="60"/>
              <w:jc w:val="left"/>
              <w:rPr>
                <w:noProof/>
              </w:rPr>
            </w:pPr>
            <w:r>
              <w:rPr>
                <w:noProof/>
              </w:rPr>
              <w:t xml:space="preserve">Képzéshez, mobilitáshoz, az oktatásba való visszatéréshez, a </w:t>
            </w:r>
            <w:r>
              <w:rPr>
                <w:noProof/>
              </w:rPr>
              <w:t>munkakereséshez és a vállalkozásindításhoz nyújtott támogatások</w:t>
            </w:r>
          </w:p>
          <w:p w:rsidR="000E1B77" w:rsidRDefault="00294BD2">
            <w:pPr>
              <w:spacing w:before="60" w:after="60"/>
              <w:jc w:val="left"/>
              <w:rPr>
                <w:noProof/>
              </w:rPr>
            </w:pPr>
            <w:r>
              <w:rPr>
                <w:i/>
                <w:noProof/>
              </w:rPr>
              <w:t>(formation, prime à l'emploi distant, reprise d'étude, recherche d'emploi et création d'activité)</w:t>
            </w:r>
          </w:p>
        </w:tc>
        <w:tc>
          <w:tcPr>
            <w:tcW w:w="1548" w:type="dxa"/>
            <w:tcBorders>
              <w:top w:val="single" w:sz="4" w:space="0" w:color="auto"/>
              <w:left w:val="single" w:sz="4" w:space="0" w:color="auto"/>
              <w:bottom w:val="single" w:sz="4" w:space="0" w:color="auto"/>
              <w:right w:val="single" w:sz="4" w:space="0" w:color="auto"/>
            </w:tcBorders>
            <w:vAlign w:val="center"/>
            <w:hideMark/>
          </w:tcPr>
          <w:p w:rsidR="000E1B77" w:rsidRDefault="00294BD2">
            <w:pPr>
              <w:spacing w:before="60" w:after="60"/>
              <w:jc w:val="center"/>
              <w:rPr>
                <w:noProof/>
              </w:rPr>
            </w:pPr>
            <w:r>
              <w:rPr>
                <w:noProof/>
              </w:rPr>
              <w:t>2 587</w:t>
            </w:r>
          </w:p>
        </w:tc>
        <w:tc>
          <w:tcPr>
            <w:tcW w:w="1548" w:type="dxa"/>
            <w:tcBorders>
              <w:top w:val="single" w:sz="4" w:space="0" w:color="auto"/>
              <w:left w:val="single" w:sz="4" w:space="0" w:color="auto"/>
              <w:bottom w:val="single" w:sz="4" w:space="0" w:color="auto"/>
              <w:right w:val="single" w:sz="4" w:space="0" w:color="auto"/>
            </w:tcBorders>
            <w:vAlign w:val="center"/>
            <w:hideMark/>
          </w:tcPr>
          <w:p w:rsidR="000E1B77" w:rsidRDefault="00294BD2">
            <w:pPr>
              <w:spacing w:before="60" w:after="60"/>
              <w:jc w:val="center"/>
              <w:rPr>
                <w:noProof/>
              </w:rPr>
            </w:pPr>
            <w:r>
              <w:rPr>
                <w:noProof/>
              </w:rPr>
              <w:t>400</w:t>
            </w:r>
          </w:p>
        </w:tc>
        <w:tc>
          <w:tcPr>
            <w:tcW w:w="1548" w:type="dxa"/>
            <w:tcBorders>
              <w:top w:val="single" w:sz="4" w:space="0" w:color="auto"/>
              <w:left w:val="single" w:sz="4" w:space="0" w:color="auto"/>
              <w:bottom w:val="single" w:sz="4" w:space="0" w:color="auto"/>
              <w:right w:val="nil"/>
            </w:tcBorders>
            <w:vAlign w:val="center"/>
            <w:hideMark/>
          </w:tcPr>
          <w:p w:rsidR="000E1B77" w:rsidRDefault="00294BD2">
            <w:pPr>
              <w:spacing w:before="60" w:after="60"/>
              <w:jc w:val="center"/>
              <w:rPr>
                <w:noProof/>
              </w:rPr>
            </w:pPr>
            <w:r>
              <w:rPr>
                <w:noProof/>
              </w:rPr>
              <w:t>1 035 963</w:t>
            </w:r>
          </w:p>
        </w:tc>
      </w:tr>
      <w:tr w:rsidR="000E1B77">
        <w:trPr>
          <w:trHeight w:val="203"/>
        </w:trPr>
        <w:tc>
          <w:tcPr>
            <w:tcW w:w="4643" w:type="dxa"/>
            <w:vMerge w:val="restart"/>
            <w:shd w:val="clear" w:color="auto" w:fill="auto"/>
            <w:vAlign w:val="center"/>
          </w:tcPr>
          <w:p w:rsidR="000E1B77" w:rsidRDefault="00294BD2">
            <w:pPr>
              <w:spacing w:before="60" w:after="60"/>
              <w:jc w:val="right"/>
              <w:rPr>
                <w:rFonts w:eastAsia="Times New Roman"/>
                <w:noProof/>
                <w:sz w:val="22"/>
              </w:rPr>
            </w:pPr>
            <w:r>
              <w:rPr>
                <w:noProof/>
                <w:sz w:val="22"/>
              </w:rPr>
              <w:t>Részösszeg b):</w:t>
            </w:r>
          </w:p>
          <w:p w:rsidR="000E1B77" w:rsidRDefault="00294BD2">
            <w:pPr>
              <w:spacing w:before="60" w:after="60"/>
              <w:jc w:val="right"/>
              <w:rPr>
                <w:rFonts w:eastAsia="Times New Roman"/>
                <w:noProof/>
                <w:sz w:val="22"/>
              </w:rPr>
            </w:pPr>
            <w:r>
              <w:rPr>
                <w:noProof/>
                <w:sz w:val="22"/>
              </w:rPr>
              <w:t>A személyre szabott szolgáltatáscsomag százalékaránya:</w:t>
            </w:r>
          </w:p>
        </w:tc>
        <w:tc>
          <w:tcPr>
            <w:tcW w:w="3096" w:type="dxa"/>
            <w:gridSpan w:val="2"/>
            <w:vMerge w:val="restart"/>
            <w:shd w:val="clear" w:color="auto" w:fill="D9D9D9"/>
            <w:vAlign w:val="center"/>
          </w:tcPr>
          <w:p w:rsidR="000E1B77" w:rsidRDefault="00294BD2">
            <w:pPr>
              <w:spacing w:before="60" w:after="60"/>
              <w:jc w:val="center"/>
              <w:rPr>
                <w:rFonts w:eastAsia="Times New Roman"/>
                <w:noProof/>
                <w:sz w:val="22"/>
              </w:rPr>
            </w:pPr>
            <w:r>
              <w:rPr>
                <w:noProof/>
                <w:sz w:val="22"/>
              </w:rPr>
              <w:t>–</w:t>
            </w:r>
          </w:p>
        </w:tc>
        <w:tc>
          <w:tcPr>
            <w:tcW w:w="1548" w:type="dxa"/>
            <w:tcBorders>
              <w:bottom w:val="nil"/>
            </w:tcBorders>
            <w:shd w:val="clear" w:color="auto" w:fill="auto"/>
            <w:vAlign w:val="center"/>
          </w:tcPr>
          <w:p w:rsidR="000E1B77" w:rsidRDefault="00294BD2">
            <w:pPr>
              <w:spacing w:before="60" w:after="60"/>
              <w:jc w:val="center"/>
              <w:rPr>
                <w:noProof/>
              </w:rPr>
            </w:pPr>
            <w:r>
              <w:rPr>
                <w:noProof/>
              </w:rPr>
              <w:t>1 035 963</w:t>
            </w:r>
          </w:p>
        </w:tc>
      </w:tr>
      <w:tr w:rsidR="000E1B77">
        <w:trPr>
          <w:trHeight w:val="202"/>
        </w:trPr>
        <w:tc>
          <w:tcPr>
            <w:tcW w:w="4643" w:type="dxa"/>
            <w:vMerge/>
            <w:shd w:val="clear" w:color="auto" w:fill="auto"/>
            <w:vAlign w:val="center"/>
          </w:tcPr>
          <w:p w:rsidR="000E1B77" w:rsidRDefault="000E1B77">
            <w:pPr>
              <w:spacing w:before="60" w:after="60"/>
              <w:jc w:val="right"/>
              <w:rPr>
                <w:rFonts w:eastAsia="Times New Roman"/>
                <w:noProof/>
                <w:sz w:val="22"/>
              </w:rPr>
            </w:pPr>
          </w:p>
        </w:tc>
        <w:tc>
          <w:tcPr>
            <w:tcW w:w="3096" w:type="dxa"/>
            <w:gridSpan w:val="2"/>
            <w:vMerge/>
            <w:shd w:val="clear" w:color="auto" w:fill="D9D9D9"/>
            <w:vAlign w:val="center"/>
          </w:tcPr>
          <w:p w:rsidR="000E1B77" w:rsidRDefault="000E1B77">
            <w:pPr>
              <w:spacing w:before="60" w:after="60"/>
              <w:jc w:val="center"/>
              <w:rPr>
                <w:rFonts w:eastAsia="Times New Roman"/>
                <w:noProof/>
                <w:sz w:val="22"/>
              </w:rPr>
            </w:pPr>
          </w:p>
        </w:tc>
        <w:tc>
          <w:tcPr>
            <w:tcW w:w="1548" w:type="dxa"/>
            <w:tcBorders>
              <w:top w:val="nil"/>
            </w:tcBorders>
            <w:shd w:val="clear" w:color="auto" w:fill="auto"/>
            <w:vAlign w:val="center"/>
          </w:tcPr>
          <w:p w:rsidR="000E1B77" w:rsidRDefault="00294BD2">
            <w:pPr>
              <w:spacing w:before="60" w:after="60"/>
              <w:jc w:val="center"/>
              <w:rPr>
                <w:rFonts w:eastAsia="Times New Roman"/>
                <w:noProof/>
                <w:sz w:val="22"/>
              </w:rPr>
            </w:pPr>
            <w:r>
              <w:rPr>
                <w:noProof/>
                <w:sz w:val="22"/>
              </w:rPr>
              <w:t>(13,68</w:t>
            </w:r>
            <w:r>
              <w:rPr>
                <w:noProof/>
              </w:rPr>
              <w:t> </w:t>
            </w:r>
            <w:r>
              <w:rPr>
                <w:noProof/>
                <w:sz w:val="22"/>
              </w:rPr>
              <w:t>%)</w:t>
            </w:r>
          </w:p>
        </w:tc>
      </w:tr>
      <w:tr w:rsidR="000E1B77">
        <w:tc>
          <w:tcPr>
            <w:tcW w:w="9287" w:type="dxa"/>
            <w:gridSpan w:val="4"/>
            <w:shd w:val="clear" w:color="auto" w:fill="auto"/>
            <w:vAlign w:val="center"/>
          </w:tcPr>
          <w:p w:rsidR="000E1B77" w:rsidRDefault="00294BD2">
            <w:pPr>
              <w:spacing w:before="60" w:after="60"/>
              <w:jc w:val="left"/>
              <w:rPr>
                <w:rFonts w:eastAsia="Times New Roman"/>
                <w:noProof/>
                <w:sz w:val="22"/>
              </w:rPr>
            </w:pPr>
            <w:r>
              <w:rPr>
                <w:noProof/>
                <w:sz w:val="22"/>
              </w:rPr>
              <w:t xml:space="preserve"> Az EGAA-rendelet 7. cikkének (4) bekezdése szerinti intézkedések</w:t>
            </w:r>
          </w:p>
        </w:tc>
      </w:tr>
      <w:tr w:rsidR="000E1B77">
        <w:tc>
          <w:tcPr>
            <w:tcW w:w="4643" w:type="dxa"/>
            <w:shd w:val="clear" w:color="auto" w:fill="auto"/>
          </w:tcPr>
          <w:p w:rsidR="000E1B77" w:rsidRDefault="00294BD2">
            <w:pPr>
              <w:spacing w:before="60" w:after="60"/>
              <w:ind w:left="284"/>
              <w:jc w:val="left"/>
              <w:rPr>
                <w:rFonts w:eastAsia="Times New Roman"/>
                <w:noProof/>
                <w:sz w:val="22"/>
              </w:rPr>
            </w:pPr>
            <w:r>
              <w:rPr>
                <w:noProof/>
                <w:sz w:val="22"/>
              </w:rPr>
              <w:t>1. Előkészítő tevékenységek</w:t>
            </w:r>
          </w:p>
        </w:tc>
        <w:tc>
          <w:tcPr>
            <w:tcW w:w="3096" w:type="dxa"/>
            <w:gridSpan w:val="2"/>
            <w:shd w:val="clear" w:color="auto" w:fill="D9D9D9"/>
            <w:vAlign w:val="center"/>
          </w:tcPr>
          <w:p w:rsidR="000E1B77" w:rsidRDefault="00294BD2">
            <w:pPr>
              <w:spacing w:before="60" w:after="60"/>
              <w:jc w:val="center"/>
              <w:rPr>
                <w:rFonts w:eastAsia="Times New Roman"/>
                <w:noProof/>
                <w:sz w:val="22"/>
              </w:rPr>
            </w:pPr>
            <w:r>
              <w:rPr>
                <w:noProof/>
                <w:sz w:val="22"/>
              </w:rPr>
              <w:t>–</w:t>
            </w:r>
          </w:p>
        </w:tc>
        <w:tc>
          <w:tcPr>
            <w:tcW w:w="1548" w:type="dxa"/>
            <w:shd w:val="clear" w:color="auto" w:fill="auto"/>
          </w:tcPr>
          <w:p w:rsidR="000E1B77" w:rsidRDefault="00294BD2">
            <w:pPr>
              <w:spacing w:before="60" w:after="60"/>
              <w:jc w:val="center"/>
              <w:rPr>
                <w:rFonts w:eastAsia="Times New Roman"/>
                <w:noProof/>
                <w:sz w:val="22"/>
              </w:rPr>
            </w:pPr>
            <w:r>
              <w:rPr>
                <w:noProof/>
              </w:rPr>
              <w:t>82 000</w:t>
            </w:r>
          </w:p>
        </w:tc>
      </w:tr>
      <w:tr w:rsidR="000E1B77">
        <w:tc>
          <w:tcPr>
            <w:tcW w:w="4643" w:type="dxa"/>
            <w:shd w:val="clear" w:color="auto" w:fill="auto"/>
          </w:tcPr>
          <w:p w:rsidR="000E1B77" w:rsidRDefault="00294BD2">
            <w:pPr>
              <w:spacing w:before="60" w:after="60"/>
              <w:ind w:left="284"/>
              <w:jc w:val="left"/>
              <w:rPr>
                <w:rFonts w:eastAsia="Times New Roman"/>
                <w:noProof/>
                <w:sz w:val="22"/>
              </w:rPr>
            </w:pPr>
            <w:r>
              <w:rPr>
                <w:noProof/>
                <w:sz w:val="22"/>
              </w:rPr>
              <w:t>2. Irányítás</w:t>
            </w:r>
          </w:p>
        </w:tc>
        <w:tc>
          <w:tcPr>
            <w:tcW w:w="3096" w:type="dxa"/>
            <w:gridSpan w:val="2"/>
            <w:shd w:val="clear" w:color="auto" w:fill="D9D9D9"/>
            <w:vAlign w:val="center"/>
          </w:tcPr>
          <w:p w:rsidR="000E1B77" w:rsidRDefault="00294BD2">
            <w:pPr>
              <w:spacing w:before="60" w:after="60"/>
              <w:jc w:val="center"/>
              <w:rPr>
                <w:rFonts w:eastAsia="Times New Roman"/>
                <w:noProof/>
                <w:sz w:val="22"/>
              </w:rPr>
            </w:pPr>
            <w:r>
              <w:rPr>
                <w:noProof/>
                <w:sz w:val="22"/>
              </w:rPr>
              <w:t>–</w:t>
            </w:r>
          </w:p>
        </w:tc>
        <w:tc>
          <w:tcPr>
            <w:tcW w:w="1548" w:type="dxa"/>
            <w:shd w:val="clear" w:color="auto" w:fill="auto"/>
          </w:tcPr>
          <w:p w:rsidR="000E1B77" w:rsidRDefault="00294BD2">
            <w:pPr>
              <w:spacing w:before="60" w:after="60"/>
              <w:jc w:val="center"/>
              <w:rPr>
                <w:noProof/>
              </w:rPr>
            </w:pPr>
            <w:r>
              <w:rPr>
                <w:noProof/>
              </w:rPr>
              <w:t>10 400</w:t>
            </w:r>
          </w:p>
        </w:tc>
      </w:tr>
      <w:tr w:rsidR="000E1B77">
        <w:tc>
          <w:tcPr>
            <w:tcW w:w="4643" w:type="dxa"/>
            <w:shd w:val="clear" w:color="auto" w:fill="auto"/>
          </w:tcPr>
          <w:p w:rsidR="000E1B77" w:rsidRDefault="00294BD2">
            <w:pPr>
              <w:spacing w:before="60" w:after="60"/>
              <w:ind w:left="284"/>
              <w:jc w:val="left"/>
              <w:rPr>
                <w:rFonts w:eastAsia="Times New Roman"/>
                <w:noProof/>
                <w:sz w:val="22"/>
              </w:rPr>
            </w:pPr>
            <w:r>
              <w:rPr>
                <w:noProof/>
                <w:sz w:val="22"/>
              </w:rPr>
              <w:t>3. Tájékoztatás és népszerűsítés</w:t>
            </w:r>
          </w:p>
        </w:tc>
        <w:tc>
          <w:tcPr>
            <w:tcW w:w="3096" w:type="dxa"/>
            <w:gridSpan w:val="2"/>
            <w:shd w:val="clear" w:color="auto" w:fill="D9D9D9"/>
            <w:vAlign w:val="center"/>
          </w:tcPr>
          <w:p w:rsidR="000E1B77" w:rsidRDefault="00294BD2">
            <w:pPr>
              <w:spacing w:before="60" w:after="60"/>
              <w:jc w:val="center"/>
              <w:rPr>
                <w:rFonts w:eastAsia="Times New Roman"/>
                <w:noProof/>
                <w:sz w:val="22"/>
              </w:rPr>
            </w:pPr>
            <w:r>
              <w:rPr>
                <w:noProof/>
                <w:sz w:val="22"/>
              </w:rPr>
              <w:t>–</w:t>
            </w:r>
          </w:p>
        </w:tc>
        <w:tc>
          <w:tcPr>
            <w:tcW w:w="1548" w:type="dxa"/>
            <w:shd w:val="clear" w:color="auto" w:fill="auto"/>
          </w:tcPr>
          <w:p w:rsidR="000E1B77" w:rsidRDefault="00294BD2">
            <w:pPr>
              <w:spacing w:before="60" w:after="60"/>
              <w:jc w:val="center"/>
              <w:rPr>
                <w:noProof/>
              </w:rPr>
            </w:pPr>
            <w:r>
              <w:rPr>
                <w:noProof/>
              </w:rPr>
              <w:t>5 000</w:t>
            </w:r>
          </w:p>
        </w:tc>
      </w:tr>
      <w:tr w:rsidR="000E1B77">
        <w:tc>
          <w:tcPr>
            <w:tcW w:w="4643" w:type="dxa"/>
            <w:shd w:val="clear" w:color="auto" w:fill="auto"/>
          </w:tcPr>
          <w:p w:rsidR="000E1B77" w:rsidRDefault="00294BD2">
            <w:pPr>
              <w:spacing w:before="60" w:after="60"/>
              <w:ind w:left="284"/>
              <w:jc w:val="left"/>
              <w:rPr>
                <w:rFonts w:eastAsia="Times New Roman"/>
                <w:noProof/>
                <w:sz w:val="22"/>
              </w:rPr>
            </w:pPr>
            <w:r>
              <w:rPr>
                <w:noProof/>
                <w:sz w:val="22"/>
              </w:rPr>
              <w:t>4. Ellenőrzés és jelentéstétel</w:t>
            </w:r>
          </w:p>
        </w:tc>
        <w:tc>
          <w:tcPr>
            <w:tcW w:w="3096" w:type="dxa"/>
            <w:gridSpan w:val="2"/>
            <w:shd w:val="clear" w:color="auto" w:fill="D9D9D9"/>
            <w:vAlign w:val="center"/>
          </w:tcPr>
          <w:p w:rsidR="000E1B77" w:rsidRDefault="00294BD2">
            <w:pPr>
              <w:spacing w:before="60" w:after="60"/>
              <w:jc w:val="center"/>
              <w:rPr>
                <w:rFonts w:eastAsia="Times New Roman"/>
                <w:noProof/>
                <w:sz w:val="22"/>
              </w:rPr>
            </w:pPr>
            <w:r>
              <w:rPr>
                <w:noProof/>
                <w:sz w:val="22"/>
              </w:rPr>
              <w:t>–</w:t>
            </w:r>
          </w:p>
        </w:tc>
        <w:tc>
          <w:tcPr>
            <w:tcW w:w="1548" w:type="dxa"/>
            <w:tcBorders>
              <w:bottom w:val="single" w:sz="4" w:space="0" w:color="auto"/>
            </w:tcBorders>
            <w:shd w:val="clear" w:color="auto" w:fill="auto"/>
          </w:tcPr>
          <w:p w:rsidR="000E1B77" w:rsidRDefault="00294BD2">
            <w:pPr>
              <w:spacing w:before="60" w:after="60"/>
              <w:jc w:val="center"/>
              <w:rPr>
                <w:noProof/>
              </w:rPr>
            </w:pPr>
            <w:r>
              <w:rPr>
                <w:noProof/>
              </w:rPr>
              <w:t> 30 000</w:t>
            </w:r>
          </w:p>
        </w:tc>
      </w:tr>
      <w:tr w:rsidR="000E1B77">
        <w:trPr>
          <w:trHeight w:val="203"/>
        </w:trPr>
        <w:tc>
          <w:tcPr>
            <w:tcW w:w="4643" w:type="dxa"/>
            <w:vMerge w:val="restart"/>
            <w:shd w:val="clear" w:color="auto" w:fill="auto"/>
            <w:vAlign w:val="center"/>
          </w:tcPr>
          <w:p w:rsidR="000E1B77" w:rsidRDefault="00294BD2">
            <w:pPr>
              <w:spacing w:before="60" w:after="60"/>
              <w:jc w:val="right"/>
              <w:rPr>
                <w:rFonts w:eastAsia="Times New Roman"/>
                <w:noProof/>
                <w:sz w:val="22"/>
              </w:rPr>
            </w:pPr>
            <w:r>
              <w:rPr>
                <w:noProof/>
                <w:sz w:val="22"/>
              </w:rPr>
              <w:t>Részösszeg c):</w:t>
            </w:r>
          </w:p>
          <w:p w:rsidR="000E1B77" w:rsidRDefault="00294BD2">
            <w:pPr>
              <w:spacing w:before="60" w:after="60"/>
              <w:jc w:val="right"/>
              <w:rPr>
                <w:rFonts w:eastAsia="Times New Roman"/>
                <w:noProof/>
                <w:sz w:val="22"/>
              </w:rPr>
            </w:pPr>
            <w:r>
              <w:rPr>
                <w:noProof/>
                <w:sz w:val="22"/>
              </w:rPr>
              <w:t>Százalékarány az összköltséghez képest:</w:t>
            </w:r>
          </w:p>
        </w:tc>
        <w:tc>
          <w:tcPr>
            <w:tcW w:w="3096" w:type="dxa"/>
            <w:gridSpan w:val="2"/>
            <w:vMerge w:val="restart"/>
            <w:shd w:val="clear" w:color="auto" w:fill="D9D9D9"/>
            <w:vAlign w:val="center"/>
          </w:tcPr>
          <w:p w:rsidR="000E1B77" w:rsidRDefault="00294BD2">
            <w:pPr>
              <w:spacing w:before="0" w:after="0"/>
              <w:jc w:val="center"/>
              <w:rPr>
                <w:rFonts w:eastAsia="Times New Roman"/>
                <w:noProof/>
                <w:sz w:val="22"/>
              </w:rPr>
            </w:pPr>
            <w:r>
              <w:rPr>
                <w:noProof/>
                <w:sz w:val="22"/>
              </w:rPr>
              <w:t>–</w:t>
            </w:r>
          </w:p>
        </w:tc>
        <w:tc>
          <w:tcPr>
            <w:tcW w:w="1548" w:type="dxa"/>
            <w:tcBorders>
              <w:bottom w:val="nil"/>
            </w:tcBorders>
            <w:shd w:val="clear" w:color="auto" w:fill="auto"/>
            <w:vAlign w:val="center"/>
          </w:tcPr>
          <w:p w:rsidR="000E1B77" w:rsidRDefault="00294BD2">
            <w:pPr>
              <w:spacing w:before="60" w:after="60"/>
              <w:jc w:val="center"/>
              <w:rPr>
                <w:noProof/>
              </w:rPr>
            </w:pPr>
            <w:r>
              <w:rPr>
                <w:noProof/>
              </w:rPr>
              <w:t>127 400</w:t>
            </w:r>
          </w:p>
        </w:tc>
      </w:tr>
      <w:tr w:rsidR="000E1B77">
        <w:trPr>
          <w:trHeight w:val="202"/>
        </w:trPr>
        <w:tc>
          <w:tcPr>
            <w:tcW w:w="4643" w:type="dxa"/>
            <w:vMerge/>
            <w:shd w:val="clear" w:color="auto" w:fill="auto"/>
          </w:tcPr>
          <w:p w:rsidR="000E1B77" w:rsidRDefault="000E1B77">
            <w:pPr>
              <w:spacing w:before="0" w:after="0"/>
              <w:jc w:val="right"/>
              <w:rPr>
                <w:rFonts w:eastAsia="Times New Roman"/>
                <w:noProof/>
                <w:sz w:val="22"/>
              </w:rPr>
            </w:pPr>
          </w:p>
        </w:tc>
        <w:tc>
          <w:tcPr>
            <w:tcW w:w="3096" w:type="dxa"/>
            <w:gridSpan w:val="2"/>
            <w:vMerge/>
            <w:shd w:val="clear" w:color="auto" w:fill="D9D9D9"/>
            <w:vAlign w:val="center"/>
          </w:tcPr>
          <w:p w:rsidR="000E1B77" w:rsidRDefault="000E1B77">
            <w:pPr>
              <w:spacing w:before="0" w:after="0"/>
              <w:jc w:val="center"/>
              <w:rPr>
                <w:rFonts w:eastAsia="Times New Roman"/>
                <w:noProof/>
                <w:sz w:val="22"/>
              </w:rPr>
            </w:pPr>
          </w:p>
        </w:tc>
        <w:tc>
          <w:tcPr>
            <w:tcW w:w="1548" w:type="dxa"/>
            <w:tcBorders>
              <w:top w:val="nil"/>
            </w:tcBorders>
            <w:shd w:val="clear" w:color="auto" w:fill="auto"/>
            <w:vAlign w:val="center"/>
          </w:tcPr>
          <w:p w:rsidR="000E1B77" w:rsidRDefault="00294BD2">
            <w:pPr>
              <w:spacing w:before="60" w:after="60"/>
              <w:jc w:val="center"/>
              <w:rPr>
                <w:noProof/>
                <w:sz w:val="22"/>
              </w:rPr>
            </w:pPr>
            <w:r>
              <w:rPr>
                <w:noProof/>
                <w:sz w:val="22"/>
              </w:rPr>
              <w:t>(1,65 %)</w:t>
            </w:r>
          </w:p>
        </w:tc>
      </w:tr>
      <w:tr w:rsidR="000E1B77">
        <w:tc>
          <w:tcPr>
            <w:tcW w:w="4643" w:type="dxa"/>
            <w:shd w:val="clear" w:color="auto" w:fill="auto"/>
          </w:tcPr>
          <w:p w:rsidR="000E1B77" w:rsidRDefault="00294BD2">
            <w:pPr>
              <w:spacing w:before="60" w:after="60"/>
              <w:jc w:val="left"/>
              <w:rPr>
                <w:rFonts w:eastAsia="Times New Roman"/>
                <w:noProof/>
                <w:sz w:val="22"/>
              </w:rPr>
            </w:pPr>
            <w:r>
              <w:rPr>
                <w:noProof/>
                <w:sz w:val="22"/>
              </w:rPr>
              <w:t>Összköltség (a + b + c):</w:t>
            </w:r>
          </w:p>
        </w:tc>
        <w:tc>
          <w:tcPr>
            <w:tcW w:w="3096" w:type="dxa"/>
            <w:gridSpan w:val="2"/>
            <w:shd w:val="clear" w:color="auto" w:fill="D9D9D9"/>
            <w:vAlign w:val="center"/>
          </w:tcPr>
          <w:p w:rsidR="000E1B77" w:rsidRDefault="00294BD2">
            <w:pPr>
              <w:spacing w:before="60" w:after="60"/>
              <w:jc w:val="center"/>
              <w:rPr>
                <w:rFonts w:eastAsia="Times New Roman"/>
                <w:noProof/>
                <w:sz w:val="22"/>
              </w:rPr>
            </w:pPr>
            <w:r>
              <w:rPr>
                <w:noProof/>
                <w:sz w:val="22"/>
              </w:rPr>
              <w:t>–</w:t>
            </w:r>
          </w:p>
        </w:tc>
        <w:tc>
          <w:tcPr>
            <w:tcW w:w="1548" w:type="dxa"/>
            <w:shd w:val="clear" w:color="auto" w:fill="auto"/>
          </w:tcPr>
          <w:p w:rsidR="000E1B77" w:rsidRDefault="00294BD2">
            <w:pPr>
              <w:spacing w:before="60" w:after="60"/>
              <w:jc w:val="center"/>
              <w:rPr>
                <w:noProof/>
              </w:rPr>
            </w:pPr>
            <w:r>
              <w:rPr>
                <w:noProof/>
              </w:rPr>
              <w:t>7 702 694</w:t>
            </w:r>
          </w:p>
        </w:tc>
      </w:tr>
      <w:tr w:rsidR="000E1B77">
        <w:tc>
          <w:tcPr>
            <w:tcW w:w="4643" w:type="dxa"/>
            <w:shd w:val="clear" w:color="auto" w:fill="auto"/>
          </w:tcPr>
          <w:p w:rsidR="000E1B77" w:rsidRDefault="00294BD2">
            <w:pPr>
              <w:spacing w:before="60" w:after="60"/>
              <w:jc w:val="left"/>
              <w:rPr>
                <w:rFonts w:eastAsia="Times New Roman"/>
                <w:noProof/>
                <w:sz w:val="22"/>
              </w:rPr>
            </w:pPr>
            <w:r>
              <w:rPr>
                <w:noProof/>
                <w:sz w:val="22"/>
              </w:rPr>
              <w:t>EGAA-hozzájárulás (az összköltségek 60 %-a)</w:t>
            </w:r>
          </w:p>
        </w:tc>
        <w:tc>
          <w:tcPr>
            <w:tcW w:w="3096" w:type="dxa"/>
            <w:gridSpan w:val="2"/>
            <w:shd w:val="clear" w:color="auto" w:fill="D9D9D9"/>
            <w:vAlign w:val="center"/>
          </w:tcPr>
          <w:p w:rsidR="000E1B77" w:rsidRDefault="00294BD2">
            <w:pPr>
              <w:spacing w:before="60" w:after="60"/>
              <w:jc w:val="center"/>
              <w:rPr>
                <w:rFonts w:eastAsia="Times New Roman"/>
                <w:noProof/>
                <w:sz w:val="22"/>
              </w:rPr>
            </w:pPr>
            <w:r>
              <w:rPr>
                <w:noProof/>
                <w:sz w:val="22"/>
              </w:rPr>
              <w:t>–</w:t>
            </w:r>
          </w:p>
        </w:tc>
        <w:tc>
          <w:tcPr>
            <w:tcW w:w="1548" w:type="dxa"/>
            <w:shd w:val="clear" w:color="auto" w:fill="auto"/>
          </w:tcPr>
          <w:p w:rsidR="000E1B77" w:rsidRDefault="00294BD2">
            <w:pPr>
              <w:spacing w:before="60" w:after="60"/>
              <w:jc w:val="center"/>
              <w:rPr>
                <w:noProof/>
              </w:rPr>
            </w:pPr>
            <w:r>
              <w:rPr>
                <w:noProof/>
              </w:rPr>
              <w:t>4 621 616</w:t>
            </w:r>
          </w:p>
        </w:tc>
      </w:tr>
    </w:tbl>
    <w:p w:rsidR="000E1B77" w:rsidRDefault="00294BD2">
      <w:pPr>
        <w:pStyle w:val="ManualNumPar1"/>
        <w:rPr>
          <w:noProof/>
          <w:szCs w:val="20"/>
        </w:rPr>
      </w:pPr>
      <w:r>
        <w:t>33.</w:t>
      </w:r>
      <w:r>
        <w:tab/>
      </w:r>
      <w:r>
        <w:rPr>
          <w:noProof/>
        </w:rPr>
        <w:t xml:space="preserve">A fenti táblázatban az EGAA-rendelet 7. cikke (1) bekezdése b) pontjának megfelelő </w:t>
      </w:r>
      <w:r>
        <w:rPr>
          <w:noProof/>
        </w:rPr>
        <w:t>intézkedésként meghatározott intézkedések költsége nem haladja meg a személyre szabott szolgáltatások összehangolt csomagja összköltségének 35 %-át. Belgium megerősítette, hogy ezen intézkedések a munkakereső vagy képzési tevékenységekben részt vevő, támog</w:t>
      </w:r>
      <w:r>
        <w:rPr>
          <w:noProof/>
        </w:rPr>
        <w:t>atásra jogosult kedvezményezettek tevékeny részvételétől függnek.</w:t>
      </w:r>
    </w:p>
    <w:p w:rsidR="000E1B77" w:rsidRDefault="00294BD2">
      <w:pPr>
        <w:pStyle w:val="ManualNumPar1"/>
        <w:rPr>
          <w:noProof/>
        </w:rPr>
      </w:pPr>
      <w:r>
        <w:t>34.</w:t>
      </w:r>
      <w:r>
        <w:tab/>
      </w:r>
      <w:r>
        <w:rPr>
          <w:noProof/>
        </w:rPr>
        <w:t>Belgium megerősítette, hogy az önálló vállalkozáshoz, vállalkozásalapításhoz, valamint a vállalkozás alkalmazottak által történő átvételéhez kapcsolódó beruházás költsége kedvezményezett</w:t>
      </w:r>
      <w:r>
        <w:rPr>
          <w:noProof/>
        </w:rPr>
        <w:t xml:space="preserve">enként nem haladja meg a 15 000 EUR-t. </w:t>
      </w:r>
    </w:p>
    <w:p w:rsidR="000E1B77" w:rsidRDefault="00294BD2">
      <w:pPr>
        <w:pStyle w:val="ManualHeading3"/>
        <w:rPr>
          <w:noProof/>
        </w:rPr>
      </w:pPr>
      <w:r>
        <w:rPr>
          <w:noProof/>
        </w:rPr>
        <w:t>A kiadások támogathatóságának időszaka</w:t>
      </w:r>
    </w:p>
    <w:p w:rsidR="000E1B77" w:rsidRDefault="00294BD2">
      <w:pPr>
        <w:pStyle w:val="ManualNumPar1"/>
        <w:rPr>
          <w:noProof/>
        </w:rPr>
      </w:pPr>
      <w:r>
        <w:t>35.</w:t>
      </w:r>
      <w:r>
        <w:tab/>
      </w:r>
      <w:r>
        <w:rPr>
          <w:noProof/>
        </w:rPr>
        <w:t>Belgium 2016. október 22-én kezdte meg a személyre szabott szolgáltatások nyújtását a támogatásra jogosult kedvezményezettek részére. Az említett intézkedésekkel kapcsolatos</w:t>
      </w:r>
      <w:r>
        <w:rPr>
          <w:noProof/>
        </w:rPr>
        <w:t xml:space="preserve"> kiadásokhoz ezért 2016. október 22-től 2019. december 18-ig nyújtható pénzügyi támogatás az EGAA-ból.</w:t>
      </w:r>
    </w:p>
    <w:p w:rsidR="000E1B77" w:rsidRDefault="00294BD2">
      <w:pPr>
        <w:pStyle w:val="ManualNumPar1"/>
        <w:rPr>
          <w:noProof/>
        </w:rPr>
      </w:pPr>
      <w:r>
        <w:t>36.</w:t>
      </w:r>
      <w:r>
        <w:tab/>
      </w:r>
      <w:r>
        <w:rPr>
          <w:noProof/>
        </w:rPr>
        <w:t>Belgium számára 2016. szeptember 5-én merült fel először az EGAA végrehajtásához kapcsolódó igazgatási kiadás. Az előkészítő, irányítási, tájékoztatá</w:t>
      </w:r>
      <w:r>
        <w:rPr>
          <w:noProof/>
        </w:rPr>
        <w:t xml:space="preserve">si és nyilvánossággal kapcsolatos, valamint ellenőrzési és jelentéstételi tevékenységekre fordított kiadások ezért 2016. szeptember 5. és 2020. június 18. között támogathatók az EGAA-ból származó pénzügyi hozzájárulásból. </w:t>
      </w:r>
    </w:p>
    <w:p w:rsidR="000E1B77" w:rsidRDefault="00294BD2">
      <w:pPr>
        <w:pStyle w:val="ManualHeading3"/>
        <w:rPr>
          <w:i w:val="0"/>
          <w:noProof/>
        </w:rPr>
      </w:pPr>
      <w:r>
        <w:rPr>
          <w:noProof/>
        </w:rPr>
        <w:t xml:space="preserve">A nemzeti vagy uniós forrásokból </w:t>
      </w:r>
      <w:r>
        <w:rPr>
          <w:noProof/>
        </w:rPr>
        <w:t>finanszírozott intézkedéseket kiegészítő jelleg</w:t>
      </w:r>
    </w:p>
    <w:p w:rsidR="000E1B77" w:rsidRDefault="00294BD2">
      <w:pPr>
        <w:pStyle w:val="ManualNumPar1"/>
        <w:rPr>
          <w:noProof/>
        </w:rPr>
      </w:pPr>
      <w:r>
        <w:t>37.</w:t>
      </w:r>
      <w:r>
        <w:tab/>
      </w:r>
      <w:r>
        <w:rPr>
          <w:noProof/>
        </w:rPr>
        <w:t>A tagállami előfinanszírozás vagy társfinanszírozás forrása a FOREM (Vallónia Állami Foglalkoztatási Szolgálata) és Vallónia régiója.</w:t>
      </w:r>
    </w:p>
    <w:p w:rsidR="000E1B77" w:rsidRDefault="00294BD2">
      <w:pPr>
        <w:pStyle w:val="ManualNumPar1"/>
        <w:rPr>
          <w:noProof/>
        </w:rPr>
      </w:pPr>
      <w:r>
        <w:t>38.</w:t>
      </w:r>
      <w:r>
        <w:tab/>
      </w:r>
      <w:r>
        <w:rPr>
          <w:noProof/>
        </w:rPr>
        <w:t xml:space="preserve">Belgium megerősítette, hogy a fentiekben ismertetett, az EGAA-ból </w:t>
      </w:r>
      <w:r>
        <w:rPr>
          <w:noProof/>
        </w:rPr>
        <w:t>nyújtott pénzügyi hozzájárulásban részesülő intézkedések egyéb uniós pénzügyi eszközökből nem részesülnek pénzügyi támogatásban.</w:t>
      </w:r>
    </w:p>
    <w:p w:rsidR="000E1B77" w:rsidRDefault="00294BD2">
      <w:pPr>
        <w:pStyle w:val="ManualHeading3"/>
        <w:tabs>
          <w:tab w:val="clear" w:pos="850"/>
          <w:tab w:val="left" w:pos="0"/>
        </w:tabs>
        <w:ind w:left="0" w:firstLine="0"/>
        <w:rPr>
          <w:noProof/>
          <w:u w:val="single"/>
        </w:rPr>
      </w:pPr>
      <w:r>
        <w:rPr>
          <w:noProof/>
        </w:rPr>
        <w:t xml:space="preserve">A támogatásra jogosult kedvezményezettekkel vagy képviselőikkel, a szociális partnerekkel, illetve a helyi és regionális </w:t>
      </w:r>
      <w:r>
        <w:rPr>
          <w:noProof/>
        </w:rPr>
        <w:t>hatóságokkal folytatott konzultáció során követett eljárások</w:t>
      </w:r>
    </w:p>
    <w:p w:rsidR="000E1B77" w:rsidRDefault="00294BD2">
      <w:pPr>
        <w:pStyle w:val="ManualNumPar1"/>
        <w:rPr>
          <w:noProof/>
        </w:rPr>
      </w:pPr>
      <w:r>
        <w:t>39.</w:t>
      </w:r>
      <w:r>
        <w:tab/>
      </w:r>
      <w:r>
        <w:rPr>
          <w:noProof/>
        </w:rPr>
        <w:t>Belgium jelezte, hogy a személyre szabott szolgáltatások koordinált csomagját Vallónia Állami Foglalkoztatási Szolgálata, a SOGEPA</w:t>
      </w:r>
      <w:r>
        <w:rPr>
          <w:rStyle w:val="FootnoteReference"/>
          <w:noProof/>
        </w:rPr>
        <w:footnoteReference w:id="18"/>
      </w:r>
      <w:r>
        <w:rPr>
          <w:noProof/>
        </w:rPr>
        <w:t>, a szakszervezetek és más szociális partnerek képviselőiből</w:t>
      </w:r>
      <w:r>
        <w:rPr>
          <w:noProof/>
        </w:rPr>
        <w:t xml:space="preserve"> álló munkacsoporttal egyeztetve dolgozták ki. </w:t>
      </w:r>
    </w:p>
    <w:p w:rsidR="000E1B77" w:rsidRDefault="00294BD2">
      <w:pPr>
        <w:pStyle w:val="ManualHeading2"/>
        <w:rPr>
          <w:b w:val="0"/>
          <w:i/>
          <w:noProof/>
        </w:rPr>
      </w:pPr>
      <w:r>
        <w:rPr>
          <w:b w:val="0"/>
          <w:i/>
          <w:noProof/>
        </w:rPr>
        <w:t>Irányítási és ellenőrzési rendszerek</w:t>
      </w:r>
    </w:p>
    <w:p w:rsidR="000E1B77" w:rsidRDefault="00294BD2">
      <w:pPr>
        <w:pStyle w:val="ManualNumPar1"/>
        <w:rPr>
          <w:noProof/>
        </w:rPr>
      </w:pPr>
      <w:r>
        <w:t>40.</w:t>
      </w:r>
      <w:r>
        <w:tab/>
      </w:r>
      <w:r>
        <w:rPr>
          <w:noProof/>
        </w:rPr>
        <w:t>Belgium értesítette a Bizottságot, hogy a pénzügyi hozzájárulás irányítását és ellenőrzését ugyanazok a szervek fogják végezni, mint amelyek az Európai Szociális Alapé</w:t>
      </w:r>
      <w:r>
        <w:rPr>
          <w:noProof/>
        </w:rPr>
        <w:t>rt (ESZA) felelősek.</w:t>
      </w:r>
    </w:p>
    <w:p w:rsidR="000E1B77" w:rsidRDefault="00294BD2">
      <w:pPr>
        <w:pStyle w:val="ManualHeading2"/>
        <w:rPr>
          <w:b w:val="0"/>
          <w:i/>
          <w:noProof/>
        </w:rPr>
      </w:pPr>
      <w:r>
        <w:rPr>
          <w:b w:val="0"/>
          <w:i/>
          <w:noProof/>
        </w:rPr>
        <w:t>Az érintett tagállam által vállalt kötelezettségek</w:t>
      </w:r>
    </w:p>
    <w:p w:rsidR="000E1B77" w:rsidRDefault="00294BD2">
      <w:pPr>
        <w:pStyle w:val="ManualNumPar1"/>
        <w:rPr>
          <w:noProof/>
        </w:rPr>
      </w:pPr>
      <w:r>
        <w:t>41.</w:t>
      </w:r>
      <w:r>
        <w:tab/>
      </w:r>
      <w:r>
        <w:rPr>
          <w:noProof/>
        </w:rPr>
        <w:t xml:space="preserve">Belgium minden szükséges biztosítékot megadott az alábbiak tekintetében: </w:t>
      </w:r>
    </w:p>
    <w:p w:rsidR="000E1B77" w:rsidRDefault="00294BD2">
      <w:pPr>
        <w:pStyle w:val="Tiret1"/>
        <w:rPr>
          <w:noProof/>
        </w:rPr>
      </w:pPr>
      <w:r>
        <w:rPr>
          <w:noProof/>
        </w:rPr>
        <w:t>a javasolt intézkedésekhez való hozzáférés és azok megvalósítása során tiszteletben tartják az egyenlő bán</w:t>
      </w:r>
      <w:r>
        <w:rPr>
          <w:noProof/>
        </w:rPr>
        <w:t>ásmód és a megkülönböztetésmentesség elvét;</w:t>
      </w:r>
    </w:p>
    <w:p w:rsidR="000E1B77" w:rsidRDefault="00294BD2">
      <w:pPr>
        <w:pStyle w:val="Tiret1"/>
        <w:rPr>
          <w:noProof/>
        </w:rPr>
      </w:pPr>
      <w:r>
        <w:rPr>
          <w:noProof/>
        </w:rPr>
        <w:t>a nemzeti és uniós jogszabályokban a csoportos létszámcsökkentések vonatkozásában előírt követelményeknek eleget tettek;</w:t>
      </w:r>
    </w:p>
    <w:p w:rsidR="000E1B77" w:rsidRDefault="00294BD2">
      <w:pPr>
        <w:pStyle w:val="Tiret1"/>
        <w:rPr>
          <w:noProof/>
        </w:rPr>
      </w:pPr>
      <w:r>
        <w:rPr>
          <w:noProof/>
        </w:rPr>
        <w:t>az elbocsátó vállalatok, amelyek a leépítések után folytatták a tevékenységüket, eleget tet</w:t>
      </w:r>
      <w:r>
        <w:rPr>
          <w:noProof/>
        </w:rPr>
        <w:t>tek az elbocsátásokra vonatkozó jogi kötelezettségeiknek és a munkavállalóikkal szemben is ennek megfelelően jártak el;</w:t>
      </w:r>
    </w:p>
    <w:p w:rsidR="000E1B77" w:rsidRDefault="00294BD2">
      <w:pPr>
        <w:pStyle w:val="Tiret1"/>
        <w:rPr>
          <w:noProof/>
        </w:rPr>
      </w:pPr>
      <w:r>
        <w:rPr>
          <w:noProof/>
        </w:rPr>
        <w:t xml:space="preserve">a javasolt intézkedések nem részesülnek egyéb uniós alapokból vagy pénzügyi eszközökből származó pénzügyi támogatásban, és sor került a </w:t>
      </w:r>
      <w:r>
        <w:rPr>
          <w:noProof/>
        </w:rPr>
        <w:t>kettős finanszírozás megelőzésére szolgáló szükséges intézkedésekre;</w:t>
      </w:r>
    </w:p>
    <w:p w:rsidR="000E1B77" w:rsidRDefault="00294BD2">
      <w:pPr>
        <w:pStyle w:val="Tiret1"/>
        <w:rPr>
          <w:noProof/>
        </w:rPr>
      </w:pPr>
      <w:r>
        <w:rPr>
          <w:noProof/>
        </w:rPr>
        <w:t>a javasolt intézkedések kiegészítik a strukturális alapok által finanszírozott intézkedéseket;</w:t>
      </w:r>
    </w:p>
    <w:p w:rsidR="000E1B77" w:rsidRDefault="00294BD2">
      <w:pPr>
        <w:pStyle w:val="Tiret1"/>
        <w:rPr>
          <w:noProof/>
        </w:rPr>
      </w:pPr>
      <w:r>
        <w:rPr>
          <w:noProof/>
        </w:rPr>
        <w:t>az EGAA-ból nyújtott pénzügyi hozzájárulás megfelel az állami támogatásra vonatkozó uniós el</w:t>
      </w:r>
      <w:r>
        <w:rPr>
          <w:noProof/>
        </w:rPr>
        <w:t>járási és anyagi szabályoknak.</w:t>
      </w:r>
    </w:p>
    <w:p w:rsidR="000E1B77" w:rsidRDefault="00294BD2">
      <w:pPr>
        <w:pStyle w:val="ManualHeading1"/>
        <w:rPr>
          <w:noProof/>
        </w:rPr>
      </w:pPr>
      <w:r>
        <w:rPr>
          <w:noProof/>
        </w:rPr>
        <w:t>KÖLTSÉGVETÉSI VONZATOK</w:t>
      </w:r>
    </w:p>
    <w:p w:rsidR="000E1B77" w:rsidRDefault="00294BD2">
      <w:pPr>
        <w:pStyle w:val="ManualHeading2"/>
        <w:rPr>
          <w:b w:val="0"/>
          <w:i/>
          <w:noProof/>
        </w:rPr>
      </w:pPr>
      <w:r>
        <w:rPr>
          <w:b w:val="0"/>
          <w:i/>
          <w:noProof/>
        </w:rPr>
        <w:t>Javasolt költségvetés</w:t>
      </w:r>
    </w:p>
    <w:p w:rsidR="000E1B77" w:rsidRDefault="00294BD2">
      <w:pPr>
        <w:pStyle w:val="ManualNumPar1"/>
        <w:rPr>
          <w:noProof/>
        </w:rPr>
      </w:pPr>
      <w:r>
        <w:t>42.</w:t>
      </w:r>
      <w:r>
        <w:tab/>
      </w:r>
      <w:r>
        <w:rPr>
          <w:noProof/>
        </w:rPr>
        <w:t>Az EGAA-támogatás éves maximális összege (2011-es árakon számítva) a 2014–2020-as időszakra vonatkozó többéves pénzügyi keretről szóló, 2013. december 2-i 1311/2013/EU, Euratom</w:t>
      </w:r>
      <w:r>
        <w:rPr>
          <w:noProof/>
        </w:rPr>
        <w:t xml:space="preserve"> tanácsi rendelet 12. cikkében meghatározottaknak megfelelően 150 millió EUR</w:t>
      </w:r>
      <w:r>
        <w:rPr>
          <w:rStyle w:val="FootnoteReference"/>
          <w:noProof/>
        </w:rPr>
        <w:footnoteReference w:id="19"/>
      </w:r>
      <w:r>
        <w:rPr>
          <w:noProof/>
        </w:rPr>
        <w:t>.</w:t>
      </w:r>
    </w:p>
    <w:p w:rsidR="000E1B77" w:rsidRDefault="00294BD2">
      <w:pPr>
        <w:pStyle w:val="ManualNumPar1"/>
        <w:rPr>
          <w:rFonts w:eastAsia="Calibri"/>
          <w:noProof/>
        </w:rPr>
      </w:pPr>
      <w:r>
        <w:t>43.</w:t>
      </w:r>
      <w:r>
        <w:tab/>
      </w:r>
      <w:r>
        <w:rPr>
          <w:noProof/>
        </w:rPr>
        <w:t>Miután az EGAA-rendelet 13. cikkének (1) bekezdésében meghatározott feltételek szempontjából megvizsgálta a kérelmet, valamint figyelembe vette a támogatásra jogosult kedvez</w:t>
      </w:r>
      <w:r>
        <w:rPr>
          <w:noProof/>
        </w:rPr>
        <w:t>ményezettek számát, a javasolt intézkedéseket és a becsült költségeket, a Bizottság azt javasolja, hogy a javasolt intézkedések összköltségének 60 %-át kitevő 4 621 616 EUR összeget folyósítsák az EGAA-ból a kérelemben igényelt pénzügyi hozzájárulás biztos</w:t>
      </w:r>
      <w:r>
        <w:rPr>
          <w:noProof/>
        </w:rPr>
        <w:t>ítása érdekében.</w:t>
      </w:r>
    </w:p>
    <w:p w:rsidR="000E1B77" w:rsidRDefault="00294BD2">
      <w:pPr>
        <w:pStyle w:val="ManualNumPar1"/>
        <w:rPr>
          <w:rFonts w:eastAsia="Times New Roman"/>
          <w:noProof/>
        </w:rPr>
      </w:pPr>
      <w:r>
        <w:t>44.</w:t>
      </w:r>
      <w:r>
        <w:tab/>
      </w:r>
      <w:r>
        <w:rPr>
          <w:noProof/>
        </w:rPr>
        <w:t>Az EGAA igénybevételére vonatkozó javasolt határozatot az Európai Parlament és a Tanács közösen hozza meg, az Európai Parlament, a Tanács és a Bizottság között létrejött, a költségvetési fegyelemről, a költségvetési ügyekben való együt</w:t>
      </w:r>
      <w:r>
        <w:rPr>
          <w:noProof/>
        </w:rPr>
        <w:t>tműködésről és a hatékony és eredményes pénzgazdálkodásról szóló, 2013. december 2-i intézményközi megállapodás</w:t>
      </w:r>
      <w:r>
        <w:rPr>
          <w:rStyle w:val="FootnoteReference"/>
          <w:noProof/>
        </w:rPr>
        <w:footnoteReference w:id="20"/>
      </w:r>
      <w:r>
        <w:rPr>
          <w:noProof/>
        </w:rPr>
        <w:t xml:space="preserve"> 13. pontja értelmében.</w:t>
      </w:r>
    </w:p>
    <w:p w:rsidR="000E1B77" w:rsidRDefault="00294BD2">
      <w:pPr>
        <w:pStyle w:val="ManualHeading2"/>
        <w:rPr>
          <w:b w:val="0"/>
          <w:i/>
          <w:noProof/>
        </w:rPr>
      </w:pPr>
      <w:r>
        <w:rPr>
          <w:b w:val="0"/>
          <w:i/>
          <w:noProof/>
        </w:rPr>
        <w:t>Kapcsolódó jogi aktusok</w:t>
      </w:r>
    </w:p>
    <w:p w:rsidR="000E1B77" w:rsidRDefault="00294BD2">
      <w:pPr>
        <w:pStyle w:val="ManualNumPar1"/>
        <w:rPr>
          <w:noProof/>
        </w:rPr>
      </w:pPr>
      <w:r>
        <w:t>45.</w:t>
      </w:r>
      <w:r>
        <w:tab/>
      </w:r>
      <w:r>
        <w:rPr>
          <w:noProof/>
        </w:rPr>
        <w:t xml:space="preserve">A Bizottság az EGAA igénybevételéről szóló határozatra irányuló javaslatának benyújtásával egyidejűleg javaslatot nyújt be az Európai Parlamentnek és a Tanácsnak </w:t>
      </w:r>
      <w:r>
        <w:rPr>
          <w:noProof/>
          <w:color w:val="222222"/>
        </w:rPr>
        <w:t>4 621 616</w:t>
      </w:r>
      <w:r>
        <w:rPr>
          <w:noProof/>
        </w:rPr>
        <w:t xml:space="preserve"> EUR összegnek az érintett költségvetési sorba történő átcsoportosításra is.</w:t>
      </w:r>
    </w:p>
    <w:p w:rsidR="000E1B77" w:rsidRDefault="00294BD2">
      <w:pPr>
        <w:pStyle w:val="ManualNumPar1"/>
        <w:rPr>
          <w:noProof/>
        </w:rPr>
      </w:pPr>
      <w:r>
        <w:t>46.</w:t>
      </w:r>
      <w:r>
        <w:tab/>
      </w:r>
      <w:r>
        <w:rPr>
          <w:noProof/>
        </w:rPr>
        <w:t>A Bi</w:t>
      </w:r>
      <w:r>
        <w:rPr>
          <w:noProof/>
        </w:rPr>
        <w:t>zottság az EGAA igénybevételéről szóló határozatra irányuló javaslatával egyidejűleg végrehajtási jogi aktus formájában egy pénzügyi hozzájárulásról szóló határozatot is elfogad, amely abban az időpontban lép hatályba, amikor az Európai Parlament és a Taná</w:t>
      </w:r>
      <w:r>
        <w:rPr>
          <w:noProof/>
        </w:rPr>
        <w:t>cs elfogadja az EGAA igénybevételéről szóló javasolt határozatot.</w:t>
      </w:r>
    </w:p>
    <w:p w:rsidR="000E1B77" w:rsidRDefault="000E1B77">
      <w:pPr>
        <w:rPr>
          <w:noProof/>
        </w:rPr>
        <w:sectPr w:rsidR="000E1B77" w:rsidSect="00294BD2">
          <w:footerReference w:type="default" r:id="rId16"/>
          <w:footerReference w:type="first" r:id="rId17"/>
          <w:pgSz w:w="11907" w:h="16839"/>
          <w:pgMar w:top="1134" w:right="1418" w:bottom="1134" w:left="1418" w:header="709" w:footer="709" w:gutter="0"/>
          <w:pgNumType w:start="1"/>
          <w:cols w:space="720"/>
          <w:docGrid w:linePitch="360"/>
        </w:sectPr>
      </w:pPr>
    </w:p>
    <w:p w:rsidR="000E1B77" w:rsidRDefault="00294BD2">
      <w:pPr>
        <w:pStyle w:val="Statut"/>
        <w:rPr>
          <w:noProof/>
        </w:rPr>
      </w:pPr>
      <w:r>
        <w:rPr>
          <w:noProof/>
        </w:rPr>
        <w:t>Javaslat</w:t>
      </w:r>
    </w:p>
    <w:p w:rsidR="000E1B77" w:rsidRDefault="00294BD2">
      <w:pPr>
        <w:pStyle w:val="Typedudocument"/>
        <w:rPr>
          <w:noProof/>
        </w:rPr>
      </w:pPr>
      <w:r>
        <w:rPr>
          <w:noProof/>
        </w:rPr>
        <w:t>AZ EURÓPAI PARLAMENT ÉS A TANÁCS HATÁROZATA</w:t>
      </w:r>
    </w:p>
    <w:p w:rsidR="000E1B77" w:rsidRDefault="00294BD2">
      <w:pPr>
        <w:pStyle w:val="Titreobjet"/>
        <w:rPr>
          <w:noProof/>
        </w:rPr>
      </w:pPr>
      <w:r>
        <w:rPr>
          <w:noProof/>
        </w:rPr>
        <w:t xml:space="preserve">Belgium EGF/2017/010 BE/Caterpillar referenciaszámú kérelme nyomán az Európai </w:t>
      </w:r>
      <w:r>
        <w:rPr>
          <w:noProof/>
        </w:rPr>
        <w:t>Globalizációs Alkalmazkodási Alap igénybevételéről</w:t>
      </w:r>
      <w:r>
        <w:rPr>
          <w:noProof/>
        </w:rPr>
        <w:br/>
        <w:t xml:space="preserve"> </w:t>
      </w:r>
    </w:p>
    <w:p w:rsidR="000E1B77" w:rsidRDefault="00294BD2">
      <w:pPr>
        <w:pStyle w:val="Institutionquiagit"/>
        <w:rPr>
          <w:noProof/>
        </w:rPr>
      </w:pPr>
      <w:r>
        <w:rPr>
          <w:noProof/>
        </w:rPr>
        <w:t>AZ EURÓPAI PARLAMENT ÉS AZ EURÓPAI UNIÓ TANÁCSA,</w:t>
      </w:r>
    </w:p>
    <w:p w:rsidR="000E1B77" w:rsidRDefault="00294BD2">
      <w:pPr>
        <w:rPr>
          <w:noProof/>
        </w:rPr>
      </w:pPr>
      <w:r>
        <w:rPr>
          <w:noProof/>
        </w:rPr>
        <w:t>tekintettel az Európai Unió működéséről szóló szerződésre,</w:t>
      </w:r>
    </w:p>
    <w:p w:rsidR="000E1B77" w:rsidRDefault="00294BD2">
      <w:pPr>
        <w:rPr>
          <w:noProof/>
        </w:rPr>
      </w:pPr>
      <w:r>
        <w:rPr>
          <w:noProof/>
        </w:rPr>
        <w:t>tekintettel az Európai Globalizációs Alkalmazkodási Alapról (2014–2020) és az 1927/2006/EK rend</w:t>
      </w:r>
      <w:r>
        <w:rPr>
          <w:noProof/>
        </w:rPr>
        <w:t>elet hatályon kívül helyezéséről szóló, 2013. december 17-i 1309/2013/EU európai parlamenti és tanácsi rendeletre</w:t>
      </w:r>
      <w:r>
        <w:rPr>
          <w:rStyle w:val="FootnoteReference"/>
          <w:noProof/>
        </w:rPr>
        <w:footnoteReference w:id="21"/>
      </w:r>
      <w:r>
        <w:rPr>
          <w:noProof/>
        </w:rPr>
        <w:t xml:space="preserve"> és különösen annak 15. cikke (4) bekezdésére,</w:t>
      </w:r>
    </w:p>
    <w:p w:rsidR="000E1B77" w:rsidRDefault="00294BD2">
      <w:pPr>
        <w:rPr>
          <w:noProof/>
        </w:rPr>
      </w:pPr>
      <w:r>
        <w:rPr>
          <w:noProof/>
        </w:rPr>
        <w:t>tekintettel az Európai Parlament, a Tanács és a Bizottság közötti, a költségvetési fegyelemről,</w:t>
      </w:r>
      <w:r>
        <w:rPr>
          <w:noProof/>
        </w:rPr>
        <w:t xml:space="preserve"> a költségvetési ügyekben való együttműködésről és a hatékony és eredményes pénzgazdálkodásról szóló, 2013. december 2-i intézményközi megállapodásra</w:t>
      </w:r>
      <w:r>
        <w:rPr>
          <w:rStyle w:val="FootnoteReference"/>
          <w:noProof/>
        </w:rPr>
        <w:footnoteReference w:id="22"/>
      </w:r>
      <w:r>
        <w:rPr>
          <w:noProof/>
        </w:rPr>
        <w:t xml:space="preserve"> és különösen annak 13. pontjára,</w:t>
      </w:r>
    </w:p>
    <w:p w:rsidR="000E1B77" w:rsidRDefault="00294BD2">
      <w:pPr>
        <w:rPr>
          <w:noProof/>
        </w:rPr>
      </w:pPr>
      <w:r>
        <w:rPr>
          <w:noProof/>
        </w:rPr>
        <w:t>tekintettel az Európai Bizottság javaslatára,</w:t>
      </w:r>
    </w:p>
    <w:p w:rsidR="000E1B77" w:rsidRDefault="00294BD2">
      <w:pPr>
        <w:rPr>
          <w:noProof/>
        </w:rPr>
      </w:pPr>
      <w:r>
        <w:rPr>
          <w:noProof/>
        </w:rPr>
        <w:t>mivel:</w:t>
      </w:r>
    </w:p>
    <w:p w:rsidR="000E1B77" w:rsidRDefault="00294BD2">
      <w:pPr>
        <w:pStyle w:val="ManualConsidrant"/>
        <w:rPr>
          <w:noProof/>
        </w:rPr>
      </w:pPr>
      <w:r>
        <w:t>(1)</w:t>
      </w:r>
      <w:r>
        <w:tab/>
      </w:r>
      <w:r>
        <w:rPr>
          <w:noProof/>
        </w:rPr>
        <w:t>Az Európai Glob</w:t>
      </w:r>
      <w:r>
        <w:rPr>
          <w:noProof/>
        </w:rPr>
        <w:t>alizációs Alkalmazkodási Alap (a továbbiakban: EGAA) célja, hogy támogatást nyújtson a globalizáció hatására a világkereskedelemben bekövetkezett fő strukturális változások miatt vagy a globális pénzügyi és gazdasági válság elhúzódása, illetve egy újabb gl</w:t>
      </w:r>
      <w:r>
        <w:rPr>
          <w:noProof/>
        </w:rPr>
        <w:t>obális pénzügyi és gazdasági válság következtében elbocsátott munkavállalóknak és tevékenységüket megszüntető önálló vállalkozóknak a munkaerőpiacra történő újbóli beilleszkedéshez.</w:t>
      </w:r>
    </w:p>
    <w:p w:rsidR="000E1B77" w:rsidRDefault="00294BD2">
      <w:pPr>
        <w:pStyle w:val="ManualConsidrant"/>
        <w:rPr>
          <w:noProof/>
        </w:rPr>
      </w:pPr>
      <w:r>
        <w:t>(2)</w:t>
      </w:r>
      <w:r>
        <w:tab/>
      </w:r>
      <w:r>
        <w:rPr>
          <w:noProof/>
        </w:rPr>
        <w:t>Az EGAA éves maximális összege az 1311/2013/EU, Euratom tanácsi rendel</w:t>
      </w:r>
      <w:r>
        <w:rPr>
          <w:noProof/>
        </w:rPr>
        <w:t>et</w:t>
      </w:r>
      <w:r>
        <w:rPr>
          <w:rStyle w:val="FootnoteReference"/>
          <w:noProof/>
        </w:rPr>
        <w:footnoteReference w:id="23"/>
      </w:r>
      <w:r>
        <w:rPr>
          <w:noProof/>
        </w:rPr>
        <w:t xml:space="preserve"> 12. cikkében meghatározottaknak megfelelően (2011-es árakon számítva) nem haladhatja meg a 150 millió EUR összeget.</w:t>
      </w:r>
    </w:p>
    <w:p w:rsidR="000E1B77" w:rsidRDefault="00294BD2">
      <w:pPr>
        <w:pStyle w:val="ManualConsidrant"/>
        <w:rPr>
          <w:noProof/>
        </w:rPr>
      </w:pPr>
      <w:r>
        <w:t>(3)</w:t>
      </w:r>
      <w:r>
        <w:tab/>
      </w:r>
      <w:r>
        <w:rPr>
          <w:noProof/>
        </w:rPr>
        <w:t>2017. december 18-án Belgium kérelmet nyújtott be az EGAA-ból igénybe vehető pénzügyi hozzájárulás iránt a Caterpillar vállalatnál é</w:t>
      </w:r>
      <w:r>
        <w:rPr>
          <w:noProof/>
        </w:rPr>
        <w:t>s 5 beszállítójánál történt elbocsátásokat és tevékenységek megszüntetését (a továbbiakban: elbocsátások) követően. E kérelmet az 1309/2013/EU rendelet 8. cikke (3) bekezdésének megfelelően további információkkal egészítették ki. Az említett kérelem eleget</w:t>
      </w:r>
      <w:r>
        <w:rPr>
          <w:noProof/>
        </w:rPr>
        <w:t xml:space="preserve"> tesz az 1309/2013/EU rendelet 13. cikkében az EGAA-ból folyósított pénzügyi hozzájárulás meghatározására vonatkozóan megállapított követelményeknek.</w:t>
      </w:r>
    </w:p>
    <w:p w:rsidR="000E1B77" w:rsidRDefault="00294BD2">
      <w:pPr>
        <w:pStyle w:val="ManualConsidrant"/>
        <w:rPr>
          <w:noProof/>
        </w:rPr>
      </w:pPr>
      <w:r>
        <w:t>(4)</w:t>
      </w:r>
      <w:r>
        <w:tab/>
      </w:r>
      <w:r>
        <w:rPr>
          <w:noProof/>
        </w:rPr>
        <w:t>Belgium úgy határozott, hogy az 1309/2013/EU rendelet 6. cikkének (2) bekezdése szerinti, az EGAA álta</w:t>
      </w:r>
      <w:r>
        <w:rPr>
          <w:noProof/>
        </w:rPr>
        <w:t>l társfinanszírozott, személyre szabott szolgáltatásokat a nem foglalkoztatott, oktatásban és képzésben nem részesülő 300 fiatal (NEET-fiatalok) számára is biztosítja.</w:t>
      </w:r>
    </w:p>
    <w:p w:rsidR="000E1B77" w:rsidRDefault="00294BD2">
      <w:pPr>
        <w:pStyle w:val="ManualConsidrant"/>
        <w:rPr>
          <w:noProof/>
        </w:rPr>
      </w:pPr>
      <w:r>
        <w:t>(5)</w:t>
      </w:r>
      <w:r>
        <w:tab/>
      </w:r>
      <w:r>
        <w:rPr>
          <w:noProof/>
        </w:rPr>
        <w:t>Az EGAA-t ezért igénybe kell venni a Belgium által benyújtott kérelem alapján nyújta</w:t>
      </w:r>
      <w:r>
        <w:rPr>
          <w:noProof/>
        </w:rPr>
        <w:t>ndó, 4 621 616 EUR összegű pénzügyi hozzájárulás folyósítása érdekében,</w:t>
      </w:r>
    </w:p>
    <w:p w:rsidR="000E1B77" w:rsidRDefault="00294BD2">
      <w:pPr>
        <w:pStyle w:val="ManualConsidrant"/>
        <w:rPr>
          <w:noProof/>
        </w:rPr>
      </w:pPr>
      <w:r>
        <w:t>(6)</w:t>
      </w:r>
      <w:r>
        <w:tab/>
      </w:r>
      <w:r>
        <w:rPr>
          <w:noProof/>
        </w:rPr>
        <w:t>Az EGAA igénybevételéhez szükséges idő minimálisra csökkentése érdekében ez a határozat az elfogadásának napjától alkalmazandó,</w:t>
      </w:r>
    </w:p>
    <w:p w:rsidR="000E1B77" w:rsidRDefault="00294BD2">
      <w:pPr>
        <w:pStyle w:val="Formuledadoption"/>
        <w:rPr>
          <w:noProof/>
        </w:rPr>
      </w:pPr>
      <w:r>
        <w:rPr>
          <w:noProof/>
        </w:rPr>
        <w:t xml:space="preserve">ELFOGADTA EZT A HATÁROZATOT: </w:t>
      </w:r>
    </w:p>
    <w:p w:rsidR="000E1B77" w:rsidRDefault="00294BD2">
      <w:pPr>
        <w:pStyle w:val="Titrearticle"/>
        <w:rPr>
          <w:noProof/>
        </w:rPr>
      </w:pPr>
      <w:r>
        <w:rPr>
          <w:noProof/>
        </w:rPr>
        <w:t>1. cikk</w:t>
      </w:r>
    </w:p>
    <w:p w:rsidR="000E1B77" w:rsidRDefault="00294BD2">
      <w:pPr>
        <w:rPr>
          <w:noProof/>
        </w:rPr>
      </w:pPr>
      <w:r>
        <w:rPr>
          <w:noProof/>
        </w:rPr>
        <w:t>Az Unió 2018-a</w:t>
      </w:r>
      <w:r>
        <w:rPr>
          <w:noProof/>
        </w:rPr>
        <w:t>s pénzügyi évre vonatkozó általános költségvetésének keretein belül az Európai Globalizációs Alkalmazkodási Alapból 4 621 616 EUR összeg igénybevételére kerül sor kötelezettségvállalási és kifizetési előirányzatok formájában.</w:t>
      </w:r>
    </w:p>
    <w:p w:rsidR="000E1B77" w:rsidRDefault="00294BD2">
      <w:pPr>
        <w:pStyle w:val="Titrearticle"/>
        <w:rPr>
          <w:noProof/>
        </w:rPr>
      </w:pPr>
      <w:r>
        <w:rPr>
          <w:noProof/>
        </w:rPr>
        <w:t>2. cikk</w:t>
      </w:r>
    </w:p>
    <w:p w:rsidR="000E1B77" w:rsidRDefault="00294BD2">
      <w:pPr>
        <w:keepNext/>
        <w:keepLines/>
        <w:rPr>
          <w:noProof/>
        </w:rPr>
      </w:pPr>
      <w:r>
        <w:rPr>
          <w:noProof/>
        </w:rPr>
        <w:t>Ez a határozat az Euró</w:t>
      </w:r>
      <w:r>
        <w:rPr>
          <w:noProof/>
        </w:rPr>
        <w:t xml:space="preserve">pai Unió Hivatalos Lapjában való kihirdetésének napján lép hatályba. Ezt a határozatot </w:t>
      </w:r>
      <w:r>
        <w:rPr>
          <w:noProof/>
          <w:color w:val="FF0000"/>
        </w:rPr>
        <w:t>[</w:t>
      </w:r>
      <w:r>
        <w:rPr>
          <w:i/>
          <w:noProof/>
          <w:color w:val="FF0000"/>
        </w:rPr>
        <w:t>az elfogadás időpontja</w:t>
      </w:r>
      <w:r>
        <w:rPr>
          <w:noProof/>
          <w:color w:val="FF0000"/>
        </w:rPr>
        <w:t>]</w:t>
      </w:r>
      <w:r>
        <w:rPr>
          <w:rStyle w:val="FootnoteReference"/>
          <w:noProof/>
          <w:color w:val="FF0000"/>
        </w:rPr>
        <w:sym w:font="Symbol" w:char="F02A"/>
      </w:r>
      <w:r>
        <w:rPr>
          <w:noProof/>
        </w:rPr>
        <w:t>-tól/-től kell alkalmazni.</w:t>
      </w:r>
    </w:p>
    <w:p w:rsidR="000E1B77" w:rsidRDefault="00294BD2">
      <w:pPr>
        <w:pStyle w:val="Fait"/>
        <w:rPr>
          <w:noProof/>
        </w:rPr>
      </w:pPr>
      <w:r>
        <w:t xml:space="preserve">Kelt Brüsszelben, </w:t>
      </w:r>
      <w:proofErr w:type="spellStart"/>
      <w:r>
        <w:t>-án</w:t>
      </w:r>
      <w:proofErr w:type="spellEnd"/>
      <w:r>
        <w:t>/</w:t>
      </w:r>
      <w:proofErr w:type="spellStart"/>
      <w:r>
        <w:t>-én</w:t>
      </w:r>
      <w:proofErr w:type="spellEnd"/>
      <w:r>
        <w:t>.</w:t>
      </w:r>
    </w:p>
    <w:p w:rsidR="000E1B77" w:rsidRDefault="00294BD2">
      <w:pPr>
        <w:pStyle w:val="Institutionquisigne"/>
        <w:rPr>
          <w:noProof/>
        </w:rPr>
      </w:pPr>
      <w:r>
        <w:rPr>
          <w:noProof/>
        </w:rPr>
        <w:t>az Európai Parlament részéről</w:t>
      </w:r>
      <w:r>
        <w:rPr>
          <w:noProof/>
        </w:rPr>
        <w:tab/>
        <w:t>a Tanács részéről</w:t>
      </w:r>
    </w:p>
    <w:p w:rsidR="000E1B77" w:rsidRDefault="00294BD2">
      <w:pPr>
        <w:pStyle w:val="Personnequisigne"/>
        <w:rPr>
          <w:noProof/>
        </w:rPr>
      </w:pPr>
      <w:r>
        <w:rPr>
          <w:noProof/>
        </w:rPr>
        <w:t>az elnök</w:t>
      </w:r>
      <w:r>
        <w:rPr>
          <w:noProof/>
        </w:rPr>
        <w:tab/>
        <w:t>az elnök</w:t>
      </w:r>
    </w:p>
    <w:sectPr w:rsidR="000E1B77" w:rsidSect="00294BD2">
      <w:pgSz w:w="11907" w:h="16839"/>
      <w:pgMar w:top="1134" w:right="1417" w:bottom="1134" w:left="1417" w:header="709" w:footer="709" w:gutter="0"/>
      <w:pgNumType w:start="1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B77" w:rsidRDefault="00294BD2">
      <w:pPr>
        <w:spacing w:before="0" w:after="0"/>
      </w:pPr>
      <w:r>
        <w:separator/>
      </w:r>
    </w:p>
  </w:endnote>
  <w:endnote w:type="continuationSeparator" w:id="0">
    <w:p w:rsidR="000E1B77" w:rsidRDefault="00294B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BD2" w:rsidRDefault="00294B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B77" w:rsidRDefault="00294BD2">
    <w:pPr>
      <w:pStyle w:val="Footer"/>
      <w:rPr>
        <w:rFonts w:ascii="Arial" w:hAnsi="Arial" w:cs="Arial"/>
        <w:b/>
        <w:sz w:val="48"/>
      </w:rPr>
    </w:pPr>
    <w:proofErr w:type="gramStart"/>
    <w:r>
      <w:rPr>
        <w:rFonts w:ascii="Arial" w:hAnsi="Arial" w:cs="Arial"/>
        <w:b/>
        <w:sz w:val="48"/>
      </w:rPr>
      <w:t>HU</w:t>
    </w:r>
    <w:proofErr w:type="gramEnd"/>
    <w:r>
      <w:rPr>
        <w:rFonts w:ascii="Arial" w:hAnsi="Arial" w:cs="Arial"/>
        <w:b/>
        <w:sz w:val="48"/>
      </w:rPr>
      <w:tab/>
    </w:r>
    <w:r>
      <w:rPr>
        <w:rFonts w:ascii="Arial" w:hAnsi="Arial" w:cs="Arial"/>
        <w:b/>
        <w:sz w:val="48"/>
      </w:rPr>
      <w:tab/>
    </w:r>
    <w:r>
      <w:tab/>
    </w:r>
    <w:proofErr w:type="spellStart"/>
    <w:r>
      <w:rPr>
        <w:rFonts w:ascii="Arial" w:hAnsi="Arial" w:cs="Arial"/>
        <w:b/>
        <w:sz w:val="48"/>
      </w:rPr>
      <w:t>HU</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BD2" w:rsidRDefault="00294BD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B77" w:rsidRDefault="00294BD2">
    <w:pPr>
      <w:pStyle w:val="Footer"/>
      <w:rPr>
        <w:rFonts w:ascii="Arial" w:hAnsi="Arial" w:cs="Arial"/>
        <w:b/>
        <w:sz w:val="48"/>
      </w:rPr>
    </w:pPr>
    <w:proofErr w:type="gramStart"/>
    <w:r>
      <w:rPr>
        <w:rFonts w:ascii="Arial" w:hAnsi="Arial" w:cs="Arial"/>
        <w:b/>
        <w:sz w:val="48"/>
      </w:rPr>
      <w:t>HU</w:t>
    </w:r>
    <w:proofErr w:type="gramEnd"/>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tab/>
    </w:r>
    <w:r>
      <w:rPr>
        <w:rFonts w:ascii="Arial" w:hAnsi="Arial" w:cs="Arial"/>
        <w:b/>
        <w:sz w:val="48"/>
      </w:rPr>
      <w:t>HU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B77" w:rsidRDefault="000E1B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B77" w:rsidRDefault="00294BD2">
      <w:pPr>
        <w:spacing w:before="0" w:after="0"/>
      </w:pPr>
      <w:r>
        <w:separator/>
      </w:r>
    </w:p>
  </w:footnote>
  <w:footnote w:type="continuationSeparator" w:id="0">
    <w:p w:rsidR="000E1B77" w:rsidRDefault="00294BD2">
      <w:pPr>
        <w:spacing w:before="0" w:after="0"/>
      </w:pPr>
      <w:r>
        <w:continuationSeparator/>
      </w:r>
    </w:p>
  </w:footnote>
  <w:footnote w:id="1">
    <w:p w:rsidR="000E1B77" w:rsidRDefault="00294BD2">
      <w:pPr>
        <w:pStyle w:val="FootnoteText"/>
      </w:pPr>
      <w:r>
        <w:rPr>
          <w:rStyle w:val="FootnoteReference"/>
        </w:rPr>
        <w:footnoteRef/>
      </w:r>
      <w:r>
        <w:tab/>
        <w:t xml:space="preserve">HL L 347., </w:t>
      </w:r>
      <w:r>
        <w:t>2013.12.20</w:t>
      </w:r>
      <w:proofErr w:type="gramStart"/>
      <w:r>
        <w:t>.,</w:t>
      </w:r>
      <w:proofErr w:type="gramEnd"/>
      <w:r>
        <w:t xml:space="preserve"> 855. o.</w:t>
      </w:r>
    </w:p>
  </w:footnote>
  <w:footnote w:id="2">
    <w:p w:rsidR="000E1B77" w:rsidRDefault="00294BD2">
      <w:pPr>
        <w:pStyle w:val="FootnoteText"/>
      </w:pPr>
      <w:r>
        <w:rPr>
          <w:rStyle w:val="FootnoteReference"/>
        </w:rPr>
        <w:footnoteRef/>
      </w:r>
      <w:r>
        <w:tab/>
        <w:t xml:space="preserve">Az </w:t>
      </w:r>
      <w:proofErr w:type="spellStart"/>
      <w:r>
        <w:t>EGAA-rendelet</w:t>
      </w:r>
      <w:proofErr w:type="spellEnd"/>
      <w:r>
        <w:t xml:space="preserve"> 3. cikke értelmében.</w:t>
      </w:r>
    </w:p>
  </w:footnote>
  <w:footnote w:id="3">
    <w:p w:rsidR="000E1B77" w:rsidRDefault="00294BD2">
      <w:pPr>
        <w:pStyle w:val="FootnoteText"/>
      </w:pPr>
      <w:r>
        <w:rPr>
          <w:rStyle w:val="FootnoteReference"/>
        </w:rPr>
        <w:footnoteRef/>
      </w:r>
      <w:r>
        <w:tab/>
        <w:t>A Bizottság 1046/2012/EU rendelete (2012. november 8.) az új regionális bontásra vonatkozó idősorok továbbítása tekintetében a statisztikai célú területi egységek nómenklatúrájának (NUTS) létre</w:t>
      </w:r>
      <w:r>
        <w:t>hozásáról szóló 1059/2003/EK európai parlamenti és tanácsi rendelet végrehajtásáról (HL L 310., 2012.11.9</w:t>
      </w:r>
      <w:proofErr w:type="gramStart"/>
      <w:r>
        <w:t>.,</w:t>
      </w:r>
      <w:proofErr w:type="gramEnd"/>
      <w:r>
        <w:t xml:space="preserve"> 34. o.).</w:t>
      </w:r>
    </w:p>
  </w:footnote>
  <w:footnote w:id="4">
    <w:p w:rsidR="000E1B77" w:rsidRDefault="00294BD2">
      <w:pPr>
        <w:pStyle w:val="FootnoteText"/>
      </w:pPr>
      <w:r>
        <w:rPr>
          <w:rStyle w:val="FootnoteReference"/>
        </w:rPr>
        <w:footnoteRef/>
      </w:r>
      <w:r>
        <w:tab/>
        <w:t>HL L 393., 2006.12.30</w:t>
      </w:r>
      <w:proofErr w:type="gramStart"/>
      <w:r>
        <w:t>.,</w:t>
      </w:r>
      <w:proofErr w:type="gramEnd"/>
      <w:r>
        <w:t xml:space="preserve"> 1. o.</w:t>
      </w:r>
    </w:p>
  </w:footnote>
  <w:footnote w:id="5">
    <w:p w:rsidR="000E1B77" w:rsidRDefault="00294BD2">
      <w:pPr>
        <w:pStyle w:val="FootnoteText"/>
      </w:pPr>
      <w:r>
        <w:rPr>
          <w:rStyle w:val="FootnoteReference"/>
        </w:rPr>
        <w:footnoteRef/>
      </w:r>
      <w:r>
        <w:tab/>
        <w:t xml:space="preserve">Négy beszállító a referencia-időszak alatt bocsátott el munkavállalókat, egy pedig ezen időszakon kívül. </w:t>
      </w:r>
    </w:p>
  </w:footnote>
  <w:footnote w:id="6">
    <w:p w:rsidR="000E1B77" w:rsidRDefault="00294BD2">
      <w:pPr>
        <w:pStyle w:val="FootnoteText"/>
      </w:pPr>
      <w:r>
        <w:rPr>
          <w:rStyle w:val="FootnoteReference"/>
        </w:rPr>
        <w:footnoteRef/>
      </w:r>
      <w:r>
        <w:tab/>
        <w:t>Az 1309/2013/EU rendelet 7. cikkének (4) bekezdése alapján.</w:t>
      </w:r>
    </w:p>
  </w:footnote>
  <w:footnote w:id="7">
    <w:p w:rsidR="000E1B77" w:rsidRDefault="00294BD2">
      <w:pPr>
        <w:pStyle w:val="FootnoteText"/>
      </w:pPr>
      <w:r>
        <w:rPr>
          <w:rStyle w:val="FootnoteReference"/>
        </w:rPr>
        <w:footnoteRef/>
      </w:r>
      <w:r>
        <w:tab/>
        <w:t>A cég részesedése a 2003. évi 26 %-ról 2013-ra 13 %-ra esett vissza, az igazgatótanácsnak címzett közlemény, 2013. február 28.</w:t>
      </w:r>
    </w:p>
  </w:footnote>
  <w:footnote w:id="8">
    <w:p w:rsidR="000E1B77" w:rsidRDefault="00294BD2">
      <w:pPr>
        <w:pStyle w:val="FootnoteText"/>
      </w:pPr>
      <w:r>
        <w:rPr>
          <w:rStyle w:val="FootnoteReference"/>
        </w:rPr>
        <w:footnoteRef/>
      </w:r>
      <w:r>
        <w:tab/>
      </w:r>
      <w:proofErr w:type="spellStart"/>
      <w:r>
        <w:t>Eurostat</w:t>
      </w:r>
      <w:proofErr w:type="spellEnd"/>
      <w:r>
        <w:t xml:space="preserve">, </w:t>
      </w:r>
      <w:proofErr w:type="spellStart"/>
      <w:r>
        <w:t>Annual</w:t>
      </w:r>
      <w:proofErr w:type="spellEnd"/>
      <w:r>
        <w:t xml:space="preserve"> </w:t>
      </w:r>
      <w:proofErr w:type="spellStart"/>
      <w:r>
        <w:t>detailed</w:t>
      </w:r>
      <w:proofErr w:type="spellEnd"/>
      <w:r>
        <w:t xml:space="preserve"> </w:t>
      </w:r>
      <w:proofErr w:type="spellStart"/>
      <w:r>
        <w:t>enterprise</w:t>
      </w:r>
      <w:proofErr w:type="spellEnd"/>
      <w:r>
        <w:t xml:space="preserve"> </w:t>
      </w:r>
      <w:proofErr w:type="spellStart"/>
      <w:r>
        <w:t>statistics</w:t>
      </w:r>
      <w:proofErr w:type="spellEnd"/>
      <w:r>
        <w:t xml:space="preserve"> </w:t>
      </w:r>
      <w:proofErr w:type="spellStart"/>
      <w:r>
        <w:t>for</w:t>
      </w:r>
      <w:proofErr w:type="spellEnd"/>
      <w:r>
        <w:t xml:space="preserve"> </w:t>
      </w:r>
      <w:proofErr w:type="spellStart"/>
      <w:r>
        <w:t>industry</w:t>
      </w:r>
      <w:proofErr w:type="spellEnd"/>
      <w:r>
        <w:t xml:space="preserve"> (</w:t>
      </w:r>
      <w:r>
        <w:t xml:space="preserve">NACE </w:t>
      </w:r>
      <w:proofErr w:type="spellStart"/>
      <w:r>
        <w:t>Rev</w:t>
      </w:r>
      <w:proofErr w:type="spellEnd"/>
      <w:r>
        <w:t>. 2 B-E), (</w:t>
      </w:r>
      <w:proofErr w:type="spellStart"/>
      <w:r>
        <w:t>Eurostat</w:t>
      </w:r>
      <w:proofErr w:type="spellEnd"/>
      <w:r>
        <w:t xml:space="preserve">, </w:t>
      </w:r>
      <w:proofErr w:type="gramStart"/>
      <w:r>
        <w:t>A</w:t>
      </w:r>
      <w:proofErr w:type="gramEnd"/>
      <w:r>
        <w:t xml:space="preserve"> gazdasági egységek iparra [NACE </w:t>
      </w:r>
      <w:proofErr w:type="spellStart"/>
      <w:r>
        <w:t>Rev</w:t>
      </w:r>
      <w:proofErr w:type="spellEnd"/>
      <w:r>
        <w:t>. 2 B-E] vonatkozó részletes éves statisztikai adatai).</w:t>
      </w:r>
    </w:p>
  </w:footnote>
  <w:footnote w:id="9">
    <w:p w:rsidR="000E1B77" w:rsidRDefault="00294BD2">
      <w:pPr>
        <w:spacing w:before="0" w:after="0"/>
        <w:rPr>
          <w:sz w:val="20"/>
          <w:szCs w:val="20"/>
        </w:rPr>
      </w:pPr>
      <w:r>
        <w:rPr>
          <w:rStyle w:val="FootnoteReference"/>
        </w:rPr>
        <w:footnoteRef/>
      </w:r>
      <w:r>
        <w:tab/>
      </w:r>
      <w:r>
        <w:rPr>
          <w:sz w:val="20"/>
        </w:rPr>
        <w:t>A 2014. évi 3,1 milliárd EUR-ról 2016-ra 8 millió EU-ra.</w:t>
      </w:r>
    </w:p>
    <w:p w:rsidR="000E1B77" w:rsidRDefault="00294BD2">
      <w:pPr>
        <w:spacing w:before="0" w:after="0"/>
        <w:ind w:left="720"/>
        <w:jc w:val="left"/>
        <w:rPr>
          <w:sz w:val="20"/>
          <w:szCs w:val="20"/>
        </w:rPr>
      </w:pPr>
      <w:proofErr w:type="spellStart"/>
      <w:r>
        <w:rPr>
          <w:sz w:val="20"/>
        </w:rPr>
        <w:t>Eurostat</w:t>
      </w:r>
      <w:proofErr w:type="spellEnd"/>
      <w:r>
        <w:rPr>
          <w:sz w:val="20"/>
        </w:rPr>
        <w:t>: DS016890 kód.</w:t>
      </w:r>
    </w:p>
  </w:footnote>
  <w:footnote w:id="10">
    <w:p w:rsidR="000E1B77" w:rsidRDefault="00294BD2">
      <w:pPr>
        <w:pStyle w:val="FootnoteText"/>
      </w:pPr>
      <w:r>
        <w:rPr>
          <w:rStyle w:val="FootnoteReference"/>
        </w:rPr>
        <w:footnoteRef/>
      </w:r>
      <w:r>
        <w:tab/>
        <w:t>A 2003. évi 25 %-ról 2013-ben 48 %-ra.</w:t>
      </w:r>
    </w:p>
  </w:footnote>
  <w:footnote w:id="11">
    <w:p w:rsidR="000E1B77" w:rsidRDefault="00294BD2">
      <w:pPr>
        <w:pStyle w:val="FootnoteText"/>
      </w:pPr>
      <w:r>
        <w:rPr>
          <w:rStyle w:val="FootnoteReference"/>
        </w:rPr>
        <w:footnoteRef/>
      </w:r>
      <w:r>
        <w:tab/>
      </w:r>
      <w:hyperlink r:id="rId1">
        <w:r>
          <w:t>http://steelbenchmarker.com/files/history.pdf</w:t>
        </w:r>
      </w:hyperlink>
    </w:p>
  </w:footnote>
  <w:footnote w:id="12">
    <w:p w:rsidR="000E1B77" w:rsidRDefault="00294BD2">
      <w:pPr>
        <w:pStyle w:val="FootnoteText"/>
      </w:pPr>
      <w:r>
        <w:rPr>
          <w:rStyle w:val="FootnoteReference"/>
        </w:rPr>
        <w:footnoteRef/>
      </w:r>
      <w:r>
        <w:tab/>
        <w:t>Caterpillar, az igazgatótanácsnak címzett közlemény, 2013. február 28.</w:t>
      </w:r>
    </w:p>
  </w:footnote>
  <w:footnote w:id="13">
    <w:p w:rsidR="000E1B77" w:rsidRDefault="00294BD2">
      <w:pPr>
        <w:pStyle w:val="FootnoteText"/>
      </w:pPr>
      <w:r>
        <w:rPr>
          <w:rStyle w:val="FootnoteReference"/>
        </w:rPr>
        <w:footnoteRef/>
      </w:r>
      <w:r>
        <w:tab/>
        <w:t>Az álláskeresők 2016. decemberi száma alapján végzett számítás.</w:t>
      </w:r>
    </w:p>
  </w:footnote>
  <w:footnote w:id="14">
    <w:p w:rsidR="000E1B77" w:rsidRDefault="00294BD2">
      <w:pPr>
        <w:pStyle w:val="FootnoteText"/>
      </w:pPr>
      <w:r>
        <w:rPr>
          <w:rStyle w:val="FootnoteReference"/>
        </w:rPr>
        <w:footnoteRef/>
      </w:r>
      <w:r>
        <w:tab/>
      </w:r>
      <w:hyperlink r:id="rId2">
        <w:r>
          <w:t>https://www.leforem.be/MungoBlobs/44/644/20180212_Chiffres_SeriesStatistiquesMde201801.pdf</w:t>
        </w:r>
      </w:hyperlink>
    </w:p>
  </w:footnote>
  <w:footnote w:id="15">
    <w:p w:rsidR="000E1B77" w:rsidRDefault="00294BD2">
      <w:pPr>
        <w:rPr>
          <w:sz w:val="20"/>
          <w:szCs w:val="20"/>
        </w:rPr>
      </w:pPr>
      <w:r>
        <w:rPr>
          <w:rStyle w:val="FootnoteReference"/>
        </w:rPr>
        <w:footnoteRef/>
      </w:r>
      <w:r>
        <w:tab/>
      </w:r>
      <w:hyperlink r:id="rId3">
        <w:r>
          <w:rPr>
            <w:sz w:val="16"/>
          </w:rPr>
          <w:t>http://eur-lex.europa.eu/resource.html?uri=cellar:a59b6beb-7a4f-11e6-b076-01aa75ed71a1.0001.02/DOC_1&amp;format=PDF</w:t>
        </w:r>
      </w:hyperlink>
    </w:p>
  </w:footnote>
  <w:footnote w:id="16">
    <w:p w:rsidR="000E1B77" w:rsidRDefault="00294BD2">
      <w:pPr>
        <w:pStyle w:val="FootnoteText"/>
      </w:pPr>
      <w:r>
        <w:rPr>
          <w:rStyle w:val="FootnoteReference"/>
        </w:rPr>
        <w:footnoteRef/>
      </w:r>
      <w:r>
        <w:tab/>
      </w:r>
      <w:proofErr w:type="spellStart"/>
      <w:r>
        <w:t>Plan</w:t>
      </w:r>
      <w:proofErr w:type="spellEnd"/>
      <w:r>
        <w:t xml:space="preserve"> CATCH, </w:t>
      </w:r>
      <w:proofErr w:type="spellStart"/>
      <w:r>
        <w:t>Accélérer</w:t>
      </w:r>
      <w:proofErr w:type="spellEnd"/>
      <w:r>
        <w:t xml:space="preserve"> la </w:t>
      </w:r>
      <w:proofErr w:type="spellStart"/>
      <w:r>
        <w:t>Croissance</w:t>
      </w:r>
      <w:proofErr w:type="spellEnd"/>
      <w:r>
        <w:t xml:space="preserve"> de l'</w:t>
      </w:r>
      <w:proofErr w:type="spellStart"/>
      <w:r>
        <w:t>Emploi</w:t>
      </w:r>
      <w:proofErr w:type="spellEnd"/>
      <w:r>
        <w:t xml:space="preserve"> </w:t>
      </w:r>
      <w:proofErr w:type="spellStart"/>
      <w:r>
        <w:t>dans</w:t>
      </w:r>
      <w:proofErr w:type="spellEnd"/>
      <w:r>
        <w:t xml:space="preserve"> </w:t>
      </w:r>
      <w:proofErr w:type="gramStart"/>
      <w:r>
        <w:t>la</w:t>
      </w:r>
      <w:proofErr w:type="gramEnd"/>
      <w:r>
        <w:t xml:space="preserve"> Région de </w:t>
      </w:r>
      <w:proofErr w:type="spellStart"/>
      <w:r>
        <w:t>Charleroi</w:t>
      </w:r>
      <w:proofErr w:type="spellEnd"/>
      <w:r>
        <w:t xml:space="preserve"> </w:t>
      </w:r>
      <w:r>
        <w:t xml:space="preserve">(CATCH terv: A foglalkoztatás növelése </w:t>
      </w:r>
      <w:proofErr w:type="spellStart"/>
      <w:r>
        <w:t>Charleroi</w:t>
      </w:r>
      <w:proofErr w:type="spellEnd"/>
      <w:r>
        <w:t xml:space="preserve"> körzetében) 2017. szeptember.</w:t>
      </w:r>
    </w:p>
    <w:p w:rsidR="000E1B77" w:rsidRDefault="00294BD2">
      <w:pPr>
        <w:pStyle w:val="FootnoteText"/>
        <w:ind w:left="0" w:firstLine="0"/>
      </w:pPr>
      <w:r>
        <w:t xml:space="preserve">    </w:t>
      </w:r>
      <w:r>
        <w:tab/>
      </w:r>
      <w:hyperlink r:id="rId4">
        <w:r>
          <w:rPr>
            <w:rStyle w:val="Hyperlink"/>
          </w:rPr>
          <w:t>http://www.catch-charleroi.be/</w:t>
        </w:r>
      </w:hyperlink>
    </w:p>
  </w:footnote>
  <w:footnote w:id="17">
    <w:p w:rsidR="000E1B77" w:rsidRDefault="00294BD2">
      <w:pPr>
        <w:pStyle w:val="FootnoteText"/>
      </w:pPr>
      <w:r>
        <w:rPr>
          <w:rStyle w:val="FootnoteReference"/>
        </w:rPr>
        <w:footnoteRef/>
      </w:r>
      <w:r>
        <w:tab/>
        <w:t>A végösszegek a kerekítés miatt nem egyeznek.</w:t>
      </w:r>
    </w:p>
  </w:footnote>
  <w:footnote w:id="18">
    <w:p w:rsidR="000E1B77" w:rsidRDefault="00294BD2">
      <w:pPr>
        <w:pStyle w:val="FootnoteText"/>
      </w:pPr>
      <w:r>
        <w:rPr>
          <w:rStyle w:val="FootnoteReference"/>
        </w:rPr>
        <w:footnoteRef/>
      </w:r>
      <w:r>
        <w:tab/>
        <w:t>A SOGEPA egy olyan befektetési alap, amel</w:t>
      </w:r>
      <w:r>
        <w:t>y befektetési szolgáltatásokat kínál, valamint hiteles és fenntartható gazdasági és ipari projektekre épülő vállalati átszervezések végrehajtásához nyújt segítséget.</w:t>
      </w:r>
    </w:p>
  </w:footnote>
  <w:footnote w:id="19">
    <w:p w:rsidR="000E1B77" w:rsidRDefault="00294BD2">
      <w:pPr>
        <w:pStyle w:val="FootnoteText"/>
        <w:rPr>
          <w:lang w:val="pt-PT"/>
        </w:rPr>
      </w:pPr>
      <w:r>
        <w:rPr>
          <w:rStyle w:val="FootnoteReference"/>
        </w:rPr>
        <w:footnoteRef/>
      </w:r>
      <w:r>
        <w:tab/>
        <w:t>HL L 347., 2013.12.20</w:t>
      </w:r>
      <w:proofErr w:type="gramStart"/>
      <w:r>
        <w:t>.,</w:t>
      </w:r>
      <w:proofErr w:type="gramEnd"/>
      <w:r>
        <w:t xml:space="preserve"> 884. o.</w:t>
      </w:r>
    </w:p>
  </w:footnote>
  <w:footnote w:id="20">
    <w:p w:rsidR="000E1B77" w:rsidRDefault="00294BD2">
      <w:pPr>
        <w:pStyle w:val="FootnoteText"/>
        <w:rPr>
          <w:lang w:val="pt-PT"/>
        </w:rPr>
      </w:pPr>
      <w:r>
        <w:rPr>
          <w:rStyle w:val="FootnoteReference"/>
        </w:rPr>
        <w:footnoteRef/>
      </w:r>
      <w:r>
        <w:tab/>
        <w:t>HL C 373., 2013.12.20</w:t>
      </w:r>
      <w:proofErr w:type="gramStart"/>
      <w:r>
        <w:t>.,</w:t>
      </w:r>
      <w:proofErr w:type="gramEnd"/>
      <w:r>
        <w:t xml:space="preserve"> 1. o.</w:t>
      </w:r>
    </w:p>
  </w:footnote>
  <w:footnote w:id="21">
    <w:p w:rsidR="000E1B77" w:rsidRDefault="00294BD2">
      <w:pPr>
        <w:pStyle w:val="FootnoteText"/>
        <w:rPr>
          <w:lang w:val="pt-PT"/>
        </w:rPr>
      </w:pPr>
      <w:r>
        <w:rPr>
          <w:rStyle w:val="FootnoteReference"/>
        </w:rPr>
        <w:footnoteRef/>
      </w:r>
      <w:r>
        <w:tab/>
        <w:t>HL L 347., 2013.12.20</w:t>
      </w:r>
      <w:proofErr w:type="gramStart"/>
      <w:r>
        <w:t>.</w:t>
      </w:r>
      <w:r>
        <w:t>,</w:t>
      </w:r>
      <w:proofErr w:type="gramEnd"/>
      <w:r>
        <w:t xml:space="preserve"> 855. o.</w:t>
      </w:r>
    </w:p>
  </w:footnote>
  <w:footnote w:id="22">
    <w:p w:rsidR="000E1B77" w:rsidRDefault="00294BD2">
      <w:pPr>
        <w:pStyle w:val="FootnoteText"/>
      </w:pPr>
      <w:r>
        <w:rPr>
          <w:rStyle w:val="FootnoteReference"/>
        </w:rPr>
        <w:footnoteRef/>
      </w:r>
      <w:r>
        <w:tab/>
        <w:t>HL C 373., 2013.12.20</w:t>
      </w:r>
      <w:proofErr w:type="gramStart"/>
      <w:r>
        <w:t>.,</w:t>
      </w:r>
      <w:proofErr w:type="gramEnd"/>
      <w:r>
        <w:t xml:space="preserve"> 1. o.</w:t>
      </w:r>
    </w:p>
  </w:footnote>
  <w:footnote w:id="23">
    <w:p w:rsidR="000E1B77" w:rsidRDefault="00294BD2">
      <w:pPr>
        <w:pStyle w:val="FootnoteText"/>
      </w:pPr>
      <w:r>
        <w:rPr>
          <w:rStyle w:val="FootnoteReference"/>
        </w:rPr>
        <w:footnoteRef/>
      </w:r>
      <w:r>
        <w:tab/>
        <w:t>A Tanács 1311/2013/EU, Euratom rendelete (2013. december 2.) a 2014–2020-as időszakra vonatkozó többéves pénzügyi keretről (HL L 347., 2013.12.20</w:t>
      </w:r>
      <w:proofErr w:type="gramStart"/>
      <w:r>
        <w:t>.,</w:t>
      </w:r>
      <w:proofErr w:type="gramEnd"/>
      <w:r>
        <w:t xml:space="preserve"> 884. 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BD2" w:rsidRDefault="00294B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BD2" w:rsidRDefault="00294B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BD2" w:rsidRDefault="00294B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BB68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9E463D0"/>
    <w:lvl w:ilvl="0">
      <w:start w:val="1"/>
      <w:numFmt w:val="decimal"/>
      <w:pStyle w:val="ListNumber3"/>
      <w:lvlText w:val="%1."/>
      <w:lvlJc w:val="left"/>
      <w:pPr>
        <w:tabs>
          <w:tab w:val="num" w:pos="926"/>
        </w:tabs>
        <w:ind w:left="926" w:hanging="360"/>
      </w:pPr>
    </w:lvl>
  </w:abstractNum>
  <w:abstractNum w:abstractNumId="2">
    <w:nsid w:val="FFFFFF7F"/>
    <w:multiLevelType w:val="singleLevel"/>
    <w:tmpl w:val="780CFF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498EC5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32C75C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F90476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C28232A"/>
    <w:lvl w:ilvl="0">
      <w:start w:val="1"/>
      <w:numFmt w:val="decimal"/>
      <w:pStyle w:val="ListNumber"/>
      <w:lvlText w:val="%1."/>
      <w:lvlJc w:val="left"/>
      <w:pPr>
        <w:tabs>
          <w:tab w:val="num" w:pos="360"/>
        </w:tabs>
        <w:ind w:left="360" w:hanging="360"/>
      </w:pPr>
    </w:lvl>
  </w:abstractNum>
  <w:abstractNum w:abstractNumId="7">
    <w:nsid w:val="FFFFFF89"/>
    <w:multiLevelType w:val="singleLevel"/>
    <w:tmpl w:val="45869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num>
  <w:num w:numId="7">
    <w:abstractNumId w:val="6"/>
  </w:num>
  <w:num w:numId="8">
    <w:abstractNumId w:val="2"/>
  </w:num>
  <w:num w:numId="9">
    <w:abstractNumId w:val="1"/>
  </w:num>
  <w:num w:numId="10">
    <w:abstractNumId w:val="0"/>
  </w:num>
  <w:num w:numId="11">
    <w:abstractNumId w:val="12"/>
    <w:lvlOverride w:ilvl="0">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3-19 11:18:22"/>
    <w:docVar w:name="DQCResult_Distribution" w:val="0;0"/>
    <w:docVar w:name="DQCResult_DocumentContent" w:val="0;0"/>
    <w:docVar w:name="DQCResult_DocumentSize" w:val="0;0"/>
    <w:docVar w:name="DQCResult_DocumentVersions" w:val="0;0"/>
    <w:docVar w:name="DQCResult_ExistenceOfMacros" w:val="0;0"/>
    <w:docVar w:name="DQCResult_InvalidFootnotes" w:val="0;1"/>
    <w:docVar w:name="DQCResult_LinkedStyles" w:val="0;0"/>
    <w:docVar w:name="DQCResult_ModifiedMargins" w:val="0;5"/>
    <w:docVar w:name="DQCResult_ModifiedMarkers" w:val="0;0"/>
    <w:docVar w:name="DQCResult_ModifiedNumbering" w:val="0;0"/>
    <w:docVar w:name="DQCResult_Objects" w:val="0;0"/>
    <w:docVar w:name="DQCResult_Sections" w:val="0;2"/>
    <w:docVar w:name="DQCResult_StructureCheck" w:val="0;0"/>
    <w:docVar w:name="DQCResult_SuperfluousWhitespace" w:val="0;19"/>
    <w:docVar w:name="DQCResult_UnknownFonts" w:val="0;0"/>
    <w:docVar w:name="DQCResult_UnknownStyles" w:val="0;3"/>
    <w:docVar w:name="DQCStatus" w:val="Yellow"/>
    <w:docVar w:name="DQCVersion" w:val="3"/>
    <w:docVar w:name="DQCWithWarnings" w:val="0"/>
    <w:docVar w:name="LW_CORRIGENDUM" w:val="&lt;UNUSED&gt;"/>
    <w:docVar w:name="LW_COVERPAGE_EXISTS" w:val="True"/>
    <w:docVar w:name="LW_COVERPAGE_GUID" w:val="785A07D8-B5C7-4B4B-9D2B-6F4600565B8A"/>
    <w:docVar w:name="LW_COVERPAGE_TYPE" w:val="1"/>
    <w:docVar w:name="LW_CROSSREFERENCE" w:val="&lt;UNUSED&gt;"/>
    <w:docVar w:name="LW_DocType" w:val="COM"/>
    <w:docVar w:name="LW_EMISSION" w:val="2018.3.23."/>
    <w:docVar w:name="LW_EMISSION_ISODATE" w:val="2018-03-23"/>
    <w:docVar w:name="LW_EMISSION_LOCATION" w:val="BRX"/>
    <w:docVar w:name="LW_EMISSION_PREFIX" w:val="Brüsszel, "/>
    <w:docVar w:name="LW_EMISSION_SUFFIX" w:val="&lt;EMPTY&gt;"/>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HU"/>
    <w:docVar w:name="LW_LEVEL_OF_SENSITIVITY" w:val="Standard treatment"/>
    <w:docVar w:name="LW_NOM.INST" w:val="EURÓPAI BIZOTTSÁG"/>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15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Javaslat"/>
    <w:docVar w:name="LW_SUPERTITRE" w:val="&lt;UNUSED&gt;"/>
    <w:docVar w:name="LW_TITRE.OBJ.CP" w:val="Belgium EGF/2017/010 BE/Caterpillar referenciaszámú kérelme nyomán az Európai Globalizációs Alkalmazkodási Alap igénybevételér\u337?l_x000b_ "/>
    <w:docVar w:name="LW_TYPE.DOC.CP" w:val="AZ EURÓPAI PARLAMENT ÉS A TANÁCS HATÁROZATA"/>
  </w:docVars>
  <w:rsids>
    <w:rsidRoot w:val="000E1B77"/>
    <w:rsid w:val="000E1B77"/>
    <w:rsid w:val="00294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customStyle="1" w:styleId="st">
    <w:name w:val="st"/>
    <w:basedOn w:val="DefaultParagraphFont"/>
  </w:style>
  <w:style w:type="character" w:styleId="Emphasis">
    <w:name w:val="Emphasis"/>
    <w:basedOn w:val="DefaultParagraphFont"/>
    <w:uiPriority w:val="20"/>
    <w:qFormat/>
    <w:rPr>
      <w:i/>
      <w:iCs/>
    </w:rPr>
  </w:style>
  <w:style w:type="character" w:customStyle="1" w:styleId="shorttext">
    <w:name w:val="short_text"/>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customStyle="1" w:styleId="st">
    <w:name w:val="st"/>
    <w:basedOn w:val="DefaultParagraphFont"/>
  </w:style>
  <w:style w:type="character" w:styleId="Emphasis">
    <w:name w:val="Emphasis"/>
    <w:basedOn w:val="DefaultParagraphFont"/>
    <w:uiPriority w:val="20"/>
    <w:qFormat/>
    <w:rPr>
      <w:i/>
      <w:iCs/>
    </w:rPr>
  </w:style>
  <w:style w:type="character" w:customStyle="1" w:styleId="shorttext">
    <w:name w:val="short_text"/>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99584">
      <w:bodyDiv w:val="1"/>
      <w:marLeft w:val="0"/>
      <w:marRight w:val="0"/>
      <w:marTop w:val="0"/>
      <w:marBottom w:val="0"/>
      <w:divBdr>
        <w:top w:val="none" w:sz="0" w:space="0" w:color="auto"/>
        <w:left w:val="none" w:sz="0" w:space="0" w:color="auto"/>
        <w:bottom w:val="none" w:sz="0" w:space="0" w:color="auto"/>
        <w:right w:val="none" w:sz="0" w:space="0" w:color="auto"/>
      </w:divBdr>
    </w:div>
    <w:div w:id="1209099711">
      <w:bodyDiv w:val="1"/>
      <w:marLeft w:val="0"/>
      <w:marRight w:val="0"/>
      <w:marTop w:val="0"/>
      <w:marBottom w:val="0"/>
      <w:divBdr>
        <w:top w:val="none" w:sz="0" w:space="0" w:color="auto"/>
        <w:left w:val="none" w:sz="0" w:space="0" w:color="auto"/>
        <w:bottom w:val="none" w:sz="0" w:space="0" w:color="auto"/>
        <w:right w:val="none" w:sz="0" w:space="0" w:color="auto"/>
      </w:divBdr>
    </w:div>
    <w:div w:id="1264723693">
      <w:bodyDiv w:val="1"/>
      <w:marLeft w:val="0"/>
      <w:marRight w:val="0"/>
      <w:marTop w:val="0"/>
      <w:marBottom w:val="0"/>
      <w:divBdr>
        <w:top w:val="none" w:sz="0" w:space="0" w:color="auto"/>
        <w:left w:val="none" w:sz="0" w:space="0" w:color="auto"/>
        <w:bottom w:val="none" w:sz="0" w:space="0" w:color="auto"/>
        <w:right w:val="none" w:sz="0" w:space="0" w:color="auto"/>
      </w:divBdr>
    </w:div>
    <w:div w:id="1849832883">
      <w:bodyDiv w:val="1"/>
      <w:marLeft w:val="0"/>
      <w:marRight w:val="0"/>
      <w:marTop w:val="0"/>
      <w:marBottom w:val="0"/>
      <w:divBdr>
        <w:top w:val="none" w:sz="0" w:space="0" w:color="auto"/>
        <w:left w:val="none" w:sz="0" w:space="0" w:color="auto"/>
        <w:bottom w:val="none" w:sz="0" w:space="0" w:color="auto"/>
        <w:right w:val="none" w:sz="0" w:space="0" w:color="auto"/>
      </w:divBdr>
      <w:divsChild>
        <w:div w:id="311518765">
          <w:marLeft w:val="0"/>
          <w:marRight w:val="0"/>
          <w:marTop w:val="0"/>
          <w:marBottom w:val="0"/>
          <w:divBdr>
            <w:top w:val="none" w:sz="0" w:space="0" w:color="auto"/>
            <w:left w:val="none" w:sz="0" w:space="0" w:color="auto"/>
            <w:bottom w:val="none" w:sz="0" w:space="0" w:color="auto"/>
            <w:right w:val="none" w:sz="0" w:space="0" w:color="auto"/>
          </w:divBdr>
          <w:divsChild>
            <w:div w:id="1717585935">
              <w:marLeft w:val="0"/>
              <w:marRight w:val="0"/>
              <w:marTop w:val="0"/>
              <w:marBottom w:val="0"/>
              <w:divBdr>
                <w:top w:val="none" w:sz="0" w:space="0" w:color="auto"/>
                <w:left w:val="none" w:sz="0" w:space="0" w:color="auto"/>
                <w:bottom w:val="none" w:sz="0" w:space="0" w:color="auto"/>
                <w:right w:val="none" w:sz="0" w:space="0" w:color="auto"/>
              </w:divBdr>
              <w:divsChild>
                <w:div w:id="967320564">
                  <w:marLeft w:val="0"/>
                  <w:marRight w:val="0"/>
                  <w:marTop w:val="0"/>
                  <w:marBottom w:val="0"/>
                  <w:divBdr>
                    <w:top w:val="none" w:sz="0" w:space="0" w:color="auto"/>
                    <w:left w:val="none" w:sz="0" w:space="0" w:color="auto"/>
                    <w:bottom w:val="none" w:sz="0" w:space="0" w:color="auto"/>
                    <w:right w:val="none" w:sz="0" w:space="0" w:color="auto"/>
                  </w:divBdr>
                  <w:divsChild>
                    <w:div w:id="937982752">
                      <w:marLeft w:val="0"/>
                      <w:marRight w:val="0"/>
                      <w:marTop w:val="0"/>
                      <w:marBottom w:val="0"/>
                      <w:divBdr>
                        <w:top w:val="none" w:sz="0" w:space="0" w:color="auto"/>
                        <w:left w:val="none" w:sz="0" w:space="0" w:color="auto"/>
                        <w:bottom w:val="none" w:sz="0" w:space="0" w:color="auto"/>
                        <w:right w:val="none" w:sz="0" w:space="0" w:color="auto"/>
                      </w:divBdr>
                      <w:divsChild>
                        <w:div w:id="829950915">
                          <w:marLeft w:val="0"/>
                          <w:marRight w:val="0"/>
                          <w:marTop w:val="0"/>
                          <w:marBottom w:val="0"/>
                          <w:divBdr>
                            <w:top w:val="none" w:sz="0" w:space="0" w:color="auto"/>
                            <w:left w:val="none" w:sz="0" w:space="0" w:color="auto"/>
                            <w:bottom w:val="none" w:sz="0" w:space="0" w:color="auto"/>
                            <w:right w:val="none" w:sz="0" w:space="0" w:color="auto"/>
                          </w:divBdr>
                          <w:divsChild>
                            <w:div w:id="781920794">
                              <w:marLeft w:val="0"/>
                              <w:marRight w:val="0"/>
                              <w:marTop w:val="0"/>
                              <w:marBottom w:val="0"/>
                              <w:divBdr>
                                <w:top w:val="none" w:sz="0" w:space="0" w:color="auto"/>
                                <w:left w:val="none" w:sz="0" w:space="0" w:color="auto"/>
                                <w:bottom w:val="none" w:sz="0" w:space="0" w:color="auto"/>
                                <w:right w:val="none" w:sz="0" w:space="0" w:color="auto"/>
                              </w:divBdr>
                              <w:divsChild>
                                <w:div w:id="86658461">
                                  <w:marLeft w:val="0"/>
                                  <w:marRight w:val="0"/>
                                  <w:marTop w:val="0"/>
                                  <w:marBottom w:val="0"/>
                                  <w:divBdr>
                                    <w:top w:val="none" w:sz="0" w:space="0" w:color="auto"/>
                                    <w:left w:val="none" w:sz="0" w:space="0" w:color="auto"/>
                                    <w:bottom w:val="none" w:sz="0" w:space="0" w:color="auto"/>
                                    <w:right w:val="none" w:sz="0" w:space="0" w:color="auto"/>
                                  </w:divBdr>
                                  <w:divsChild>
                                    <w:div w:id="1640528271">
                                      <w:marLeft w:val="0"/>
                                      <w:marRight w:val="0"/>
                                      <w:marTop w:val="0"/>
                                      <w:marBottom w:val="0"/>
                                      <w:divBdr>
                                        <w:top w:val="none" w:sz="0" w:space="0" w:color="auto"/>
                                        <w:left w:val="none" w:sz="0" w:space="0" w:color="auto"/>
                                        <w:bottom w:val="none" w:sz="0" w:space="0" w:color="auto"/>
                                        <w:right w:val="none" w:sz="0" w:space="0" w:color="auto"/>
                                      </w:divBdr>
                                      <w:divsChild>
                                        <w:div w:id="6369419">
                                          <w:marLeft w:val="0"/>
                                          <w:marRight w:val="0"/>
                                          <w:marTop w:val="0"/>
                                          <w:marBottom w:val="0"/>
                                          <w:divBdr>
                                            <w:top w:val="none" w:sz="0" w:space="0" w:color="auto"/>
                                            <w:left w:val="none" w:sz="0" w:space="0" w:color="auto"/>
                                            <w:bottom w:val="none" w:sz="0" w:space="0" w:color="auto"/>
                                            <w:right w:val="none" w:sz="0" w:space="0" w:color="auto"/>
                                          </w:divBdr>
                                          <w:divsChild>
                                            <w:div w:id="1105684964">
                                              <w:marLeft w:val="0"/>
                                              <w:marRight w:val="0"/>
                                              <w:marTop w:val="0"/>
                                              <w:marBottom w:val="0"/>
                                              <w:divBdr>
                                                <w:top w:val="none" w:sz="0" w:space="0" w:color="auto"/>
                                                <w:left w:val="none" w:sz="0" w:space="0" w:color="auto"/>
                                                <w:bottom w:val="none" w:sz="0" w:space="0" w:color="auto"/>
                                                <w:right w:val="none" w:sz="0" w:space="0" w:color="auto"/>
                                              </w:divBdr>
                                              <w:divsChild>
                                                <w:div w:id="1239903058">
                                                  <w:marLeft w:val="0"/>
                                                  <w:marRight w:val="0"/>
                                                  <w:marTop w:val="0"/>
                                                  <w:marBottom w:val="0"/>
                                                  <w:divBdr>
                                                    <w:top w:val="none" w:sz="0" w:space="0" w:color="auto"/>
                                                    <w:left w:val="none" w:sz="0" w:space="0" w:color="auto"/>
                                                    <w:bottom w:val="none" w:sz="0" w:space="0" w:color="auto"/>
                                                    <w:right w:val="none" w:sz="0" w:space="0" w:color="auto"/>
                                                  </w:divBdr>
                                                  <w:divsChild>
                                                    <w:div w:id="1855459194">
                                                      <w:marLeft w:val="0"/>
                                                      <w:marRight w:val="0"/>
                                                      <w:marTop w:val="0"/>
                                                      <w:marBottom w:val="0"/>
                                                      <w:divBdr>
                                                        <w:top w:val="none" w:sz="0" w:space="0" w:color="auto"/>
                                                        <w:left w:val="none" w:sz="0" w:space="0" w:color="auto"/>
                                                        <w:bottom w:val="none" w:sz="0" w:space="0" w:color="auto"/>
                                                        <w:right w:val="none" w:sz="0" w:space="0" w:color="auto"/>
                                                      </w:divBdr>
                                                      <w:divsChild>
                                                        <w:div w:id="1529099734">
                                                          <w:marLeft w:val="0"/>
                                                          <w:marRight w:val="0"/>
                                                          <w:marTop w:val="0"/>
                                                          <w:marBottom w:val="0"/>
                                                          <w:divBdr>
                                                            <w:top w:val="none" w:sz="0" w:space="0" w:color="auto"/>
                                                            <w:left w:val="single" w:sz="6" w:space="0" w:color="DCDCDC"/>
                                                            <w:bottom w:val="none" w:sz="0" w:space="0" w:color="auto"/>
                                                            <w:right w:val="single" w:sz="6" w:space="0" w:color="DCDCDC"/>
                                                          </w:divBdr>
                                                          <w:divsChild>
                                                            <w:div w:id="215627061">
                                                              <w:marLeft w:val="0"/>
                                                              <w:marRight w:val="0"/>
                                                              <w:marTop w:val="0"/>
                                                              <w:marBottom w:val="0"/>
                                                              <w:divBdr>
                                                                <w:top w:val="none" w:sz="0" w:space="0" w:color="auto"/>
                                                                <w:left w:val="none" w:sz="0" w:space="0" w:color="auto"/>
                                                                <w:bottom w:val="none" w:sz="0" w:space="0" w:color="auto"/>
                                                                <w:right w:val="none" w:sz="0" w:space="0" w:color="auto"/>
                                                              </w:divBdr>
                                                              <w:divsChild>
                                                                <w:div w:id="610824310">
                                                                  <w:marLeft w:val="0"/>
                                                                  <w:marRight w:val="0"/>
                                                                  <w:marTop w:val="0"/>
                                                                  <w:marBottom w:val="0"/>
                                                                  <w:divBdr>
                                                                    <w:top w:val="none" w:sz="0" w:space="0" w:color="auto"/>
                                                                    <w:left w:val="none" w:sz="0" w:space="0" w:color="auto"/>
                                                                    <w:bottom w:val="none" w:sz="0" w:space="0" w:color="auto"/>
                                                                    <w:right w:val="none" w:sz="0" w:space="0" w:color="auto"/>
                                                                  </w:divBdr>
                                                                  <w:divsChild>
                                                                    <w:div w:id="2115247737">
                                                                      <w:marLeft w:val="0"/>
                                                                      <w:marRight w:val="0"/>
                                                                      <w:marTop w:val="0"/>
                                                                      <w:marBottom w:val="0"/>
                                                                      <w:divBdr>
                                                                        <w:top w:val="none" w:sz="0" w:space="0" w:color="auto"/>
                                                                        <w:left w:val="none" w:sz="0" w:space="0" w:color="auto"/>
                                                                        <w:bottom w:val="none" w:sz="0" w:space="0" w:color="auto"/>
                                                                        <w:right w:val="none" w:sz="0" w:space="0" w:color="auto"/>
                                                                      </w:divBdr>
                                                                      <w:divsChild>
                                                                        <w:div w:id="75441928">
                                                                          <w:marLeft w:val="0"/>
                                                                          <w:marRight w:val="0"/>
                                                                          <w:marTop w:val="0"/>
                                                                          <w:marBottom w:val="0"/>
                                                                          <w:divBdr>
                                                                            <w:top w:val="none" w:sz="0" w:space="0" w:color="auto"/>
                                                                            <w:left w:val="none" w:sz="0" w:space="0" w:color="auto"/>
                                                                            <w:bottom w:val="none" w:sz="0" w:space="0" w:color="auto"/>
                                                                            <w:right w:val="none" w:sz="0" w:space="0" w:color="auto"/>
                                                                          </w:divBdr>
                                                                          <w:divsChild>
                                                                            <w:div w:id="1924409470">
                                                                              <w:marLeft w:val="0"/>
                                                                              <w:marRight w:val="0"/>
                                                                              <w:marTop w:val="0"/>
                                                                              <w:marBottom w:val="0"/>
                                                                              <w:divBdr>
                                                                                <w:top w:val="none" w:sz="0" w:space="0" w:color="auto"/>
                                                                                <w:left w:val="none" w:sz="0" w:space="0" w:color="auto"/>
                                                                                <w:bottom w:val="none" w:sz="0" w:space="0" w:color="auto"/>
                                                                                <w:right w:val="none" w:sz="0" w:space="0" w:color="auto"/>
                                                                              </w:divBdr>
                                                                              <w:divsChild>
                                                                                <w:div w:id="2145346290">
                                                                                  <w:marLeft w:val="0"/>
                                                                                  <w:marRight w:val="0"/>
                                                                                  <w:marTop w:val="0"/>
                                                                                  <w:marBottom w:val="0"/>
                                                                                  <w:divBdr>
                                                                                    <w:top w:val="none" w:sz="0" w:space="0" w:color="auto"/>
                                                                                    <w:left w:val="none" w:sz="0" w:space="0" w:color="auto"/>
                                                                                    <w:bottom w:val="none" w:sz="0" w:space="0" w:color="auto"/>
                                                                                    <w:right w:val="none" w:sz="0" w:space="0" w:color="auto"/>
                                                                                  </w:divBdr>
                                                                                  <w:divsChild>
                                                                                    <w:div w:id="367025525">
                                                                                      <w:marLeft w:val="0"/>
                                                                                      <w:marRight w:val="0"/>
                                                                                      <w:marTop w:val="0"/>
                                                                                      <w:marBottom w:val="0"/>
                                                                                      <w:divBdr>
                                                                                        <w:top w:val="none" w:sz="0" w:space="0" w:color="auto"/>
                                                                                        <w:left w:val="none" w:sz="0" w:space="0" w:color="auto"/>
                                                                                        <w:bottom w:val="none" w:sz="0" w:space="0" w:color="auto"/>
                                                                                        <w:right w:val="none" w:sz="0" w:space="0" w:color="auto"/>
                                                                                      </w:divBdr>
                                                                                      <w:divsChild>
                                                                                        <w:div w:id="1473057143">
                                                                                          <w:marLeft w:val="0"/>
                                                                                          <w:marRight w:val="0"/>
                                                                                          <w:marTop w:val="0"/>
                                                                                          <w:marBottom w:val="0"/>
                                                                                          <w:divBdr>
                                                                                            <w:top w:val="none" w:sz="0" w:space="0" w:color="auto"/>
                                                                                            <w:left w:val="none" w:sz="0" w:space="0" w:color="auto"/>
                                                                                            <w:bottom w:val="none" w:sz="0" w:space="0" w:color="auto"/>
                                                                                            <w:right w:val="none" w:sz="0" w:space="0" w:color="auto"/>
                                                                                          </w:divBdr>
                                                                                          <w:divsChild>
                                                                                            <w:div w:id="823158433">
                                                                                              <w:marLeft w:val="0"/>
                                                                                              <w:marRight w:val="0"/>
                                                                                              <w:marTop w:val="0"/>
                                                                                              <w:marBottom w:val="0"/>
                                                                                              <w:divBdr>
                                                                                                <w:top w:val="none" w:sz="0" w:space="0" w:color="auto"/>
                                                                                                <w:left w:val="none" w:sz="0" w:space="0" w:color="auto"/>
                                                                                                <w:bottom w:val="none" w:sz="0" w:space="0" w:color="auto"/>
                                                                                                <w:right w:val="none" w:sz="0" w:space="0" w:color="auto"/>
                                                                                              </w:divBdr>
                                                                                              <w:divsChild>
                                                                                                <w:div w:id="488865699">
                                                                                                  <w:marLeft w:val="0"/>
                                                                                                  <w:marRight w:val="0"/>
                                                                                                  <w:marTop w:val="0"/>
                                                                                                  <w:marBottom w:val="0"/>
                                                                                                  <w:divBdr>
                                                                                                    <w:top w:val="none" w:sz="0" w:space="0" w:color="auto"/>
                                                                                                    <w:left w:val="none" w:sz="0" w:space="0" w:color="auto"/>
                                                                                                    <w:bottom w:val="none" w:sz="0" w:space="0" w:color="auto"/>
                                                                                                    <w:right w:val="none" w:sz="0" w:space="0" w:color="auto"/>
                                                                                                  </w:divBdr>
                                                                                                  <w:divsChild>
                                                                                                    <w:div w:id="1828130117">
                                                                                                      <w:marLeft w:val="0"/>
                                                                                                      <w:marRight w:val="0"/>
                                                                                                      <w:marTop w:val="0"/>
                                                                                                      <w:marBottom w:val="0"/>
                                                                                                      <w:divBdr>
                                                                                                        <w:top w:val="none" w:sz="0" w:space="0" w:color="auto"/>
                                                                                                        <w:left w:val="none" w:sz="0" w:space="0" w:color="auto"/>
                                                                                                        <w:bottom w:val="none" w:sz="0" w:space="0" w:color="auto"/>
                                                                                                        <w:right w:val="none" w:sz="0" w:space="0" w:color="auto"/>
                                                                                                      </w:divBdr>
                                                                                                      <w:divsChild>
                                                                                                        <w:div w:id="1385786632">
                                                                                                          <w:marLeft w:val="0"/>
                                                                                                          <w:marRight w:val="0"/>
                                                                                                          <w:marTop w:val="0"/>
                                                                                                          <w:marBottom w:val="0"/>
                                                                                                          <w:divBdr>
                                                                                                            <w:top w:val="none" w:sz="0" w:space="0" w:color="auto"/>
                                                                                                            <w:left w:val="none" w:sz="0" w:space="0" w:color="auto"/>
                                                                                                            <w:bottom w:val="none" w:sz="0" w:space="0" w:color="auto"/>
                                                                                                            <w:right w:val="none" w:sz="0" w:space="0" w:color="auto"/>
                                                                                                          </w:divBdr>
                                                                                                          <w:divsChild>
                                                                                                            <w:div w:id="1212572474">
                                                                                                              <w:marLeft w:val="0"/>
                                                                                                              <w:marRight w:val="0"/>
                                                                                                              <w:marTop w:val="0"/>
                                                                                                              <w:marBottom w:val="0"/>
                                                                                                              <w:divBdr>
                                                                                                                <w:top w:val="none" w:sz="0" w:space="0" w:color="auto"/>
                                                                                                                <w:left w:val="none" w:sz="0" w:space="0" w:color="auto"/>
                                                                                                                <w:bottom w:val="none" w:sz="0" w:space="0" w:color="auto"/>
                                                                                                                <w:right w:val="none" w:sz="0" w:space="0" w:color="auto"/>
                                                                                                              </w:divBdr>
                                                                                                              <w:divsChild>
                                                                                                                <w:div w:id="1054962124">
                                                                                                                  <w:marLeft w:val="0"/>
                                                                                                                  <w:marRight w:val="0"/>
                                                                                                                  <w:marTop w:val="0"/>
                                                                                                                  <w:marBottom w:val="0"/>
                                                                                                                  <w:divBdr>
                                                                                                                    <w:top w:val="none" w:sz="0" w:space="0" w:color="auto"/>
                                                                                                                    <w:left w:val="none" w:sz="0" w:space="0" w:color="auto"/>
                                                                                                                    <w:bottom w:val="none" w:sz="0" w:space="0" w:color="auto"/>
                                                                                                                    <w:right w:val="none" w:sz="0" w:space="0" w:color="auto"/>
                                                                                                                  </w:divBdr>
                                                                                                                  <w:divsChild>
                                                                                                                    <w:div w:id="1398434822">
                                                                                                                      <w:marLeft w:val="0"/>
                                                                                                                      <w:marRight w:val="0"/>
                                                                                                                      <w:marTop w:val="0"/>
                                                                                                                      <w:marBottom w:val="0"/>
                                                                                                                      <w:divBdr>
                                                                                                                        <w:top w:val="none" w:sz="0" w:space="0" w:color="auto"/>
                                                                                                                        <w:left w:val="single" w:sz="6" w:space="0" w:color="DCDCDC"/>
                                                                                                                        <w:bottom w:val="none" w:sz="0" w:space="0" w:color="auto"/>
                                                                                                                        <w:right w:val="single" w:sz="6" w:space="0" w:color="DCDCDC"/>
                                                                                                                      </w:divBdr>
                                                                                                                      <w:divsChild>
                                                                                                                        <w:div w:id="221449883">
                                                                                                                          <w:marLeft w:val="0"/>
                                                                                                                          <w:marRight w:val="0"/>
                                                                                                                          <w:marTop w:val="0"/>
                                                                                                                          <w:marBottom w:val="0"/>
                                                                                                                          <w:divBdr>
                                                                                                                            <w:top w:val="none" w:sz="0" w:space="0" w:color="auto"/>
                                                                                                                            <w:left w:val="none" w:sz="0" w:space="0" w:color="auto"/>
                                                                                                                            <w:bottom w:val="none" w:sz="0" w:space="0" w:color="auto"/>
                                                                                                                            <w:right w:val="none" w:sz="0" w:space="0" w:color="auto"/>
                                                                                                                          </w:divBdr>
                                                                                                                          <w:divsChild>
                                                                                                                            <w:div w:id="2068721871">
                                                                                                                              <w:marLeft w:val="0"/>
                                                                                                                              <w:marRight w:val="0"/>
                                                                                                                              <w:marTop w:val="0"/>
                                                                                                                              <w:marBottom w:val="0"/>
                                                                                                                              <w:divBdr>
                                                                                                                                <w:top w:val="none" w:sz="0" w:space="0" w:color="auto"/>
                                                                                                                                <w:left w:val="none" w:sz="0" w:space="0" w:color="auto"/>
                                                                                                                                <w:bottom w:val="none" w:sz="0" w:space="0" w:color="auto"/>
                                                                                                                                <w:right w:val="none" w:sz="0" w:space="0" w:color="auto"/>
                                                                                                                              </w:divBdr>
                                                                                                                              <w:divsChild>
                                                                                                                                <w:div w:id="5835803">
                                                                                                                                  <w:marLeft w:val="0"/>
                                                                                                                                  <w:marRight w:val="0"/>
                                                                                                                                  <w:marTop w:val="0"/>
                                                                                                                                  <w:marBottom w:val="0"/>
                                                                                                                                  <w:divBdr>
                                                                                                                                    <w:top w:val="none" w:sz="0" w:space="0" w:color="auto"/>
                                                                                                                                    <w:left w:val="none" w:sz="0" w:space="0" w:color="auto"/>
                                                                                                                                    <w:bottom w:val="none" w:sz="0" w:space="0" w:color="auto"/>
                                                                                                                                    <w:right w:val="none" w:sz="0" w:space="0" w:color="auto"/>
                                                                                                                                  </w:divBdr>
                                                                                                                                  <w:divsChild>
                                                                                                                                    <w:div w:id="122578788">
                                                                                                                                      <w:marLeft w:val="0"/>
                                                                                                                                      <w:marRight w:val="0"/>
                                                                                                                                      <w:marTop w:val="0"/>
                                                                                                                                      <w:marBottom w:val="0"/>
                                                                                                                                      <w:divBdr>
                                                                                                                                        <w:top w:val="none" w:sz="0" w:space="0" w:color="auto"/>
                                                                                                                                        <w:left w:val="none" w:sz="0" w:space="0" w:color="auto"/>
                                                                                                                                        <w:bottom w:val="none" w:sz="0" w:space="0" w:color="auto"/>
                                                                                                                                        <w:right w:val="none" w:sz="0" w:space="0" w:color="auto"/>
                                                                                                                                      </w:divBdr>
                                                                                                                                      <w:divsChild>
                                                                                                                                        <w:div w:id="1212616728">
                                                                                                                                          <w:marLeft w:val="0"/>
                                                                                                                                          <w:marRight w:val="0"/>
                                                                                                                                          <w:marTop w:val="0"/>
                                                                                                                                          <w:marBottom w:val="0"/>
                                                                                                                                          <w:divBdr>
                                                                                                                                            <w:top w:val="none" w:sz="0" w:space="0" w:color="auto"/>
                                                                                                                                            <w:left w:val="none" w:sz="0" w:space="0" w:color="auto"/>
                                                                                                                                            <w:bottom w:val="none" w:sz="0" w:space="0" w:color="auto"/>
                                                                                                                                            <w:right w:val="none" w:sz="0" w:space="0" w:color="auto"/>
                                                                                                                                          </w:divBdr>
                                                                                                                                          <w:divsChild>
                                                                                                                                            <w:div w:id="611940899">
                                                                                                                                              <w:marLeft w:val="0"/>
                                                                                                                                              <w:marRight w:val="0"/>
                                                                                                                                              <w:marTop w:val="0"/>
                                                                                                                                              <w:marBottom w:val="0"/>
                                                                                                                                              <w:divBdr>
                                                                                                                                                <w:top w:val="none" w:sz="0" w:space="0" w:color="auto"/>
                                                                                                                                                <w:left w:val="none" w:sz="0" w:space="0" w:color="auto"/>
                                                                                                                                                <w:bottom w:val="none" w:sz="0" w:space="0" w:color="auto"/>
                                                                                                                                                <w:right w:val="none" w:sz="0" w:space="0" w:color="auto"/>
                                                                                                                                              </w:divBdr>
                                                                                                                                              <w:divsChild>
                                                                                                                                                <w:div w:id="1567303216">
                                                                                                                                                  <w:marLeft w:val="0"/>
                                                                                                                                                  <w:marRight w:val="0"/>
                                                                                                                                                  <w:marTop w:val="0"/>
                                                                                                                                                  <w:marBottom w:val="0"/>
                                                                                                                                                  <w:divBdr>
                                                                                                                                                    <w:top w:val="none" w:sz="0" w:space="0" w:color="auto"/>
                                                                                                                                                    <w:left w:val="none" w:sz="0" w:space="0" w:color="auto"/>
                                                                                                                                                    <w:bottom w:val="none" w:sz="0" w:space="0" w:color="auto"/>
                                                                                                                                                    <w:right w:val="none" w:sz="0" w:space="0" w:color="auto"/>
                                                                                                                                                  </w:divBdr>
                                                                                                                                                  <w:divsChild>
                                                                                                                                                    <w:div w:id="846559676">
                                                                                                                                                      <w:marLeft w:val="0"/>
                                                                                                                                                      <w:marRight w:val="0"/>
                                                                                                                                                      <w:marTop w:val="0"/>
                                                                                                                                                      <w:marBottom w:val="0"/>
                                                                                                                                                      <w:divBdr>
                                                                                                                                                        <w:top w:val="none" w:sz="0" w:space="0" w:color="auto"/>
                                                                                                                                                        <w:left w:val="none" w:sz="0" w:space="0" w:color="auto"/>
                                                                                                                                                        <w:bottom w:val="none" w:sz="0" w:space="0" w:color="auto"/>
                                                                                                                                                        <w:right w:val="none" w:sz="0" w:space="0" w:color="auto"/>
                                                                                                                                                      </w:divBdr>
                                                                                                                                                      <w:divsChild>
                                                                                                                                                        <w:div w:id="301272336">
                                                                                                                                                          <w:marLeft w:val="0"/>
                                                                                                                                                          <w:marRight w:val="0"/>
                                                                                                                                                          <w:marTop w:val="0"/>
                                                                                                                                                          <w:marBottom w:val="0"/>
                                                                                                                                                          <w:divBdr>
                                                                                                                                                            <w:top w:val="none" w:sz="0" w:space="0" w:color="auto"/>
                                                                                                                                                            <w:left w:val="none" w:sz="0" w:space="0" w:color="auto"/>
                                                                                                                                                            <w:bottom w:val="none" w:sz="0" w:space="0" w:color="auto"/>
                                                                                                                                                            <w:right w:val="none" w:sz="0" w:space="0" w:color="auto"/>
                                                                                                                                                          </w:divBdr>
                                                                                                                                                          <w:divsChild>
                                                                                                                                                            <w:div w:id="16051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5173394">
      <w:bodyDiv w:val="1"/>
      <w:marLeft w:val="0"/>
      <w:marRight w:val="0"/>
      <w:marTop w:val="0"/>
      <w:marBottom w:val="0"/>
      <w:divBdr>
        <w:top w:val="none" w:sz="0" w:space="0" w:color="auto"/>
        <w:left w:val="none" w:sz="0" w:space="0" w:color="auto"/>
        <w:bottom w:val="none" w:sz="0" w:space="0" w:color="auto"/>
        <w:right w:val="none" w:sz="0" w:space="0" w:color="auto"/>
      </w:divBdr>
      <w:divsChild>
        <w:div w:id="2045322872">
          <w:marLeft w:val="0"/>
          <w:marRight w:val="0"/>
          <w:marTop w:val="0"/>
          <w:marBottom w:val="0"/>
          <w:divBdr>
            <w:top w:val="none" w:sz="0" w:space="0" w:color="auto"/>
            <w:left w:val="none" w:sz="0" w:space="0" w:color="auto"/>
            <w:bottom w:val="none" w:sz="0" w:space="0" w:color="auto"/>
            <w:right w:val="none" w:sz="0" w:space="0" w:color="auto"/>
          </w:divBdr>
          <w:divsChild>
            <w:div w:id="1756635678">
              <w:marLeft w:val="0"/>
              <w:marRight w:val="0"/>
              <w:marTop w:val="0"/>
              <w:marBottom w:val="0"/>
              <w:divBdr>
                <w:top w:val="none" w:sz="0" w:space="0" w:color="auto"/>
                <w:left w:val="none" w:sz="0" w:space="0" w:color="auto"/>
                <w:bottom w:val="none" w:sz="0" w:space="0" w:color="auto"/>
                <w:right w:val="none" w:sz="0" w:space="0" w:color="auto"/>
              </w:divBdr>
              <w:divsChild>
                <w:div w:id="1959680639">
                  <w:marLeft w:val="0"/>
                  <w:marRight w:val="0"/>
                  <w:marTop w:val="0"/>
                  <w:marBottom w:val="0"/>
                  <w:divBdr>
                    <w:top w:val="none" w:sz="0" w:space="0" w:color="auto"/>
                    <w:left w:val="none" w:sz="0" w:space="0" w:color="auto"/>
                    <w:bottom w:val="none" w:sz="0" w:space="0" w:color="auto"/>
                    <w:right w:val="none" w:sz="0" w:space="0" w:color="auto"/>
                  </w:divBdr>
                  <w:divsChild>
                    <w:div w:id="1362248758">
                      <w:marLeft w:val="0"/>
                      <w:marRight w:val="0"/>
                      <w:marTop w:val="0"/>
                      <w:marBottom w:val="0"/>
                      <w:divBdr>
                        <w:top w:val="none" w:sz="0" w:space="0" w:color="auto"/>
                        <w:left w:val="none" w:sz="0" w:space="0" w:color="auto"/>
                        <w:bottom w:val="none" w:sz="0" w:space="0" w:color="auto"/>
                        <w:right w:val="none" w:sz="0" w:space="0" w:color="auto"/>
                      </w:divBdr>
                      <w:divsChild>
                        <w:div w:id="884680412">
                          <w:marLeft w:val="0"/>
                          <w:marRight w:val="0"/>
                          <w:marTop w:val="0"/>
                          <w:marBottom w:val="0"/>
                          <w:divBdr>
                            <w:top w:val="none" w:sz="0" w:space="0" w:color="auto"/>
                            <w:left w:val="none" w:sz="0" w:space="0" w:color="auto"/>
                            <w:bottom w:val="none" w:sz="0" w:space="0" w:color="auto"/>
                            <w:right w:val="none" w:sz="0" w:space="0" w:color="auto"/>
                          </w:divBdr>
                          <w:divsChild>
                            <w:div w:id="227350384">
                              <w:marLeft w:val="0"/>
                              <w:marRight w:val="0"/>
                              <w:marTop w:val="0"/>
                              <w:marBottom w:val="0"/>
                              <w:divBdr>
                                <w:top w:val="none" w:sz="0" w:space="0" w:color="auto"/>
                                <w:left w:val="none" w:sz="0" w:space="0" w:color="auto"/>
                                <w:bottom w:val="none" w:sz="0" w:space="0" w:color="auto"/>
                                <w:right w:val="none" w:sz="0" w:space="0" w:color="auto"/>
                              </w:divBdr>
                              <w:divsChild>
                                <w:div w:id="1203904024">
                                  <w:marLeft w:val="0"/>
                                  <w:marRight w:val="0"/>
                                  <w:marTop w:val="0"/>
                                  <w:marBottom w:val="0"/>
                                  <w:divBdr>
                                    <w:top w:val="none" w:sz="0" w:space="0" w:color="auto"/>
                                    <w:left w:val="none" w:sz="0" w:space="0" w:color="auto"/>
                                    <w:bottom w:val="none" w:sz="0" w:space="0" w:color="auto"/>
                                    <w:right w:val="none" w:sz="0" w:space="0" w:color="auto"/>
                                  </w:divBdr>
                                  <w:divsChild>
                                    <w:div w:id="640496709">
                                      <w:marLeft w:val="0"/>
                                      <w:marRight w:val="0"/>
                                      <w:marTop w:val="0"/>
                                      <w:marBottom w:val="0"/>
                                      <w:divBdr>
                                        <w:top w:val="none" w:sz="0" w:space="0" w:color="auto"/>
                                        <w:left w:val="none" w:sz="0" w:space="0" w:color="auto"/>
                                        <w:bottom w:val="none" w:sz="0" w:space="0" w:color="auto"/>
                                        <w:right w:val="none" w:sz="0" w:space="0" w:color="auto"/>
                                      </w:divBdr>
                                      <w:divsChild>
                                        <w:div w:id="1299649431">
                                          <w:marLeft w:val="0"/>
                                          <w:marRight w:val="0"/>
                                          <w:marTop w:val="0"/>
                                          <w:marBottom w:val="0"/>
                                          <w:divBdr>
                                            <w:top w:val="none" w:sz="0" w:space="0" w:color="auto"/>
                                            <w:left w:val="none" w:sz="0" w:space="0" w:color="auto"/>
                                            <w:bottom w:val="none" w:sz="0" w:space="0" w:color="auto"/>
                                            <w:right w:val="none" w:sz="0" w:space="0" w:color="auto"/>
                                          </w:divBdr>
                                          <w:divsChild>
                                            <w:div w:id="1891721879">
                                              <w:marLeft w:val="0"/>
                                              <w:marRight w:val="0"/>
                                              <w:marTop w:val="0"/>
                                              <w:marBottom w:val="0"/>
                                              <w:divBdr>
                                                <w:top w:val="none" w:sz="0" w:space="0" w:color="auto"/>
                                                <w:left w:val="none" w:sz="0" w:space="0" w:color="auto"/>
                                                <w:bottom w:val="none" w:sz="0" w:space="0" w:color="auto"/>
                                                <w:right w:val="none" w:sz="0" w:space="0" w:color="auto"/>
                                              </w:divBdr>
                                              <w:divsChild>
                                                <w:div w:id="318116668">
                                                  <w:marLeft w:val="0"/>
                                                  <w:marRight w:val="0"/>
                                                  <w:marTop w:val="0"/>
                                                  <w:marBottom w:val="0"/>
                                                  <w:divBdr>
                                                    <w:top w:val="none" w:sz="0" w:space="0" w:color="auto"/>
                                                    <w:left w:val="none" w:sz="0" w:space="0" w:color="auto"/>
                                                    <w:bottom w:val="none" w:sz="0" w:space="0" w:color="auto"/>
                                                    <w:right w:val="none" w:sz="0" w:space="0" w:color="auto"/>
                                                  </w:divBdr>
                                                  <w:divsChild>
                                                    <w:div w:id="129439049">
                                                      <w:marLeft w:val="0"/>
                                                      <w:marRight w:val="0"/>
                                                      <w:marTop w:val="0"/>
                                                      <w:marBottom w:val="0"/>
                                                      <w:divBdr>
                                                        <w:top w:val="none" w:sz="0" w:space="0" w:color="auto"/>
                                                        <w:left w:val="none" w:sz="0" w:space="0" w:color="auto"/>
                                                        <w:bottom w:val="none" w:sz="0" w:space="0" w:color="auto"/>
                                                        <w:right w:val="none" w:sz="0" w:space="0" w:color="auto"/>
                                                      </w:divBdr>
                                                      <w:divsChild>
                                                        <w:div w:id="1289701788">
                                                          <w:marLeft w:val="0"/>
                                                          <w:marRight w:val="0"/>
                                                          <w:marTop w:val="0"/>
                                                          <w:marBottom w:val="0"/>
                                                          <w:divBdr>
                                                            <w:top w:val="none" w:sz="0" w:space="0" w:color="auto"/>
                                                            <w:left w:val="single" w:sz="6" w:space="0" w:color="DCDCDC"/>
                                                            <w:bottom w:val="none" w:sz="0" w:space="0" w:color="auto"/>
                                                            <w:right w:val="single" w:sz="6" w:space="0" w:color="DCDCDC"/>
                                                          </w:divBdr>
                                                          <w:divsChild>
                                                            <w:div w:id="1639260364">
                                                              <w:marLeft w:val="0"/>
                                                              <w:marRight w:val="0"/>
                                                              <w:marTop w:val="0"/>
                                                              <w:marBottom w:val="0"/>
                                                              <w:divBdr>
                                                                <w:top w:val="none" w:sz="0" w:space="0" w:color="auto"/>
                                                                <w:left w:val="none" w:sz="0" w:space="0" w:color="auto"/>
                                                                <w:bottom w:val="none" w:sz="0" w:space="0" w:color="auto"/>
                                                                <w:right w:val="none" w:sz="0" w:space="0" w:color="auto"/>
                                                              </w:divBdr>
                                                              <w:divsChild>
                                                                <w:div w:id="1660500765">
                                                                  <w:marLeft w:val="0"/>
                                                                  <w:marRight w:val="0"/>
                                                                  <w:marTop w:val="0"/>
                                                                  <w:marBottom w:val="0"/>
                                                                  <w:divBdr>
                                                                    <w:top w:val="none" w:sz="0" w:space="0" w:color="auto"/>
                                                                    <w:left w:val="none" w:sz="0" w:space="0" w:color="auto"/>
                                                                    <w:bottom w:val="none" w:sz="0" w:space="0" w:color="auto"/>
                                                                    <w:right w:val="none" w:sz="0" w:space="0" w:color="auto"/>
                                                                  </w:divBdr>
                                                                  <w:divsChild>
                                                                    <w:div w:id="615328013">
                                                                      <w:marLeft w:val="0"/>
                                                                      <w:marRight w:val="0"/>
                                                                      <w:marTop w:val="0"/>
                                                                      <w:marBottom w:val="0"/>
                                                                      <w:divBdr>
                                                                        <w:top w:val="none" w:sz="0" w:space="0" w:color="auto"/>
                                                                        <w:left w:val="none" w:sz="0" w:space="0" w:color="auto"/>
                                                                        <w:bottom w:val="none" w:sz="0" w:space="0" w:color="auto"/>
                                                                        <w:right w:val="none" w:sz="0" w:space="0" w:color="auto"/>
                                                                      </w:divBdr>
                                                                      <w:divsChild>
                                                                        <w:div w:id="470752799">
                                                                          <w:marLeft w:val="0"/>
                                                                          <w:marRight w:val="0"/>
                                                                          <w:marTop w:val="0"/>
                                                                          <w:marBottom w:val="0"/>
                                                                          <w:divBdr>
                                                                            <w:top w:val="none" w:sz="0" w:space="0" w:color="auto"/>
                                                                            <w:left w:val="none" w:sz="0" w:space="0" w:color="auto"/>
                                                                            <w:bottom w:val="none" w:sz="0" w:space="0" w:color="auto"/>
                                                                            <w:right w:val="none" w:sz="0" w:space="0" w:color="auto"/>
                                                                          </w:divBdr>
                                                                          <w:divsChild>
                                                                            <w:div w:id="931745007">
                                                                              <w:marLeft w:val="0"/>
                                                                              <w:marRight w:val="0"/>
                                                                              <w:marTop w:val="0"/>
                                                                              <w:marBottom w:val="0"/>
                                                                              <w:divBdr>
                                                                                <w:top w:val="none" w:sz="0" w:space="0" w:color="auto"/>
                                                                                <w:left w:val="none" w:sz="0" w:space="0" w:color="auto"/>
                                                                                <w:bottom w:val="none" w:sz="0" w:space="0" w:color="auto"/>
                                                                                <w:right w:val="none" w:sz="0" w:space="0" w:color="auto"/>
                                                                              </w:divBdr>
                                                                              <w:divsChild>
                                                                                <w:div w:id="33359744">
                                                                                  <w:marLeft w:val="0"/>
                                                                                  <w:marRight w:val="0"/>
                                                                                  <w:marTop w:val="0"/>
                                                                                  <w:marBottom w:val="0"/>
                                                                                  <w:divBdr>
                                                                                    <w:top w:val="none" w:sz="0" w:space="0" w:color="auto"/>
                                                                                    <w:left w:val="none" w:sz="0" w:space="0" w:color="auto"/>
                                                                                    <w:bottom w:val="none" w:sz="0" w:space="0" w:color="auto"/>
                                                                                    <w:right w:val="none" w:sz="0" w:space="0" w:color="auto"/>
                                                                                  </w:divBdr>
                                                                                  <w:divsChild>
                                                                                    <w:div w:id="1925140075">
                                                                                      <w:marLeft w:val="0"/>
                                                                                      <w:marRight w:val="0"/>
                                                                                      <w:marTop w:val="0"/>
                                                                                      <w:marBottom w:val="0"/>
                                                                                      <w:divBdr>
                                                                                        <w:top w:val="none" w:sz="0" w:space="0" w:color="auto"/>
                                                                                        <w:left w:val="none" w:sz="0" w:space="0" w:color="auto"/>
                                                                                        <w:bottom w:val="none" w:sz="0" w:space="0" w:color="auto"/>
                                                                                        <w:right w:val="none" w:sz="0" w:space="0" w:color="auto"/>
                                                                                      </w:divBdr>
                                                                                      <w:divsChild>
                                                                                        <w:div w:id="462306938">
                                                                                          <w:marLeft w:val="0"/>
                                                                                          <w:marRight w:val="0"/>
                                                                                          <w:marTop w:val="0"/>
                                                                                          <w:marBottom w:val="0"/>
                                                                                          <w:divBdr>
                                                                                            <w:top w:val="none" w:sz="0" w:space="0" w:color="auto"/>
                                                                                            <w:left w:val="none" w:sz="0" w:space="0" w:color="auto"/>
                                                                                            <w:bottom w:val="none" w:sz="0" w:space="0" w:color="auto"/>
                                                                                            <w:right w:val="none" w:sz="0" w:space="0" w:color="auto"/>
                                                                                          </w:divBdr>
                                                                                          <w:divsChild>
                                                                                            <w:div w:id="81032848">
                                                                                              <w:marLeft w:val="0"/>
                                                                                              <w:marRight w:val="0"/>
                                                                                              <w:marTop w:val="0"/>
                                                                                              <w:marBottom w:val="0"/>
                                                                                              <w:divBdr>
                                                                                                <w:top w:val="none" w:sz="0" w:space="0" w:color="auto"/>
                                                                                                <w:left w:val="none" w:sz="0" w:space="0" w:color="auto"/>
                                                                                                <w:bottom w:val="none" w:sz="0" w:space="0" w:color="auto"/>
                                                                                                <w:right w:val="none" w:sz="0" w:space="0" w:color="auto"/>
                                                                                              </w:divBdr>
                                                                                              <w:divsChild>
                                                                                                <w:div w:id="412552677">
                                                                                                  <w:marLeft w:val="0"/>
                                                                                                  <w:marRight w:val="0"/>
                                                                                                  <w:marTop w:val="0"/>
                                                                                                  <w:marBottom w:val="0"/>
                                                                                                  <w:divBdr>
                                                                                                    <w:top w:val="none" w:sz="0" w:space="0" w:color="auto"/>
                                                                                                    <w:left w:val="none" w:sz="0" w:space="0" w:color="auto"/>
                                                                                                    <w:bottom w:val="none" w:sz="0" w:space="0" w:color="auto"/>
                                                                                                    <w:right w:val="none" w:sz="0" w:space="0" w:color="auto"/>
                                                                                                  </w:divBdr>
                                                                                                  <w:divsChild>
                                                                                                    <w:div w:id="1737891809">
                                                                                                      <w:marLeft w:val="0"/>
                                                                                                      <w:marRight w:val="0"/>
                                                                                                      <w:marTop w:val="0"/>
                                                                                                      <w:marBottom w:val="0"/>
                                                                                                      <w:divBdr>
                                                                                                        <w:top w:val="none" w:sz="0" w:space="0" w:color="auto"/>
                                                                                                        <w:left w:val="none" w:sz="0" w:space="0" w:color="auto"/>
                                                                                                        <w:bottom w:val="none" w:sz="0" w:space="0" w:color="auto"/>
                                                                                                        <w:right w:val="none" w:sz="0" w:space="0" w:color="auto"/>
                                                                                                      </w:divBdr>
                                                                                                      <w:divsChild>
                                                                                                        <w:div w:id="2138645299">
                                                                                                          <w:marLeft w:val="0"/>
                                                                                                          <w:marRight w:val="0"/>
                                                                                                          <w:marTop w:val="0"/>
                                                                                                          <w:marBottom w:val="0"/>
                                                                                                          <w:divBdr>
                                                                                                            <w:top w:val="none" w:sz="0" w:space="0" w:color="auto"/>
                                                                                                            <w:left w:val="none" w:sz="0" w:space="0" w:color="auto"/>
                                                                                                            <w:bottom w:val="none" w:sz="0" w:space="0" w:color="auto"/>
                                                                                                            <w:right w:val="none" w:sz="0" w:space="0" w:color="auto"/>
                                                                                                          </w:divBdr>
                                                                                                          <w:divsChild>
                                                                                                            <w:div w:id="1749232373">
                                                                                                              <w:marLeft w:val="0"/>
                                                                                                              <w:marRight w:val="0"/>
                                                                                                              <w:marTop w:val="0"/>
                                                                                                              <w:marBottom w:val="0"/>
                                                                                                              <w:divBdr>
                                                                                                                <w:top w:val="none" w:sz="0" w:space="0" w:color="auto"/>
                                                                                                                <w:left w:val="none" w:sz="0" w:space="0" w:color="auto"/>
                                                                                                                <w:bottom w:val="none" w:sz="0" w:space="0" w:color="auto"/>
                                                                                                                <w:right w:val="none" w:sz="0" w:space="0" w:color="auto"/>
                                                                                                              </w:divBdr>
                                                                                                              <w:divsChild>
                                                                                                                <w:div w:id="522860033">
                                                                                                                  <w:marLeft w:val="0"/>
                                                                                                                  <w:marRight w:val="0"/>
                                                                                                                  <w:marTop w:val="0"/>
                                                                                                                  <w:marBottom w:val="0"/>
                                                                                                                  <w:divBdr>
                                                                                                                    <w:top w:val="none" w:sz="0" w:space="0" w:color="auto"/>
                                                                                                                    <w:left w:val="none" w:sz="0" w:space="0" w:color="auto"/>
                                                                                                                    <w:bottom w:val="none" w:sz="0" w:space="0" w:color="auto"/>
                                                                                                                    <w:right w:val="none" w:sz="0" w:space="0" w:color="auto"/>
                                                                                                                  </w:divBdr>
                                                                                                                  <w:divsChild>
                                                                                                                    <w:div w:id="1344550039">
                                                                                                                      <w:marLeft w:val="0"/>
                                                                                                                      <w:marRight w:val="0"/>
                                                                                                                      <w:marTop w:val="0"/>
                                                                                                                      <w:marBottom w:val="0"/>
                                                                                                                      <w:divBdr>
                                                                                                                        <w:top w:val="none" w:sz="0" w:space="0" w:color="auto"/>
                                                                                                                        <w:left w:val="single" w:sz="6" w:space="0" w:color="DCDCDC"/>
                                                                                                                        <w:bottom w:val="none" w:sz="0" w:space="0" w:color="auto"/>
                                                                                                                        <w:right w:val="single" w:sz="6" w:space="0" w:color="DCDCDC"/>
                                                                                                                      </w:divBdr>
                                                                                                                      <w:divsChild>
                                                                                                                        <w:div w:id="1564562964">
                                                                                                                          <w:marLeft w:val="0"/>
                                                                                                                          <w:marRight w:val="0"/>
                                                                                                                          <w:marTop w:val="0"/>
                                                                                                                          <w:marBottom w:val="0"/>
                                                                                                                          <w:divBdr>
                                                                                                                            <w:top w:val="none" w:sz="0" w:space="0" w:color="auto"/>
                                                                                                                            <w:left w:val="none" w:sz="0" w:space="0" w:color="auto"/>
                                                                                                                            <w:bottom w:val="none" w:sz="0" w:space="0" w:color="auto"/>
                                                                                                                            <w:right w:val="none" w:sz="0" w:space="0" w:color="auto"/>
                                                                                                                          </w:divBdr>
                                                                                                                          <w:divsChild>
                                                                                                                            <w:div w:id="156114578">
                                                                                                                              <w:marLeft w:val="0"/>
                                                                                                                              <w:marRight w:val="0"/>
                                                                                                                              <w:marTop w:val="0"/>
                                                                                                                              <w:marBottom w:val="0"/>
                                                                                                                              <w:divBdr>
                                                                                                                                <w:top w:val="none" w:sz="0" w:space="0" w:color="auto"/>
                                                                                                                                <w:left w:val="none" w:sz="0" w:space="0" w:color="auto"/>
                                                                                                                                <w:bottom w:val="none" w:sz="0" w:space="0" w:color="auto"/>
                                                                                                                                <w:right w:val="none" w:sz="0" w:space="0" w:color="auto"/>
                                                                                                                              </w:divBdr>
                                                                                                                              <w:divsChild>
                                                                                                                                <w:div w:id="610743380">
                                                                                                                                  <w:marLeft w:val="0"/>
                                                                                                                                  <w:marRight w:val="0"/>
                                                                                                                                  <w:marTop w:val="0"/>
                                                                                                                                  <w:marBottom w:val="0"/>
                                                                                                                                  <w:divBdr>
                                                                                                                                    <w:top w:val="none" w:sz="0" w:space="0" w:color="auto"/>
                                                                                                                                    <w:left w:val="none" w:sz="0" w:space="0" w:color="auto"/>
                                                                                                                                    <w:bottom w:val="none" w:sz="0" w:space="0" w:color="auto"/>
                                                                                                                                    <w:right w:val="none" w:sz="0" w:space="0" w:color="auto"/>
                                                                                                                                  </w:divBdr>
                                                                                                                                  <w:divsChild>
                                                                                                                                    <w:div w:id="605817764">
                                                                                                                                      <w:marLeft w:val="0"/>
                                                                                                                                      <w:marRight w:val="0"/>
                                                                                                                                      <w:marTop w:val="0"/>
                                                                                                                                      <w:marBottom w:val="0"/>
                                                                                                                                      <w:divBdr>
                                                                                                                                        <w:top w:val="none" w:sz="0" w:space="0" w:color="auto"/>
                                                                                                                                        <w:left w:val="none" w:sz="0" w:space="0" w:color="auto"/>
                                                                                                                                        <w:bottom w:val="none" w:sz="0" w:space="0" w:color="auto"/>
                                                                                                                                        <w:right w:val="none" w:sz="0" w:space="0" w:color="auto"/>
                                                                                                                                      </w:divBdr>
                                                                                                                                      <w:divsChild>
                                                                                                                                        <w:div w:id="84494899">
                                                                                                                                          <w:marLeft w:val="0"/>
                                                                                                                                          <w:marRight w:val="0"/>
                                                                                                                                          <w:marTop w:val="0"/>
                                                                                                                                          <w:marBottom w:val="0"/>
                                                                                                                                          <w:divBdr>
                                                                                                                                            <w:top w:val="none" w:sz="0" w:space="0" w:color="auto"/>
                                                                                                                                            <w:left w:val="none" w:sz="0" w:space="0" w:color="auto"/>
                                                                                                                                            <w:bottom w:val="none" w:sz="0" w:space="0" w:color="auto"/>
                                                                                                                                            <w:right w:val="none" w:sz="0" w:space="0" w:color="auto"/>
                                                                                                                                          </w:divBdr>
                                                                                                                                          <w:divsChild>
                                                                                                                                            <w:div w:id="1653172481">
                                                                                                                                              <w:marLeft w:val="0"/>
                                                                                                                                              <w:marRight w:val="0"/>
                                                                                                                                              <w:marTop w:val="0"/>
                                                                                                                                              <w:marBottom w:val="0"/>
                                                                                                                                              <w:divBdr>
                                                                                                                                                <w:top w:val="none" w:sz="0" w:space="0" w:color="auto"/>
                                                                                                                                                <w:left w:val="none" w:sz="0" w:space="0" w:color="auto"/>
                                                                                                                                                <w:bottom w:val="none" w:sz="0" w:space="0" w:color="auto"/>
                                                                                                                                                <w:right w:val="none" w:sz="0" w:space="0" w:color="auto"/>
                                                                                                                                              </w:divBdr>
                                                                                                                                              <w:divsChild>
                                                                                                                                                <w:div w:id="1728649764">
                                                                                                                                                  <w:marLeft w:val="0"/>
                                                                                                                                                  <w:marRight w:val="0"/>
                                                                                                                                                  <w:marTop w:val="0"/>
                                                                                                                                                  <w:marBottom w:val="0"/>
                                                                                                                                                  <w:divBdr>
                                                                                                                                                    <w:top w:val="none" w:sz="0" w:space="0" w:color="auto"/>
                                                                                                                                                    <w:left w:val="none" w:sz="0" w:space="0" w:color="auto"/>
                                                                                                                                                    <w:bottom w:val="none" w:sz="0" w:space="0" w:color="auto"/>
                                                                                                                                                    <w:right w:val="none" w:sz="0" w:space="0" w:color="auto"/>
                                                                                                                                                  </w:divBdr>
                                                                                                                                                  <w:divsChild>
                                                                                                                                                    <w:div w:id="2125998496">
                                                                                                                                                      <w:marLeft w:val="0"/>
                                                                                                                                                      <w:marRight w:val="0"/>
                                                                                                                                                      <w:marTop w:val="0"/>
                                                                                                                                                      <w:marBottom w:val="0"/>
                                                                                                                                                      <w:divBdr>
                                                                                                                                                        <w:top w:val="none" w:sz="0" w:space="0" w:color="auto"/>
                                                                                                                                                        <w:left w:val="none" w:sz="0" w:space="0" w:color="auto"/>
                                                                                                                                                        <w:bottom w:val="none" w:sz="0" w:space="0" w:color="auto"/>
                                                                                                                                                        <w:right w:val="none" w:sz="0" w:space="0" w:color="auto"/>
                                                                                                                                                      </w:divBdr>
                                                                                                                                                      <w:divsChild>
                                                                                                                                                        <w:div w:id="514806383">
                                                                                                                                                          <w:marLeft w:val="0"/>
                                                                                                                                                          <w:marRight w:val="0"/>
                                                                                                                                                          <w:marTop w:val="0"/>
                                                                                                                                                          <w:marBottom w:val="0"/>
                                                                                                                                                          <w:divBdr>
                                                                                                                                                            <w:top w:val="none" w:sz="0" w:space="0" w:color="auto"/>
                                                                                                                                                            <w:left w:val="none" w:sz="0" w:space="0" w:color="auto"/>
                                                                                                                                                            <w:bottom w:val="none" w:sz="0" w:space="0" w:color="auto"/>
                                                                                                                                                            <w:right w:val="none" w:sz="0" w:space="0" w:color="auto"/>
                                                                                                                                                          </w:divBdr>
                                                                                                                                                          <w:divsChild>
                                                                                                                                                            <w:div w:id="32944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resource.html?uri=cellar:a59b6beb-7a4f-11e6-b076-01aa75ed71a1.0001.02/DOC_1&amp;format=PDF" TargetMode="External"/><Relationship Id="rId2" Type="http://schemas.openxmlformats.org/officeDocument/2006/relationships/hyperlink" Target="https://www.leforem.be/MungoBlobs/44/644/20180212_Chiffres_SeriesStatistiquesMde201801.pdf" TargetMode="External"/><Relationship Id="rId1" Type="http://schemas.openxmlformats.org/officeDocument/2006/relationships/hyperlink" Target="http://steelbenchmarker.com/files/history.pdf" TargetMode="External"/><Relationship Id="rId4" Type="http://schemas.openxmlformats.org/officeDocument/2006/relationships/hyperlink" Target="http://www.catch-charleroi.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dhwna\AppData\Roaming\Microsoft\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E5307-9A14-404C-8BDA-097B2CF72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13</Pages>
  <Words>3564</Words>
  <Characters>20316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2018-02-08T09:40:00Z</cp:lastPrinted>
  <dcterms:created xsi:type="dcterms:W3CDTF">2018-03-14T13:39:00Z</dcterms:created>
  <dcterms:modified xsi:type="dcterms:W3CDTF">2018-03-23T10:44:00Z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Yellow (DQC version 03)</vt:lpwstr>
  </property>
  <property name="OP_sanitized" fmtid="{D5CDD505-2E9C-101B-9397-08002B2CF9AE}" pid="11">
    <vt:lpwstr>True</vt:lpwstr>
  </property>
</Properties>
</file>