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6D63719-F35A-4FA7-AD01-052AFB589E2D"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Ajánlás</w:t>
      </w:r>
    </w:p>
    <w:p>
      <w:pPr>
        <w:pStyle w:val="Typedudocument"/>
        <w:rPr>
          <w:noProof/>
        </w:rPr>
      </w:pPr>
      <w:r>
        <w:rPr>
          <w:noProof/>
        </w:rPr>
        <w:t>A TANÁCS AJÁNLÁSA</w:t>
      </w:r>
    </w:p>
    <w:p>
      <w:pPr>
        <w:pStyle w:val="Titreobjet"/>
        <w:rPr>
          <w:noProof/>
        </w:rPr>
      </w:pPr>
      <w:r>
        <w:rPr>
          <w:noProof/>
        </w:rPr>
        <w:t>az Egyesült Királyság 2018. évi nemzeti reformprogramjáról,</w:t>
      </w:r>
      <w:r>
        <w:rPr>
          <w:noProof/>
        </w:rPr>
        <w:br/>
      </w:r>
      <w:r>
        <w:rPr>
          <w:noProof/>
        </w:rPr>
        <w:br/>
        <w:t>amelyben véleményezi az Egyesült Királyság 2018. évi konvergenciaprogramját</w:t>
      </w:r>
    </w:p>
    <w:p>
      <w:pPr>
        <w:pStyle w:val="Institutionquiagit"/>
        <w:rPr>
          <w:noProof/>
        </w:rPr>
      </w:pPr>
      <w:r>
        <w:rPr>
          <w:noProof/>
        </w:rPr>
        <w:t>AZ EURÓPAI UNIÓ TANÁCSA,</w:t>
      </w:r>
    </w:p>
    <w:p>
      <w:pPr>
        <w:rPr>
          <w:rFonts w:eastAsia="Calibri"/>
          <w:noProof/>
        </w:rPr>
      </w:pPr>
      <w:r>
        <w:rPr>
          <w:noProof/>
        </w:rPr>
        <w:t>tekintettel az Európai Unió működéséről szóló szerződésre és különösen annak 121. cikke (2) bekezdésére és 148. cikke (4) bekezdésére,</w:t>
      </w:r>
    </w:p>
    <w:p>
      <w:pPr>
        <w:rPr>
          <w:rFonts w:eastAsia="Calibri"/>
          <w:noProof/>
        </w:rPr>
      </w:pPr>
      <w:r>
        <w:rPr>
          <w:noProof/>
        </w:rPr>
        <w:t>tekintettel a költségvetési egyenleg felügyeletének megerősítéséről és a gazdaságpolitikák felügyeletéről és összehangolásáról szóló, 1997. július 7-i 1466/97/EK tanácsi rendeletre</w:t>
      </w:r>
      <w:r>
        <w:rPr>
          <w:rStyle w:val="FootnoteReference"/>
          <w:noProof/>
        </w:rPr>
        <w:footnoteReference w:id="2"/>
      </w:r>
      <w:r>
        <w:rPr>
          <w:noProof/>
        </w:rPr>
        <w:t xml:space="preserve"> és különösen annak 9. cikke (2) bekezdésére,</w:t>
      </w:r>
    </w:p>
    <w:p>
      <w:pPr>
        <w:rPr>
          <w:rFonts w:eastAsia="Calibri"/>
          <w:noProof/>
        </w:rPr>
      </w:pPr>
      <w:r>
        <w:rPr>
          <w:noProof/>
        </w:rPr>
        <w:t>tekintettel az Európai Bizottság ajánlására</w:t>
      </w:r>
      <w:r>
        <w:rPr>
          <w:rStyle w:val="FootnoteReference"/>
          <w:noProof/>
        </w:rPr>
        <w:footnoteReference w:id="3"/>
      </w:r>
      <w:r>
        <w:rPr>
          <w:noProof/>
        </w:rPr>
        <w:t>,</w:t>
      </w:r>
    </w:p>
    <w:p>
      <w:pPr>
        <w:rPr>
          <w:rFonts w:eastAsia="Calibri"/>
          <w:noProof/>
        </w:rPr>
      </w:pPr>
      <w:r>
        <w:rPr>
          <w:noProof/>
        </w:rPr>
        <w:t>tekintettel az Európai Parlament állásfoglalásaira</w:t>
      </w:r>
      <w:r>
        <w:rPr>
          <w:rStyle w:val="FootnoteReference"/>
          <w:noProof/>
        </w:rPr>
        <w:footnoteReference w:id="4"/>
      </w:r>
      <w:r>
        <w:rPr>
          <w:noProof/>
        </w:rPr>
        <w:t>,</w:t>
      </w:r>
    </w:p>
    <w:p>
      <w:pPr>
        <w:outlineLvl w:val="0"/>
        <w:rPr>
          <w:rFonts w:eastAsia="Calibri"/>
          <w:noProof/>
        </w:rPr>
      </w:pPr>
      <w:r>
        <w:rPr>
          <w:noProof/>
        </w:rPr>
        <w:t>tekintettel az Európai Tanács következtetéseire,</w:t>
      </w:r>
    </w:p>
    <w:p>
      <w:pPr>
        <w:rPr>
          <w:rFonts w:eastAsia="Calibri"/>
          <w:noProof/>
        </w:rPr>
      </w:pPr>
      <w:r>
        <w:rPr>
          <w:noProof/>
        </w:rPr>
        <w:t>tekintettel a Foglalkoztatási Bizottság véleményére,</w:t>
      </w:r>
    </w:p>
    <w:p>
      <w:pPr>
        <w:rPr>
          <w:rFonts w:eastAsia="Calibri"/>
          <w:noProof/>
        </w:rPr>
      </w:pPr>
      <w:r>
        <w:rPr>
          <w:noProof/>
        </w:rPr>
        <w:t>tekintettel a Gazdasági és Pénzügyi Bizottság véleményére,</w:t>
      </w:r>
    </w:p>
    <w:p>
      <w:pPr>
        <w:rPr>
          <w:rFonts w:eastAsia="Calibri"/>
          <w:noProof/>
        </w:rPr>
      </w:pPr>
      <w:r>
        <w:rPr>
          <w:noProof/>
        </w:rPr>
        <w:t>tekintettel a szociális védelemmel foglalkozó bizottság véleményére,</w:t>
      </w:r>
    </w:p>
    <w:p>
      <w:pPr>
        <w:rPr>
          <w:rFonts w:eastAsia="Calibri"/>
          <w:noProof/>
        </w:rPr>
      </w:pPr>
      <w:r>
        <w:rPr>
          <w:noProof/>
        </w:rPr>
        <w:t>tekintettel a Gazdaságpolitikai Bizottság véleményére,</w:t>
      </w:r>
    </w:p>
    <w:p>
      <w:pPr>
        <w:rPr>
          <w:rFonts w:eastAsia="Calibri"/>
          <w:noProof/>
        </w:rPr>
      </w:pPr>
      <w:r>
        <w:rPr>
          <w:noProof/>
        </w:rPr>
        <w:t>mivel:</w:t>
      </w:r>
    </w:p>
    <w:p>
      <w:pPr>
        <w:pStyle w:val="ManualConsidrant"/>
        <w:rPr>
          <w:noProof/>
        </w:rPr>
      </w:pPr>
      <w:r>
        <w:t>(1)</w:t>
      </w:r>
      <w:r>
        <w:tab/>
      </w:r>
      <w:r>
        <w:rPr>
          <w:noProof/>
        </w:rPr>
        <w:t>A Bizottság 2017. november 22-én elfogadta az éves növekedési jelentést, amely elindította a gazdaságpolitikai koordináció 2018. évi európai szemeszterét. A Bizottság kellő figyelmet fordított az Európai Parlament, a Tanács és a Bizottság által 2017. november 17-én kihirdetett szociális jogok európai pillérére. Az Európai Tanács 2018. március 22-én jóváhagyta az éves növekedési jelentés prioritásait. A Bizottság az 1176/2011/EU rendelet alapján 2017. november 22-én elfogadta a riasztási mechanizmus keretében készült jelentést is, amelyben az Egyesült Királyságot nem sorolta azon tagállamok közé, amelyek vonatkozásában részletes vizsgálatra kerül sor.</w:t>
      </w:r>
    </w:p>
    <w:p>
      <w:pPr>
        <w:pStyle w:val="ManualConsidrant"/>
        <w:rPr>
          <w:noProof/>
        </w:rPr>
      </w:pPr>
      <w:r>
        <w:t>(2)</w:t>
      </w:r>
      <w:r>
        <w:tab/>
      </w:r>
      <w:r>
        <w:rPr>
          <w:noProof/>
        </w:rPr>
        <w:t>Az Egyesült Királyságra vonatkozó 2018. évi országjelentést</w:t>
      </w:r>
      <w:r>
        <w:rPr>
          <w:rStyle w:val="FootnoteReference"/>
          <w:noProof/>
        </w:rPr>
        <w:footnoteReference w:id="5"/>
      </w:r>
      <w:r>
        <w:rPr>
          <w:noProof/>
        </w:rPr>
        <w:t xml:space="preserve"> 2018. március 7-én tették közzé. Az országjelentés értékelte a Tanács által 2017. július 11-én elfogadott országspecifikus ajánlások és az előző években az Egyesült Királyságnak címzett ajánlások végrehajtása érdekében hozott intézkedéseket, valamint az Európa 2020 stratégia nemzeti szintre lebontott célkitűzései tekintetében az Egyesült Királyság által elért eredményeket.</w:t>
      </w:r>
    </w:p>
    <w:p>
      <w:pPr>
        <w:pStyle w:val="ManualConsidrant"/>
        <w:rPr>
          <w:noProof/>
        </w:rPr>
      </w:pPr>
      <w:r>
        <w:t>(3)</w:t>
      </w:r>
      <w:r>
        <w:tab/>
      </w:r>
      <w:r>
        <w:rPr>
          <w:noProof/>
        </w:rPr>
        <w:t>2017. március 29-én az Egyesült Királyság azon szándékáról tájékoztatta az Európai Tanácsot, hogy kilép az Európai Unióból. Az elsődleges és másodlagos uniós jogszabályok 2019. március 30-án közép-európai idő szerint 00:00 órától kezdődően nem alkalmazandók többé az Egyesült Királyságra, kivéve, ha a kilépésről rendelkező, megerősített megállapodás eltérő időpontot határoz meg, vagy ha az Európai Tanács az Európai Unióról szóló szerződés 50. cikkének (3) bekezdésével összhangban és az Egyesült Királysággal egyetértésben úgy határoz, hogy a szerződések későbbi időponttól nem alkalmazandók. Az Egyesült Királyság ezt követően harmadik országgá válik. A rendezett kilépés biztosítására hivatott tárgyalások folyamatban vannak; ezek kiterjednek annak lehetőségére, hogy 2020 végéig átmeneti időszakot állapítsanak meg, amely alatt az uniós jog továbbra is alkalmazandó lesz az Egyesült Királyságra és az Egyesült Királyságban. Ebben az összefüggésben a Bizottság nem mutatott be vagy részletezett a brexit utáni időszakra vonatkozóan az Európai Unió és az Egyesült Királyság közötti lehetséges kapcsolatokra alapuló semmilyen forgatókönyvet, mivel ezek a kérdések még a tárgyalások tárgyát képezik.</w:t>
      </w:r>
    </w:p>
    <w:p>
      <w:pPr>
        <w:pStyle w:val="ManualConsidrant"/>
        <w:rPr>
          <w:noProof/>
        </w:rPr>
      </w:pPr>
      <w:r>
        <w:t>(4)</w:t>
      </w:r>
      <w:r>
        <w:tab/>
      </w:r>
      <w:r>
        <w:rPr>
          <w:noProof/>
        </w:rPr>
        <w:t>Az Egyesült Királyság 2018. április 30-án benyújtotta 2018. évi nemzeti reformprogramját és 2018. évi konvergenciaprogramját. A kapcsolódási pontok figyelembevétele érdekében a két program értékelésére egyidejűleg került sor.</w:t>
      </w:r>
    </w:p>
    <w:p>
      <w:pPr>
        <w:pStyle w:val="ManualConsidrant"/>
        <w:rPr>
          <w:noProof/>
        </w:rPr>
      </w:pPr>
      <w:r>
        <w:t>(5)</w:t>
      </w:r>
      <w:r>
        <w:tab/>
      </w:r>
      <w:r>
        <w:rPr>
          <w:noProof/>
        </w:rPr>
        <w:t>A vonatkozó országspecifikus ajánlásokat figyelembe vették az európai strukturális és beruházási alapok 2014–2020 közötti időszakra szóló programozása során. Az 1303/2013/EU európai parlamenti és tanácsi rendelet</w:t>
      </w:r>
      <w:r>
        <w:rPr>
          <w:rStyle w:val="FootnoteReference"/>
          <w:noProof/>
        </w:rPr>
        <w:footnoteReference w:id="6"/>
      </w:r>
      <w:r>
        <w:rPr>
          <w:noProof/>
        </w:rPr>
        <w:t xml:space="preserve"> 23. cikke szerint, amennyiben az a vonatkozó tanácsi ajánlások végrehajtásának elősegítése érdekében szükséges, a Bizottság kérheti egy tagállamtól, hogy vizsgálja felül partnerségi megállapodását és releváns programjait, és javasoljon azokhoz módosításokat. A Bizottság az európai strukturális és beruházási alapok eredményességét és a gondos gazdasági irányítást összekapcsoló intézkedések alkalmazására vonatkozó iránymutatásokban további részletekkel szolgált arról, hogyan alkalmazná az említett rendelkezést</w:t>
      </w:r>
      <w:r>
        <w:rPr>
          <w:rStyle w:val="FootnoteReference"/>
          <w:noProof/>
        </w:rPr>
        <w:footnoteReference w:id="7"/>
      </w:r>
      <w:r>
        <w:rPr>
          <w:noProof/>
        </w:rPr>
        <w:t>.</w:t>
      </w:r>
    </w:p>
    <w:p>
      <w:pPr>
        <w:pStyle w:val="ManualConsidrant"/>
        <w:rPr>
          <w:noProof/>
        </w:rPr>
      </w:pPr>
      <w:r>
        <w:t>(6)</w:t>
      </w:r>
      <w:r>
        <w:tab/>
      </w:r>
      <w:r>
        <w:rPr>
          <w:noProof/>
        </w:rPr>
        <w:t>Az Egyesült Királyság jelenleg a Stabilitási és Növekedési Paktum prevenciós ágához és az átmeneti adósságszabály hatálya alá tartozik. A kormánynak a 2017–2018. évi konvergenciaprogramban ismertetett várakozásai szerint a GDP-arányos államháztartási hiány a 2017–2018-as 2,2 %-ról 2018–2019-ben a GDP 1,8 %-ára, 2019–2020-ban pedig a GDP 1,7 %-ára csökken. A konvergenciaprogram nem határoz meg középtávú költségvetési célt. A konvergenciaprogram szerint a GDP-arányos államadósság 2017–2018-ról 2019–2020-ra várhatóan nagyjából 85,5 % körül stabilizálódik, majd 2021–2022-ben 84,8 %-ra mérséklődik. A költségvetési előrejelzéseket alátámasztó makrogazdasági forgatókönyv megalapozott. A tervezett hiánycélok eléréséhez szükséges intézkedések összességében jól meghatározottak, viszont a kormányzati kiadások növelésére irányuló, több területen érzékelhető nyomás veszélyezteti a tervezett hiánycsökkentés megvalósítását.</w:t>
      </w:r>
    </w:p>
    <w:p>
      <w:pPr>
        <w:pStyle w:val="ManualConsidrant"/>
        <w:rPr>
          <w:noProof/>
        </w:rPr>
      </w:pPr>
      <w:r>
        <w:t>(7)</w:t>
      </w:r>
      <w:r>
        <w:tab/>
      </w:r>
      <w:r>
        <w:rPr>
          <w:noProof/>
        </w:rPr>
        <w:t>A Tanács 2017. július 11-én azt ajánlotta az Egyesült Királyságnak, hogy biztosítsa, hogy a nettó elsődleges államháztartási kiadások</w:t>
      </w:r>
      <w:r>
        <w:rPr>
          <w:rStyle w:val="FootnoteReference"/>
          <w:noProof/>
        </w:rPr>
        <w:footnoteReference w:id="8"/>
      </w:r>
      <w:r>
        <w:rPr>
          <w:noProof/>
        </w:rPr>
        <w:t xml:space="preserve"> nominális növekedési rátája 2018–2019-ben ne haladja meg a 1,8 %-ot, ami a GDP 0,6 %-ának megfelelő éves strukturális kiigazításnak felel meg. A Tanács ugyanakkor kijelentette, hogy figyelembe kell venni egy olyan költségvetési irányvonal megvalósítására vonatkozó célt, amely hozzájárul mind a folyamatban lévő gazdaságélénkülés megerősítéséhez, mind pedig az Egyesült Királyság államháztartása fenntarthatóságának biztosításához. A Bizottság 2018. évi tavaszi előrejelzése alapján fennáll a kockázata annak, hogy az Egyesült Királyság 2018–2019-ben némileg eltér a prevenciós ág követelményeitől.</w:t>
      </w:r>
    </w:p>
    <w:p>
      <w:pPr>
        <w:pStyle w:val="ManualConsidrant"/>
        <w:rPr>
          <w:noProof/>
        </w:rPr>
      </w:pPr>
      <w:r>
        <w:t>(8)</w:t>
      </w:r>
      <w:r>
        <w:tab/>
      </w:r>
      <w:r>
        <w:rPr>
          <w:noProof/>
        </w:rPr>
        <w:t>2019–2020-ban, tekintettel az Egyesült Királyság 60 % feletti GDP-arányos államadósság-rátájára és a 0,4 %-os előre vetített kibocsátási résre, a nettó elsődleges államháztartási kiadások nominális növekedési rátája nem haladhatja meg a 1,6 %-ot, összhangban a Stabilitási és Növekedési Paktumban meghatározott követelménymátrix által előírt, a GDP 0,6 %-ának megfelelő strukturális kiigazítással. Változatlan politikát feltételezve az Egyesült Királyság a 2019–2020 közötti időszakban teljesíti ezt a követelményt. Első megközelítésben úgy tűnik, hogy az Egyesült Királyság 2018–2019-ben és 2019–2020-ban az engedélyezett 0,25 %-os éves eltérés eredményeként várhatóan megfelel az átmeneti adósságszabálynak. A Tanács összességében úgy véli, hogy az Egyesült Királyságnak készen kell állnia arra, hogy 2018–2019-ben további intézkedéseket hajtson végre a Stabilitási és Növekedési Paktum rendelkezéseinek való megfelelés érdekében.</w:t>
      </w:r>
    </w:p>
    <w:p>
      <w:pPr>
        <w:pStyle w:val="ManualConsidrant"/>
        <w:rPr>
          <w:noProof/>
        </w:rPr>
      </w:pPr>
      <w:r>
        <w:t>(9)</w:t>
      </w:r>
      <w:r>
        <w:tab/>
      </w:r>
      <w:r>
        <w:rPr>
          <w:noProof/>
        </w:rPr>
        <w:t>A lakáspiac élénkítését és a konjunktúrát ösztönző kormányzati kezdeményezések közepette az éves nettó lakáskínálat tovább növekszik. A kínálat növekedése ugyanakkor messze elmarad a becsült kereslettől, így az Egyesült Királyság továbbra is komoly kihívásokkal néz szembe a megfelelő lakhatás biztosítása terén. Ennek részben a telekpiac nagyon szigorú és összetett szabályozása az oka. A lakáshiány és a magas lakhatási költségek különösen fontos problémát jelentenek a nagy és növekvő kereslettel jellemezhető területeken, például a városokban és környékükön. A kormány felismerte a problémát, és ambiciózus célokat tűzött ki a kínálat elkövetkező években történő növelésére. Ugyanakkor a kormány megerősítette, hogy korlátozni kívánja a városi agglomerációk további beépítését. Az ingatlantulajdon jelentősen csökkent a fiatalok körében, ami hozzájárult a nemzedékek közötti egyenlőtlenségekhez. A munkatermelékenység alacsony és stagnál. A gazdaság jelentős része viszonylag rosszul teljesít a termelékenység fő mozgatórugói – a készségek, a beruházások és az üzleti folyamatok hatékonysága terén. Az Egyesült Királyság közúti, vasúti és légiközlekedési hálózatai is jelentős és növekvő kapacitáshiánnyal rendelkeznek.</w:t>
      </w:r>
    </w:p>
    <w:p>
      <w:pPr>
        <w:pStyle w:val="ManualConsidrant"/>
        <w:rPr>
          <w:noProof/>
        </w:rPr>
      </w:pPr>
      <w:r>
        <w:t>(10)</w:t>
      </w:r>
      <w:r>
        <w:tab/>
      </w:r>
      <w:r>
        <w:rPr>
          <w:noProof/>
        </w:rPr>
        <w:t>Bár a legtöbb munkaügyi mérőszám szerint továbbra is pozitívak a főbb munkaerőpiaci adatok, a foglalkoztatás minősége egyes területeken továbbra is aggályos. Ez mindenekelőtt a készségek fejlesztésére, az atipikus foglalkoztatási formákra, a keresetekre, a termelékenységre, a munkaerőpiaci részvételre és a munkaképes korú szegénységre vonatkozik. E kérdések mindegyike vonatkozásában jelentős szakpolitikai bejelentések és fejlemények történtek. A kapcsolódó politikák koherenciája elengedhetetlen. A készségek terén a hangsúly mindeddig a tanulószerződéses gyakorlati képzésen és a műszaki oktatás reformján volt. A minőség középpontba állítása mindkét területen mind a társadalom, mind a gazdaság számára fenntartható multiplikátorhatást jelenthet. Az Egyesült Királyság azon tagállamok közé tartozik, amelyek már megfelelnek a színvonalas és eredményes tanulószerződéses gyakorlati képzés európai keretrendszere keretében tervezett kritériumok több mint kétharmadának, és ezért képesek megvalósítani a minőségi célkitűzések meghatározását és – például a hallgatói pályakövetés révén – nyomon követését. Az egész életen át tartó tanulás lehetőségeinek bővítéséhez a tanulószerződéses gyakorlati képzésre és az új, ún. T-Level programokra elkülönített forrásokhoz hasonló mértékű támogatást kell biztosítani, különösen azok számára, akik a munkaerőpiac belépő szintjén ragadtak.</w:t>
      </w:r>
    </w:p>
    <w:p>
      <w:pPr>
        <w:pStyle w:val="ManualConsidrant"/>
        <w:rPr>
          <w:noProof/>
        </w:rPr>
      </w:pPr>
      <w:r>
        <w:t>(11)</w:t>
      </w:r>
      <w:r>
        <w:tab/>
      </w:r>
      <w:r>
        <w:rPr>
          <w:noProof/>
        </w:rPr>
        <w:t>A szociális védelemmel és a társadalmi befogadással kapcsolatos kérdésekre is figyelmet kell fordítani a jövőben. A gyermekgondozási reformok bevezetése folyamatban van, de több rendelkezés is szükséges, különösen a három év alatti gyermekekre vonatkozóan. Egyes jóléti reformok és csökkentések hatása – mely különösen az aktív kereső családok számára lenne fontos – még nem érezhető.</w:t>
      </w:r>
    </w:p>
    <w:p>
      <w:pPr>
        <w:pStyle w:val="ManualConsidrant"/>
        <w:rPr>
          <w:noProof/>
        </w:rPr>
      </w:pPr>
      <w:r>
        <w:t>(12)</w:t>
      </w:r>
      <w:r>
        <w:tab/>
      </w:r>
      <w:r>
        <w:rPr>
          <w:noProof/>
        </w:rPr>
        <w:t>A 2018. évi európai szemeszter keretében a Bizottság átfogóan elemezte az Egyesült Királyság gazdaságpolitikáját, és az elemzést közzétette a 2018. évi országjelentésben. A Bizottság értékelte továbbá a 2018. évi konvergenciaprogramot és a 2018. évi nemzeti reformprogramot, valamint az előző években az Egyesült Királyságnak címzett ajánlások végrehajtása érdekében hozott intézkedéseket. A Bizottság figyelembe vette nemcsak azoknak az Egyesült Királyság fenntartható költségvetési, valamint társadalom- és gazdaságpolitikája szempontjából mutatott jelentőségét, hanem azt is, hogy milyen mértékben felelnek meg az uniós szabályoknak és iránymutatásoknak, tekintve, hogy az Európai Unió átfogó gazdasági kormányzását az uniós szempontoknak a leendő tagállami döntésekbe való beépítésével kell megerősíteni.</w:t>
      </w:r>
    </w:p>
    <w:p>
      <w:pPr>
        <w:pStyle w:val="ManualConsidrant"/>
        <w:rPr>
          <w:noProof/>
        </w:rPr>
      </w:pPr>
      <w:r>
        <w:t>(13)</w:t>
      </w:r>
      <w:r>
        <w:tab/>
      </w:r>
      <w:r>
        <w:rPr>
          <w:noProof/>
        </w:rPr>
        <w:t>A Tanács ezen értékelés fényében megvizsgálta a 2018. évi konvergenciaprogramot, és arról alkotott véleményét különösen az alábbi 1. ajánlás tükrözi.</w:t>
      </w:r>
    </w:p>
    <w:p>
      <w:pPr>
        <w:pStyle w:val="Formuledadoption"/>
        <w:rPr>
          <w:noProof/>
        </w:rPr>
      </w:pPr>
      <w:r>
        <w:rPr>
          <w:noProof/>
        </w:rPr>
        <w:t>AJÁNLJA, hogy az Egyesült Királyság 2018-ban és 2019-ben tegyen intézkedéseket a következők érdekében:</w:t>
      </w:r>
    </w:p>
    <w:p>
      <w:pPr>
        <w:pStyle w:val="ManualNumPar1"/>
        <w:rPr>
          <w:rFonts w:eastAsia="Calibri"/>
          <w:noProof/>
        </w:rPr>
      </w:pPr>
      <w:bookmarkStart w:id="1" w:name="_CopyToNewDocument_"/>
      <w:bookmarkEnd w:id="1"/>
      <w:r>
        <w:rPr>
          <w:noProof/>
        </w:rPr>
        <w:t>1.</w:t>
      </w:r>
      <w:r>
        <w:rPr>
          <w:noProof/>
        </w:rPr>
        <w:tab/>
        <w:t>Biztosítsa, hogy a nettó elsődleges államháztartási kiadások nominális növekedési rátája 2019–2020-ban ne haladja meg a 1,6 %-ot, ami a GDP 0,6 %-ának megfelelő éves strukturális kiigazításnak felel meg.</w:t>
      </w:r>
    </w:p>
    <w:p>
      <w:pPr>
        <w:pStyle w:val="ManualNumPar1"/>
        <w:rPr>
          <w:noProof/>
        </w:rPr>
      </w:pPr>
      <w:r>
        <w:rPr>
          <w:noProof/>
        </w:rPr>
        <w:t>2.</w:t>
      </w:r>
      <w:r>
        <w:rPr>
          <w:noProof/>
        </w:rPr>
        <w:tab/>
        <w:t>Egyebek mellett a területfejlesztési rendszer további reformja révén növelje a lakáskínálatot, különösen azokon a területeken, ahol a legnagyobb a kereslet.</w:t>
      </w:r>
    </w:p>
    <w:p>
      <w:pPr>
        <w:pStyle w:val="ManualNumPar1"/>
        <w:keepNext/>
        <w:keepLines/>
        <w:rPr>
          <w:noProof/>
        </w:rPr>
      </w:pPr>
      <w:r>
        <w:rPr>
          <w:noProof/>
        </w:rPr>
        <w:t>3.</w:t>
      </w:r>
      <w:r>
        <w:rPr>
          <w:noProof/>
        </w:rPr>
        <w:tab/>
        <w:t>A tanulószerződéses gyakorlati képzések minőségére és hatékonyságára vonatkozó eredménymutatók meghatározásával és a már a munkaerőpiacon lévő munkavállalók továbbképzési lehetőségeit bővítő újabb beruházásokkal kezelje a készségek és a szakmai fejlődési igények terén mutatkozó problémákat.</w:t>
      </w:r>
    </w:p>
    <w:p>
      <w:pPr>
        <w:pStyle w:val="Fait"/>
        <w:rPr>
          <w:noProof/>
        </w:rPr>
      </w:pPr>
      <w:r>
        <w:t>Kelt Brüsszelben, -án/-én.</w:t>
      </w:r>
    </w:p>
    <w:p>
      <w:pPr>
        <w:pStyle w:val="Institutionquisigne"/>
        <w:rPr>
          <w:noProof/>
        </w:rPr>
      </w:pPr>
      <w:r>
        <w:rPr>
          <w:noProof/>
        </w:rPr>
        <w:tab/>
        <w:t>a Tanács részéről</w:t>
      </w:r>
    </w:p>
    <w:p>
      <w:pPr>
        <w:pStyle w:val="Personnequisigne"/>
        <w:rPr>
          <w:noProof/>
        </w:rPr>
      </w:pPr>
      <w:r>
        <w:rPr>
          <w:noProof/>
        </w:rPr>
        <w:tab/>
        <w:t>az elnök</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tab/>
        <w:t>HL L 209., 1997.8.2., 1. o.</w:t>
      </w:r>
    </w:p>
  </w:footnote>
  <w:footnote w:id="3">
    <w:p>
      <w:pPr>
        <w:pStyle w:val="FootnoteText"/>
        <w:rPr>
          <w:lang w:val="pt-PT"/>
        </w:rPr>
      </w:pPr>
      <w:r>
        <w:rPr>
          <w:rStyle w:val="FootnoteReference"/>
        </w:rPr>
        <w:footnoteRef/>
      </w:r>
      <w:r>
        <w:tab/>
        <w:t>COM(2018) 427 final.</w:t>
      </w:r>
    </w:p>
  </w:footnote>
  <w:footnote w:id="4">
    <w:p>
      <w:pPr>
        <w:pStyle w:val="FootnoteText"/>
      </w:pPr>
      <w:r>
        <w:rPr>
          <w:rStyle w:val="FootnoteReference"/>
        </w:rPr>
        <w:footnoteRef/>
      </w:r>
      <w:r>
        <w:tab/>
        <w:t>P8_TA(2018)0077 és P8_TA(2018)0078.</w:t>
      </w:r>
    </w:p>
  </w:footnote>
  <w:footnote w:id="5">
    <w:p>
      <w:pPr>
        <w:pStyle w:val="FootnoteText"/>
      </w:pPr>
      <w:r>
        <w:rPr>
          <w:rStyle w:val="FootnoteReference"/>
        </w:rPr>
        <w:footnoteRef/>
      </w:r>
      <w:r>
        <w:tab/>
        <w:t>SWD(2018) 226 final.</w:t>
      </w:r>
    </w:p>
  </w:footnote>
  <w:footnote w:id="6">
    <w:p>
      <w:pPr>
        <w:pStyle w:val="FootnoteText"/>
      </w:pPr>
      <w:r>
        <w:rPr>
          <w:rStyle w:val="FootnoteReference"/>
        </w:rPr>
        <w:footnoteRef/>
      </w:r>
      <w:r>
        <w:tab/>
        <w:t>Az Európai Parlament és a Tanács 1303/2013/EU rendelete (2013. december 17.)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 (HL L 347., 2013.12.20., 320. o.).</w:t>
      </w:r>
    </w:p>
  </w:footnote>
  <w:footnote w:id="7">
    <w:p>
      <w:pPr>
        <w:pStyle w:val="FootnoteText"/>
      </w:pPr>
      <w:r>
        <w:rPr>
          <w:rStyle w:val="FootnoteReference"/>
        </w:rPr>
        <w:footnoteRef/>
      </w:r>
      <w:r>
        <w:tab/>
        <w:t>COM(2014) 494 final.</w:t>
      </w:r>
    </w:p>
  </w:footnote>
  <w:footnote w:id="8">
    <w:p>
      <w:pPr>
        <w:pStyle w:val="FootnoteText"/>
      </w:pPr>
      <w:r>
        <w:rPr>
          <w:rStyle w:val="FootnoteReference"/>
        </w:rPr>
        <w:footnoteRef/>
      </w:r>
      <w:r>
        <w:tab/>
        <w:t>A nettó elsődleges államháztartási kiadás a teljes államháztartási kiadás, a következők kivételével: kamatkiadások, az uniós programokra fordított azon kiadások, amelyeket teljes mértékben ellentételeznek az uniós alapokból származó bevételek, valamint az álláskeresési járadékokra fordított kiadások nem diszkrecionális változásai. A hazai finanszírozású bruttó állóeszköz-felhalmozás négyéves időszakra van szétterítve. A diszkrecionális bevételi intézkedéseket, illetve a törvényben előírt bevételnövelést figyelembe veszik, a bevételi és a kiadási oldalon végrehajtott egyszeri intézkedéseket pedig nettósítják.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9B6F0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46680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D766251E"/>
    <w:lvl w:ilvl="0">
      <w:start w:val="1"/>
      <w:numFmt w:val="decimal"/>
      <w:pStyle w:val="ListNumber2"/>
      <w:lvlText w:val="%1."/>
      <w:lvlJc w:val="left"/>
      <w:pPr>
        <w:tabs>
          <w:tab w:val="num" w:pos="643"/>
        </w:tabs>
        <w:ind w:left="643" w:hanging="360"/>
      </w:pPr>
    </w:lvl>
  </w:abstractNum>
  <w:abstractNum w:abstractNumId="3">
    <w:nsid w:val="FFFFFF81"/>
    <w:multiLevelType w:val="singleLevel"/>
    <w:tmpl w:val="D174CD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71E859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E421FD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EC276D0"/>
    <w:lvl w:ilvl="0">
      <w:start w:val="1"/>
      <w:numFmt w:val="decimal"/>
      <w:pStyle w:val="ListNumber"/>
      <w:lvlText w:val="%1."/>
      <w:lvlJc w:val="left"/>
      <w:pPr>
        <w:tabs>
          <w:tab w:val="num" w:pos="360"/>
        </w:tabs>
        <w:ind w:left="360" w:hanging="360"/>
      </w:pPr>
    </w:lvl>
  </w:abstractNum>
  <w:abstractNum w:abstractNumId="7">
    <w:nsid w:val="FFFFFF89"/>
    <w:multiLevelType w:val="singleLevel"/>
    <w:tmpl w:val="4406FE6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9 15:34:0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6D63719-F35A-4FA7-AD01-052AFB589E2D"/>
    <w:docVar w:name="LW_COVERPAGE_TYPE" w:val="1"/>
    <w:docVar w:name="LW_CROSSREFERENCE" w:val="&lt;UNUSED&gt;"/>
    <w:docVar w:name="LW_DocType" w:val="COM"/>
    <w:docVar w:name="LW_EMISSION" w:val="2018.5.23."/>
    <w:docVar w:name="LW_EMISSION_ISODATE" w:val="2018-05-23"/>
    <w:docVar w:name="LW_EMISSION_LOCATION" w:val="BRX"/>
    <w:docVar w:name="LW_EMISSION_PREFIX" w:val="Brüsszel,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Ajánlás"/>
    <w:docVar w:name="LW_SUPERTITRE" w:val="&lt;UNUSED&gt;"/>
    <w:docVar w:name="LW_TITRE.OBJ.CP" w:val="az Egyesült Királyság 2018. évi nemzeti reformprogramjáról,_x000b__x000b_amelyben véleményezi az Egyesült Királyság 2018. évi konvergenciaprogramját"/>
    <w:docVar w:name="LW_TYPE.DOC.CP" w:val="A TANÁCS AJÁNLÁSA"/>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0C4F-5395-4BB4-86C7-92ABFEBD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1452</Words>
  <Characters>10165</Characters>
  <Application>Microsoft Office Word</Application>
  <DocSecurity>0</DocSecurity>
  <Lines>163</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2018-05-29T09:05:00Z</dcterms:created>
  <dcterms:modified xsi:type="dcterms:W3CDTF">2018-05-29T13:34:00Z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