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 id="_x0000_i1044" type="#_x0000_t75" alt="CADA2F74-A0D0-4934-9CB7-CCABD7FEB5C6" style="width:450.45pt;height:333.5pt">
            <v:imagedata r:id="rId9" o:title=""/>
          </v:shape>
        </w:pict>
      </w:r>
    </w:p>
    <w:bookmarkEnd w:id="0"/>
    <w:p>
      <w:pPr>
        <w:pStyle w:val="Pagedecouverture"/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Heading1"/>
        <w:numPr>
          <w:ilvl w:val="0"/>
          <w:numId w:val="25"/>
        </w:numPr>
        <w:rPr>
          <w:noProof/>
          <w:szCs w:val="24"/>
        </w:rPr>
      </w:pPr>
      <w:bookmarkStart w:id="1" w:name="_Toc511563311"/>
      <w:bookmarkStart w:id="2" w:name="_GoBack"/>
      <w:bookmarkEnd w:id="2"/>
      <w:r>
        <w:rPr>
          <w:noProof/>
        </w:rPr>
        <w:lastRenderedPageBreak/>
        <w:t>A beporzókkal kapcsolatos uniós fellépés szükségessége</w:t>
      </w:r>
      <w:bookmarkEnd w:id="1"/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Az utóbbi években a nyilvánosság figyelme az Unióban és világszerte pusztuló mézelőméh-populációk felé fordult. E nagy nyilvánosságot kapott jelenség mögött egy sokkal nagyobb probléma húzódik, nevezetesen az európai vadon élő beporzó rovarok valamennyi fajtájának – beleértve a vadon élő méheket, a zengőlégyféléket, a nappali lepkéket és az éjszakai lepkéket – előfordulásában és sokféleségében bekövetkező nagyarányú csökkenés. Számos beporzófaj van, amely kihalt, vagy amelyet kihalás fenyeget</w:t>
      </w:r>
      <w:r>
        <w:rPr>
          <w:rStyle w:val="FootnoteReference"/>
          <w:rFonts w:ascii="Times New Roman" w:hAnsi="Times New Roman"/>
          <w:noProof/>
          <w:sz w:val="24"/>
        </w:rPr>
        <w:footnoteReference w:id="2"/>
      </w:r>
      <w:r>
        <w:rPr>
          <w:rFonts w:ascii="Times New Roman" w:hAnsi="Times New Roman"/>
          <w:noProof/>
          <w:sz w:val="24"/>
        </w:rPr>
        <w:t>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Ez komoly aggodalomra ad okot, mert a beporzók az egészséges ökoszisztémák szerves részét képezik. Nélkülük sok növényfaj populációja csökkenne, majd végül eltűnne a tőlük függő organizmusokkal együtt, ami súlyos ökológiai, társadalmi és gazdasági következményekkel járna. A beporzóktól függő haszonnövényeknek eltérő mértékben szükségük van az állatok által végzett beporzásra. A becslések szerint jelenleg globálisan a haszonnövények 5–8 %-a</w:t>
      </w:r>
      <w:bookmarkStart w:id="3" w:name="_Ref513201398"/>
      <w:r>
        <w:rPr>
          <w:rStyle w:val="FootnoteReference"/>
          <w:rFonts w:ascii="Times New Roman" w:hAnsi="Times New Roman"/>
          <w:noProof/>
          <w:sz w:val="24"/>
        </w:rPr>
        <w:footnoteReference w:id="3"/>
      </w:r>
      <w:bookmarkEnd w:id="3"/>
      <w:r>
        <w:rPr>
          <w:rFonts w:ascii="Times New Roman" w:hAnsi="Times New Roman"/>
          <w:noProof/>
          <w:sz w:val="24"/>
        </w:rPr>
        <w:t xml:space="preserve"> függ közvetlenül az állatok által végzett beporzástól. Egyedül az Európai Unióban a haszonnövényfajok körülbelül 84 %-a</w:t>
      </w:r>
      <w:bookmarkStart w:id="4" w:name="_Ref513200924"/>
      <w:r>
        <w:rPr>
          <w:rStyle w:val="FootnoteReference"/>
          <w:rFonts w:ascii="Times New Roman" w:hAnsi="Times New Roman"/>
          <w:noProof/>
          <w:sz w:val="24"/>
        </w:rPr>
        <w:footnoteReference w:id="4"/>
      </w:r>
      <w:bookmarkEnd w:id="4"/>
      <w:r>
        <w:rPr>
          <w:rFonts w:ascii="Times New Roman" w:hAnsi="Times New Roman"/>
          <w:noProof/>
          <w:sz w:val="24"/>
        </w:rPr>
        <w:t xml:space="preserve"> és a vadvirágfajok 78 %-a</w:t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NOTEREF _Ref513200924 \h \f \* MERGEFORMAT </w:instrText>
      </w: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</w:rPr>
        <w:t xml:space="preserve"> függ legalább részben az állati eredetű beporzástól. Az éves uniós mezőgazdasági termelés közel 15 milliárd EUR</w:t>
      </w:r>
      <w:r>
        <w:rPr>
          <w:rStyle w:val="FootnoteReference"/>
          <w:rFonts w:ascii="Times New Roman" w:hAnsi="Times New Roman"/>
          <w:noProof/>
          <w:sz w:val="24"/>
        </w:rPr>
        <w:footnoteReference w:id="5"/>
      </w:r>
      <w:r>
        <w:rPr>
          <w:rFonts w:ascii="Times New Roman" w:hAnsi="Times New Roman"/>
          <w:noProof/>
          <w:sz w:val="24"/>
        </w:rPr>
        <w:t xml:space="preserve"> értékben közvetlenül a beporzó rovaroktól függ.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 biológiai sokféleséggel és az ökoszisztéma-szolgáltatásokkal foglalkozó kormányközi tudománypolitikai platform</w:t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NOTEREF _Ref513201398 \h \f \* MERGEFORMAT </w:instrText>
      </w: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</w:rPr>
        <w:t xml:space="preserve"> által a beporzókról kiadott első globális jelentés a földhasználat megváltoztatását, az intenzív mezőgazdasági gazdálkodást és növényvédőszer-használatot, a környezetszennyezést, az idegenhonos özönfajokat, a patogéneket és az éghajlatváltozást nevezi meg a beporzókat fenyegető fő veszélyként. Emellett jelentős hiányosságokat tár fel az említett tényezők hatásaival kapcsolatos ismeretekben, és rámutat, hogy több ágazatra kiterjedő fellépés szükséges a kezelésükhöz. A biológiai sokféleségről szóló egyezmény</w:t>
      </w:r>
      <w:r>
        <w:rPr>
          <w:rStyle w:val="FootnoteReference"/>
          <w:rFonts w:ascii="Times New Roman" w:hAnsi="Times New Roman"/>
          <w:noProof/>
          <w:sz w:val="24"/>
        </w:rPr>
        <w:footnoteReference w:id="6"/>
      </w:r>
      <w:r>
        <w:rPr>
          <w:rFonts w:ascii="Times New Roman" w:hAnsi="Times New Roman"/>
          <w:noProof/>
          <w:sz w:val="24"/>
        </w:rPr>
        <w:t xml:space="preserve"> támogatta a jelentés megállapításait, és kiemelte, milyen fontosak a beporzók és az általuk nyújtott ökoszisztéma-szolgáltatások az ENSZ több fenntartható fejlesztési céljának</w:t>
      </w:r>
      <w:r>
        <w:rPr>
          <w:rStyle w:val="FootnoteReference"/>
          <w:rFonts w:ascii="Times New Roman" w:hAnsi="Times New Roman"/>
          <w:noProof/>
          <w:sz w:val="24"/>
        </w:rPr>
        <w:footnoteReference w:id="7"/>
      </w:r>
      <w:r>
        <w:rPr>
          <w:rFonts w:ascii="Times New Roman" w:hAnsi="Times New Roman"/>
          <w:noProof/>
          <w:sz w:val="24"/>
        </w:rPr>
        <w:t xml:space="preserve"> megvalósításában.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Az Európai Unió számos, a beporzók szempontjából előnyös intézkedést hozott, nevezetesen a környezetvédelmi és egészségügyi szakpolitika (különösen a madárvédelmi és az élőhelyvédelmi irányelv, illetve a növényvédő szerekről szóló uniós jogszabályok), valamint a közös agrárpolitika, a kohéziós politika, továbbá a kutatási és innovációs politika keretében. Emellett több nemzeti és regionális stratégia létezik a beporzók vonatkozásában. Ugyanakkor eddig egyetlen összehangolt uniós fellépésre sem került sor annak érdekében, hogy különböző ágazatokra és szakpolitikákra kiterjedő integrált megközelítéssel kezeljék a beporzók </w:t>
      </w:r>
      <w:r>
        <w:rPr>
          <w:rFonts w:ascii="Times New Roman" w:hAnsi="Times New Roman"/>
          <w:noProof/>
          <w:sz w:val="24"/>
        </w:rPr>
        <w:lastRenderedPageBreak/>
        <w:t>pusztulásának problémáját. Az Európai Uniónak és a tagállamainak együtt kell megoldaniuk ezt a problémát.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Ez a közlemény stratégiai célkitűzéseket, illetve az EU és a tagállamai által végrehajtandó intézkedéseket tartalmaz a beporzók uniós pusztulásának megakadályozása és a globális természetvédelmi erőfeszítésekhez való hozzájárulás érdekében. Meghatározza egyrészt a probléma megoldására irányuló integrált megközelítés keretét, másrészt a meglévő eszközök és szakpolitikák hatékonyabb alkalmazásának keretét.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Ez a kezdeményezés jó példája annak a bizottsági célkitűzésnek, amely fel kívánja gyorsítani az Európa 2020 stratégia céljának elérését a biodiverzitás és az ökoszisztéma-szolgáltatások csökkenésének feltartóztatását és visszafordítását illetően</w:t>
      </w:r>
      <w:r>
        <w:rPr>
          <w:rStyle w:val="FootnoteReference"/>
          <w:rFonts w:ascii="Times New Roman" w:hAnsi="Times New Roman"/>
          <w:noProof/>
          <w:sz w:val="24"/>
        </w:rPr>
        <w:footnoteReference w:id="8"/>
      </w:r>
      <w:r>
        <w:rPr>
          <w:rFonts w:ascii="Times New Roman" w:hAnsi="Times New Roman"/>
          <w:noProof/>
          <w:sz w:val="24"/>
        </w:rPr>
        <w:t>, és ezt a célt a „Cselekvési terv a természetért, az emberekért és a gazdaságért” című közlemény</w:t>
      </w:r>
      <w:r>
        <w:rPr>
          <w:rStyle w:val="FootnoteReference"/>
          <w:rFonts w:ascii="Times New Roman" w:hAnsi="Times New Roman"/>
          <w:noProof/>
          <w:sz w:val="24"/>
        </w:rPr>
        <w:footnoteReference w:id="9"/>
      </w:r>
      <w:r>
        <w:rPr>
          <w:rFonts w:ascii="Times New Roman" w:hAnsi="Times New Roman"/>
          <w:noProof/>
          <w:sz w:val="24"/>
        </w:rPr>
        <w:t xml:space="preserve"> is megerősítette. A kezdeményezés válasz az Európai Parlament</w:t>
      </w:r>
      <w:r>
        <w:rPr>
          <w:rStyle w:val="FootnoteReference"/>
          <w:rFonts w:ascii="Times New Roman" w:hAnsi="Times New Roman"/>
          <w:noProof/>
          <w:sz w:val="24"/>
        </w:rPr>
        <w:footnoteReference w:id="10"/>
      </w:r>
      <w:r>
        <w:rPr>
          <w:rFonts w:ascii="Times New Roman" w:hAnsi="Times New Roman"/>
          <w:noProof/>
          <w:sz w:val="24"/>
          <w:vertAlign w:val="superscript"/>
        </w:rPr>
        <w:t>,</w:t>
      </w:r>
      <w:r>
        <w:rPr>
          <w:rStyle w:val="FootnoteReference"/>
          <w:rFonts w:ascii="Times New Roman" w:hAnsi="Times New Roman"/>
          <w:noProof/>
          <w:sz w:val="24"/>
        </w:rPr>
        <w:footnoteReference w:id="11"/>
      </w:r>
      <w:r>
        <w:rPr>
          <w:rFonts w:ascii="Times New Roman" w:hAnsi="Times New Roman"/>
          <w:noProof/>
          <w:sz w:val="24"/>
        </w:rPr>
        <w:t xml:space="preserve"> és a Tanács</w:t>
      </w:r>
      <w:r>
        <w:rPr>
          <w:rStyle w:val="FootnoteReference"/>
          <w:rFonts w:ascii="Times New Roman" w:hAnsi="Times New Roman"/>
          <w:noProof/>
          <w:sz w:val="24"/>
        </w:rPr>
        <w:footnoteReference w:id="12"/>
      </w:r>
      <w:r>
        <w:rPr>
          <w:rFonts w:ascii="Times New Roman" w:hAnsi="Times New Roman"/>
          <w:noProof/>
          <w:sz w:val="24"/>
        </w:rPr>
        <w:t xml:space="preserve"> azzal kapcsolatos felhívásaira, hogy meg kell védeni a beporzókat és élőhelyeiket, pusztulásuk feltartóztatása érdekében. A kezdeményezést előkészítő nyilvános konzultáció</w:t>
      </w:r>
      <w:r>
        <w:rPr>
          <w:rStyle w:val="FootnoteReference"/>
          <w:rFonts w:ascii="Times New Roman" w:hAnsi="Times New Roman"/>
          <w:noProof/>
          <w:sz w:val="24"/>
        </w:rPr>
        <w:footnoteReference w:id="13"/>
      </w:r>
      <w:r>
        <w:rPr>
          <w:rFonts w:ascii="Times New Roman" w:hAnsi="Times New Roman"/>
          <w:noProof/>
          <w:sz w:val="24"/>
        </w:rPr>
        <w:t xml:space="preserve"> eredménye szerint az érdekelt felek csoportjai, illetve különösen a nagy nyilvánosság határozottan támogatnak egy beporzókról szóló uniós kezdeményezést.</w:t>
      </w:r>
    </w:p>
    <w:p>
      <w:pPr>
        <w:pStyle w:val="Heading1"/>
        <w:numPr>
          <w:ilvl w:val="0"/>
          <w:numId w:val="25"/>
        </w:numPr>
        <w:rPr>
          <w:noProof/>
          <w:szCs w:val="24"/>
        </w:rPr>
      </w:pPr>
      <w:bookmarkStart w:id="5" w:name="_Toc511563312"/>
      <w:r>
        <w:rPr>
          <w:noProof/>
        </w:rPr>
        <w:t>A kezdeményezés elemei</w:t>
      </w:r>
      <w:bookmarkEnd w:id="5"/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 kezdeményezésben meghatározott célkitűzések és intézkedések célja a beporzó rovarok pusztulásával kapcsolatos tudományos ismeretek bővítése, a pusztulás fő ismert okainak felszámolása és az érintett szereplők közötti együttműködés megerősítése. Habár a hangsúly a vadon élő beporzókon van, a kezdeményezés a valamennyi beporzót érintő közös kihívásokkal foglalkozik. Ezért a háziasított beporzók, különösen a mézelő méhek szempontjából is előnyös lesz, és ki fogja egészíteni a méhészettel</w:t>
      </w:r>
      <w:r>
        <w:rPr>
          <w:rStyle w:val="FootnoteReference"/>
          <w:rFonts w:ascii="Times New Roman" w:hAnsi="Times New Roman"/>
          <w:noProof/>
          <w:sz w:val="24"/>
        </w:rPr>
        <w:footnoteReference w:id="14"/>
      </w:r>
      <w:r>
        <w:rPr>
          <w:rFonts w:ascii="Times New Roman" w:hAnsi="Times New Roman"/>
          <w:noProof/>
          <w:sz w:val="24"/>
        </w:rPr>
        <w:t xml:space="preserve"> és a méhek egészségével</w:t>
      </w:r>
      <w:bookmarkStart w:id="6" w:name="_Ref512945488"/>
      <w:r>
        <w:rPr>
          <w:rStyle w:val="FootnoteReference"/>
          <w:rFonts w:ascii="Times New Roman" w:hAnsi="Times New Roman"/>
          <w:noProof/>
          <w:sz w:val="24"/>
        </w:rPr>
        <w:footnoteReference w:id="15"/>
      </w:r>
      <w:bookmarkEnd w:id="6"/>
      <w:r>
        <w:rPr>
          <w:rFonts w:ascii="Times New Roman" w:hAnsi="Times New Roman"/>
          <w:noProof/>
          <w:sz w:val="24"/>
        </w:rPr>
        <w:t xml:space="preserve"> kapcsolatban létező uniós támogatást.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 javasolt intézkedések rövid távon valósítandók meg, ugyanakkor azonban kulcsfontosságú folyamatokat indítanak el és olyan mechanizmusokat hoznak létre, amelyek hosszabb távon és holisztikusan kezelik a kihívást. Az intézkedések sikeres végrehajtásához megfelelő pénzügyi és emberi erőforrásokra van szükség. A döntéshozók és a közigazgatási szervek nem tudják egyedül kezelni a kihívást, ezért az uniós polgárokat és a vállalkozásokat is be kell vonni.</w:t>
      </w:r>
    </w:p>
    <w:p>
      <w:pPr>
        <w:spacing w:after="360" w:line="24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Ez a kezdeményezés hosszú távú célkitűzéseket és rövid távú intézkedéseket határoz meg az alábbi három prioritásnak megfelelően:</w:t>
      </w:r>
    </w:p>
    <w:p>
      <w:pPr>
        <w:spacing w:after="36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174625</wp:posOffset>
                </wp:positionV>
                <wp:extent cx="5787390" cy="1345565"/>
                <wp:effectExtent l="0" t="0" r="22860" b="26035"/>
                <wp:wrapTight wrapText="bothSides">
                  <wp:wrapPolygon edited="0">
                    <wp:start x="0" y="0"/>
                    <wp:lineTo x="0" y="21712"/>
                    <wp:lineTo x="21614" y="21712"/>
                    <wp:lineTo x="21614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390" cy="1345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I. PRIORITÁS: A beporzók pusztulásával, valamint annak okaival és következményeivel kapcsolatos ismeretek bővítése</w:t>
                            </w:r>
                          </w:p>
                          <w:p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II. PRIORITÁS: A beporzók pusztulásához vezető okok felszámolása</w:t>
                            </w:r>
                          </w:p>
                          <w:p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III. PRIORITÁS: Figyelemfelkeltés, a társadalom egészének bevonása és az együttműködés előmozdítása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85pt;margin-top:13.75pt;width:455.7pt;height:105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" fillcolor="white [3201]" strokeweight=".5pt">
                <v:textbox inset="2mm,2mm,2mm,2mm">
                  <w:txbxContent>
                    <w:p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I. PRIORITÁS: A beporzók pusztulásával, valamint annak okaival és következményeivel kapcsolatos ismeretek bővítése</w:t>
                      </w:r>
                    </w:p>
                    <w:p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II. PRIORITÁS: A beporzók pusztulásához vezető okok felszámolása</w:t>
                      </w:r>
                    </w:p>
                    <w:p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III. PRIORITÁS: Figyelemfelkeltés, a társadalom egészének bevonása és az együttműködés előmozdítása</w:t>
                      </w:r>
                    </w:p>
                    <w:p/>
                  </w:txbxContent>
                </v:textbox>
                <w10:wrap type="tight"/>
              </v:shape>
            </w:pict>
          </mc:Fallback>
        </mc:AlternateConten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7" w:name="_Toc511563313"/>
      <w:r>
        <w:rPr>
          <w:rFonts w:ascii="Times New Roman" w:hAnsi="Times New Roman"/>
          <w:noProof/>
          <w:sz w:val="24"/>
        </w:rPr>
        <w:t>A mellékletben szereplő táblázat részletezi az egyes prioritásoknak megfelelő különböző intézkedéseket és alintézkedéseket.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Heading2"/>
        <w:keepNext w:val="0"/>
        <w:rPr>
          <w:noProof/>
          <w:szCs w:val="24"/>
        </w:rPr>
      </w:pPr>
      <w:r>
        <w:rPr>
          <w:noProof/>
        </w:rPr>
        <w:t>I. PRIORITÁS: A beporzók pusztulásával, valamint annak okaival és következményeivel kapcsolatos ismeretek bővítése</w:t>
      </w:r>
      <w:bookmarkEnd w:id="7"/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Az Európai Unió korábban is támogatta az értékes ismeretek előállítását (például az ALARM</w:t>
      </w:r>
      <w:r>
        <w:rPr>
          <w:rStyle w:val="FootnoteReference"/>
          <w:rFonts w:ascii="Times New Roman" w:hAnsi="Times New Roman"/>
          <w:noProof/>
          <w:sz w:val="24"/>
        </w:rPr>
        <w:footnoteReference w:id="16"/>
      </w:r>
      <w:r>
        <w:rPr>
          <w:rFonts w:ascii="Times New Roman" w:hAnsi="Times New Roman"/>
          <w:noProof/>
          <w:sz w:val="24"/>
        </w:rPr>
        <w:t xml:space="preserve"> és a STEP</w:t>
      </w:r>
      <w:r>
        <w:rPr>
          <w:rStyle w:val="FootnoteReference"/>
          <w:rFonts w:ascii="Times New Roman" w:hAnsi="Times New Roman"/>
          <w:noProof/>
          <w:sz w:val="24"/>
        </w:rPr>
        <w:footnoteReference w:id="17"/>
      </w:r>
      <w:r>
        <w:rPr>
          <w:rFonts w:ascii="Times New Roman" w:hAnsi="Times New Roman"/>
          <w:noProof/>
          <w:sz w:val="24"/>
        </w:rPr>
        <w:t xml:space="preserve"> projekt, illetve az Európai Vörös Lista</w:t>
      </w:r>
      <w:r>
        <w:rPr>
          <w:rStyle w:val="FootnoteReference"/>
          <w:rFonts w:ascii="Times New Roman" w:hAnsi="Times New Roman"/>
          <w:noProof/>
          <w:sz w:val="24"/>
        </w:rPr>
        <w:footnoteReference w:id="18"/>
      </w:r>
      <w:r>
        <w:rPr>
          <w:rFonts w:ascii="Times New Roman" w:hAnsi="Times New Roman"/>
          <w:noProof/>
          <w:sz w:val="24"/>
        </w:rPr>
        <w:t xml:space="preserve"> révén). Noha ezek egyértelműen tanúskodnak a beporzók riasztó mértékű pusztulásáról, és igazolják az azonnali fellépést, az ismeretek még mindig nagyon hiányosak. A pusztulás teljes mértéke nem ismert, illetve az emberi társadalomra és a gazdaságra gyakorolt következményei még nem teljesen világosak. Habár a beporzókat fenyegető fő veszélyek azonosítása megtörtént, és ezek lehetővé teszik az azonnali, tudásalapú fellépést, az egyes hatásaik és a köztük lévő kapcsolat vonatkozásában további kutatásra van szükség. Az ismeretek bővítése ezért a kezdeményezés sarokköve, és közös erőfeszítéseket igényel a Bizottság, a tagállamok, az Európai Környezetvédelmi Ügynökség, a tudományos világ, az érdekelt felek és a polgárok részéről. 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Hatékonyabban kell nyomon követni a beporzófajokat és azok populációt az Európai Unióban. Az állapotukkal és a tendenciákkal kapcsolatos ismeretek pótlására irányuló összehangolt nyomonkövetési folyamat közös erőfeszítéseket igényel az EU és tagállamai részéről. A költséghatékony és szabványosított nyomonkövetési módszertan kidolgozására szakmai szakértői csoportot kell felállítani. A „közösségi tudomány”</w:t>
      </w:r>
      <w:r>
        <w:rPr>
          <w:rStyle w:val="FootnoteReference"/>
          <w:rFonts w:ascii="Times New Roman" w:hAnsi="Times New Roman"/>
          <w:noProof/>
          <w:sz w:val="24"/>
        </w:rPr>
        <w:footnoteReference w:id="19"/>
      </w:r>
      <w:r>
        <w:rPr>
          <w:rFonts w:ascii="Times New Roman" w:hAnsi="Times New Roman"/>
          <w:noProof/>
          <w:sz w:val="24"/>
        </w:rPr>
        <w:t xml:space="preserve">, az IKT-eszközök, valamint a DNS-vonalkódokhoz és a gépi tanuláshoz hasonló technológiák szintén hozzájárulhatnak a folyamathoz. A minőségi helyszíni nyomonkövetési adatok lehetővé fogják tenni a veszélyeztetett beporzófajok vizsgálatát és a beporzókkal kapcsolatos megbízható mutatók kidolgozását. Ezek a mutatók segítenének értékelni a különböző uniós </w:t>
      </w:r>
      <w:r>
        <w:rPr>
          <w:rFonts w:ascii="Times New Roman" w:hAnsi="Times New Roman"/>
          <w:noProof/>
          <w:sz w:val="24"/>
        </w:rPr>
        <w:lastRenderedPageBreak/>
        <w:t>szakpolitikák hatását, elsősorban a környezetvédelem, a mezőgazdaság és az egészségügy terén, illetve nyomon követni az ENSZ 2. fenntartható fejlesztési céljának (az éhínség felszámolása) és 15. fenntartható fejlesztési céljának (vidéki élet)</w:t>
      </w:r>
      <w:r>
        <w:rPr>
          <w:rStyle w:val="FootnoteReference"/>
          <w:rFonts w:ascii="Times New Roman" w:hAnsi="Times New Roman"/>
          <w:noProof/>
          <w:sz w:val="24"/>
        </w:rPr>
        <w:footnoteReference w:id="20"/>
      </w:r>
      <w:r>
        <w:rPr>
          <w:rFonts w:ascii="Times New Roman" w:hAnsi="Times New Roman"/>
          <w:noProof/>
          <w:sz w:val="24"/>
        </w:rPr>
        <w:t xml:space="preserve"> elérése terén elért uniós haladást. A mutatók a beporzókat és a beporzást fenyegető veszélyekkel kapcsolatos adatokkal együtt lehetővé tennék egyrészt a beporzók pusztulásának, illetve ennek a társadalomra és gazdaságra gyakorolt hatásának integrált értékelését olyan eszközökkel, mint például az ökoszisztémák és szolgáltatásaik</w:t>
      </w:r>
      <w:r>
        <w:rPr>
          <w:rStyle w:val="FootnoteReference"/>
          <w:rFonts w:ascii="Times New Roman" w:hAnsi="Times New Roman"/>
          <w:noProof/>
          <w:sz w:val="24"/>
        </w:rPr>
        <w:footnoteReference w:id="21"/>
      </w:r>
      <w:r>
        <w:rPr>
          <w:rFonts w:ascii="Times New Roman" w:hAnsi="Times New Roman"/>
          <w:noProof/>
          <w:sz w:val="24"/>
        </w:rPr>
        <w:t xml:space="preserve"> feltérképezése és értékelése, valamint a beporzók és a beporzás vonatkozásában a természeti tőkére vonatkozó számviteli eljárások</w:t>
      </w:r>
      <w:r>
        <w:rPr>
          <w:rStyle w:val="FootnoteReference"/>
          <w:rFonts w:ascii="Times New Roman" w:hAnsi="Times New Roman"/>
          <w:noProof/>
          <w:sz w:val="24"/>
        </w:rPr>
        <w:footnoteReference w:id="22"/>
      </w:r>
      <w:r>
        <w:rPr>
          <w:rFonts w:ascii="Times New Roman" w:hAnsi="Times New Roman"/>
          <w:noProof/>
          <w:sz w:val="24"/>
        </w:rPr>
        <w:t>, másrészt a megfelelő szakpolitikai válasz kidolgozását.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 kutatást és innovációt minden téren – a probléma nagysága (a beporzók állapota és a tendenciák), az okok felszámolása (a beporzókat fenyegető veszélyek, ezek relatív fontossága és kapcsolata), a következmények (a természetre, az emberi jólétre és a gazdaságra gyakorolt hatások) kezelése – fokozni kell. Támogatni kell az alapkutatást (rendszertan, taxonómia) és az alkalmazott kutatást a beporzókkal kapcsolatos uniós nyomonkövetési és értékelési kapacitás fokozása érdekében. Számos folyamatban lévő kutatási projekt már eredményeket fog hozni a beporzókkal</w:t>
      </w:r>
      <w:r>
        <w:rPr>
          <w:rStyle w:val="FootnoteReference"/>
          <w:rFonts w:ascii="Times New Roman" w:hAnsi="Times New Roman"/>
          <w:noProof/>
          <w:sz w:val="24"/>
        </w:rPr>
        <w:footnoteReference w:id="23"/>
      </w:r>
      <w:r>
        <w:rPr>
          <w:rFonts w:ascii="Times New Roman" w:hAnsi="Times New Roman"/>
          <w:noProof/>
          <w:sz w:val="24"/>
        </w:rPr>
        <w:t>, valamint a növényvédelmi innovációkkal, az integrált egészségügyi megközelítésekkel és a növényvédő szerek alternatíváival</w:t>
      </w:r>
      <w:r>
        <w:rPr>
          <w:rStyle w:val="FootnoteReference"/>
          <w:rFonts w:ascii="Times New Roman" w:hAnsi="Times New Roman"/>
          <w:noProof/>
          <w:sz w:val="24"/>
        </w:rPr>
        <w:footnoteReference w:id="24"/>
      </w:r>
      <w:r>
        <w:rPr>
          <w:rFonts w:ascii="Times New Roman" w:hAnsi="Times New Roman"/>
          <w:noProof/>
          <w:sz w:val="24"/>
        </w:rPr>
        <w:t xml:space="preserve"> kapcsolatban.</w:t>
      </w:r>
      <w:r>
        <w:rPr>
          <w:rFonts w:ascii="Times New Roman" w:hAnsi="Times New Roman"/>
          <w:noProof/>
        </w:rPr>
        <w:t xml:space="preserve">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 beporzók szempontjából lényeges adatokhoz és információkhoz való nyílt hozzáférés a meglévő források jobb felhasználásának előfeltétele az új ismeretek és innovatív megoldások érdekében. További erőfeszítéseket kell tenni az összehangolatlan adatok és információk egyesítésének és könnyebb elérhetőségének biztosítására.</w:t>
      </w:r>
    </w:p>
    <w:p>
      <w:pPr>
        <w:pStyle w:val="Heading2"/>
        <w:rPr>
          <w:noProof/>
          <w:szCs w:val="24"/>
        </w:rPr>
      </w:pPr>
      <w:bookmarkStart w:id="8" w:name="_Toc511563314"/>
      <w:r>
        <w:rPr>
          <w:noProof/>
        </w:rPr>
        <w:t>II. PRIORITÁS: A beporzók pusztulásához vezető okok felszámolása</w:t>
      </w:r>
      <w:bookmarkEnd w:id="8"/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 beporzók pusztulásáért felelős okok sokfélesége miatt különböző ágazatokban és szakpolitikák terén van szükség enyhítő intézkedésekre.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 legveszélyeztetettebb, például az élőhelyvédelmi irányelv értelmében védett vagy az Európai Vörös Listán szereplő uniós beporzófajok és élőhelyeik kiemelt fellépések és finanszírozás tárgyát képezik. A LIFE program különösen fontos szerepet fog játszani ebben a tekintetben.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Az élőhelyek elvesztése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 madárvédelmi és az élőhelyvédelmi irányelv végrehajtásának javítása érdekében a Bizottság végrehajtja a „Cselekvési terv a természetért, az emberekért és a gazdaságért” című közleményben foglaltakat. Míg az élőhelyvédelmi irányelv csak korlátozott számú beporzó faj felsorolását tartalmazza, a védett élőhelytípusokra, például a gyepekre vonatkozó természetvédelmi intézkedések nagyon hasznosak lehetnek a beporzók számára. Ezért az irányelv végrehajtásának javítása rendkívül fontos a beporzókat fenyegető egyik fő veszély – az élőhelyek elvesztése – felszámolása tekintetében. A környezetbarát infrastruktúra</w:t>
      </w:r>
      <w:r>
        <w:rPr>
          <w:rStyle w:val="FootnoteReference"/>
          <w:rFonts w:ascii="Times New Roman" w:hAnsi="Times New Roman"/>
          <w:noProof/>
          <w:sz w:val="24"/>
        </w:rPr>
        <w:footnoteReference w:id="25"/>
      </w:r>
      <w:r>
        <w:rPr>
          <w:rFonts w:ascii="Times New Roman" w:hAnsi="Times New Roman"/>
          <w:noProof/>
          <w:sz w:val="24"/>
        </w:rPr>
        <w:t xml:space="preserve"> tovább javíthat a beporzókban gazdag élőhelyek fenntartásához szükséges természetes feltételeken természetalapú megoldásokkal</w:t>
      </w:r>
      <w:r>
        <w:rPr>
          <w:rStyle w:val="FootnoteReference"/>
          <w:rFonts w:ascii="Times New Roman" w:hAnsi="Times New Roman"/>
          <w:noProof/>
          <w:sz w:val="24"/>
        </w:rPr>
        <w:footnoteReference w:id="26"/>
      </w:r>
      <w:r>
        <w:rPr>
          <w:rFonts w:ascii="Times New Roman" w:hAnsi="Times New Roman"/>
          <w:noProof/>
          <w:sz w:val="24"/>
        </w:rPr>
        <w:t>, illetve a Natura 2000 hálózat koherenciájának és összekapcsoltságának megerősítésével a tágabb vidéki és városi környezetben.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Az EU közös agrárpolitikája és kohéziós politikája a 2020-ig tartó időszakban kulcsfontosságú lehetőségeket kínál a beporzók élőhelyeinek létrehozására és fenntartására a vidéki és városi területeken. A közös agrárpolitika szerkezete (beleértve a kölcsönös megfeleltetést, a közvetlen kifizetéseket és a vidékfejlesztési intézkedéseket) számos olyan eszközt kínál, amelyre szükség van az intenzív mezőgazdasági gazdálkodásból és a földhasználat megváltoztatásából – beleértve a mezőgazdasági területek elnéptelenedését – származó, a beporzókra nehezedő nyomás kezeléséhez. Ide tartoznak különösen a gazdálkodóknak közvetlen kifizetés formájában nyújtott támogatással járó ökológiai jelentőségű területek, amelyek védelmi sávként szolgálnak a beporzók számára, illetve parlagon hagyott földterületek a nektárban és pollenben gazdag növények számára, továbbá a vidékfejlesztési programok keretében a mezőgazdasági, környezetvédelmi és éghajlat-politikai intézkedések. Egyéb fontos ösztönzők támogatják a gazdálkodókat a Natura 2000 területeken kialakítandó fenntartható gazdálkodási rendszerek, illetve a biogazdálkodásba való befektetések vonatkozásában. További erőfeszítésekre van szükség annak elismeréséhez, milyen fontosak a beporzók a mezőgazdasági termelékenység szempontjából.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 vidéki területek jelentős szerepet játszanak az egészséges beporzópopulációk tekintetében, de emellett egyre elismertebb a városi és városszéli területek jelentősége a beporzók élőhelyeinek támogatásában. Az olyan közterek és magánterek, mint a parkok, kertek, zöld tetők és zöld falak menedéket nyújtanak a beporzóknak, és olyan lépcsőfokot jelentenek számukra, ahonnan kiindulva megjelenhetnek a városiasodott területeken. A vidéki természetes és természetközeli területek összekapcsolásával támogatják a beporzók élőhelyeiknek hálózatát a tágabb környezetben. Több ígéretes megoldás, például természetalapú megoldás jobban integrálhatja a beporzók élőhelyeit a főbb infrastruktúra-hálózatokba (például utak, vasútvonalak, villamos vezetékek), amelyeket az emberek gyakran összekapcsolnak az élőhelyek romlásával, és amelyek általában nagy területeken vannak jelen a sokszínű európai tájban. A regionális és helyi hatóságokat ösztönözni kell az ilyen megoldásokba való befektetésekre.</w:t>
      </w:r>
    </w:p>
    <w:p>
      <w:pPr>
        <w:spacing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Növényvédő szerek használata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 növényvédő szerek beporzókra jelentett kockázatai és beporzókra gyakorolt hatásai a hatóanyag toxicitásából és a kitettség mértékéből származnak. Az Európai Unióban a növényvédő szerekben</w:t>
      </w:r>
      <w:r>
        <w:rPr>
          <w:rStyle w:val="FootnoteReference"/>
          <w:rFonts w:ascii="Times New Roman" w:hAnsi="Times New Roman"/>
          <w:noProof/>
          <w:sz w:val="24"/>
        </w:rPr>
        <w:footnoteReference w:id="27"/>
      </w:r>
      <w:r>
        <w:rPr>
          <w:rFonts w:ascii="Times New Roman" w:hAnsi="Times New Roman"/>
          <w:noProof/>
          <w:sz w:val="24"/>
        </w:rPr>
        <w:t xml:space="preserve"> használt hatóanyagok csak kockázatértékelést követően hagyhatók jóvá annak garantálása érdekében, hogy nem járnak nem kívánatos hatásokkal a mézelő méhekre</w:t>
      </w:r>
      <w:bookmarkStart w:id="9" w:name="_Ref511806257"/>
      <w:r>
        <w:rPr>
          <w:rStyle w:val="FootnoteReference"/>
          <w:rFonts w:ascii="Times New Roman" w:hAnsi="Times New Roman"/>
          <w:noProof/>
          <w:sz w:val="24"/>
        </w:rPr>
        <w:footnoteReference w:id="28"/>
      </w:r>
      <w:bookmarkEnd w:id="9"/>
      <w:r>
        <w:rPr>
          <w:rFonts w:ascii="Times New Roman" w:hAnsi="Times New Roman"/>
          <w:noProof/>
          <w:sz w:val="24"/>
        </w:rPr>
        <w:t>. 2013-ban az Európai Élelmiszerbiztonsági Hatóság (EFSA) kidolgozott egy útmutatót</w:t>
      </w:r>
      <w:r>
        <w:rPr>
          <w:rStyle w:val="FootnoteReference"/>
          <w:rFonts w:ascii="Times New Roman" w:hAnsi="Times New Roman"/>
          <w:noProof/>
          <w:sz w:val="24"/>
        </w:rPr>
        <w:footnoteReference w:id="29"/>
      </w:r>
      <w:r>
        <w:rPr>
          <w:rFonts w:ascii="Times New Roman" w:hAnsi="Times New Roman"/>
          <w:noProof/>
          <w:sz w:val="24"/>
        </w:rPr>
        <w:t xml:space="preserve"> a jelenlegi kockázatértékelés javítására, és az értékelési követelményeket kiterjesztette többek között a krónikus hatásokra és a vadon élő méhfajokra. Ugyanakkor a tagállamok még nem támogatják ezt az útmutatót, ezért további fellépésre lesz szükség a végrehajtásának biztosításához.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2013-ban a Bizottság korlátozta három neonikotinoid alapú növényvédő szer használatát</w:t>
      </w:r>
      <w:r>
        <w:rPr>
          <w:rStyle w:val="FootnoteReference"/>
          <w:rFonts w:ascii="Times New Roman" w:hAnsi="Times New Roman"/>
          <w:noProof/>
          <w:sz w:val="24"/>
        </w:rPr>
        <w:footnoteReference w:id="30"/>
      </w:r>
      <w:r>
        <w:rPr>
          <w:rFonts w:ascii="Times New Roman" w:hAnsi="Times New Roman"/>
          <w:noProof/>
          <w:sz w:val="24"/>
        </w:rPr>
        <w:t>, miután kiderült, hogy nagy kockázatot jelentenek a méhek szempontjából. 2018 februárjában a bizonyítékok EFSA általi felülvizsgálata megerősítette e kockázatok fennállását</w:t>
      </w:r>
      <w:r>
        <w:rPr>
          <w:rStyle w:val="FootnoteReference"/>
          <w:rFonts w:ascii="Times New Roman" w:hAnsi="Times New Roman"/>
          <w:noProof/>
          <w:sz w:val="24"/>
        </w:rPr>
        <w:footnoteReference w:id="31"/>
      </w:r>
      <w:r>
        <w:rPr>
          <w:rFonts w:ascii="Times New Roman" w:hAnsi="Times New Roman"/>
          <w:noProof/>
          <w:sz w:val="24"/>
        </w:rPr>
        <w:t>. Ahogy azt az 1107/2009/EK rendelet</w:t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NOTEREF _Ref511806257 \h \f \* MERGEFORMAT </w:instrText>
      </w: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Style w:val="FootnoteReference"/>
          <w:rFonts w:ascii="Times New Roman" w:hAnsi="Times New Roman" w:cs="Times New Roman"/>
          <w:noProof/>
        </w:rPr>
        <w:t>27</w: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</w:rPr>
        <w:t xml:space="preserve"> megállapítja, fontos az ilyen kockázatokat csökkentő megfelelő intézkedések bevezetése. A tagállamok 2018. április 27-én támogatták a három neonikotinoid alapú növényvédő szer használatának további korlátozásáról szóló bizottsági jelentést</w:t>
      </w:r>
      <w:r>
        <w:rPr>
          <w:rStyle w:val="FootnoteReference"/>
          <w:rFonts w:ascii="Times New Roman" w:hAnsi="Times New Roman"/>
          <w:noProof/>
          <w:sz w:val="24"/>
        </w:rPr>
        <w:footnoteReference w:id="32"/>
      </w:r>
      <w:r>
        <w:rPr>
          <w:rFonts w:ascii="Times New Roman" w:hAnsi="Times New Roman"/>
          <w:noProof/>
          <w:sz w:val="24"/>
        </w:rPr>
        <w:t>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Továbbá a 2009/128/EK irányelv</w:t>
      </w:r>
      <w:r>
        <w:rPr>
          <w:rStyle w:val="FootnoteReference"/>
          <w:rFonts w:ascii="Times New Roman" w:hAnsi="Times New Roman"/>
          <w:noProof/>
          <w:sz w:val="24"/>
        </w:rPr>
        <w:footnoteReference w:id="33"/>
      </w:r>
      <w:r>
        <w:rPr>
          <w:rFonts w:ascii="Times New Roman" w:hAnsi="Times New Roman"/>
          <w:noProof/>
          <w:sz w:val="24"/>
        </w:rPr>
        <w:t xml:space="preserve"> számos olyan intézkedésről rendelkezik, amely támogatja a jóváhagyott növényvédő szerek fenntartható használatát. Az irányelv értelmében a nemzeti cselekvési tervekben konkrét célkitűzések és intézkedések határozhatók meg a növényvédő szerek által a beporzókra gyakorolt hatások kezelése érdekében.</w:t>
      </w:r>
    </w:p>
    <w:p>
      <w:pPr>
        <w:spacing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Idegenhonos inváziós fajok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Az idegenhonos inváziós fajok szintén alapvető veszélyt jelentenek a beporzókra. Az 1143/2014/EU rendelet</w:t>
      </w:r>
      <w:r>
        <w:rPr>
          <w:rStyle w:val="FootnoteReference"/>
          <w:rFonts w:ascii="Times New Roman" w:hAnsi="Times New Roman"/>
          <w:noProof/>
          <w:sz w:val="24"/>
        </w:rPr>
        <w:footnoteReference w:id="34"/>
      </w:r>
      <w:r>
        <w:rPr>
          <w:rFonts w:ascii="Times New Roman" w:hAnsi="Times New Roman"/>
          <w:noProof/>
          <w:sz w:val="24"/>
        </w:rPr>
        <w:t xml:space="preserve"> számos, ezen a téren Unió-szerte meghozandó intézkedésről rendelkezik. Az ilyen intézkedések végrehajtására és a veszélyt jelentő új fajok jegyzékbe vételére irányuló további erőfeszítések mérsékelni fogják a káros hatásokat, például az ázsiai lódarázs </w:t>
      </w:r>
      <w:r>
        <w:rPr>
          <w:rFonts w:ascii="Times New Roman" w:hAnsi="Times New Roman"/>
          <w:i/>
          <w:noProof/>
          <w:sz w:val="24"/>
        </w:rPr>
        <w:t>(Vespa velutina)</w:t>
      </w:r>
      <w:r>
        <w:rPr>
          <w:rFonts w:ascii="Times New Roman" w:hAnsi="Times New Roman"/>
          <w:noProof/>
          <w:sz w:val="24"/>
        </w:rPr>
        <w:t xml:space="preserve"> ragadozó magatartásának vagy a beporzók élőhelyeinek egyes növényfajok, például a bíbor nebáncsvirág </w:t>
      </w:r>
      <w:r>
        <w:rPr>
          <w:rFonts w:ascii="Times New Roman" w:hAnsi="Times New Roman"/>
          <w:i/>
          <w:noProof/>
          <w:sz w:val="24"/>
        </w:rPr>
        <w:t>(Impatiens glandulifera)</w:t>
      </w:r>
      <w:r>
        <w:rPr>
          <w:rFonts w:ascii="Times New Roman" w:hAnsi="Times New Roman"/>
          <w:noProof/>
          <w:sz w:val="24"/>
        </w:rPr>
        <w:t xml:space="preserve"> általi, az őshonos vegetáció elnyomásával történő elpusztításának káros hatásait. Továbbá támogatni kell az őshonos beporzó fajok és az őshonos növényfajok használatát köz- és magáncélokra az idegenhonos fajok által az őshonos beporzófajokra jelentett kockázatok elkerülése érdekében. </w:t>
      </w:r>
    </w:p>
    <w:p>
      <w:pPr>
        <w:spacing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További veszélyek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 beporzókra továbbá hatást gyakorol az éghajlatváltozás, a környezetszennyezés és a betegségek. Az éghajlatváltozás a fokozatos változások és a szélsőséges időjárási események által is befolyásolja a beporzók eloszlását, elterjedését, élőhelyeit és kapcsolatait. Habár nem készültek átfogó tanulmányok a különböző szennyező anyagok (például légszennyezés, nehézfémek és fényszennyezés) és betegségek hatásairól, ismeretes, hogy károsan hatnak a vadon élő beporzókra vagy azok élőhelyeire. Ez a kezdeményezés nem foglalkozik közvetlenül ezekkel a veszélyekkel. Az éghajlatváltozásról</w:t>
      </w:r>
      <w:r>
        <w:rPr>
          <w:rStyle w:val="FootnoteReference"/>
          <w:rFonts w:ascii="Times New Roman" w:hAnsi="Times New Roman"/>
          <w:noProof/>
          <w:sz w:val="24"/>
        </w:rPr>
        <w:footnoteReference w:id="35"/>
      </w:r>
      <w:r>
        <w:rPr>
          <w:rFonts w:ascii="Times New Roman" w:hAnsi="Times New Roman"/>
          <w:noProof/>
          <w:sz w:val="24"/>
        </w:rPr>
        <w:t>, a légszennyezésről</w:t>
      </w:r>
      <w:r>
        <w:rPr>
          <w:rStyle w:val="FootnoteReference"/>
          <w:rFonts w:ascii="Times New Roman" w:hAnsi="Times New Roman"/>
          <w:noProof/>
          <w:sz w:val="24"/>
        </w:rPr>
        <w:footnoteReference w:id="36"/>
      </w:r>
      <w:r>
        <w:rPr>
          <w:rFonts w:ascii="Times New Roman" w:hAnsi="Times New Roman"/>
          <w:noProof/>
          <w:sz w:val="24"/>
        </w:rPr>
        <w:t xml:space="preserve"> és a méhek egészségével kapcsolatos fellépésekről</w:t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NOTEREF _Ref512945488 \h \f \* MERGEFORMAT </w:instrText>
      </w: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</w:rPr>
        <w:t xml:space="preserve"> szóló uniós szakpolitikák segíteni fognak mérsékelni a beporzókra gyakorolt hatásokat. Ez a kezdeményezés azonban hozzá fog járulni az említett veszélyek és más veszélyek közvetett kezeléséhez azáltal, hogy támogatja a beporzók egészséges élőhelyeinek fenntartását, létrehozását és összekapcsolását, feltartóztatja a káros patogéneket és betegségeket hordozó idegenhonos fajok terjedését, és azáltal javítja az európai ökoszisztémáknak az éghajlatváltozás hatásaival szembeni általános ellenálló képességét.     </w:t>
      </w:r>
    </w:p>
    <w:p>
      <w:pPr>
        <w:pStyle w:val="Heading2"/>
        <w:rPr>
          <w:noProof/>
          <w:szCs w:val="24"/>
        </w:rPr>
      </w:pPr>
      <w:bookmarkStart w:id="10" w:name="_Toc511563315"/>
      <w:r>
        <w:rPr>
          <w:noProof/>
        </w:rPr>
        <w:t>III. PRIORITÁS: Figyelemfelkeltés, a társadalom egészének bevonása és az együttműködés előmozdítása</w:t>
      </w:r>
      <w:bookmarkEnd w:id="10"/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 beporzók pusztulásának megállításához minden irányítási szinten stratégiai megközelítésre, valamint különböző szereplők bevonására van szükség. Ez a kezdeményezés felhívja a társadalom figyelmét a beporzók fontosságára és a fellépés sürgető voltára. A bevált gyakorlat előmozdításával és terjesztésével, valamint a további együttműködés támogatásával fellépésre és együttműködésre kívánja ösztönözni a tudományos közösséget, a döntéshozókat, a vállalkozásokat és a polgárokat.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Habár léteznek már a beporzókkal kapcsolatos együttműködést támogató platformok (például kutatási hálózatok és szakpolitikai véleménycserére szolgáló platformok), tovább kell erősíteni az együttműködési kapacitást. A Bizottságnak és a tagállamoknak fel kell hívniuk a figyelmet a finanszírozási lehetőségekre, és támogatniuk kell azokat. A beporzókkal kapcsolatos tervek és stratégiák kidolgozására szolgáló közös eszközök és minták a meglévő bevált gyakorlatokra építve tovább fogják támogatni a nemzeti, regionális és helyi szintű fellépést. A nemzeti méhészeti programokra fordított megnövekedett uniós kiadások elősegíthetik, hogy a nyilvánosság és a szakértők jobban megértsék, milyen fontosak a vadon élő beporzók a társadalom és a gazdaság számára.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Az Európai Unió jobban hozzá fog járulni a beporzókkal kapcsolatos globális fellépéshez, és fokozottan támogatja a természetvédelmi tevékenységeket a beporzókkal kapcsolatos nemzetközi kezdeményezés</w:t>
      </w:r>
      <w:r>
        <w:rPr>
          <w:rStyle w:val="FootnoteReference"/>
          <w:rFonts w:ascii="Times New Roman" w:hAnsi="Times New Roman"/>
          <w:noProof/>
          <w:sz w:val="24"/>
        </w:rPr>
        <w:footnoteReference w:id="37"/>
      </w:r>
      <w:r>
        <w:rPr>
          <w:rFonts w:ascii="Times New Roman" w:hAnsi="Times New Roman"/>
          <w:noProof/>
          <w:sz w:val="24"/>
        </w:rPr>
        <w:t xml:space="preserve"> keretében, amelyet az ENSZ Élelmezési és Mezőgazdasági Szervezete vezet, illetve elősegíti a nemzetközi együttműködést a Coalition of the Willing on Pollinators elnevezésű koalíción</w:t>
      </w:r>
      <w:r>
        <w:rPr>
          <w:rStyle w:val="FootnoteReference"/>
          <w:rFonts w:ascii="Times New Roman" w:hAnsi="Times New Roman"/>
          <w:noProof/>
          <w:sz w:val="24"/>
        </w:rPr>
        <w:footnoteReference w:id="38"/>
      </w:r>
      <w:r>
        <w:rPr>
          <w:rFonts w:ascii="Times New Roman" w:hAnsi="Times New Roman"/>
          <w:noProof/>
          <w:sz w:val="24"/>
        </w:rPr>
        <w:t xml:space="preserve"> keresztül.  </w:t>
      </w:r>
    </w:p>
    <w:p>
      <w:pPr>
        <w:pStyle w:val="Heading1"/>
        <w:rPr>
          <w:noProof/>
          <w:szCs w:val="24"/>
        </w:rPr>
      </w:pPr>
      <w:bookmarkStart w:id="11" w:name="_Toc511563316"/>
      <w:r>
        <w:rPr>
          <w:noProof/>
        </w:rPr>
        <w:t>Következtetés</w:t>
      </w:r>
      <w:bookmarkEnd w:id="11"/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 beporzókról szóló uniós kezdeményezés hozzá fog járulni a biológiai sokféleséggel kapcsolatos, 2020-ig teljesítendő uniós stratégia és az ágazati szakpolitikák, például a közös agrárpolitika és a kohéziós politika célkitűzéseinek megvalósításához. Ezenkívül értékes információkkal fog szolgálni az ENSZ vonatkozó fenntartható fejlesztési céljaival kapcsolatos uniós előrehaladás tekintetében.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A kezdeményezés szinergiában fog működni a „Cselekvési terv a természetért, az emberekért és a gazdaságért” című közleménnyel, valamint különösen az uniós szintű környezetbarát infrastruktúrára és az ökoszisztéma-szolgáltatásoknak a döntéshozatalba való integrációjára vonatkozó készülő iránymutatással. Erre olyan időszakban kerül sor, amikor megkezdődnek az intézményközi tárgyalások a 2020-at követő időszakra vonatkozó többéves uniós pénzügyi keretről. Habár a tervek szerint a javasolt intézkedések végrehajtása 2020-ig megtörténik, fontos lesz a lendület fenntartása és a jövőbeli uniós finanszírozási eszközök optimális felhasználása az olyan hatásos intézkedések támogatása érdekében, amelyek hosszú távon foglalkoznak a beporzók pusztulásával.   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 Bizottság felkéri az Európai Parlamentet és a Tanácsot, hogy támogassa ezt a kezdeményezést, és az érdekelt felekkel szoros együttműködésben vegyen részt a végrehajtásában.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  <w:sz w:val="24"/>
        </w:rPr>
        <w:t>2020 végére a Bizottság felülvizsgálja a kezdeményezés végrehajtásával kapcsolatos előrehaladást, és szükség esetén további intézkedéseket javasol. Ez a folyamat illeszkedik a biológiai sokféleséggel kapcsolatos, 2020-ig teljesítendő uniós stratégia végső felülvizsgálatába és annak utánkövetésébe.</w:t>
      </w:r>
      <w:bookmarkStart w:id="12" w:name="_Toc511563317"/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8" w:right="1416" w:bottom="1417" w:left="1417" w:header="708" w:footer="708" w:gutter="0"/>
          <w:cols w:space="720"/>
          <w:docGrid w:linePitch="360"/>
        </w:sectPr>
      </w:pPr>
    </w:p>
    <w:p>
      <w:pPr>
        <w:pStyle w:val="Heading1"/>
        <w:numPr>
          <w:ilvl w:val="0"/>
          <w:numId w:val="0"/>
        </w:numPr>
        <w:ind w:left="480" w:hanging="480"/>
        <w:rPr>
          <w:noProof/>
        </w:rPr>
      </w:pPr>
      <w:r>
        <w:rPr>
          <w:noProof/>
        </w:rPr>
        <w:t>MELLÉKLET – Az intézkedések felsorolása</w:t>
      </w:r>
      <w:bookmarkEnd w:id="12"/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Ez a melléklet áttekintést ad a beporzókról szóló uniós kezdeményezés egyes prioritásaihoz kapcsolódó célkitűzésekről és intézkedésekről. Az intézkedések végrehajtására 2020-ig kerül sor. A célkitűzések hosszú távú perspektívát kínálnak a 2030-ig tartó időszakban.</w:t>
      </w:r>
    </w:p>
    <w:tbl>
      <w:tblPr>
        <w:tblStyle w:val="TableGrid"/>
        <w:tblW w:w="1403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11198"/>
        <w:gridCol w:w="1985"/>
      </w:tblGrid>
      <w:tr>
        <w:tc>
          <w:tcPr>
            <w:tcW w:w="14034" w:type="dxa"/>
            <w:gridSpan w:val="3"/>
            <w:shd w:val="clear" w:color="auto" w:fill="BFBFBF" w:themeFill="background1" w:themeFillShade="BF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I. PRIORITÁS: A beporzók pusztulásával, valamint annak okaival és következményeivel kapcsolatos ismeretek bővítése</w:t>
            </w:r>
          </w:p>
        </w:tc>
      </w:tr>
      <w:tr>
        <w:tc>
          <w:tcPr>
            <w:tcW w:w="14034" w:type="dxa"/>
            <w:gridSpan w:val="3"/>
            <w:shd w:val="clear" w:color="auto" w:fill="D9D9D9" w:themeFill="background1" w:themeFillShade="D9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>Célkitűzés</w:t>
            </w:r>
          </w:p>
          <w:p>
            <w:pPr>
              <w:ind w:right="15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Sor kerül a beporzók és élőhelyeik nyomon követésére és rendszeres értékelésére.</w:t>
            </w:r>
            <w:r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</w:rPr>
              <w:t>Egy egész Unióra kiterjedő nyomonkövetési rendszer adatokat szolgáltat az állapotuk és a tendenciák értékelése céljából. Ez jelenti a beporzókra vonatkozó megbízható és időszerű mutatók alapját, amelyek segítenek értékelni az idevágó uniós szakpolitikák hatását, és lehetővé teszik a beporzókról és a beporzásról szóló európai atlasz kidolgozását. Az uniós kutatási és innovációs programok keretében sor kerül az erőforrások mobilizálására a beporzók pusztulásával és annak okaival, valamint a társadalomra és a gazdaságra gyakorolt következményeivel kapcsolatos hiányos ismeretek bővítése érdekében. A beporzókkal kapcsolatos adatok és információk nyíltan hozzáférhetők.</w:t>
            </w:r>
          </w:p>
        </w:tc>
      </w:tr>
      <w:tr>
        <w:tc>
          <w:tcPr>
            <w:tcW w:w="14034" w:type="dxa"/>
            <w:gridSpan w:val="3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1. INTÉZKEDÉS –</w:t>
            </w:r>
            <w:r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</w:rPr>
              <w:t>A NYOMON KÖVETÉS ÉS ÉRTÉKELÉS TÁMOGATÁSA</w:t>
            </w:r>
          </w:p>
        </w:tc>
      </w:tr>
      <w:tr>
        <w:tc>
          <w:tcPr>
            <w:tcW w:w="85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1A)</w:t>
            </w:r>
          </w:p>
        </w:tc>
        <w:tc>
          <w:tcPr>
            <w:tcW w:w="1119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A Bizottság kidolgoz és tesztel egy beporzókkal kapcsolatos uniós nyomonkövetési rendszert, hogy biztosítsa a jó minőségű adatokat a beporzófajok uniós állapotának és tendenciáinak értékelése, illetve a beporzókkal kapcsolatos mutatók kidolgozása érdekében. E munka támogatására technikai szakértői csoport jön létre. 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Az első mérföldkő 2018 negyedik negyedévében</w:t>
            </w:r>
          </w:p>
        </w:tc>
      </w:tr>
      <w:tr>
        <w:tc>
          <w:tcPr>
            <w:tcW w:w="85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1B)</w:t>
            </w:r>
          </w:p>
        </w:tc>
        <w:tc>
          <w:tcPr>
            <w:tcW w:w="1119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elkezd dolgozni a zengőlegyek Európai Vörös Listáján.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2019 első negyedéve</w:t>
            </w:r>
          </w:p>
        </w:tc>
      </w:tr>
      <w:tr>
        <w:tc>
          <w:tcPr>
            <w:tcW w:w="85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1C)</w:t>
            </w:r>
          </w:p>
        </w:tc>
        <w:tc>
          <w:tcPr>
            <w:tcW w:w="1119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A Bizottság összeállítja a beporzók számára fontos élőhelyek jegyzékét, és értékeli az állapotukat a tagállamok által az élőhelyvédelmi irányelv értelmében jelentett adatok és egyéb elérhető adatok alapján. 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Az első mérföldkő 2019 első negyedévében</w:t>
            </w:r>
          </w:p>
        </w:tc>
      </w:tr>
      <w:tr>
        <w:trPr>
          <w:trHeight w:val="1013"/>
        </w:trPr>
        <w:tc>
          <w:tcPr>
            <w:tcW w:w="85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1D)</w:t>
            </w:r>
          </w:p>
        </w:tc>
        <w:tc>
          <w:tcPr>
            <w:tcW w:w="1119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kísérleti projektet indít abból a célból, hogy nyomon kövesse a növényvédő szerek jelenlétét a környezetben a mézelő méhek által előállított termékek (például pollen) révén annak értékelése céljából, mennyire használható ez az innovatív megközelítés a beporzók növényvédő szereknek való kitettségével kapcsolatos tájékozódásra.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2018 negyedik negyedéve</w:t>
            </w:r>
          </w:p>
        </w:tc>
      </w:tr>
      <w:t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1E)</w:t>
            </w:r>
          </w:p>
        </w:tc>
        <w:tc>
          <w:tcPr>
            <w:tcW w:w="11198" w:type="dxa"/>
            <w:tcBorders>
              <w:bottom w:val="single" w:sz="4" w:space="0" w:color="auto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„az ökoszisztémák és szolgáltatásaik feltérképezésére és értékelésére” szolgáló kereteket alkalmazza a beporzókra, beleértve a beporzókkal és a beporzással kapcsolatos természeti tőkére vonatkozó számviteli eljárások kidolgozását, hogy integráltan értékelje a beporzók pusztulását, annak hatását a társadalomra és a gazdaságra, és kidolgozza a megfelelő szakpolitikai válaszokat.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2019 második negyedévében</w:t>
            </w:r>
          </w:p>
        </w:tc>
      </w:tr>
      <w:tr>
        <w:tc>
          <w:tcPr>
            <w:tcW w:w="14034" w:type="dxa"/>
            <w:gridSpan w:val="3"/>
            <w:shd w:val="clear" w:color="auto" w:fill="FFFFFF" w:themeFill="background1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2. INTÉZKEDÉS – A KUTATÁS ÉS INNOVÁCIÓ TÁMOGATÁSA</w:t>
            </w:r>
          </w:p>
        </w:tc>
      </w:tr>
      <w:tr>
        <w:tc>
          <w:tcPr>
            <w:tcW w:w="851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2A)</w:t>
            </w:r>
          </w:p>
        </w:tc>
        <w:tc>
          <w:tcPr>
            <w:tcW w:w="11198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továbbra is előmozdítja és támogatja a beporzókkal, illetve a pusztulásuk okaival és következményeivel kapcsolatos kutatást és innovációt a Horizont 2020 uniós kutatási és innovációs keretprogram (2014–2020) keretében.</w:t>
            </w:r>
          </w:p>
        </w:tc>
        <w:tc>
          <w:tcPr>
            <w:tcW w:w="1985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Folyamatos</w:t>
            </w:r>
          </w:p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>
        <w:tc>
          <w:tcPr>
            <w:tcW w:w="851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2B)</w:t>
            </w:r>
          </w:p>
        </w:tc>
        <w:tc>
          <w:tcPr>
            <w:tcW w:w="11198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Az EIP-AGRI hálózaton (a mezőgazdaság termelékenységét és fenntarthatóságát célzó európai innovációs partnerség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39"/>
            </w:r>
            <w:r>
              <w:rPr>
                <w:rFonts w:ascii="Times New Roman" w:hAnsi="Times New Roman"/>
                <w:noProof/>
                <w:sz w:val="24"/>
              </w:rPr>
              <w:t>) keresztül történő véleménycsere révén a Bizottság felhívja az érdekelt felek figyelmét a beporzók szükségleteinek és az általuk végzett beporzás elismerésével kapcsolatos lehetőségekre.</w:t>
            </w:r>
          </w:p>
        </w:tc>
        <w:tc>
          <w:tcPr>
            <w:tcW w:w="1985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Folyamatos </w:t>
            </w:r>
          </w:p>
        </w:tc>
      </w:tr>
      <w:t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2C)</w:t>
            </w:r>
          </w:p>
        </w:tc>
        <w:tc>
          <w:tcPr>
            <w:tcW w:w="11198" w:type="dxa"/>
            <w:tcBorders>
              <w:bottom w:val="single" w:sz="4" w:space="0" w:color="auto"/>
            </w:tcBorders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megvizsgálja, hogyan mozdítsa elő továbbra is a kutatást és innovációt a beporzók pusztulásának megakadályozására a 2020 utáni időszakra vonatkozó Horizont Európa uniós kutatási és innovációs keretprogram keretében.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Folyamatos</w:t>
            </w:r>
          </w:p>
        </w:tc>
      </w:tr>
      <w:tr>
        <w:tc>
          <w:tcPr>
            <w:tcW w:w="14034" w:type="dxa"/>
            <w:gridSpan w:val="3"/>
            <w:shd w:val="clear" w:color="auto" w:fill="FFFFFF" w:themeFill="background1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3. INTÉZKEDÉS –</w:t>
            </w:r>
            <w:r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</w:rPr>
              <w:t>AZ ISMERETMEGOSZTÁS ÉS AZ ADATOKHOZ VALÓ HOZZÁFÉRÉS ELŐSEGÍTÉSE</w:t>
            </w:r>
          </w:p>
        </w:tc>
      </w:tr>
      <w:tr>
        <w:tc>
          <w:tcPr>
            <w:tcW w:w="85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3A)</w:t>
            </w:r>
          </w:p>
        </w:tc>
        <w:tc>
          <w:tcPr>
            <w:tcW w:w="11198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A Bizottság olyan online platformot hoz létre a beporzókkal kapcsolatban, amely elsődleges adat- és információközpontként szolgál. </w:t>
            </w:r>
          </w:p>
        </w:tc>
        <w:tc>
          <w:tcPr>
            <w:tcW w:w="1985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Az első mérföldkő 2019 első negyedévében</w:t>
            </w:r>
          </w:p>
        </w:tc>
      </w:tr>
      <w:tr>
        <w:tc>
          <w:tcPr>
            <w:tcW w:w="85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3B)</w:t>
            </w:r>
          </w:p>
        </w:tc>
        <w:tc>
          <w:tcPr>
            <w:tcW w:w="11198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tagállamok az integrált térelemzés lehetővé tétele érdekében az INSPIRE-irányelv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40"/>
            </w:r>
            <w:r>
              <w:rPr>
                <w:rFonts w:ascii="Times New Roman" w:hAnsi="Times New Roman"/>
                <w:noProof/>
                <w:sz w:val="24"/>
              </w:rPr>
              <w:t xml:space="preserve"> és a környezeti információkhoz való hozzáférésről szóló irányelv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41"/>
            </w:r>
            <w:r>
              <w:rPr>
                <w:rFonts w:ascii="Times New Roman" w:hAnsi="Times New Roman"/>
                <w:noProof/>
                <w:sz w:val="24"/>
              </w:rPr>
              <w:t xml:space="preserve"> értelmében vett követelmények alapján nyilvánosan hozzáférhetővé teszik a releváns téradatokat, például a területhasználati adatokat.</w:t>
            </w:r>
          </w:p>
        </w:tc>
        <w:tc>
          <w:tcPr>
            <w:tcW w:w="1985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Az első mérföldkő 2019 második negyedévében</w:t>
            </w:r>
          </w:p>
        </w:tc>
      </w:tr>
      <w:tr>
        <w:tc>
          <w:tcPr>
            <w:tcW w:w="14034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II. PRIORITÁS: A beporzók pusztulásához vezető okok felszámolása</w:t>
            </w:r>
          </w:p>
        </w:tc>
      </w:tr>
      <w:tr>
        <w:tc>
          <w:tcPr>
            <w:tcW w:w="14034" w:type="dxa"/>
            <w:gridSpan w:val="3"/>
            <w:shd w:val="clear" w:color="auto" w:fill="D9D9D9" w:themeFill="background1" w:themeFillShade="D9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>Célkitűzés</w:t>
            </w:r>
          </w:p>
          <w:p>
            <w:pPr>
              <w:keepNext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Sor kerül a veszélyeztetett beporzófajokra vonatkozó megfelelő természetvédelmi intézkedések azonosítására és végrehajtására. A beporzók szempontjából lényeges intézkedések teljes mértékben integrálódnak a közös agrárpolitikába és a kohéziós politikába, és a tagállamok teljes mértékben kihasználják a beporzók élőhelyeinek fenntartására és helyreállítására szolgáló lehetőségeket a vidéki és városi területeken. A beporzók élőhelyei hatékonyan összekapcsolódnak a tágabb környezetben, és lehetővé teszik a beporzók elterjedését. A beporzók védelmet élveznek a növényvédő szerek és az idegenhonos özönfajok által kifejtett hatásokkal szemben.</w:t>
            </w:r>
          </w:p>
        </w:tc>
      </w:tr>
      <w:tr>
        <w:tc>
          <w:tcPr>
            <w:tcW w:w="14034" w:type="dxa"/>
            <w:gridSpan w:val="3"/>
            <w:shd w:val="clear" w:color="auto" w:fill="FFFFFF" w:themeFill="background1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4. INTÉZKEDÉS –</w:t>
            </w:r>
            <w:r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</w:rPr>
              <w:t>A VESZÉLYEZTETETT BEPORZÓFAJOK ÉS ÉLŐHELYEIK VÉDELME</w:t>
            </w:r>
          </w:p>
        </w:tc>
      </w:tr>
      <w:tr>
        <w:tc>
          <w:tcPr>
            <w:tcW w:w="851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4A)</w:t>
            </w:r>
          </w:p>
        </w:tc>
        <w:tc>
          <w:tcPr>
            <w:tcW w:w="11198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továbbfejleszti a cselekvési terveket az élőhelyvédelmi irányelvben felsorolt legveszélyeztetettebb beporzófajok és élőhelyeik vonatkozásában, és támogatni fogja a tagállamokat és az érdekelt feleket ezek végrehajtásában, többek között a LIFE programon keresztül.</w:t>
            </w:r>
          </w:p>
        </w:tc>
        <w:tc>
          <w:tcPr>
            <w:tcW w:w="1985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Az első mérföldkő 2019 második negyedévében</w:t>
            </w:r>
          </w:p>
        </w:tc>
      </w:tr>
      <w:tr>
        <w:tc>
          <w:tcPr>
            <w:tcW w:w="851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4B)</w:t>
            </w:r>
          </w:p>
        </w:tc>
        <w:tc>
          <w:tcPr>
            <w:tcW w:w="11198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a tagállamokkal együttműködve azonosítja a veszélyeztetett beporzók és élőhelyeik számára biztosított előnyök optimalizálására szolgáló természetvédelmi intézkedéseket és kezelési megközelítéseket, többek között a Natura 2000 biogeográfiai folyamat keretében és egy külön erre a célra szervezett műhelytalálkozón.</w:t>
            </w:r>
          </w:p>
        </w:tc>
        <w:tc>
          <w:tcPr>
            <w:tcW w:w="1985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Az első mérföldkő</w:t>
            </w:r>
          </w:p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2019 második negyedévében</w:t>
            </w:r>
          </w:p>
        </w:tc>
      </w:tr>
      <w:tr>
        <w:tc>
          <w:tcPr>
            <w:tcW w:w="851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4C)</w:t>
            </w:r>
          </w:p>
        </w:tc>
        <w:tc>
          <w:tcPr>
            <w:tcW w:w="11198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A tagállamok végrehajtják a kiemelt intézkedéseket a beporzók fontos élőhelyeinek vonatkozásában a Natura 2000 területek, a környezetbarát infrastruktúra és a fajvédelem kiemelt cselekvési keretei között. </w:t>
            </w:r>
          </w:p>
        </w:tc>
        <w:tc>
          <w:tcPr>
            <w:tcW w:w="1985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2019 harmadik negyedéve</w:t>
            </w:r>
          </w:p>
        </w:tc>
      </w:tr>
      <w:tr>
        <w:tc>
          <w:tcPr>
            <w:tcW w:w="14034" w:type="dxa"/>
            <w:gridSpan w:val="3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5. INTÉZKEDÉS – A BEPORZÓK ÉLŐHELYEINEK JAVÍTÁSA A MEZŐGAZDASÁGI TERÜLETEKEN ÉS AZOK KÖRNYÉKÉN</w:t>
            </w:r>
          </w:p>
        </w:tc>
      </w:tr>
      <w:tr>
        <w:tc>
          <w:tcPr>
            <w:tcW w:w="85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5A)</w:t>
            </w:r>
          </w:p>
        </w:tc>
        <w:tc>
          <w:tcPr>
            <w:tcW w:w="1119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A Bizottság értékeli a beporzók szempontjából lényeges intézkedések használatával szerzett tapasztalatokat a közös agrárpolitika (2014–2020) keretében. Ennek alapján útmutatót dolgoz ki az irányító hatóságok és a gazdálkodók számára, amelyben szakmai tanácsadást nyújt az intézkedések hatékonyságának fokozására szolgáló módszerekkel kapcsolatban, és aktívan előmozdítja azt a 2020 utáni időszakra vonatkozó közös agrárpolitikában.   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Az első mérföldkő 2018 negyedik negyedévében</w:t>
            </w:r>
          </w:p>
        </w:tc>
      </w:tr>
      <w:tr>
        <w:tc>
          <w:tcPr>
            <w:tcW w:w="85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5B)</w:t>
            </w:r>
          </w:p>
        </w:tc>
        <w:tc>
          <w:tcPr>
            <w:tcW w:w="1119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tagállamok előmozdítják a beporzók szempontjából lényeges intézkedések felvételét a 2014–2020 közötti időszakra vonatkozó vidékfejlesztési programokba, többek között a gazdálkodók és egyéb érdekelt felek képzése és a tudatosságuk növelése révén.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Folyamatos </w:t>
            </w:r>
          </w:p>
        </w:tc>
      </w:tr>
      <w:tr>
        <w:tc>
          <w:tcPr>
            <w:tcW w:w="85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5C)</w:t>
            </w:r>
          </w:p>
        </w:tc>
        <w:tc>
          <w:tcPr>
            <w:tcW w:w="1119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előmozdítja a beporzókkal kapcsolatos megfontolások beillesztését a 2020 utáni időszakra vonatkozó közös agrárpolitika végrehajtásába, és egy beporzómutatót is belefoglal a véglegesített és működőképes teljesítménymérési és nyomonkövetési keretbe.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Folyamatos</w:t>
            </w:r>
          </w:p>
        </w:tc>
      </w:tr>
      <w:tr>
        <w:tc>
          <w:tcPr>
            <w:tcW w:w="14034" w:type="dxa"/>
            <w:gridSpan w:val="3"/>
            <w:shd w:val="clear" w:color="auto" w:fill="FFFFFF" w:themeFill="background1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6. INTÉZKEDÉS – A BEPORZÓK ÉLŐHELYEINEK JAVÍTÁSA A VÁROSI TERÜLETEKEN ÉS A TÁGABB KÖRNYEZETBEN</w:t>
            </w:r>
          </w:p>
        </w:tc>
      </w:tr>
      <w:tr>
        <w:tc>
          <w:tcPr>
            <w:tcW w:w="851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6A)</w:t>
            </w:r>
          </w:p>
        </w:tc>
        <w:tc>
          <w:tcPr>
            <w:tcW w:w="11198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összegyűjti a bevált gyakorlatokat, és iránymutatást dolgoz ki a helyi hatóságok számára azzal kapcsolatban, hogyan alakítsanak ki kedvező környezetet a beporzók számára, és felveszi a beporzókat az Európa Zöld Fővárosa díj és az Európai Zöld Levél díj követelményei közé.</w:t>
            </w:r>
          </w:p>
        </w:tc>
        <w:tc>
          <w:tcPr>
            <w:tcW w:w="1985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2019 második negyedévében</w:t>
            </w:r>
          </w:p>
        </w:tc>
      </w:tr>
      <w:tr>
        <w:tc>
          <w:tcPr>
            <w:tcW w:w="851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6B)</w:t>
            </w:r>
          </w:p>
        </w:tc>
        <w:tc>
          <w:tcPr>
            <w:tcW w:w="11198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felhívja a kohéziós politika irányító hatóságai és az érdekelt felek figyelmét a beporzók megőrzésére és a kapcsolódó finanszírozási lehetőségekre a 2014–2020 közötti, illetve a 2020 utáni időszakban.</w:t>
            </w:r>
          </w:p>
        </w:tc>
        <w:tc>
          <w:tcPr>
            <w:tcW w:w="1985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Az első mérföldkő 2018 negyedik negyedévében</w:t>
            </w:r>
          </w:p>
        </w:tc>
      </w:tr>
      <w:tr>
        <w:tc>
          <w:tcPr>
            <w:tcW w:w="85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6C)</w:t>
            </w:r>
          </w:p>
        </w:tc>
        <w:tc>
          <w:tcPr>
            <w:tcW w:w="11198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Az uniós szintű környezetbarát infrastruktúrára, illetve az ökoszisztémáknak és szolgáltatásaiknak a döntéshozatalba való integrálására vonatkozó iránymutatás révén a Bizottság elősegíti egyrészt az olyan tájszintű intézkedéseket, amelyek fenntartják és helyreállítják a beporzók élőhelyeit, másrészt ezek integrálását a területrendezésbe és egyéb releváns döntéshozatali eljárásokba.</w:t>
            </w:r>
          </w:p>
        </w:tc>
        <w:tc>
          <w:tcPr>
            <w:tcW w:w="1985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Az első mérföldkő</w:t>
            </w:r>
          </w:p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2018 negyedik negyedéve</w:t>
            </w:r>
          </w:p>
        </w:tc>
      </w:tr>
      <w:tr>
        <w:tc>
          <w:tcPr>
            <w:tcW w:w="14034" w:type="dxa"/>
            <w:gridSpan w:val="3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 xml:space="preserve">7. INTÉZKEDÉS – A NÖVÉNYVÉDŐ SZEREK ÁLTAL A BEPORZÓKRA GYAKOROLT HATÁSOK MÉRSÉKLÉSE </w:t>
            </w:r>
          </w:p>
        </w:tc>
      </w:tr>
      <w:tr>
        <w:tc>
          <w:tcPr>
            <w:tcW w:w="85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7A)</w:t>
            </w:r>
          </w:p>
        </w:tc>
        <w:tc>
          <w:tcPr>
            <w:tcW w:w="1119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arra ösztönzi a tagállamokat, hogy a 2009/128/EK irányelv értelmében felülvizsgált nemzeti cselekvési terveikbe vegyenek fel a beporzók megőrzésével kapcsolatos konkrét célkitűzéseket és intézkedéseket, hogy csökkentsék a növényvédő szerek beporzókra jelentett veszélyeit és a növényvédő szerek beporzókra gyakorolt hatását, és az irányelv végrehajtásáról szóló második jelentésben értékelni fogja a helyzetet.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Az első mérföldkő</w:t>
            </w:r>
          </w:p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2019 második negyedévében </w:t>
            </w:r>
          </w:p>
        </w:tc>
      </w:tr>
      <w:tr>
        <w:tc>
          <w:tcPr>
            <w:tcW w:w="85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7B)</w:t>
            </w:r>
          </w:p>
        </w:tc>
        <w:tc>
          <w:tcPr>
            <w:tcW w:w="1119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végrehajtási tervet fogad el a növényvédő szerek méhekkel kapcsolatos kockázatának értékeléséről (</w:t>
            </w:r>
            <w:r>
              <w:rPr>
                <w:rFonts w:ascii="Times New Roman" w:hAnsi="Times New Roman"/>
                <w:i/>
                <w:noProof/>
                <w:sz w:val="24"/>
              </w:rPr>
              <w:t>Apis mellifera, Bombus</w:t>
            </w:r>
            <w:r>
              <w:rPr>
                <w:rFonts w:ascii="Times New Roman" w:hAnsi="Times New Roman"/>
                <w:noProof/>
                <w:sz w:val="24"/>
              </w:rPr>
              <w:t xml:space="preserve"> spp. és magányos méhek) szóló EFSA-útmutatóra vonatkozóan a növényvédő szerek által a beporzókra jelentett kockázatok jobb értékelése érdekében.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2018 negyedik negyedéve</w:t>
            </w:r>
          </w:p>
        </w:tc>
      </w:tr>
      <w:t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7C)</w:t>
            </w:r>
          </w:p>
        </w:tc>
        <w:tc>
          <w:tcPr>
            <w:tcW w:w="11198" w:type="dxa"/>
            <w:tcBorders>
              <w:bottom w:val="single" w:sz="4" w:space="0" w:color="auto"/>
            </w:tcBorders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jogi intézkedéseket fogad el a 2013 óta már konkrét korlátozás alá eső három neonikotinoid alapú növényvédő szer (imidakloprid, tiametoxam és klotianidin) minden kültéri felhasználásának betiltása érdekében.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2018 második negyedévében</w:t>
            </w:r>
          </w:p>
        </w:tc>
      </w:tr>
      <w:tr>
        <w:tc>
          <w:tcPr>
            <w:tcW w:w="14034" w:type="dxa"/>
            <w:gridSpan w:val="3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8. INTÉZKEDÉS – AZ IDEGENHONOS INVÁZIÓS FAJOK ÁLTAL A BEPORZÓKRA GYAKOROLT HATÁSOK MÉRSÉKLÉSE</w:t>
            </w:r>
          </w:p>
        </w:tc>
      </w:tr>
      <w:tr>
        <w:tc>
          <w:tcPr>
            <w:tcW w:w="85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8A)</w:t>
            </w:r>
          </w:p>
        </w:tc>
        <w:tc>
          <w:tcPr>
            <w:tcW w:w="11198" w:type="dxa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szakmai útmutatást ad a tagállamoknak azzal kapcsolatban, hogyan akadályozható meg és kezelhető a beporzók szempontjából káros idegenhonos inváziós fajok megjelenése az 1143/2014/EU rendelet alkalmazási körén belül.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2019 harmadik negyedéve</w:t>
            </w:r>
          </w:p>
        </w:tc>
      </w:tr>
      <w:t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8B)</w:t>
            </w:r>
          </w:p>
        </w:tc>
        <w:tc>
          <w:tcPr>
            <w:tcW w:w="11198" w:type="dxa"/>
            <w:tcBorders>
              <w:bottom w:val="single" w:sz="4" w:space="0" w:color="auto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útmutatót dolgoz ki az őshonos növényfajok és beporzók használatának előmozdítására a köz- és állami szektorban.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2019 harmadik negyedéve</w:t>
            </w:r>
          </w:p>
        </w:tc>
      </w:tr>
      <w:tr>
        <w:tc>
          <w:tcPr>
            <w:tcW w:w="14034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 xml:space="preserve">III. PRIORITÁS: Figyelemfelkeltés, a társadalom egészének bevonása és az együttműködés előmozdítása </w:t>
            </w:r>
          </w:p>
        </w:tc>
      </w:tr>
      <w:tr>
        <w:tc>
          <w:tcPr>
            <w:tcW w:w="1403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>Célkitűzés</w:t>
            </w:r>
          </w:p>
          <w:p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 xml:space="preserve">A társadalom egészére kiterjedően fel kell hívni a figyelmet a beporzók fontosságára, és sürgős fellépésre van szükség a pusztulásuk megakadályozásához. A vállalkozások és a polgárok hatékony mobilizálásának köszönhetően a közpolitikák hatása nagyobb lesz. Az egyéni fellépések nagyobb hatást fejtenek ki, mert minden szinten jobb az érdekelt felek között folytatott koordináció. Az Európai Unió globális vezető szerepet vállal a beporzókkal kapcsolatos nemzetközi fellépések támogatása és elősegítése terén.    </w:t>
            </w:r>
          </w:p>
        </w:tc>
      </w:tr>
      <w:tr>
        <w:tc>
          <w:tcPr>
            <w:tcW w:w="14034" w:type="dxa"/>
            <w:gridSpan w:val="3"/>
            <w:shd w:val="clear" w:color="auto" w:fill="FFFFFF" w:themeFill="background1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9. INTÉZKEDÉS – A VÁLLALKOZÁSOK ÉS POLGÁROK CSELEKVÉSRE ÖSZTÖNZÉSE</w:t>
            </w:r>
          </w:p>
        </w:tc>
      </w:tr>
      <w:tr>
        <w:tc>
          <w:tcPr>
            <w:tcW w:w="85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9A)</w:t>
            </w:r>
          </w:p>
        </w:tc>
        <w:tc>
          <w:tcPr>
            <w:tcW w:w="1119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iránymutatást ad, és ösztönzőleg hat a vállalkozásokra annak érdekében, hogy hozzájáruljanak a beporzók megőrzéséhez, különösen az agrár-élelmiszeripari ágazatban. A Bizottság emellett továbbra is támogatja a beporzók szempontjából előnyös bevált gyakorlatokat és innovatív üzleti modelleket a vállalkozások és a biológiai sokféleség uniós platformja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42"/>
            </w:r>
            <w:r>
              <w:rPr>
                <w:rFonts w:ascii="Times New Roman" w:hAnsi="Times New Roman"/>
                <w:noProof/>
                <w:sz w:val="24"/>
              </w:rPr>
              <w:t>, valamint a környezetvédelmi Európai Vállalkozási Díj révén, és finanszírozási lehetőségek nyújt a Természetitőke-finanszírozási Eszközön keresztül.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Az első mérföldkő</w:t>
            </w:r>
          </w:p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2019 második negyedévében</w:t>
            </w:r>
          </w:p>
        </w:tc>
      </w:tr>
      <w:tr>
        <w:tc>
          <w:tcPr>
            <w:tcW w:w="85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9B)</w:t>
            </w:r>
          </w:p>
        </w:tc>
        <w:tc>
          <w:tcPr>
            <w:tcW w:w="1119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megvizsgálja az uniós ökocímke használatának lehetőségét olyan termékek esetében, amelyek támogatják a beporzók megőrzését (például vadvirágmag-keverékek, a beporzók szempontjából előnyös cserepes növények és egyéb releváns kertészeti termékek), a 2017-ben elvégzett célravezetőségi vizsgálat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43"/>
            </w:r>
            <w:r>
              <w:rPr>
                <w:rFonts w:ascii="Times New Roman" w:hAnsi="Times New Roman"/>
                <w:noProof/>
                <w:sz w:val="24"/>
              </w:rPr>
              <w:t xml:space="preserve"> következtetéseinek és ajánlásainak megfelelően.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2019 harmadik negyedéve</w:t>
            </w:r>
          </w:p>
        </w:tc>
      </w:tr>
      <w:tr>
        <w:trPr>
          <w:trHeight w:val="1476"/>
        </w:trPr>
        <w:tc>
          <w:tcPr>
            <w:tcW w:w="85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9C)</w:t>
            </w:r>
          </w:p>
        </w:tc>
        <w:tc>
          <w:tcPr>
            <w:tcW w:w="1119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beporzókkal kapcsolatos oktatási anyagot dolgoz ki és terjeszt. Emellett iránymutatást dolgoz ki arra vonatkozóan, hogyan vehetnek részt a polgárok a beporzók védelmében és a beporzókkal kapcsolatos „közösségi tudományos” tevékenységekben. Ilyen, a beporzók védelmével kapcsolatos szerepvállalásra kerülhet sor az Európai Szolidaritási Testület összefüggésében, amely támogatja az európai közösségek és környezet szempontjából előnyös projektekben önkéntesként részt vevő fiatalokat. Ezenfelül a nemzeti méhészeti programok kiegészíthetik ezeket az erőfeszítéseket olyan képzések révén, amelyek kiszélesítik a szakmai és nem szakmai körök ismereteit a vadon élő beporzók fontosságával kapcsolatban.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Folyamatos</w:t>
            </w:r>
          </w:p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>
        <w:tc>
          <w:tcPr>
            <w:tcW w:w="14034" w:type="dxa"/>
            <w:gridSpan w:val="3"/>
            <w:shd w:val="clear" w:color="auto" w:fill="FFFFFF" w:themeFill="background1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10. INTÉZKEDÉS – A BEPORZÓKKAL KAPCSOLATOS STRATÉGIÁK ÉS EGYÜTTMŰKÖDÉS ELŐMOZDÍTÁSA MINDEN SZINTEN</w:t>
            </w:r>
          </w:p>
        </w:tc>
      </w:tr>
      <w:tr>
        <w:tc>
          <w:tcPr>
            <w:tcW w:w="851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10A)</w:t>
            </w:r>
          </w:p>
        </w:tc>
        <w:tc>
          <w:tcPr>
            <w:tcW w:w="1119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A Bizottság a meglévő bevált gyakorlatok alapján közös sablonokat és eszközöket dolgoz ki a beporzókra vonatkozó stratégiák nemzeti, regionális és helyi szintű kidolgozásának elősegítése érdekében.   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2019 harmadik negyedéve</w:t>
            </w:r>
          </w:p>
        </w:tc>
      </w:tr>
      <w:tr>
        <w:tc>
          <w:tcPr>
            <w:tcW w:w="851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10B)</w:t>
            </w:r>
          </w:p>
        </w:tc>
        <w:tc>
          <w:tcPr>
            <w:tcW w:w="1119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azonosítja az érintett szereplők közötti együttműködés javítására szolgáló lehetőségeket a meglévő platformokon keresztül, és támogatja a további együttműködést az uniós szintű mechanizmusok révén, beleértve az uniós kutatási és innovációs keretprogramot (2014–2020), az európai területi együttműködés (Interreg) programjait, a közösségvezérelt helyi fejlesztést, valamint a TAIEX-EIR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44"/>
            </w:r>
            <w:r>
              <w:rPr>
                <w:rFonts w:ascii="Times New Roman" w:hAnsi="Times New Roman"/>
                <w:noProof/>
                <w:sz w:val="24"/>
              </w:rPr>
              <w:t xml:space="preserve"> és a TAIEX-REGIO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45"/>
            </w:r>
            <w:r>
              <w:rPr>
                <w:rFonts w:ascii="Times New Roman" w:hAnsi="Times New Roman"/>
                <w:noProof/>
                <w:sz w:val="24"/>
              </w:rPr>
              <w:t xml:space="preserve"> tapasztalatcserén alapuló eszközt. 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Az első mérföldkő</w:t>
            </w:r>
          </w:p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2019 első negyedéve</w:t>
            </w:r>
          </w:p>
        </w:tc>
      </w:tr>
      <w:tr>
        <w:tc>
          <w:tcPr>
            <w:tcW w:w="851" w:type="dxa"/>
            <w:vAlign w:val="center"/>
          </w:tcPr>
          <w:p>
            <w:pPr>
              <w:keepNext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10C)</w:t>
            </w:r>
          </w:p>
        </w:tc>
        <w:tc>
          <w:tcPr>
            <w:tcW w:w="1119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 Bizottság támogatja a beporzók védelmével kapcsolatos megfontolások és intézkedések integrálását az Unió által támogatott szakpolitikákba, tervekbe és programokba a fejlődő és szomszédos országokban, a beporzókról szóló nemzetközi kezdeményezés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46"/>
            </w:r>
            <w:r>
              <w:rPr>
                <w:rFonts w:ascii="Times New Roman" w:hAnsi="Times New Roman"/>
                <w:noProof/>
                <w:sz w:val="24"/>
              </w:rPr>
              <w:t xml:space="preserve"> célkitűzéseinek megfelelően.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Folyamatos</w:t>
            </w:r>
          </w:p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>
        <w:tc>
          <w:tcPr>
            <w:tcW w:w="85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10D)</w:t>
            </w:r>
          </w:p>
        </w:tc>
        <w:tc>
          <w:tcPr>
            <w:tcW w:w="1119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Az Európai Unió csatlakozik a Coalition of the Willing on Pollinators elnevezésű koalícióhoz, és elősegíti a beporzókkal kapcsolatos hatékony nemzetközi fellépést. </w:t>
            </w: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2018 negyedik negyedéve</w:t>
            </w:r>
          </w:p>
        </w:tc>
      </w:tr>
    </w:tbl>
    <w:p>
      <w:pPr>
        <w:rPr>
          <w:rFonts w:ascii="Times New Roman" w:hAnsi="Times New Roman" w:cs="Times New Roman"/>
          <w:noProof/>
        </w:rPr>
      </w:pPr>
    </w:p>
    <w:sectPr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417" w:right="1418" w:bottom="1416" w:left="1417" w:header="708" w:footer="708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CB3CAE" w15:done="0"/>
  <w15:commentEx w15:paraId="2BE3D0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HU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HU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583001"/>
      <w:docPartObj>
        <w:docPartGallery w:val="Page Numbers (Bottom of Page)"/>
        <w:docPartUnique/>
      </w:docPartObj>
    </w:sdtPr>
    <w:sdtContent>
      <w:p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323481"/>
      <w:docPartObj>
        <w:docPartGallery w:val="Page Numbers (Bottom of Page)"/>
        <w:docPartUnique/>
      </w:docPartObj>
    </w:sdtPr>
    <w:sdtContent>
      <w:p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Lásd az e közleményt részletes bizonyítékokkal alátámasztó kísérő szolgálati munkadokumentumot.</w:t>
      </w:r>
    </w:p>
  </w:footnote>
  <w:footnote w:id="3">
    <w:p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Potts, S.G., </w:t>
      </w:r>
      <w:r>
        <w:rPr>
          <w:i/>
        </w:rPr>
        <w:t>et al</w:t>
      </w:r>
      <w:r>
        <w:t xml:space="preserve">., (2016), </w:t>
      </w:r>
      <w:r>
        <w:rPr>
          <w:i/>
        </w:rPr>
        <w:t>The Assessment Report of the Intergovernmental Science-Policy Platform on Biodiversity and Ecosystem Services on Pollinators, Pollination and Food Production</w:t>
      </w:r>
      <w:r>
        <w:t>, Secretariat of the Intergovernmental Science-Policy Platform on Biodiversity and Ecosystem Services, Bonn, Németország. 552 pp.</w:t>
      </w:r>
    </w:p>
  </w:footnote>
  <w:footnote w:id="4">
    <w:p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Potts, S., </w:t>
      </w:r>
      <w:r>
        <w:rPr>
          <w:i/>
        </w:rPr>
        <w:t>et al</w:t>
      </w:r>
      <w:r>
        <w:t xml:space="preserve">., (2015), </w:t>
      </w:r>
      <w:r>
        <w:rPr>
          <w:i/>
        </w:rPr>
        <w:t xml:space="preserve">Status and Trends of European Pollinators. Key Findings of the STEP Project, </w:t>
      </w:r>
      <w:r>
        <w:t>Pensoft Publishers, Szófia, 72 pp.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Gallai, N., </w:t>
      </w:r>
      <w:r>
        <w:rPr>
          <w:i/>
        </w:rPr>
        <w:t xml:space="preserve">et al., </w:t>
      </w:r>
      <w:r>
        <w:t>(2009),</w:t>
      </w:r>
      <w:r>
        <w:rPr>
          <w:i/>
        </w:rPr>
        <w:t xml:space="preserve"> Economic Valuation of the Vulnerability of World Agriculture Confronted with Pollinator Decline,</w:t>
      </w:r>
      <w:r>
        <w:t xml:space="preserve"> Ecological Economics 68.3: 810-821.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>
        <w:r>
          <w:rPr>
            <w:rStyle w:val="Hyperlink"/>
          </w:rPr>
          <w:t>https://www.cbd.int/</w:t>
        </w:r>
      </w:hyperlink>
      <w:r>
        <w:t xml:space="preserve"> </w:t>
      </w:r>
    </w:p>
  </w:footnote>
  <w:footnote w:id="7">
    <w:p>
      <w:pPr>
        <w:pStyle w:val="FootnoteText"/>
        <w:rPr>
          <w:rFonts w:cs="Times New Roman"/>
        </w:rPr>
      </w:pPr>
      <w:r>
        <w:rPr>
          <w:rStyle w:val="FootnoteReference"/>
        </w:rPr>
        <w:footnoteRef/>
      </w:r>
      <w:r>
        <w:t xml:space="preserve"> A biológiai sokféleségről szóló egyezmény, COP-határozat, XIII/15., </w:t>
      </w:r>
      <w:hyperlink r:id="rId2">
        <w:r>
          <w:rPr>
            <w:rStyle w:val="Hyperlink"/>
          </w:rPr>
          <w:t>https://www.cbd.int/doc/decisions/cop-13/cop-13-dec-15-en.pdf</w:t>
        </w:r>
      </w:hyperlink>
      <w:r>
        <w:t xml:space="preserve"> </w:t>
      </w:r>
    </w:p>
  </w:footnote>
  <w:footnote w:id="8">
    <w:p>
      <w:pPr>
        <w:pStyle w:val="FootnoteText"/>
        <w:rPr>
          <w:rFonts w:cs="Times New Roman"/>
        </w:rPr>
      </w:pPr>
      <w:r>
        <w:rPr>
          <w:rStyle w:val="FootnoteReference"/>
        </w:rPr>
        <w:footnoteRef/>
      </w:r>
      <w:r>
        <w:t xml:space="preserve"> A biológiai sokféleséggel kapcsolatos, 2020-ig teljesítendő uniós stratégia, </w:t>
      </w:r>
      <w:hyperlink r:id="rId3">
        <w:r>
          <w:rPr>
            <w:rStyle w:val="Hyperlink"/>
          </w:rPr>
          <w:t>http://ec.europa.eu/environment/nature/biodiversity/strategy/index_en.htm</w:t>
        </w:r>
      </w:hyperlink>
      <w:r>
        <w:t xml:space="preserve"> 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>
        <w:r>
          <w:rPr>
            <w:rStyle w:val="Hyperlink"/>
          </w:rPr>
          <w:t>http://ec.europa.eu/environment/nature/legislation/fitness_check/action_plan/communication_en.pdf</w:t>
        </w:r>
      </w:hyperlink>
      <w:r>
        <w:t xml:space="preserve"> </w:t>
      </w:r>
    </w:p>
  </w:footnote>
  <w:footnote w:id="10">
    <w:p>
      <w:pPr>
        <w:pStyle w:val="FootnoteText"/>
        <w:rPr>
          <w:rFonts w:cs="Times New Roman"/>
        </w:rPr>
      </w:pPr>
      <w:r>
        <w:rPr>
          <w:rStyle w:val="FootnoteReference"/>
        </w:rPr>
        <w:footnoteRef/>
      </w:r>
      <w:r>
        <w:t xml:space="preserve"> Az Európai Parlament állásfoglalása (2016. február 2.) a biológiai sokféleséggel kapcsolatos uniós stratégia félidős értékeléséről (2015/2137(INI)).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 xml:space="preserve"> Az Európai Parlament állásfoglalása (2017. november 15.) a „Cselekvési terv a természetért, az emberekért és a gazdaságért” című közleményről (2017/2819(RSP)).</w:t>
      </w:r>
    </w:p>
  </w:footnote>
  <w:footnote w:id="12">
    <w:p>
      <w:pPr>
        <w:pStyle w:val="FootnoteText"/>
        <w:rPr>
          <w:rFonts w:cs="Times New Roman"/>
        </w:rPr>
      </w:pPr>
      <w:r>
        <w:rPr>
          <w:rStyle w:val="FootnoteReference"/>
        </w:rPr>
        <w:footnoteRef/>
      </w:r>
      <w:r>
        <w:t xml:space="preserve"> A Tanács 13398/16. számú következtetései a biológiai sokféleségről szóló egyezményről, </w:t>
      </w:r>
      <w:hyperlink r:id="rId5">
        <w:r>
          <w:rPr>
            <w:rStyle w:val="Hyperlink"/>
          </w:rPr>
          <w:t>http://data.consilium.europa.eu/doc/document/ST-13398-2016-INIT/hu/pdf</w:t>
        </w:r>
      </w:hyperlink>
      <w:r>
        <w:t xml:space="preserve"> </w:t>
      </w:r>
    </w:p>
  </w:footnote>
  <w:footnote w:id="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>
        <w:r>
          <w:rPr>
            <w:rStyle w:val="Hyperlink"/>
          </w:rPr>
          <w:t>http://ec.europa.eu/environment/nature/conservation/species/pollinators/index_en.htm</w:t>
        </w:r>
      </w:hyperlink>
      <w:r>
        <w:t xml:space="preserve"> </w:t>
      </w:r>
    </w:p>
  </w:footnote>
  <w:footnote w:id="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>
        <w:r>
          <w:rPr>
            <w:rStyle w:val="Hyperlink"/>
          </w:rPr>
          <w:t>https://ec.europa.eu/agriculture/honey/programmes_en</w:t>
        </w:r>
      </w:hyperlink>
      <w:r>
        <w:t xml:space="preserve"> </w:t>
      </w:r>
    </w:p>
  </w:footnote>
  <w:footnote w:id="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>
        <w:r>
          <w:rPr>
            <w:rStyle w:val="Hyperlink"/>
          </w:rPr>
          <w:t>https://ec.europa.eu/food/animals/live_animals/bees/health_en</w:t>
        </w:r>
      </w:hyperlink>
      <w:r>
        <w:t xml:space="preserve"> </w:t>
      </w:r>
    </w:p>
  </w:footnote>
  <w:footnote w:id="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>
        <w:r>
          <w:rPr>
            <w:rStyle w:val="Hyperlink"/>
          </w:rPr>
          <w:t>http://www.alarmproject.net/</w:t>
        </w:r>
      </w:hyperlink>
      <w:r>
        <w:t xml:space="preserve"> </w:t>
      </w:r>
    </w:p>
  </w:footnote>
  <w:footnote w:id="17">
    <w:p>
      <w:pPr>
        <w:pStyle w:val="FootnoteText"/>
        <w:rPr>
          <w:rFonts w:cs="Times New Roman"/>
        </w:rPr>
      </w:pPr>
      <w:r>
        <w:rPr>
          <w:rStyle w:val="FootnoteReference"/>
        </w:rPr>
        <w:footnoteRef/>
      </w:r>
      <w:r>
        <w:t xml:space="preserve"> </w:t>
      </w:r>
      <w:hyperlink r:id="rId10">
        <w:r>
          <w:rPr>
            <w:rStyle w:val="Hyperlink"/>
          </w:rPr>
          <w:t>http://www.step-project.net/</w:t>
        </w:r>
      </w:hyperlink>
      <w:r>
        <w:t xml:space="preserve"> </w:t>
      </w:r>
    </w:p>
  </w:footnote>
  <w:footnote w:id="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">
        <w:r>
          <w:rPr>
            <w:rStyle w:val="Hyperlink"/>
          </w:rPr>
          <w:t>http://ec.europa.eu/environment/nature/conservation/species/redlist/</w:t>
        </w:r>
      </w:hyperlink>
      <w:r>
        <w:t xml:space="preserve"> </w:t>
      </w:r>
    </w:p>
  </w:footnote>
  <w:footnote w:id="19">
    <w:p>
      <w:pPr>
        <w:pStyle w:val="FootnoteText"/>
      </w:pPr>
      <w:r>
        <w:rPr>
          <w:rStyle w:val="FootnoteReference"/>
        </w:rPr>
        <w:footnoteRef/>
      </w:r>
      <w:r>
        <w:t xml:space="preserve"> A polgárok hozzájárulhatnak az adatgyűjtéshez és ezáltal aktív szerepet játszhatnak a tudomány támogatásában ezen a téren, </w:t>
      </w:r>
      <w:hyperlink r:id="rId12">
        <w:r>
          <w:rPr>
            <w:rStyle w:val="Hyperlink"/>
          </w:rPr>
          <w:t>https://ec.europa.eu/research/openscience/index.cfm?pg=citizen&amp;section=monitor</w:t>
        </w:r>
      </w:hyperlink>
      <w:r>
        <w:t xml:space="preserve"> </w:t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">
        <w:r>
          <w:rPr>
            <w:rStyle w:val="Hyperlink"/>
          </w:rPr>
          <w:t>http://ec.europa.eu/eurostat/web/sdi/indicators</w:t>
        </w:r>
      </w:hyperlink>
      <w:r>
        <w:t xml:space="preserve"> </w:t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">
        <w:r>
          <w:rPr>
            <w:rStyle w:val="Hyperlink"/>
          </w:rPr>
          <w:t>http://ec.europa.eu/environment/nature/knowledge/ecosystem_assessment/index_en.htm</w:t>
        </w:r>
      </w:hyperlink>
      <w:r>
        <w:t xml:space="preserve">    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">
        <w:r>
          <w:rPr>
            <w:rStyle w:val="Hyperlink"/>
          </w:rPr>
          <w:t>https://ec.europa.eu/jrc/en/publication/ecosystem-services-accounting-part-i-outdoor-recreation-and-crop-pollination</w:t>
        </w:r>
      </w:hyperlink>
      <w:r>
        <w:t xml:space="preserve"> </w:t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">
        <w:r>
          <w:rPr>
            <w:rStyle w:val="Hyperlink"/>
          </w:rPr>
          <w:t>http://ec.europa.eu/research/participants/portal/desktop/en/opportunities/h2020/topics/sfs-28-2017.html</w:t>
        </w:r>
      </w:hyperlink>
    </w:p>
    <w:p>
      <w:pPr>
        <w:pStyle w:val="FootnoteText"/>
      </w:pPr>
      <w:hyperlink r:id="rId17">
        <w:r>
          <w:rPr>
            <w:rStyle w:val="Hyperlink"/>
          </w:rPr>
          <w:t>http://ec.europa.eu/research/participants/portal/desktop/en/opportunities/h2020/topics/sfs-16-2017.html</w:t>
        </w:r>
      </w:hyperlink>
      <w:r>
        <w:t xml:space="preserve"> </w:t>
      </w:r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">
        <w:r>
          <w:rPr>
            <w:rStyle w:val="Hyperlink"/>
          </w:rPr>
          <w:t>http://ec.europa.eu/research/participants/portal/desktop/en/opportunities/h2020/topics/sfs-04-2019-2020.html</w:t>
        </w:r>
      </w:hyperlink>
      <w:r>
        <w:t xml:space="preserve"> 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>Lásd a „Környezetbarát infrastruktúra — Európa természeti tőkéjének növelése” című közleményt (COM(2013) 249 final).</w:t>
      </w:r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Például a természetes vízmegtartást segítő intézkedések, </w:t>
      </w:r>
      <w:hyperlink r:id="rId19">
        <w:r>
          <w:rPr>
            <w:rStyle w:val="Hyperlink"/>
          </w:rPr>
          <w:t>http://nwrm.eu/</w:t>
        </w:r>
      </w:hyperlink>
      <w:r>
        <w:t xml:space="preserve"> 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A „növényvédő szer” kifejezés az 1107/2009/EK rendeletben meghatározott növényvédő szerekre utal.</w:t>
      </w:r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Az 1107/2009/EK rendelet a növényvédő szerek forgalomba hozataláról.</w:t>
      </w:r>
    </w:p>
  </w:footnote>
  <w:footnote w:id="29">
    <w:p>
      <w:pPr>
        <w:pStyle w:val="FootnoteText"/>
        <w:rPr>
          <w:rFonts w:cs="Times New Roman"/>
        </w:rPr>
      </w:pPr>
      <w:r>
        <w:rPr>
          <w:rStyle w:val="FootnoteReference"/>
        </w:rPr>
        <w:footnoteRef/>
      </w:r>
      <w:r>
        <w:t xml:space="preserve"> Az EFSA útmutatója a növényvédő szerek méhekre jelentett kockázatának értékeléséről (</w:t>
      </w:r>
      <w:r>
        <w:rPr>
          <w:i/>
        </w:rPr>
        <w:t>Apis mellifera, Bombus</w:t>
      </w:r>
      <w:r>
        <w:t xml:space="preserve"> spp. és magányos méhek), </w:t>
      </w:r>
      <w:hyperlink r:id="rId20">
        <w:r>
          <w:rPr>
            <w:rStyle w:val="Hyperlink"/>
          </w:rPr>
          <w:t>https://www.efsa.europa.eu/en/efsajournal/pub/3295</w:t>
        </w:r>
      </w:hyperlink>
      <w:r>
        <w:t xml:space="preserve"> </w:t>
      </w:r>
    </w:p>
  </w:footnote>
  <w:footnote w:id="30">
    <w:p>
      <w:pPr>
        <w:pStyle w:val="FootnoteText"/>
        <w:rPr>
          <w:rFonts w:cs="Times New Roman"/>
        </w:rPr>
      </w:pPr>
      <w:r>
        <w:rPr>
          <w:rStyle w:val="FootnoteReference"/>
        </w:rPr>
        <w:footnoteRef/>
      </w:r>
      <w:r>
        <w:t xml:space="preserve"> A Bizottság 485/2013/EU végrehajtási rendelete (2013. május 24.) az 540/2011/EU végrehajtási rendeletnek a klotianidin, a tiametoxam és az imidakloprid hatóanyag jóváhagyási feltételei, valamint az e hatóanyagokat tartalmazó növényvédő szerrel kezelt vetőmagok használatának és értékesítésének tilalma tekintetében történő módosításáról.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>https://www.efsa.europa.eu/en/press/news/180228</w:t>
        </w:r>
      </w:hyperlink>
      <w:r>
        <w:t xml:space="preserve"> 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2">
        <w:r>
          <w:rPr>
            <w:rStyle w:val="Hyperlink"/>
          </w:rPr>
          <w:t>https://ec.europa.eu/food/plant/pesticides/approval_active_substances/approval_renewal/neonicotinoids_en</w:t>
        </w:r>
      </w:hyperlink>
      <w:r>
        <w:t xml:space="preserve"> </w:t>
      </w:r>
    </w:p>
  </w:footnote>
  <w:footnote w:id="33">
    <w:p>
      <w:pPr>
        <w:pStyle w:val="FootnoteText"/>
        <w:rPr>
          <w:rFonts w:cs="Times New Roman"/>
        </w:rPr>
      </w:pPr>
      <w:r>
        <w:rPr>
          <w:rStyle w:val="FootnoteReference"/>
        </w:rPr>
        <w:footnoteRef/>
      </w:r>
      <w:r>
        <w:t xml:space="preserve"> A 2009/128/EK irányelv a peszticidek fenntartható használatának elérését célzó közösségi fellépés kereteinek meghatározásáról.</w:t>
      </w:r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Az 1143/2014/EU rendelet az idegenhonos inváziós fajok betelepítésének vagy behurcolásának és terjedésének megelőzéséről és kezeléséről.</w:t>
      </w:r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>https://ec.europa.eu/clima/index_hu</w:t>
        </w:r>
      </w:hyperlink>
      <w:r>
        <w:t xml:space="preserve"> </w:t>
      </w:r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Az (EU) 2016/2284 irányelv az egyes légköri szennyező anyagok nemzeti kibocsátásainak csökkentéséről.</w:t>
      </w:r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A biológiai sokféleségről szóló egyezmény, COP-határozat, V/5., </w:t>
      </w:r>
      <w:hyperlink r:id="rId24">
        <w:r>
          <w:rPr>
            <w:rStyle w:val="Hyperlink"/>
          </w:rPr>
          <w:t>https://www.cbd.int/decision/cop/?id=7147</w:t>
        </w:r>
      </w:hyperlink>
      <w:r>
        <w:t xml:space="preserve"> </w:t>
      </w:r>
    </w:p>
  </w:footnote>
  <w:footnote w:id="38">
    <w:p>
      <w:pPr>
        <w:pStyle w:val="FootnoteText"/>
        <w:rPr>
          <w:rFonts w:cs="Times New Roman"/>
        </w:rPr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>https://promotepollinators.org</w:t>
        </w:r>
      </w:hyperlink>
      <w:r>
        <w:t xml:space="preserve"> </w:t>
      </w:r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>https://ec.europa.eu/eip/agriculture/en/european-innovation-partnership-agricultural</w:t>
        </w:r>
      </w:hyperlink>
      <w:r>
        <w:t xml:space="preserve"> </w:t>
      </w:r>
    </w:p>
  </w:footnote>
  <w:footnote w:id="40">
    <w:p>
      <w:pPr>
        <w:pStyle w:val="FootnoteText"/>
        <w:rPr>
          <w:rFonts w:cs="Times New Roman"/>
        </w:rPr>
      </w:pPr>
      <w:r>
        <w:rPr>
          <w:rStyle w:val="FootnoteReference"/>
        </w:rPr>
        <w:footnoteRef/>
      </w:r>
      <w:r>
        <w:t xml:space="preserve"> A 2007/2/EK irányelv az európai térinformációs infrastruktúra (INSPIRE) kialakításáról.</w:t>
      </w:r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A 2003/4/EK irányelv a környezeti információkhoz való nyilvános hozzáférésről.</w:t>
      </w:r>
    </w:p>
  </w:footnote>
  <w:footnote w:id="42">
    <w:p>
      <w:pPr>
        <w:pStyle w:val="FootnoteText"/>
        <w:rPr>
          <w:rFonts w:cs="Times New Roman"/>
        </w:rPr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>http://ec.europa.eu/environment/biodiversity/business/index_en.htm</w:t>
        </w:r>
      </w:hyperlink>
      <w:r>
        <w:t xml:space="preserve"> </w:t>
      </w:r>
    </w:p>
  </w:footnote>
  <w:footnote w:id="43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 xml:space="preserve"> COM(2017) 355 final.</w:t>
      </w:r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>http://ec.europa.eu/environment/eir/p2p/index_en.htm</w:t>
        </w:r>
      </w:hyperlink>
      <w:r>
        <w:t xml:space="preserve"> </w:t>
      </w:r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>http://ec.europa.eu/regional_policy/en/policy/how/improving-investment/taiex-regio-peer-2-peer/</w:t>
        </w:r>
      </w:hyperlink>
      <w:r>
        <w:t xml:space="preserve"> </w:t>
      </w:r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Az ENSZ Élelmezési és Mezőgazdasági Szervezetének vezetésével.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0142C2C"/>
    <w:multiLevelType w:val="hybridMultilevel"/>
    <w:tmpl w:val="86749B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15DC2"/>
    <w:multiLevelType w:val="hybridMultilevel"/>
    <w:tmpl w:val="B32AF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75D51"/>
    <w:multiLevelType w:val="hybridMultilevel"/>
    <w:tmpl w:val="5204BCCA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06654AF"/>
    <w:multiLevelType w:val="hybridMultilevel"/>
    <w:tmpl w:val="A476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D13AC"/>
    <w:multiLevelType w:val="hybridMultilevel"/>
    <w:tmpl w:val="41966B6C"/>
    <w:lvl w:ilvl="0" w:tplc="74FC5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15184"/>
    <w:multiLevelType w:val="hybridMultilevel"/>
    <w:tmpl w:val="F1004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633A0"/>
    <w:multiLevelType w:val="hybridMultilevel"/>
    <w:tmpl w:val="9E84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F576F"/>
    <w:multiLevelType w:val="hybridMultilevel"/>
    <w:tmpl w:val="930CCC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306"/>
    <w:multiLevelType w:val="multilevel"/>
    <w:tmpl w:val="C54A3630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0F642E2"/>
    <w:multiLevelType w:val="hybridMultilevel"/>
    <w:tmpl w:val="14EE393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560908"/>
    <w:multiLevelType w:val="hybridMultilevel"/>
    <w:tmpl w:val="BEB0F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6438F"/>
    <w:multiLevelType w:val="hybridMultilevel"/>
    <w:tmpl w:val="47AA9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12D2A"/>
    <w:multiLevelType w:val="hybridMultilevel"/>
    <w:tmpl w:val="178E0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3341F"/>
    <w:multiLevelType w:val="multilevel"/>
    <w:tmpl w:val="8FBE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C7C52D2"/>
    <w:multiLevelType w:val="hybridMultilevel"/>
    <w:tmpl w:val="F7727F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649A2"/>
    <w:multiLevelType w:val="hybridMultilevel"/>
    <w:tmpl w:val="093E0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A243B"/>
    <w:multiLevelType w:val="multilevel"/>
    <w:tmpl w:val="6002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4265CCA"/>
    <w:multiLevelType w:val="hybridMultilevel"/>
    <w:tmpl w:val="1CB22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84643E"/>
    <w:multiLevelType w:val="hybridMultilevel"/>
    <w:tmpl w:val="CF349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68775D"/>
    <w:multiLevelType w:val="hybridMultilevel"/>
    <w:tmpl w:val="DCDA2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664E28"/>
    <w:multiLevelType w:val="hybridMultilevel"/>
    <w:tmpl w:val="14906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D1EE1"/>
    <w:multiLevelType w:val="multilevel"/>
    <w:tmpl w:val="B39E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BE3A48"/>
    <w:multiLevelType w:val="multilevel"/>
    <w:tmpl w:val="52B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843026B"/>
    <w:multiLevelType w:val="hybridMultilevel"/>
    <w:tmpl w:val="F3709A3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3A59AF"/>
    <w:multiLevelType w:val="hybridMultilevel"/>
    <w:tmpl w:val="D0C82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575AF8"/>
    <w:multiLevelType w:val="multilevel"/>
    <w:tmpl w:val="5176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205499D"/>
    <w:multiLevelType w:val="hybridMultilevel"/>
    <w:tmpl w:val="95289528"/>
    <w:lvl w:ilvl="0" w:tplc="08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7">
    <w:nsid w:val="52F11F0A"/>
    <w:multiLevelType w:val="hybridMultilevel"/>
    <w:tmpl w:val="17DC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954ACC"/>
    <w:multiLevelType w:val="hybridMultilevel"/>
    <w:tmpl w:val="8876A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573627"/>
    <w:multiLevelType w:val="hybridMultilevel"/>
    <w:tmpl w:val="849E00E8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0">
    <w:nsid w:val="5E715C36"/>
    <w:multiLevelType w:val="multilevel"/>
    <w:tmpl w:val="7E0A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2EB2692"/>
    <w:multiLevelType w:val="hybridMultilevel"/>
    <w:tmpl w:val="1CB22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D5E73"/>
    <w:multiLevelType w:val="multilevel"/>
    <w:tmpl w:val="4B4A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548414C"/>
    <w:multiLevelType w:val="hybridMultilevel"/>
    <w:tmpl w:val="6EF2A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2B7FBE"/>
    <w:multiLevelType w:val="hybridMultilevel"/>
    <w:tmpl w:val="C4DCD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FE0F62"/>
    <w:multiLevelType w:val="multilevel"/>
    <w:tmpl w:val="9E40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8134412"/>
    <w:multiLevelType w:val="hybridMultilevel"/>
    <w:tmpl w:val="87B6E5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1C7A3F"/>
    <w:multiLevelType w:val="multilevel"/>
    <w:tmpl w:val="3F3A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F576FFE"/>
    <w:multiLevelType w:val="hybridMultilevel"/>
    <w:tmpl w:val="4F0CF91C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8"/>
  </w:num>
  <w:num w:numId="2">
    <w:abstractNumId w:val="29"/>
  </w:num>
  <w:num w:numId="3">
    <w:abstractNumId w:val="38"/>
  </w:num>
  <w:num w:numId="4">
    <w:abstractNumId w:val="19"/>
  </w:num>
  <w:num w:numId="5">
    <w:abstractNumId w:val="33"/>
  </w:num>
  <w:num w:numId="6">
    <w:abstractNumId w:val="10"/>
  </w:num>
  <w:num w:numId="7">
    <w:abstractNumId w:val="27"/>
  </w:num>
  <w:num w:numId="8">
    <w:abstractNumId w:val="5"/>
  </w:num>
  <w:num w:numId="9">
    <w:abstractNumId w:val="24"/>
  </w:num>
  <w:num w:numId="10">
    <w:abstractNumId w:val="3"/>
  </w:num>
  <w:num w:numId="11">
    <w:abstractNumId w:val="6"/>
  </w:num>
  <w:num w:numId="12">
    <w:abstractNumId w:val="34"/>
  </w:num>
  <w:num w:numId="13">
    <w:abstractNumId w:val="15"/>
  </w:num>
  <w:num w:numId="14">
    <w:abstractNumId w:val="11"/>
  </w:num>
  <w:num w:numId="15">
    <w:abstractNumId w:val="9"/>
  </w:num>
  <w:num w:numId="16">
    <w:abstractNumId w:val="23"/>
  </w:num>
  <w:num w:numId="17">
    <w:abstractNumId w:val="18"/>
  </w:num>
  <w:num w:numId="18">
    <w:abstractNumId w:val="28"/>
  </w:num>
  <w:num w:numId="19">
    <w:abstractNumId w:val="2"/>
  </w:num>
  <w:num w:numId="20">
    <w:abstractNumId w:val="1"/>
  </w:num>
  <w:num w:numId="21">
    <w:abstractNumId w:val="26"/>
  </w:num>
  <w:num w:numId="22">
    <w:abstractNumId w:val="12"/>
  </w:num>
  <w:num w:numId="23">
    <w:abstractNumId w:val="20"/>
  </w:num>
  <w:num w:numId="24">
    <w:abstractNumId w:val="1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0"/>
  </w:num>
  <w:num w:numId="28">
    <w:abstractNumId w:val="4"/>
  </w:num>
  <w:num w:numId="29">
    <w:abstractNumId w:val="36"/>
  </w:num>
  <w:num w:numId="30">
    <w:abstractNumId w:val="17"/>
  </w:num>
  <w:num w:numId="31">
    <w:abstractNumId w:val="31"/>
  </w:num>
  <w:num w:numId="32">
    <w:abstractNumId w:val="21"/>
  </w:num>
  <w:num w:numId="33">
    <w:abstractNumId w:val="13"/>
  </w:num>
  <w:num w:numId="34">
    <w:abstractNumId w:val="35"/>
  </w:num>
  <w:num w:numId="35">
    <w:abstractNumId w:val="16"/>
  </w:num>
  <w:num w:numId="36">
    <w:abstractNumId w:val="37"/>
  </w:num>
  <w:num w:numId="37">
    <w:abstractNumId w:val="30"/>
  </w:num>
  <w:num w:numId="38">
    <w:abstractNumId w:val="25"/>
  </w:num>
  <w:num w:numId="39">
    <w:abstractNumId w:val="22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revisionView w:markup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CADA2F74-A0D0-4934-9CB7-CCABD7FEB5C6"/>
    <w:docVar w:name="LW_COVERPAGE_TYPE" w:val="1"/>
    <w:docVar w:name="LW_CROSSREFERENCE" w:val="{SWD(2018) 302 final}_x000b_{SWD(2018) 303 final}"/>
    <w:docVar w:name="LW_DocType" w:val="NORMAL"/>
    <w:docVar w:name="LW_EMISSION" w:val="2018.6.1."/>
    <w:docVar w:name="LW_EMISSION_ISODATE" w:val="2018-06-01"/>
    <w:docVar w:name="LW_EMISSION_LOCATION" w:val="BRX"/>
    <w:docVar w:name="LW_EMISSION_PREFIX" w:val="Brüsszel, "/>
    <w:docVar w:name="LW_EMISSION_SUFFIX" w:val="&lt;EMPTY&gt;"/>
    <w:docVar w:name="LW_ID_DOCTYPE_NONLW" w:val="CP-014"/>
    <w:docVar w:name="LW_LANGUE" w:val="HU"/>
    <w:docVar w:name="LW_LEVEL_OF_SENSITIVITY" w:val="Standard treatment"/>
    <w:docVar w:name="LW_NOM.INST" w:val="EURÓPAI BIZOTTSÁG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8) 395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ITRE.OBJ.CP" w:val="Uniós kezdeményezés a beporzókról"/>
    <w:docVar w:name="LW_TYPE.DOC.CP" w:val="A BIZOTTSÁG KÖZLEMÉNYE AZ EURÓPAI PARLAMENTNEK, A TANÁCSNAK, AZ EURÓPAI GAZDASÁGI ÉS SZOCIÁLIS BIZOTTSÁGNAK ÉS A RÉGIÓK BIZOTTSÁGÁNAK"/>
    <w:docVar w:name="LW_TYPE.DOC.CP.USERTEXT" w:val="&lt;EMPTY&gt;"/>
    <w:docVar w:name="Stamp" w:val="\\dossiers.dgt.cec.eu.int\dossiers\ENV\ENV-2018-00294\ENV-2018-00294-00-00-EN-EDT-00.201804251308358219286.DOCX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hu-H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uiPriority w:val="99"/>
    <w:unhideWhenUsed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 w:hanging="48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Heading1Char"/>
    <w:link w:val="FooterCoverPage"/>
    <w:rPr>
      <w:rFonts w:ascii="Times New Roman" w:eastAsia="Times New Roman" w:hAnsi="Times New Roman" w:cs="Times New Roman"/>
      <w:b w:val="0"/>
      <w:smallCaps w:val="0"/>
      <w:sz w:val="24"/>
      <w:szCs w:val="20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 w:hanging="480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Heading1Char"/>
    <w:link w:val="FooterSensitivity"/>
    <w:rPr>
      <w:rFonts w:ascii="Times New Roman" w:eastAsia="Times New Roman" w:hAnsi="Times New Roman" w:cs="Times New Roman"/>
      <w:b/>
      <w:smallCaps w:val="0"/>
      <w:sz w:val="32"/>
      <w:szCs w:val="20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ind w:hanging="480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Heading1Char"/>
    <w:link w:val="HeaderCoverPage"/>
    <w:rPr>
      <w:rFonts w:ascii="Times New Roman" w:eastAsia="Times New Roman" w:hAnsi="Times New Roman" w:cs="Times New Roman"/>
      <w:b w:val="0"/>
      <w:smallCaps w:val="0"/>
      <w:sz w:val="24"/>
      <w:szCs w:val="20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 w:hanging="480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Heading1Char"/>
    <w:link w:val="HeaderSensitivity"/>
    <w:rPr>
      <w:rFonts w:ascii="Times New Roman" w:eastAsia="Times New Roman" w:hAnsi="Times New Roman" w:cs="Times New Roman"/>
      <w:b/>
      <w:smallCaps w:val="0"/>
      <w:sz w:val="3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hu-H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uiPriority w:val="99"/>
    <w:unhideWhenUsed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 w:hanging="48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Heading1Char"/>
    <w:link w:val="FooterCoverPage"/>
    <w:rPr>
      <w:rFonts w:ascii="Times New Roman" w:eastAsia="Times New Roman" w:hAnsi="Times New Roman" w:cs="Times New Roman"/>
      <w:b w:val="0"/>
      <w:smallCaps w:val="0"/>
      <w:sz w:val="24"/>
      <w:szCs w:val="20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 w:hanging="480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Heading1Char"/>
    <w:link w:val="FooterSensitivity"/>
    <w:rPr>
      <w:rFonts w:ascii="Times New Roman" w:eastAsia="Times New Roman" w:hAnsi="Times New Roman" w:cs="Times New Roman"/>
      <w:b/>
      <w:smallCaps w:val="0"/>
      <w:sz w:val="32"/>
      <w:szCs w:val="20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ind w:hanging="480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Heading1Char"/>
    <w:link w:val="HeaderCoverPage"/>
    <w:rPr>
      <w:rFonts w:ascii="Times New Roman" w:eastAsia="Times New Roman" w:hAnsi="Times New Roman" w:cs="Times New Roman"/>
      <w:b w:val="0"/>
      <w:smallCaps w:val="0"/>
      <w:sz w:val="24"/>
      <w:szCs w:val="20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 w:hanging="480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Heading1Char"/>
    <w:link w:val="HeaderSensitivity"/>
    <w:rPr>
      <w:rFonts w:ascii="Times New Roman" w:eastAsia="Times New Roman" w:hAnsi="Times New Roman" w:cs="Times New Roman"/>
      <w:b/>
      <w:smallCaps w:val="0"/>
      <w:sz w:val="3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0138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8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5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_rels/footnotes.xml.rels><?xml version='1.0' encoding='UTF-8' standalone='yes'?>
<Relationships xmlns="http://schemas.openxmlformats.org/package/2006/relationships"><Relationship Id="rId8" Type="http://schemas.openxmlformats.org/officeDocument/2006/relationships/hyperlink" Target="https://ec.europa.eu/food/animals/live_animals/bees/health_en" TargetMode="External"/><Relationship Id="rId13" Type="http://schemas.openxmlformats.org/officeDocument/2006/relationships/hyperlink" Target="http://ec.europa.eu/eurostat/web/sdi/indicators" TargetMode="External"/><Relationship Id="rId18" Type="http://schemas.openxmlformats.org/officeDocument/2006/relationships/hyperlink" Target="http://ec.europa.eu/research/participants/portal/desktop/en/opportunities/h2020/topics/sfs-04-2019-2020.html" TargetMode="External"/><Relationship Id="rId26" Type="http://schemas.openxmlformats.org/officeDocument/2006/relationships/hyperlink" Target="https://ec.europa.eu/eip/agriculture/en/european-innovation-partnership-agricultural" TargetMode="External"/><Relationship Id="rId3" Type="http://schemas.openxmlformats.org/officeDocument/2006/relationships/hyperlink" Target="http://ec.europa.eu/environment/nature/biodiversity/strategy/index_en.htm" TargetMode="External"/><Relationship Id="rId21" Type="http://schemas.openxmlformats.org/officeDocument/2006/relationships/hyperlink" Target="https://www.efsa.europa.eu/en/press/news/180228" TargetMode="External"/><Relationship Id="rId7" Type="http://schemas.openxmlformats.org/officeDocument/2006/relationships/hyperlink" Target="https://ec.europa.eu/agriculture/honey/programmes_en" TargetMode="External"/><Relationship Id="rId12" Type="http://schemas.openxmlformats.org/officeDocument/2006/relationships/hyperlink" Target="https://ec.europa.eu/research/openscience/index.cfm?pg=citizen&amp;section=monitor" TargetMode="External"/><Relationship Id="rId17" Type="http://schemas.openxmlformats.org/officeDocument/2006/relationships/hyperlink" Target="http://ec.europa.eu/research/participants/portal/desktop/en/opportunities/h2020/topics/sfs-16-2017.html" TargetMode="External"/><Relationship Id="rId25" Type="http://schemas.openxmlformats.org/officeDocument/2006/relationships/hyperlink" Target="https://promotepollinators.org/" TargetMode="External"/><Relationship Id="rId2" Type="http://schemas.openxmlformats.org/officeDocument/2006/relationships/hyperlink" Target="https://www.cbd.int/doc/decisions/cop-13/cop-13-dec-15-en.pdf" TargetMode="External"/><Relationship Id="rId16" Type="http://schemas.openxmlformats.org/officeDocument/2006/relationships/hyperlink" Target="http://ec.europa.eu/research/participants/portal/desktop/en/opportunities/h2020/topics/sfs-28-2017.html" TargetMode="External"/><Relationship Id="rId20" Type="http://schemas.openxmlformats.org/officeDocument/2006/relationships/hyperlink" Target="https://www.efsa.europa.eu/en/efsajournal/pub/3295" TargetMode="External"/><Relationship Id="rId29" Type="http://schemas.openxmlformats.org/officeDocument/2006/relationships/hyperlink" Target="http://ec.europa.eu/regional_policy/en/policy/how/improving-investment/taiex-regio-peer-2-peer/" TargetMode="External"/><Relationship Id="rId1" Type="http://schemas.openxmlformats.org/officeDocument/2006/relationships/hyperlink" Target="https://www.cbd.int/" TargetMode="External"/><Relationship Id="rId6" Type="http://schemas.openxmlformats.org/officeDocument/2006/relationships/hyperlink" Target="http://ec.europa.eu/environment/nature/conservation/species/pollinators/index_en.htm" TargetMode="External"/><Relationship Id="rId11" Type="http://schemas.openxmlformats.org/officeDocument/2006/relationships/hyperlink" Target="http://ec.europa.eu/environment/nature/conservation/species/redlist/" TargetMode="External"/><Relationship Id="rId24" Type="http://schemas.openxmlformats.org/officeDocument/2006/relationships/hyperlink" Target="https://www.cbd.int/decision/cop/?id=7147" TargetMode="External"/><Relationship Id="rId5" Type="http://schemas.openxmlformats.org/officeDocument/2006/relationships/hyperlink" Target="http://data.consilium.europa.eu/doc/document/ST-13398-2016-INIT/hu/pdf" TargetMode="External"/><Relationship Id="rId15" Type="http://schemas.openxmlformats.org/officeDocument/2006/relationships/hyperlink" Target="https://ec.europa.eu/jrc/en/publication/ecosystem-services-accounting-part-i-outdoor-recreation-and-crop-pollination" TargetMode="External"/><Relationship Id="rId23" Type="http://schemas.openxmlformats.org/officeDocument/2006/relationships/hyperlink" Target="https://ec.europa.eu/clima/index_hu" TargetMode="External"/><Relationship Id="rId28" Type="http://schemas.openxmlformats.org/officeDocument/2006/relationships/hyperlink" Target="http://ec.europa.eu/environment/eir/p2p/index_en.htm" TargetMode="External"/><Relationship Id="rId10" Type="http://schemas.openxmlformats.org/officeDocument/2006/relationships/hyperlink" Target="http://www.step-project.net/" TargetMode="External"/><Relationship Id="rId19" Type="http://schemas.openxmlformats.org/officeDocument/2006/relationships/hyperlink" Target="http://nwrm.eu/" TargetMode="External"/><Relationship Id="rId4" Type="http://schemas.openxmlformats.org/officeDocument/2006/relationships/hyperlink" Target="http://ec.europa.eu/environment/nature/legislation/fitness_check/action_plan/communication_en.pdf" TargetMode="External"/><Relationship Id="rId9" Type="http://schemas.openxmlformats.org/officeDocument/2006/relationships/hyperlink" Target="http://www.alarmproject.net/" TargetMode="External"/><Relationship Id="rId14" Type="http://schemas.openxmlformats.org/officeDocument/2006/relationships/hyperlink" Target="http://ec.europa.eu/environment/nature/knowledge/ecosystem_assessment/index_en.htm" TargetMode="External"/><Relationship Id="rId22" Type="http://schemas.openxmlformats.org/officeDocument/2006/relationships/hyperlink" Target="https://ec.europa.eu/food/plant/pesticides/approval_active_substances/approval_renewal/neonicotinoids_en" TargetMode="External"/><Relationship Id="rId27" Type="http://schemas.openxmlformats.org/officeDocument/2006/relationships/hyperlink" Target="http://ec.europa.eu/environment/biodiversity/business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Car11</b:Tag>
    <b:SourceType>Misc</b:SourceType>
    <b:Guid>{E2B1F812-647B-4D74-8D95-51965FD0B62C}</b:Guid>
    <b:Title>Natural and within-farmland biodiversity 1 enhances crop</b:Title>
    <b:Year>2011</b:Year>
    <b:Author>
      <b:Author>
        <b:NameList>
          <b:Person>
            <b:Last>Carvalheiro</b:Last>
            <b:First>Luísa Gigante</b:First>
          </b:Person>
          <b:Person>
            <b:Last>Veldtman</b:Last>
            <b:First>Ruan</b:First>
          </b:Person>
          <b:Person>
            <b:Last>Getachew Schenkute</b:Last>
            <b:First>Awraris</b:First>
          </b:Person>
          <b:Person>
            <b:Last>Bezabih Tesfay Gebreamlak</b:Last>
          </b:Person>
          <b:Person>
            <b:Last>Wener Pirk</b:Last>
            <b:First>Christian Walter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9915B2A-DBAF-46C8-93DE-51C09E8A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4049</Words>
  <Characters>29115</Characters>
  <Application>Microsoft Office Word</Application>
  <DocSecurity>0</DocSecurity>
  <Lines>493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18</cp:revision>
  <cp:lastPrinted>2018-04-17T13:11:00Z</cp:lastPrinted>
  <dcterms:created xsi:type="dcterms:W3CDTF">2018-05-29T14:40:00Z</dcterms:created>
  <dcterms:modified xsi:type="dcterms:W3CDTF">2018-06-19T09:19:00Z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name="OP_sanitized" fmtid="{D5CDD505-2E9C-101B-9397-08002B2CF9AE}" pid="6">
    <vt:lpwstr>True</vt:lpwstr>
  </property>
</Properties>
</file>