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4" type="#_x0000_t75" alt="45DC7C41D1ED4B35A0F4D82BDE053909" style="width:450.75pt;height:450pt">
            <v:imagedata r:id="rId12" o:title=""/>
          </v:shape>
        </w:pict>
      </w:r>
    </w:p>
    <w:bookmarkEnd w:id="0"/>
    <w:p>
      <w:pPr>
        <w:pStyle w:val="Pagedecouverture"/>
        <w:rPr>
          <w:noProof/>
        </w:rPr>
        <w:sectPr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06" w:h="16838"/>
          <w:pgMar w:top="1134" w:right="1417" w:bottom="1134" w:left="1417" w:header="709" w:footer="709" w:gutter="0"/>
          <w:pgNumType w:start="1"/>
          <w:cols w:space="720"/>
          <w:docGrid w:linePitch="360"/>
        </w:sectPr>
      </w:pPr>
    </w:p>
    <w:p>
      <w:pPr>
        <w:rPr>
          <w:noProof/>
        </w:rPr>
      </w:pPr>
      <w:bookmarkStart w:id="1" w:name="_GoBack"/>
      <w:bookmarkEnd w:id="1"/>
    </w:p>
    <w:tbl>
      <w:tblPr>
        <w:tblStyle w:val="TableGrid"/>
        <w:tblW w:w="10188" w:type="dxa"/>
        <w:tblLook w:val="01E0" w:firstRow="1" w:lastRow="1" w:firstColumn="1" w:lastColumn="1" w:noHBand="0" w:noVBand="0"/>
      </w:tblPr>
      <w:tblGrid>
        <w:gridCol w:w="10188"/>
      </w:tblGrid>
      <w:tr>
        <w:tc>
          <w:tcPr>
            <w:tcW w:w="10188" w:type="dxa"/>
            <w:tcBorders>
              <w:bottom w:val="single" w:sz="4" w:space="0" w:color="auto"/>
            </w:tcBorders>
            <w:shd w:val="clear" w:color="auto" w:fill="CCCCCC"/>
          </w:tcPr>
          <w:p>
            <w:pPr>
              <w:spacing w:before="60" w:after="60"/>
              <w:jc w:val="center"/>
              <w:rPr>
                <w:rFonts w:ascii="Tahoma" w:hAnsi="Tahoma" w:cs="Tahoma"/>
                <w:b/>
                <w:noProof/>
                <w:sz w:val="22"/>
                <w:szCs w:val="22"/>
              </w:rPr>
            </w:pPr>
            <w:r>
              <w:rPr>
                <w:rFonts w:ascii="Tahoma" w:hAnsi="Tahoma"/>
                <w:b/>
                <w:noProof/>
                <w:sz w:val="22"/>
              </w:rPr>
              <w:t>Vezetői összefoglaló</w:t>
            </w:r>
          </w:p>
        </w:tc>
      </w:tr>
      <w:tr>
        <w:tc>
          <w:tcPr>
            <w:tcW w:w="10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 w:themeFill="accent1"/>
          </w:tcPr>
          <w:p>
            <w:pPr>
              <w:spacing w:before="120" w:after="120"/>
              <w:jc w:val="both"/>
              <w:rPr>
                <w:rFonts w:ascii="Tahoma" w:hAnsi="Tahoma" w:cs="Tahoma"/>
                <w:b/>
                <w:noProof/>
                <w:sz w:val="20"/>
                <w:szCs w:val="20"/>
              </w:rPr>
            </w:pPr>
            <w:r>
              <w:rPr>
                <w:rFonts w:ascii="Tahoma" w:hAnsi="Tahoma"/>
                <w:noProof/>
                <w:color w:val="FFFFFF" w:themeColor="background1"/>
                <w:sz w:val="20"/>
              </w:rPr>
              <w:t>Hatásvizsgálat a 2006/112/EK irányelvnek a hozzáadottértékadó-rendszer egyes szabályainak harmonizálása és egyszerűsítése tekintetében történő módosításáról, valamint a tagállamok közötti kereskedelem adóztatására vonatkozó végleges rendszer bevezetéséről szóló tanácsi irányelvre vonatkozó javaslathoz</w:t>
            </w:r>
          </w:p>
        </w:tc>
      </w:tr>
      <w:tr>
        <w:tc>
          <w:tcPr>
            <w:tcW w:w="10188" w:type="dxa"/>
            <w:tcBorders>
              <w:bottom w:val="single" w:sz="4" w:space="0" w:color="auto"/>
            </w:tcBorders>
            <w:shd w:val="clear" w:color="auto" w:fill="CCCCCC"/>
          </w:tcPr>
          <w:p>
            <w:pPr>
              <w:spacing w:before="60" w:after="60"/>
              <w:jc w:val="center"/>
              <w:rPr>
                <w:rFonts w:ascii="Tahoma" w:hAnsi="Tahoma" w:cs="Tahoma"/>
                <w:b/>
                <w:noProof/>
                <w:sz w:val="22"/>
                <w:szCs w:val="22"/>
              </w:rPr>
            </w:pPr>
            <w:r>
              <w:rPr>
                <w:rFonts w:ascii="Tahoma" w:hAnsi="Tahoma"/>
                <w:b/>
                <w:noProof/>
                <w:sz w:val="22"/>
              </w:rPr>
              <w:t>A. A fellépés szükségessége</w:t>
            </w:r>
          </w:p>
        </w:tc>
      </w:tr>
      <w:tr>
        <w:tc>
          <w:tcPr>
            <w:tcW w:w="10188" w:type="dxa"/>
            <w:tcBorders>
              <w:bottom w:val="single" w:sz="4" w:space="0" w:color="auto"/>
            </w:tcBorders>
            <w:shd w:val="clear" w:color="auto" w:fill="E0E0E0"/>
          </w:tcPr>
          <w:p>
            <w:pPr>
              <w:spacing w:before="60" w:after="60"/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/>
                <w:b/>
                <w:noProof/>
                <w:sz w:val="20"/>
              </w:rPr>
              <w:t xml:space="preserve">Miért van szükség fellépésre? Milyen problémát kell megoldani? </w:t>
            </w:r>
          </w:p>
        </w:tc>
      </w:tr>
      <w:tr>
        <w:tc>
          <w:tcPr>
            <w:tcW w:w="10188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A</w:t>
            </w:r>
            <w:r>
              <w:rPr>
                <w:noProof/>
              </w:rPr>
              <w:t xml:space="preserve"> </w:t>
            </w:r>
            <w:hyperlink r:id="rId19">
              <w:r>
                <w:rPr>
                  <w:rFonts w:ascii="Arial" w:hAnsi="Arial"/>
                  <w:noProof/>
                  <w:color w:val="0000FF"/>
                  <w:sz w:val="20"/>
                  <w:u w:val="single"/>
                </w:rPr>
                <w:t>héairányelvben</w:t>
              </w:r>
            </w:hyperlink>
            <w:r>
              <w:rPr>
                <w:rFonts w:ascii="Arial" w:hAnsi="Arial"/>
                <w:noProof/>
                <w:sz w:val="20"/>
              </w:rPr>
              <w:t xml:space="preserve"> az Unión belüli, vállalkozások közötti áruügyletekre vonatkozóan megállapított átmeneti héaszabályozás i. megközelítőleg 50 milliárd eurós bevételkiesést okoz a tagállamok számára a csalárd kereskedők által a Közösségen belül elkövetett csalásokból kifolyólag, amelyek ennek a termékek határokon átnyúló héamentes vásárlását lehetővé tevő rendszernek a jellegéből fakadó gyengeségére vezethetők vissza; ii. túlzottan bonyolult, ami – a határokon átnyúló tevékenységet folytató kereskedőkre háruló további kötelezettségek és a héaszabályok tagállamonként eltérő alkalmazása miatt – a kizárólag belföldi kereskedelemmel foglalkozó vállalkozások költségeihez képest (11%-kal) magasabb költségeket eredményez a határokon átnyúló kereskedelmet folytató vállalkozások esetében. Uniós szintű fellépés hiányában továbbra is csak szétforgácsolódott és korlátozott eredményességű megoldások születhetnek. </w:t>
            </w:r>
          </w:p>
        </w:tc>
      </w:tr>
      <w:tr>
        <w:tc>
          <w:tcPr>
            <w:tcW w:w="10188" w:type="dxa"/>
            <w:tcBorders>
              <w:bottom w:val="single" w:sz="4" w:space="0" w:color="auto"/>
            </w:tcBorders>
            <w:shd w:val="clear" w:color="auto" w:fill="E6E6E6"/>
          </w:tcPr>
          <w:p>
            <w:pPr>
              <w:spacing w:before="60" w:after="60"/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/>
                <w:b/>
                <w:noProof/>
                <w:sz w:val="20"/>
              </w:rPr>
              <w:t>Mi a kezdeményezés várható eredménye?</w:t>
            </w:r>
          </w:p>
        </w:tc>
      </w:tr>
      <w:tr>
        <w:tc>
          <w:tcPr>
            <w:tcW w:w="10188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Az Unión belüli kereskedelemre vonatkozó végleges héaszabályozás célja az, hogy az uniós héarendszert a jellegéből fakadó gyengeségének kiküszöbölése révén szilárdabbá, bonyolultságának mérséklése révén pedig egyszerűbbé tegye, és egyenlő versenyfeltételeket biztosítson a vállalkozások számára, függetlenül attól, hogy belföldi vagy határokon átnyúló ügyletekben vesznek-e részt.</w:t>
            </w:r>
          </w:p>
        </w:tc>
      </w:tr>
      <w:tr>
        <w:tc>
          <w:tcPr>
            <w:tcW w:w="10188" w:type="dxa"/>
            <w:tcBorders>
              <w:bottom w:val="single" w:sz="4" w:space="0" w:color="auto"/>
            </w:tcBorders>
            <w:shd w:val="clear" w:color="auto" w:fill="E6E6E6"/>
          </w:tcPr>
          <w:p>
            <w:pPr>
              <w:spacing w:before="60" w:after="60"/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/>
                <w:b/>
                <w:noProof/>
                <w:sz w:val="20"/>
              </w:rPr>
              <w:t>Milyen többletértéket képvisel az uniós szintű fellépés?</w:t>
            </w:r>
          </w:p>
        </w:tc>
      </w:tr>
      <w:tr>
        <w:tc>
          <w:tcPr>
            <w:tcW w:w="10188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Az átmeneti héaszabályozás elérte lehetőségeinek határát, ezért megváltoztatása céljából szükség van a héairányelv módosítására.</w:t>
            </w:r>
          </w:p>
        </w:tc>
      </w:tr>
    </w:tbl>
    <w:p>
      <w:pPr>
        <w:rPr>
          <w:noProof/>
        </w:rPr>
      </w:pPr>
    </w:p>
    <w:tbl>
      <w:tblPr>
        <w:tblStyle w:val="TableGrid"/>
        <w:tblW w:w="10188" w:type="dxa"/>
        <w:tblLook w:val="01E0" w:firstRow="1" w:lastRow="1" w:firstColumn="1" w:lastColumn="1" w:noHBand="0" w:noVBand="0"/>
      </w:tblPr>
      <w:tblGrid>
        <w:gridCol w:w="10188"/>
      </w:tblGrid>
      <w:tr>
        <w:tc>
          <w:tcPr>
            <w:tcW w:w="10188" w:type="dxa"/>
            <w:tcBorders>
              <w:bottom w:val="single" w:sz="4" w:space="0" w:color="auto"/>
            </w:tcBorders>
            <w:shd w:val="clear" w:color="auto" w:fill="CCCCCC"/>
          </w:tcPr>
          <w:p>
            <w:pPr>
              <w:spacing w:before="60" w:after="60"/>
              <w:jc w:val="center"/>
              <w:rPr>
                <w:rFonts w:ascii="Tahoma" w:hAnsi="Tahoma" w:cs="Tahoma"/>
                <w:b/>
                <w:noProof/>
                <w:sz w:val="22"/>
                <w:szCs w:val="22"/>
              </w:rPr>
            </w:pPr>
            <w:r>
              <w:rPr>
                <w:rFonts w:ascii="Tahoma" w:hAnsi="Tahoma"/>
                <w:b/>
                <w:noProof/>
                <w:sz w:val="22"/>
              </w:rPr>
              <w:t>B. Megoldások</w:t>
            </w:r>
          </w:p>
        </w:tc>
      </w:tr>
      <w:tr>
        <w:tc>
          <w:tcPr>
            <w:tcW w:w="10188" w:type="dxa"/>
            <w:tcBorders>
              <w:bottom w:val="single" w:sz="4" w:space="0" w:color="auto"/>
            </w:tcBorders>
            <w:shd w:val="clear" w:color="auto" w:fill="E6E6E6"/>
          </w:tcPr>
          <w:p>
            <w:pPr>
              <w:spacing w:before="60"/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/>
                <w:b/>
                <w:noProof/>
                <w:sz w:val="20"/>
              </w:rPr>
              <w:t>Milyen jogalkotási és nem jogalkotási szakpolitikai alternatívák merültek fel? Van-e előnyben részesített megoldás? Miért?</w:t>
            </w:r>
          </w:p>
        </w:tc>
      </w:tr>
      <w:tr>
        <w:tc>
          <w:tcPr>
            <w:tcW w:w="10188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1. alternatíva: a vevők továbbra is héamentesen végezhetnek határokon átnyúló termékbeszerzést, de egyes ügyletek esetében változások lépnek életbe (héaazonosító szám és egyszerűsítések a minősített adóalanyok számára</w:t>
            </w:r>
            <w:r>
              <w:rPr>
                <w:rStyle w:val="FootnoteReference"/>
                <w:rFonts w:ascii="Arial" w:hAnsi="Arial"/>
                <w:noProof/>
                <w:sz w:val="20"/>
              </w:rPr>
              <w:footnoteReference w:id="2"/>
            </w:r>
            <w:r>
              <w:rPr>
                <w:rFonts w:ascii="Arial" w:hAnsi="Arial"/>
                <w:noProof/>
                <w:sz w:val="20"/>
              </w:rPr>
              <w:t>);</w:t>
            </w:r>
          </w:p>
          <w:p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2. alternatíva: az eladók a termékek érkezési helye szerinti tagállamban számolják el a héát (kivéve a minősített adóalanyok esetében). A vállalkozások egy egyablakos ügyintézési rendszer segítségével saját tagállamukban befizethetik a valamely másik tagállamban kivetett héát;</w:t>
            </w:r>
          </w:p>
          <w:p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3. alternatíva: a jelenlegi rendszert lényegében nem változtató technikai módosítás (elvetve);</w:t>
            </w:r>
          </w:p>
          <w:p>
            <w:pPr>
              <w:pStyle w:val="ListParagraph"/>
              <w:numPr>
                <w:ilvl w:val="0"/>
                <w:numId w:val="13"/>
              </w:numPr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4. alternatíva: a szolgáltatásokra vonatkozó szabályokkal történő összehangolás;</w:t>
            </w:r>
          </w:p>
          <w:p>
            <w:pPr>
              <w:pStyle w:val="ListParagraph"/>
              <w:numPr>
                <w:ilvl w:val="0"/>
                <w:numId w:val="13"/>
              </w:numPr>
              <w:spacing w:after="120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5. alternatíva: hasonló a 2. alternatívához, de az adóztatásra a vevő letelepedési helye szerinti tagállamban kerül sor.</w:t>
            </w:r>
          </w:p>
          <w:p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Az előnyben részesített megoldás a 2. alternatíva (a csalás és a bonyolultság problémájának kezelése), az erre az alternatívára való zökkenőmentes áttérést lehetővé tévő 1. alternatívával kombinálva.</w:t>
            </w:r>
          </w:p>
        </w:tc>
      </w:tr>
      <w:tr>
        <w:tc>
          <w:tcPr>
            <w:tcW w:w="10188" w:type="dxa"/>
            <w:shd w:val="clear" w:color="auto" w:fill="CCCCCC"/>
          </w:tcPr>
          <w:p>
            <w:pPr>
              <w:spacing w:before="60"/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/>
                <w:b/>
                <w:noProof/>
                <w:sz w:val="20"/>
              </w:rPr>
              <w:t>Ki melyik alternatívát támogatja?</w:t>
            </w:r>
          </w:p>
        </w:tc>
      </w:tr>
      <w:tr>
        <w:tc>
          <w:tcPr>
            <w:tcW w:w="10188" w:type="dxa"/>
            <w:shd w:val="clear" w:color="auto" w:fill="auto"/>
          </w:tcPr>
          <w:p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A tagállamok és a vállalkozások az 1. alternatívát támogatják. Ezenkívül a tagállamok támogathatónak találják a 2., a vállalkozások pedig a 4. és az 5. alternatívát is.</w:t>
            </w:r>
          </w:p>
          <w:p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>
        <w:tc>
          <w:tcPr>
            <w:tcW w:w="10188" w:type="dxa"/>
            <w:tcBorders>
              <w:bottom w:val="single" w:sz="4" w:space="0" w:color="auto"/>
            </w:tcBorders>
            <w:shd w:val="clear" w:color="auto" w:fill="CCCCCC"/>
          </w:tcPr>
          <w:p>
            <w:pPr>
              <w:spacing w:before="60" w:after="60"/>
              <w:jc w:val="center"/>
              <w:rPr>
                <w:rFonts w:ascii="Tahoma" w:hAnsi="Tahoma" w:cs="Tahoma"/>
                <w:b/>
                <w:noProof/>
                <w:sz w:val="22"/>
                <w:szCs w:val="22"/>
              </w:rPr>
            </w:pPr>
            <w:r>
              <w:rPr>
                <w:rFonts w:ascii="Tahoma" w:hAnsi="Tahoma"/>
                <w:b/>
                <w:noProof/>
                <w:sz w:val="22"/>
              </w:rPr>
              <w:t>C. Az előnyben részesített alternatíva hatásai</w:t>
            </w:r>
          </w:p>
        </w:tc>
      </w:tr>
      <w:tr>
        <w:tc>
          <w:tcPr>
            <w:tcW w:w="10188" w:type="dxa"/>
            <w:tcBorders>
              <w:bottom w:val="single" w:sz="4" w:space="0" w:color="auto"/>
            </w:tcBorders>
            <w:shd w:val="clear" w:color="auto" w:fill="E6E6E6"/>
          </w:tcPr>
          <w:p>
            <w:pPr>
              <w:spacing w:before="60" w:after="60"/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/>
                <w:b/>
                <w:noProof/>
                <w:sz w:val="20"/>
              </w:rPr>
              <w:t>Melyek az előnyben részesített alternatíva (ha nincs ilyen, akkor a főbb lehetőségek) előnyei?</w:t>
            </w:r>
            <w:r>
              <w:rPr>
                <w:rFonts w:ascii="Tahoma" w:hAnsi="Tahoma"/>
                <w:noProof/>
                <w:sz w:val="20"/>
              </w:rPr>
              <w:t xml:space="preserve">                                 </w:t>
            </w:r>
          </w:p>
        </w:tc>
      </w:tr>
      <w:tr>
        <w:tc>
          <w:tcPr>
            <w:tcW w:w="10188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2. alternatíva: Tagállamok: a csalárd vállalkozások által a Közösségen belül elkövetett csalások miatti bevételkiesés 41 milliárd euróval csökkenne.</w:t>
            </w:r>
          </w:p>
          <w:p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Vállalkozások: csökkennének a megfelelési költségek (1 milliárd EUR).</w:t>
            </w:r>
          </w:p>
          <w:p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Belső piac: a belföldi és a határokon átnyúló termékértékesítés egyenlő bánásmódban részesülne, és az uniós GDP nettó 18,5 milliárd euróval nő egy hároméves időszak alatt.</w:t>
            </w:r>
          </w:p>
          <w:p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Az 1. alternatíva csökkenti a vállalkozásokra háruló megfelelési költségeket (évente 0,5 milliárd EUR).</w:t>
            </w:r>
          </w:p>
          <w:p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A környezeti és a társadalmi hatások nem jelentősek.</w:t>
            </w:r>
          </w:p>
          <w:p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</w:tbl>
    <w:p>
      <w:pPr>
        <w:widowControl w:val="0"/>
        <w:rPr>
          <w:noProof/>
        </w:rPr>
      </w:pPr>
    </w:p>
    <w:tbl>
      <w:tblPr>
        <w:tblStyle w:val="TableGrid"/>
        <w:tblW w:w="10188" w:type="dxa"/>
        <w:tblLook w:val="01E0" w:firstRow="1" w:lastRow="1" w:firstColumn="1" w:lastColumn="1" w:noHBand="0" w:noVBand="0"/>
      </w:tblPr>
      <w:tblGrid>
        <w:gridCol w:w="10188"/>
      </w:tblGrid>
      <w:tr>
        <w:tc>
          <w:tcPr>
            <w:tcW w:w="10188" w:type="dxa"/>
            <w:tcBorders>
              <w:bottom w:val="single" w:sz="4" w:space="0" w:color="auto"/>
            </w:tcBorders>
            <w:shd w:val="clear" w:color="auto" w:fill="E6E6E6"/>
          </w:tcPr>
          <w:p>
            <w:pPr>
              <w:spacing w:before="60" w:after="60"/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/>
                <w:b/>
                <w:noProof/>
                <w:sz w:val="20"/>
              </w:rPr>
              <w:t>Milyen költségekkel jár az előnyben részesített alternatíva (ha nincs ilyen, akkor milyen költségekkel járnak a főbb lehetőségek)?</w:t>
            </w:r>
            <w:r>
              <w:rPr>
                <w:rFonts w:ascii="Tahoma" w:hAnsi="Tahoma"/>
                <w:noProof/>
                <w:sz w:val="20"/>
              </w:rPr>
              <w:t xml:space="preserve">                                 </w:t>
            </w:r>
          </w:p>
        </w:tc>
      </w:tr>
      <w:tr>
        <w:tc>
          <w:tcPr>
            <w:tcW w:w="10188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both"/>
              <w:rPr>
                <w:rFonts w:ascii="Arial" w:hAnsi="Arial" w:cs="Arial"/>
                <w:noProof/>
                <w:sz w:val="20"/>
                <w:szCs w:val="20"/>
                <w:u w:val="single"/>
              </w:rPr>
            </w:pPr>
          </w:p>
          <w:p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2. alternatíva: Tagállamok: a tagállamok igazgatási költségei a végrehajtás első évében 385 millió EUR-val, az azt követő években pedig 311 millió EUR-val nőnek.</w:t>
            </w:r>
          </w:p>
          <w:p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Vállalkozások: Egyes kkv-k esetében a megfelelési költségek évi 6%-kal nőhetnek.</w:t>
            </w:r>
          </w:p>
          <w:p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Az 1. alternatíva 35 millió EUR-val megnöveli a tagállamok igazgatási költségeit, ugyanakkor nem biztosítja a belföldi és a határokon átnyúló termékértékesítésekkel szembeni egyenlő bánásmódot.</w:t>
            </w:r>
          </w:p>
          <w:p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A környezeti és a társadalmi hatások nem jelentősek.</w:t>
            </w:r>
          </w:p>
          <w:p>
            <w:pPr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</w:p>
        </w:tc>
      </w:tr>
      <w:tr>
        <w:tc>
          <w:tcPr>
            <w:tcW w:w="10188" w:type="dxa"/>
            <w:tcBorders>
              <w:bottom w:val="single" w:sz="4" w:space="0" w:color="auto"/>
            </w:tcBorders>
            <w:shd w:val="clear" w:color="auto" w:fill="E6E6E6"/>
          </w:tcPr>
          <w:p>
            <w:pPr>
              <w:spacing w:before="60" w:after="60"/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/>
                <w:b/>
                <w:noProof/>
                <w:sz w:val="20"/>
              </w:rPr>
              <w:t xml:space="preserve">Hogyan érinti a fellépés a vállalkozásokat, köztük a kis- és középvállalkozásokat és a mikrovállalkozásokat? </w:t>
            </w:r>
          </w:p>
        </w:tc>
      </w:tr>
      <w:tr>
        <w:tc>
          <w:tcPr>
            <w:tcW w:w="10188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ListParagraph"/>
              <w:ind w:left="0"/>
              <w:jc w:val="both"/>
              <w:rPr>
                <w:rFonts w:ascii="Arial" w:hAnsi="Arial" w:cs="Arial"/>
                <w:i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A kezdeményezés nem irányoz elő preferenciális elbánást a kkv-k számára. A problémákat valamennyi vállalkozás érdekeire tekintettel kezeli. A mikrovállalkozások továbbra is élvezni fogják a héamentességi rendszer előnyeit, és a javukat fogják szolgálni a kkv-szabályozás egyszerűsítésére irányuló, előkészület alatt álló csomag</w:t>
            </w:r>
            <w:r>
              <w:rPr>
                <w:rStyle w:val="FootnoteReference"/>
                <w:rFonts w:ascii="Arial" w:hAnsi="Arial"/>
                <w:noProof/>
                <w:sz w:val="20"/>
              </w:rPr>
              <w:footnoteReference w:id="3"/>
            </w:r>
            <w:r>
              <w:rPr>
                <w:rFonts w:ascii="Arial" w:hAnsi="Arial"/>
                <w:noProof/>
                <w:sz w:val="20"/>
              </w:rPr>
              <w:t xml:space="preserve"> kifejezetten rájuk vonatkozó egyszerűsítési intézkedései is.</w:t>
            </w:r>
          </w:p>
        </w:tc>
      </w:tr>
      <w:tr>
        <w:tc>
          <w:tcPr>
            <w:tcW w:w="10188" w:type="dxa"/>
            <w:tcBorders>
              <w:bottom w:val="single" w:sz="4" w:space="0" w:color="auto"/>
            </w:tcBorders>
            <w:shd w:val="clear" w:color="auto" w:fill="E6E6E6"/>
          </w:tcPr>
          <w:p>
            <w:pPr>
              <w:spacing w:before="60"/>
              <w:jc w:val="both"/>
              <w:rPr>
                <w:rFonts w:ascii="Tahoma" w:hAnsi="Tahoma" w:cs="Tahoma"/>
                <w:b/>
                <w:i/>
                <w:noProof/>
                <w:sz w:val="20"/>
                <w:szCs w:val="20"/>
              </w:rPr>
            </w:pPr>
            <w:r>
              <w:rPr>
                <w:rFonts w:ascii="Tahoma" w:hAnsi="Tahoma"/>
                <w:b/>
                <w:noProof/>
                <w:sz w:val="20"/>
              </w:rPr>
              <w:t>Jelentős lesz-e a tagállamok költségvetésére és közigazgatására</w:t>
            </w:r>
            <w:r>
              <w:rPr>
                <w:rFonts w:ascii="Tahoma" w:hAnsi="Tahoma"/>
                <w:noProof/>
                <w:sz w:val="20"/>
              </w:rPr>
              <w:t xml:space="preserve"> </w:t>
            </w:r>
            <w:r>
              <w:rPr>
                <w:rFonts w:ascii="Tahoma" w:hAnsi="Tahoma"/>
                <w:b/>
                <w:noProof/>
                <w:sz w:val="20"/>
              </w:rPr>
              <w:t>gyakorolt hatás?</w:t>
            </w:r>
          </w:p>
        </w:tc>
      </w:tr>
      <w:tr>
        <w:tc>
          <w:tcPr>
            <w:tcW w:w="10188" w:type="dxa"/>
            <w:shd w:val="clear" w:color="auto" w:fill="auto"/>
          </w:tcPr>
          <w:p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  <w:p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Uniós szinten mintegy nettó 43 milliárd EUR összegű haszonra lehet számítani a csalárd kereskedők által a Közösségen belül elkövetett csalások csökkenéséből és a pénzforgalmi műveletekre gyakorolt hatásból kifolyólag, amely összeg nemcsak hogy ellensúlyozza, de meg is haladja az igazgatási költségek növekedésének összegét.</w:t>
            </w:r>
          </w:p>
          <w:p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>
        <w:tc>
          <w:tcPr>
            <w:tcW w:w="10188" w:type="dxa"/>
            <w:tcBorders>
              <w:bottom w:val="single" w:sz="4" w:space="0" w:color="auto"/>
            </w:tcBorders>
            <w:shd w:val="clear" w:color="auto" w:fill="E6E6E6"/>
          </w:tcPr>
          <w:p>
            <w:pPr>
              <w:spacing w:before="60"/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/>
                <w:b/>
                <w:noProof/>
                <w:sz w:val="20"/>
              </w:rPr>
              <w:t>Lesznek-e egyéb jelentős hatások?</w:t>
            </w:r>
            <w:r>
              <w:rPr>
                <w:rFonts w:ascii="Tahoma" w:hAnsi="Tahoma"/>
                <w:noProof/>
                <w:sz w:val="20"/>
              </w:rPr>
              <w:t xml:space="preserve"> </w:t>
            </w:r>
          </w:p>
        </w:tc>
      </w:tr>
      <w:tr>
        <w:tc>
          <w:tcPr>
            <w:tcW w:w="10188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Az új rendszerre történő átálláshoz a tagállamoknak és a vállalkozásoknak alkalmazkodniuk kell az új szabályokhoz (végrehajtás + ellenőrzés).</w:t>
            </w:r>
          </w:p>
          <w:p>
            <w:pPr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</w:tr>
      <w:tr>
        <w:tc>
          <w:tcPr>
            <w:tcW w:w="10188" w:type="dxa"/>
            <w:tcBorders>
              <w:bottom w:val="single" w:sz="4" w:space="0" w:color="auto"/>
            </w:tcBorders>
            <w:shd w:val="clear" w:color="auto" w:fill="C0C0C0"/>
          </w:tcPr>
          <w:p>
            <w:pPr>
              <w:spacing w:before="60" w:after="60"/>
              <w:jc w:val="center"/>
              <w:rPr>
                <w:rFonts w:ascii="Tahoma" w:hAnsi="Tahoma" w:cs="Tahoma"/>
                <w:b/>
                <w:noProof/>
                <w:sz w:val="22"/>
                <w:szCs w:val="22"/>
              </w:rPr>
            </w:pPr>
            <w:r>
              <w:rPr>
                <w:rFonts w:ascii="Tahoma" w:hAnsi="Tahoma"/>
                <w:b/>
                <w:noProof/>
                <w:sz w:val="22"/>
              </w:rPr>
              <w:t>D. További lépések</w:t>
            </w:r>
          </w:p>
        </w:tc>
      </w:tr>
      <w:tr>
        <w:tc>
          <w:tcPr>
            <w:tcW w:w="10188" w:type="dxa"/>
            <w:tcBorders>
              <w:bottom w:val="single" w:sz="4" w:space="0" w:color="auto"/>
            </w:tcBorders>
            <w:shd w:val="clear" w:color="auto" w:fill="E6E6E6"/>
          </w:tcPr>
          <w:p>
            <w:pPr>
              <w:spacing w:before="60"/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Tahoma" w:hAnsi="Tahoma"/>
                <w:b/>
                <w:noProof/>
                <w:sz w:val="20"/>
              </w:rPr>
              <w:t>Mikor kerül sor a szakpolitikai fellépés felülvizsgálatára?</w:t>
            </w:r>
          </w:p>
        </w:tc>
      </w:tr>
      <w:tr>
        <w:tc>
          <w:tcPr>
            <w:tcW w:w="10188" w:type="dxa"/>
            <w:tcBorders>
              <w:bottom w:val="single" w:sz="4" w:space="0" w:color="auto"/>
            </w:tcBorders>
            <w:shd w:val="clear" w:color="auto" w:fill="auto"/>
          </w:tcPr>
          <w:p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</w:p>
          <w:p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Fokozatos bevezetés:</w:t>
            </w:r>
          </w:p>
          <w:p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Első irányelv (2017. szeptember):  az 1. alternatíva megvalósítása („gyors megoldások” a minősített adóalany státusz révén) és a 2. alternatíva alapvető elemeinek bevezetése.</w:t>
            </w:r>
          </w:p>
          <w:p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Második irányelv (2018):  a 2. alternatíva teljes körű megvalósítása.</w:t>
            </w:r>
          </w:p>
          <w:p>
            <w:pPr>
              <w:pStyle w:val="ListParagraph"/>
              <w:ind w:left="0"/>
              <w:jc w:val="both"/>
              <w:rPr>
                <w:rFonts w:ascii="Arial" w:eastAsia="Times New Roman" w:hAnsi="Arial" w:cs="Arial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Nyomon követés (a minősített adóalanyok száma, a végrehajtással összefüggő kérdések stb. terén) a héabizottság, a héa jövőjével foglalkozó csoport és a héával foglalkozó szakértői csoport segítségével.</w:t>
            </w:r>
          </w:p>
          <w:p>
            <w:pPr>
              <w:pStyle w:val="ListParagraph"/>
              <w:ind w:left="0"/>
              <w:jc w:val="both"/>
              <w:rPr>
                <w:rFonts w:ascii="Tahoma" w:hAnsi="Tahoma" w:cs="Tahoma"/>
                <w:noProof/>
                <w:sz w:val="20"/>
                <w:szCs w:val="20"/>
              </w:rPr>
            </w:pPr>
            <w:r>
              <w:rPr>
                <w:rFonts w:ascii="Arial" w:hAnsi="Arial"/>
                <w:noProof/>
                <w:sz w:val="20"/>
              </w:rPr>
              <w:t>Értékelés: öt évvel a második irányelv hatálybalépését követően.</w:t>
            </w:r>
          </w:p>
        </w:tc>
      </w:tr>
    </w:tbl>
    <w:p>
      <w:pPr>
        <w:rPr>
          <w:noProof/>
        </w:rPr>
      </w:pPr>
    </w:p>
    <w:sectPr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851" w:right="1134" w:bottom="851" w:left="1134" w:header="709" w:footer="709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  <w:endnote w:type="continuationNotice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HU</w:t>
    </w:r>
    <w:r>
      <w:rPr>
        <w:rFonts w:ascii="Arial" w:hAnsi="Arial" w:cs="Arial"/>
        <w:b/>
        <w:sz w:val="48"/>
      </w:rPr>
      <w:tab/>
    </w:r>
    <w:r>
      <w:rPr>
        <w:rFonts w:ascii="Arial" w:hAnsi="Arial" w:cs="Arial"/>
        <w:b/>
        <w:sz w:val="48"/>
      </w:rPr>
      <w:tab/>
    </w:r>
    <w:r>
      <w:fldChar w:fldCharType="begin"/>
    </w:r>
    <w:r>
      <w:instrText xml:space="preserve"> DOCVARIABLE "LW_Confidence" \* MERGEFORMAT </w:instrText>
    </w:r>
    <w:r>
      <w:fldChar w:fldCharType="separate"/>
    </w:r>
    <w:r>
      <w:t xml:space="preserve"> </w:t>
    </w:r>
    <w:r>
      <w:fldChar w:fldCharType="end"/>
    </w:r>
    <w:r>
      <w:tab/>
    </w:r>
    <w:r>
      <w:rPr>
        <w:rFonts w:ascii="Arial" w:hAnsi="Arial" w:cs="Arial"/>
        <w:b/>
        <w:sz w:val="48"/>
      </w:rPr>
      <w:t>HU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CoverPage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1775996"/>
      <w:docPartObj>
        <w:docPartGallery w:val="Page Numbers (Bottom of Page)"/>
        <w:docPartUnique/>
      </w:docPartObj>
    </w:sdtPr>
    <w:sdtEndPr>
      <w:rPr>
        <w:noProof/>
      </w:rPr>
    </w:sdtEndPr>
    <w:sdtContent>
      <w:p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  <w:footnote w:type="continuationNotice" w:id="1">
    <w:p/>
  </w:footnote>
  <w:footnote w:id="2">
    <w:p>
      <w:pPr>
        <w:pStyle w:val="FootnoteText"/>
      </w:pPr>
      <w:r>
        <w:rPr>
          <w:rStyle w:val="FootnoteReference"/>
        </w:rPr>
        <w:footnoteRef/>
      </w:r>
      <w:r>
        <w:t xml:space="preserve"> A minősített adóalany (MAA) az adóhatóságok által „megbízhatóként” elismert vállalkozás. </w:t>
      </w:r>
    </w:p>
  </w:footnote>
  <w:footnote w:id="3">
    <w:p>
      <w:pPr>
        <w:pStyle w:val="FootnoteText"/>
      </w:pPr>
      <w:r>
        <w:rPr>
          <w:rStyle w:val="FootnoteReference"/>
        </w:rPr>
        <w:footnoteRef/>
      </w:r>
      <w:r>
        <w:t xml:space="preserve"> A Bizottság cselekvési terve (</w:t>
      </w:r>
      <w:hyperlink r:id="rId1">
        <w:r>
          <w:rPr>
            <w:rStyle w:val="Hyperlink"/>
          </w:rPr>
          <w:t>COM(2016) 148 final</w:t>
        </w:r>
      </w:hyperlink>
      <w:r>
        <w:t>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CoverPage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5884"/>
    <w:multiLevelType w:val="hybridMultilevel"/>
    <w:tmpl w:val="24F40AC6"/>
    <w:lvl w:ilvl="0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1" w:tplc="1E18E6C8">
      <w:start w:val="1"/>
      <w:numFmt w:val="bullet"/>
      <w:lvlText w:val="-"/>
      <w:lvlJc w:val="center"/>
      <w:pPr>
        <w:ind w:left="3240" w:hanging="360"/>
      </w:pPr>
      <w:rPr>
        <w:rFonts w:ascii="Calibri" w:hAnsi="Calibri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>
    <w:nsid w:val="04C350F9"/>
    <w:multiLevelType w:val="hybridMultilevel"/>
    <w:tmpl w:val="37DA3042"/>
    <w:lvl w:ilvl="0" w:tplc="8988A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A518CF"/>
    <w:multiLevelType w:val="hybridMultilevel"/>
    <w:tmpl w:val="E9A2B430"/>
    <w:lvl w:ilvl="0" w:tplc="1E18E6C8">
      <w:start w:val="1"/>
      <w:numFmt w:val="bullet"/>
      <w:lvlText w:val="-"/>
      <w:lvlJc w:val="center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271B59"/>
    <w:multiLevelType w:val="hybridMultilevel"/>
    <w:tmpl w:val="BE3223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6D5507"/>
    <w:multiLevelType w:val="hybridMultilevel"/>
    <w:tmpl w:val="159EC320"/>
    <w:lvl w:ilvl="0" w:tplc="3E861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sv-S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AD1A8E"/>
    <w:multiLevelType w:val="hybridMultilevel"/>
    <w:tmpl w:val="E0BE6C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DC00AC"/>
    <w:multiLevelType w:val="hybridMultilevel"/>
    <w:tmpl w:val="CC289BEE"/>
    <w:lvl w:ilvl="0" w:tplc="1E18E6C8">
      <w:start w:val="1"/>
      <w:numFmt w:val="bullet"/>
      <w:lvlText w:val="-"/>
      <w:lvlJc w:val="center"/>
      <w:pPr>
        <w:ind w:left="36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46445378"/>
    <w:multiLevelType w:val="hybridMultilevel"/>
    <w:tmpl w:val="F96EA7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9602A27"/>
    <w:multiLevelType w:val="hybridMultilevel"/>
    <w:tmpl w:val="A17812CC"/>
    <w:lvl w:ilvl="0" w:tplc="1E18E6C8">
      <w:start w:val="1"/>
      <w:numFmt w:val="bullet"/>
      <w:lvlText w:val="-"/>
      <w:lvlJc w:val="center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DB3DDE"/>
    <w:multiLevelType w:val="hybridMultilevel"/>
    <w:tmpl w:val="7972913A"/>
    <w:lvl w:ilvl="0" w:tplc="1E18E6C8">
      <w:start w:val="1"/>
      <w:numFmt w:val="bullet"/>
      <w:lvlText w:val="-"/>
      <w:lvlJc w:val="center"/>
      <w:pPr>
        <w:ind w:left="36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614C5961"/>
    <w:multiLevelType w:val="hybridMultilevel"/>
    <w:tmpl w:val="7F0C8B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62732DAC"/>
    <w:multiLevelType w:val="hybridMultilevel"/>
    <w:tmpl w:val="37DA3042"/>
    <w:lvl w:ilvl="0" w:tplc="8988A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C85614"/>
    <w:multiLevelType w:val="hybridMultilevel"/>
    <w:tmpl w:val="EE1C5694"/>
    <w:lvl w:ilvl="0" w:tplc="1E18E6C8">
      <w:start w:val="1"/>
      <w:numFmt w:val="bullet"/>
      <w:lvlText w:val="-"/>
      <w:lvlJc w:val="center"/>
      <w:pPr>
        <w:ind w:left="144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632007D9"/>
    <w:multiLevelType w:val="hybridMultilevel"/>
    <w:tmpl w:val="651A267C"/>
    <w:lvl w:ilvl="0" w:tplc="1E18E6C8">
      <w:start w:val="1"/>
      <w:numFmt w:val="bullet"/>
      <w:lvlText w:val="-"/>
      <w:lvlJc w:val="center"/>
      <w:pPr>
        <w:ind w:left="72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66E4908"/>
    <w:multiLevelType w:val="hybridMultilevel"/>
    <w:tmpl w:val="37DA3042"/>
    <w:lvl w:ilvl="0" w:tplc="8988A7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C7058D5"/>
    <w:multiLevelType w:val="hybridMultilevel"/>
    <w:tmpl w:val="7E66AF3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8903B6"/>
    <w:multiLevelType w:val="hybridMultilevel"/>
    <w:tmpl w:val="07DA8D1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311CB6"/>
    <w:multiLevelType w:val="hybridMultilevel"/>
    <w:tmpl w:val="3EB2BD9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6"/>
  </w:num>
  <w:num w:numId="3">
    <w:abstractNumId w:val="7"/>
  </w:num>
  <w:num w:numId="4">
    <w:abstractNumId w:val="4"/>
  </w:num>
  <w:num w:numId="5">
    <w:abstractNumId w:val="5"/>
  </w:num>
  <w:num w:numId="6">
    <w:abstractNumId w:val="0"/>
  </w:num>
  <w:num w:numId="7">
    <w:abstractNumId w:val="12"/>
  </w:num>
  <w:num w:numId="8">
    <w:abstractNumId w:val="6"/>
  </w:num>
  <w:num w:numId="9">
    <w:abstractNumId w:val="17"/>
  </w:num>
  <w:num w:numId="10">
    <w:abstractNumId w:val="2"/>
  </w:num>
  <w:num w:numId="11">
    <w:abstractNumId w:val="15"/>
  </w:num>
  <w:num w:numId="12">
    <w:abstractNumId w:val="8"/>
  </w:num>
  <w:num w:numId="13">
    <w:abstractNumId w:val="9"/>
  </w:num>
  <w:num w:numId="14">
    <w:abstractNumId w:val="10"/>
  </w:num>
  <w:num w:numId="15">
    <w:abstractNumId w:val="3"/>
  </w:num>
  <w:num w:numId="16">
    <w:abstractNumId w:val="11"/>
  </w:num>
  <w:num w:numId="17">
    <w:abstractNumId w:val="14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revisionView w:markup="0"/>
  <w:defaultTabStop w:val="720"/>
  <w:hyphenationZone w:val="425"/>
  <w:characterSpacingControl w:val="doNotCompress"/>
  <w:hdrShapeDefaults>
    <o:shapedefaults v:ext="edit" spidmax="7987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VERPAGE_EXISTS" w:val="True"/>
    <w:docVar w:name="DocStatus" w:val="Green"/>
    <w:docVar w:name="LW_ACCOMPAGNANT.CP" w:val="amely a következ\u337? dokumentumot kíséri"/>
    <w:docVar w:name="LW_CONFIDENCE" w:val=" "/>
    <w:docVar w:name="LW_CONST_RESTREINT_UE" w:val="RESTREINT UE"/>
    <w:docVar w:name="LW_CORRIGENDUM" w:val="&lt;UNUSED&gt;"/>
    <w:docVar w:name="LW_COVERPAGE_GUID" w:val="45DC7C41D1ED4B35A0F4D82BDE053909"/>
    <w:docVar w:name="LW_CROSSREFERENCE" w:val="{COM(2017) 569 final}_x000b_{SWD(2017) 325 final}"/>
    <w:docVar w:name="LW_DocType" w:val="NORMAL"/>
    <w:docVar w:name="LW_EMISSION" w:val="2017.10.4."/>
    <w:docVar w:name="LW_EMISSION_ISODATE" w:val="2017-10-04"/>
    <w:docVar w:name="LW_EMISSION_LOCATION" w:val="BRX"/>
    <w:docVar w:name="LW_EMISSION_PREFIX" w:val="Brüsszel, "/>
    <w:docVar w:name="LW_EMISSION_SUFFIX" w:val=" "/>
    <w:docVar w:name="LW_ID_DOCTYPE_NONLW" w:val="CP-027"/>
    <w:docVar w:name="LW_LANGUE" w:val="HU"/>
    <w:docVar w:name="LW_MARKING" w:val="&lt;UNUSED&gt;"/>
    <w:docVar w:name="LW_NOM.INST" w:val="EURÓPAI BIZOTTSÁG"/>
    <w:docVar w:name="LW_NOM.INST_JOINTDOC" w:val="&lt;EMPTY&gt;"/>
    <w:docVar w:name="LW_OBJETACTEPRINCIPAL.CP" w:val="a 2006/112/EK irányelvnek a hozzáadottértékadó-rendszer egyes szabályainak harmonizálása és egyszer\u369?sítése tekintetében történ\u337? módosításáról, valamint a tagállamok közötti kereskedelem adóztatására vonatkozó végleges rendszer bevezetésér\u337?l"/>
    <w:docVar w:name="LW_PART_NBR" w:val="1"/>
    <w:docVar w:name="LW_PART_NBR_TOTAL" w:val="1"/>
    <w:docVar w:name="LW_REF.INST.NEW" w:val="SWD"/>
    <w:docVar w:name="LW_REF.INST.NEW_ADOPTED" w:val="final"/>
    <w:docVar w:name="LW_REF.INST.NEW_TEXT" w:val="(2017) 326"/>
    <w:docVar w:name="LW_REF.INTERNE" w:val="&lt;UNUSED&gt;"/>
    <w:docVar w:name="LW_SUPERTITRE" w:val="&lt;UNUSED&gt;"/>
    <w:docVar w:name="LW_TITRE.OBJ.CP" w:val="&lt;UNUSED&gt;"/>
    <w:docVar w:name="LW_TYPE.DOC.CP" w:val="BIZOTTSÁGI SZOLGÁLATI MUNKADOKUMENTUM_x000b__x000b_A HATÁSVIZSGÁLAT VEZET\u336?I ÖSSZEFOGLALÓJA_x000b_"/>
    <w:docVar w:name="LW_TYPEACTEPRINCIPAL.CP" w:val="Javaslat_x000b_A Tanács irányelve"/>
  </w:docVar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hu-HU" w:bidi="hu-HU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jc w:val="both"/>
    </w:pPr>
    <w:rPr>
      <w:rFonts w:eastAsiaTheme="minorHAnsi"/>
      <w:szCs w:val="2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/>
      <w:ind w:left="-850" w:right="-850"/>
    </w:p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/>
      <w:jc w:val="both"/>
    </w:p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table" w:customStyle="1" w:styleId="MediumGrid3-Accent51">
    <w:name w:val="Medium Grid 3 - Accent 51"/>
    <w:basedOn w:val="TableNormal"/>
    <w:next w:val="MediumGrid3-Accent5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5">
    <w:name w:val="Medium Grid 3 Accent 5"/>
    <w:basedOn w:val="Table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hu-HU" w:bidi="hu-HU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eastAsia="hu-HU"/>
    </w:rPr>
  </w:style>
  <w:style w:type="character" w:customStyle="1" w:styleId="Marker">
    <w:name w:val="Marker"/>
    <w:basedOn w:val="DefaultParagraphFont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pPr>
      <w:jc w:val="both"/>
    </w:pPr>
    <w:rPr>
      <w:rFonts w:eastAsiaTheme="minorHAnsi"/>
      <w:szCs w:val="22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FooterCoverPage">
    <w:name w:val="Footer Cover Page"/>
    <w:basedOn w:val="Normal"/>
    <w:link w:val="FooterCoverPageChar"/>
    <w:pPr>
      <w:tabs>
        <w:tab w:val="center" w:pos="4535"/>
        <w:tab w:val="right" w:pos="9071"/>
        <w:tab w:val="right" w:pos="9921"/>
      </w:tabs>
      <w:spacing w:before="360"/>
      <w:ind w:left="-850" w:right="-850"/>
    </w:pPr>
  </w:style>
  <w:style w:type="character" w:customStyle="1" w:styleId="FooterCoverPageChar">
    <w:name w:val="Footer Cover Page Char"/>
    <w:basedOn w:val="DefaultParagraphFont"/>
    <w:link w:val="FooterCoverPage"/>
    <w:rPr>
      <w:rFonts w:ascii="Times New Roman" w:eastAsia="Times New Roman" w:hAnsi="Times New Roman" w:cs="Times New Roman"/>
      <w:sz w:val="24"/>
      <w:szCs w:val="24"/>
    </w:rPr>
  </w:style>
  <w:style w:type="paragraph" w:customStyle="1" w:styleId="HeaderCoverPage">
    <w:name w:val="Header Cover Page"/>
    <w:basedOn w:val="Normal"/>
    <w:link w:val="HeaderCoverPageChar"/>
    <w:pPr>
      <w:tabs>
        <w:tab w:val="center" w:pos="4535"/>
        <w:tab w:val="right" w:pos="9071"/>
      </w:tabs>
      <w:spacing w:after="120"/>
      <w:jc w:val="both"/>
    </w:pPr>
  </w:style>
  <w:style w:type="character" w:customStyle="1" w:styleId="HeaderCoverPageChar">
    <w:name w:val="Header Cover Page Char"/>
    <w:basedOn w:val="DefaultParagraphFont"/>
    <w:link w:val="HeaderCoverPage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table" w:customStyle="1" w:styleId="MediumGrid3-Accent51">
    <w:name w:val="Medium Grid 3 - Accent 51"/>
    <w:basedOn w:val="TableNormal"/>
    <w:next w:val="MediumGrid3-Accent5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5">
    <w:name w:val="Medium Grid 3 Accent 5"/>
    <w:basedOn w:val="TableNormal"/>
    <w:uiPriority w:val="6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microsoft.com/office/2007/relationships/stylesWithEffects" Target="stylesWithEffects.xml"/><Relationship Id="rId12" Type="http://schemas.openxmlformats.org/officeDocument/2006/relationships/image" Target="media/image1.emf"/><Relationship Id="rId17" Type="http://schemas.openxmlformats.org/officeDocument/2006/relationships/header" Target="head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openxmlformats.org/officeDocument/2006/relationships/header" Target="header6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23" Type="http://schemas.openxmlformats.org/officeDocument/2006/relationships/footer" Target="footer5.xml"/><Relationship Id="rId10" Type="http://schemas.openxmlformats.org/officeDocument/2006/relationships/footnotes" Target="footnotes.xml"/><Relationship Id="rId19" Type="http://schemas.openxmlformats.org/officeDocument/2006/relationships/hyperlink" Target="http://eur-lex.europa.eu/legal-content/HU/TXT/PDF/?uri=CELEX:02006L0112-20150101&amp;from=EN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_rels/footnotes.xml.rels><?xml version='1.0' encoding='UTF-8' standalone='yes'?>
<Relationships xmlns="http://schemas.openxmlformats.org/package/2006/relationships"><Relationship Id="rId1" Type="http://schemas.openxmlformats.org/officeDocument/2006/relationships/hyperlink" Target="http://eur-lex.europa.eu/legal-content/HU/TXT/PDF/?uri=CELEX:52016DC0148&amp;from=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CD4CDFEEBEDF764FAB126859C09062E8" ma:contentTypeVersion="1" ma:contentTypeDescription="Create a new document in this library." ma:contentTypeScope="" ma:versionID="5008c6496899bed68a2b3cc65a3af05f">
  <xsd:schema xmlns:xsd="http://www.w3.org/2001/XMLSchema" xmlns:xs="http://www.w3.org/2001/XMLSchema" xmlns:p="http://schemas.microsoft.com/office/2006/metadata/properties" xmlns:ns3="bdf60e78-a03e-437e-9717-7369c04d4e42" targetNamespace="http://schemas.microsoft.com/office/2006/metadata/properties" ma:root="true" ma:fieldsID="2238814e938f334923e4ada7bea32c07" ns3:_="">
    <xsd:import namespace="bdf60e78-a03e-437e-9717-7369c04d4e42"/>
    <xsd:element name="properties">
      <xsd:complexType>
        <xsd:sequence>
          <xsd:element name="documentManagement">
            <xsd:complexType>
              <xsd:all>
                <xsd:element ref="ns3:EC_Collab_Reference" minOccurs="0"/>
                <xsd:element ref="ns3:EC_Collab_DocumentLanguage"/>
                <xsd:element ref="ns3:EC_Collab_Status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60e78-a03e-437e-9717-7369c04d4e42" elementFormDefault="qualified">
    <xsd:import namespace="http://schemas.microsoft.com/office/2006/documentManagement/types"/>
    <xsd:import namespace="http://schemas.microsoft.com/office/infopath/2007/PartnerControls"/>
    <xsd:element name="EC_Collab_Reference" ma:index="12" nillable="true" ma:displayName="Reference" ma:internalName="EC_Collab_Reference">
      <xsd:simpleType>
        <xsd:restriction base="dms:Text"/>
      </xsd:simpleType>
    </xsd:element>
    <xsd:element name="EC_Collab_DocumentLanguage" ma:index="13" ma:displayName="Language" ma:default="EN" ma:internalName="EC_Collab_DocumentLanguage">
      <xsd:simpleType>
        <xsd:restriction base="dms:Choice">
          <xsd:enumeration value="BG"/>
          <xsd:enumeration value="ES"/>
          <xsd:enumeration value="CS"/>
          <xsd:enumeration value="DA"/>
          <xsd:enumeration value="DE"/>
          <xsd:enumeration value="ET"/>
          <xsd:enumeration value="EL"/>
          <xsd:enumeration value="EN"/>
          <xsd:enumeration value="FR"/>
          <xsd:enumeration value="GA"/>
          <xsd:enumeration value="IT"/>
          <xsd:enumeration value="LT"/>
          <xsd:enumeration value="LV"/>
          <xsd:enumeration value="HU"/>
          <xsd:enumeration value="MT"/>
          <xsd:enumeration value="NL"/>
          <xsd:enumeration value="PL"/>
          <xsd:enumeration value="PT"/>
          <xsd:enumeration value="RO"/>
          <xsd:enumeration value="SK"/>
          <xsd:enumeration value="SL"/>
          <xsd:enumeration value="FI"/>
          <xsd:enumeration value="SV"/>
          <xsd:enumeration value="HR"/>
          <xsd:enumeration value="MK"/>
          <xsd:enumeration value="TR"/>
          <xsd:enumeration value="EU"/>
          <xsd:enumeration value="CA"/>
          <xsd:enumeration value="GL"/>
          <xsd:enumeration value="AB"/>
          <xsd:enumeration value="AA"/>
          <xsd:enumeration value="AF"/>
          <xsd:enumeration value="AK"/>
          <xsd:enumeration value="SQ"/>
          <xsd:enumeration value="AM"/>
          <xsd:enumeration value="AR"/>
          <xsd:enumeration value="AN"/>
          <xsd:enumeration value="HY"/>
          <xsd:enumeration value="AS"/>
          <xsd:enumeration value="AV"/>
          <xsd:enumeration value="AE"/>
          <xsd:enumeration value="AY"/>
          <xsd:enumeration value="AZ"/>
          <xsd:enumeration value="BM"/>
          <xsd:enumeration value="BA"/>
          <xsd:enumeration value="BE"/>
          <xsd:enumeration value="BN"/>
          <xsd:enumeration value="BH"/>
          <xsd:enumeration value="BI"/>
          <xsd:enumeration value="NB"/>
          <xsd:enumeration value="BS"/>
          <xsd:enumeration value="BR"/>
          <xsd:enumeration value="MY"/>
          <xsd:enumeration value="KM"/>
          <xsd:enumeration value="CH"/>
          <xsd:enumeration value="CE"/>
          <xsd:enumeration value="NY"/>
          <xsd:enumeration value="ZH"/>
          <xsd:enumeration value="CU"/>
          <xsd:enumeration value="CV"/>
          <xsd:enumeration value="KW"/>
          <xsd:enumeration value="CO"/>
          <xsd:enumeration value="CR"/>
          <xsd:enumeration value="DV"/>
          <xsd:enumeration value="DZ"/>
          <xsd:enumeration value="EO"/>
          <xsd:enumeration value="EE"/>
          <xsd:enumeration value="FO"/>
          <xsd:enumeration value="FJ"/>
          <xsd:enumeration value="FF"/>
          <xsd:enumeration value="GD"/>
          <xsd:enumeration value="LG"/>
          <xsd:enumeration value="KA"/>
          <xsd:enumeration value="GN"/>
          <xsd:enumeration value="GU"/>
          <xsd:enumeration value="HT"/>
          <xsd:enumeration value="HA"/>
          <xsd:enumeration value="HE"/>
          <xsd:enumeration value="HZ"/>
          <xsd:enumeration value="HI"/>
          <xsd:enumeration value="HO"/>
          <xsd:enumeration value="IS"/>
          <xsd:enumeration value="IO"/>
          <xsd:enumeration value="IG"/>
          <xsd:enumeration value="ID"/>
          <xsd:enumeration value="IA"/>
          <xsd:enumeration value="IE"/>
          <xsd:enumeration value="IU"/>
          <xsd:enumeration value="IK"/>
          <xsd:enumeration value="JA"/>
          <xsd:enumeration value="JV"/>
          <xsd:enumeration value="KL"/>
          <xsd:enumeration value="KN"/>
          <xsd:enumeration value="KR"/>
          <xsd:enumeration value="KS"/>
          <xsd:enumeration value="KK"/>
          <xsd:enumeration value="KI"/>
          <xsd:enumeration value="RW"/>
          <xsd:enumeration value="KY"/>
          <xsd:enumeration value="KV"/>
          <xsd:enumeration value="KG"/>
          <xsd:enumeration value="KO"/>
          <xsd:enumeration value="KJ"/>
          <xsd:enumeration value="KU"/>
          <xsd:enumeration value="LO"/>
          <xsd:enumeration value="LA"/>
          <xsd:enumeration value="LI"/>
          <xsd:enumeration value="LN"/>
          <xsd:enumeration value="LU"/>
          <xsd:enumeration value="LB"/>
          <xsd:enumeration value="MG"/>
          <xsd:enumeration value="MS"/>
          <xsd:enumeration value="ML"/>
          <xsd:enumeration value="GV"/>
          <xsd:enumeration value="MI"/>
          <xsd:enumeration value="MR"/>
          <xsd:enumeration value="MH"/>
          <xsd:enumeration value="MN"/>
          <xsd:enumeration value="NA"/>
          <xsd:enumeration value="NV"/>
          <xsd:enumeration value="ND"/>
          <xsd:enumeration value="NR"/>
          <xsd:enumeration value="NG"/>
          <xsd:enumeration value="NE"/>
          <xsd:enumeration value="SE"/>
          <xsd:enumeration value="NO"/>
          <xsd:enumeration value="NN"/>
          <xsd:enumeration value="OC"/>
          <xsd:enumeration value="OJ"/>
          <xsd:enumeration value="OR"/>
          <xsd:enumeration value="OM"/>
          <xsd:enumeration value="OS"/>
          <xsd:enumeration value="PI"/>
          <xsd:enumeration value="PA"/>
          <xsd:enumeration value="FA"/>
          <xsd:enumeration value="PS"/>
          <xsd:enumeration value="QU"/>
          <xsd:enumeration value="RM"/>
          <xsd:enumeration value="RN"/>
          <xsd:enumeration value="RU"/>
          <xsd:enumeration value="SM"/>
          <xsd:enumeration value="SG"/>
          <xsd:enumeration value="SA"/>
          <xsd:enumeration value="SC"/>
          <xsd:enumeration value="SR"/>
          <xsd:enumeration value="SN"/>
          <xsd:enumeration value="II"/>
          <xsd:enumeration value="SD"/>
          <xsd:enumeration value="SI"/>
          <xsd:enumeration value="SO"/>
          <xsd:enumeration value="ST"/>
          <xsd:enumeration value="SU"/>
          <xsd:enumeration value="SW"/>
          <xsd:enumeration value="SS"/>
          <xsd:enumeration value="TL"/>
          <xsd:enumeration value="TY"/>
          <xsd:enumeration value="TG"/>
          <xsd:enumeration value="TA"/>
          <xsd:enumeration value="TT"/>
          <xsd:enumeration value="TE"/>
          <xsd:enumeration value="TH"/>
          <xsd:enumeration value="BO"/>
          <xsd:enumeration value="TI"/>
          <xsd:enumeration value="TO"/>
          <xsd:enumeration value="TS"/>
          <xsd:enumeration value="TN"/>
          <xsd:enumeration value="TK"/>
          <xsd:enumeration value="TW"/>
          <xsd:enumeration value="UG"/>
          <xsd:enumeration value="UK"/>
          <xsd:enumeration value="UR"/>
          <xsd:enumeration value="UZ"/>
          <xsd:enumeration value="VE"/>
          <xsd:enumeration value="VI"/>
          <xsd:enumeration value="VO"/>
          <xsd:enumeration value="WA"/>
          <xsd:enumeration value="CY"/>
          <xsd:enumeration value="FY"/>
          <xsd:enumeration value="WO"/>
          <xsd:enumeration value="XH"/>
          <xsd:enumeration value="YI"/>
          <xsd:enumeration value="YO"/>
          <xsd:enumeration value="ZA"/>
          <xsd:enumeration value="ZU"/>
        </xsd:restriction>
      </xsd:simpleType>
    </xsd:element>
    <xsd:element name="EC_Collab_Status" ma:index="14" ma:displayName="EC Status" ma:default="Not Started" ma:internalName="EC_Collab_Status">
      <xsd:simpleType>
        <xsd:restriction base="dms:Choice">
          <xsd:enumeration value="Not Started"/>
          <xsd:enumeration value="Draft"/>
          <xsd:enumeration value="Reviewed"/>
          <xsd:enumeration value="Scheduled"/>
          <xsd:enumeration value="Published"/>
          <xsd:enumeration value="Final"/>
          <xsd:enumeration value="Expired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9" ma:displayName="Author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 ma:index="8" ma:displayName="Subject"/>
        <xsd:element ref="dc:description" minOccurs="0" maxOccurs="1" ma:index="11" ma:displayName="Comments"/>
        <xsd:element name="keywords" minOccurs="0" maxOccurs="1" type="xsd:string" ma:index="10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C_Collab_Reference xmlns="bdf60e78-a03e-437e-9717-7369c04d4e42" xsi:nil="true"/>
    <EC_Collab_DocumentLanguage xmlns="bdf60e78-a03e-437e-9717-7369c04d4e42">EN</EC_Collab_DocumentLanguage>
    <EC_Collab_Status xmlns="bdf60e78-a03e-437e-9717-7369c04d4e42">Not Started</EC_Collab_Statu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4BCCE80E-734A-4297-8D0E-984F7E32D7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851805-9F07-40C4-B40D-72DC872907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f60e78-a03e-437e-9717-7369c04d4e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B228E3-FEEC-429F-8C93-CFCC37DE565D}">
  <ds:schemaRefs>
    <ds:schemaRef ds:uri="http://purl.org/dc/terms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bdf60e78-a03e-437e-9717-7369c04d4e42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E0CE1733-3765-416B-A3DA-903CA1218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798</Words>
  <Characters>5703</Characters>
  <Application>Microsoft Office Word</Application>
  <DocSecurity>0</DocSecurity>
  <Lines>105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22</cp:revision>
  <cp:lastPrinted>2017-09-26T10:20:00Z</cp:lastPrinted>
  <dcterms:created xsi:type="dcterms:W3CDTF">2017-10-02T11:58:00Z</dcterms:created>
  <dcterms:modified xsi:type="dcterms:W3CDTF">2017-10-16T07:25:00Z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art">
    <vt:lpwstr>1</vt:lpwstr>
  </property>
  <property fmtid="{D5CDD505-2E9C-101B-9397-08002B2CF9AE}" pid="3" name="Total parts">
    <vt:lpwstr>1</vt:lpwstr>
  </property>
  <property fmtid="{D5CDD505-2E9C-101B-9397-08002B2CF9AE}" pid="4" name="DocStatus">
    <vt:lpwstr>Green</vt:lpwstr>
  </property>
  <property fmtid="{D5CDD505-2E9C-101B-9397-08002B2CF9AE}" pid="5" name="Classification">
    <vt:lpwstr> </vt:lpwstr>
  </property>
  <property fmtid="{D5CDD505-2E9C-101B-9397-08002B2CF9AE}" pid="6" name="Order">
    <vt:r8>400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NewReviewCycle">
    <vt:lpwstr/>
  </property>
  <property fmtid="{D5CDD505-2E9C-101B-9397-08002B2CF9AE}" pid="10" name="ContentTypeId">
    <vt:lpwstr>0x010100258AA79CEB83498886A3A0868112325000CD4CDFEEBEDF764FAB126859C09062E8</vt:lpwstr>
  </property>
  <property fmtid="{D5CDD505-2E9C-101B-9397-08002B2CF9AE}" pid="11" name="TemplateUrl">
    <vt:lpwstr/>
  </property>
  <property name="OP_sanitized" fmtid="{D5CDD505-2E9C-101B-9397-08002B2CF9AE}" pid="12">
    <vt:lpwstr>True</vt:lpwstr>
  </property>
</Properties>
</file>