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9978D56A0564109BA8E8BDA5635994E" style="width:450.8pt;height:463.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pPr>
        <w:spacing w:after="0"/>
        <w:rPr>
          <w:noProof/>
          <w:sz w:val="2"/>
        </w:rPr>
      </w:pPr>
      <w:bookmarkStart w:id="1" w:name="_GoBack"/>
      <w:bookmarkEnd w:id="1"/>
    </w:p>
    <w:tbl>
      <w:tblPr>
        <w:tblW w:w="10188"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after="0"/>
              <w:jc w:val="center"/>
              <w:rPr>
                <w:rFonts w:ascii="Tahoma" w:hAnsi="Tahoma" w:cs="Tahoma"/>
                <w:b/>
                <w:noProof/>
              </w:rPr>
            </w:pPr>
            <w:r>
              <w:rPr>
                <w:noProof/>
              </w:rPr>
              <w:br w:type="page"/>
            </w:r>
            <w:r>
              <w:rPr>
                <w:noProof/>
              </w:rPr>
              <w:br w:type="page"/>
            </w:r>
            <w:r>
              <w:rPr>
                <w:noProof/>
              </w:rPr>
              <w:br w:type="page"/>
            </w:r>
            <w:r>
              <w:rPr>
                <w:noProof/>
              </w:rPr>
              <w:br w:type="page"/>
            </w:r>
            <w:r>
              <w:rPr>
                <w:noProof/>
              </w:rPr>
              <w:br w:type="page"/>
            </w:r>
            <w:r>
              <w:rPr>
                <w:noProof/>
              </w:rPr>
              <w:br w:type="page"/>
            </w:r>
            <w:r>
              <w:rPr>
                <w:noProof/>
              </w:rPr>
              <w:br w:type="page"/>
            </w:r>
            <w:r>
              <w:rPr>
                <w:noProof/>
              </w:rPr>
              <w:br w:type="page"/>
            </w:r>
            <w:r>
              <w:rPr>
                <w:noProof/>
              </w:rPr>
              <w:br w:type="page"/>
            </w:r>
            <w:r>
              <w:rPr>
                <w:rFonts w:ascii="Tahoma" w:hAnsi="Tahoma"/>
                <w:b/>
                <w:noProof/>
              </w:rPr>
              <w:t>Vezetői összefoglaló</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cPr>
          <w:p>
            <w:pPr>
              <w:spacing w:after="0"/>
              <w:rPr>
                <w:rFonts w:ascii="Tahoma" w:hAnsi="Tahoma" w:cs="Tahoma"/>
                <w:noProof/>
                <w:sz w:val="20"/>
              </w:rPr>
            </w:pPr>
            <w:r>
              <w:rPr>
                <w:rFonts w:ascii="Tahoma" w:hAnsi="Tahoma"/>
                <w:noProof/>
                <w:color w:val="FFFFFF"/>
                <w:sz w:val="20"/>
              </w:rPr>
              <w:t>Hatásvizsgálat a tőzsdén kívüli származtatott ügyletekről, a központi szerződő felekről és a kereskedési adattárakról szóló, 2012. július 4-i 648/2012/EU európai parlamenti és tanácsi rendelet esetleges módosításairól</w:t>
            </w: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b/>
                <w:noProof/>
              </w:rPr>
              <w:t>A. A fellépés szükségessége</w:t>
            </w:r>
          </w:p>
        </w:tc>
      </w:tr>
      <w:tr>
        <w:tc>
          <w:tcPr>
            <w:tcW w:w="10188" w:type="dxa"/>
            <w:tcBorders>
              <w:bottom w:val="single" w:sz="4" w:space="0" w:color="auto"/>
            </w:tcBorders>
            <w:shd w:val="clear" w:color="auto" w:fill="E0E0E0"/>
          </w:tcPr>
          <w:p>
            <w:pPr>
              <w:spacing w:after="0"/>
              <w:rPr>
                <w:rFonts w:ascii="Tahoma" w:hAnsi="Tahoma" w:cs="Tahoma"/>
                <w:noProof/>
                <w:sz w:val="20"/>
              </w:rPr>
            </w:pPr>
            <w:r>
              <w:rPr>
                <w:rFonts w:ascii="Tahoma" w:hAnsi="Tahoma"/>
                <w:b/>
                <w:noProof/>
                <w:sz w:val="20"/>
              </w:rPr>
              <w:t>Miért? Milyen problémát kell megoldani?</w:t>
            </w:r>
          </w:p>
        </w:tc>
      </w:tr>
      <w:tr>
        <w:tc>
          <w:tcPr>
            <w:tcW w:w="10188" w:type="dxa"/>
            <w:tcBorders>
              <w:bottom w:val="single" w:sz="4" w:space="0" w:color="auto"/>
            </w:tcBorders>
            <w:shd w:val="clear" w:color="auto" w:fill="auto"/>
          </w:tcPr>
          <w:p>
            <w:pPr>
              <w:spacing w:after="120"/>
              <w:rPr>
                <w:rFonts w:ascii="Arial" w:hAnsi="Arial" w:cs="Arial"/>
                <w:noProof/>
                <w:sz w:val="20"/>
                <w:highlight w:val="yellow"/>
              </w:rPr>
            </w:pPr>
            <w:r>
              <w:rPr>
                <w:rFonts w:ascii="Arial" w:hAnsi="Arial"/>
                <w:noProof/>
                <w:sz w:val="20"/>
              </w:rPr>
              <w:t>A tőzsdén kívüli származtatott ügyletekről, a központi szerződő felekről és a kereskedési adattárakról szóló, 2012. július 4-i 648/2012/EU európai parlamenti és tanácsi rendelet (EMIR) a G20-csoport vezetőinek 2009 szeptemberében tett kötelezettségvállalására reagált, mely szerint egyes, a tőzsdén kívüli származtatott ügyletekre vonatkozó követelményeket globális szinten kell végrehajtani. Az EMIR célja a rendszerkockázat csökkentése a tőzsdén kívüli származtatott ügyletek piaca átláthatóságának növelésével, valamint a partnerkockázat és a tőzsdén kívüli származtatott ügyletekhez kapcsolódó működési kockázat csökkentésével. Az e célból bevezetett követelmények közül néhány alkalmazásra került, míg mások még nincsenek hatályban. A piac Bizottság általi nyomon követése, valamint az érdekelt felektől és az uniós szervektől és hatóságoktól kapott visszajelzések széles körű támogatást biztosítottak az EMIR általános céljainak eléréséhez, ugyanakkor rámutattak számos olyan kérdésre, amelyek kezelése az EMIR célkitűzéseinek megvalósítása során nem a leghatékonyabb és legeredményesebb módon történik. Ezek különösen a következőkre vonatkoznak: i. aránytalan megfelelési költségek, amelyek több esetben meghaladják a prudenciális előnyöket, ii. a tőzsdén kívüli származtatott</w:t>
            </w:r>
            <w:r>
              <w:rPr>
                <w:noProof/>
              </w:rPr>
              <w:t xml:space="preserve"> </w:t>
            </w:r>
            <w:r>
              <w:rPr>
                <w:rFonts w:ascii="Arial" w:hAnsi="Arial"/>
                <w:noProof/>
                <w:sz w:val="20"/>
              </w:rPr>
              <w:t>ügyletekhez kapcsolódó pozíciók és kitettségek nem megfelelő átláthatósága, valamint iii. bizonyos szerződő felek esetében az elszámoláshoz való elégtelen hozzáférés.</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Mi a kezdeményezés várható eredménye?</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A tervezett megoldások az EMIR által létrehozott keret fenntartása mellett arra irányulnak, hogy hatékonyabbá és eredményesebbé tegyék az EMIR alkalmazását a szabályok arányosságának és a tőzsdén kívüli származtatott ügyletekhez kapcsolódó pozíciók és kitettségek átláthatóságának növelése, valamint az elszámoláshoz való hozzáférés akadályainak csökkentése révén. E célból számos, az EMIR-t érintő célzott kiigazítást vettek fontolóra és értékeltek az EMIR-nek a pénzügyi stabilitás megőrzésére irányuló átfogó célkitűzése alapján.</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Milyen többletértéket képvisel az uniós szintű fellépés?</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Az EMIR rendelet teljes egészében kötelező és közvetlenül alkalmazandó valamennyi tagállamban. Az e kezdeményezés által előirányzott, az EMIR meglévő rendelkezéseire vonatkozó célzott kiigazítások csak uniós szinten hajthatók végre az Európai Unió működéséről szóló szerződés 114. cikke alapján.</w:t>
            </w: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b/>
                <w:noProof/>
              </w:rPr>
              <w:t>B. Megoldások</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Milyen jogalkotási és nem jogalkotási szakpolitikai alternatívák merültek fel?</w:t>
            </w:r>
            <w:r>
              <w:rPr>
                <w:rFonts w:ascii="Tahoma" w:hAnsi="Tahoma"/>
                <w:noProof/>
                <w:sz w:val="20"/>
              </w:rPr>
              <w:t xml:space="preserve"> </w:t>
            </w:r>
            <w:r>
              <w:rPr>
                <w:rFonts w:ascii="Tahoma" w:hAnsi="Tahoma"/>
                <w:b/>
                <w:noProof/>
                <w:sz w:val="20"/>
              </w:rPr>
              <w:t>Van-e előnyben részesített megoldás? Miért?</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A kezdeményezés a hatályos EMIR-rendelet felülvizsgálatából áll. Következésképpen a mérlegelt lehetőségek az EMIR konkrét (jogalkotási) rendelkezéseinek célzott kiigazítását érintik. A kívánt célok elérésére számos előnyben részesített szakpolitikai lehetőséget azonosítottak:</w:t>
            </w:r>
          </w:p>
          <w:p>
            <w:pPr>
              <w:pStyle w:val="ListBullet"/>
              <w:numPr>
                <w:ilvl w:val="0"/>
                <w:numId w:val="91"/>
              </w:numPr>
              <w:spacing w:after="0"/>
              <w:rPr>
                <w:rFonts w:ascii="Arial" w:hAnsi="Arial" w:cs="Arial"/>
                <w:noProof/>
                <w:sz w:val="20"/>
              </w:rPr>
            </w:pPr>
            <w:r>
              <w:rPr>
                <w:rFonts w:ascii="Arial" w:hAnsi="Arial"/>
                <w:noProof/>
                <w:sz w:val="20"/>
              </w:rPr>
              <w:t>az elszámolási kötelezettség alól új átmeneti mentesség biztosítása a nyugdíjkonstrukció-rendszerek számára;</w:t>
            </w:r>
          </w:p>
          <w:p>
            <w:pPr>
              <w:numPr>
                <w:ilvl w:val="0"/>
                <w:numId w:val="91"/>
              </w:numPr>
              <w:spacing w:after="0"/>
              <w:rPr>
                <w:rFonts w:ascii="Arial" w:hAnsi="Arial" w:cs="Arial"/>
                <w:noProof/>
                <w:sz w:val="20"/>
              </w:rPr>
            </w:pPr>
            <w:r>
              <w:rPr>
                <w:rFonts w:ascii="Arial" w:hAnsi="Arial"/>
                <w:noProof/>
                <w:sz w:val="20"/>
              </w:rPr>
              <w:t>a nem pénzügyi szerződő felek elszámolási kötelezettsége hatályának korlátozása;</w:t>
            </w:r>
          </w:p>
          <w:p>
            <w:pPr>
              <w:numPr>
                <w:ilvl w:val="0"/>
                <w:numId w:val="91"/>
              </w:numPr>
              <w:spacing w:after="0"/>
              <w:rPr>
                <w:rFonts w:ascii="Arial" w:hAnsi="Arial" w:cs="Arial"/>
                <w:noProof/>
                <w:sz w:val="20"/>
              </w:rPr>
            </w:pPr>
            <w:r>
              <w:rPr>
                <w:rFonts w:ascii="Arial" w:hAnsi="Arial"/>
                <w:noProof/>
                <w:sz w:val="20"/>
              </w:rPr>
              <w:t>a nagyon kis pénzügyi szerződő feleknek az elszámolási kötelezettség hatálya alóli kivonása;</w:t>
            </w:r>
          </w:p>
          <w:p>
            <w:pPr>
              <w:numPr>
                <w:ilvl w:val="0"/>
                <w:numId w:val="91"/>
              </w:numPr>
              <w:spacing w:after="0"/>
              <w:rPr>
                <w:rFonts w:ascii="Arial" w:hAnsi="Arial" w:cs="Arial"/>
                <w:noProof/>
                <w:sz w:val="20"/>
              </w:rPr>
            </w:pPr>
            <w:r>
              <w:rPr>
                <w:rFonts w:ascii="Arial" w:hAnsi="Arial"/>
                <w:noProof/>
                <w:sz w:val="20"/>
              </w:rPr>
              <w:t>a múltbéli adatok jelentésére vonatkozó kötelezettség (backloading) megszüntetése;</w:t>
            </w:r>
          </w:p>
          <w:p>
            <w:pPr>
              <w:numPr>
                <w:ilvl w:val="0"/>
                <w:numId w:val="91"/>
              </w:numPr>
              <w:spacing w:after="0"/>
              <w:rPr>
                <w:rFonts w:ascii="Arial" w:hAnsi="Arial" w:cs="Arial"/>
                <w:noProof/>
                <w:sz w:val="20"/>
              </w:rPr>
            </w:pPr>
            <w:r>
              <w:rPr>
                <w:rFonts w:ascii="Arial" w:hAnsi="Arial"/>
                <w:noProof/>
                <w:sz w:val="20"/>
              </w:rPr>
              <w:t>a nem pénzügyi szerződő feleknek a csoporton belüli ügyletekre vonatkozó jelentéstételi kötelezettség alóli mentesítése;</w:t>
            </w:r>
          </w:p>
          <w:p>
            <w:pPr>
              <w:numPr>
                <w:ilvl w:val="0"/>
                <w:numId w:val="91"/>
              </w:numPr>
              <w:spacing w:after="0"/>
              <w:rPr>
                <w:rFonts w:ascii="Arial" w:hAnsi="Arial" w:cs="Arial"/>
                <w:noProof/>
                <w:sz w:val="20"/>
              </w:rPr>
            </w:pPr>
            <w:r>
              <w:rPr>
                <w:rFonts w:ascii="Arial" w:hAnsi="Arial"/>
                <w:noProof/>
                <w:sz w:val="20"/>
              </w:rPr>
              <w:t>a tőzsdén kereskedett származtatott ügyletek esetében a központi szerződő felek általi egyoldalú adatszolgáltatás bevezetése;</w:t>
            </w:r>
          </w:p>
          <w:p>
            <w:pPr>
              <w:numPr>
                <w:ilvl w:val="0"/>
                <w:numId w:val="91"/>
              </w:numPr>
              <w:spacing w:after="0"/>
              <w:rPr>
                <w:rFonts w:ascii="Arial" w:hAnsi="Arial" w:cs="Arial"/>
                <w:noProof/>
                <w:sz w:val="20"/>
              </w:rPr>
            </w:pPr>
            <w:r>
              <w:rPr>
                <w:rFonts w:ascii="Arial" w:hAnsi="Arial"/>
                <w:noProof/>
                <w:sz w:val="20"/>
              </w:rPr>
              <w:t>a tőzsdén kereskedett származtatott ügyletektől eltérő ügyletek esetében annak előírása, hogy a pénzügyi szerződő fél jelentse a kis méretű nem pénzügyi szerződő féllel folytatott kereskedést;</w:t>
            </w:r>
          </w:p>
          <w:p>
            <w:pPr>
              <w:numPr>
                <w:ilvl w:val="0"/>
                <w:numId w:val="91"/>
              </w:numPr>
              <w:spacing w:after="0"/>
              <w:rPr>
                <w:rFonts w:ascii="Arial" w:hAnsi="Arial" w:cs="Arial"/>
                <w:noProof/>
                <w:sz w:val="20"/>
              </w:rPr>
            </w:pPr>
            <w:r>
              <w:rPr>
                <w:rFonts w:ascii="Arial" w:hAnsi="Arial"/>
                <w:noProof/>
                <w:sz w:val="20"/>
              </w:rPr>
              <w:t>a jelentéstételi szabályok és eljárások további harmonizációja és a kereskedési adattárak számára az adatminőség biztosításának előírása;</w:t>
            </w:r>
          </w:p>
          <w:p>
            <w:pPr>
              <w:numPr>
                <w:ilvl w:val="0"/>
                <w:numId w:val="91"/>
              </w:numPr>
              <w:spacing w:after="0"/>
              <w:rPr>
                <w:rFonts w:ascii="Arial" w:hAnsi="Arial" w:cs="Arial"/>
                <w:noProof/>
                <w:sz w:val="20"/>
              </w:rPr>
            </w:pPr>
            <w:r>
              <w:rPr>
                <w:rFonts w:ascii="Arial" w:hAnsi="Arial"/>
                <w:noProof/>
                <w:sz w:val="20"/>
              </w:rPr>
              <w:t>az EMIR-követelmények kereskedési adattárak általi megsértése esetén kiszabható bírságok alapösszegére vonatkozó felső határ megemelése;</w:t>
            </w:r>
          </w:p>
          <w:p>
            <w:pPr>
              <w:numPr>
                <w:ilvl w:val="0"/>
                <w:numId w:val="91"/>
              </w:numPr>
              <w:spacing w:after="0"/>
              <w:rPr>
                <w:rFonts w:ascii="Arial" w:hAnsi="Arial" w:cs="Arial"/>
                <w:noProof/>
                <w:sz w:val="20"/>
              </w:rPr>
            </w:pPr>
            <w:r>
              <w:rPr>
                <w:rFonts w:ascii="Arial" w:hAnsi="Arial"/>
                <w:noProof/>
                <w:sz w:val="20"/>
              </w:rPr>
              <w:t>az EMIR nemteljesítés-kezelési eszközei és a nemzeti fizetésképtelenségi jogszabályok közötti kölcsönhatás tisztázása és az EMIR-ben az elszámolási szolgáltatásoknak a tisztességes, észszerű és megkülönböztetésmentes kereskedelmi feltételek mellett történő nyújtását jelentő elv (FRAND-elv) bevezetése.</w:t>
            </w:r>
          </w:p>
        </w:tc>
      </w:tr>
      <w:tr>
        <w:tc>
          <w:tcPr>
            <w:tcW w:w="10188" w:type="dxa"/>
            <w:shd w:val="clear" w:color="auto" w:fill="CCCCCC"/>
          </w:tcPr>
          <w:p>
            <w:pPr>
              <w:spacing w:after="0"/>
              <w:rPr>
                <w:rFonts w:ascii="Tahoma" w:hAnsi="Tahoma" w:cs="Tahoma"/>
                <w:noProof/>
                <w:sz w:val="20"/>
              </w:rPr>
            </w:pPr>
            <w:r>
              <w:rPr>
                <w:rFonts w:ascii="Tahoma" w:hAnsi="Tahoma"/>
                <w:b/>
                <w:noProof/>
                <w:sz w:val="20"/>
              </w:rPr>
              <w:t>Ki melyik lehetőséget támogatja?</w:t>
            </w:r>
          </w:p>
        </w:tc>
      </w:tr>
      <w:tr>
        <w:tc>
          <w:tcPr>
            <w:tcW w:w="10188" w:type="dxa"/>
            <w:shd w:val="clear" w:color="auto" w:fill="auto"/>
          </w:tcPr>
          <w:p>
            <w:pPr>
              <w:spacing w:after="0"/>
              <w:rPr>
                <w:rFonts w:ascii="Arial" w:hAnsi="Arial" w:cs="Arial"/>
                <w:noProof/>
                <w:sz w:val="20"/>
              </w:rPr>
            </w:pPr>
            <w:r>
              <w:rPr>
                <w:rFonts w:ascii="Arial" w:hAnsi="Arial"/>
                <w:noProof/>
                <w:sz w:val="20"/>
              </w:rPr>
              <w:t>Az érdekelt feleknek az EMIR működésével kapcsolatos visszajelzéseit két bizottsági nyilvános konzultáció során gyűjtötték be. A konzultáció számos konkrét kérdést vetett fel, de nem tárt fel olyan konkrét szakpolitikai lehetőségeket, amelyeket figyelembe lehetne venni. Az érdekelt felek csoportjai széles körben támogatták a szabályok arányosságának növelését. A kereskedési jelentéstétel kérdése nagy figyelmet kapott. A válaszadók, elsősorban a társas vállalkozások és az ipari szövetségek kérték a nem pénzügyi szerződő felekre vonatkozó jelentéstételi követelmények csökkentését. Az érdekelt felek különböző kategóriái körében a válaszadók nagy száma szintén úgy vélte, hogy a kétoldalú adatszolgáltatást egyoldalú adatszolgáltatással kell felváltani. Ennek értékelésére a hatásvizsgálat keretében sor került, de a lehetőséget elutasították. A válaszadók arra is felhívták a figyelmet, hogy mentességeket kell bevezetni az elszámolási és a biztosítéki követelmények alól a rendszerszintű jelentőséggel nem bíró szerződő felek esetében.</w:t>
            </w:r>
          </w:p>
          <w:p>
            <w:pPr>
              <w:spacing w:after="0"/>
              <w:rPr>
                <w:rFonts w:ascii="Arial" w:hAnsi="Arial" w:cs="Arial"/>
                <w:noProof/>
                <w:sz w:val="20"/>
                <w:highlight w:val="yellow"/>
              </w:rPr>
            </w:pPr>
            <w:r>
              <w:rPr>
                <w:rFonts w:ascii="Arial" w:hAnsi="Arial"/>
                <w:noProof/>
                <w:sz w:val="20"/>
              </w:rPr>
              <w:t>A tagállamok szakértőivel egy későbbi szakaszban folytatott megbeszélések magukban foglalták a fontolóra vett konkrét szakpolitikai lehetőségeket. A tagállami szakértők többsége támogatta a hatásvizsgálat során előnyben részesített lehetőségeket.</w:t>
            </w:r>
          </w:p>
        </w:tc>
      </w:tr>
      <w:tr>
        <w:tc>
          <w:tcPr>
            <w:tcW w:w="10188" w:type="dxa"/>
            <w:tcBorders>
              <w:bottom w:val="single" w:sz="4" w:space="0" w:color="auto"/>
            </w:tcBorders>
            <w:shd w:val="clear" w:color="auto" w:fill="CCCCCC"/>
          </w:tcPr>
          <w:p>
            <w:pPr>
              <w:spacing w:after="0"/>
              <w:jc w:val="center"/>
              <w:rPr>
                <w:rFonts w:ascii="Tahoma" w:hAnsi="Tahoma" w:cs="Tahoma"/>
                <w:b/>
                <w:noProof/>
              </w:rPr>
            </w:pPr>
            <w:r>
              <w:rPr>
                <w:rFonts w:ascii="Tahoma" w:hAnsi="Tahoma"/>
                <w:b/>
                <w:noProof/>
              </w:rPr>
              <w:t>C. Az előnyben részesített lehetőség hatásai</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Melyek az előnyben részesített lehetőség (ha nincs ilyen, akkor a főbb lehetőségek) előnyei?</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Először is, a javasolt módosítások csökkenteni fogják a megfelelési költségeket és a piaci szereplőkre háruló terheket anélkül, hogy hátrányosan befolyásolnák a pénzügyi stabilitást. Az elszámolási szabályok alkalmazását érintő nagyobb arányosság a nem pénzügyi szerződő felek javát szolgálja majd, mivel a tervezett intézkedések révén fokozottabban biztosíthatók lesznek az egyenlő feltételek, tekintettel arra, hogy a magasabb küszöbérték miatt csak a legnagyobb nem pénzügyi szerződő felekre vonatkoznak majd az elszámolási követelmények. Annak újrakalibrálása, hogy mi minősül olyan kis pénzügyi szerződő félnek, amely elszámolási kötelezettség alá tartozik, lehetővé teszi a (nagyon) kis pénzügyi szerződő feleknek, amelyek számára gazdaságilag nem megvalósítható a központi elszámolás, hogy enyhüljenek terheik.</w:t>
            </w:r>
            <w:r>
              <w:rPr>
                <w:noProof/>
              </w:rPr>
              <w:t xml:space="preserve"> </w:t>
            </w:r>
            <w:r>
              <w:rPr>
                <w:rFonts w:ascii="Arial" w:hAnsi="Arial"/>
                <w:noProof/>
                <w:sz w:val="20"/>
              </w:rPr>
              <w:t>A nyugdíjkonstrukció-rendszerek új átmeneti elszámolás alóli mentességet kapnak, mivel mindeddig nem jött létre életképes technikai elszámolási megoldás. Minden szerződő fél számára előnyt jelent majd bizonyos jelentéstételi követelmények enyhítése, például a „backloading” kötelezettség megszüntetése. Másodszor, a tőzsdén kívüli származtatott ügyletekben lévő pozíciók és kitettségek nagyobb átláthatósága révén a hatóságok korábbi szakaszban azonosítani tudják a potenciális problémákat, és időben intézkedéseket tudnak hozni az esetleges kockázatok kezelésére, kihasználva a pénzügyi piacok rugalmasságát. Harmadszor, az elszámoláshoz való jobb hozzáférés lehetővé teszi további piaci résztvevők számára, hogy kezeljék és fedezzék kockázataikat, azáltal pedig, hogy csökken a hirtelen sokkok bekövetkezésének és a tevékenységek megszakadásának valószínűsége, hozzájárul egy kevésbé volatilis vállalkozásfejlődéshez és az alkalmazottak munkahelyének biztosabb megőrzéséhez.</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Milyen költségekkel jár az előnyben részesített lehetőség (ha nincs ilyen, akkor milyen költségekkel járnak a főbb lehetőségek)?</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Összességében nem várható jelentős társadalmi és gazdasági költség. A jelentéstételre vonatkozó szabályok tervezett egyszerűsítése és nagyobb arányossága lehetővé teszi az EMIR célkitűzéseinek elérését, ugyanakkor jelentősen csökkenti az EMIR szerinti jelentéstételi követelmények hatálya alá tartozó szerződő felek által viselt általános adminisztratív terheket. A jelentéstételi kötelezettség átruházása mérlegelésének esetében azok a szervezetek, amelyeknek a jövőben vállalniuk kell a jelentéstételi kötelezettséget, jobban fel vannak készülve erre a feladatra, és az ebben rejlő méretgazdaságosságnak köszönhetően a releváns általános aggregált költségeknek csökkenniük kell. A jelentéstételi szabályok és eljárások további harmonizálása a végrehajtás kezdeti szakaszaiban legfeljebb korlátozott kiegészítő adminisztratív költségeket eredményezhet, középtávon viszont nagyobb hatékonysághoz és az általános teher csökkenéséhez vezethet. Hasonlóképpen az a követelmény, hogy tisztességes, észszerű és megkülönböztetéstől mentes kereskedelmi feltételeket kell biztosítani az elszámolási szolgáltatások nyújtása során, ami számos szerződő fél javát szolgálja, várhatóan csak korlátozott adminisztratív többletköltséget jelent.</w:t>
            </w:r>
          </w:p>
          <w:p>
            <w:pPr>
              <w:spacing w:after="0"/>
              <w:rPr>
                <w:rFonts w:ascii="Arial" w:hAnsi="Arial" w:cs="Arial"/>
                <w:noProof/>
                <w:sz w:val="20"/>
              </w:rPr>
            </w:pPr>
            <w:r>
              <w:rPr>
                <w:rFonts w:ascii="Arial" w:hAnsi="Arial"/>
                <w:noProof/>
                <w:sz w:val="20"/>
              </w:rPr>
              <w:t>Az összes előnyben részesített lehetőség együttes hatása a költségek jelentős csökkentése. A kizárólag e hatásvizsgálat céljából és a 8. mellékletben ismertetett valamennyi alapul szolgáló feltételezés figyelembevételével kiszámított lehetséges megtakarítások a becslések szerint a fix (egyszeri) költségek terén 2,3 milliárd EUR-tól 6,9 milliárd EUR-ig, a működési költségek terén pedig 1,1 milliárd EUR-tól 2,66 milliárd EUR-ig terjednek. Számos korlátozás érinti a becsült költségcsökkenés megbízhatóságát. Először, ezek a becslések csak a jelenlegi időpontban érvényesek. A későbbi szakaszban alkalmazandó követelményeket, mint például a biztosítéki követelmények fokozatos alkalmazását, nem vették figyelembe a számítások során. Másodszor, a számítások korlátozott mennyiségű nyilvánosan hozzáférhető adatra és nem megerősített piaci információkra támaszkodnak, amelyek nem biztos, hogy pontosan tükrözik az érintett szerződő felek sokféleségét és sajátosságait. Harmadszor, a számítások azon a feltételezésen alapulnak, hogy a költségcsökkenést teljes mértékben a végfelhasználókra hárítják. Negyedszer, az olyan minimális kiigazítási költségek, amelyek például a FRAND-feltételek bevezetéséből (a klíringtagokat érintő várható hatás), valamint az adatok minőségének növelését célzó intézkedésekből (a kereskedési adattárakra gyakorolt várható hatás), nem kerültek bele ebbe a számításba.</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Hogyan érinti a fellépés a vállalkozásokat, köztük a kis- és középvállalkozásokat és a mikrovállalkozásokat?</w:t>
            </w:r>
          </w:p>
        </w:tc>
      </w:tr>
      <w:tr>
        <w:tc>
          <w:tcPr>
            <w:tcW w:w="10188" w:type="dxa"/>
            <w:tcBorders>
              <w:bottom w:val="single" w:sz="4" w:space="0" w:color="auto"/>
            </w:tcBorders>
            <w:shd w:val="clear" w:color="auto" w:fill="auto"/>
          </w:tcPr>
          <w:p>
            <w:pPr>
              <w:spacing w:after="0"/>
              <w:rPr>
                <w:rFonts w:ascii="Arial" w:hAnsi="Arial" w:cs="Arial"/>
                <w:i/>
                <w:noProof/>
                <w:sz w:val="20"/>
              </w:rPr>
            </w:pPr>
            <w:r>
              <w:rPr>
                <w:rFonts w:ascii="Arial" w:hAnsi="Arial"/>
                <w:noProof/>
                <w:sz w:val="20"/>
              </w:rPr>
              <w:t>A vállalkozások, a kkv-k és a mikrovállalkozások számára mindenekelőtt azok a lehetőségek lesznek előnyösek, amelyek i. a szabályozási követelmények csökkenésére irányulnak azokban az esetekben, amikor az aránytalan megfelelési költségek láthatóan meghaladják a prudenciális előnyöket, valamint amelyek ii. az elszámoláshoz való jobb hozzáférést célozzák. Az elszámolási kötelezettség hatályának kiigazítása előnyt jelent majd a nem pénzügyi szerződő felek számára. A jelentéstételi követelmények egyszerűsítése minden szerződő fél, többek között a kkv-k számára is előnyös lesz. Végül, az új FRAND-elvek bevezetése számos szerződő fél számára megkönnyíti majd az elszámoláshoz való hozzáférést.</w:t>
            </w:r>
          </w:p>
        </w:tc>
      </w:tr>
      <w:tr>
        <w:tc>
          <w:tcPr>
            <w:tcW w:w="10188" w:type="dxa"/>
            <w:tcBorders>
              <w:bottom w:val="single" w:sz="4" w:space="0" w:color="auto"/>
            </w:tcBorders>
            <w:shd w:val="clear" w:color="auto" w:fill="E6E6E6"/>
          </w:tcPr>
          <w:p>
            <w:pPr>
              <w:spacing w:after="0"/>
              <w:rPr>
                <w:rFonts w:ascii="Tahoma" w:hAnsi="Tahoma" w:cs="Tahoma"/>
                <w:b/>
                <w:i/>
                <w:noProof/>
                <w:sz w:val="20"/>
              </w:rPr>
            </w:pPr>
            <w:r>
              <w:rPr>
                <w:rFonts w:ascii="Tahoma" w:hAnsi="Tahoma"/>
                <w:b/>
                <w:noProof/>
                <w:sz w:val="20"/>
              </w:rPr>
              <w:t>Jelentős lesz-e</w:t>
            </w:r>
            <w:r>
              <w:rPr>
                <w:noProof/>
              </w:rPr>
              <w:t xml:space="preserve"> </w:t>
            </w:r>
            <w:r>
              <w:rPr>
                <w:rFonts w:ascii="Tahoma" w:hAnsi="Tahoma"/>
                <w:b/>
                <w:noProof/>
                <w:sz w:val="20"/>
              </w:rPr>
              <w:t>a tagállamok költségvetésére és közigazgatására gyakorolt hatás?</w:t>
            </w:r>
          </w:p>
        </w:tc>
      </w:tr>
      <w:tr>
        <w:tc>
          <w:tcPr>
            <w:tcW w:w="10188" w:type="dxa"/>
            <w:shd w:val="clear" w:color="auto" w:fill="auto"/>
          </w:tcPr>
          <w:p>
            <w:pPr>
              <w:spacing w:after="0"/>
              <w:rPr>
                <w:rFonts w:ascii="Arial" w:hAnsi="Arial" w:cs="Arial"/>
                <w:noProof/>
                <w:sz w:val="20"/>
              </w:rPr>
            </w:pPr>
            <w:r>
              <w:rPr>
                <w:rFonts w:ascii="Arial" w:hAnsi="Arial"/>
                <w:noProof/>
                <w:sz w:val="20"/>
              </w:rPr>
              <w:t>Nem. A fontolóra vett módosítások elvileg nem jelentenek jelentős költségeket a nemzeti költségvetések és közigazgatások számára.</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Lesznek-e egyéb jelentős hatások?</w:t>
            </w:r>
          </w:p>
        </w:tc>
      </w:tr>
      <w:tr>
        <w:tc>
          <w:tcPr>
            <w:tcW w:w="10188" w:type="dxa"/>
            <w:tcBorders>
              <w:bottom w:val="single" w:sz="4" w:space="0" w:color="auto"/>
            </w:tcBorders>
            <w:shd w:val="clear" w:color="auto" w:fill="auto"/>
          </w:tcPr>
          <w:p>
            <w:pPr>
              <w:spacing w:after="0"/>
              <w:rPr>
                <w:rFonts w:ascii="Arial" w:hAnsi="Arial" w:cs="Arial"/>
                <w:noProof/>
                <w:sz w:val="20"/>
              </w:rPr>
            </w:pPr>
            <w:r>
              <w:rPr>
                <w:rFonts w:ascii="Arial" w:hAnsi="Arial"/>
                <w:noProof/>
                <w:sz w:val="20"/>
              </w:rPr>
              <w:t>Nem.</w:t>
            </w:r>
          </w:p>
        </w:tc>
      </w:tr>
      <w:tr>
        <w:tc>
          <w:tcPr>
            <w:tcW w:w="10188" w:type="dxa"/>
            <w:tcBorders>
              <w:bottom w:val="single" w:sz="4" w:space="0" w:color="auto"/>
            </w:tcBorders>
            <w:shd w:val="clear" w:color="auto" w:fill="C0C0C0"/>
          </w:tcPr>
          <w:p>
            <w:pPr>
              <w:spacing w:after="0"/>
              <w:jc w:val="center"/>
              <w:rPr>
                <w:rFonts w:ascii="Tahoma" w:hAnsi="Tahoma" w:cs="Tahoma"/>
                <w:b/>
                <w:noProof/>
              </w:rPr>
            </w:pPr>
            <w:r>
              <w:rPr>
                <w:rFonts w:ascii="Tahoma" w:hAnsi="Tahoma"/>
                <w:b/>
                <w:noProof/>
              </w:rPr>
              <w:t>D. További lépések</w:t>
            </w:r>
          </w:p>
        </w:tc>
      </w:tr>
      <w:tr>
        <w:tc>
          <w:tcPr>
            <w:tcW w:w="10188" w:type="dxa"/>
            <w:tcBorders>
              <w:bottom w:val="single" w:sz="4" w:space="0" w:color="auto"/>
            </w:tcBorders>
            <w:shd w:val="clear" w:color="auto" w:fill="E6E6E6"/>
          </w:tcPr>
          <w:p>
            <w:pPr>
              <w:spacing w:after="0"/>
              <w:rPr>
                <w:rFonts w:ascii="Tahoma" w:hAnsi="Tahoma" w:cs="Tahoma"/>
                <w:noProof/>
                <w:sz w:val="20"/>
              </w:rPr>
            </w:pPr>
            <w:r>
              <w:rPr>
                <w:rFonts w:ascii="Tahoma" w:hAnsi="Tahoma"/>
                <w:b/>
                <w:noProof/>
                <w:sz w:val="20"/>
              </w:rPr>
              <w:t>Mikor kerül sor a szakpolitikai fellépés felülvizsgálatára?</w:t>
            </w:r>
          </w:p>
        </w:tc>
      </w:tr>
      <w:tr>
        <w:tc>
          <w:tcPr>
            <w:tcW w:w="10188" w:type="dxa"/>
            <w:tcBorders>
              <w:bottom w:val="single" w:sz="4" w:space="0" w:color="auto"/>
            </w:tcBorders>
            <w:shd w:val="clear" w:color="auto" w:fill="auto"/>
          </w:tcPr>
          <w:p>
            <w:pPr>
              <w:spacing w:after="0"/>
              <w:rPr>
                <w:rFonts w:ascii="Arial" w:hAnsi="Arial" w:cs="Arial"/>
                <w:b/>
                <w:noProof/>
                <w:sz w:val="20"/>
              </w:rPr>
            </w:pPr>
            <w:r>
              <w:rPr>
                <w:rFonts w:ascii="Arial" w:hAnsi="Arial"/>
                <w:noProof/>
                <w:sz w:val="20"/>
              </w:rPr>
              <w:t>Tekintettel arra, hogy az EMIR-követelmények különböző időpontokban kerültek alkalmazásra, és ezek közül néhány még nincs hatályban, az EMIR teljes körű értékelését el kell végezni, különös tekintettel annak hatékonyságára és eredményességére az EMIR eredeti céljainak teljesítése terén. Ennek az értékelésnek ki kell terjednie az e kezdeményezésben fontolóra vett célzott módosításokra is, és ezt az értékelést legkésőbb 3 évvel e módosítások alkalmazása után kell elvégezni. Bizonyos esetekben, különösen a nyugdíjkonstrukció-rendszerek esetében fontos folyamatosan figyelemmel kísérni a nyugdíjkonstrukció-rendszerek elszámolására vonatkozó megoldások rendelkezésre állásának előrehaladását.</w:t>
            </w:r>
          </w:p>
        </w:tc>
      </w:tr>
    </w:tbl>
    <w:p>
      <w:pPr>
        <w:rPr>
          <w:noProof/>
        </w:rPr>
      </w:pPr>
      <w:bookmarkStart w:id="2" w:name="_Toc425860951"/>
      <w:bookmarkStart w:id="3" w:name="_Toc425861051"/>
      <w:bookmarkStart w:id="4" w:name="_Toc425861121"/>
      <w:bookmarkStart w:id="5" w:name="_Toc425869896"/>
      <w:bookmarkStart w:id="6" w:name="_Toc425860952"/>
      <w:bookmarkStart w:id="7" w:name="_Toc425861052"/>
      <w:bookmarkStart w:id="8" w:name="_Toc425861122"/>
      <w:bookmarkStart w:id="9" w:name="_Toc425869897"/>
      <w:bookmarkStart w:id="10" w:name="_Toc401848614"/>
      <w:bookmarkStart w:id="11" w:name="_Toc402183499"/>
      <w:bookmarkStart w:id="12" w:name="_Toc411439303"/>
      <w:bookmarkStart w:id="13" w:name="_Toc412736413"/>
      <w:bookmarkStart w:id="14" w:name="_Toc413053046"/>
      <w:bookmarkStart w:id="15" w:name="_Toc413138174"/>
      <w:bookmarkStart w:id="16" w:name="_Toc413139238"/>
      <w:bookmarkStart w:id="17" w:name="_Toc413139459"/>
      <w:bookmarkStart w:id="18" w:name="_Toc413139764"/>
      <w:bookmarkStart w:id="19" w:name="_Toc414268562"/>
      <w:bookmarkStart w:id="20" w:name="_Toc414453413"/>
      <w:bookmarkStart w:id="21" w:name="_Toc414466884"/>
      <w:bookmarkStart w:id="22" w:name="_Toc415131680"/>
      <w:bookmarkStart w:id="23" w:name="_Toc415654190"/>
      <w:bookmarkStart w:id="24" w:name="_Toc416265125"/>
      <w:bookmarkStart w:id="25" w:name="_Toc416265394"/>
      <w:bookmarkStart w:id="26" w:name="_Toc401848620"/>
      <w:bookmarkStart w:id="27" w:name="_Toc402183505"/>
      <w:bookmarkStart w:id="28" w:name="_Toc411439309"/>
      <w:bookmarkStart w:id="29" w:name="_Toc412736419"/>
      <w:bookmarkStart w:id="30" w:name="_Toc413053052"/>
      <w:bookmarkStart w:id="31" w:name="_Toc413138180"/>
      <w:bookmarkStart w:id="32" w:name="_Toc413139244"/>
      <w:bookmarkStart w:id="33" w:name="_Toc413139465"/>
      <w:bookmarkStart w:id="34" w:name="_Toc413139770"/>
      <w:bookmarkStart w:id="35" w:name="_Toc414268568"/>
      <w:bookmarkStart w:id="36" w:name="_Toc414453419"/>
      <w:bookmarkStart w:id="37" w:name="_Toc414466890"/>
      <w:bookmarkStart w:id="38" w:name="_Toc415131686"/>
      <w:bookmarkStart w:id="39" w:name="_Toc415654196"/>
      <w:bookmarkStart w:id="40" w:name="_Toc416265131"/>
      <w:bookmarkStart w:id="41" w:name="_Toc416265400"/>
      <w:bookmarkStart w:id="42" w:name="_Toc425860962"/>
      <w:bookmarkStart w:id="43" w:name="_Toc425861062"/>
      <w:bookmarkStart w:id="44" w:name="_Toc425861132"/>
      <w:bookmarkStart w:id="45" w:name="_Toc425869907"/>
      <w:bookmarkStart w:id="46" w:name="_Toc425860966"/>
      <w:bookmarkStart w:id="47" w:name="_Toc425861066"/>
      <w:bookmarkStart w:id="48" w:name="_Toc425861136"/>
      <w:bookmarkStart w:id="49" w:name="_Toc425869911"/>
      <w:bookmarkStart w:id="50" w:name="_Toc365634732"/>
      <w:bookmarkStart w:id="51" w:name="_Toc365637929"/>
      <w:bookmarkStart w:id="52" w:name="_Toc365638021"/>
      <w:bookmarkStart w:id="53" w:name="_Toc365638124"/>
      <w:bookmarkStart w:id="54" w:name="_Toc365638215"/>
      <w:bookmarkStart w:id="55" w:name="_Toc365638306"/>
      <w:bookmarkStart w:id="56" w:name="_Toc365634733"/>
      <w:bookmarkStart w:id="57" w:name="_Toc365637930"/>
      <w:bookmarkStart w:id="58" w:name="_Toc365638022"/>
      <w:bookmarkStart w:id="59" w:name="_Toc365638125"/>
      <w:bookmarkStart w:id="60" w:name="_Toc365638216"/>
      <w:bookmarkStart w:id="61" w:name="_Toc365638307"/>
      <w:bookmarkStart w:id="62" w:name="_Toc365634734"/>
      <w:bookmarkStart w:id="63" w:name="_Toc365637931"/>
      <w:bookmarkStart w:id="64" w:name="_Toc365638023"/>
      <w:bookmarkStart w:id="65" w:name="_Toc365638126"/>
      <w:bookmarkStart w:id="66" w:name="_Toc365638217"/>
      <w:bookmarkStart w:id="67" w:name="_Toc365638308"/>
      <w:bookmarkStart w:id="68" w:name="_Toc365634738"/>
      <w:bookmarkStart w:id="69" w:name="_Toc365637935"/>
      <w:bookmarkStart w:id="70" w:name="_Toc365638027"/>
      <w:bookmarkStart w:id="71" w:name="_Toc365638130"/>
      <w:bookmarkStart w:id="72" w:name="_Toc365638221"/>
      <w:bookmarkStart w:id="73" w:name="_Toc365638312"/>
      <w:bookmarkStart w:id="74" w:name="_Toc365634740"/>
      <w:bookmarkStart w:id="75" w:name="_Toc365637937"/>
      <w:bookmarkStart w:id="76" w:name="_Toc365638029"/>
      <w:bookmarkStart w:id="77" w:name="_Toc365638132"/>
      <w:bookmarkStart w:id="78" w:name="_Toc365638223"/>
      <w:bookmarkStart w:id="79" w:name="_Toc365638314"/>
      <w:bookmarkStart w:id="80" w:name="_Toc365634741"/>
      <w:bookmarkStart w:id="81" w:name="_Toc365637938"/>
      <w:bookmarkStart w:id="82" w:name="_Toc365638030"/>
      <w:bookmarkStart w:id="83" w:name="_Toc365638133"/>
      <w:bookmarkStart w:id="84" w:name="_Toc365638224"/>
      <w:bookmarkStart w:id="85" w:name="_Toc365638315"/>
      <w:bookmarkStart w:id="86" w:name="_Toc365634742"/>
      <w:bookmarkStart w:id="87" w:name="_Toc365637939"/>
      <w:bookmarkStart w:id="88" w:name="_Toc365638031"/>
      <w:bookmarkStart w:id="89" w:name="_Toc365638134"/>
      <w:bookmarkStart w:id="90" w:name="_Toc365638225"/>
      <w:bookmarkStart w:id="91" w:name="_Toc365638316"/>
      <w:bookmarkStart w:id="92" w:name="_Toc365634748"/>
      <w:bookmarkStart w:id="93" w:name="_Toc365637945"/>
      <w:bookmarkStart w:id="94" w:name="_Toc365638037"/>
      <w:bookmarkStart w:id="95" w:name="_Toc365638140"/>
      <w:bookmarkStart w:id="96" w:name="_Toc365638231"/>
      <w:bookmarkStart w:id="97" w:name="_Toc365638322"/>
      <w:bookmarkStart w:id="98" w:name="_Toc365634749"/>
      <w:bookmarkStart w:id="99" w:name="_Toc365637946"/>
      <w:bookmarkStart w:id="100" w:name="_Toc365638038"/>
      <w:bookmarkStart w:id="101" w:name="_Toc365638141"/>
      <w:bookmarkStart w:id="102" w:name="_Toc365638232"/>
      <w:bookmarkStart w:id="103" w:name="_Toc365638323"/>
      <w:bookmarkStart w:id="104" w:name="_Toc365634754"/>
      <w:bookmarkStart w:id="105" w:name="_Toc365637951"/>
      <w:bookmarkStart w:id="106" w:name="_Toc365638043"/>
      <w:bookmarkStart w:id="107" w:name="_Toc365638146"/>
      <w:bookmarkStart w:id="108" w:name="_Toc365638237"/>
      <w:bookmarkStart w:id="109" w:name="_Toc365638328"/>
      <w:bookmarkStart w:id="110" w:name="_Toc365634757"/>
      <w:bookmarkStart w:id="111" w:name="_Toc365637954"/>
      <w:bookmarkStart w:id="112" w:name="_Toc365638046"/>
      <w:bookmarkStart w:id="113" w:name="_Toc365638149"/>
      <w:bookmarkStart w:id="114" w:name="_Toc365638240"/>
      <w:bookmarkStart w:id="115" w:name="_Toc365638331"/>
      <w:bookmarkStart w:id="116" w:name="_Toc365629685"/>
      <w:bookmarkStart w:id="117" w:name="_Toc365634758"/>
      <w:bookmarkStart w:id="118" w:name="_Toc365637955"/>
      <w:bookmarkStart w:id="119" w:name="_Toc365638047"/>
      <w:bookmarkStart w:id="120" w:name="_Toc365638150"/>
      <w:bookmarkStart w:id="121" w:name="_Toc365638241"/>
      <w:bookmarkStart w:id="122" w:name="_Toc365638332"/>
      <w:bookmarkStart w:id="123" w:name="_Toc365629688"/>
      <w:bookmarkStart w:id="124" w:name="_Toc365634761"/>
      <w:bookmarkStart w:id="125" w:name="_Toc365637958"/>
      <w:bookmarkStart w:id="126" w:name="_Toc365638050"/>
      <w:bookmarkStart w:id="127" w:name="_Toc365638153"/>
      <w:bookmarkStart w:id="128" w:name="_Toc365638244"/>
      <w:bookmarkStart w:id="129" w:name="_Toc365638335"/>
      <w:bookmarkStart w:id="130" w:name="_Toc365629689"/>
      <w:bookmarkStart w:id="131" w:name="_Toc365634762"/>
      <w:bookmarkStart w:id="132" w:name="_Toc365637959"/>
      <w:bookmarkStart w:id="133" w:name="_Toc365638051"/>
      <w:bookmarkStart w:id="134" w:name="_Toc365638154"/>
      <w:bookmarkStart w:id="135" w:name="_Toc365638245"/>
      <w:bookmarkStart w:id="136" w:name="_Toc365638336"/>
      <w:bookmarkStart w:id="137" w:name="_Toc365629690"/>
      <w:bookmarkStart w:id="138" w:name="_Toc365634763"/>
      <w:bookmarkStart w:id="139" w:name="_Toc365637960"/>
      <w:bookmarkStart w:id="140" w:name="_Toc365638052"/>
      <w:bookmarkStart w:id="141" w:name="_Toc365638155"/>
      <w:bookmarkStart w:id="142" w:name="_Toc365638246"/>
      <w:bookmarkStart w:id="143" w:name="_Toc365638337"/>
      <w:bookmarkStart w:id="144" w:name="_Toc365629691"/>
      <w:bookmarkStart w:id="145" w:name="_Toc365634764"/>
      <w:bookmarkStart w:id="146" w:name="_Toc365637961"/>
      <w:bookmarkStart w:id="147" w:name="_Toc365638053"/>
      <w:bookmarkStart w:id="148" w:name="_Toc365638156"/>
      <w:bookmarkStart w:id="149" w:name="_Toc365638247"/>
      <w:bookmarkStart w:id="150" w:name="_Toc365638338"/>
      <w:bookmarkStart w:id="151" w:name="_Toc365629692"/>
      <w:bookmarkStart w:id="152" w:name="_Toc365634765"/>
      <w:bookmarkStart w:id="153" w:name="_Toc365637962"/>
      <w:bookmarkStart w:id="154" w:name="_Toc365638054"/>
      <w:bookmarkStart w:id="155" w:name="_Toc365638157"/>
      <w:bookmarkStart w:id="156" w:name="_Toc365638248"/>
      <w:bookmarkStart w:id="157" w:name="_Toc365638339"/>
      <w:bookmarkStart w:id="158" w:name="_Toc365629698"/>
      <w:bookmarkStart w:id="159" w:name="_Toc365634771"/>
      <w:bookmarkStart w:id="160" w:name="_Toc365637968"/>
      <w:bookmarkStart w:id="161" w:name="_Toc365638060"/>
      <w:bookmarkStart w:id="162" w:name="_Toc365638163"/>
      <w:bookmarkStart w:id="163" w:name="_Toc365638254"/>
      <w:bookmarkStart w:id="164" w:name="_Toc365638345"/>
      <w:bookmarkStart w:id="165" w:name="_Toc365629699"/>
      <w:bookmarkStart w:id="166" w:name="_Toc365634772"/>
      <w:bookmarkStart w:id="167" w:name="_Toc365637969"/>
      <w:bookmarkStart w:id="168" w:name="_Toc365638061"/>
      <w:bookmarkStart w:id="169" w:name="_Toc365638164"/>
      <w:bookmarkStart w:id="170" w:name="_Toc365638255"/>
      <w:bookmarkStart w:id="171" w:name="_Toc365638346"/>
      <w:bookmarkStart w:id="172" w:name="_Toc365629709"/>
      <w:bookmarkStart w:id="173" w:name="_Toc365634782"/>
      <w:bookmarkStart w:id="174" w:name="_Toc365637979"/>
      <w:bookmarkStart w:id="175" w:name="_Toc365638071"/>
      <w:bookmarkStart w:id="176" w:name="_Toc365638174"/>
      <w:bookmarkStart w:id="177" w:name="_Toc365638265"/>
      <w:bookmarkStart w:id="178" w:name="_Toc365638356"/>
      <w:bookmarkStart w:id="179" w:name="_Toc393878190"/>
      <w:bookmarkStart w:id="180" w:name="_Toc396322098"/>
      <w:bookmarkStart w:id="181" w:name="_Toc396322309"/>
      <w:bookmarkStart w:id="182" w:name="_Toc396409130"/>
      <w:bookmarkStart w:id="183" w:name="_Toc396409355"/>
      <w:bookmarkStart w:id="184" w:name="_Toc396484040"/>
      <w:bookmarkStart w:id="185" w:name="_Toc400121137"/>
      <w:bookmarkStart w:id="186" w:name="_Toc401848630"/>
      <w:bookmarkStart w:id="187" w:name="_Toc402183516"/>
      <w:bookmarkStart w:id="188" w:name="_Toc411439316"/>
      <w:bookmarkStart w:id="189" w:name="_Toc412736426"/>
      <w:bookmarkStart w:id="190" w:name="_Toc413053059"/>
      <w:bookmarkStart w:id="191" w:name="_Toc413138187"/>
      <w:bookmarkStart w:id="192" w:name="_Toc413139251"/>
      <w:bookmarkStart w:id="193" w:name="_Toc413139472"/>
      <w:bookmarkStart w:id="194" w:name="_Toc413139777"/>
      <w:bookmarkStart w:id="195" w:name="_Toc414268575"/>
      <w:bookmarkStart w:id="196" w:name="_Toc414453426"/>
      <w:bookmarkStart w:id="197" w:name="_Toc414466897"/>
      <w:bookmarkStart w:id="198" w:name="_Toc415131693"/>
      <w:bookmarkStart w:id="199" w:name="_Toc415654203"/>
      <w:bookmarkStart w:id="200" w:name="_Toc416265138"/>
      <w:bookmarkStart w:id="201" w:name="_Toc416265407"/>
      <w:bookmarkStart w:id="202" w:name="_Toc393878202"/>
      <w:bookmarkStart w:id="203" w:name="_Toc396322109"/>
      <w:bookmarkStart w:id="204" w:name="_Toc396322320"/>
      <w:bookmarkStart w:id="205" w:name="_Toc396409141"/>
      <w:bookmarkStart w:id="206" w:name="_Toc396409366"/>
      <w:bookmarkStart w:id="207" w:name="_Toc396484051"/>
      <w:bookmarkStart w:id="208" w:name="_Toc400121148"/>
      <w:bookmarkStart w:id="209" w:name="_Toc401848641"/>
      <w:bookmarkStart w:id="210" w:name="_Toc402183527"/>
      <w:bookmarkStart w:id="211" w:name="_Toc411439326"/>
      <w:bookmarkStart w:id="212" w:name="_Toc412736436"/>
      <w:bookmarkStart w:id="213" w:name="_Toc413053069"/>
      <w:bookmarkStart w:id="214" w:name="_Toc413138197"/>
      <w:bookmarkStart w:id="215" w:name="_Toc413139261"/>
      <w:bookmarkStart w:id="216" w:name="_Toc413139482"/>
      <w:bookmarkStart w:id="217" w:name="_Toc413139787"/>
      <w:bookmarkStart w:id="218" w:name="_Toc414268589"/>
      <w:bookmarkStart w:id="219" w:name="_Toc414453440"/>
      <w:bookmarkStart w:id="220" w:name="_Toc414466911"/>
      <w:bookmarkStart w:id="221" w:name="_Toc415131707"/>
      <w:bookmarkStart w:id="222" w:name="_Toc415654217"/>
      <w:bookmarkStart w:id="223" w:name="_Toc416265152"/>
      <w:bookmarkStart w:id="224" w:name="_Toc416265421"/>
      <w:bookmarkStart w:id="225" w:name="_Toc425860981"/>
      <w:bookmarkStart w:id="226" w:name="_Toc425861081"/>
      <w:bookmarkStart w:id="227" w:name="_Toc425861151"/>
      <w:bookmarkStart w:id="228" w:name="_Toc425869926"/>
      <w:bookmarkStart w:id="229" w:name="_Toc425860984"/>
      <w:bookmarkStart w:id="230" w:name="_Toc425861084"/>
      <w:bookmarkStart w:id="231" w:name="_Toc425861154"/>
      <w:bookmarkStart w:id="232" w:name="_Toc42586992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altName w:val="Times New Roman"/>
    <w:panose1 w:val="02020803070505020304"/>
    <w:charset w:val="00"/>
    <w:family w:val="auto"/>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PAGE</w:instrText>
    </w:r>
    <w:r>
      <w:fldChar w:fldCharType="separate"/>
    </w:r>
    <w:r>
      <w:rPr>
        <w:noProof/>
      </w:rPr>
      <w:t>4</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06744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2D72132"/>
    <w:multiLevelType w:val="hybridMultilevel"/>
    <w:tmpl w:val="FD0417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49094C"/>
    <w:multiLevelType w:val="hybridMultilevel"/>
    <w:tmpl w:val="C7A69FBA"/>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1648C0"/>
    <w:multiLevelType w:val="hybridMultilevel"/>
    <w:tmpl w:val="727A40EE"/>
    <w:lvl w:ilvl="0" w:tplc="492A33A0">
      <w:start w:val="1"/>
      <w:numFmt w:val="decimal"/>
      <w:lvlText w:val="%1."/>
      <w:lvlJc w:val="left"/>
      <w:pPr>
        <w:ind w:left="360" w:hanging="360"/>
      </w:pPr>
    </w:lvl>
    <w:lvl w:ilvl="1" w:tplc="38FA3DF4">
      <w:start w:val="1"/>
      <w:numFmt w:val="decimal"/>
      <w:lvlText w:val="%2)"/>
      <w:lvlJc w:val="left"/>
      <w:pPr>
        <w:ind w:left="1080" w:hanging="360"/>
      </w:pPr>
      <w:rPr>
        <w:rFonts w:hint="default"/>
      </w:rPr>
    </w:lvl>
    <w:lvl w:ilvl="2" w:tplc="078A8612">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55841EF"/>
    <w:multiLevelType w:val="hybridMultilevel"/>
    <w:tmpl w:val="57F0039E"/>
    <w:lvl w:ilvl="0" w:tplc="7D4099A8">
      <w:start w:val="1"/>
      <w:numFmt w:val="lowerRoman"/>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05900B49"/>
    <w:multiLevelType w:val="hybridMultilevel"/>
    <w:tmpl w:val="540A6EAA"/>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67C7126"/>
    <w:multiLevelType w:val="hybridMultilevel"/>
    <w:tmpl w:val="24145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0BA01F5C"/>
    <w:multiLevelType w:val="hybridMultilevel"/>
    <w:tmpl w:val="9042D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580DF7"/>
    <w:multiLevelType w:val="hybridMultilevel"/>
    <w:tmpl w:val="BD4CC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0B10491"/>
    <w:multiLevelType w:val="multilevel"/>
    <w:tmpl w:val="0809001F"/>
    <w:name w:val="0,109167"/>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129041EA"/>
    <w:multiLevelType w:val="hybridMultilevel"/>
    <w:tmpl w:val="2656171A"/>
    <w:lvl w:ilvl="0" w:tplc="AEF68F90">
      <w:start w:val="1"/>
      <w:numFmt w:val="bullet"/>
      <w:pStyle w:val="Bullet"/>
      <w:lvlText w:val=""/>
      <w:lvlJc w:val="left"/>
      <w:pPr>
        <w:tabs>
          <w:tab w:val="num" w:pos="1134"/>
        </w:tabs>
        <w:ind w:left="1134" w:hanging="283"/>
      </w:pPr>
      <w:rPr>
        <w:rFonts w:ascii="Symbol" w:hAnsi="Symbol" w:hint="default"/>
        <w:sz w:val="22"/>
      </w:rPr>
    </w:lvl>
    <w:lvl w:ilvl="1" w:tplc="04090003">
      <w:start w:val="1"/>
      <w:numFmt w:val="bullet"/>
      <w:pStyle w:val="IndentedHeading2"/>
      <w:lvlText w:val="o"/>
      <w:lvlJc w:val="left"/>
      <w:pPr>
        <w:tabs>
          <w:tab w:val="num" w:pos="2007"/>
        </w:tabs>
        <w:ind w:left="2007" w:hanging="360"/>
      </w:pPr>
      <w:rPr>
        <w:rFonts w:ascii="Courier New" w:hAnsi="Courier New" w:cs="Times New Roman" w:hint="default"/>
      </w:rPr>
    </w:lvl>
    <w:lvl w:ilvl="2" w:tplc="04090005">
      <w:start w:val="1"/>
      <w:numFmt w:val="bullet"/>
      <w:pStyle w:val="IndentedHeading3"/>
      <w:lvlText w:val=""/>
      <w:lvlJc w:val="left"/>
      <w:pPr>
        <w:tabs>
          <w:tab w:val="num" w:pos="2727"/>
        </w:tabs>
        <w:ind w:left="2727" w:hanging="360"/>
      </w:pPr>
      <w:rPr>
        <w:rFonts w:ascii="Wingdings" w:hAnsi="Wingdings" w:hint="default"/>
      </w:rPr>
    </w:lvl>
    <w:lvl w:ilvl="3" w:tplc="04090001">
      <w:start w:val="1"/>
      <w:numFmt w:val="bullet"/>
      <w:pStyle w:val="IndentedHeading4"/>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1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C547533"/>
    <w:multiLevelType w:val="hybridMultilevel"/>
    <w:tmpl w:val="F052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EF3197E"/>
    <w:multiLevelType w:val="hybridMultilevel"/>
    <w:tmpl w:val="6B5870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F734306"/>
    <w:multiLevelType w:val="multilevel"/>
    <w:tmpl w:val="20D27972"/>
    <w:lvl w:ilvl="0">
      <w:start w:val="1"/>
      <w:numFmt w:val="decimal"/>
      <w:pStyle w:val="Heading1"/>
      <w:lvlText w:val="%1."/>
      <w:lvlJc w:val="left"/>
      <w:pPr>
        <w:tabs>
          <w:tab w:val="num" w:pos="480"/>
        </w:tabs>
        <w:ind w:left="480" w:hanging="480"/>
      </w:pPr>
      <w:rPr>
        <w:rFonts w:ascii="Times New Roman Bold" w:hAnsi="Times New Roman Bold" w:hint="default"/>
        <w:b/>
        <w:i w:val="0"/>
        <w:sz w:val="24"/>
      </w:rPr>
    </w:lvl>
    <w:lvl w:ilvl="1">
      <w:start w:val="1"/>
      <w:numFmt w:val="decimal"/>
      <w:pStyle w:val="Heading2"/>
      <w:lvlText w:val="%1.%2."/>
      <w:lvlJc w:val="left"/>
      <w:pPr>
        <w:tabs>
          <w:tab w:val="num" w:pos="1200"/>
        </w:tabs>
        <w:ind w:left="12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numFmt w:val="none"/>
      <w:pStyle w:val="Heading3"/>
      <w:lvlText w:val=""/>
      <w:lvlJc w:val="left"/>
      <w:pPr>
        <w:tabs>
          <w:tab w:val="num" w:pos="360"/>
        </w:tabs>
        <w:ind w:left="0" w:firstLine="0"/>
      </w:pPr>
      <w:rPr>
        <w:rFonts w:hint="default"/>
      </w:rPr>
    </w:lvl>
    <w:lvl w:ilvl="3">
      <w:numFmt w:val="none"/>
      <w:pStyle w:val="Heading4"/>
      <w:lvlText w:val="%4"/>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nsid w:val="1FC46615"/>
    <w:multiLevelType w:val="hybridMultilevel"/>
    <w:tmpl w:val="4786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0A50438"/>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0F50111"/>
    <w:multiLevelType w:val="hybridMultilevel"/>
    <w:tmpl w:val="7A06CBF2"/>
    <w:lvl w:ilvl="0" w:tplc="0809000F">
      <w:start w:val="1"/>
      <w:numFmt w:val="decimal"/>
      <w:lvlText w:val="%1."/>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19">
    <w:nsid w:val="21FA2835"/>
    <w:multiLevelType w:val="hybridMultilevel"/>
    <w:tmpl w:val="6CEAAE8C"/>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0">
    <w:nsid w:val="22DD3599"/>
    <w:multiLevelType w:val="multilevel"/>
    <w:tmpl w:val="4EAA5BA6"/>
    <w:lvl w:ilvl="0">
      <w:numFmt w:val="decimal"/>
      <w:pStyle w:val="ListNumber"/>
      <w:lvlText w:val=""/>
      <w:lvlJc w:val="left"/>
    </w:lvl>
    <w:lvl w:ilvl="1">
      <w:numFmt w:val="decimal"/>
      <w:pStyle w:val="ListNumberLevel2"/>
      <w:lvlText w:val=""/>
      <w:lvlJc w:val="left"/>
    </w:lvl>
    <w:lvl w:ilvl="2">
      <w:numFmt w:val="decimal"/>
      <w:pStyle w:val="ListNumberLevel3"/>
      <w:lvlText w:val=""/>
      <w:lvlJc w:val="left"/>
    </w:lvl>
    <w:lvl w:ilvl="3">
      <w:numFmt w:val="decimal"/>
      <w:pStyle w:val="ListNumber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70D6688"/>
    <w:multiLevelType w:val="hybridMultilevel"/>
    <w:tmpl w:val="5F3E5A70"/>
    <w:lvl w:ilvl="0" w:tplc="08090001">
      <w:start w:val="1"/>
      <w:numFmt w:val="bullet"/>
      <w:lvlText w:val=""/>
      <w:lvlJc w:val="left"/>
      <w:rPr>
        <w:rFonts w:ascii="Symbol" w:hAnsi="Symbol"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nsid w:val="282C4A6E"/>
    <w:multiLevelType w:val="hybridMultilevel"/>
    <w:tmpl w:val="31BEC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AF76E7A"/>
    <w:multiLevelType w:val="singleLevel"/>
    <w:tmpl w:val="C74C5A32"/>
    <w:lvl w:ilvl="0">
      <w:numFmt w:val="decimal"/>
      <w:pStyle w:val="Bullet1"/>
      <w:lvlText w:val=""/>
      <w:lvlJc w:val="left"/>
    </w:lvl>
  </w:abstractNum>
  <w:abstractNum w:abstractNumId="24">
    <w:nsid w:val="2B75631B"/>
    <w:multiLevelType w:val="singleLevel"/>
    <w:tmpl w:val="A4DC141A"/>
    <w:lvl w:ilvl="0">
      <w:numFmt w:val="decimal"/>
      <w:pStyle w:val="ListBullet1"/>
      <w:lvlText w:val=""/>
      <w:lvlJc w:val="left"/>
    </w:lvl>
  </w:abstractNum>
  <w:abstractNum w:abstractNumId="25">
    <w:nsid w:val="2CAB4527"/>
    <w:multiLevelType w:val="multilevel"/>
    <w:tmpl w:val="26C24C12"/>
    <w:lvl w:ilvl="0">
      <w:numFmt w:val="decimal"/>
      <w:pStyle w:val="ListNumber3"/>
      <w:lvlText w:val=""/>
      <w:lvlJc w:val="left"/>
    </w:lvl>
    <w:lvl w:ilvl="1">
      <w:numFmt w:val="decimal"/>
      <w:pStyle w:val="ListNumber3Level2"/>
      <w:lvlText w:val=""/>
      <w:lvlJc w:val="left"/>
    </w:lvl>
    <w:lvl w:ilvl="2">
      <w:numFmt w:val="decimal"/>
      <w:pStyle w:val="ListNumber3Level3"/>
      <w:lvlText w:val=""/>
      <w:lvlJc w:val="left"/>
    </w:lvl>
    <w:lvl w:ilvl="3">
      <w:numFmt w:val="decimal"/>
      <w:pStyle w:val="ListNumber3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D293CE3"/>
    <w:multiLevelType w:val="multilevel"/>
    <w:tmpl w:val="8D7C4D2A"/>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3"/>
        </w:tabs>
        <w:ind w:left="953" w:hanging="477"/>
      </w:pPr>
      <w:rPr>
        <w:rFonts w:hint="default"/>
      </w:rPr>
    </w:lvl>
    <w:lvl w:ilvl="2">
      <w:start w:val="1"/>
      <w:numFmt w:val="lowerRoman"/>
      <w:pStyle w:val="LegalNumPar3"/>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2ED84BD9"/>
    <w:multiLevelType w:val="hybridMultilevel"/>
    <w:tmpl w:val="0C9C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F7567BD"/>
    <w:multiLevelType w:val="hybridMultilevel"/>
    <w:tmpl w:val="F236C958"/>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09F7BBE"/>
    <w:multiLevelType w:val="hybridMultilevel"/>
    <w:tmpl w:val="027A660A"/>
    <w:lvl w:ilvl="0" w:tplc="217E480C">
      <w:start w:val="1"/>
      <w:numFmt w:val="bullet"/>
      <w:lvlText w:val="•"/>
      <w:lvlJc w:val="left"/>
      <w:pPr>
        <w:tabs>
          <w:tab w:val="num" w:pos="720"/>
        </w:tabs>
        <w:ind w:left="720" w:hanging="360"/>
      </w:pPr>
      <w:rPr>
        <w:rFonts w:ascii="Times New Roman" w:hAnsi="Times New Roman" w:hint="default"/>
      </w:rPr>
    </w:lvl>
    <w:lvl w:ilvl="1" w:tplc="61124670" w:tentative="1">
      <w:start w:val="1"/>
      <w:numFmt w:val="bullet"/>
      <w:lvlText w:val="•"/>
      <w:lvlJc w:val="left"/>
      <w:pPr>
        <w:tabs>
          <w:tab w:val="num" w:pos="1440"/>
        </w:tabs>
        <w:ind w:left="1440" w:hanging="360"/>
      </w:pPr>
      <w:rPr>
        <w:rFonts w:ascii="Times New Roman" w:hAnsi="Times New Roman" w:hint="default"/>
      </w:rPr>
    </w:lvl>
    <w:lvl w:ilvl="2" w:tplc="AE66FFA4" w:tentative="1">
      <w:start w:val="1"/>
      <w:numFmt w:val="bullet"/>
      <w:lvlText w:val="•"/>
      <w:lvlJc w:val="left"/>
      <w:pPr>
        <w:tabs>
          <w:tab w:val="num" w:pos="2160"/>
        </w:tabs>
        <w:ind w:left="2160" w:hanging="360"/>
      </w:pPr>
      <w:rPr>
        <w:rFonts w:ascii="Times New Roman" w:hAnsi="Times New Roman" w:hint="default"/>
      </w:rPr>
    </w:lvl>
    <w:lvl w:ilvl="3" w:tplc="0382E67C" w:tentative="1">
      <w:start w:val="1"/>
      <w:numFmt w:val="bullet"/>
      <w:lvlText w:val="•"/>
      <w:lvlJc w:val="left"/>
      <w:pPr>
        <w:tabs>
          <w:tab w:val="num" w:pos="2880"/>
        </w:tabs>
        <w:ind w:left="2880" w:hanging="360"/>
      </w:pPr>
      <w:rPr>
        <w:rFonts w:ascii="Times New Roman" w:hAnsi="Times New Roman" w:hint="default"/>
      </w:rPr>
    </w:lvl>
    <w:lvl w:ilvl="4" w:tplc="CBBEDCD2" w:tentative="1">
      <w:start w:val="1"/>
      <w:numFmt w:val="bullet"/>
      <w:lvlText w:val="•"/>
      <w:lvlJc w:val="left"/>
      <w:pPr>
        <w:tabs>
          <w:tab w:val="num" w:pos="3600"/>
        </w:tabs>
        <w:ind w:left="3600" w:hanging="360"/>
      </w:pPr>
      <w:rPr>
        <w:rFonts w:ascii="Times New Roman" w:hAnsi="Times New Roman" w:hint="default"/>
      </w:rPr>
    </w:lvl>
    <w:lvl w:ilvl="5" w:tplc="1BE2FBEA" w:tentative="1">
      <w:start w:val="1"/>
      <w:numFmt w:val="bullet"/>
      <w:lvlText w:val="•"/>
      <w:lvlJc w:val="left"/>
      <w:pPr>
        <w:tabs>
          <w:tab w:val="num" w:pos="4320"/>
        </w:tabs>
        <w:ind w:left="4320" w:hanging="360"/>
      </w:pPr>
      <w:rPr>
        <w:rFonts w:ascii="Times New Roman" w:hAnsi="Times New Roman" w:hint="default"/>
      </w:rPr>
    </w:lvl>
    <w:lvl w:ilvl="6" w:tplc="EDBE42C0" w:tentative="1">
      <w:start w:val="1"/>
      <w:numFmt w:val="bullet"/>
      <w:lvlText w:val="•"/>
      <w:lvlJc w:val="left"/>
      <w:pPr>
        <w:tabs>
          <w:tab w:val="num" w:pos="5040"/>
        </w:tabs>
        <w:ind w:left="5040" w:hanging="360"/>
      </w:pPr>
      <w:rPr>
        <w:rFonts w:ascii="Times New Roman" w:hAnsi="Times New Roman" w:hint="default"/>
      </w:rPr>
    </w:lvl>
    <w:lvl w:ilvl="7" w:tplc="0DDE61CE" w:tentative="1">
      <w:start w:val="1"/>
      <w:numFmt w:val="bullet"/>
      <w:lvlText w:val="•"/>
      <w:lvlJc w:val="left"/>
      <w:pPr>
        <w:tabs>
          <w:tab w:val="num" w:pos="5760"/>
        </w:tabs>
        <w:ind w:left="5760" w:hanging="360"/>
      </w:pPr>
      <w:rPr>
        <w:rFonts w:ascii="Times New Roman" w:hAnsi="Times New Roman" w:hint="default"/>
      </w:rPr>
    </w:lvl>
    <w:lvl w:ilvl="8" w:tplc="A7A4B36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32897D54"/>
    <w:multiLevelType w:val="hybridMultilevel"/>
    <w:tmpl w:val="BB5C5C7E"/>
    <w:lvl w:ilvl="0" w:tplc="0809000F">
      <w:numFmt w:val="decimal"/>
      <w:lvlText w:val=""/>
      <w:lvlJc w:val="left"/>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4293F3F"/>
    <w:multiLevelType w:val="singleLevel"/>
    <w:tmpl w:val="B074E4EC"/>
    <w:lvl w:ilvl="0">
      <w:numFmt w:val="decimal"/>
      <w:pStyle w:val="ListDash"/>
      <w:lvlText w:val=""/>
      <w:lvlJc w:val="left"/>
    </w:lvl>
  </w:abstractNum>
  <w:abstractNum w:abstractNumId="32">
    <w:nsid w:val="343E59FC"/>
    <w:multiLevelType w:val="hybridMultilevel"/>
    <w:tmpl w:val="CFFC80F8"/>
    <w:lvl w:ilvl="0" w:tplc="BE44C856">
      <w:start w:val="1"/>
      <w:numFmt w:val="lowerRoman"/>
      <w:lvlText w:val="(%1)"/>
      <w:lvlJc w:val="left"/>
      <w:pPr>
        <w:ind w:left="1353" w:hanging="360"/>
      </w:pPr>
      <w:rPr>
        <w:rFonts w:cs="Times New Roman"/>
      </w:rPr>
    </w:lvl>
    <w:lvl w:ilvl="1" w:tplc="08090019">
      <w:start w:val="1"/>
      <w:numFmt w:val="lowerLetter"/>
      <w:lvlText w:val="%2."/>
      <w:lvlJc w:val="left"/>
      <w:pPr>
        <w:ind w:left="1931" w:hanging="360"/>
      </w:pPr>
      <w:rPr>
        <w:rFonts w:cs="Times New Roman"/>
      </w:rPr>
    </w:lvl>
    <w:lvl w:ilvl="2" w:tplc="0809001B">
      <w:start w:val="1"/>
      <w:numFmt w:val="lowerRoman"/>
      <w:lvlText w:val="%3."/>
      <w:lvlJc w:val="right"/>
      <w:pPr>
        <w:ind w:left="2651" w:hanging="180"/>
      </w:pPr>
      <w:rPr>
        <w:rFonts w:cs="Times New Roman"/>
      </w:rPr>
    </w:lvl>
    <w:lvl w:ilvl="3" w:tplc="0809000F">
      <w:start w:val="1"/>
      <w:numFmt w:val="decimal"/>
      <w:lvlText w:val="%4."/>
      <w:lvlJc w:val="left"/>
      <w:pPr>
        <w:ind w:left="3371" w:hanging="360"/>
      </w:pPr>
      <w:rPr>
        <w:rFonts w:cs="Times New Roman"/>
      </w:rPr>
    </w:lvl>
    <w:lvl w:ilvl="4" w:tplc="08090019">
      <w:start w:val="1"/>
      <w:numFmt w:val="lowerLetter"/>
      <w:lvlText w:val="%5."/>
      <w:lvlJc w:val="left"/>
      <w:pPr>
        <w:ind w:left="4091" w:hanging="360"/>
      </w:pPr>
      <w:rPr>
        <w:rFonts w:cs="Times New Roman"/>
      </w:rPr>
    </w:lvl>
    <w:lvl w:ilvl="5" w:tplc="0809001B">
      <w:start w:val="1"/>
      <w:numFmt w:val="lowerRoman"/>
      <w:lvlText w:val="%6."/>
      <w:lvlJc w:val="right"/>
      <w:pPr>
        <w:ind w:left="4811" w:hanging="180"/>
      </w:pPr>
      <w:rPr>
        <w:rFonts w:cs="Times New Roman"/>
      </w:rPr>
    </w:lvl>
    <w:lvl w:ilvl="6" w:tplc="0809000F">
      <w:start w:val="1"/>
      <w:numFmt w:val="decimal"/>
      <w:lvlText w:val="%7."/>
      <w:lvlJc w:val="left"/>
      <w:pPr>
        <w:ind w:left="5531" w:hanging="360"/>
      </w:pPr>
      <w:rPr>
        <w:rFonts w:cs="Times New Roman"/>
      </w:rPr>
    </w:lvl>
    <w:lvl w:ilvl="7" w:tplc="08090019">
      <w:start w:val="1"/>
      <w:numFmt w:val="lowerLetter"/>
      <w:lvlText w:val="%8."/>
      <w:lvlJc w:val="left"/>
      <w:pPr>
        <w:ind w:left="6251" w:hanging="360"/>
      </w:pPr>
      <w:rPr>
        <w:rFonts w:cs="Times New Roman"/>
      </w:rPr>
    </w:lvl>
    <w:lvl w:ilvl="8" w:tplc="0809001B">
      <w:start w:val="1"/>
      <w:numFmt w:val="lowerRoman"/>
      <w:lvlText w:val="%9."/>
      <w:lvlJc w:val="right"/>
      <w:pPr>
        <w:ind w:left="6971" w:hanging="180"/>
      </w:pPr>
      <w:rPr>
        <w:rFonts w:cs="Times New Roman"/>
      </w:rPr>
    </w:lvl>
  </w:abstractNum>
  <w:abstractNum w:abstractNumId="33">
    <w:nsid w:val="358B6119"/>
    <w:multiLevelType w:val="multilevel"/>
    <w:tmpl w:val="A8BA546C"/>
    <w:lvl w:ilvl="0">
      <w:numFmt w:val="decimal"/>
      <w:pStyle w:val="ListNumber1"/>
      <w:lvlText w:val=""/>
      <w:lvlJc w:val="left"/>
    </w:lvl>
    <w:lvl w:ilvl="1">
      <w:numFmt w:val="decimal"/>
      <w:pStyle w:val="ListNumber1Level2"/>
      <w:lvlText w:val=""/>
      <w:lvlJc w:val="left"/>
    </w:lvl>
    <w:lvl w:ilvl="2">
      <w:numFmt w:val="decimal"/>
      <w:pStyle w:val="ListNumber1Level3"/>
      <w:lvlText w:val=""/>
      <w:lvlJc w:val="left"/>
    </w:lvl>
    <w:lvl w:ilvl="3">
      <w:numFmt w:val="decimal"/>
      <w:pStyle w:val="ListNumber1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98C6F57"/>
    <w:multiLevelType w:val="multilevel"/>
    <w:tmpl w:val="9822F168"/>
    <w:lvl w:ilvl="0">
      <w:start w:val="1"/>
      <w:numFmt w:val="decimal"/>
      <w:lvlText w:val="%1."/>
      <w:lvlJc w:val="left"/>
      <w:pPr>
        <w:tabs>
          <w:tab w:val="num" w:pos="851"/>
        </w:tabs>
        <w:ind w:left="851" w:hanging="851"/>
      </w:pPr>
      <w:rPr>
        <w:rFonts w:ascii="Times New Roman Bold" w:hAnsi="Times New Roman Bold" w:cs="Courier" w:hint="default"/>
        <w:b/>
        <w:bCs w:val="0"/>
        <w:i w:val="0"/>
        <w:caps w:val="0"/>
        <w:strike w:val="0"/>
        <w:dstrike w:val="0"/>
        <w:vanish w:val="0"/>
        <w:webHidden w:val="0"/>
        <w:color w:val="000000"/>
        <w:spacing w:val="0"/>
        <w:kern w:val="0"/>
        <w:position w:val="0"/>
        <w:sz w:val="24"/>
        <w:szCs w:val="24"/>
        <w:u w:val="none"/>
        <w:effect w:val="none"/>
        <w:vertAlign w:val="baseline"/>
        <w:specVanish w:val="0"/>
      </w:rPr>
    </w:lvl>
    <w:lvl w:ilvl="1">
      <w:start w:val="1"/>
      <w:numFmt w:val="decimal"/>
      <w:lvlText w:val="%1.%2"/>
      <w:lvlJc w:val="left"/>
      <w:pPr>
        <w:tabs>
          <w:tab w:val="num" w:pos="851"/>
        </w:tabs>
        <w:ind w:left="851" w:hanging="851"/>
      </w:pPr>
      <w:rPr>
        <w:rFonts w:ascii="Times New Roman Bold" w:hAnsi="Times New Roman Bold" w:cs="Courier" w:hint="default"/>
        <w:b/>
        <w:i w:val="0"/>
        <w:color w:val="auto"/>
        <w:sz w:val="24"/>
      </w:rPr>
    </w:lvl>
    <w:lvl w:ilvl="2">
      <w:start w:val="1"/>
      <w:numFmt w:val="decimal"/>
      <w:lvlText w:val="%1.%2.%3"/>
      <w:lvlJc w:val="left"/>
      <w:pPr>
        <w:tabs>
          <w:tab w:val="num" w:pos="851"/>
        </w:tabs>
        <w:ind w:left="851" w:hanging="851"/>
      </w:pPr>
      <w:rPr>
        <w:rFonts w:ascii="Times New Roman Bold" w:hAnsi="Times New Roman Bold" w:cs="Courier" w:hint="default"/>
        <w:b/>
        <w:i/>
        <w:sz w:val="24"/>
      </w:rPr>
    </w:lvl>
    <w:lvl w:ilvl="3">
      <w:start w:val="1"/>
      <w:numFmt w:val="decimal"/>
      <w:lvlText w:val="%1.%2.%3.%4"/>
      <w:lvlJc w:val="left"/>
      <w:pPr>
        <w:tabs>
          <w:tab w:val="num" w:pos="851"/>
        </w:tabs>
        <w:ind w:left="851" w:hanging="851"/>
      </w:pPr>
      <w:rPr>
        <w:rFonts w:ascii="Courier" w:hAnsi="Courier" w:cs="Courier" w:hint="default"/>
        <w:b w:val="0"/>
        <w:i/>
        <w:sz w:val="24"/>
      </w:rPr>
    </w:lvl>
    <w:lvl w:ilvl="4">
      <w:start w:val="1"/>
      <w:numFmt w:val="decimal"/>
      <w:lvlText w:val="%1.%2.%3.%4.%5"/>
      <w:lvlJc w:val="left"/>
      <w:pPr>
        <w:tabs>
          <w:tab w:val="num" w:pos="1008"/>
        </w:tabs>
        <w:ind w:left="1008" w:hanging="1008"/>
      </w:pPr>
      <w:rPr>
        <w:rFonts w:cs="Courier"/>
      </w:rPr>
    </w:lvl>
    <w:lvl w:ilvl="5">
      <w:start w:val="1"/>
      <w:numFmt w:val="decimal"/>
      <w:lvlText w:val="%1.%2.%3.%4.%5.%6"/>
      <w:lvlJc w:val="left"/>
      <w:pPr>
        <w:tabs>
          <w:tab w:val="num" w:pos="1152"/>
        </w:tabs>
        <w:ind w:left="1152" w:hanging="1152"/>
      </w:pPr>
      <w:rPr>
        <w:rFonts w:cs="Courier"/>
      </w:rPr>
    </w:lvl>
    <w:lvl w:ilvl="6">
      <w:start w:val="1"/>
      <w:numFmt w:val="decimal"/>
      <w:lvlText w:val="%1.%2.%3.%4.%5.%6.%7"/>
      <w:lvlJc w:val="left"/>
      <w:pPr>
        <w:tabs>
          <w:tab w:val="num" w:pos="1296"/>
        </w:tabs>
        <w:ind w:left="1296" w:hanging="1296"/>
      </w:pPr>
      <w:rPr>
        <w:rFonts w:cs="Courier"/>
      </w:rPr>
    </w:lvl>
    <w:lvl w:ilvl="7">
      <w:start w:val="1"/>
      <w:numFmt w:val="decimal"/>
      <w:lvlText w:val="%1.%2.%3.%4.%5.%6.%7.%8"/>
      <w:lvlJc w:val="left"/>
      <w:pPr>
        <w:tabs>
          <w:tab w:val="num" w:pos="1440"/>
        </w:tabs>
        <w:ind w:left="1440" w:hanging="1440"/>
      </w:pPr>
      <w:rPr>
        <w:rFonts w:cs="Courier"/>
      </w:rPr>
    </w:lvl>
    <w:lvl w:ilvl="8">
      <w:start w:val="1"/>
      <w:numFmt w:val="decimal"/>
      <w:lvlText w:val="%1.%2.%3.%4.%5.%6.%7.%8.%9"/>
      <w:lvlJc w:val="left"/>
      <w:pPr>
        <w:tabs>
          <w:tab w:val="num" w:pos="1584"/>
        </w:tabs>
        <w:ind w:left="1584" w:hanging="1584"/>
      </w:pPr>
      <w:rPr>
        <w:rFonts w:cs="Courier"/>
      </w:rPr>
    </w:lvl>
  </w:abstractNum>
  <w:abstractNum w:abstractNumId="35">
    <w:nsid w:val="3AFB6DC8"/>
    <w:multiLevelType w:val="singleLevel"/>
    <w:tmpl w:val="D97CFDF8"/>
    <w:lvl w:ilvl="0">
      <w:numFmt w:val="decimal"/>
      <w:pStyle w:val="ListBullet2"/>
      <w:lvlText w:val=""/>
      <w:lvlJc w:val="left"/>
    </w:lvl>
  </w:abstractNum>
  <w:abstractNum w:abstractNumId="36">
    <w:nsid w:val="3B4F780D"/>
    <w:multiLevelType w:val="multilevel"/>
    <w:tmpl w:val="B10E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CF00E18"/>
    <w:multiLevelType w:val="singleLevel"/>
    <w:tmpl w:val="4E1A982C"/>
    <w:lvl w:ilvl="0">
      <w:numFmt w:val="decimal"/>
      <w:pStyle w:val="ListBullet"/>
      <w:lvlText w:val=""/>
      <w:lvlJc w:val="left"/>
    </w:lvl>
  </w:abstractNum>
  <w:abstractNum w:abstractNumId="38">
    <w:nsid w:val="46113D4F"/>
    <w:multiLevelType w:val="singleLevel"/>
    <w:tmpl w:val="A3323CB8"/>
    <w:lvl w:ilvl="0">
      <w:numFmt w:val="decimal"/>
      <w:pStyle w:val="ListDash3"/>
      <w:lvlText w:val=""/>
      <w:lvlJc w:val="left"/>
    </w:lvl>
  </w:abstractNum>
  <w:abstractNum w:abstractNumId="39">
    <w:nsid w:val="46CC47E1"/>
    <w:multiLevelType w:val="hybridMultilevel"/>
    <w:tmpl w:val="A01C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96207CF"/>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ABD76B2"/>
    <w:multiLevelType w:val="multilevel"/>
    <w:tmpl w:val="601C6DB4"/>
    <w:lvl w:ilvl="0">
      <w:numFmt w:val="decimal"/>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4593082"/>
    <w:multiLevelType w:val="singleLevel"/>
    <w:tmpl w:val="EDE069AC"/>
    <w:name w:val="Bullet 1"/>
    <w:lvl w:ilvl="0">
      <w:numFmt w:val="decimal"/>
      <w:pStyle w:val="Bullet0"/>
      <w:lvlText w:val=""/>
      <w:lvlJc w:val="left"/>
    </w:lvl>
  </w:abstractNum>
  <w:abstractNum w:abstractNumId="43">
    <w:nsid w:val="54D10AB0"/>
    <w:multiLevelType w:val="singleLevel"/>
    <w:tmpl w:val="5B50620E"/>
    <w:lvl w:ilvl="0">
      <w:numFmt w:val="decimal"/>
      <w:pStyle w:val="ListDash4"/>
      <w:lvlText w:val=""/>
      <w:lvlJc w:val="left"/>
    </w:lvl>
  </w:abstractNum>
  <w:abstractNum w:abstractNumId="44">
    <w:nsid w:val="55BF3D2E"/>
    <w:multiLevelType w:val="hybridMultilevel"/>
    <w:tmpl w:val="8A66D5C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576B6C27"/>
    <w:multiLevelType w:val="hybridMultilevel"/>
    <w:tmpl w:val="D68EA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94B6127"/>
    <w:multiLevelType w:val="hybridMultilevel"/>
    <w:tmpl w:val="DD442056"/>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47">
    <w:nsid w:val="5B2C6F90"/>
    <w:multiLevelType w:val="hybridMultilevel"/>
    <w:tmpl w:val="591ACF9E"/>
    <w:lvl w:ilvl="0" w:tplc="BE2E7CB2">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E0D6286"/>
    <w:multiLevelType w:val="singleLevel"/>
    <w:tmpl w:val="B0567122"/>
    <w:lvl w:ilvl="0">
      <w:numFmt w:val="decimal"/>
      <w:pStyle w:val="ListDash2"/>
      <w:lvlText w:val=""/>
      <w:lvlJc w:val="left"/>
    </w:lvl>
  </w:abstractNum>
  <w:abstractNum w:abstractNumId="49">
    <w:nsid w:val="6057433F"/>
    <w:multiLevelType w:val="singleLevel"/>
    <w:tmpl w:val="3D5ECD48"/>
    <w:lvl w:ilvl="0">
      <w:numFmt w:val="decimal"/>
      <w:pStyle w:val="ListDash1"/>
      <w:lvlText w:val=""/>
      <w:lvlJc w:val="left"/>
    </w:lvl>
  </w:abstractNum>
  <w:abstractNum w:abstractNumId="50">
    <w:nsid w:val="620F2440"/>
    <w:multiLevelType w:val="singleLevel"/>
    <w:tmpl w:val="6860A420"/>
    <w:lvl w:ilvl="0">
      <w:numFmt w:val="decimal"/>
      <w:pStyle w:val="ListBullet3"/>
      <w:lvlText w:val=""/>
      <w:lvlJc w:val="left"/>
    </w:lvl>
  </w:abstractNum>
  <w:abstractNum w:abstractNumId="51">
    <w:nsid w:val="64987A49"/>
    <w:multiLevelType w:val="hybridMultilevel"/>
    <w:tmpl w:val="1E286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DF118C0"/>
    <w:multiLevelType w:val="singleLevel"/>
    <w:tmpl w:val="B90C8B88"/>
    <w:lvl w:ilvl="0">
      <w:numFmt w:val="decimal"/>
      <w:pStyle w:val="ListBullet4"/>
      <w:lvlText w:val=""/>
      <w:lvlJc w:val="left"/>
    </w:lvl>
  </w:abstractNum>
  <w:abstractNum w:abstractNumId="53">
    <w:nsid w:val="706B072C"/>
    <w:multiLevelType w:val="hybridMultilevel"/>
    <w:tmpl w:val="B7BC1D9E"/>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54">
    <w:nsid w:val="712144E3"/>
    <w:multiLevelType w:val="hybridMultilevel"/>
    <w:tmpl w:val="0FDE0F4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55">
    <w:nsid w:val="722304D7"/>
    <w:multiLevelType w:val="multilevel"/>
    <w:tmpl w:val="9DE2758E"/>
    <w:lvl w:ilvl="0">
      <w:numFmt w:val="decimal"/>
      <w:pStyle w:val="ListNumber4"/>
      <w:lvlText w:val=""/>
      <w:lvlJc w:val="left"/>
    </w:lvl>
    <w:lvl w:ilvl="1">
      <w:numFmt w:val="decimal"/>
      <w:pStyle w:val="ListNumber4Level2"/>
      <w:lvlText w:val=""/>
      <w:lvlJc w:val="left"/>
    </w:lvl>
    <w:lvl w:ilvl="2">
      <w:numFmt w:val="decimal"/>
      <w:pStyle w:val="ListNumber4Level3"/>
      <w:lvlText w:val=""/>
      <w:lvlJc w:val="left"/>
    </w:lvl>
    <w:lvl w:ilvl="3">
      <w:numFmt w:val="decimal"/>
      <w:pStyle w:val="ListNumber4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73362880"/>
    <w:multiLevelType w:val="hybridMultilevel"/>
    <w:tmpl w:val="D0D078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76783A2A"/>
    <w:multiLevelType w:val="hybridMultilevel"/>
    <w:tmpl w:val="3B44074E"/>
    <w:lvl w:ilvl="0" w:tplc="08090019">
      <w:start w:val="1"/>
      <w:numFmt w:val="lowerLetter"/>
      <w:lvlText w:val="%1."/>
      <w:lvlJc w:val="left"/>
      <w:pPr>
        <w:ind w:left="786"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58">
    <w:nsid w:val="76C40A01"/>
    <w:multiLevelType w:val="hybridMultilevel"/>
    <w:tmpl w:val="0CAC6F2C"/>
    <w:lvl w:ilvl="0" w:tplc="0809000F">
      <w:numFmt w:val="decimal"/>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59">
    <w:nsid w:val="7CB20CD3"/>
    <w:multiLevelType w:val="hybridMultilevel"/>
    <w:tmpl w:val="851878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5"/>
  </w:num>
  <w:num w:numId="4">
    <w:abstractNumId w:val="37"/>
  </w:num>
  <w:num w:numId="5">
    <w:abstractNumId w:val="24"/>
  </w:num>
  <w:num w:numId="6">
    <w:abstractNumId w:val="35"/>
  </w:num>
  <w:num w:numId="7">
    <w:abstractNumId w:val="50"/>
  </w:num>
  <w:num w:numId="8">
    <w:abstractNumId w:val="52"/>
  </w:num>
  <w:num w:numId="9">
    <w:abstractNumId w:val="31"/>
  </w:num>
  <w:num w:numId="10">
    <w:abstractNumId w:val="49"/>
  </w:num>
  <w:num w:numId="11">
    <w:abstractNumId w:val="48"/>
  </w:num>
  <w:num w:numId="12">
    <w:abstractNumId w:val="38"/>
  </w:num>
  <w:num w:numId="13">
    <w:abstractNumId w:val="43"/>
  </w:num>
  <w:num w:numId="14">
    <w:abstractNumId w:val="20"/>
  </w:num>
  <w:num w:numId="15">
    <w:abstractNumId w:val="33"/>
  </w:num>
  <w:num w:numId="16">
    <w:abstractNumId w:val="12"/>
  </w:num>
  <w:num w:numId="17">
    <w:abstractNumId w:val="25"/>
  </w:num>
  <w:num w:numId="18">
    <w:abstractNumId w:val="55"/>
  </w:num>
  <w:num w:numId="19">
    <w:abstractNumId w:val="23"/>
  </w:num>
  <w:num w:numId="20">
    <w:abstractNumId w:val="10"/>
  </w:num>
  <w:num w:numId="21">
    <w:abstractNumId w:val="42"/>
  </w:num>
  <w:num w:numId="22">
    <w:abstractNumId w:val="58"/>
  </w:num>
  <w:num w:numId="23">
    <w:abstractNumId w:val="17"/>
  </w:num>
  <w:num w:numId="24">
    <w:abstractNumId w:val="17"/>
  </w:num>
  <w:num w:numId="25">
    <w:abstractNumId w:val="41"/>
  </w:num>
  <w:num w:numId="26">
    <w:abstractNumId w:val="15"/>
  </w:num>
  <w:num w:numId="27">
    <w:abstractNumId w:val="53"/>
  </w:num>
  <w:num w:numId="28">
    <w:abstractNumId w:val="18"/>
  </w:num>
  <w:num w:numId="29">
    <w:abstractNumId w:val="4"/>
  </w:num>
  <w:num w:numId="30">
    <w:abstractNumId w:val="40"/>
  </w:num>
  <w:num w:numId="31">
    <w:abstractNumId w:val="2"/>
  </w:num>
  <w:num w:numId="32">
    <w:abstractNumId w:val="9"/>
  </w:num>
  <w:num w:numId="33">
    <w:abstractNumId w:val="21"/>
  </w:num>
  <w:num w:numId="34">
    <w:abstractNumId w:val="19"/>
  </w:num>
  <w:num w:numId="35">
    <w:abstractNumId w:val="59"/>
  </w:num>
  <w:num w:numId="36">
    <w:abstractNumId w:val="29"/>
  </w:num>
  <w:num w:numId="37">
    <w:abstractNumId w:val="15"/>
  </w:num>
  <w:num w:numId="38">
    <w:abstractNumId w:val="8"/>
  </w:num>
  <w:num w:numId="39">
    <w:abstractNumId w:val="27"/>
  </w:num>
  <w:num w:numId="40">
    <w:abstractNumId w:val="13"/>
  </w:num>
  <w:num w:numId="41">
    <w:abstractNumId w:val="7"/>
  </w:num>
  <w:num w:numId="42">
    <w:abstractNumId w:val="11"/>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 w:numId="47">
    <w:abstractNumId w:val="30"/>
  </w:num>
  <w:num w:numId="48">
    <w:abstractNumId w:val="15"/>
  </w:num>
  <w:num w:numId="49">
    <w:abstractNumId w:val="28"/>
  </w:num>
  <w:num w:numId="50">
    <w:abstractNumId w:val="47"/>
  </w:num>
  <w:num w:numId="51">
    <w:abstractNumId w:val="3"/>
  </w:num>
  <w:num w:numId="52">
    <w:abstractNumId w:val="46"/>
  </w:num>
  <w:num w:numId="53">
    <w:abstractNumId w:val="54"/>
  </w:num>
  <w:num w:numId="54">
    <w:abstractNumId w:val="6"/>
  </w:num>
  <w:num w:numId="55">
    <w:abstractNumId w:val="15"/>
  </w:num>
  <w:num w:numId="56">
    <w:abstractNumId w:val="16"/>
  </w:num>
  <w:num w:numId="57">
    <w:abstractNumId w:val="11"/>
  </w:num>
  <w:num w:numId="58">
    <w:abstractNumId w:val="51"/>
  </w:num>
  <w:num w:numId="59">
    <w:abstractNumId w:val="57"/>
  </w:num>
  <w:num w:numId="60">
    <w:abstractNumId w:val="56"/>
  </w:num>
  <w:num w:numId="61">
    <w:abstractNumId w:val="36"/>
  </w:num>
  <w:num w:numId="62">
    <w:abstractNumId w:val="44"/>
  </w:num>
  <w:num w:numId="63">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5"/>
  </w:num>
  <w:num w:numId="65">
    <w:abstractNumId w:val="15"/>
    <w:lvlOverride w:ilvl="0">
      <w:startOverride w:val="8"/>
    </w:lvlOverride>
    <w:lvlOverride w:ilvl="1">
      <w:startOverride w:val="1"/>
    </w:lvlOverride>
    <w:lvlOverride w:ilvl="2"/>
    <w:lvlOverride w:ilvl="3"/>
    <w:lvlOverride w:ilvl="4"/>
    <w:lvlOverride w:ilvl="5"/>
    <w:lvlOverride w:ilvl="6"/>
    <w:lvlOverride w:ilvl="7"/>
    <w:lvlOverride w:ilvl="8"/>
  </w:num>
  <w:num w:numId="66">
    <w:abstractNumId w:val="15"/>
  </w:num>
  <w:num w:numId="67">
    <w:abstractNumId w:val="4"/>
  </w:num>
  <w:num w:numId="68">
    <w:abstractNumId w:val="4"/>
  </w:num>
  <w:num w:numId="69">
    <w:abstractNumId w:val="4"/>
  </w:num>
  <w:num w:numId="70">
    <w:abstractNumId w:val="15"/>
  </w:num>
  <w:num w:numId="71">
    <w:abstractNumId w:val="4"/>
  </w:num>
  <w:num w:numId="72">
    <w:abstractNumId w:val="15"/>
  </w:num>
  <w:num w:numId="73">
    <w:abstractNumId w:val="15"/>
  </w:num>
  <w:num w:numId="74">
    <w:abstractNumId w:val="15"/>
  </w:num>
  <w:num w:numId="75">
    <w:abstractNumId w:val="15"/>
  </w:num>
  <w:num w:numId="76">
    <w:abstractNumId w:val="15"/>
  </w:num>
  <w:num w:numId="77">
    <w:abstractNumId w:val="15"/>
  </w:num>
  <w:num w:numId="78">
    <w:abstractNumId w:val="15"/>
  </w:num>
  <w:num w:numId="79">
    <w:abstractNumId w:val="15"/>
  </w:num>
  <w:num w:numId="80">
    <w:abstractNumId w:val="15"/>
  </w:num>
  <w:num w:numId="81">
    <w:abstractNumId w:val="4"/>
  </w:num>
  <w:num w:numId="82">
    <w:abstractNumId w:val="15"/>
  </w:num>
  <w:num w:numId="83">
    <w:abstractNumId w:val="26"/>
  </w:num>
  <w:num w:numId="84">
    <w:abstractNumId w:val="26"/>
  </w:num>
  <w:num w:numId="85">
    <w:abstractNumId w:val="26"/>
  </w:num>
  <w:num w:numId="8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7">
    <w:abstractNumId w:val="20"/>
  </w:num>
  <w:num w:numId="88">
    <w:abstractNumId w:val="20"/>
  </w:num>
  <w:num w:numId="89">
    <w:abstractNumId w:val="14"/>
  </w:num>
  <w:num w:numId="90">
    <w:abstractNumId w:val="39"/>
  </w:num>
  <w:num w:numId="91">
    <w:abstractNumId w:val="2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VERPAGE_EXISTS" w:val="True"/>
    <w:docVar w:name="DocStatus" w:val="Green"/>
    <w:docVar w:name="LW_ACCOMPAGNANT.CP" w:val="amely a következ\u337? dokumentumot kíséri"/>
    <w:docVar w:name="LW_CONFIDENCE" w:val=" "/>
    <w:docVar w:name="LW_CONST_RESTREINT_UE" w:val="RESTREINT UE"/>
    <w:docVar w:name="LW_CORRIGENDUM" w:val="&lt;UNUSED&gt;"/>
    <w:docVar w:name="LW_COVERPAGE_GUID" w:val="49978D56A0564109BA8E8BDA5635994E"/>
    <w:docVar w:name="LW_CROSSREFERENCE" w:val="{COM(2017) 208 final}_x000b_{SWD(2017) 148 final}"/>
    <w:docVar w:name="LW_DocType" w:val="REP"/>
    <w:docVar w:name="LW_EMISSION" w:val="2017.5.4."/>
    <w:docVar w:name="LW_EMISSION_ISODATE" w:val="2017-05-04"/>
    <w:docVar w:name="LW_EMISSION_LOCATION" w:val="BRX"/>
    <w:docVar w:name="LW_EMISSION_PREFIX" w:val="Brüsszel, "/>
    <w:docVar w:name="LW_EMISSION_SUFFIX" w:val=" "/>
    <w:docVar w:name="LW_ID_DOCTYPE_NONLW" w:val="CP-027"/>
    <w:docVar w:name="LW_LANGUE" w:val="HU"/>
    <w:docVar w:name="LW_MARKING" w:val="&lt;UNUSED&gt;"/>
    <w:docVar w:name="LW_NOM.INST" w:val="EURÓPAI BIZOTTSÁG"/>
    <w:docVar w:name="LW_NOM.INST_JOINTDOC" w:val="&lt;EMPTY&gt;"/>
    <w:docVar w:name="LW_OBJETACTEPRINCIPAL.CP" w:val="a 648/2012/EU rendeletnek az elszámolási kötelezettség, az elszámolási kötelezettség felfüggesztése, a jelentéstételi kötelezettségek, a nem központi szerz\u337?d\u337? fél által elszámolt, t\u337?zsdén kívüli származtatott ügyletekre vonatkozó kockázatcsökkentési technikák, a kereskedési adattárak nyilvántartásba vétele és felügyelete, valamint a kereskedési adattárakkal szembeni követelmények tekintetében történ\u337? módosításáról"/>
    <w:docVar w:name="LW_PART_NBR" w:val="1"/>
    <w:docVar w:name="LW_PART_NBR_TOTAL" w:val="1"/>
    <w:docVar w:name="LW_REF.INST.NEW" w:val="SWD"/>
    <w:docVar w:name="LW_REF.INST.NEW_ADOPTED" w:val="final"/>
    <w:docVar w:name="LW_REF.INST.NEW_TEXT" w:val="(2017) 149"/>
    <w:docVar w:name="LW_REF.INTERNE" w:val="&lt;UNUSED&gt;"/>
    <w:docVar w:name="LW_SUPERTITRE" w:val="&lt;UNUSED&gt;"/>
    <w:docVar w:name="LW_TITRE.OBJ.CP" w:val="&lt;UNUSED&gt;"/>
    <w:docVar w:name="LW_TYPE.DOC.CP" w:val="BIZOTTSÁGI SZOLGÁLATI MUNKADOKUMENTUM_x000b__x000b_A HATÁSVIZSGÁLAT VEZET\u336?I ÖSSZEFOGLALÓJA_x000b_"/>
    <w:docVar w:name="LW_TYPEACTEPRINCIPAL.CP" w:val="JAVASLAT_x000b_AZ EURÓPAI PARLAMENT ÉS A TANÁCS RENDELETE"/>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64"/>
      </w:numPr>
      <w:spacing w:before="240"/>
      <w:outlineLvl w:val="0"/>
    </w:pPr>
    <w:rPr>
      <w:b/>
      <w:smallCaps/>
    </w:rPr>
  </w:style>
  <w:style w:type="paragraph" w:styleId="Heading2">
    <w:name w:val="heading 2"/>
    <w:basedOn w:val="Normal"/>
    <w:next w:val="Text2"/>
    <w:link w:val="Heading2Char"/>
    <w:qFormat/>
    <w:pPr>
      <w:keepNext/>
      <w:numPr>
        <w:ilvl w:val="1"/>
        <w:numId w:val="64"/>
      </w:numPr>
      <w:spacing w:line="276" w:lineRule="auto"/>
      <w:outlineLvl w:val="1"/>
    </w:pPr>
    <w:rPr>
      <w:b/>
      <w:bCs/>
    </w:rPr>
  </w:style>
  <w:style w:type="paragraph" w:styleId="Heading3">
    <w:name w:val="heading 3"/>
    <w:basedOn w:val="Normal"/>
    <w:next w:val="Text3"/>
    <w:qFormat/>
    <w:pPr>
      <w:keepNext/>
      <w:numPr>
        <w:ilvl w:val="2"/>
        <w:numId w:val="64"/>
      </w:numPr>
      <w:outlineLvl w:val="2"/>
    </w:pPr>
    <w:rPr>
      <w:i/>
    </w:rPr>
  </w:style>
  <w:style w:type="paragraph" w:styleId="Heading4">
    <w:name w:val="heading 4"/>
    <w:basedOn w:val="Normal"/>
    <w:next w:val="Text4"/>
    <w:qFormat/>
    <w:pPr>
      <w:keepNext/>
      <w:numPr>
        <w:ilvl w:val="3"/>
        <w:numId w:val="64"/>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 Char,Footnote,Fußnote,FSR footnote,lábléc,fn,Texto nota pie Car,notefranz,Footnote Text Char Char Char Char Char Char Char Char Char Char Char Char Char Char Char Char Char,Footnote Text Char1,Char"/>
    <w:basedOn w:val="Normal"/>
    <w:link w:val="FootnoteTextChar"/>
    <w:uiPriority w:val="99"/>
    <w:qFormat/>
    <w:pPr>
      <w:tabs>
        <w:tab w:val="left" w:pos="284"/>
      </w:tabs>
      <w:spacing w:after="0"/>
      <w:ind w:left="284" w:hanging="284"/>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rPr>
      <w:sz w:val="24"/>
      <w:lang w:eastAsia="hu-HU"/>
    </w:rPr>
  </w:style>
  <w:style w:type="paragraph" w:customStyle="1" w:styleId="Bullet1">
    <w:name w:val="Bullet 1"/>
    <w:basedOn w:val="Normal"/>
    <w:pPr>
      <w:numPr>
        <w:numId w:val="19"/>
      </w:numPr>
      <w:spacing w:before="120" w:after="120"/>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Emission">
    <w:name w:val="Emission"/>
    <w:basedOn w:val="Normal"/>
    <w:next w:val="Normal"/>
    <w:pPr>
      <w:spacing w:after="0"/>
      <w:ind w:left="5103"/>
      <w:jc w:val="left"/>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agedecouverture">
    <w:name w:val="Page de couverture"/>
    <w:basedOn w:val="Normal"/>
    <w:next w:val="Normal"/>
    <w:pPr>
      <w:spacing w:before="120" w:after="120"/>
    </w:pPr>
    <w:rPr>
      <w:szCs w:val="24"/>
    </w:rPr>
  </w:style>
  <w:style w:type="paragraph" w:customStyle="1" w:styleId="TypedudocumentPagedecouverture">
    <w:name w:val="Type du document (Page de couverture)"/>
    <w:basedOn w:val="Normal"/>
    <w:next w:val="Normal"/>
    <w:pPr>
      <w:spacing w:before="360" w:after="0"/>
      <w:jc w:val="center"/>
    </w:pPr>
    <w:rPr>
      <w:b/>
      <w:szCs w:val="24"/>
    </w:rPr>
  </w:style>
  <w:style w:type="paragraph" w:customStyle="1" w:styleId="Prliminairetype">
    <w:name w:val="Préliminaire type"/>
    <w:basedOn w:val="Normal"/>
    <w:next w:val="Normal"/>
    <w:pPr>
      <w:spacing w:before="360" w:after="0"/>
      <w:jc w:val="center"/>
    </w:pPr>
    <w:rPr>
      <w:b/>
      <w:szCs w:val="24"/>
    </w:rPr>
  </w:style>
  <w:style w:type="paragraph" w:customStyle="1" w:styleId="Rfrenceinstitutionelle">
    <w:name w:val="Référence institutionelle"/>
    <w:basedOn w:val="Normal"/>
    <w:next w:val="Normal"/>
    <w:pPr>
      <w:ind w:left="5103"/>
      <w:jc w:val="left"/>
    </w:pPr>
    <w:rPr>
      <w:szCs w:val="24"/>
    </w:rPr>
  </w:style>
  <w:style w:type="character" w:styleId="Hyperlink">
    <w:name w:val="Hyperlink"/>
    <w:uiPriority w:val="99"/>
    <w:rPr>
      <w:rFonts w:cs="Times New Roman"/>
      <w:color w:val="0000FF"/>
      <w:u w:val="single"/>
      <w:shd w:val="clear" w:color="auto" w:fill="auto"/>
    </w:rPr>
  </w:style>
  <w:style w:type="numbering" w:styleId="111111">
    <w:name w:val="Outline List 2"/>
    <w:basedOn w:val="NoList"/>
    <w:pPr>
      <w:numPr>
        <w:numId w:val="20"/>
      </w:numPr>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character" w:customStyle="1" w:styleId="Marker">
    <w:name w:val="Marker"/>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rPr>
      <w:vertAlign w:val="superscript"/>
    </w:rPr>
  </w:style>
  <w:style w:type="paragraph" w:customStyle="1" w:styleId="Bullet0">
    <w:name w:val="Bullet 0"/>
    <w:basedOn w:val="Normal"/>
    <w:pPr>
      <w:numPr>
        <w:numId w:val="21"/>
      </w:numPr>
      <w:spacing w:before="120" w:after="120"/>
    </w:pPr>
    <w:rPr>
      <w:szCs w:val="24"/>
    </w:rPr>
  </w:style>
  <w:style w:type="character" w:customStyle="1" w:styleId="FootnoteTextChar">
    <w:name w:val="Footnote Text Char"/>
    <w:aliases w:val="Footnote Text Char Char Char,Footnote Char,Fußnote Char,FSR footnote Char,lábléc Char,fn Char,Texto nota pie Car Char,notefranz Char,Footnote Text Char1 Char,Char Char1"/>
    <w:link w:val="FootnoteText"/>
    <w:uiPriority w:val="99"/>
    <w:rPr>
      <w:lang w:eastAsia="hu-HU"/>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hu-HU"/>
    </w:rPr>
  </w:style>
  <w:style w:type="character" w:customStyle="1" w:styleId="CommentSubjectChar">
    <w:name w:val="Comment Subject Char"/>
    <w:link w:val="CommentSubject"/>
    <w:uiPriority w:val="99"/>
    <w:semiHidden/>
    <w:rPr>
      <w:b/>
      <w:bCs/>
      <w:lang w:eastAsia="hu-HU"/>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rPr>
  </w:style>
  <w:style w:type="character" w:customStyle="1" w:styleId="Heading1Char">
    <w:name w:val="Heading 1 Char"/>
    <w:link w:val="Heading1"/>
    <w:rPr>
      <w:b/>
      <w:smallCaps/>
      <w:sz w:val="24"/>
      <w:lang w:val="hu-HU"/>
    </w:rPr>
  </w:style>
  <w:style w:type="paragraph" w:customStyle="1" w:styleId="ColorfulList-Accent11">
    <w:name w:val="Colorful List - Accent 11"/>
    <w:basedOn w:val="CommentText"/>
    <w:qFormat/>
    <w:pPr>
      <w:spacing w:before="120" w:after="120"/>
    </w:pPr>
    <w:rPr>
      <w:sz w:val="24"/>
      <w:szCs w:val="24"/>
    </w:rPr>
  </w:style>
  <w:style w:type="character" w:customStyle="1" w:styleId="Heading2Char">
    <w:name w:val="Heading 2 Char"/>
    <w:link w:val="Heading2"/>
    <w:rPr>
      <w:b/>
      <w:bCs/>
      <w:sz w:val="24"/>
      <w:lang w:val="hu-HU" w:eastAsia="hu-HU"/>
    </w:rPr>
  </w:style>
  <w:style w:type="character" w:customStyle="1" w:styleId="BookTitle1">
    <w:name w:val="Book Title1"/>
    <w:uiPriority w:val="33"/>
    <w:qFormat/>
    <w:rPr>
      <w:b/>
      <w:bCs/>
      <w:smallCaps/>
      <w:spacing w:val="5"/>
    </w:rPr>
  </w:style>
  <w:style w:type="character" w:styleId="EndnoteReference">
    <w:name w:val="endnote reference"/>
    <w:uiPriority w:val="99"/>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semiHidden/>
    <w:unhideWhenUsed/>
    <w:rPr>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Emphasis">
    <w:name w:val="Emphasis"/>
    <w:uiPriority w:val="20"/>
    <w:qFormat/>
    <w:rPr>
      <w:rFonts w:ascii="Times New Roman" w:hAnsi="Times New Roman" w:cs="Times New Roman" w:hint="default"/>
      <w:i w:val="0"/>
      <w:iCs w:val="0"/>
    </w:rPr>
  </w:style>
  <w:style w:type="character" w:customStyle="1" w:styleId="FootnoteTextChar2">
    <w:name w:val="Footnote Text Char2"/>
    <w:aliases w:val="Footnote Text Char Char Char1,Footnote Char1,Fußnote Char1,FSR footnote Char1,lábléc Char1,fn Char1,Texto nota pie Car Char1,notefranz Char1,Footnote Text Char1 Char1,Char Char"/>
    <w:uiPriority w:val="99"/>
    <w:semiHidden/>
    <w:locked/>
    <w:rPr>
      <w:sz w:val="18"/>
    </w:rPr>
  </w:style>
  <w:style w:type="paragraph" w:customStyle="1" w:styleId="IndentedHeading4">
    <w:name w:val="Indented Heading 4"/>
    <w:basedOn w:val="Heading4"/>
    <w:next w:val="Normal"/>
    <w:pPr>
      <w:numPr>
        <w:numId w:val="42"/>
      </w:numPr>
      <w:tabs>
        <w:tab w:val="clear" w:pos="3447"/>
        <w:tab w:val="num" w:pos="360"/>
        <w:tab w:val="num" w:pos="851"/>
      </w:tabs>
      <w:spacing w:before="120" w:after="120" w:line="300" w:lineRule="exact"/>
      <w:ind w:left="851" w:hanging="851"/>
    </w:pPr>
    <w:rPr>
      <w:rFonts w:eastAsia="MS Mincho" w:cs="Arial"/>
      <w:i/>
      <w:iCs/>
      <w:szCs w:val="16"/>
    </w:rPr>
  </w:style>
  <w:style w:type="paragraph" w:customStyle="1" w:styleId="IndentedHeading2">
    <w:name w:val="Indented Heading 2"/>
    <w:basedOn w:val="Heading2"/>
    <w:next w:val="Normal"/>
    <w:pPr>
      <w:numPr>
        <w:numId w:val="42"/>
      </w:numPr>
      <w:tabs>
        <w:tab w:val="clear" w:pos="2007"/>
        <w:tab w:val="num" w:pos="360"/>
        <w:tab w:val="num" w:pos="851"/>
      </w:tabs>
      <w:spacing w:before="360" w:after="120" w:line="300" w:lineRule="exact"/>
      <w:ind w:left="851" w:hanging="851"/>
    </w:pPr>
    <w:rPr>
      <w:rFonts w:eastAsia="MS Mincho" w:cs="Arial"/>
      <w:iCs/>
      <w:szCs w:val="28"/>
    </w:rPr>
  </w:style>
  <w:style w:type="paragraph" w:customStyle="1" w:styleId="IndentedHeading3">
    <w:name w:val="Indented Heading 3"/>
    <w:basedOn w:val="Heading3"/>
    <w:next w:val="Normal"/>
    <w:pPr>
      <w:numPr>
        <w:numId w:val="42"/>
      </w:numPr>
      <w:tabs>
        <w:tab w:val="clear" w:pos="2727"/>
        <w:tab w:val="num" w:pos="360"/>
        <w:tab w:val="num" w:pos="851"/>
      </w:tabs>
      <w:spacing w:before="240" w:after="120" w:line="300" w:lineRule="exact"/>
      <w:ind w:left="851" w:hanging="851"/>
    </w:pPr>
    <w:rPr>
      <w:rFonts w:eastAsia="MS Mincho" w:cs="Arial"/>
      <w:b/>
      <w:bCs/>
      <w:iCs/>
      <w:szCs w:val="26"/>
    </w:rPr>
  </w:style>
  <w:style w:type="character" w:customStyle="1" w:styleId="BulletChar">
    <w:name w:val="Bullet Char"/>
    <w:link w:val="Bullet"/>
    <w:locked/>
    <w:rPr>
      <w:sz w:val="24"/>
    </w:rPr>
  </w:style>
  <w:style w:type="paragraph" w:customStyle="1" w:styleId="Bullet">
    <w:name w:val="Bullet"/>
    <w:basedOn w:val="Normal"/>
    <w:link w:val="BulletChar"/>
    <w:pPr>
      <w:numPr>
        <w:numId w:val="42"/>
      </w:numPr>
      <w:spacing w:after="120" w:line="300" w:lineRule="exact"/>
    </w:pPr>
  </w:style>
  <w:style w:type="paragraph" w:styleId="Revision">
    <w:name w:val="Revision"/>
    <w:hidden/>
    <w:uiPriority w:val="99"/>
    <w:semiHidden/>
    <w:rPr>
      <w:sz w:val="24"/>
    </w:rPr>
  </w:style>
  <w:style w:type="character" w:customStyle="1" w:styleId="FootnoteCharacters">
    <w:name w:val="Footnote Characters"/>
    <w:rPr>
      <w:vertAlign w:val="superscript"/>
    </w:rPr>
  </w:style>
  <w:style w:type="paragraph" w:customStyle="1" w:styleId="TOCHeading10">
    <w:name w:val="TOC Heading1"/>
    <w:basedOn w:val="Normal"/>
    <w:next w:val="Normal"/>
    <w:qFormat/>
    <w:pPr>
      <w:keepNext/>
      <w:spacing w:before="240"/>
      <w:jc w:val="center"/>
    </w:pPr>
    <w:rPr>
      <w:b/>
    </w:rPr>
  </w:style>
  <w:style w:type="character" w:customStyle="1" w:styleId="BookTitle10">
    <w:name w:val="Book Title1"/>
    <w:uiPriority w:val="33"/>
    <w:qFormat/>
    <w:rPr>
      <w:b/>
      <w:bCs/>
      <w:smallCaps/>
      <w:spacing w:val="5"/>
    </w:rPr>
  </w:style>
  <w:style w:type="character" w:customStyle="1" w:styleId="affairetitle">
    <w:name w:val="affaire_title"/>
    <w:basedOn w:val="DefaultParagraphFont"/>
  </w:style>
  <w:style w:type="paragraph" w:customStyle="1" w:styleId="LegalNumPar">
    <w:name w:val="LegalNumPar"/>
    <w:basedOn w:val="Normal"/>
    <w:pPr>
      <w:numPr>
        <w:numId w:val="85"/>
      </w:numPr>
    </w:pPr>
  </w:style>
  <w:style w:type="paragraph" w:customStyle="1" w:styleId="LegalNumPar2">
    <w:name w:val="LegalNumPar2"/>
    <w:basedOn w:val="Normal"/>
    <w:pPr>
      <w:numPr>
        <w:ilvl w:val="1"/>
        <w:numId w:val="85"/>
      </w:numPr>
    </w:pPr>
  </w:style>
  <w:style w:type="paragraph" w:customStyle="1" w:styleId="LegalNumPar3">
    <w:name w:val="LegalNumPar3"/>
    <w:basedOn w:val="Normal"/>
    <w:pPr>
      <w:numPr>
        <w:ilvl w:val="2"/>
        <w:numId w:val="85"/>
      </w:numPr>
    </w:pPr>
  </w:style>
  <w:style w:type="character" w:styleId="LineNumber">
    <w:name w:val="line number"/>
    <w:basedOn w:val="DefaultParagraphFon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hu-H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footnote text" w:uiPriority="99" w:qFormat="1"/>
    <w:lsdException w:name="annotation text" w:uiPriority="99"/>
    <w:lsdException w:name="footer" w:uiPriority="99"/>
    <w:lsdException w:name="caption" w:semiHidden="0" w:unhideWhenUsed="0" w:qFormat="1"/>
    <w:lsdException w:name="footnote reference" w:uiPriority="99"/>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64"/>
      </w:numPr>
      <w:spacing w:before="240"/>
      <w:outlineLvl w:val="0"/>
    </w:pPr>
    <w:rPr>
      <w:b/>
      <w:smallCaps/>
    </w:rPr>
  </w:style>
  <w:style w:type="paragraph" w:styleId="Heading2">
    <w:name w:val="heading 2"/>
    <w:basedOn w:val="Normal"/>
    <w:next w:val="Text2"/>
    <w:link w:val="Heading2Char"/>
    <w:qFormat/>
    <w:pPr>
      <w:keepNext/>
      <w:numPr>
        <w:ilvl w:val="1"/>
        <w:numId w:val="64"/>
      </w:numPr>
      <w:spacing w:line="276" w:lineRule="auto"/>
      <w:outlineLvl w:val="1"/>
    </w:pPr>
    <w:rPr>
      <w:b/>
      <w:bCs/>
    </w:rPr>
  </w:style>
  <w:style w:type="paragraph" w:styleId="Heading3">
    <w:name w:val="heading 3"/>
    <w:basedOn w:val="Normal"/>
    <w:next w:val="Text3"/>
    <w:qFormat/>
    <w:pPr>
      <w:keepNext/>
      <w:numPr>
        <w:ilvl w:val="2"/>
        <w:numId w:val="64"/>
      </w:numPr>
      <w:outlineLvl w:val="2"/>
    </w:pPr>
    <w:rPr>
      <w:i/>
    </w:rPr>
  </w:style>
  <w:style w:type="paragraph" w:styleId="Heading4">
    <w:name w:val="heading 4"/>
    <w:basedOn w:val="Normal"/>
    <w:next w:val="Text4"/>
    <w:qFormat/>
    <w:pPr>
      <w:keepNext/>
      <w:numPr>
        <w:ilvl w:val="3"/>
        <w:numId w:val="64"/>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 Char,Footnote,Fußnote,FSR footnote,lábléc,fn,Texto nota pie Car,notefranz,Footnote Text Char Char Char Char Char Char Char Char Char Char Char Char Char Char Char Char Char,Footnote Text Char1,Char"/>
    <w:basedOn w:val="Normal"/>
    <w:link w:val="FootnoteTextChar"/>
    <w:uiPriority w:val="99"/>
    <w:qFormat/>
    <w:pPr>
      <w:tabs>
        <w:tab w:val="left" w:pos="284"/>
      </w:tabs>
      <w:spacing w:after="0"/>
      <w:ind w:left="284" w:hanging="284"/>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customStyle="1" w:styleId="TOCHeading1">
    <w:name w:val="TOC Heading1"/>
    <w:basedOn w:val="Normal"/>
    <w:next w:val="Normal"/>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Pr>
      <w:rFonts w:ascii="Arial" w:hAnsi="Arial"/>
      <w:sz w:val="16"/>
      <w:lang w:eastAsia="hu-HU"/>
    </w:rPr>
  </w:style>
  <w:style w:type="paragraph" w:customStyle="1" w:styleId="ZCom">
    <w:name w:val="Z_Com"/>
    <w:basedOn w:val="Normal"/>
    <w:next w:val="ZDGName"/>
    <w:uiPriority w:val="99"/>
    <w:pPr>
      <w:widowControl w:val="0"/>
      <w:autoSpaceDE w:val="0"/>
      <w:autoSpaceDN w:val="0"/>
      <w:spacing w:after="0"/>
      <w:ind w:right="85"/>
    </w:pPr>
    <w:rPr>
      <w:rFonts w:ascii="Arial" w:hAnsi="Arial" w:cs="Arial"/>
      <w:szCs w:val="24"/>
    </w:rPr>
  </w:style>
  <w:style w:type="paragraph" w:customStyle="1" w:styleId="ZDGName">
    <w:name w:val="Z_DGName"/>
    <w:basedOn w:val="Normal"/>
    <w:uiPriority w:val="99"/>
    <w:pPr>
      <w:widowControl w:val="0"/>
      <w:autoSpaceDE w:val="0"/>
      <w:autoSpaceDN w:val="0"/>
      <w:spacing w:after="0"/>
      <w:ind w:right="85"/>
      <w:jc w:val="left"/>
    </w:pPr>
    <w:rPr>
      <w:rFonts w:ascii="Arial" w:hAnsi="Arial" w:cs="Arial"/>
      <w:sz w:val="16"/>
      <w:szCs w:val="16"/>
    </w:rPr>
  </w:style>
  <w:style w:type="character" w:customStyle="1" w:styleId="HeaderChar">
    <w:name w:val="Header Char"/>
    <w:link w:val="Header"/>
    <w:rPr>
      <w:sz w:val="24"/>
      <w:lang w:eastAsia="hu-HU"/>
    </w:rPr>
  </w:style>
  <w:style w:type="paragraph" w:customStyle="1" w:styleId="Bullet1">
    <w:name w:val="Bullet 1"/>
    <w:basedOn w:val="Normal"/>
    <w:pPr>
      <w:numPr>
        <w:numId w:val="19"/>
      </w:numPr>
      <w:spacing w:before="120" w:after="120"/>
    </w:pPr>
    <w:rPr>
      <w:szCs w:val="24"/>
    </w:rPr>
  </w:style>
  <w:style w:type="paragraph" w:customStyle="1" w:styleId="Confidentialit">
    <w:name w:val="Confidentialité"/>
    <w:basedOn w:val="Normal"/>
    <w:next w:val="TypedudocumentPagedecouverture"/>
    <w:pPr>
      <w:spacing w:before="240"/>
      <w:ind w:left="5103"/>
    </w:pPr>
    <w:rPr>
      <w:i/>
      <w:sz w:val="32"/>
      <w:szCs w:val="24"/>
    </w:rPr>
  </w:style>
  <w:style w:type="paragraph" w:customStyle="1" w:styleId="Emission">
    <w:name w:val="Emission"/>
    <w:basedOn w:val="Normal"/>
    <w:next w:val="Normal"/>
    <w:pPr>
      <w:spacing w:after="0"/>
      <w:ind w:left="5103"/>
      <w:jc w:val="left"/>
    </w:pPr>
    <w:rPr>
      <w:szCs w:val="24"/>
    </w:rPr>
  </w:style>
  <w:style w:type="paragraph" w:customStyle="1" w:styleId="Nomdelinstitution">
    <w:name w:val="Nom de l'institution"/>
    <w:basedOn w:val="Normal"/>
    <w:next w:val="Emission"/>
    <w:pPr>
      <w:spacing w:after="0"/>
      <w:jc w:val="left"/>
    </w:pPr>
    <w:rPr>
      <w:rFonts w:ascii="Arial" w:hAnsi="Arial" w:cs="Arial"/>
      <w:szCs w:val="24"/>
    </w:rPr>
  </w:style>
  <w:style w:type="paragraph" w:customStyle="1" w:styleId="Pagedecouverture">
    <w:name w:val="Page de couverture"/>
    <w:basedOn w:val="Normal"/>
    <w:next w:val="Normal"/>
    <w:pPr>
      <w:spacing w:before="120" w:after="120"/>
    </w:pPr>
    <w:rPr>
      <w:szCs w:val="24"/>
    </w:rPr>
  </w:style>
  <w:style w:type="paragraph" w:customStyle="1" w:styleId="TypedudocumentPagedecouverture">
    <w:name w:val="Type du document (Page de couverture)"/>
    <w:basedOn w:val="Normal"/>
    <w:next w:val="Normal"/>
    <w:pPr>
      <w:spacing w:before="360" w:after="0"/>
      <w:jc w:val="center"/>
    </w:pPr>
    <w:rPr>
      <w:b/>
      <w:szCs w:val="24"/>
    </w:rPr>
  </w:style>
  <w:style w:type="paragraph" w:customStyle="1" w:styleId="Prliminairetype">
    <w:name w:val="Préliminaire type"/>
    <w:basedOn w:val="Normal"/>
    <w:next w:val="Normal"/>
    <w:pPr>
      <w:spacing w:before="360" w:after="0"/>
      <w:jc w:val="center"/>
    </w:pPr>
    <w:rPr>
      <w:b/>
      <w:szCs w:val="24"/>
    </w:rPr>
  </w:style>
  <w:style w:type="paragraph" w:customStyle="1" w:styleId="Rfrenceinstitutionelle">
    <w:name w:val="Référence institutionelle"/>
    <w:basedOn w:val="Normal"/>
    <w:next w:val="Normal"/>
    <w:pPr>
      <w:ind w:left="5103"/>
      <w:jc w:val="left"/>
    </w:pPr>
    <w:rPr>
      <w:szCs w:val="24"/>
    </w:rPr>
  </w:style>
  <w:style w:type="character" w:styleId="Hyperlink">
    <w:name w:val="Hyperlink"/>
    <w:uiPriority w:val="99"/>
    <w:rPr>
      <w:rFonts w:cs="Times New Roman"/>
      <w:color w:val="0000FF"/>
      <w:u w:val="single"/>
      <w:shd w:val="clear" w:color="auto" w:fill="auto"/>
    </w:rPr>
  </w:style>
  <w:style w:type="numbering" w:styleId="111111">
    <w:name w:val="Outline List 2"/>
    <w:basedOn w:val="NoList"/>
    <w:pPr>
      <w:numPr>
        <w:numId w:val="20"/>
      </w:numPr>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hu-HU"/>
    </w:rPr>
  </w:style>
  <w:style w:type="character" w:customStyle="1" w:styleId="Marker">
    <w:name w:val="Marker"/>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link w:val="FooterCoverPage"/>
    <w:rPr>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link w:val="HeaderCoverPage"/>
    <w:rPr>
      <w:sz w:val="24"/>
    </w:rPr>
  </w:style>
  <w:style w:type="character" w:styleId="FootnoteReference">
    <w:name w:val="footnote reference"/>
    <w:aliases w:val="Footnote Reference Number,Footnote Reference_LVL6,Footnote Reference_LVL61,Footnote Reference_LVL62,Footnote Reference_LVL63,Footnote Reference_LVL64,normal,Fußnotenzeichen3,Normal1,fr,SUPERS,EN Footnote Reference,number,ftref"/>
    <w:uiPriority w:val="99"/>
    <w:unhideWhenUsed/>
    <w:rPr>
      <w:vertAlign w:val="superscript"/>
    </w:rPr>
  </w:style>
  <w:style w:type="paragraph" w:customStyle="1" w:styleId="Bullet0">
    <w:name w:val="Bullet 0"/>
    <w:basedOn w:val="Normal"/>
    <w:pPr>
      <w:numPr>
        <w:numId w:val="21"/>
      </w:numPr>
      <w:spacing w:before="120" w:after="120"/>
    </w:pPr>
    <w:rPr>
      <w:szCs w:val="24"/>
    </w:rPr>
  </w:style>
  <w:style w:type="character" w:customStyle="1" w:styleId="FootnoteTextChar">
    <w:name w:val="Footnote Text Char"/>
    <w:aliases w:val="Footnote Text Char Char Char,Footnote Char,Fußnote Char,FSR footnote Char,lábléc Char,fn Char,Texto nota pie Car Char,notefranz Char,Footnote Text Char1 Char,Char Char1"/>
    <w:link w:val="FootnoteText"/>
    <w:uiPriority w:val="99"/>
    <w:rPr>
      <w:lang w:eastAsia="hu-HU"/>
    </w:rPr>
  </w:style>
  <w:style w:type="character" w:styleId="FollowedHyperlink">
    <w:name w:val="FollowedHyperlink"/>
    <w:uiPriority w:val="99"/>
    <w:semiHidden/>
    <w:unhideWhenUsed/>
    <w:rPr>
      <w:color w:val="800080"/>
      <w:u w:val="singl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link w:val="CommentText"/>
    <w:uiPriority w:val="99"/>
    <w:rPr>
      <w:lang w:eastAsia="hu-HU"/>
    </w:rPr>
  </w:style>
  <w:style w:type="character" w:customStyle="1" w:styleId="CommentSubjectChar">
    <w:name w:val="Comment Subject Char"/>
    <w:link w:val="CommentSubject"/>
    <w:uiPriority w:val="99"/>
    <w:semiHidden/>
    <w:rPr>
      <w:b/>
      <w:bCs/>
      <w:lang w:eastAsia="hu-HU"/>
    </w:rPr>
  </w:style>
  <w:style w:type="paragraph" w:customStyle="1" w:styleId="CM1">
    <w:name w:val="CM1"/>
    <w:basedOn w:val="Normal"/>
    <w:next w:val="Normal"/>
    <w:uiPriority w:val="99"/>
    <w:pPr>
      <w:autoSpaceDE w:val="0"/>
      <w:autoSpaceDN w:val="0"/>
      <w:adjustRightInd w:val="0"/>
      <w:spacing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after="0"/>
      <w:jc w:val="left"/>
    </w:pPr>
    <w:rPr>
      <w:rFonts w:ascii="EUAlbertina" w:hAnsi="EUAlbertina"/>
      <w:szCs w:val="24"/>
    </w:rPr>
  </w:style>
  <w:style w:type="character" w:customStyle="1" w:styleId="Heading1Char">
    <w:name w:val="Heading 1 Char"/>
    <w:link w:val="Heading1"/>
    <w:rPr>
      <w:b/>
      <w:smallCaps/>
      <w:sz w:val="24"/>
      <w:lang w:val="hu-HU"/>
    </w:rPr>
  </w:style>
  <w:style w:type="paragraph" w:customStyle="1" w:styleId="ColorfulList-Accent11">
    <w:name w:val="Colorful List - Accent 11"/>
    <w:basedOn w:val="CommentText"/>
    <w:qFormat/>
    <w:pPr>
      <w:spacing w:before="120" w:after="120"/>
    </w:pPr>
    <w:rPr>
      <w:sz w:val="24"/>
      <w:szCs w:val="24"/>
    </w:rPr>
  </w:style>
  <w:style w:type="character" w:customStyle="1" w:styleId="Heading2Char">
    <w:name w:val="Heading 2 Char"/>
    <w:link w:val="Heading2"/>
    <w:rPr>
      <w:b/>
      <w:bCs/>
      <w:sz w:val="24"/>
      <w:lang w:val="hu-HU" w:eastAsia="hu-HU"/>
    </w:rPr>
  </w:style>
  <w:style w:type="character" w:customStyle="1" w:styleId="BookTitle1">
    <w:name w:val="Book Title1"/>
    <w:uiPriority w:val="33"/>
    <w:qFormat/>
    <w:rPr>
      <w:b/>
      <w:bCs/>
      <w:smallCaps/>
      <w:spacing w:val="5"/>
    </w:rPr>
  </w:style>
  <w:style w:type="character" w:styleId="EndnoteReference">
    <w:name w:val="endnote reference"/>
    <w:uiPriority w:val="99"/>
    <w:semiHidden/>
    <w:unhideWhenUsed/>
    <w:rPr>
      <w:vertAlign w:val="superscript"/>
    </w:rPr>
  </w:style>
  <w:style w:type="paragraph" w:customStyle="1" w:styleId="Default">
    <w:name w:val="Default"/>
    <w:pPr>
      <w:autoSpaceDE w:val="0"/>
      <w:autoSpaceDN w:val="0"/>
      <w:adjustRightInd w:val="0"/>
    </w:pPr>
    <w:rPr>
      <w:color w:val="000000"/>
      <w:sz w:val="24"/>
      <w:szCs w:val="24"/>
    </w:rPr>
  </w:style>
  <w:style w:type="paragraph" w:styleId="NormalWeb">
    <w:name w:val="Normal (Web)"/>
    <w:basedOn w:val="Normal"/>
    <w:uiPriority w:val="99"/>
    <w:semiHidden/>
    <w:unhideWhenUsed/>
    <w:rPr>
      <w:szCs w:val="24"/>
    </w:rPr>
  </w:style>
  <w:style w:type="paragraph" w:styleId="ListParagraph">
    <w:name w:val="List Paragraph"/>
    <w:basedOn w:val="Normal"/>
    <w:uiPriority w:val="34"/>
    <w:qFormat/>
    <w:pPr>
      <w:ind w:left="720"/>
    </w:pPr>
  </w:style>
  <w:style w:type="character" w:styleId="Strong">
    <w:name w:val="Strong"/>
    <w:uiPriority w:val="22"/>
    <w:qFormat/>
    <w:rPr>
      <w:b/>
      <w:bCs/>
    </w:rPr>
  </w:style>
  <w:style w:type="character" w:styleId="Emphasis">
    <w:name w:val="Emphasis"/>
    <w:uiPriority w:val="20"/>
    <w:qFormat/>
    <w:rPr>
      <w:rFonts w:ascii="Times New Roman" w:hAnsi="Times New Roman" w:cs="Times New Roman" w:hint="default"/>
      <w:i w:val="0"/>
      <w:iCs w:val="0"/>
    </w:rPr>
  </w:style>
  <w:style w:type="character" w:customStyle="1" w:styleId="FootnoteTextChar2">
    <w:name w:val="Footnote Text Char2"/>
    <w:aliases w:val="Footnote Text Char Char Char1,Footnote Char1,Fußnote Char1,FSR footnote Char1,lábléc Char1,fn Char1,Texto nota pie Car Char1,notefranz Char1,Footnote Text Char1 Char1,Char Char"/>
    <w:uiPriority w:val="99"/>
    <w:semiHidden/>
    <w:locked/>
    <w:rPr>
      <w:sz w:val="18"/>
    </w:rPr>
  </w:style>
  <w:style w:type="paragraph" w:customStyle="1" w:styleId="IndentedHeading4">
    <w:name w:val="Indented Heading 4"/>
    <w:basedOn w:val="Heading4"/>
    <w:next w:val="Normal"/>
    <w:pPr>
      <w:numPr>
        <w:numId w:val="42"/>
      </w:numPr>
      <w:tabs>
        <w:tab w:val="clear" w:pos="3447"/>
        <w:tab w:val="num" w:pos="360"/>
        <w:tab w:val="num" w:pos="851"/>
      </w:tabs>
      <w:spacing w:before="120" w:after="120" w:line="300" w:lineRule="exact"/>
      <w:ind w:left="851" w:hanging="851"/>
    </w:pPr>
    <w:rPr>
      <w:rFonts w:eastAsia="MS Mincho" w:cs="Arial"/>
      <w:i/>
      <w:iCs/>
      <w:szCs w:val="16"/>
    </w:rPr>
  </w:style>
  <w:style w:type="paragraph" w:customStyle="1" w:styleId="IndentedHeading2">
    <w:name w:val="Indented Heading 2"/>
    <w:basedOn w:val="Heading2"/>
    <w:next w:val="Normal"/>
    <w:pPr>
      <w:numPr>
        <w:numId w:val="42"/>
      </w:numPr>
      <w:tabs>
        <w:tab w:val="clear" w:pos="2007"/>
        <w:tab w:val="num" w:pos="360"/>
        <w:tab w:val="num" w:pos="851"/>
      </w:tabs>
      <w:spacing w:before="360" w:after="120" w:line="300" w:lineRule="exact"/>
      <w:ind w:left="851" w:hanging="851"/>
    </w:pPr>
    <w:rPr>
      <w:rFonts w:eastAsia="MS Mincho" w:cs="Arial"/>
      <w:iCs/>
      <w:szCs w:val="28"/>
    </w:rPr>
  </w:style>
  <w:style w:type="paragraph" w:customStyle="1" w:styleId="IndentedHeading3">
    <w:name w:val="Indented Heading 3"/>
    <w:basedOn w:val="Heading3"/>
    <w:next w:val="Normal"/>
    <w:pPr>
      <w:numPr>
        <w:numId w:val="42"/>
      </w:numPr>
      <w:tabs>
        <w:tab w:val="clear" w:pos="2727"/>
        <w:tab w:val="num" w:pos="360"/>
        <w:tab w:val="num" w:pos="851"/>
      </w:tabs>
      <w:spacing w:before="240" w:after="120" w:line="300" w:lineRule="exact"/>
      <w:ind w:left="851" w:hanging="851"/>
    </w:pPr>
    <w:rPr>
      <w:rFonts w:eastAsia="MS Mincho" w:cs="Arial"/>
      <w:b/>
      <w:bCs/>
      <w:iCs/>
      <w:szCs w:val="26"/>
    </w:rPr>
  </w:style>
  <w:style w:type="character" w:customStyle="1" w:styleId="BulletChar">
    <w:name w:val="Bullet Char"/>
    <w:link w:val="Bullet"/>
    <w:locked/>
    <w:rPr>
      <w:sz w:val="24"/>
    </w:rPr>
  </w:style>
  <w:style w:type="paragraph" w:customStyle="1" w:styleId="Bullet">
    <w:name w:val="Bullet"/>
    <w:basedOn w:val="Normal"/>
    <w:link w:val="BulletChar"/>
    <w:pPr>
      <w:numPr>
        <w:numId w:val="42"/>
      </w:numPr>
      <w:spacing w:after="120" w:line="300" w:lineRule="exact"/>
    </w:pPr>
  </w:style>
  <w:style w:type="paragraph" w:styleId="Revision">
    <w:name w:val="Revision"/>
    <w:hidden/>
    <w:uiPriority w:val="99"/>
    <w:semiHidden/>
    <w:rPr>
      <w:sz w:val="24"/>
    </w:rPr>
  </w:style>
  <w:style w:type="character" w:customStyle="1" w:styleId="FootnoteCharacters">
    <w:name w:val="Footnote Characters"/>
    <w:rPr>
      <w:vertAlign w:val="superscript"/>
    </w:rPr>
  </w:style>
  <w:style w:type="paragraph" w:customStyle="1" w:styleId="TOCHeading10">
    <w:name w:val="TOC Heading1"/>
    <w:basedOn w:val="Normal"/>
    <w:next w:val="Normal"/>
    <w:qFormat/>
    <w:pPr>
      <w:keepNext/>
      <w:spacing w:before="240"/>
      <w:jc w:val="center"/>
    </w:pPr>
    <w:rPr>
      <w:b/>
    </w:rPr>
  </w:style>
  <w:style w:type="character" w:customStyle="1" w:styleId="BookTitle10">
    <w:name w:val="Book Title1"/>
    <w:uiPriority w:val="33"/>
    <w:qFormat/>
    <w:rPr>
      <w:b/>
      <w:bCs/>
      <w:smallCaps/>
      <w:spacing w:val="5"/>
    </w:rPr>
  </w:style>
  <w:style w:type="character" w:customStyle="1" w:styleId="affairetitle">
    <w:name w:val="affaire_title"/>
    <w:basedOn w:val="DefaultParagraphFont"/>
  </w:style>
  <w:style w:type="paragraph" w:customStyle="1" w:styleId="LegalNumPar">
    <w:name w:val="LegalNumPar"/>
    <w:basedOn w:val="Normal"/>
    <w:pPr>
      <w:numPr>
        <w:numId w:val="85"/>
      </w:numPr>
    </w:pPr>
  </w:style>
  <w:style w:type="paragraph" w:customStyle="1" w:styleId="LegalNumPar2">
    <w:name w:val="LegalNumPar2"/>
    <w:basedOn w:val="Normal"/>
    <w:pPr>
      <w:numPr>
        <w:ilvl w:val="1"/>
        <w:numId w:val="85"/>
      </w:numPr>
    </w:pPr>
  </w:style>
  <w:style w:type="paragraph" w:customStyle="1" w:styleId="LegalNumPar3">
    <w:name w:val="LegalNumPar3"/>
    <w:basedOn w:val="Normal"/>
    <w:pPr>
      <w:numPr>
        <w:ilvl w:val="2"/>
        <w:numId w:val="85"/>
      </w:numPr>
    </w:p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210">
      <w:bodyDiv w:val="1"/>
      <w:marLeft w:val="0"/>
      <w:marRight w:val="0"/>
      <w:marTop w:val="0"/>
      <w:marBottom w:val="0"/>
      <w:divBdr>
        <w:top w:val="none" w:sz="0" w:space="0" w:color="auto"/>
        <w:left w:val="none" w:sz="0" w:space="0" w:color="auto"/>
        <w:bottom w:val="none" w:sz="0" w:space="0" w:color="auto"/>
        <w:right w:val="none" w:sz="0" w:space="0" w:color="auto"/>
      </w:divBdr>
    </w:div>
    <w:div w:id="92017296">
      <w:bodyDiv w:val="1"/>
      <w:marLeft w:val="0"/>
      <w:marRight w:val="0"/>
      <w:marTop w:val="0"/>
      <w:marBottom w:val="0"/>
      <w:divBdr>
        <w:top w:val="none" w:sz="0" w:space="0" w:color="auto"/>
        <w:left w:val="none" w:sz="0" w:space="0" w:color="auto"/>
        <w:bottom w:val="none" w:sz="0" w:space="0" w:color="auto"/>
        <w:right w:val="none" w:sz="0" w:space="0" w:color="auto"/>
      </w:divBdr>
    </w:div>
    <w:div w:id="443888823">
      <w:bodyDiv w:val="1"/>
      <w:marLeft w:val="0"/>
      <w:marRight w:val="0"/>
      <w:marTop w:val="0"/>
      <w:marBottom w:val="0"/>
      <w:divBdr>
        <w:top w:val="none" w:sz="0" w:space="0" w:color="auto"/>
        <w:left w:val="none" w:sz="0" w:space="0" w:color="auto"/>
        <w:bottom w:val="none" w:sz="0" w:space="0" w:color="auto"/>
        <w:right w:val="none" w:sz="0" w:space="0" w:color="auto"/>
      </w:divBdr>
    </w:div>
    <w:div w:id="637304363">
      <w:bodyDiv w:val="1"/>
      <w:marLeft w:val="0"/>
      <w:marRight w:val="0"/>
      <w:marTop w:val="0"/>
      <w:marBottom w:val="0"/>
      <w:divBdr>
        <w:top w:val="none" w:sz="0" w:space="0" w:color="auto"/>
        <w:left w:val="none" w:sz="0" w:space="0" w:color="auto"/>
        <w:bottom w:val="none" w:sz="0" w:space="0" w:color="auto"/>
        <w:right w:val="none" w:sz="0" w:space="0" w:color="auto"/>
      </w:divBdr>
    </w:div>
    <w:div w:id="654577874">
      <w:bodyDiv w:val="1"/>
      <w:marLeft w:val="0"/>
      <w:marRight w:val="0"/>
      <w:marTop w:val="0"/>
      <w:marBottom w:val="0"/>
      <w:divBdr>
        <w:top w:val="none" w:sz="0" w:space="0" w:color="auto"/>
        <w:left w:val="none" w:sz="0" w:space="0" w:color="auto"/>
        <w:bottom w:val="none" w:sz="0" w:space="0" w:color="auto"/>
        <w:right w:val="none" w:sz="0" w:space="0" w:color="auto"/>
      </w:divBdr>
    </w:div>
    <w:div w:id="655300944">
      <w:bodyDiv w:val="1"/>
      <w:marLeft w:val="0"/>
      <w:marRight w:val="0"/>
      <w:marTop w:val="0"/>
      <w:marBottom w:val="0"/>
      <w:divBdr>
        <w:top w:val="none" w:sz="0" w:space="0" w:color="auto"/>
        <w:left w:val="none" w:sz="0" w:space="0" w:color="auto"/>
        <w:bottom w:val="none" w:sz="0" w:space="0" w:color="auto"/>
        <w:right w:val="none" w:sz="0" w:space="0" w:color="auto"/>
      </w:divBdr>
    </w:div>
    <w:div w:id="677191716">
      <w:bodyDiv w:val="1"/>
      <w:marLeft w:val="1134"/>
      <w:marRight w:val="1134"/>
      <w:marTop w:val="0"/>
      <w:marBottom w:val="0"/>
      <w:divBdr>
        <w:top w:val="none" w:sz="0" w:space="0" w:color="auto"/>
        <w:left w:val="none" w:sz="0" w:space="0" w:color="auto"/>
        <w:bottom w:val="none" w:sz="0" w:space="0" w:color="auto"/>
        <w:right w:val="none" w:sz="0" w:space="0" w:color="auto"/>
      </w:divBdr>
      <w:divsChild>
        <w:div w:id="1068573432">
          <w:marLeft w:val="0"/>
          <w:marRight w:val="0"/>
          <w:marTop w:val="0"/>
          <w:marBottom w:val="0"/>
          <w:divBdr>
            <w:top w:val="none" w:sz="0" w:space="0" w:color="auto"/>
            <w:left w:val="none" w:sz="0" w:space="0" w:color="auto"/>
            <w:bottom w:val="none" w:sz="0" w:space="0" w:color="auto"/>
            <w:right w:val="none" w:sz="0" w:space="0" w:color="auto"/>
          </w:divBdr>
          <w:divsChild>
            <w:div w:id="1836610406">
              <w:marLeft w:val="2700"/>
              <w:marRight w:val="2250"/>
              <w:marTop w:val="600"/>
              <w:marBottom w:val="0"/>
              <w:divBdr>
                <w:top w:val="none" w:sz="0" w:space="0" w:color="auto"/>
                <w:left w:val="none" w:sz="0" w:space="0" w:color="auto"/>
                <w:bottom w:val="none" w:sz="0" w:space="0" w:color="auto"/>
                <w:right w:val="none" w:sz="0" w:space="0" w:color="auto"/>
              </w:divBdr>
              <w:divsChild>
                <w:div w:id="13066227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18041160">
      <w:bodyDiv w:val="1"/>
      <w:marLeft w:val="0"/>
      <w:marRight w:val="0"/>
      <w:marTop w:val="0"/>
      <w:marBottom w:val="0"/>
      <w:divBdr>
        <w:top w:val="none" w:sz="0" w:space="0" w:color="auto"/>
        <w:left w:val="none" w:sz="0" w:space="0" w:color="auto"/>
        <w:bottom w:val="none" w:sz="0" w:space="0" w:color="auto"/>
        <w:right w:val="none" w:sz="0" w:space="0" w:color="auto"/>
      </w:divBdr>
      <w:divsChild>
        <w:div w:id="1256597685">
          <w:marLeft w:val="547"/>
          <w:marRight w:val="0"/>
          <w:marTop w:val="86"/>
          <w:marBottom w:val="0"/>
          <w:divBdr>
            <w:top w:val="none" w:sz="0" w:space="0" w:color="auto"/>
            <w:left w:val="none" w:sz="0" w:space="0" w:color="auto"/>
            <w:bottom w:val="none" w:sz="0" w:space="0" w:color="auto"/>
            <w:right w:val="none" w:sz="0" w:space="0" w:color="auto"/>
          </w:divBdr>
        </w:div>
        <w:div w:id="2089227261">
          <w:marLeft w:val="547"/>
          <w:marRight w:val="0"/>
          <w:marTop w:val="86"/>
          <w:marBottom w:val="0"/>
          <w:divBdr>
            <w:top w:val="none" w:sz="0" w:space="0" w:color="auto"/>
            <w:left w:val="none" w:sz="0" w:space="0" w:color="auto"/>
            <w:bottom w:val="none" w:sz="0" w:space="0" w:color="auto"/>
            <w:right w:val="none" w:sz="0" w:space="0" w:color="auto"/>
          </w:divBdr>
        </w:div>
      </w:divsChild>
    </w:div>
    <w:div w:id="1018773427">
      <w:bodyDiv w:val="1"/>
      <w:marLeft w:val="0"/>
      <w:marRight w:val="0"/>
      <w:marTop w:val="0"/>
      <w:marBottom w:val="0"/>
      <w:divBdr>
        <w:top w:val="none" w:sz="0" w:space="0" w:color="auto"/>
        <w:left w:val="none" w:sz="0" w:space="0" w:color="auto"/>
        <w:bottom w:val="none" w:sz="0" w:space="0" w:color="auto"/>
        <w:right w:val="none" w:sz="0" w:space="0" w:color="auto"/>
      </w:divBdr>
    </w:div>
    <w:div w:id="1031877622">
      <w:bodyDiv w:val="1"/>
      <w:marLeft w:val="0"/>
      <w:marRight w:val="0"/>
      <w:marTop w:val="0"/>
      <w:marBottom w:val="0"/>
      <w:divBdr>
        <w:top w:val="none" w:sz="0" w:space="0" w:color="auto"/>
        <w:left w:val="none" w:sz="0" w:space="0" w:color="auto"/>
        <w:bottom w:val="none" w:sz="0" w:space="0" w:color="auto"/>
        <w:right w:val="none" w:sz="0" w:space="0" w:color="auto"/>
      </w:divBdr>
    </w:div>
    <w:div w:id="1033119742">
      <w:bodyDiv w:val="1"/>
      <w:marLeft w:val="0"/>
      <w:marRight w:val="0"/>
      <w:marTop w:val="0"/>
      <w:marBottom w:val="0"/>
      <w:divBdr>
        <w:top w:val="none" w:sz="0" w:space="0" w:color="auto"/>
        <w:left w:val="none" w:sz="0" w:space="0" w:color="auto"/>
        <w:bottom w:val="none" w:sz="0" w:space="0" w:color="auto"/>
        <w:right w:val="none" w:sz="0" w:space="0" w:color="auto"/>
      </w:divBdr>
    </w:div>
    <w:div w:id="1064329025">
      <w:bodyDiv w:val="1"/>
      <w:marLeft w:val="0"/>
      <w:marRight w:val="0"/>
      <w:marTop w:val="0"/>
      <w:marBottom w:val="0"/>
      <w:divBdr>
        <w:top w:val="none" w:sz="0" w:space="0" w:color="auto"/>
        <w:left w:val="none" w:sz="0" w:space="0" w:color="auto"/>
        <w:bottom w:val="none" w:sz="0" w:space="0" w:color="auto"/>
        <w:right w:val="none" w:sz="0" w:space="0" w:color="auto"/>
      </w:divBdr>
    </w:div>
    <w:div w:id="1076123918">
      <w:bodyDiv w:val="1"/>
      <w:marLeft w:val="0"/>
      <w:marRight w:val="0"/>
      <w:marTop w:val="0"/>
      <w:marBottom w:val="0"/>
      <w:divBdr>
        <w:top w:val="none" w:sz="0" w:space="0" w:color="auto"/>
        <w:left w:val="none" w:sz="0" w:space="0" w:color="auto"/>
        <w:bottom w:val="none" w:sz="0" w:space="0" w:color="auto"/>
        <w:right w:val="none" w:sz="0" w:space="0" w:color="auto"/>
      </w:divBdr>
    </w:div>
    <w:div w:id="1113131218">
      <w:bodyDiv w:val="1"/>
      <w:marLeft w:val="1134"/>
      <w:marRight w:val="1134"/>
      <w:marTop w:val="0"/>
      <w:marBottom w:val="0"/>
      <w:divBdr>
        <w:top w:val="none" w:sz="0" w:space="0" w:color="auto"/>
        <w:left w:val="none" w:sz="0" w:space="0" w:color="auto"/>
        <w:bottom w:val="none" w:sz="0" w:space="0" w:color="auto"/>
        <w:right w:val="none" w:sz="0" w:space="0" w:color="auto"/>
      </w:divBdr>
      <w:divsChild>
        <w:div w:id="1920677383">
          <w:marLeft w:val="0"/>
          <w:marRight w:val="0"/>
          <w:marTop w:val="0"/>
          <w:marBottom w:val="0"/>
          <w:divBdr>
            <w:top w:val="none" w:sz="0" w:space="0" w:color="auto"/>
            <w:left w:val="none" w:sz="0" w:space="0" w:color="auto"/>
            <w:bottom w:val="none" w:sz="0" w:space="0" w:color="auto"/>
            <w:right w:val="none" w:sz="0" w:space="0" w:color="auto"/>
          </w:divBdr>
          <w:divsChild>
            <w:div w:id="540290721">
              <w:marLeft w:val="2700"/>
              <w:marRight w:val="2250"/>
              <w:marTop w:val="600"/>
              <w:marBottom w:val="0"/>
              <w:divBdr>
                <w:top w:val="none" w:sz="0" w:space="0" w:color="auto"/>
                <w:left w:val="none" w:sz="0" w:space="0" w:color="auto"/>
                <w:bottom w:val="none" w:sz="0" w:space="0" w:color="auto"/>
                <w:right w:val="none" w:sz="0" w:space="0" w:color="auto"/>
              </w:divBdr>
              <w:divsChild>
                <w:div w:id="426774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139616526">
      <w:bodyDiv w:val="1"/>
      <w:marLeft w:val="0"/>
      <w:marRight w:val="0"/>
      <w:marTop w:val="0"/>
      <w:marBottom w:val="0"/>
      <w:divBdr>
        <w:top w:val="none" w:sz="0" w:space="0" w:color="auto"/>
        <w:left w:val="none" w:sz="0" w:space="0" w:color="auto"/>
        <w:bottom w:val="none" w:sz="0" w:space="0" w:color="auto"/>
        <w:right w:val="none" w:sz="0" w:space="0" w:color="auto"/>
      </w:divBdr>
    </w:div>
    <w:div w:id="1164583892">
      <w:bodyDiv w:val="1"/>
      <w:marLeft w:val="0"/>
      <w:marRight w:val="0"/>
      <w:marTop w:val="0"/>
      <w:marBottom w:val="0"/>
      <w:divBdr>
        <w:top w:val="none" w:sz="0" w:space="0" w:color="auto"/>
        <w:left w:val="none" w:sz="0" w:space="0" w:color="auto"/>
        <w:bottom w:val="none" w:sz="0" w:space="0" w:color="auto"/>
        <w:right w:val="none" w:sz="0" w:space="0" w:color="auto"/>
      </w:divBdr>
    </w:div>
    <w:div w:id="1211460841">
      <w:bodyDiv w:val="1"/>
      <w:marLeft w:val="0"/>
      <w:marRight w:val="0"/>
      <w:marTop w:val="0"/>
      <w:marBottom w:val="0"/>
      <w:divBdr>
        <w:top w:val="none" w:sz="0" w:space="0" w:color="auto"/>
        <w:left w:val="none" w:sz="0" w:space="0" w:color="auto"/>
        <w:bottom w:val="none" w:sz="0" w:space="0" w:color="auto"/>
        <w:right w:val="none" w:sz="0" w:space="0" w:color="auto"/>
      </w:divBdr>
    </w:div>
    <w:div w:id="1246572626">
      <w:bodyDiv w:val="1"/>
      <w:marLeft w:val="0"/>
      <w:marRight w:val="0"/>
      <w:marTop w:val="0"/>
      <w:marBottom w:val="0"/>
      <w:divBdr>
        <w:top w:val="none" w:sz="0" w:space="0" w:color="auto"/>
        <w:left w:val="none" w:sz="0" w:space="0" w:color="auto"/>
        <w:bottom w:val="none" w:sz="0" w:space="0" w:color="auto"/>
        <w:right w:val="none" w:sz="0" w:space="0" w:color="auto"/>
      </w:divBdr>
    </w:div>
    <w:div w:id="1267814202">
      <w:bodyDiv w:val="1"/>
      <w:marLeft w:val="1134"/>
      <w:marRight w:val="1134"/>
      <w:marTop w:val="0"/>
      <w:marBottom w:val="0"/>
      <w:divBdr>
        <w:top w:val="none" w:sz="0" w:space="0" w:color="auto"/>
        <w:left w:val="none" w:sz="0" w:space="0" w:color="auto"/>
        <w:bottom w:val="none" w:sz="0" w:space="0" w:color="auto"/>
        <w:right w:val="none" w:sz="0" w:space="0" w:color="auto"/>
      </w:divBdr>
      <w:divsChild>
        <w:div w:id="1020820287">
          <w:marLeft w:val="0"/>
          <w:marRight w:val="0"/>
          <w:marTop w:val="0"/>
          <w:marBottom w:val="0"/>
          <w:divBdr>
            <w:top w:val="none" w:sz="0" w:space="0" w:color="auto"/>
            <w:left w:val="none" w:sz="0" w:space="0" w:color="auto"/>
            <w:bottom w:val="none" w:sz="0" w:space="0" w:color="auto"/>
            <w:right w:val="none" w:sz="0" w:space="0" w:color="auto"/>
          </w:divBdr>
          <w:divsChild>
            <w:div w:id="625355831">
              <w:marLeft w:val="2700"/>
              <w:marRight w:val="2250"/>
              <w:marTop w:val="600"/>
              <w:marBottom w:val="0"/>
              <w:divBdr>
                <w:top w:val="none" w:sz="0" w:space="0" w:color="auto"/>
                <w:left w:val="none" w:sz="0" w:space="0" w:color="auto"/>
                <w:bottom w:val="none" w:sz="0" w:space="0" w:color="auto"/>
                <w:right w:val="none" w:sz="0" w:space="0" w:color="auto"/>
              </w:divBdr>
              <w:divsChild>
                <w:div w:id="8786654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271282363">
      <w:bodyDiv w:val="1"/>
      <w:marLeft w:val="0"/>
      <w:marRight w:val="0"/>
      <w:marTop w:val="0"/>
      <w:marBottom w:val="0"/>
      <w:divBdr>
        <w:top w:val="none" w:sz="0" w:space="0" w:color="auto"/>
        <w:left w:val="none" w:sz="0" w:space="0" w:color="auto"/>
        <w:bottom w:val="none" w:sz="0" w:space="0" w:color="auto"/>
        <w:right w:val="none" w:sz="0" w:space="0" w:color="auto"/>
      </w:divBdr>
    </w:div>
    <w:div w:id="1296989924">
      <w:bodyDiv w:val="1"/>
      <w:marLeft w:val="0"/>
      <w:marRight w:val="0"/>
      <w:marTop w:val="0"/>
      <w:marBottom w:val="0"/>
      <w:divBdr>
        <w:top w:val="none" w:sz="0" w:space="0" w:color="auto"/>
        <w:left w:val="none" w:sz="0" w:space="0" w:color="auto"/>
        <w:bottom w:val="none" w:sz="0" w:space="0" w:color="auto"/>
        <w:right w:val="none" w:sz="0" w:space="0" w:color="auto"/>
      </w:divBdr>
    </w:div>
    <w:div w:id="1537155038">
      <w:bodyDiv w:val="1"/>
      <w:marLeft w:val="0"/>
      <w:marRight w:val="0"/>
      <w:marTop w:val="0"/>
      <w:marBottom w:val="0"/>
      <w:divBdr>
        <w:top w:val="none" w:sz="0" w:space="0" w:color="auto"/>
        <w:left w:val="none" w:sz="0" w:space="0" w:color="auto"/>
        <w:bottom w:val="none" w:sz="0" w:space="0" w:color="auto"/>
        <w:right w:val="none" w:sz="0" w:space="0" w:color="auto"/>
      </w:divBdr>
    </w:div>
    <w:div w:id="1686244330">
      <w:bodyDiv w:val="1"/>
      <w:marLeft w:val="0"/>
      <w:marRight w:val="0"/>
      <w:marTop w:val="0"/>
      <w:marBottom w:val="0"/>
      <w:divBdr>
        <w:top w:val="none" w:sz="0" w:space="0" w:color="auto"/>
        <w:left w:val="none" w:sz="0" w:space="0" w:color="auto"/>
        <w:bottom w:val="none" w:sz="0" w:space="0" w:color="auto"/>
        <w:right w:val="none" w:sz="0" w:space="0" w:color="auto"/>
      </w:divBdr>
    </w:div>
    <w:div w:id="1709528369">
      <w:bodyDiv w:val="1"/>
      <w:marLeft w:val="0"/>
      <w:marRight w:val="0"/>
      <w:marTop w:val="0"/>
      <w:marBottom w:val="0"/>
      <w:divBdr>
        <w:top w:val="none" w:sz="0" w:space="0" w:color="auto"/>
        <w:left w:val="none" w:sz="0" w:space="0" w:color="auto"/>
        <w:bottom w:val="none" w:sz="0" w:space="0" w:color="auto"/>
        <w:right w:val="none" w:sz="0" w:space="0" w:color="auto"/>
      </w:divBdr>
    </w:div>
    <w:div w:id="1767261610">
      <w:bodyDiv w:val="1"/>
      <w:marLeft w:val="0"/>
      <w:marRight w:val="0"/>
      <w:marTop w:val="0"/>
      <w:marBottom w:val="0"/>
      <w:divBdr>
        <w:top w:val="none" w:sz="0" w:space="0" w:color="auto"/>
        <w:left w:val="none" w:sz="0" w:space="0" w:color="auto"/>
        <w:bottom w:val="none" w:sz="0" w:space="0" w:color="auto"/>
        <w:right w:val="none" w:sz="0" w:space="0" w:color="auto"/>
      </w:divBdr>
    </w:div>
    <w:div w:id="1801410804">
      <w:bodyDiv w:val="1"/>
      <w:marLeft w:val="0"/>
      <w:marRight w:val="0"/>
      <w:marTop w:val="0"/>
      <w:marBottom w:val="0"/>
      <w:divBdr>
        <w:top w:val="none" w:sz="0" w:space="0" w:color="auto"/>
        <w:left w:val="none" w:sz="0" w:space="0" w:color="auto"/>
        <w:bottom w:val="none" w:sz="0" w:space="0" w:color="auto"/>
        <w:right w:val="none" w:sz="0" w:space="0" w:color="auto"/>
      </w:divBdr>
    </w:div>
    <w:div w:id="1856915198">
      <w:bodyDiv w:val="1"/>
      <w:marLeft w:val="0"/>
      <w:marRight w:val="0"/>
      <w:marTop w:val="0"/>
      <w:marBottom w:val="0"/>
      <w:divBdr>
        <w:top w:val="none" w:sz="0" w:space="0" w:color="auto"/>
        <w:left w:val="none" w:sz="0" w:space="0" w:color="auto"/>
        <w:bottom w:val="none" w:sz="0" w:space="0" w:color="auto"/>
        <w:right w:val="none" w:sz="0" w:space="0" w:color="auto"/>
      </w:divBdr>
    </w:div>
    <w:div w:id="1923754512">
      <w:bodyDiv w:val="1"/>
      <w:marLeft w:val="0"/>
      <w:marRight w:val="0"/>
      <w:marTop w:val="0"/>
      <w:marBottom w:val="0"/>
      <w:divBdr>
        <w:top w:val="none" w:sz="0" w:space="0" w:color="auto"/>
        <w:left w:val="none" w:sz="0" w:space="0" w:color="auto"/>
        <w:bottom w:val="none" w:sz="0" w:space="0" w:color="auto"/>
        <w:right w:val="none" w:sz="0" w:space="0" w:color="auto"/>
      </w:divBdr>
    </w:div>
    <w:div w:id="1971323417">
      <w:bodyDiv w:val="1"/>
      <w:marLeft w:val="0"/>
      <w:marRight w:val="0"/>
      <w:marTop w:val="0"/>
      <w:marBottom w:val="0"/>
      <w:divBdr>
        <w:top w:val="none" w:sz="0" w:space="0" w:color="auto"/>
        <w:left w:val="none" w:sz="0" w:space="0" w:color="auto"/>
        <w:bottom w:val="none" w:sz="0" w:space="0" w:color="auto"/>
        <w:right w:val="none" w:sz="0" w:space="0" w:color="auto"/>
      </w:divBdr>
    </w:div>
    <w:div w:id="1979067369">
      <w:bodyDiv w:val="1"/>
      <w:marLeft w:val="0"/>
      <w:marRight w:val="0"/>
      <w:marTop w:val="0"/>
      <w:marBottom w:val="0"/>
      <w:divBdr>
        <w:top w:val="none" w:sz="0" w:space="0" w:color="auto"/>
        <w:left w:val="none" w:sz="0" w:space="0" w:color="auto"/>
        <w:bottom w:val="none" w:sz="0" w:space="0" w:color="auto"/>
        <w:right w:val="none" w:sz="0" w:space="0" w:color="auto"/>
      </w:divBdr>
    </w:div>
    <w:div w:id="2087993385">
      <w:bodyDiv w:val="1"/>
      <w:marLeft w:val="0"/>
      <w:marRight w:val="0"/>
      <w:marTop w:val="0"/>
      <w:marBottom w:val="0"/>
      <w:divBdr>
        <w:top w:val="none" w:sz="0" w:space="0" w:color="auto"/>
        <w:left w:val="none" w:sz="0" w:space="0" w:color="auto"/>
        <w:bottom w:val="none" w:sz="0" w:space="0" w:color="auto"/>
        <w:right w:val="none" w:sz="0" w:space="0" w:color="auto"/>
      </w:divBdr>
      <w:divsChild>
        <w:div w:id="163131326">
          <w:marLeft w:val="547"/>
          <w:marRight w:val="0"/>
          <w:marTop w:val="86"/>
          <w:marBottom w:val="0"/>
          <w:divBdr>
            <w:top w:val="none" w:sz="0" w:space="0" w:color="auto"/>
            <w:left w:val="none" w:sz="0" w:space="0" w:color="auto"/>
            <w:bottom w:val="none" w:sz="0" w:space="0" w:color="auto"/>
            <w:right w:val="none" w:sz="0" w:space="0" w:color="auto"/>
          </w:divBdr>
        </w:div>
        <w:div w:id="2002855411">
          <w:marLeft w:val="547"/>
          <w:marRight w:val="0"/>
          <w:marTop w:val="86"/>
          <w:marBottom w:val="0"/>
          <w:divBdr>
            <w:top w:val="none" w:sz="0" w:space="0" w:color="auto"/>
            <w:left w:val="none" w:sz="0" w:space="0" w:color="auto"/>
            <w:bottom w:val="none" w:sz="0" w:space="0" w:color="auto"/>
            <w:right w:val="none" w:sz="0" w:space="0" w:color="auto"/>
          </w:divBdr>
        </w:div>
      </w:divsChild>
    </w:div>
    <w:div w:id="2104567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7F3FA-74C2-421A-8034-43EE352B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32</TotalTime>
  <Pages>4</Pages>
  <Words>1460</Words>
  <Characters>10899</Characters>
  <Application>Microsoft Office Word</Application>
  <DocSecurity>0</DocSecurity>
  <PresentationFormat>Microsoft Word 14.0</PresentationFormat>
  <Lines>143</Lines>
  <Paragraphs>45</Paragraphs>
  <ScaleCrop>false</ScaleCrop>
  <HeadingPairs>
    <vt:vector size="2" baseType="variant">
      <vt:variant>
        <vt:lpstr>Title</vt:lpstr>
      </vt:variant>
      <vt:variant>
        <vt:i4>1</vt:i4>
      </vt:variant>
    </vt:vector>
  </HeadingPairs>
  <TitlesOfParts>
    <vt:vector size="1" baseType="lpstr">
      <vt:lpstr>28082015 Impact Assessment for CCP recovery and resolution proposal</vt:lpstr>
    </vt:vector>
  </TitlesOfParts>
  <Manager/>
  <Company/>
  <LinksUpToDate>false</LinksUpToDate>
  <CharactersWithSpaces>12314</CharactersWithSpaces>
  <SharedDoc>false</SharedDoc>
  <HLinks>
    <vt:vector size="606" baseType="variant">
      <vt:variant>
        <vt:i4>1900559</vt:i4>
      </vt:variant>
      <vt:variant>
        <vt:i4>264</vt:i4>
      </vt:variant>
      <vt:variant>
        <vt:i4>0</vt:i4>
      </vt:variant>
      <vt:variant>
        <vt:i4>5</vt:i4>
      </vt:variant>
      <vt:variant>
        <vt:lpwstr>http://www.bis.org/press/p140901.htm</vt:lpwstr>
      </vt:variant>
      <vt:variant>
        <vt:lpwstr/>
      </vt:variant>
      <vt:variant>
        <vt:i4>1179697</vt:i4>
      </vt:variant>
      <vt:variant>
        <vt:i4>248</vt:i4>
      </vt:variant>
      <vt:variant>
        <vt:i4>0</vt:i4>
      </vt:variant>
      <vt:variant>
        <vt:i4>5</vt:i4>
      </vt:variant>
      <vt:variant>
        <vt:lpwstr/>
      </vt:variant>
      <vt:variant>
        <vt:lpwstr>_Toc412736457</vt:lpwstr>
      </vt:variant>
      <vt:variant>
        <vt:i4>1179697</vt:i4>
      </vt:variant>
      <vt:variant>
        <vt:i4>242</vt:i4>
      </vt:variant>
      <vt:variant>
        <vt:i4>0</vt:i4>
      </vt:variant>
      <vt:variant>
        <vt:i4>5</vt:i4>
      </vt:variant>
      <vt:variant>
        <vt:lpwstr/>
      </vt:variant>
      <vt:variant>
        <vt:lpwstr>_Toc412736456</vt:lpwstr>
      </vt:variant>
      <vt:variant>
        <vt:i4>1179697</vt:i4>
      </vt:variant>
      <vt:variant>
        <vt:i4>236</vt:i4>
      </vt:variant>
      <vt:variant>
        <vt:i4>0</vt:i4>
      </vt:variant>
      <vt:variant>
        <vt:i4>5</vt:i4>
      </vt:variant>
      <vt:variant>
        <vt:lpwstr/>
      </vt:variant>
      <vt:variant>
        <vt:lpwstr>_Toc412736455</vt:lpwstr>
      </vt:variant>
      <vt:variant>
        <vt:i4>1179697</vt:i4>
      </vt:variant>
      <vt:variant>
        <vt:i4>230</vt:i4>
      </vt:variant>
      <vt:variant>
        <vt:i4>0</vt:i4>
      </vt:variant>
      <vt:variant>
        <vt:i4>5</vt:i4>
      </vt:variant>
      <vt:variant>
        <vt:lpwstr/>
      </vt:variant>
      <vt:variant>
        <vt:lpwstr>_Toc412736454</vt:lpwstr>
      </vt:variant>
      <vt:variant>
        <vt:i4>1179697</vt:i4>
      </vt:variant>
      <vt:variant>
        <vt:i4>224</vt:i4>
      </vt:variant>
      <vt:variant>
        <vt:i4>0</vt:i4>
      </vt:variant>
      <vt:variant>
        <vt:i4>5</vt:i4>
      </vt:variant>
      <vt:variant>
        <vt:lpwstr/>
      </vt:variant>
      <vt:variant>
        <vt:lpwstr>_Toc412736453</vt:lpwstr>
      </vt:variant>
      <vt:variant>
        <vt:i4>1179697</vt:i4>
      </vt:variant>
      <vt:variant>
        <vt:i4>218</vt:i4>
      </vt:variant>
      <vt:variant>
        <vt:i4>0</vt:i4>
      </vt:variant>
      <vt:variant>
        <vt:i4>5</vt:i4>
      </vt:variant>
      <vt:variant>
        <vt:lpwstr/>
      </vt:variant>
      <vt:variant>
        <vt:lpwstr>_Toc412736452</vt:lpwstr>
      </vt:variant>
      <vt:variant>
        <vt:i4>1179697</vt:i4>
      </vt:variant>
      <vt:variant>
        <vt:i4>212</vt:i4>
      </vt:variant>
      <vt:variant>
        <vt:i4>0</vt:i4>
      </vt:variant>
      <vt:variant>
        <vt:i4>5</vt:i4>
      </vt:variant>
      <vt:variant>
        <vt:lpwstr/>
      </vt:variant>
      <vt:variant>
        <vt:lpwstr>_Toc412736451</vt:lpwstr>
      </vt:variant>
      <vt:variant>
        <vt:i4>1179697</vt:i4>
      </vt:variant>
      <vt:variant>
        <vt:i4>206</vt:i4>
      </vt:variant>
      <vt:variant>
        <vt:i4>0</vt:i4>
      </vt:variant>
      <vt:variant>
        <vt:i4>5</vt:i4>
      </vt:variant>
      <vt:variant>
        <vt:lpwstr/>
      </vt:variant>
      <vt:variant>
        <vt:lpwstr>_Toc412736450</vt:lpwstr>
      </vt:variant>
      <vt:variant>
        <vt:i4>1245233</vt:i4>
      </vt:variant>
      <vt:variant>
        <vt:i4>200</vt:i4>
      </vt:variant>
      <vt:variant>
        <vt:i4>0</vt:i4>
      </vt:variant>
      <vt:variant>
        <vt:i4>5</vt:i4>
      </vt:variant>
      <vt:variant>
        <vt:lpwstr/>
      </vt:variant>
      <vt:variant>
        <vt:lpwstr>_Toc412736449</vt:lpwstr>
      </vt:variant>
      <vt:variant>
        <vt:i4>1245233</vt:i4>
      </vt:variant>
      <vt:variant>
        <vt:i4>194</vt:i4>
      </vt:variant>
      <vt:variant>
        <vt:i4>0</vt:i4>
      </vt:variant>
      <vt:variant>
        <vt:i4>5</vt:i4>
      </vt:variant>
      <vt:variant>
        <vt:lpwstr/>
      </vt:variant>
      <vt:variant>
        <vt:lpwstr>_Toc412736448</vt:lpwstr>
      </vt:variant>
      <vt:variant>
        <vt:i4>1245233</vt:i4>
      </vt:variant>
      <vt:variant>
        <vt:i4>188</vt:i4>
      </vt:variant>
      <vt:variant>
        <vt:i4>0</vt:i4>
      </vt:variant>
      <vt:variant>
        <vt:i4>5</vt:i4>
      </vt:variant>
      <vt:variant>
        <vt:lpwstr/>
      </vt:variant>
      <vt:variant>
        <vt:lpwstr>_Toc412736447</vt:lpwstr>
      </vt:variant>
      <vt:variant>
        <vt:i4>1245233</vt:i4>
      </vt:variant>
      <vt:variant>
        <vt:i4>182</vt:i4>
      </vt:variant>
      <vt:variant>
        <vt:i4>0</vt:i4>
      </vt:variant>
      <vt:variant>
        <vt:i4>5</vt:i4>
      </vt:variant>
      <vt:variant>
        <vt:lpwstr/>
      </vt:variant>
      <vt:variant>
        <vt:lpwstr>_Toc412736446</vt:lpwstr>
      </vt:variant>
      <vt:variant>
        <vt:i4>1245233</vt:i4>
      </vt:variant>
      <vt:variant>
        <vt:i4>176</vt:i4>
      </vt:variant>
      <vt:variant>
        <vt:i4>0</vt:i4>
      </vt:variant>
      <vt:variant>
        <vt:i4>5</vt:i4>
      </vt:variant>
      <vt:variant>
        <vt:lpwstr/>
      </vt:variant>
      <vt:variant>
        <vt:lpwstr>_Toc412736445</vt:lpwstr>
      </vt:variant>
      <vt:variant>
        <vt:i4>1245233</vt:i4>
      </vt:variant>
      <vt:variant>
        <vt:i4>170</vt:i4>
      </vt:variant>
      <vt:variant>
        <vt:i4>0</vt:i4>
      </vt:variant>
      <vt:variant>
        <vt:i4>5</vt:i4>
      </vt:variant>
      <vt:variant>
        <vt:lpwstr/>
      </vt:variant>
      <vt:variant>
        <vt:lpwstr>_Toc412736444</vt:lpwstr>
      </vt:variant>
      <vt:variant>
        <vt:i4>1245233</vt:i4>
      </vt:variant>
      <vt:variant>
        <vt:i4>164</vt:i4>
      </vt:variant>
      <vt:variant>
        <vt:i4>0</vt:i4>
      </vt:variant>
      <vt:variant>
        <vt:i4>5</vt:i4>
      </vt:variant>
      <vt:variant>
        <vt:lpwstr/>
      </vt:variant>
      <vt:variant>
        <vt:lpwstr>_Toc412736443</vt:lpwstr>
      </vt:variant>
      <vt:variant>
        <vt:i4>1245233</vt:i4>
      </vt:variant>
      <vt:variant>
        <vt:i4>158</vt:i4>
      </vt:variant>
      <vt:variant>
        <vt:i4>0</vt:i4>
      </vt:variant>
      <vt:variant>
        <vt:i4>5</vt:i4>
      </vt:variant>
      <vt:variant>
        <vt:lpwstr/>
      </vt:variant>
      <vt:variant>
        <vt:lpwstr>_Toc412736442</vt:lpwstr>
      </vt:variant>
      <vt:variant>
        <vt:i4>1245233</vt:i4>
      </vt:variant>
      <vt:variant>
        <vt:i4>152</vt:i4>
      </vt:variant>
      <vt:variant>
        <vt:i4>0</vt:i4>
      </vt:variant>
      <vt:variant>
        <vt:i4>5</vt:i4>
      </vt:variant>
      <vt:variant>
        <vt:lpwstr/>
      </vt:variant>
      <vt:variant>
        <vt:lpwstr>_Toc412736441</vt:lpwstr>
      </vt:variant>
      <vt:variant>
        <vt:i4>1245233</vt:i4>
      </vt:variant>
      <vt:variant>
        <vt:i4>146</vt:i4>
      </vt:variant>
      <vt:variant>
        <vt:i4>0</vt:i4>
      </vt:variant>
      <vt:variant>
        <vt:i4>5</vt:i4>
      </vt:variant>
      <vt:variant>
        <vt:lpwstr/>
      </vt:variant>
      <vt:variant>
        <vt:lpwstr>_Toc412736440</vt:lpwstr>
      </vt:variant>
      <vt:variant>
        <vt:i4>1310769</vt:i4>
      </vt:variant>
      <vt:variant>
        <vt:i4>140</vt:i4>
      </vt:variant>
      <vt:variant>
        <vt:i4>0</vt:i4>
      </vt:variant>
      <vt:variant>
        <vt:i4>5</vt:i4>
      </vt:variant>
      <vt:variant>
        <vt:lpwstr/>
      </vt:variant>
      <vt:variant>
        <vt:lpwstr>_Toc412736439</vt:lpwstr>
      </vt:variant>
      <vt:variant>
        <vt:i4>1310769</vt:i4>
      </vt:variant>
      <vt:variant>
        <vt:i4>134</vt:i4>
      </vt:variant>
      <vt:variant>
        <vt:i4>0</vt:i4>
      </vt:variant>
      <vt:variant>
        <vt:i4>5</vt:i4>
      </vt:variant>
      <vt:variant>
        <vt:lpwstr/>
      </vt:variant>
      <vt:variant>
        <vt:lpwstr>_Toc412736438</vt:lpwstr>
      </vt:variant>
      <vt:variant>
        <vt:i4>1310769</vt:i4>
      </vt:variant>
      <vt:variant>
        <vt:i4>128</vt:i4>
      </vt:variant>
      <vt:variant>
        <vt:i4>0</vt:i4>
      </vt:variant>
      <vt:variant>
        <vt:i4>5</vt:i4>
      </vt:variant>
      <vt:variant>
        <vt:lpwstr/>
      </vt:variant>
      <vt:variant>
        <vt:lpwstr>_Toc412736437</vt:lpwstr>
      </vt:variant>
      <vt:variant>
        <vt:i4>1310769</vt:i4>
      </vt:variant>
      <vt:variant>
        <vt:i4>122</vt:i4>
      </vt:variant>
      <vt:variant>
        <vt:i4>0</vt:i4>
      </vt:variant>
      <vt:variant>
        <vt:i4>5</vt:i4>
      </vt:variant>
      <vt:variant>
        <vt:lpwstr/>
      </vt:variant>
      <vt:variant>
        <vt:lpwstr>_Toc412736435</vt:lpwstr>
      </vt:variant>
      <vt:variant>
        <vt:i4>1310769</vt:i4>
      </vt:variant>
      <vt:variant>
        <vt:i4>116</vt:i4>
      </vt:variant>
      <vt:variant>
        <vt:i4>0</vt:i4>
      </vt:variant>
      <vt:variant>
        <vt:i4>5</vt:i4>
      </vt:variant>
      <vt:variant>
        <vt:lpwstr/>
      </vt:variant>
      <vt:variant>
        <vt:lpwstr>_Toc412736434</vt:lpwstr>
      </vt:variant>
      <vt:variant>
        <vt:i4>1310769</vt:i4>
      </vt:variant>
      <vt:variant>
        <vt:i4>110</vt:i4>
      </vt:variant>
      <vt:variant>
        <vt:i4>0</vt:i4>
      </vt:variant>
      <vt:variant>
        <vt:i4>5</vt:i4>
      </vt:variant>
      <vt:variant>
        <vt:lpwstr/>
      </vt:variant>
      <vt:variant>
        <vt:lpwstr>_Toc412736433</vt:lpwstr>
      </vt:variant>
      <vt:variant>
        <vt:i4>1310769</vt:i4>
      </vt:variant>
      <vt:variant>
        <vt:i4>104</vt:i4>
      </vt:variant>
      <vt:variant>
        <vt:i4>0</vt:i4>
      </vt:variant>
      <vt:variant>
        <vt:i4>5</vt:i4>
      </vt:variant>
      <vt:variant>
        <vt:lpwstr/>
      </vt:variant>
      <vt:variant>
        <vt:lpwstr>_Toc412736432</vt:lpwstr>
      </vt:variant>
      <vt:variant>
        <vt:i4>1310769</vt:i4>
      </vt:variant>
      <vt:variant>
        <vt:i4>98</vt:i4>
      </vt:variant>
      <vt:variant>
        <vt:i4>0</vt:i4>
      </vt:variant>
      <vt:variant>
        <vt:i4>5</vt:i4>
      </vt:variant>
      <vt:variant>
        <vt:lpwstr/>
      </vt:variant>
      <vt:variant>
        <vt:lpwstr>_Toc412736431</vt:lpwstr>
      </vt:variant>
      <vt:variant>
        <vt:i4>1310769</vt:i4>
      </vt:variant>
      <vt:variant>
        <vt:i4>92</vt:i4>
      </vt:variant>
      <vt:variant>
        <vt:i4>0</vt:i4>
      </vt:variant>
      <vt:variant>
        <vt:i4>5</vt:i4>
      </vt:variant>
      <vt:variant>
        <vt:lpwstr/>
      </vt:variant>
      <vt:variant>
        <vt:lpwstr>_Toc412736430</vt:lpwstr>
      </vt:variant>
      <vt:variant>
        <vt:i4>1376305</vt:i4>
      </vt:variant>
      <vt:variant>
        <vt:i4>86</vt:i4>
      </vt:variant>
      <vt:variant>
        <vt:i4>0</vt:i4>
      </vt:variant>
      <vt:variant>
        <vt:i4>5</vt:i4>
      </vt:variant>
      <vt:variant>
        <vt:lpwstr/>
      </vt:variant>
      <vt:variant>
        <vt:lpwstr>_Toc412736429</vt:lpwstr>
      </vt:variant>
      <vt:variant>
        <vt:i4>1376305</vt:i4>
      </vt:variant>
      <vt:variant>
        <vt:i4>80</vt:i4>
      </vt:variant>
      <vt:variant>
        <vt:i4>0</vt:i4>
      </vt:variant>
      <vt:variant>
        <vt:i4>5</vt:i4>
      </vt:variant>
      <vt:variant>
        <vt:lpwstr/>
      </vt:variant>
      <vt:variant>
        <vt:lpwstr>_Toc412736425</vt:lpwstr>
      </vt:variant>
      <vt:variant>
        <vt:i4>1376305</vt:i4>
      </vt:variant>
      <vt:variant>
        <vt:i4>74</vt:i4>
      </vt:variant>
      <vt:variant>
        <vt:i4>0</vt:i4>
      </vt:variant>
      <vt:variant>
        <vt:i4>5</vt:i4>
      </vt:variant>
      <vt:variant>
        <vt:lpwstr/>
      </vt:variant>
      <vt:variant>
        <vt:lpwstr>_Toc412736424</vt:lpwstr>
      </vt:variant>
      <vt:variant>
        <vt:i4>1376305</vt:i4>
      </vt:variant>
      <vt:variant>
        <vt:i4>68</vt:i4>
      </vt:variant>
      <vt:variant>
        <vt:i4>0</vt:i4>
      </vt:variant>
      <vt:variant>
        <vt:i4>5</vt:i4>
      </vt:variant>
      <vt:variant>
        <vt:lpwstr/>
      </vt:variant>
      <vt:variant>
        <vt:lpwstr>_Toc412736423</vt:lpwstr>
      </vt:variant>
      <vt:variant>
        <vt:i4>1376305</vt:i4>
      </vt:variant>
      <vt:variant>
        <vt:i4>62</vt:i4>
      </vt:variant>
      <vt:variant>
        <vt:i4>0</vt:i4>
      </vt:variant>
      <vt:variant>
        <vt:i4>5</vt:i4>
      </vt:variant>
      <vt:variant>
        <vt:lpwstr/>
      </vt:variant>
      <vt:variant>
        <vt:lpwstr>_Toc412736422</vt:lpwstr>
      </vt:variant>
      <vt:variant>
        <vt:i4>1376305</vt:i4>
      </vt:variant>
      <vt:variant>
        <vt:i4>56</vt:i4>
      </vt:variant>
      <vt:variant>
        <vt:i4>0</vt:i4>
      </vt:variant>
      <vt:variant>
        <vt:i4>5</vt:i4>
      </vt:variant>
      <vt:variant>
        <vt:lpwstr/>
      </vt:variant>
      <vt:variant>
        <vt:lpwstr>_Toc412736421</vt:lpwstr>
      </vt:variant>
      <vt:variant>
        <vt:i4>1376305</vt:i4>
      </vt:variant>
      <vt:variant>
        <vt:i4>50</vt:i4>
      </vt:variant>
      <vt:variant>
        <vt:i4>0</vt:i4>
      </vt:variant>
      <vt:variant>
        <vt:i4>5</vt:i4>
      </vt:variant>
      <vt:variant>
        <vt:lpwstr/>
      </vt:variant>
      <vt:variant>
        <vt:lpwstr>_Toc412736420</vt:lpwstr>
      </vt:variant>
      <vt:variant>
        <vt:i4>1441841</vt:i4>
      </vt:variant>
      <vt:variant>
        <vt:i4>44</vt:i4>
      </vt:variant>
      <vt:variant>
        <vt:i4>0</vt:i4>
      </vt:variant>
      <vt:variant>
        <vt:i4>5</vt:i4>
      </vt:variant>
      <vt:variant>
        <vt:lpwstr/>
      </vt:variant>
      <vt:variant>
        <vt:lpwstr>_Toc412736418</vt:lpwstr>
      </vt:variant>
      <vt:variant>
        <vt:i4>1441841</vt:i4>
      </vt:variant>
      <vt:variant>
        <vt:i4>38</vt:i4>
      </vt:variant>
      <vt:variant>
        <vt:i4>0</vt:i4>
      </vt:variant>
      <vt:variant>
        <vt:i4>5</vt:i4>
      </vt:variant>
      <vt:variant>
        <vt:lpwstr/>
      </vt:variant>
      <vt:variant>
        <vt:lpwstr>_Toc412736417</vt:lpwstr>
      </vt:variant>
      <vt:variant>
        <vt:i4>1441841</vt:i4>
      </vt:variant>
      <vt:variant>
        <vt:i4>32</vt:i4>
      </vt:variant>
      <vt:variant>
        <vt:i4>0</vt:i4>
      </vt:variant>
      <vt:variant>
        <vt:i4>5</vt:i4>
      </vt:variant>
      <vt:variant>
        <vt:lpwstr/>
      </vt:variant>
      <vt:variant>
        <vt:lpwstr>_Toc412736416</vt:lpwstr>
      </vt:variant>
      <vt:variant>
        <vt:i4>1441841</vt:i4>
      </vt:variant>
      <vt:variant>
        <vt:i4>26</vt:i4>
      </vt:variant>
      <vt:variant>
        <vt:i4>0</vt:i4>
      </vt:variant>
      <vt:variant>
        <vt:i4>5</vt:i4>
      </vt:variant>
      <vt:variant>
        <vt:lpwstr/>
      </vt:variant>
      <vt:variant>
        <vt:lpwstr>_Toc412736415</vt:lpwstr>
      </vt:variant>
      <vt:variant>
        <vt:i4>1441841</vt:i4>
      </vt:variant>
      <vt:variant>
        <vt:i4>20</vt:i4>
      </vt:variant>
      <vt:variant>
        <vt:i4>0</vt:i4>
      </vt:variant>
      <vt:variant>
        <vt:i4>5</vt:i4>
      </vt:variant>
      <vt:variant>
        <vt:lpwstr/>
      </vt:variant>
      <vt:variant>
        <vt:lpwstr>_Toc412736414</vt:lpwstr>
      </vt:variant>
      <vt:variant>
        <vt:i4>1441841</vt:i4>
      </vt:variant>
      <vt:variant>
        <vt:i4>14</vt:i4>
      </vt:variant>
      <vt:variant>
        <vt:i4>0</vt:i4>
      </vt:variant>
      <vt:variant>
        <vt:i4>5</vt:i4>
      </vt:variant>
      <vt:variant>
        <vt:lpwstr/>
      </vt:variant>
      <vt:variant>
        <vt:lpwstr>_Toc412736412</vt:lpwstr>
      </vt:variant>
      <vt:variant>
        <vt:i4>1441841</vt:i4>
      </vt:variant>
      <vt:variant>
        <vt:i4>8</vt:i4>
      </vt:variant>
      <vt:variant>
        <vt:i4>0</vt:i4>
      </vt:variant>
      <vt:variant>
        <vt:i4>5</vt:i4>
      </vt:variant>
      <vt:variant>
        <vt:lpwstr/>
      </vt:variant>
      <vt:variant>
        <vt:lpwstr>_Toc412736411</vt:lpwstr>
      </vt:variant>
      <vt:variant>
        <vt:i4>1441841</vt:i4>
      </vt:variant>
      <vt:variant>
        <vt:i4>2</vt:i4>
      </vt:variant>
      <vt:variant>
        <vt:i4>0</vt:i4>
      </vt:variant>
      <vt:variant>
        <vt:i4>5</vt:i4>
      </vt:variant>
      <vt:variant>
        <vt:lpwstr/>
      </vt:variant>
      <vt:variant>
        <vt:lpwstr>_Toc412736410</vt:lpwstr>
      </vt:variant>
      <vt:variant>
        <vt:i4>8061028</vt:i4>
      </vt:variant>
      <vt:variant>
        <vt:i4>195</vt:i4>
      </vt:variant>
      <vt:variant>
        <vt:i4>0</vt:i4>
      </vt:variant>
      <vt:variant>
        <vt:i4>5</vt:i4>
      </vt:variant>
      <vt:variant>
        <vt:lpwstr>http://www.chicagofed.org/digital_assets/others/events/2014/annual_over_the_counter_derivatives_symposium/tucker_clearinghouses_new_central_banks_tucker_2014.pdf</vt:lpwstr>
      </vt:variant>
      <vt:variant>
        <vt:lpwstr/>
      </vt:variant>
      <vt:variant>
        <vt:i4>524318</vt:i4>
      </vt:variant>
      <vt:variant>
        <vt:i4>192</vt:i4>
      </vt:variant>
      <vt:variant>
        <vt:i4>0</vt:i4>
      </vt:variant>
      <vt:variant>
        <vt:i4>5</vt:i4>
      </vt:variant>
      <vt:variant>
        <vt:lpwstr>http://ec.europa.eu/internal_market/consultations/2012/nonbanks_en.htm</vt:lpwstr>
      </vt:variant>
      <vt:variant>
        <vt:lpwstr/>
      </vt:variant>
      <vt:variant>
        <vt:i4>5111819</vt:i4>
      </vt:variant>
      <vt:variant>
        <vt:i4>189</vt:i4>
      </vt:variant>
      <vt:variant>
        <vt:i4>0</vt:i4>
      </vt:variant>
      <vt:variant>
        <vt:i4>5</vt:i4>
      </vt:variant>
      <vt:variant>
        <vt:lpwstr>http://www2.isda.org/attachment/NTc5Nw==/CCP_loss_allocation_waterfall_0807.pdf</vt:lpwstr>
      </vt:variant>
      <vt:variant>
        <vt:lpwstr/>
      </vt:variant>
      <vt:variant>
        <vt:i4>5111819</vt:i4>
      </vt:variant>
      <vt:variant>
        <vt:i4>186</vt:i4>
      </vt:variant>
      <vt:variant>
        <vt:i4>0</vt:i4>
      </vt:variant>
      <vt:variant>
        <vt:i4>5</vt:i4>
      </vt:variant>
      <vt:variant>
        <vt:lpwstr>http://www2.isda.org/attachment/NTc5Nw==/CCP_loss_allocation_waterfall_0807.pdf</vt:lpwstr>
      </vt:variant>
      <vt:variant>
        <vt:lpwstr/>
      </vt:variant>
      <vt:variant>
        <vt:i4>4587545</vt:i4>
      </vt:variant>
      <vt:variant>
        <vt:i4>183</vt:i4>
      </vt:variant>
      <vt:variant>
        <vt:i4>0</vt:i4>
      </vt:variant>
      <vt:variant>
        <vt:i4>5</vt:i4>
      </vt:variant>
      <vt:variant>
        <vt:lpwstr>http://www.financialstabilityboard.org/publications/c_131025_1.htm</vt:lpwstr>
      </vt:variant>
      <vt:variant>
        <vt:lpwstr/>
      </vt:variant>
      <vt:variant>
        <vt:i4>4653075</vt:i4>
      </vt:variant>
      <vt:variant>
        <vt:i4>180</vt:i4>
      </vt:variant>
      <vt:variant>
        <vt:i4>0</vt:i4>
      </vt:variant>
      <vt:variant>
        <vt:i4>5</vt:i4>
      </vt:variant>
      <vt:variant>
        <vt:lpwstr>http://www.imf.org/external/pubs/ft/gfsr/2010/01/</vt:lpwstr>
      </vt:variant>
      <vt:variant>
        <vt:lpwstr/>
      </vt:variant>
      <vt:variant>
        <vt:i4>327800</vt:i4>
      </vt:variant>
      <vt:variant>
        <vt:i4>177</vt:i4>
      </vt:variant>
      <vt:variant>
        <vt:i4>0</vt:i4>
      </vt:variant>
      <vt:variant>
        <vt:i4>5</vt:i4>
      </vt:variant>
      <vt:variant>
        <vt:lpwstr>http://www.bankofengland.co.uk/publications/Pages/fsr/fs_paper19.aspx</vt:lpwstr>
      </vt:variant>
      <vt:variant>
        <vt:lpwstr/>
      </vt:variant>
      <vt:variant>
        <vt:i4>1835009</vt:i4>
      </vt:variant>
      <vt:variant>
        <vt:i4>174</vt:i4>
      </vt:variant>
      <vt:variant>
        <vt:i4>0</vt:i4>
      </vt:variant>
      <vt:variant>
        <vt:i4>5</vt:i4>
      </vt:variant>
      <vt:variant>
        <vt:lpwstr>http://ec.europa.eu/internal_market/securities/isd/mifid2/index_en.htm</vt:lpwstr>
      </vt:variant>
      <vt:variant>
        <vt:lpwstr/>
      </vt:variant>
      <vt:variant>
        <vt:i4>3997759</vt:i4>
      </vt:variant>
      <vt:variant>
        <vt:i4>171</vt:i4>
      </vt:variant>
      <vt:variant>
        <vt:i4>0</vt:i4>
      </vt:variant>
      <vt:variant>
        <vt:i4>5</vt:i4>
      </vt:variant>
      <vt:variant>
        <vt:lpwstr>http://ec.europa.eu/internal_market/finances/docs/general/20140515-erfra-working-document_en.pdf</vt:lpwstr>
      </vt:variant>
      <vt:variant>
        <vt:lpwstr/>
      </vt:variant>
      <vt:variant>
        <vt:i4>7078014</vt:i4>
      </vt:variant>
      <vt:variant>
        <vt:i4>168</vt:i4>
      </vt:variant>
      <vt:variant>
        <vt:i4>0</vt:i4>
      </vt:variant>
      <vt:variant>
        <vt:i4>5</vt:i4>
      </vt:variant>
      <vt:variant>
        <vt:lpwstr>http://www.ecb.europa.eu/press/key/date/2014/html/sp140917.en.html</vt:lpwstr>
      </vt:variant>
      <vt:variant>
        <vt:lpwstr/>
      </vt:variant>
      <vt:variant>
        <vt:i4>4063268</vt:i4>
      </vt:variant>
      <vt:variant>
        <vt:i4>165</vt:i4>
      </vt:variant>
      <vt:variant>
        <vt:i4>0</vt:i4>
      </vt:variant>
      <vt:variant>
        <vt:i4>5</vt:i4>
      </vt:variant>
      <vt:variant>
        <vt:lpwstr>http://www.bankofengland.co.uk/publications/Documents/fsr/2013/fsrfull1306.pdf</vt:lpwstr>
      </vt:variant>
      <vt:variant>
        <vt:lpwstr/>
      </vt:variant>
      <vt:variant>
        <vt:i4>7995489</vt:i4>
      </vt:variant>
      <vt:variant>
        <vt:i4>162</vt:i4>
      </vt:variant>
      <vt:variant>
        <vt:i4>0</vt:i4>
      </vt:variant>
      <vt:variant>
        <vt:i4>5</vt:i4>
      </vt:variant>
      <vt:variant>
        <vt:lpwstr>http://www2.isda.org/functional-areas/research/studies/</vt:lpwstr>
      </vt:variant>
      <vt:variant>
        <vt:lpwstr/>
      </vt:variant>
      <vt:variant>
        <vt:i4>4587605</vt:i4>
      </vt:variant>
      <vt:variant>
        <vt:i4>159</vt:i4>
      </vt:variant>
      <vt:variant>
        <vt:i4>0</vt:i4>
      </vt:variant>
      <vt:variant>
        <vt:i4>5</vt:i4>
      </vt:variant>
      <vt:variant>
        <vt:lpwstr>http://www.bis.org/statistics/dt1920a.pdf</vt:lpwstr>
      </vt:variant>
      <vt:variant>
        <vt:lpwstr/>
      </vt:variant>
      <vt:variant>
        <vt:i4>3276901</vt:i4>
      </vt:variant>
      <vt:variant>
        <vt:i4>156</vt:i4>
      </vt:variant>
      <vt:variant>
        <vt:i4>0</vt:i4>
      </vt:variant>
      <vt:variant>
        <vt:i4>5</vt:i4>
      </vt:variant>
      <vt:variant>
        <vt:lpwstr>http://www.bis.org/</vt:lpwstr>
      </vt:variant>
      <vt:variant>
        <vt:lpwstr/>
      </vt:variant>
      <vt:variant>
        <vt:i4>7602285</vt:i4>
      </vt:variant>
      <vt:variant>
        <vt:i4>153</vt:i4>
      </vt:variant>
      <vt:variant>
        <vt:i4>0</vt:i4>
      </vt:variant>
      <vt:variant>
        <vt:i4>5</vt:i4>
      </vt:variant>
      <vt:variant>
        <vt:lpwstr>http://www.treasury.gov/initiatives/Documents/Finalruledisclaimer7-18-2011.pdf</vt:lpwstr>
      </vt:variant>
      <vt:variant>
        <vt:lpwstr/>
      </vt:variant>
      <vt:variant>
        <vt:i4>7995495</vt:i4>
      </vt:variant>
      <vt:variant>
        <vt:i4>150</vt:i4>
      </vt:variant>
      <vt:variant>
        <vt:i4>0</vt:i4>
      </vt:variant>
      <vt:variant>
        <vt:i4>5</vt:i4>
      </vt:variant>
      <vt:variant>
        <vt:lpwstr>http://www.federalreserve.gov/newsevents/press/bcreg/bcreg20130403a.pdf</vt:lpwstr>
      </vt:variant>
      <vt:variant>
        <vt:lpwstr/>
      </vt:variant>
      <vt:variant>
        <vt:i4>852062</vt:i4>
      </vt:variant>
      <vt:variant>
        <vt:i4>147</vt:i4>
      </vt:variant>
      <vt:variant>
        <vt:i4>0</vt:i4>
      </vt:variant>
      <vt:variant>
        <vt:i4>5</vt:i4>
      </vt:variant>
      <vt:variant>
        <vt:lpwstr>http://www.treasury.gov/initiatives/fsoc/Documents/Nonbank Designations - Final Rule and Guidance.pdf</vt:lpwstr>
      </vt:variant>
      <vt:variant>
        <vt:lpwstr/>
      </vt:variant>
      <vt:variant>
        <vt:i4>6619169</vt:i4>
      </vt:variant>
      <vt:variant>
        <vt:i4>123</vt:i4>
      </vt:variant>
      <vt:variant>
        <vt:i4>0</vt:i4>
      </vt:variant>
      <vt:variant>
        <vt:i4>5</vt:i4>
      </vt:variant>
      <vt:variant>
        <vt:lpwstr>http://www.bis.org/publ/bcbs200.pdf</vt:lpwstr>
      </vt:variant>
      <vt:variant>
        <vt:lpwstr/>
      </vt:variant>
      <vt:variant>
        <vt:i4>3670046</vt:i4>
      </vt:variant>
      <vt:variant>
        <vt:i4>120</vt:i4>
      </vt:variant>
      <vt:variant>
        <vt:i4>0</vt:i4>
      </vt:variant>
      <vt:variant>
        <vt:i4>5</vt:i4>
      </vt:variant>
      <vt:variant>
        <vt:lpwstr>http://www.financialstabilityboard.org/publications/r_130411a.pdf</vt:lpwstr>
      </vt:variant>
      <vt:variant>
        <vt:lpwstr/>
      </vt:variant>
      <vt:variant>
        <vt:i4>4915209</vt:i4>
      </vt:variant>
      <vt:variant>
        <vt:i4>117</vt:i4>
      </vt:variant>
      <vt:variant>
        <vt:i4>0</vt:i4>
      </vt:variant>
      <vt:variant>
        <vt:i4>5</vt:i4>
      </vt:variant>
      <vt:variant>
        <vt:lpwstr>http://www.bis.org/publ/cpss101a.pdf</vt:lpwstr>
      </vt:variant>
      <vt:variant>
        <vt:lpwstr/>
      </vt:variant>
      <vt:variant>
        <vt:i4>7078015</vt:i4>
      </vt:variant>
      <vt:variant>
        <vt:i4>114</vt:i4>
      </vt:variant>
      <vt:variant>
        <vt:i4>0</vt:i4>
      </vt:variant>
      <vt:variant>
        <vt:i4>5</vt:i4>
      </vt:variant>
      <vt:variant>
        <vt:lpwstr>http://www.financialstabilityboard.org/wp-content/uploads/FSB-Chair-letter-to-G20-February-2015.pdf</vt:lpwstr>
      </vt:variant>
      <vt:variant>
        <vt:lpwstr/>
      </vt:variant>
      <vt:variant>
        <vt:i4>1704015</vt:i4>
      </vt:variant>
      <vt:variant>
        <vt:i4>111</vt:i4>
      </vt:variant>
      <vt:variant>
        <vt:i4>0</vt:i4>
      </vt:variant>
      <vt:variant>
        <vt:i4>5</vt:i4>
      </vt:variant>
      <vt:variant>
        <vt:lpwstr>http://www.cmegroup.com/education/files/balancing-ccp-and-member-contributions-with-exposures.pdf</vt:lpwstr>
      </vt:variant>
      <vt:variant>
        <vt:lpwstr/>
      </vt:variant>
      <vt:variant>
        <vt:i4>2686999</vt:i4>
      </vt:variant>
      <vt:variant>
        <vt:i4>108</vt:i4>
      </vt:variant>
      <vt:variant>
        <vt:i4>0</vt:i4>
      </vt:variant>
      <vt:variant>
        <vt:i4>5</vt:i4>
      </vt:variant>
      <vt:variant>
        <vt:lpwstr>http://secure-area.lchclearnet.com/images/CCP_Risk_Management_Recovery_-_Resolution.pdf</vt:lpwstr>
      </vt:variant>
      <vt:variant>
        <vt:lpwstr/>
      </vt:variant>
      <vt:variant>
        <vt:i4>2359338</vt:i4>
      </vt:variant>
      <vt:variant>
        <vt:i4>105</vt:i4>
      </vt:variant>
      <vt:variant>
        <vt:i4>0</vt:i4>
      </vt:variant>
      <vt:variant>
        <vt:i4>5</vt:i4>
      </vt:variant>
      <vt:variant>
        <vt:lpwstr>http://www.financialstabilityboard.org/wp-content/uploads/TLAC-Condoc-6-Nov-2014-FINAL.pdf</vt:lpwstr>
      </vt:variant>
      <vt:variant>
        <vt:lpwstr/>
      </vt:variant>
      <vt:variant>
        <vt:i4>1441822</vt:i4>
      </vt:variant>
      <vt:variant>
        <vt:i4>102</vt:i4>
      </vt:variant>
      <vt:variant>
        <vt:i4>0</vt:i4>
      </vt:variant>
      <vt:variant>
        <vt:i4>5</vt:i4>
      </vt:variant>
      <vt:variant>
        <vt:lpwstr>http://www.bis.org/cpmi/publ/d121.pdf</vt:lpwstr>
      </vt:variant>
      <vt:variant>
        <vt:lpwstr/>
      </vt:variant>
      <vt:variant>
        <vt:i4>327729</vt:i4>
      </vt:variant>
      <vt:variant>
        <vt:i4>99</vt:i4>
      </vt:variant>
      <vt:variant>
        <vt:i4>0</vt:i4>
      </vt:variant>
      <vt:variant>
        <vt:i4>5</vt:i4>
      </vt:variant>
      <vt:variant>
        <vt:lpwstr>http://www.financialstabilityboard.org/wp-content/uploads/r_141015.pdf</vt:lpwstr>
      </vt:variant>
      <vt:variant>
        <vt:lpwstr/>
      </vt:variant>
      <vt:variant>
        <vt:i4>4915209</vt:i4>
      </vt:variant>
      <vt:variant>
        <vt:i4>96</vt:i4>
      </vt:variant>
      <vt:variant>
        <vt:i4>0</vt:i4>
      </vt:variant>
      <vt:variant>
        <vt:i4>5</vt:i4>
      </vt:variant>
      <vt:variant>
        <vt:lpwstr>http://www.bis.org/publ/cpss101a.pdf</vt:lpwstr>
      </vt:variant>
      <vt:variant>
        <vt:lpwstr/>
      </vt:variant>
      <vt:variant>
        <vt:i4>5111899</vt:i4>
      </vt:variant>
      <vt:variant>
        <vt:i4>93</vt:i4>
      </vt:variant>
      <vt:variant>
        <vt:i4>0</vt:i4>
      </vt:variant>
      <vt:variant>
        <vt:i4>5</vt:i4>
      </vt:variant>
      <vt:variant>
        <vt:lpwstr>https://www.eba.europa.eu/documents/10180/751477/EBA-CP-2014-16++%28CP+on+draft+RTS+on+Content+Res++Plans+and+Assessment+of+Resolvability%29.docx.pdf</vt:lpwstr>
      </vt:variant>
      <vt:variant>
        <vt:lpwstr/>
      </vt:variant>
      <vt:variant>
        <vt:i4>3997759</vt:i4>
      </vt:variant>
      <vt:variant>
        <vt:i4>90</vt:i4>
      </vt:variant>
      <vt:variant>
        <vt:i4>0</vt:i4>
      </vt:variant>
      <vt:variant>
        <vt:i4>5</vt:i4>
      </vt:variant>
      <vt:variant>
        <vt:lpwstr>http://ec.europa.eu/internal_market/finances/docs/general/20140515-erfra-working-document_en.pdf</vt:lpwstr>
      </vt:variant>
      <vt:variant>
        <vt:lpwstr/>
      </vt:variant>
      <vt:variant>
        <vt:i4>6225953</vt:i4>
      </vt:variant>
      <vt:variant>
        <vt:i4>84</vt:i4>
      </vt:variant>
      <vt:variant>
        <vt:i4>0</vt:i4>
      </vt:variant>
      <vt:variant>
        <vt:i4>5</vt:i4>
      </vt:variant>
      <vt:variant>
        <vt:lpwstr>http://www.ecb.europa.eu/press/key/date/2014/html/sp140519_1.en.html</vt:lpwstr>
      </vt:variant>
      <vt:variant>
        <vt:lpwstr/>
      </vt:variant>
      <vt:variant>
        <vt:i4>7995433</vt:i4>
      </vt:variant>
      <vt:variant>
        <vt:i4>81</vt:i4>
      </vt:variant>
      <vt:variant>
        <vt:i4>0</vt:i4>
      </vt:variant>
      <vt:variant>
        <vt:i4>5</vt:i4>
      </vt:variant>
      <vt:variant>
        <vt:lpwstr>http://www.bankofengland.co.uk/publications/Documents/fmi/fmiap1403.pdf</vt:lpwstr>
      </vt:variant>
      <vt:variant>
        <vt:lpwstr/>
      </vt:variant>
      <vt:variant>
        <vt:i4>2687085</vt:i4>
      </vt:variant>
      <vt:variant>
        <vt:i4>78</vt:i4>
      </vt:variant>
      <vt:variant>
        <vt:i4>0</vt:i4>
      </vt:variant>
      <vt:variant>
        <vt:i4>5</vt:i4>
      </vt:variant>
      <vt:variant>
        <vt:lpwstr>http://www.bankofengland.co.uk/financialstability/Documents/fmi/fmisupervision.pdf</vt:lpwstr>
      </vt:variant>
      <vt:variant>
        <vt:lpwstr/>
      </vt:variant>
      <vt:variant>
        <vt:i4>7471145</vt:i4>
      </vt:variant>
      <vt:variant>
        <vt:i4>75</vt:i4>
      </vt:variant>
      <vt:variant>
        <vt:i4>0</vt:i4>
      </vt:variant>
      <vt:variant>
        <vt:i4>5</vt:i4>
      </vt:variant>
      <vt:variant>
        <vt:lpwstr>http://ec.europa.eu/internal_market/bank/docs/crisis-management/2012_eu_framework/impact_assessment_final_en.pdf</vt:lpwstr>
      </vt:variant>
      <vt:variant>
        <vt:lpwstr/>
      </vt:variant>
      <vt:variant>
        <vt:i4>3997759</vt:i4>
      </vt:variant>
      <vt:variant>
        <vt:i4>72</vt:i4>
      </vt:variant>
      <vt:variant>
        <vt:i4>0</vt:i4>
      </vt:variant>
      <vt:variant>
        <vt:i4>5</vt:i4>
      </vt:variant>
      <vt:variant>
        <vt:lpwstr>http://ec.europa.eu/internal_market/finances/docs/general/20140515-erfra-working-document_en.pdf</vt:lpwstr>
      </vt:variant>
      <vt:variant>
        <vt:lpwstr/>
      </vt:variant>
      <vt:variant>
        <vt:i4>2883620</vt:i4>
      </vt:variant>
      <vt:variant>
        <vt:i4>69</vt:i4>
      </vt:variant>
      <vt:variant>
        <vt:i4>0</vt:i4>
      </vt:variant>
      <vt:variant>
        <vt:i4>5</vt:i4>
      </vt:variant>
      <vt:variant>
        <vt:lpwstr>http://www.jpmorganchase.com/corporate/About-JPMC/document/resolution-plan-ccps.pdf?M=22b2d037-ca48-42e1-a49e-53a5e0667db4</vt:lpwstr>
      </vt:variant>
      <vt:variant>
        <vt:lpwstr/>
      </vt:variant>
      <vt:variant>
        <vt:i4>3997759</vt:i4>
      </vt:variant>
      <vt:variant>
        <vt:i4>66</vt:i4>
      </vt:variant>
      <vt:variant>
        <vt:i4>0</vt:i4>
      </vt:variant>
      <vt:variant>
        <vt:i4>5</vt:i4>
      </vt:variant>
      <vt:variant>
        <vt:lpwstr>http://ec.europa.eu/internal_market/finances/docs/general/20140515-erfra-working-document_en.pdf</vt:lpwstr>
      </vt:variant>
      <vt:variant>
        <vt:lpwstr/>
      </vt:variant>
      <vt:variant>
        <vt:i4>8061028</vt:i4>
      </vt:variant>
      <vt:variant>
        <vt:i4>63</vt:i4>
      </vt:variant>
      <vt:variant>
        <vt:i4>0</vt:i4>
      </vt:variant>
      <vt:variant>
        <vt:i4>5</vt:i4>
      </vt:variant>
      <vt:variant>
        <vt:lpwstr>http://www.chicagofed.org/digital_assets/others/events/2014/annual_over_the_counter_derivatives_symposium/tucker_clearinghouses_new_central_banks_tucker_2014.pdf</vt:lpwstr>
      </vt:variant>
      <vt:variant>
        <vt:lpwstr/>
      </vt:variant>
      <vt:variant>
        <vt:i4>3997759</vt:i4>
      </vt:variant>
      <vt:variant>
        <vt:i4>60</vt:i4>
      </vt:variant>
      <vt:variant>
        <vt:i4>0</vt:i4>
      </vt:variant>
      <vt:variant>
        <vt:i4>5</vt:i4>
      </vt:variant>
      <vt:variant>
        <vt:lpwstr>http://ec.europa.eu/internal_market/finances/docs/general/20140515-erfra-working-document_en.pdf</vt:lpwstr>
      </vt:variant>
      <vt:variant>
        <vt:lpwstr/>
      </vt:variant>
      <vt:variant>
        <vt:i4>4915209</vt:i4>
      </vt:variant>
      <vt:variant>
        <vt:i4>57</vt:i4>
      </vt:variant>
      <vt:variant>
        <vt:i4>0</vt:i4>
      </vt:variant>
      <vt:variant>
        <vt:i4>5</vt:i4>
      </vt:variant>
      <vt:variant>
        <vt:lpwstr>http://www.bis.org/publ/cpss101a.pdf</vt:lpwstr>
      </vt:variant>
      <vt:variant>
        <vt:lpwstr/>
      </vt:variant>
      <vt:variant>
        <vt:i4>2949239</vt:i4>
      </vt:variant>
      <vt:variant>
        <vt:i4>54</vt:i4>
      </vt:variant>
      <vt:variant>
        <vt:i4>0</vt:i4>
      </vt:variant>
      <vt:variant>
        <vt:i4>5</vt:i4>
      </vt:variant>
      <vt:variant>
        <vt:lpwstr>http://www.bankofcanada.ca/wp-content/uploads/2012/11/wp2012-35.pdf</vt:lpwstr>
      </vt:variant>
      <vt:variant>
        <vt:lpwstr/>
      </vt:variant>
      <vt:variant>
        <vt:i4>2621488</vt:i4>
      </vt:variant>
      <vt:variant>
        <vt:i4>51</vt:i4>
      </vt:variant>
      <vt:variant>
        <vt:i4>0</vt:i4>
      </vt:variant>
      <vt:variant>
        <vt:i4>5</vt:i4>
      </vt:variant>
      <vt:variant>
        <vt:lpwstr>http://www.bis.org/publ/cpss92.pdf</vt:lpwstr>
      </vt:variant>
      <vt:variant>
        <vt:lpwstr/>
      </vt:variant>
      <vt:variant>
        <vt:i4>8257586</vt:i4>
      </vt:variant>
      <vt:variant>
        <vt:i4>48</vt:i4>
      </vt:variant>
      <vt:variant>
        <vt:i4>0</vt:i4>
      </vt:variant>
      <vt:variant>
        <vt:i4>5</vt:i4>
      </vt:variant>
      <vt:variant>
        <vt:lpwstr>http://sdw.ecb.europa.eu/reports.do?node=1000001583</vt:lpwstr>
      </vt:variant>
      <vt:variant>
        <vt:lpwstr/>
      </vt:variant>
      <vt:variant>
        <vt:i4>7143539</vt:i4>
      </vt:variant>
      <vt:variant>
        <vt:i4>45</vt:i4>
      </vt:variant>
      <vt:variant>
        <vt:i4>0</vt:i4>
      </vt:variant>
      <vt:variant>
        <vt:i4>5</vt:i4>
      </vt:variant>
      <vt:variant>
        <vt:lpwstr>http://mifiddatabase.esma.europa.eu/Index.aspx?sectionlinks_id=24&amp;language=0&amp;pageName=CENTRAL_COUNTERPARTIES_Display&amp;subsection_id=0</vt:lpwstr>
      </vt:variant>
      <vt:variant>
        <vt:lpwstr/>
      </vt:variant>
      <vt:variant>
        <vt:i4>68</vt:i4>
      </vt:variant>
      <vt:variant>
        <vt:i4>42</vt:i4>
      </vt:variant>
      <vt:variant>
        <vt:i4>0</vt:i4>
      </vt:variant>
      <vt:variant>
        <vt:i4>5</vt:i4>
      </vt:variant>
      <vt:variant>
        <vt:lpwstr>http://www.chicagofed.org/digital_assets/publications/economic_perspectives/2006/ep_4qtr2006_part2_bliss_steigerwald.pdf</vt:lpwstr>
      </vt:variant>
      <vt:variant>
        <vt:lpwstr/>
      </vt:variant>
      <vt:variant>
        <vt:i4>6160500</vt:i4>
      </vt:variant>
      <vt:variant>
        <vt:i4>39</vt:i4>
      </vt:variant>
      <vt:variant>
        <vt:i4>0</vt:i4>
      </vt:variant>
      <vt:variant>
        <vt:i4>5</vt:i4>
      </vt:variant>
      <vt:variant>
        <vt:lpwstr>https://www.financialstabilityboard.org/publications/c_131121.htm</vt:lpwstr>
      </vt:variant>
      <vt:variant>
        <vt:lpwstr/>
      </vt:variant>
      <vt:variant>
        <vt:i4>589838</vt:i4>
      </vt:variant>
      <vt:variant>
        <vt:i4>36</vt:i4>
      </vt:variant>
      <vt:variant>
        <vt:i4>0</vt:i4>
      </vt:variant>
      <vt:variant>
        <vt:i4>5</vt:i4>
      </vt:variant>
      <vt:variant>
        <vt:lpwstr>http://www.bis.org/publ/cpss109/comments.htm</vt:lpwstr>
      </vt:variant>
      <vt:variant>
        <vt:lpwstr/>
      </vt:variant>
      <vt:variant>
        <vt:i4>2490431</vt:i4>
      </vt:variant>
      <vt:variant>
        <vt:i4>33</vt:i4>
      </vt:variant>
      <vt:variant>
        <vt:i4>0</vt:i4>
      </vt:variant>
      <vt:variant>
        <vt:i4>5</vt:i4>
      </vt:variant>
      <vt:variant>
        <vt:lpwstr>http://ec.europa.eu/internal_market/consultations/2012/nonbanks/consultation-document_en.pdf</vt:lpwstr>
      </vt:variant>
      <vt:variant>
        <vt:lpwstr/>
      </vt:variant>
      <vt:variant>
        <vt:i4>917539</vt:i4>
      </vt:variant>
      <vt:variant>
        <vt:i4>30</vt:i4>
      </vt:variant>
      <vt:variant>
        <vt:i4>0</vt:i4>
      </vt:variant>
      <vt:variant>
        <vt:i4>5</vt:i4>
      </vt:variant>
      <vt:variant>
        <vt:lpwstr>http://ec.europa.eu/atwork/key-documents/index_en.htm</vt:lpwstr>
      </vt:variant>
      <vt:variant>
        <vt:lpwstr/>
      </vt:variant>
      <vt:variant>
        <vt:i4>5505088</vt:i4>
      </vt:variant>
      <vt:variant>
        <vt:i4>27</vt:i4>
      </vt:variant>
      <vt:variant>
        <vt:i4>0</vt:i4>
      </vt:variant>
      <vt:variant>
        <vt:i4>5</vt:i4>
      </vt:variant>
      <vt:variant>
        <vt:lpwstr>http://www.europarl.europa.eu/sides/getDoc.do?pubRef=-//EP//TEXT+TA+P7-TA-2013-0533+0+DOC+XML+V0//EN</vt:lpwstr>
      </vt:variant>
      <vt:variant>
        <vt:lpwstr/>
      </vt:variant>
      <vt:variant>
        <vt:i4>327729</vt:i4>
      </vt:variant>
      <vt:variant>
        <vt:i4>24</vt:i4>
      </vt:variant>
      <vt:variant>
        <vt:i4>0</vt:i4>
      </vt:variant>
      <vt:variant>
        <vt:i4>5</vt:i4>
      </vt:variant>
      <vt:variant>
        <vt:lpwstr>http://www.financialstabilityboard.org/wp-content/uploads/r_141015.pdf</vt:lpwstr>
      </vt:variant>
      <vt:variant>
        <vt:lpwstr/>
      </vt:variant>
      <vt:variant>
        <vt:i4>1441822</vt:i4>
      </vt:variant>
      <vt:variant>
        <vt:i4>21</vt:i4>
      </vt:variant>
      <vt:variant>
        <vt:i4>0</vt:i4>
      </vt:variant>
      <vt:variant>
        <vt:i4>5</vt:i4>
      </vt:variant>
      <vt:variant>
        <vt:lpwstr>http://www.bis.org/cpmi/publ/d121.pdf</vt:lpwstr>
      </vt:variant>
      <vt:variant>
        <vt:lpwstr/>
      </vt:variant>
      <vt:variant>
        <vt:i4>327729</vt:i4>
      </vt:variant>
      <vt:variant>
        <vt:i4>18</vt:i4>
      </vt:variant>
      <vt:variant>
        <vt:i4>0</vt:i4>
      </vt:variant>
      <vt:variant>
        <vt:i4>5</vt:i4>
      </vt:variant>
      <vt:variant>
        <vt:lpwstr>http://www.financialstabilityboard.org/wp-content/uploads/r_141015.pdf</vt:lpwstr>
      </vt:variant>
      <vt:variant>
        <vt:lpwstr/>
      </vt:variant>
      <vt:variant>
        <vt:i4>327718</vt:i4>
      </vt:variant>
      <vt:variant>
        <vt:i4>15</vt:i4>
      </vt:variant>
      <vt:variant>
        <vt:i4>0</vt:i4>
      </vt:variant>
      <vt:variant>
        <vt:i4>5</vt:i4>
      </vt:variant>
      <vt:variant>
        <vt:lpwstr>http://www.financialstabilityboard.org/publications/r_111104cc.pdf</vt:lpwstr>
      </vt:variant>
      <vt:variant>
        <vt:lpwstr/>
      </vt:variant>
      <vt:variant>
        <vt:i4>3080288</vt:i4>
      </vt:variant>
      <vt:variant>
        <vt:i4>12</vt:i4>
      </vt:variant>
      <vt:variant>
        <vt:i4>0</vt:i4>
      </vt:variant>
      <vt:variant>
        <vt:i4>5</vt:i4>
      </vt:variant>
      <vt:variant>
        <vt:lpwstr>http://ec.europa.eu/internal_market/finances/banking-union/index_en.htm</vt:lpwstr>
      </vt:variant>
      <vt:variant>
        <vt:lpwstr/>
      </vt:variant>
      <vt:variant>
        <vt:i4>327730</vt:i4>
      </vt:variant>
      <vt:variant>
        <vt:i4>9</vt:i4>
      </vt:variant>
      <vt:variant>
        <vt:i4>0</vt:i4>
      </vt:variant>
      <vt:variant>
        <vt:i4>5</vt:i4>
      </vt:variant>
      <vt:variant>
        <vt:lpwstr>http://ec.europa.eu/internal_market/bank/crisis_management/index_en.htm</vt:lpwstr>
      </vt:variant>
      <vt:variant>
        <vt:lpwstr/>
      </vt:variant>
      <vt:variant>
        <vt:i4>2490431</vt:i4>
      </vt:variant>
      <vt:variant>
        <vt:i4>6</vt:i4>
      </vt:variant>
      <vt:variant>
        <vt:i4>0</vt:i4>
      </vt:variant>
      <vt:variant>
        <vt:i4>5</vt:i4>
      </vt:variant>
      <vt:variant>
        <vt:lpwstr>http://ec.europa.eu/internal_market/consultations/2012/nonbanks/consultation-document_en.pdf</vt:lpwstr>
      </vt:variant>
      <vt:variant>
        <vt:lpwstr/>
      </vt:variant>
      <vt:variant>
        <vt:i4>2621494</vt:i4>
      </vt:variant>
      <vt:variant>
        <vt:i4>3</vt:i4>
      </vt:variant>
      <vt:variant>
        <vt:i4>0</vt:i4>
      </vt:variant>
      <vt:variant>
        <vt:i4>5</vt:i4>
      </vt:variant>
      <vt:variant>
        <vt:lpwstr>http://eur-lex.europa.eu/legal-content/EN/TXT/;ELX_SESSIONID=2hCkTyTNGyHG1hNnQmvLry3rTZt5TTSkrM1LLv12RFZ9hNy9lbl7!-1897320616?uri=uriserv:OJ.L_.2014.173.01.0190.01.ENG</vt:lpwstr>
      </vt:variant>
      <vt:variant>
        <vt:lpwstr/>
      </vt:variant>
      <vt:variant>
        <vt:i4>7078015</vt:i4>
      </vt:variant>
      <vt:variant>
        <vt:i4>0</vt:i4>
      </vt:variant>
      <vt:variant>
        <vt:i4>0</vt:i4>
      </vt:variant>
      <vt:variant>
        <vt:i4>5</vt:i4>
      </vt:variant>
      <vt:variant>
        <vt:lpwstr>http://www.financialstabilityboard.org/wp-content/uploads/FSB-Chair-letter-to-G20-February-2015.pdf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28082015 Impact Assessment for CCP recovery and resolution proposal</dc:title>
  <dc:creator/>
  <cp:keywords>EL4</cp:keywords>
  <cp:lastModifiedBy/>
  <cp:revision>19</cp:revision>
  <cp:lastPrinted>2017-02-17T12:17:00Z</cp:lastPrinted>
  <dcterms:created xsi:type="dcterms:W3CDTF">2017-04-20T16:08:00Z</dcterms:created>
  <dcterms:modified xsi:type="dcterms:W3CDTF">2017-05-22T15:33:00Z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4.5.0.2</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vt:lpwstr>
  </property>
  <property fmtid="{D5CDD505-2E9C-101B-9397-08002B2CF9AE}" pid="9" name="EL_Author">
    <vt:lpwstr>GG</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Classification">
    <vt:lpwstr> </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y name="OP_sanitized" fmtid="{D5CDD505-2E9C-101B-9397-08002B2CF9AE}" pid="17">
    <vt:lpwstr>True</vt:lpwstr>
  </property>
</Properties>
</file>