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alt="3F956285-2D5C-4EA1-ADDF-349CCF973C57" style="width:450.35pt;height:333.9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2"/>
          <w:cols w:space="720"/>
          <w:docGrid w:linePitch="360"/>
        </w:sectPr>
      </w:pPr>
    </w:p>
    <w:bookmarkStart w:id="1" w:name="_GoBack" w:displacedByCustomXml="next"/>
    <w:bookmarkEnd w:id="1" w:displacedByCustomXml="next"/>
    <w:sdt>
      <w:sdtPr>
        <w:rPr>
          <w:rFonts w:asciiTheme="minorHAnsi" w:eastAsiaTheme="minorHAnsi" w:hAnsiTheme="minorHAnsi" w:cstheme="minorBidi"/>
          <w:b w:val="0"/>
          <w:noProof/>
          <w:sz w:val="22"/>
        </w:rPr>
        <w:id w:val="-220909264"/>
        <w:docPartObj>
          <w:docPartGallery w:val="Table of Contents"/>
          <w:docPartUnique/>
        </w:docPartObj>
      </w:sdtPr>
      <w:sdtEndPr>
        <w:rPr>
          <w:bCs/>
        </w:rPr>
      </w:sdtEndPr>
      <w:sdtContent>
        <w:p>
          <w:pPr>
            <w:pStyle w:val="TOCHeading"/>
            <w:rPr>
              <w:noProof/>
            </w:rPr>
          </w:pPr>
          <w:r>
            <w:rPr>
              <w:noProof/>
            </w:rPr>
            <w:t>Tartalom</w:t>
          </w:r>
        </w:p>
        <w:p>
          <w:pPr>
            <w:pStyle w:val="TOC1"/>
            <w:rPr>
              <w:rFonts w:asciiTheme="minorHAnsi" w:eastAsiaTheme="minorEastAsia" w:hAnsiTheme="minorHAnsi" w:cstheme="minorBidi"/>
              <w:noProof/>
              <w:sz w:val="22"/>
              <w:lang w:val="en-GB" w:eastAsia="en-GB" w:bidi="ar-SA"/>
            </w:rPr>
          </w:pPr>
          <w:r>
            <w:rPr>
              <w:noProof/>
            </w:rPr>
            <w:fldChar w:fldCharType="begin"/>
          </w:r>
          <w:r>
            <w:rPr>
              <w:noProof/>
            </w:rPr>
            <w:instrText xml:space="preserve"> TOC \o "1-3" \h \z \u </w:instrText>
          </w:r>
          <w:r>
            <w:rPr>
              <w:noProof/>
            </w:rPr>
            <w:fldChar w:fldCharType="separate"/>
          </w:r>
          <w:hyperlink w:anchor="_Toc500330277" w:history="1">
            <w:r>
              <w:rPr>
                <w:rStyle w:val="Hyperlink"/>
                <w:noProof/>
              </w:rPr>
              <w:t>1. Bevezetés</w:t>
            </w:r>
            <w:r>
              <w:rPr>
                <w:noProof/>
                <w:webHidden/>
              </w:rPr>
              <w:tab/>
            </w:r>
            <w:r>
              <w:rPr>
                <w:noProof/>
                <w:webHidden/>
              </w:rPr>
              <w:fldChar w:fldCharType="begin"/>
            </w:r>
            <w:r>
              <w:rPr>
                <w:noProof/>
                <w:webHidden/>
              </w:rPr>
              <w:instrText xml:space="preserve"> PAGEREF _Toc500330277 \h </w:instrText>
            </w:r>
            <w:r>
              <w:rPr>
                <w:noProof/>
                <w:webHidden/>
              </w:rPr>
            </w:r>
            <w:r>
              <w:rPr>
                <w:noProof/>
                <w:webHidden/>
              </w:rPr>
              <w:fldChar w:fldCharType="separate"/>
            </w:r>
            <w:r>
              <w:rPr>
                <w:noProof/>
                <w:webHidden/>
              </w:rPr>
              <w:t>2</w:t>
            </w:r>
            <w:r>
              <w:rPr>
                <w:noProof/>
                <w:webHidden/>
              </w:rPr>
              <w:fldChar w:fldCharType="end"/>
            </w:r>
          </w:hyperlink>
        </w:p>
        <w:p>
          <w:pPr>
            <w:pStyle w:val="TOC1"/>
            <w:rPr>
              <w:rFonts w:asciiTheme="minorHAnsi" w:eastAsiaTheme="minorEastAsia" w:hAnsiTheme="minorHAnsi" w:cstheme="minorBidi"/>
              <w:noProof/>
              <w:sz w:val="22"/>
              <w:lang w:val="en-GB" w:eastAsia="en-GB" w:bidi="ar-SA"/>
            </w:rPr>
          </w:pPr>
          <w:hyperlink w:anchor="_Toc500330278" w:history="1">
            <w:r>
              <w:rPr>
                <w:rStyle w:val="Hyperlink"/>
                <w:noProof/>
              </w:rPr>
              <w:t>2. Az Európai PRTR-ről szóló rendelet: a helyzet állása</w:t>
            </w:r>
            <w:r>
              <w:rPr>
                <w:noProof/>
                <w:webHidden/>
              </w:rPr>
              <w:tab/>
            </w:r>
            <w:r>
              <w:rPr>
                <w:noProof/>
                <w:webHidden/>
              </w:rPr>
              <w:fldChar w:fldCharType="begin"/>
            </w:r>
            <w:r>
              <w:rPr>
                <w:noProof/>
                <w:webHidden/>
              </w:rPr>
              <w:instrText xml:space="preserve"> PAGEREF _Toc500330278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500330279" w:history="1">
            <w:r>
              <w:rPr>
                <w:rStyle w:val="Hyperlink"/>
                <w:i/>
                <w:noProof/>
              </w:rPr>
              <w:t>2.1. Az Európai PRTR honlap</w:t>
            </w:r>
            <w:r>
              <w:rPr>
                <w:noProof/>
                <w:webHidden/>
              </w:rPr>
              <w:tab/>
            </w:r>
            <w:r>
              <w:rPr>
                <w:noProof/>
                <w:webHidden/>
              </w:rPr>
              <w:fldChar w:fldCharType="begin"/>
            </w:r>
            <w:r>
              <w:rPr>
                <w:noProof/>
                <w:webHidden/>
              </w:rPr>
              <w:instrText xml:space="preserve"> PAGEREF _Toc500330279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500330280" w:history="1">
            <w:r>
              <w:rPr>
                <w:rStyle w:val="Hyperlink"/>
                <w:i/>
                <w:noProof/>
              </w:rPr>
              <w:t>2.2. Iránymutatás a Bizottság részéről</w:t>
            </w:r>
            <w:r>
              <w:rPr>
                <w:noProof/>
                <w:webHidden/>
              </w:rPr>
              <w:tab/>
            </w:r>
            <w:r>
              <w:rPr>
                <w:noProof/>
                <w:webHidden/>
              </w:rPr>
              <w:fldChar w:fldCharType="begin"/>
            </w:r>
            <w:r>
              <w:rPr>
                <w:noProof/>
                <w:webHidden/>
              </w:rPr>
              <w:instrText xml:space="preserve"> PAGEREF _Toc500330280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500330281" w:history="1">
            <w:r>
              <w:rPr>
                <w:rStyle w:val="Hyperlink"/>
                <w:i/>
                <w:noProof/>
              </w:rPr>
              <w:t>2.3. Tagállami végrehajtás</w:t>
            </w:r>
            <w:r>
              <w:rPr>
                <w:noProof/>
                <w:webHidden/>
              </w:rPr>
              <w:tab/>
            </w:r>
            <w:r>
              <w:rPr>
                <w:noProof/>
                <w:webHidden/>
              </w:rPr>
              <w:fldChar w:fldCharType="begin"/>
            </w:r>
            <w:r>
              <w:rPr>
                <w:noProof/>
                <w:webHidden/>
              </w:rPr>
              <w:instrText xml:space="preserve"> PAGEREF _Toc500330281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500330282" w:history="1">
            <w:r>
              <w:rPr>
                <w:rStyle w:val="Hyperlink"/>
                <w:i/>
                <w:noProof/>
              </w:rPr>
              <w:t>2.4. Szankciók és pénzbírságok</w:t>
            </w:r>
            <w:r>
              <w:rPr>
                <w:noProof/>
                <w:webHidden/>
              </w:rPr>
              <w:tab/>
            </w:r>
            <w:r>
              <w:rPr>
                <w:noProof/>
                <w:webHidden/>
              </w:rPr>
              <w:fldChar w:fldCharType="begin"/>
            </w:r>
            <w:r>
              <w:rPr>
                <w:noProof/>
                <w:webHidden/>
              </w:rPr>
              <w:instrText xml:space="preserve"> PAGEREF _Toc500330282 \h </w:instrText>
            </w:r>
            <w:r>
              <w:rPr>
                <w:noProof/>
                <w:webHidden/>
              </w:rPr>
            </w:r>
            <w:r>
              <w:rPr>
                <w:noProof/>
                <w:webHidden/>
              </w:rPr>
              <w:fldChar w:fldCharType="separate"/>
            </w:r>
            <w:r>
              <w:rPr>
                <w:noProof/>
                <w:webHidden/>
              </w:rPr>
              <w:t>5</w:t>
            </w:r>
            <w:r>
              <w:rPr>
                <w:noProof/>
                <w:webHidden/>
              </w:rPr>
              <w:fldChar w:fldCharType="end"/>
            </w:r>
          </w:hyperlink>
        </w:p>
        <w:p>
          <w:pPr>
            <w:pStyle w:val="TOC1"/>
            <w:rPr>
              <w:rFonts w:asciiTheme="minorHAnsi" w:eastAsiaTheme="minorEastAsia" w:hAnsiTheme="minorHAnsi" w:cstheme="minorBidi"/>
              <w:noProof/>
              <w:sz w:val="22"/>
              <w:lang w:val="en-GB" w:eastAsia="en-GB" w:bidi="ar-SA"/>
            </w:rPr>
          </w:pPr>
          <w:hyperlink w:anchor="_Toc500330283" w:history="1">
            <w:r>
              <w:rPr>
                <w:rStyle w:val="Hyperlink"/>
                <w:noProof/>
              </w:rPr>
              <w:t>3. REFIT-értékelés</w:t>
            </w:r>
            <w:r>
              <w:rPr>
                <w:noProof/>
                <w:webHidden/>
              </w:rPr>
              <w:tab/>
            </w:r>
            <w:r>
              <w:rPr>
                <w:noProof/>
                <w:webHidden/>
              </w:rPr>
              <w:fldChar w:fldCharType="begin"/>
            </w:r>
            <w:r>
              <w:rPr>
                <w:noProof/>
                <w:webHidden/>
              </w:rPr>
              <w:instrText xml:space="preserve"> PAGEREF _Toc500330283 \h </w:instrText>
            </w:r>
            <w:r>
              <w:rPr>
                <w:noProof/>
                <w:webHidden/>
              </w:rPr>
            </w:r>
            <w:r>
              <w:rPr>
                <w:noProof/>
                <w:webHidden/>
              </w:rPr>
              <w:fldChar w:fldCharType="separate"/>
            </w:r>
            <w:r>
              <w:rPr>
                <w:noProof/>
                <w:webHidden/>
              </w:rPr>
              <w:t>5</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500330284" w:history="1">
            <w:r>
              <w:rPr>
                <w:rStyle w:val="Hyperlink"/>
                <w:i/>
                <w:noProof/>
              </w:rPr>
              <w:t>3.1.</w:t>
            </w:r>
            <w:r>
              <w:rPr>
                <w:rFonts w:asciiTheme="minorHAnsi" w:eastAsiaTheme="minorEastAsia" w:hAnsiTheme="minorHAnsi" w:cstheme="minorBidi"/>
                <w:noProof/>
                <w:sz w:val="22"/>
                <w:lang w:val="en-GB" w:eastAsia="en-GB" w:bidi="ar-SA"/>
              </w:rPr>
              <w:tab/>
            </w:r>
            <w:r>
              <w:rPr>
                <w:rStyle w:val="Hyperlink"/>
                <w:i/>
                <w:noProof/>
              </w:rPr>
              <w:t>Az értékelés hatóköre</w:t>
            </w:r>
            <w:r>
              <w:rPr>
                <w:noProof/>
                <w:webHidden/>
              </w:rPr>
              <w:tab/>
            </w:r>
            <w:r>
              <w:rPr>
                <w:noProof/>
                <w:webHidden/>
              </w:rPr>
              <w:fldChar w:fldCharType="begin"/>
            </w:r>
            <w:r>
              <w:rPr>
                <w:noProof/>
                <w:webHidden/>
              </w:rPr>
              <w:instrText xml:space="preserve"> PAGEREF _Toc500330284 \h </w:instrText>
            </w:r>
            <w:r>
              <w:rPr>
                <w:noProof/>
                <w:webHidden/>
              </w:rPr>
            </w:r>
            <w:r>
              <w:rPr>
                <w:noProof/>
                <w:webHidden/>
              </w:rPr>
              <w:fldChar w:fldCharType="separate"/>
            </w:r>
            <w:r>
              <w:rPr>
                <w:noProof/>
                <w:webHidden/>
              </w:rPr>
              <w:t>5</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500330285" w:history="1">
            <w:r>
              <w:rPr>
                <w:rStyle w:val="Hyperlink"/>
                <w:i/>
                <w:noProof/>
              </w:rPr>
              <w:t>3.2.</w:t>
            </w:r>
            <w:r>
              <w:rPr>
                <w:rFonts w:asciiTheme="minorHAnsi" w:eastAsiaTheme="minorEastAsia" w:hAnsiTheme="minorHAnsi" w:cstheme="minorBidi"/>
                <w:noProof/>
                <w:sz w:val="22"/>
                <w:lang w:val="en-GB" w:eastAsia="en-GB" w:bidi="ar-SA"/>
              </w:rPr>
              <w:tab/>
            </w:r>
            <w:r>
              <w:rPr>
                <w:rStyle w:val="Hyperlink"/>
                <w:i/>
                <w:noProof/>
              </w:rPr>
              <w:t>Értékelési eredmények</w:t>
            </w:r>
            <w:r>
              <w:rPr>
                <w:noProof/>
                <w:webHidden/>
              </w:rPr>
              <w:tab/>
            </w:r>
            <w:r>
              <w:rPr>
                <w:noProof/>
                <w:webHidden/>
              </w:rPr>
              <w:fldChar w:fldCharType="begin"/>
            </w:r>
            <w:r>
              <w:rPr>
                <w:noProof/>
                <w:webHidden/>
              </w:rPr>
              <w:instrText xml:space="preserve"> PAGEREF _Toc500330285 \h </w:instrText>
            </w:r>
            <w:r>
              <w:rPr>
                <w:noProof/>
                <w:webHidden/>
              </w:rPr>
            </w:r>
            <w:r>
              <w:rPr>
                <w:noProof/>
                <w:webHidden/>
              </w:rPr>
              <w:fldChar w:fldCharType="separate"/>
            </w:r>
            <w:r>
              <w:rPr>
                <w:noProof/>
                <w:webHidden/>
              </w:rPr>
              <w:t>6</w:t>
            </w:r>
            <w:r>
              <w:rPr>
                <w:noProof/>
                <w:webHidden/>
              </w:rPr>
              <w:fldChar w:fldCharType="end"/>
            </w:r>
          </w:hyperlink>
        </w:p>
        <w:p>
          <w:pPr>
            <w:pStyle w:val="TOC1"/>
            <w:rPr>
              <w:rFonts w:asciiTheme="minorHAnsi" w:eastAsiaTheme="minorEastAsia" w:hAnsiTheme="minorHAnsi" w:cstheme="minorBidi"/>
              <w:noProof/>
              <w:sz w:val="22"/>
              <w:lang w:val="en-GB" w:eastAsia="en-GB" w:bidi="ar-SA"/>
            </w:rPr>
          </w:pPr>
          <w:hyperlink w:anchor="_Toc500330286" w:history="1">
            <w:r>
              <w:rPr>
                <w:rStyle w:val="Hyperlink"/>
                <w:noProof/>
              </w:rPr>
              <w:t>4. Lehetőségek az Európai PRTR javítására</w:t>
            </w:r>
            <w:r>
              <w:rPr>
                <w:noProof/>
                <w:webHidden/>
              </w:rPr>
              <w:tab/>
            </w:r>
            <w:r>
              <w:rPr>
                <w:noProof/>
                <w:webHidden/>
              </w:rPr>
              <w:fldChar w:fldCharType="begin"/>
            </w:r>
            <w:r>
              <w:rPr>
                <w:noProof/>
                <w:webHidden/>
              </w:rPr>
              <w:instrText xml:space="preserve"> PAGEREF _Toc500330286 \h </w:instrText>
            </w:r>
            <w:r>
              <w:rPr>
                <w:noProof/>
                <w:webHidden/>
              </w:rPr>
            </w:r>
            <w:r>
              <w:rPr>
                <w:noProof/>
                <w:webHidden/>
              </w:rPr>
              <w:fldChar w:fldCharType="separate"/>
            </w:r>
            <w:r>
              <w:rPr>
                <w:noProof/>
                <w:webHidden/>
              </w:rPr>
              <w:t>7</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500330287" w:history="1">
            <w:r>
              <w:rPr>
                <w:rStyle w:val="Hyperlink"/>
                <w:i/>
                <w:noProof/>
              </w:rPr>
              <w:t>4.1.</w:t>
            </w:r>
            <w:r>
              <w:rPr>
                <w:rFonts w:asciiTheme="minorHAnsi" w:eastAsiaTheme="minorEastAsia" w:hAnsiTheme="minorHAnsi" w:cstheme="minorBidi"/>
                <w:noProof/>
                <w:sz w:val="22"/>
                <w:lang w:val="en-GB" w:eastAsia="en-GB" w:bidi="ar-SA"/>
              </w:rPr>
              <w:tab/>
            </w:r>
            <w:r>
              <w:rPr>
                <w:rStyle w:val="Hyperlink"/>
                <w:i/>
                <w:noProof/>
              </w:rPr>
              <w:t>A 2013-as végrehajtási jelentésből eredő fellépések</w:t>
            </w:r>
            <w:r>
              <w:rPr>
                <w:noProof/>
                <w:webHidden/>
              </w:rPr>
              <w:tab/>
            </w:r>
            <w:r>
              <w:rPr>
                <w:noProof/>
                <w:webHidden/>
              </w:rPr>
              <w:fldChar w:fldCharType="begin"/>
            </w:r>
            <w:r>
              <w:rPr>
                <w:noProof/>
                <w:webHidden/>
              </w:rPr>
              <w:instrText xml:space="preserve"> PAGEREF _Toc500330287 \h </w:instrText>
            </w:r>
            <w:r>
              <w:rPr>
                <w:noProof/>
                <w:webHidden/>
              </w:rPr>
            </w:r>
            <w:r>
              <w:rPr>
                <w:noProof/>
                <w:webHidden/>
              </w:rPr>
              <w:fldChar w:fldCharType="separate"/>
            </w:r>
            <w:r>
              <w:rPr>
                <w:noProof/>
                <w:webHidden/>
              </w:rPr>
              <w:t>7</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500330288" w:history="1">
            <w:r>
              <w:rPr>
                <w:rStyle w:val="Hyperlink"/>
                <w:i/>
                <w:noProof/>
              </w:rPr>
              <w:t>4.2.</w:t>
            </w:r>
            <w:r>
              <w:rPr>
                <w:rFonts w:asciiTheme="minorHAnsi" w:eastAsiaTheme="minorEastAsia" w:hAnsiTheme="minorHAnsi" w:cstheme="minorBidi"/>
                <w:noProof/>
                <w:sz w:val="22"/>
                <w:lang w:val="en-GB" w:eastAsia="en-GB" w:bidi="ar-SA"/>
              </w:rPr>
              <w:tab/>
            </w:r>
            <w:r>
              <w:rPr>
                <w:rStyle w:val="Hyperlink"/>
                <w:i/>
                <w:noProof/>
              </w:rPr>
              <w:t>A legutóbbi értékelésből eredő fellépések</w:t>
            </w:r>
            <w:r>
              <w:rPr>
                <w:noProof/>
                <w:webHidden/>
              </w:rPr>
              <w:tab/>
            </w:r>
            <w:r>
              <w:rPr>
                <w:noProof/>
                <w:webHidden/>
              </w:rPr>
              <w:fldChar w:fldCharType="begin"/>
            </w:r>
            <w:r>
              <w:rPr>
                <w:noProof/>
                <w:webHidden/>
              </w:rPr>
              <w:instrText xml:space="preserve"> PAGEREF _Toc500330288 \h </w:instrText>
            </w:r>
            <w:r>
              <w:rPr>
                <w:noProof/>
                <w:webHidden/>
              </w:rPr>
            </w:r>
            <w:r>
              <w:rPr>
                <w:noProof/>
                <w:webHidden/>
              </w:rPr>
              <w:fldChar w:fldCharType="separate"/>
            </w:r>
            <w:r>
              <w:rPr>
                <w:noProof/>
                <w:webHidden/>
              </w:rPr>
              <w:t>9</w:t>
            </w:r>
            <w:r>
              <w:rPr>
                <w:noProof/>
                <w:webHidden/>
              </w:rPr>
              <w:fldChar w:fldCharType="end"/>
            </w:r>
          </w:hyperlink>
        </w:p>
        <w:p>
          <w:pPr>
            <w:pStyle w:val="TOC1"/>
            <w:rPr>
              <w:rFonts w:asciiTheme="minorHAnsi" w:eastAsiaTheme="minorEastAsia" w:hAnsiTheme="minorHAnsi" w:cstheme="minorBidi"/>
              <w:noProof/>
              <w:sz w:val="22"/>
              <w:lang w:val="en-GB" w:eastAsia="en-GB" w:bidi="ar-SA"/>
            </w:rPr>
          </w:pPr>
          <w:hyperlink w:anchor="_Toc500330289" w:history="1">
            <w:r>
              <w:rPr>
                <w:rStyle w:val="Hyperlink"/>
                <w:noProof/>
              </w:rPr>
              <w:t>5. Következtetések</w:t>
            </w:r>
            <w:r>
              <w:rPr>
                <w:noProof/>
                <w:webHidden/>
              </w:rPr>
              <w:tab/>
            </w:r>
            <w:r>
              <w:rPr>
                <w:noProof/>
                <w:webHidden/>
              </w:rPr>
              <w:fldChar w:fldCharType="begin"/>
            </w:r>
            <w:r>
              <w:rPr>
                <w:noProof/>
                <w:webHidden/>
              </w:rPr>
              <w:instrText xml:space="preserve"> PAGEREF _Toc500330289 \h </w:instrText>
            </w:r>
            <w:r>
              <w:rPr>
                <w:noProof/>
                <w:webHidden/>
              </w:rPr>
            </w:r>
            <w:r>
              <w:rPr>
                <w:noProof/>
                <w:webHidden/>
              </w:rPr>
              <w:fldChar w:fldCharType="separate"/>
            </w:r>
            <w:r>
              <w:rPr>
                <w:noProof/>
                <w:webHidden/>
              </w:rPr>
              <w:t>10</w:t>
            </w:r>
            <w:r>
              <w:rPr>
                <w:noProof/>
                <w:webHidden/>
              </w:rPr>
              <w:fldChar w:fldCharType="end"/>
            </w:r>
          </w:hyperlink>
        </w:p>
        <w:p>
          <w:pPr>
            <w:rPr>
              <w:noProof/>
            </w:rPr>
          </w:pPr>
          <w:r>
            <w:rPr>
              <w:b/>
              <w:bCs/>
              <w:noProof/>
            </w:rPr>
            <w:fldChar w:fldCharType="end"/>
          </w:r>
        </w:p>
      </w:sdtContent>
    </w:sdt>
    <w:p>
      <w:pPr>
        <w:pStyle w:val="TOC1"/>
        <w:rPr>
          <w:rFonts w:asciiTheme="minorHAnsi" w:eastAsiaTheme="minorEastAsia" w:hAnsiTheme="minorHAnsi" w:cstheme="minorBidi"/>
          <w:noProof/>
          <w:sz w:val="22"/>
        </w:rPr>
      </w:pPr>
    </w:p>
    <w:p>
      <w:pPr>
        <w:rPr>
          <w:noProof/>
        </w:rPr>
      </w:pPr>
    </w:p>
    <w:p>
      <w:pPr>
        <w:rPr>
          <w:noProof/>
        </w:rPr>
      </w:pPr>
    </w:p>
    <w:p>
      <w:pPr>
        <w:rPr>
          <w:noProof/>
        </w:rPr>
      </w:pPr>
    </w:p>
    <w:p>
      <w:pPr>
        <w:rPr>
          <w:noProof/>
        </w:rPr>
      </w:pPr>
    </w:p>
    <w:p>
      <w:pPr>
        <w:rPr>
          <w:noProof/>
        </w:rPr>
      </w:pPr>
    </w:p>
    <w:p>
      <w:pPr>
        <w:tabs>
          <w:tab w:val="left" w:pos="2690"/>
        </w:tabs>
        <w:rPr>
          <w:noProof/>
        </w:rPr>
      </w:pPr>
      <w:r>
        <w:rPr>
          <w:noProof/>
        </w:rPr>
        <w:tab/>
      </w:r>
    </w:p>
    <w:p>
      <w:pPr>
        <w:tabs>
          <w:tab w:val="left" w:pos="2690"/>
        </w:tabs>
        <w:rPr>
          <w:noProof/>
        </w:rPr>
      </w:pPr>
    </w:p>
    <w:p>
      <w:pPr>
        <w:tabs>
          <w:tab w:val="left" w:pos="2690"/>
        </w:tabs>
        <w:rPr>
          <w:noProof/>
        </w:rPr>
      </w:pPr>
    </w:p>
    <w:p>
      <w:pPr>
        <w:tabs>
          <w:tab w:val="left" w:pos="2690"/>
        </w:tabs>
        <w:rPr>
          <w:noProof/>
        </w:rPr>
      </w:pPr>
    </w:p>
    <w:p>
      <w:pPr>
        <w:tabs>
          <w:tab w:val="left" w:pos="2690"/>
        </w:tabs>
        <w:rPr>
          <w:noProof/>
        </w:rPr>
      </w:pPr>
    </w:p>
    <w:p>
      <w:pPr>
        <w:tabs>
          <w:tab w:val="left" w:pos="2690"/>
        </w:tabs>
        <w:rPr>
          <w:noProof/>
        </w:rPr>
      </w:pPr>
    </w:p>
    <w:p>
      <w:pPr>
        <w:tabs>
          <w:tab w:val="left" w:pos="2690"/>
        </w:tabs>
        <w:rPr>
          <w:noProof/>
        </w:rPr>
      </w:pPr>
    </w:p>
    <w:p>
      <w:pPr>
        <w:tabs>
          <w:tab w:val="left" w:pos="2690"/>
        </w:tabs>
        <w:rPr>
          <w:noProof/>
        </w:rPr>
      </w:pPr>
    </w:p>
    <w:p>
      <w:pPr>
        <w:tabs>
          <w:tab w:val="left" w:pos="2690"/>
        </w:tabs>
        <w:rPr>
          <w:noProof/>
        </w:rPr>
      </w:pPr>
    </w:p>
    <w:p>
      <w:pPr>
        <w:pStyle w:val="Heading1"/>
        <w:numPr>
          <w:ilvl w:val="0"/>
          <w:numId w:val="0"/>
        </w:numPr>
        <w:rPr>
          <w:noProof/>
        </w:rPr>
      </w:pPr>
      <w:bookmarkStart w:id="2" w:name="_Toc498011336"/>
      <w:bookmarkStart w:id="3" w:name="_Toc500330277"/>
      <w:r>
        <w:rPr>
          <w:noProof/>
        </w:rPr>
        <w:t>1. Bevezetés</w:t>
      </w:r>
      <w:bookmarkEnd w:id="2"/>
      <w:bookmarkEnd w:id="3"/>
    </w:p>
    <w:p>
      <w:pPr>
        <w:pStyle w:val="Text1"/>
        <w:ind w:left="0"/>
        <w:rPr>
          <w:noProof/>
        </w:rPr>
      </w:pPr>
      <w:r>
        <w:rPr>
          <w:noProof/>
        </w:rPr>
        <w:t xml:space="preserve">Az Európai Szennyezőanyag-kibocsátási és -szállítási Nyilvántartás (Európai PRTR) a legnagyobb európai ipari létesítmények kibocsátására vonatkozóan nyújt kiváló minőségű környezeti információkat. </w:t>
      </w:r>
    </w:p>
    <w:p>
      <w:pPr>
        <w:pStyle w:val="Text1"/>
        <w:ind w:left="0"/>
        <w:rPr>
          <w:noProof/>
        </w:rPr>
      </w:pPr>
      <w:r>
        <w:rPr>
          <w:noProof/>
        </w:rPr>
        <w:t xml:space="preserve">Az Európai Unióban a nyilvánosság, az érdekelt felek, az elemzők, a szakpolitikák kidolgozói és a döntéshozók nagyra értékelik ezen információkat, mivel ezeket használják a költséghatékony kibocsátáscsökkentési stratégiák prioritásainak megállapítása, a szennyezés csökkentése terén elért előrehaladás felmérése, valamint az üzemeltetők környezetbarát gyakorlatok és technológiák elfogadására való rábírása során.  </w:t>
      </w:r>
    </w:p>
    <w:p>
      <w:pPr>
        <w:pStyle w:val="Text1"/>
        <w:ind w:left="0"/>
        <w:rPr>
          <w:noProof/>
        </w:rPr>
      </w:pPr>
      <w:r>
        <w:rPr>
          <w:noProof/>
        </w:rPr>
        <w:t>A 166/2006/EK rendelet</w:t>
      </w:r>
      <w:r>
        <w:rPr>
          <w:rStyle w:val="FootnoteReference"/>
          <w:noProof/>
        </w:rPr>
        <w:footnoteReference w:id="1"/>
      </w:r>
      <w:r>
        <w:rPr>
          <w:noProof/>
        </w:rPr>
        <w:t xml:space="preserve"> létrehozta az Európai PRTR-t, amely az Aarhusi Egyezmény ENSZ–EGB (Kijev) jegyzőkönyvét</w:t>
      </w:r>
      <w:r>
        <w:rPr>
          <w:rStyle w:val="FootnoteReference"/>
          <w:noProof/>
        </w:rPr>
        <w:footnoteReference w:id="2"/>
      </w:r>
      <w:r>
        <w:rPr>
          <w:noProof/>
        </w:rPr>
        <w:t xml:space="preserve"> hajtja végre az Európai Unióban. Ennek során a 2000-ben létrehozott európai szennyezőanyag-kibocsátási nyilvántartásra (EPER) nyúl vissza. </w:t>
      </w:r>
    </w:p>
    <w:p>
      <w:pPr>
        <w:pStyle w:val="Text1"/>
        <w:ind w:left="0"/>
        <w:rPr>
          <w:noProof/>
        </w:rPr>
      </w:pPr>
      <w:r>
        <w:rPr>
          <w:noProof/>
        </w:rPr>
        <w:t>Az Európai PRTR-ről szóló rendelet 17. cikke a Bizottság számára előírja a 7. cikk szerint visszaküldött kibocsátásokkal kapcsolatos tagállami adatok és a 16. cikk szerint benyújtott további információk felülvizsgálatát.</w:t>
      </w:r>
    </w:p>
    <w:p>
      <w:pPr>
        <w:pStyle w:val="Text1"/>
        <w:ind w:left="0"/>
        <w:rPr>
          <w:noProof/>
        </w:rPr>
      </w:pPr>
      <w:r>
        <w:rPr>
          <w:noProof/>
        </w:rPr>
        <w:t>A 17. cikk szerinti első ilyen jelentést</w:t>
      </w:r>
      <w:r>
        <w:rPr>
          <w:rStyle w:val="FootnoteReference"/>
          <w:noProof/>
        </w:rPr>
        <w:footnoteReference w:id="3"/>
      </w:r>
      <w:r>
        <w:rPr>
          <w:noProof/>
        </w:rPr>
        <w:t xml:space="preserve"> 2013-ban nyújtották be az Európai Parlamentnek és Tanácsnak. A jelentés az európai PRTR működésének első három évét értékelte, vagyis 2007-et, 2008-at és 2009-et. A második hasonló jelentés a következő négy évre vonatkozik, vagyis 2010-re, 2011-re, 2012-re és 2013-ra.</w:t>
      </w:r>
    </w:p>
    <w:p>
      <w:pPr>
        <w:pStyle w:val="Text1"/>
        <w:ind w:left="0"/>
        <w:rPr>
          <w:noProof/>
          <w:color w:val="000000"/>
        </w:rPr>
      </w:pPr>
      <w:r>
        <w:rPr>
          <w:noProof/>
        </w:rPr>
        <w:t>A Bizottság célravezető és hatásos szabályozás (REFIT) programjának</w:t>
      </w:r>
      <w:r>
        <w:rPr>
          <w:noProof/>
          <w:color w:val="000000"/>
          <w:vertAlign w:val="superscript"/>
        </w:rPr>
        <w:footnoteReference w:id="4"/>
      </w:r>
      <w:r>
        <w:rPr>
          <w:noProof/>
        </w:rPr>
        <w:t xml:space="preserve"> keretében az Európai PRTR-ről szóló rendeletet is kiválasztották annak értékelése céljából, hogy azt a „célnak megfelelően” alakították-e ki.</w:t>
      </w:r>
      <w:r>
        <w:rPr>
          <w:noProof/>
          <w:color w:val="000000"/>
        </w:rPr>
        <w:t xml:space="preserve"> Ezen értékelés a rendelet eredményességének, hatékonyságának, relevanciájának, koherenciájának és uniós hozzáadott értékének felmérésére irányult. Az értékelés megvizsgálta az Európai PRTR-ről szóló rendeletből adódó előnyöket, valamint az annak egyszerűsítésére, továbbá a szabályozási költségek és terhek csökkentésére vonatkozó lehetőségeket.</w:t>
      </w:r>
    </w:p>
    <w:p>
      <w:pPr>
        <w:pStyle w:val="Text1"/>
        <w:ind w:left="0"/>
        <w:rPr>
          <w:noProof/>
          <w:color w:val="000000"/>
        </w:rPr>
      </w:pPr>
      <w:r>
        <w:rPr>
          <w:noProof/>
        </w:rPr>
        <w:t>A Környezetvédelmi Főigazgatóság az Európai PRTR értékelése mellett az összes uniós környezetvédelmi jogszabályból eredő, nyomon követésre és jelentéstételre vonatkozó szélesebb körű kötelezettség célravezetőségi vizsgálatát is elvégezte</w:t>
      </w:r>
      <w:r>
        <w:rPr>
          <w:rStyle w:val="FootnoteReference"/>
          <w:noProof/>
        </w:rPr>
        <w:footnoteReference w:id="5"/>
      </w:r>
      <w:r>
        <w:rPr>
          <w:noProof/>
        </w:rPr>
        <w:t>. E párhuzamos értékelési folyamat révén szinergiák keletkeztek.</w:t>
      </w:r>
    </w:p>
    <w:p>
      <w:pPr>
        <w:pStyle w:val="Text1"/>
        <w:ind w:left="0"/>
        <w:rPr>
          <w:noProof/>
        </w:rPr>
      </w:pPr>
      <w:r>
        <w:rPr>
          <w:noProof/>
        </w:rPr>
        <w:t>Ezért e jelentés három fő területet ölel fel:</w:t>
      </w:r>
    </w:p>
    <w:p>
      <w:pPr>
        <w:pStyle w:val="Text1"/>
        <w:numPr>
          <w:ilvl w:val="0"/>
          <w:numId w:val="2"/>
        </w:numPr>
        <w:spacing w:before="0"/>
        <w:rPr>
          <w:noProof/>
        </w:rPr>
      </w:pPr>
      <w:r>
        <w:rPr>
          <w:noProof/>
        </w:rPr>
        <w:t>az Európai PRTR végrehajtásának felülvizsgálata, és hogy ez hogyan változott meg az Európai Parlamentnek és a Tanácsnak 2013-ban benyújtott jelentés óta – 2. szakasz;</w:t>
      </w:r>
    </w:p>
    <w:p>
      <w:pPr>
        <w:pStyle w:val="Text1"/>
        <w:numPr>
          <w:ilvl w:val="0"/>
          <w:numId w:val="2"/>
        </w:numPr>
        <w:spacing w:before="0"/>
        <w:rPr>
          <w:noProof/>
        </w:rPr>
      </w:pPr>
      <w:r>
        <w:rPr>
          <w:noProof/>
        </w:rPr>
        <w:t>a REFIT-értékelés összefoglalása – 3. szakasz;</w:t>
      </w:r>
    </w:p>
    <w:p>
      <w:pPr>
        <w:pStyle w:val="Text1"/>
        <w:numPr>
          <w:ilvl w:val="0"/>
          <w:numId w:val="2"/>
        </w:numPr>
        <w:spacing w:before="0"/>
        <w:rPr>
          <w:noProof/>
        </w:rPr>
      </w:pPr>
      <w:r>
        <w:rPr>
          <w:noProof/>
        </w:rPr>
        <w:t>az Európai PRTR esetleges fejlesztési lehetőségeinek értékelése – 4. szakasz.</w:t>
      </w:r>
    </w:p>
    <w:p>
      <w:pPr>
        <w:pStyle w:val="Text1"/>
        <w:spacing w:before="0"/>
        <w:ind w:left="720"/>
        <w:rPr>
          <w:noProof/>
        </w:rPr>
      </w:pPr>
    </w:p>
    <w:p>
      <w:pPr>
        <w:pStyle w:val="Heading1"/>
        <w:numPr>
          <w:ilvl w:val="0"/>
          <w:numId w:val="0"/>
        </w:numPr>
        <w:rPr>
          <w:noProof/>
        </w:rPr>
      </w:pPr>
      <w:bookmarkStart w:id="4" w:name="DQCNUMB_2"/>
      <w:bookmarkStart w:id="5" w:name="_Toc346793347"/>
      <w:bookmarkStart w:id="6" w:name="_Toc498011337"/>
      <w:bookmarkStart w:id="7" w:name="_Toc500330278"/>
      <w:bookmarkEnd w:id="4"/>
      <w:r>
        <w:rPr>
          <w:noProof/>
        </w:rPr>
        <w:t xml:space="preserve">2. </w:t>
      </w:r>
      <w:bookmarkEnd w:id="5"/>
      <w:r>
        <w:rPr>
          <w:noProof/>
        </w:rPr>
        <w:t>Az Európai PRTR-ről szóló rendelet: a helyzet állása</w:t>
      </w:r>
      <w:bookmarkEnd w:id="6"/>
      <w:bookmarkEnd w:id="7"/>
    </w:p>
    <w:p>
      <w:pPr>
        <w:pStyle w:val="Text1"/>
        <w:ind w:left="0"/>
        <w:rPr>
          <w:noProof/>
        </w:rPr>
      </w:pPr>
      <w:r>
        <w:rPr>
          <w:noProof/>
        </w:rPr>
        <w:t xml:space="preserve">Az Európai PRTR-ről szóló rendelet végrehajtása az Európai Bizottság és az Európai Környezetvédelmi Ügynökség (EEA) által megtett összehangolt uniós szintű fellépéseken, valamint a nemzeti intézkedéseken múlik. </w:t>
      </w:r>
    </w:p>
    <w:p>
      <w:pPr>
        <w:pStyle w:val="Text1"/>
        <w:ind w:left="0"/>
        <w:rPr>
          <w:noProof/>
        </w:rPr>
      </w:pPr>
      <w:bookmarkStart w:id="8" w:name="_Toc346793348"/>
      <w:r>
        <w:rPr>
          <w:noProof/>
        </w:rPr>
        <w:t>A 16. cikk szerinti végrehajtási kérdésekre adott tagállami válaszok az EEA jelentéstételi kötelezettségekre vonatkozó adatbázisában találhatók</w:t>
      </w:r>
      <w:r>
        <w:rPr>
          <w:noProof/>
          <w:vertAlign w:val="superscript"/>
        </w:rPr>
        <w:footnoteReference w:id="6"/>
      </w:r>
      <w:r>
        <w:rPr>
          <w:noProof/>
        </w:rPr>
        <w:t>. E válaszok az Európai PRTR értékelésével kapcsolatos háttértanulmányban kerülnek kielemzésre</w:t>
      </w:r>
      <w:r>
        <w:rPr>
          <w:noProof/>
          <w:vertAlign w:val="superscript"/>
        </w:rPr>
        <w:footnoteReference w:id="7"/>
      </w:r>
      <w:r>
        <w:rPr>
          <w:noProof/>
        </w:rPr>
        <w:t>. Az Európai PRTR-ről szóló rendelet végrehajtásával kapcsolatos főbb észrevételek alább láthatók.</w:t>
      </w:r>
    </w:p>
    <w:p>
      <w:pPr>
        <w:pStyle w:val="Heading2"/>
        <w:numPr>
          <w:ilvl w:val="0"/>
          <w:numId w:val="0"/>
        </w:numPr>
        <w:ind w:left="360"/>
        <w:rPr>
          <w:i/>
          <w:noProof/>
        </w:rPr>
      </w:pPr>
      <w:bookmarkStart w:id="9" w:name="_Toc477366996"/>
      <w:bookmarkStart w:id="10" w:name="_Toc477369271"/>
      <w:bookmarkStart w:id="11" w:name="_Toc477371024"/>
      <w:bookmarkStart w:id="12" w:name="_Toc477449127"/>
      <w:bookmarkStart w:id="13" w:name="_Toc478125840"/>
      <w:bookmarkStart w:id="14" w:name="_Toc478581758"/>
      <w:bookmarkStart w:id="15" w:name="_Toc478581946"/>
      <w:bookmarkStart w:id="16" w:name="DQCNUMB_3"/>
      <w:bookmarkStart w:id="17" w:name="_Toc480900134"/>
      <w:bookmarkStart w:id="18" w:name="_Toc480900831"/>
      <w:bookmarkStart w:id="19" w:name="_Toc480900890"/>
      <w:bookmarkStart w:id="20" w:name="_Toc480900905"/>
      <w:bookmarkStart w:id="21" w:name="_Toc480900999"/>
      <w:bookmarkStart w:id="22" w:name="_Toc480901238"/>
      <w:bookmarkStart w:id="23" w:name="_Toc497991109"/>
      <w:bookmarkStart w:id="24" w:name="_Toc497993894"/>
      <w:bookmarkStart w:id="25" w:name="_Toc498001258"/>
      <w:bookmarkStart w:id="26" w:name="_Toc498010227"/>
      <w:bookmarkStart w:id="27" w:name="_Toc498010360"/>
      <w:bookmarkStart w:id="28" w:name="_Toc498010422"/>
      <w:bookmarkStart w:id="29" w:name="_Toc498010550"/>
      <w:bookmarkStart w:id="30" w:name="_Toc498010728"/>
      <w:bookmarkStart w:id="31" w:name="_Toc498011297"/>
      <w:bookmarkStart w:id="32" w:name="_Toc498011338"/>
      <w:bookmarkStart w:id="33" w:name="_Toc477366997"/>
      <w:bookmarkStart w:id="34" w:name="_Toc477369272"/>
      <w:bookmarkStart w:id="35" w:name="_Toc477371025"/>
      <w:bookmarkStart w:id="36" w:name="_Toc477449128"/>
      <w:bookmarkStart w:id="37" w:name="_Toc478125841"/>
      <w:bookmarkStart w:id="38" w:name="_Toc478581759"/>
      <w:bookmarkStart w:id="39" w:name="_Toc478581947"/>
      <w:bookmarkStart w:id="40" w:name="_Toc480900135"/>
      <w:bookmarkStart w:id="41" w:name="_Toc480900832"/>
      <w:bookmarkStart w:id="42" w:name="_Toc480900891"/>
      <w:bookmarkStart w:id="43" w:name="_Toc480900906"/>
      <w:bookmarkStart w:id="44" w:name="_Toc480901000"/>
      <w:bookmarkStart w:id="45" w:name="_Toc480901239"/>
      <w:bookmarkStart w:id="46" w:name="_Toc497991110"/>
      <w:bookmarkStart w:id="47" w:name="_Toc497993895"/>
      <w:bookmarkStart w:id="48" w:name="_Toc498001259"/>
      <w:bookmarkStart w:id="49" w:name="_Toc498010228"/>
      <w:bookmarkStart w:id="50" w:name="_Toc498010361"/>
      <w:bookmarkStart w:id="51" w:name="_Toc498010423"/>
      <w:bookmarkStart w:id="52" w:name="_Toc498010551"/>
      <w:bookmarkStart w:id="53" w:name="_Toc498010729"/>
      <w:bookmarkStart w:id="54" w:name="_Toc498011298"/>
      <w:bookmarkStart w:id="55" w:name="_Toc498011339"/>
      <w:bookmarkStart w:id="56" w:name="_Toc498011340"/>
      <w:bookmarkStart w:id="57" w:name="_Toc500330279"/>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i/>
          <w:noProof/>
        </w:rPr>
        <w:t>2.1. Az Európai PRTR honlap</w:t>
      </w:r>
      <w:bookmarkEnd w:id="8"/>
      <w:bookmarkEnd w:id="56"/>
      <w:bookmarkEnd w:id="57"/>
    </w:p>
    <w:p>
      <w:pPr>
        <w:pStyle w:val="Text1"/>
        <w:ind w:left="0"/>
        <w:rPr>
          <w:noProof/>
        </w:rPr>
      </w:pPr>
      <w:r>
        <w:rPr>
          <w:noProof/>
        </w:rPr>
        <w:t>A tagállamok 2007-ben kezdődő adatszolgáltatása óta az Európai PRTR honlap a fő európai ipari tevékenységekből származó kibocsátásokkal kapcsolatos éves információk végleges forrásává vált. A környezeti információkat ingyen teszik közzé az EEA által tárolt és fenntartott interaktív honlapon</w:t>
      </w:r>
      <w:r>
        <w:rPr>
          <w:rStyle w:val="FootnoteReference"/>
          <w:noProof/>
        </w:rPr>
        <w:footnoteReference w:id="8"/>
      </w:r>
      <w:r>
        <w:rPr>
          <w:noProof/>
        </w:rPr>
        <w:t>.</w:t>
      </w:r>
    </w:p>
    <w:p>
      <w:pPr>
        <w:pStyle w:val="Text1"/>
        <w:ind w:left="0"/>
        <w:rPr>
          <w:noProof/>
        </w:rPr>
      </w:pPr>
      <w:r>
        <w:rPr>
          <w:noProof/>
        </w:rPr>
        <w:t>Mintegy 30 000 ipari létesítmény üzemeltetője biztosítja a jelentős szennyező anyagokra vonatkozó adatokat, melyeket az Európai PRTR honlapon tárolnak. Ezen adatok a rendeletben meghatározott fő ipari ágazatok</w:t>
      </w:r>
      <w:r>
        <w:rPr>
          <w:rStyle w:val="FootnoteReference"/>
          <w:noProof/>
        </w:rPr>
        <w:footnoteReference w:id="9"/>
      </w:r>
      <w:r>
        <w:rPr>
          <w:noProof/>
        </w:rPr>
        <w:t xml:space="preserve"> 65 gazdasági tevékenységét ölelik fel. Ezen ipari ágazatok szorosan (de nem pontosan) illeszkednek az ipari kibocsátásokról szóló irányelv (IED) alapján szabályozott tevékenységi listához</w:t>
      </w:r>
      <w:r>
        <w:rPr>
          <w:rStyle w:val="FootnoteReference"/>
          <w:noProof/>
        </w:rPr>
        <w:footnoteReference w:id="10"/>
      </w:r>
      <w:r>
        <w:rPr>
          <w:noProof/>
        </w:rPr>
        <w:t xml:space="preserve">.  </w:t>
      </w:r>
    </w:p>
    <w:p>
      <w:pPr>
        <w:pStyle w:val="Text1"/>
        <w:ind w:left="0"/>
        <w:rPr>
          <w:noProof/>
        </w:rPr>
      </w:pPr>
      <w:r>
        <w:rPr>
          <w:noProof/>
        </w:rPr>
        <w:t xml:space="preserve">Az üzemeltetők minden létesítmény esetében éves tájékoztatást nyújtanak a levegőbe, vízbe és talajba juttatott szennyező anyagok mennyiségéről, valamint a telephelyekről elszállított hulladékokról és a szennyvízben lévő szennyező anyagokról. A rendelkezésre álló legjobb adatokat jelentik az Európai PRTR-nek. Ezek mérésekből, számításokból és becslésekből származhatnak és valamennyi – szándékos, balesetből származó, rutinszerű vagy nem rutinszerű – kibocsátást magukban foglalják. </w:t>
      </w:r>
    </w:p>
    <w:p>
      <w:pPr>
        <w:pStyle w:val="Text1"/>
        <w:ind w:left="0"/>
        <w:rPr>
          <w:noProof/>
        </w:rPr>
      </w:pPr>
      <w:r>
        <w:rPr>
          <w:noProof/>
        </w:rPr>
        <w:t xml:space="preserve">A kibocsátási adatok 91 jelentős szennyezőanyagra terjednek ki, ideértve a nehézfémeket, peszticideket, üvegházhatású gázokat és dioxinokat. A legnagyobb kibocsátási forrásokra való összpontosítás érdekében a jelentést azokra a létesítményekre korlátozzák, ahol túllépik a megállapított kibocsátási küszöbértékeket. </w:t>
      </w:r>
    </w:p>
    <w:p>
      <w:pPr>
        <w:pStyle w:val="Text1"/>
        <w:ind w:left="0"/>
        <w:rPr>
          <w:noProof/>
          <w:color w:val="000000"/>
        </w:rPr>
      </w:pPr>
      <w:r>
        <w:rPr>
          <w:noProof/>
        </w:rPr>
        <w:t>Azokon az alap adatbázisokon kívül, amelyek a pontszerű szennyezés fő forrásaira vonatkoznak, az Európai PRTR tartalmaz a levegőbe juttatott diffúz (azaz nem pontszerű) forrásokból származó szennyezőanyag-kibocsátásokra vonatkozó, térben lebontott adatokat is.</w:t>
      </w:r>
      <w:r>
        <w:rPr>
          <w:noProof/>
          <w:color w:val="000000"/>
        </w:rPr>
        <w:t xml:space="preserve"> </w:t>
      </w:r>
    </w:p>
    <w:p>
      <w:pPr>
        <w:pStyle w:val="Text1"/>
        <w:ind w:left="0"/>
        <w:rPr>
          <w:noProof/>
        </w:rPr>
      </w:pPr>
      <w:r>
        <w:rPr>
          <w:noProof/>
        </w:rPr>
        <w:t xml:space="preserve">Az Európai PRTR honlapot és a kapcsolódó keresőeszközöket a lehető legkönnyebb hozzáférés biztosítására tervezték. Ennek következtében az Európai PRTR honlap számos különféle látogatóval rendelkezik (átlagosan napi 242 munkamenet, többek között közszolgáltatások, magánvállalkozások és a nyilvánosság tagjai által). </w:t>
      </w:r>
    </w:p>
    <w:p>
      <w:pPr>
        <w:pStyle w:val="Heading2"/>
        <w:numPr>
          <w:ilvl w:val="0"/>
          <w:numId w:val="0"/>
        </w:numPr>
        <w:ind w:left="360"/>
        <w:rPr>
          <w:i/>
          <w:noProof/>
        </w:rPr>
      </w:pPr>
      <w:bookmarkStart w:id="58" w:name="DQCNUMB_4"/>
      <w:bookmarkStart w:id="59" w:name="_Toc346793350"/>
      <w:bookmarkStart w:id="60" w:name="_Toc498011341"/>
      <w:bookmarkStart w:id="61" w:name="_Toc500330280"/>
      <w:bookmarkEnd w:id="58"/>
      <w:r>
        <w:rPr>
          <w:i/>
          <w:noProof/>
        </w:rPr>
        <w:t>2.2. Iránymutatás a Bizottság részéről</w:t>
      </w:r>
      <w:bookmarkEnd w:id="59"/>
      <w:bookmarkEnd w:id="60"/>
      <w:bookmarkEnd w:id="61"/>
    </w:p>
    <w:p>
      <w:pPr>
        <w:pStyle w:val="Text1"/>
        <w:ind w:left="0"/>
        <w:rPr>
          <w:noProof/>
        </w:rPr>
      </w:pPr>
      <w:r>
        <w:rPr>
          <w:noProof/>
        </w:rPr>
        <w:t xml:space="preserve">Annak érdekében, hogy a tagállamokat az Európai PRTR következetes végrehajtásában segítse, a Bizottság 2006-ban iránymutatást tett közzé, amely tisztázza, hogy ki és mit köteles jelenteni, és milyen módon kell benyújtania az adatokat. Továbbá tartalmazza azon ágazatok és szennyező anyagok indikatív jegyzékét, amelyek tekintetében elvárt az adatszolgáltatás. </w:t>
      </w:r>
    </w:p>
    <w:p>
      <w:pPr>
        <w:pStyle w:val="Text1"/>
        <w:spacing w:before="0" w:after="240"/>
        <w:ind w:left="0"/>
        <w:rPr>
          <w:noProof/>
        </w:rPr>
      </w:pPr>
      <w:r>
        <w:rPr>
          <w:noProof/>
        </w:rPr>
        <w:t>Habár a jelentéstételi folyamat során ez nagyon hasznosnak bizonyult, az iránymutatás már 11 éves és elérkezett az idő, hogy aktualizálják. Ez az iránymutatásban foglalt jelenlegi ügyek finomhangolását és a végrehajtással kapcsolatban az első közzététel óta felmerült kérdések és tapasztalatok kezelését foglalja magában.</w:t>
      </w:r>
    </w:p>
    <w:p>
      <w:pPr>
        <w:pStyle w:val="Heading2"/>
        <w:numPr>
          <w:ilvl w:val="0"/>
          <w:numId w:val="0"/>
        </w:numPr>
        <w:ind w:left="360"/>
        <w:rPr>
          <w:rStyle w:val="Emphasis"/>
          <w:noProof/>
        </w:rPr>
      </w:pPr>
      <w:bookmarkStart w:id="62" w:name="DQCNUMB_5"/>
      <w:bookmarkStart w:id="63" w:name="_Toc498011342"/>
      <w:bookmarkStart w:id="64" w:name="_Toc500330281"/>
      <w:bookmarkEnd w:id="62"/>
      <w:r>
        <w:rPr>
          <w:rStyle w:val="Emphasis"/>
          <w:noProof/>
        </w:rPr>
        <w:t>2.3. Tagállami végrehajtás</w:t>
      </w:r>
      <w:bookmarkEnd w:id="63"/>
      <w:bookmarkEnd w:id="64"/>
    </w:p>
    <w:p>
      <w:pPr>
        <w:pStyle w:val="Text1"/>
        <w:ind w:left="0"/>
        <w:rPr>
          <w:noProof/>
        </w:rPr>
      </w:pPr>
      <w:r>
        <w:rPr>
          <w:noProof/>
        </w:rPr>
        <w:t>Az Európai PRTR-ről szóló rendeletet minden uniós tagállam végrehajtotta. Mivel a rendelet az Európai Gazdasági Térség érdekkörébe tartozik, Norvégiában, Izlandon és Liechtensteinben is végrehajtották. Ha ehhez hozzáadjuk a Svájc és Szerbia által jelentett adatokat, a rendelet nem előre nem látható, ugyanakkor hasznos kiegészítő földrajzi lefedettséget élvez.</w:t>
      </w:r>
    </w:p>
    <w:p>
      <w:pPr>
        <w:pStyle w:val="Text1"/>
        <w:ind w:left="0"/>
        <w:rPr>
          <w:noProof/>
        </w:rPr>
      </w:pPr>
      <w:r>
        <w:rPr>
          <w:noProof/>
        </w:rPr>
        <w:t xml:space="preserve">Valamennyi tagállam visszaküldte a 2010-re, 2011-re, 2012-re és 2013-ra vonatkozó éves adatait. A Bizottságnak nyomonkövetési fellépéseket kellett hoznia, hogy egyes tagállamokat az adatok visszaküldésére sarkalljon. Ezeket az elszigetelt eseteket azonban gyorsan kezelték és a Bizottság nem folytatott le hivatalos kötelezettségszegési eljárást. </w:t>
      </w:r>
    </w:p>
    <w:p>
      <w:pPr>
        <w:pStyle w:val="Text1"/>
        <w:spacing w:before="0" w:after="240"/>
        <w:ind w:left="0"/>
        <w:rPr>
          <w:noProof/>
        </w:rPr>
      </w:pPr>
      <w:r>
        <w:rPr>
          <w:noProof/>
          <w:color w:val="000000"/>
        </w:rPr>
        <w:t xml:space="preserve">A nemzeti hatóságok felelnek a benyújtott adatok minőségének, valamint az egyes létesítmények által szolgáltatott információk teljességének, egységességének és pontosságának értékeléséért. </w:t>
      </w:r>
      <w:r>
        <w:rPr>
          <w:noProof/>
        </w:rPr>
        <w:t xml:space="preserve">Amint az előző végrehajtási jelentés megállapította, a nyomonkövetési gyakorlatok miatt a légköri kibocsátásokról szóló jelentések a legátfogóbbak. A hulladék szállítására és a szennyezőanyagok földtani közegbe történő bevezetésére vonatkozóan viszonylag kevés adat áll rendelkezésre. </w:t>
      </w:r>
    </w:p>
    <w:p>
      <w:pPr>
        <w:pStyle w:val="Text1"/>
        <w:spacing w:before="0" w:after="240"/>
        <w:ind w:left="0"/>
        <w:rPr>
          <w:noProof/>
        </w:rPr>
      </w:pPr>
      <w:r>
        <w:rPr>
          <w:noProof/>
        </w:rPr>
        <w:t xml:space="preserve">Több tagállam döntött az üzemeltetők által jelentett anyagok listájának kibővítése, valamint a jelentéstételi küszöbértékek csökkentése mellett. </w:t>
      </w:r>
    </w:p>
    <w:p>
      <w:pPr>
        <w:pStyle w:val="Text1"/>
        <w:spacing w:before="0" w:after="240"/>
        <w:ind w:left="0"/>
        <w:rPr>
          <w:noProof/>
        </w:rPr>
      </w:pPr>
      <w:r>
        <w:rPr>
          <w:noProof/>
        </w:rPr>
        <w:t>Az Európai PRTR adatainak jelentése során a tagállamoknál felmerült nehézségek leggyakrabban az információtechnológiával és az üzemeltetők hiányos tudásával kapcsolatosak (ami a bejelentett anyagokkal és egységekkel kapcsolatos hibákhoz vezet). Az Európai PRTR és az ipari kibocsátásokról szóló irányelv összehangolásának elmaradását is nehézségek forrásaként emelték ki, különösen a hulladékgazdálkodással és a hulladéklerakókkal kapcsolatos tevékenységek tekintetében.</w:t>
      </w:r>
    </w:p>
    <w:p>
      <w:pPr>
        <w:pStyle w:val="Text1"/>
        <w:spacing w:before="0" w:after="240"/>
        <w:ind w:left="0"/>
        <w:rPr>
          <w:noProof/>
        </w:rPr>
      </w:pPr>
      <w:r>
        <w:rPr>
          <w:noProof/>
        </w:rPr>
        <w:t xml:space="preserve">A legtöbb tagállam jelentése szerint az Európai PRTR-adatokat elektronikus úton nyújtják be, és három tagállam kifejezetten nem fogad el papír alapon visszaküldött adatokat. </w:t>
      </w:r>
    </w:p>
    <w:p>
      <w:pPr>
        <w:pStyle w:val="Text1"/>
        <w:spacing w:before="0" w:after="240"/>
        <w:ind w:left="0"/>
        <w:rPr>
          <w:noProof/>
        </w:rPr>
      </w:pPr>
      <w:r>
        <w:rPr>
          <w:noProof/>
        </w:rPr>
        <w:t xml:space="preserve">Az EEA számos minőségbiztosítási ellenőrzést végez a visszaküldött adatokkal kapcsolatban, és amennyiben adathibákat azonosít, a tagállamok kijavíthatják azokat. Összességében négy tagállam alkalmazta az adatok újbóli benyújtásával kapcsolatos eszközt az értékelési időszak során – minden esetben a jelentéstételi egységekben lévő hibák helyrehozása érdekében.  </w:t>
      </w:r>
    </w:p>
    <w:p>
      <w:pPr>
        <w:pStyle w:val="Text1"/>
        <w:spacing w:before="0" w:after="240"/>
        <w:ind w:left="0"/>
        <w:rPr>
          <w:noProof/>
        </w:rPr>
      </w:pPr>
      <w:r>
        <w:rPr>
          <w:noProof/>
        </w:rPr>
        <w:t xml:space="preserve">Nyolc tagállam jelezte, hogy az adatok Európai PRTR elől való visszatartása érdekében alkalmazták a 11. cikkben foglalt titoktartási rendelkezéseket. </w:t>
      </w:r>
    </w:p>
    <w:p>
      <w:pPr>
        <w:pStyle w:val="Heading2"/>
        <w:numPr>
          <w:ilvl w:val="0"/>
          <w:numId w:val="0"/>
        </w:numPr>
        <w:ind w:left="360"/>
        <w:rPr>
          <w:i/>
          <w:noProof/>
        </w:rPr>
      </w:pPr>
      <w:bookmarkStart w:id="65" w:name="DQCNUMB_6"/>
      <w:bookmarkStart w:id="66" w:name="_Toc498011343"/>
      <w:bookmarkStart w:id="67" w:name="_Toc500330282"/>
      <w:bookmarkStart w:id="68" w:name="_Toc346793353"/>
      <w:bookmarkEnd w:id="65"/>
      <w:r>
        <w:rPr>
          <w:i/>
          <w:noProof/>
        </w:rPr>
        <w:t>2.4. Szankciók és pénzbírságok</w:t>
      </w:r>
      <w:bookmarkEnd w:id="66"/>
      <w:bookmarkEnd w:id="67"/>
    </w:p>
    <w:p>
      <w:pPr>
        <w:pStyle w:val="Text1"/>
        <w:spacing w:before="0" w:after="0"/>
        <w:ind w:left="0"/>
        <w:rPr>
          <w:noProof/>
        </w:rPr>
      </w:pPr>
      <w:r>
        <w:rPr>
          <w:noProof/>
        </w:rPr>
        <w:t>Az Európai PRTR-ről szóló rendelet 20. cikke szerint a tagállamoknak kötelezettségszegés esetén szankciókra vonatkozó szabályokat kell megállapítaniuk. A tagállamok jelentést tesznek a maximális pénzbírságok széles skáláját magukban foglaló különféle közigazgatási és büntetőeljárásokról. A jelentéstételi időszak során ténylegesen öt tagállam alkalmazott szankciókat. Két másik tagállam jelezte, hogy kötelezettségszegési eljárást indítottak üzemeltetők ellen, de ezeket az adatok beérkezését követően visszavonták. A bizonyítékok alapján nyilvánvaló, hogy a tagállamok hatékony szankciókat és pénzbírságokat léptettek érvénybe annak érdekében, hogy az illetékes üzemeltetők teljesítsék az Európai PRTR-ről szóló rendelet szerinti jelentéstételi kötelezettségeiket.</w:t>
      </w:r>
    </w:p>
    <w:p>
      <w:pPr>
        <w:pStyle w:val="Heading1"/>
        <w:numPr>
          <w:ilvl w:val="0"/>
          <w:numId w:val="0"/>
        </w:numPr>
        <w:rPr>
          <w:noProof/>
        </w:rPr>
      </w:pPr>
      <w:bookmarkStart w:id="69" w:name="DQCNUMB_7"/>
      <w:bookmarkStart w:id="70" w:name="_Toc498011344"/>
      <w:bookmarkStart w:id="71" w:name="_Toc500330283"/>
      <w:bookmarkEnd w:id="68"/>
      <w:bookmarkEnd w:id="69"/>
      <w:r>
        <w:rPr>
          <w:noProof/>
        </w:rPr>
        <w:t>3. REFIT-értékelés</w:t>
      </w:r>
      <w:bookmarkEnd w:id="70"/>
      <w:bookmarkEnd w:id="71"/>
    </w:p>
    <w:p>
      <w:pPr>
        <w:spacing w:after="0" w:line="240" w:lineRule="auto"/>
        <w:jc w:val="both"/>
        <w:rPr>
          <w:rFonts w:ascii="Times New Roman" w:eastAsia="Times New Roman" w:hAnsi="Times New Roman" w:cs="Times New Roman"/>
          <w:noProof/>
          <w:sz w:val="24"/>
        </w:rPr>
      </w:pPr>
      <w:r>
        <w:rPr>
          <w:rFonts w:ascii="Times New Roman" w:hAnsi="Times New Roman"/>
          <w:noProof/>
          <w:sz w:val="24"/>
        </w:rPr>
        <w:t xml:space="preserve">A REFIT-program keretében a Bizottság értékelte az Európai PRTR-ről szóló rendeletet, megvizsgálva az eredményességre, hatékonyságra, koherenciára, relevanciára és uniós hozzáadott értékre vonatkozó legfontosabb elemző kérdéseket. </w:t>
      </w:r>
    </w:p>
    <w:p>
      <w:pPr>
        <w:spacing w:after="0" w:line="240" w:lineRule="auto"/>
        <w:jc w:val="both"/>
        <w:rPr>
          <w:rFonts w:ascii="Times New Roman" w:eastAsia="Times New Roman" w:hAnsi="Times New Roman" w:cs="Times New Roman"/>
          <w:noProof/>
          <w:sz w:val="24"/>
        </w:rPr>
      </w:pPr>
    </w:p>
    <w:p>
      <w:pPr>
        <w:spacing w:after="0" w:line="240" w:lineRule="auto"/>
        <w:jc w:val="both"/>
        <w:rPr>
          <w:rFonts w:ascii="Times New Roman" w:eastAsia="Times New Roman" w:hAnsi="Times New Roman" w:cs="Times New Roman"/>
          <w:noProof/>
          <w:sz w:val="24"/>
        </w:rPr>
      </w:pPr>
      <w:r>
        <w:rPr>
          <w:rFonts w:ascii="Times New Roman" w:hAnsi="Times New Roman"/>
          <w:noProof/>
          <w:sz w:val="24"/>
        </w:rPr>
        <w:t xml:space="preserve">Ennek érdekében olyan forrásokat is felhasználtak, mint például a tagállamok által a végrehajtásra vonatkozóan visszaküldött adatok, konzultációk és az érdekelt felek számára szervezett munkaértekezletek. Továbbá háttértanulmány készítésére és a kulcsfontosságú témákkal kapcsolatos egyedi információk gyűjtésére vonatkozóan szerződést kötöttek egy külső tanácsadó szolgálattal.  </w:t>
      </w:r>
    </w:p>
    <w:p>
      <w:pPr>
        <w:spacing w:after="0" w:line="240" w:lineRule="auto"/>
        <w:jc w:val="both"/>
        <w:rPr>
          <w:rFonts w:ascii="Times New Roman" w:eastAsia="Times New Roman" w:hAnsi="Times New Roman" w:cs="Times New Roman"/>
          <w:noProof/>
          <w:sz w:val="24"/>
        </w:rPr>
      </w:pPr>
    </w:p>
    <w:p>
      <w:pPr>
        <w:spacing w:after="0"/>
        <w:jc w:val="both"/>
        <w:rPr>
          <w:rFonts w:ascii="Times New Roman" w:eastAsia="Times New Roman" w:hAnsi="Times New Roman" w:cs="Times New Roman"/>
          <w:noProof/>
          <w:sz w:val="24"/>
        </w:rPr>
      </w:pPr>
      <w:r>
        <w:rPr>
          <w:rFonts w:ascii="Times New Roman" w:hAnsi="Times New Roman"/>
          <w:noProof/>
          <w:sz w:val="24"/>
        </w:rPr>
        <w:t>Az értékelési eljárással kapcsolatos további részletek a bizottsági szolgálati munkadokumentumban találhatók</w:t>
      </w:r>
      <w:r>
        <w:rPr>
          <w:rStyle w:val="FootnoteReference"/>
          <w:rFonts w:ascii="Times New Roman" w:hAnsi="Times New Roman"/>
          <w:noProof/>
          <w:sz w:val="24"/>
        </w:rPr>
        <w:footnoteReference w:id="11"/>
      </w:r>
      <w:r>
        <w:rPr>
          <w:rFonts w:ascii="Times New Roman" w:hAnsi="Times New Roman"/>
          <w:noProof/>
          <w:sz w:val="24"/>
        </w:rPr>
        <w:t>. A jelentés összefoglalja az értékelés legfontosabb megállapításait és részletesebben áttekinti a szükséges nyomonkövetési fellépéseket.</w:t>
      </w:r>
    </w:p>
    <w:p>
      <w:pPr>
        <w:spacing w:after="0"/>
        <w:rPr>
          <w:rFonts w:ascii="Times New Roman" w:eastAsia="Times New Roman" w:hAnsi="Times New Roman" w:cs="Times New Roman"/>
          <w:b/>
          <w:noProof/>
          <w:sz w:val="24"/>
        </w:rPr>
      </w:pPr>
    </w:p>
    <w:p>
      <w:pPr>
        <w:pStyle w:val="Heading2"/>
        <w:numPr>
          <w:ilvl w:val="0"/>
          <w:numId w:val="16"/>
        </w:numPr>
        <w:rPr>
          <w:i/>
          <w:noProof/>
        </w:rPr>
      </w:pPr>
      <w:bookmarkStart w:id="72" w:name="_Toc498011345"/>
      <w:bookmarkStart w:id="73" w:name="_Toc500330284"/>
      <w:r>
        <w:rPr>
          <w:i/>
          <w:noProof/>
        </w:rPr>
        <w:t>Az értékelés hatóköre</w:t>
      </w:r>
      <w:bookmarkEnd w:id="72"/>
      <w:bookmarkEnd w:id="73"/>
    </w:p>
    <w:p>
      <w:pPr>
        <w:spacing w:after="0"/>
        <w:jc w:val="both"/>
        <w:rPr>
          <w:rFonts w:ascii="Times New Roman" w:eastAsia="Times New Roman" w:hAnsi="Times New Roman" w:cs="Times New Roman"/>
          <w:noProof/>
          <w:sz w:val="24"/>
        </w:rPr>
      </w:pPr>
      <w:r>
        <w:rPr>
          <w:rFonts w:ascii="Times New Roman" w:hAnsi="Times New Roman"/>
          <w:noProof/>
          <w:sz w:val="24"/>
        </w:rPr>
        <w:t xml:space="preserve">Mivel a tagállamok a Kijevi Jegyzőkönyv szerződő vagy aláíró feleiként már közvetlen jelentéstételi kötelezettségekkel rendelkeznek, az értékelés az Európai PRTR-ről szóló rendelet szerinti további kötelezettségekre összpontosított: </w:t>
      </w:r>
    </w:p>
    <w:p>
      <w:pPr>
        <w:spacing w:after="0"/>
        <w:rPr>
          <w:rFonts w:ascii="Times New Roman" w:eastAsia="Times New Roman" w:hAnsi="Times New Roman" w:cs="Times New Roman"/>
          <w:noProof/>
          <w:sz w:val="24"/>
        </w:rPr>
      </w:pPr>
    </w:p>
    <w:p>
      <w:pPr>
        <w:numPr>
          <w:ilvl w:val="0"/>
          <w:numId w:val="3"/>
        </w:numPr>
        <w:spacing w:after="0" w:line="240" w:lineRule="auto"/>
        <w:jc w:val="both"/>
        <w:rPr>
          <w:rFonts w:ascii="Times New Roman" w:eastAsia="Times New Roman" w:hAnsi="Times New Roman" w:cs="Times New Roman"/>
          <w:noProof/>
          <w:sz w:val="24"/>
        </w:rPr>
      </w:pPr>
      <w:r>
        <w:rPr>
          <w:rFonts w:ascii="Times New Roman" w:hAnsi="Times New Roman"/>
          <w:noProof/>
          <w:sz w:val="24"/>
        </w:rPr>
        <w:t>az üzemeltetők jelentése a vizeket szennyező további öt anyagról és a dioxin- és furánkibocsátásra vonatkozó alacsonyabb jelentéstételi küszöbértékekről;</w:t>
      </w:r>
    </w:p>
    <w:p>
      <w:pPr>
        <w:numPr>
          <w:ilvl w:val="0"/>
          <w:numId w:val="3"/>
        </w:numPr>
        <w:spacing w:after="0" w:line="240" w:lineRule="auto"/>
        <w:jc w:val="both"/>
        <w:rPr>
          <w:rFonts w:ascii="Times New Roman" w:eastAsia="Times New Roman" w:hAnsi="Times New Roman" w:cs="Times New Roman"/>
          <w:noProof/>
          <w:sz w:val="24"/>
        </w:rPr>
      </w:pPr>
      <w:r>
        <w:rPr>
          <w:rFonts w:ascii="Times New Roman" w:hAnsi="Times New Roman"/>
          <w:noProof/>
          <w:sz w:val="24"/>
        </w:rPr>
        <w:t>a tagállamok illetékes hatóságainak adatokkal kapcsolatos éves jelentése a Bizottság felé;</w:t>
      </w:r>
    </w:p>
    <w:p>
      <w:pPr>
        <w:numPr>
          <w:ilvl w:val="0"/>
          <w:numId w:val="3"/>
        </w:numPr>
        <w:spacing w:after="0" w:line="240" w:lineRule="auto"/>
        <w:jc w:val="both"/>
        <w:rPr>
          <w:rFonts w:ascii="Times New Roman" w:eastAsia="Times New Roman" w:hAnsi="Times New Roman" w:cs="Times New Roman"/>
          <w:noProof/>
          <w:sz w:val="24"/>
        </w:rPr>
      </w:pPr>
      <w:r>
        <w:rPr>
          <w:rFonts w:ascii="Times New Roman" w:hAnsi="Times New Roman"/>
          <w:noProof/>
          <w:sz w:val="24"/>
        </w:rPr>
        <w:t>ezen adatoknak a nyilvánosan hozzáférhető Európai PRTR-be illesztése a Bizottság által (az EEA támogatásával);</w:t>
      </w:r>
    </w:p>
    <w:p>
      <w:pPr>
        <w:numPr>
          <w:ilvl w:val="0"/>
          <w:numId w:val="3"/>
        </w:numPr>
        <w:spacing w:after="0" w:line="240" w:lineRule="auto"/>
        <w:jc w:val="both"/>
        <w:rPr>
          <w:rFonts w:ascii="Times New Roman" w:eastAsia="Times New Roman" w:hAnsi="Times New Roman" w:cs="Times New Roman"/>
          <w:noProof/>
          <w:sz w:val="24"/>
        </w:rPr>
      </w:pPr>
      <w:r>
        <w:rPr>
          <w:rFonts w:ascii="Times New Roman" w:hAnsi="Times New Roman"/>
          <w:noProof/>
          <w:sz w:val="24"/>
        </w:rPr>
        <w:t>a következetes tagállami gyakorlatok elősegítése érdekében bizottsági iránymutatás kidolgozása; valamint</w:t>
      </w:r>
    </w:p>
    <w:p>
      <w:pPr>
        <w:numPr>
          <w:ilvl w:val="0"/>
          <w:numId w:val="3"/>
        </w:numPr>
        <w:spacing w:after="0" w:line="240" w:lineRule="auto"/>
        <w:jc w:val="both"/>
        <w:rPr>
          <w:rFonts w:ascii="Times New Roman" w:eastAsia="Times New Roman" w:hAnsi="Times New Roman" w:cs="Times New Roman"/>
          <w:noProof/>
          <w:sz w:val="24"/>
        </w:rPr>
      </w:pPr>
      <w:r>
        <w:rPr>
          <w:rFonts w:ascii="Times New Roman" w:hAnsi="Times New Roman"/>
          <w:noProof/>
          <w:sz w:val="24"/>
        </w:rPr>
        <w:t>az Európai PRTR végrehajtásáról szóló háromévenkénti bizottsági jelentés az Európai Parlamentnek és a Tanácsnak.</w:t>
      </w:r>
    </w:p>
    <w:p>
      <w:pPr>
        <w:spacing w:after="0"/>
        <w:jc w:val="both"/>
        <w:rPr>
          <w:rFonts w:ascii="Times New Roman" w:eastAsia="Times New Roman" w:hAnsi="Times New Roman" w:cs="Times New Roman"/>
          <w:noProof/>
          <w:sz w:val="24"/>
        </w:rPr>
      </w:pPr>
    </w:p>
    <w:p>
      <w:pPr>
        <w:pStyle w:val="Heading2"/>
        <w:numPr>
          <w:ilvl w:val="0"/>
          <w:numId w:val="16"/>
        </w:numPr>
        <w:rPr>
          <w:b w:val="0"/>
          <w:bCs w:val="0"/>
          <w:i/>
          <w:noProof/>
        </w:rPr>
      </w:pPr>
      <w:bookmarkStart w:id="74" w:name="_Toc498011346"/>
      <w:bookmarkStart w:id="75" w:name="_Toc500330285"/>
      <w:r>
        <w:rPr>
          <w:i/>
          <w:noProof/>
        </w:rPr>
        <w:t>Értékelési eredmények</w:t>
      </w:r>
      <w:bookmarkEnd w:id="74"/>
      <w:bookmarkEnd w:id="75"/>
    </w:p>
    <w:p>
      <w:pPr>
        <w:spacing w:after="160"/>
        <w:rPr>
          <w:rFonts w:ascii="Times New Roman" w:eastAsia="Times New Roman" w:hAnsi="Times New Roman" w:cs="Times New Roman"/>
          <w:noProof/>
          <w:sz w:val="24"/>
        </w:rPr>
      </w:pPr>
      <w:r>
        <w:rPr>
          <w:rFonts w:ascii="Times New Roman" w:hAnsi="Times New Roman"/>
          <w:noProof/>
          <w:sz w:val="24"/>
        </w:rPr>
        <w:t>Az értékelési szempontokat az alábbiak szerint mérték fel:</w:t>
      </w:r>
    </w:p>
    <w:p>
      <w:pPr>
        <w:numPr>
          <w:ilvl w:val="0"/>
          <w:numId w:val="4"/>
        </w:numPr>
        <w:spacing w:after="160" w:line="240" w:lineRule="auto"/>
        <w:jc w:val="both"/>
        <w:rPr>
          <w:rFonts w:ascii="Times New Roman" w:eastAsia="Times New Roman" w:hAnsi="Times New Roman" w:cs="Times New Roman"/>
          <w:noProof/>
          <w:sz w:val="24"/>
        </w:rPr>
      </w:pPr>
      <w:r>
        <w:rPr>
          <w:rFonts w:ascii="Times New Roman" w:hAnsi="Times New Roman"/>
          <w:noProof/>
          <w:sz w:val="24"/>
        </w:rPr>
        <w:t xml:space="preserve">Az Európai PRTR </w:t>
      </w:r>
      <w:r>
        <w:rPr>
          <w:rFonts w:ascii="Times New Roman" w:hAnsi="Times New Roman"/>
          <w:b/>
          <w:noProof/>
          <w:sz w:val="24"/>
        </w:rPr>
        <w:t>eredményes</w:t>
      </w:r>
      <w:r>
        <w:rPr>
          <w:rFonts w:ascii="Times New Roman" w:hAnsi="Times New Roman"/>
          <w:noProof/>
          <w:sz w:val="24"/>
        </w:rPr>
        <w:t xml:space="preserve"> eszköz, mivel nagyon átfogó és részletes adatbázist biztosít az ipari kibocsátásokra vonatkozóan. Az érdekelt felek széles köre ismeri el az Európai PRTR környezeti információkhoz való hozzáféréshez nyújtott értékes hozzájárulását. Az Európai PRTR-adatok teljes körűek és jó minőségűek és az idő haladtával egyre jobbak lesznek. További információk segítségével nagyobb nyilvánosságot lehetne elérni az adatok értelmezése kapcsán. </w:t>
      </w:r>
    </w:p>
    <w:p>
      <w:pPr>
        <w:numPr>
          <w:ilvl w:val="0"/>
          <w:numId w:val="4"/>
        </w:numPr>
        <w:spacing w:after="160" w:line="240" w:lineRule="auto"/>
        <w:jc w:val="both"/>
        <w:rPr>
          <w:rFonts w:ascii="Times New Roman" w:eastAsia="Times New Roman" w:hAnsi="Times New Roman" w:cs="Times New Roman"/>
          <w:noProof/>
          <w:sz w:val="24"/>
        </w:rPr>
      </w:pPr>
      <w:r>
        <w:rPr>
          <w:rFonts w:ascii="Times New Roman" w:hAnsi="Times New Roman"/>
          <w:noProof/>
          <w:sz w:val="24"/>
        </w:rPr>
        <w:t xml:space="preserve">A </w:t>
      </w:r>
      <w:r>
        <w:rPr>
          <w:rFonts w:ascii="Times New Roman" w:hAnsi="Times New Roman"/>
          <w:b/>
          <w:noProof/>
          <w:sz w:val="24"/>
        </w:rPr>
        <w:t xml:space="preserve">hatékonyság </w:t>
      </w:r>
      <w:r>
        <w:rPr>
          <w:rFonts w:ascii="Times New Roman" w:hAnsi="Times New Roman"/>
          <w:noProof/>
          <w:sz w:val="24"/>
        </w:rPr>
        <w:t>tekintetében az Európai PRTR jól teljesített. A legtöbb adatszolgáltató állítása szerint minimális erőfeszítés mellett teljesíteni lehetett a Kijevi Jegyzőkönyv szerinti kötelezettségeken felüli, Európai PRTR-hez kapcsolódó jelentéstételi kötelezettségeket; az adatgazdák állítása szerint ezek az erőfeszítések arányosak voltak az Európai PRTR adatainak nyilvános hozzáférhetősége által biztosított széles körű előnyökkel. A tagállamok 16. cikk szerinti azon kötelezettsége, hogy az Európai PRTR általános megvalósításáról három évente jelentést nyújtsanak be, korlátozott mértékben tűnik hasznosnak, ami felveti az egyszerűsítés lehetőségét.</w:t>
      </w:r>
    </w:p>
    <w:p>
      <w:pPr>
        <w:numPr>
          <w:ilvl w:val="0"/>
          <w:numId w:val="4"/>
        </w:numPr>
        <w:spacing w:after="160" w:line="240" w:lineRule="auto"/>
        <w:jc w:val="both"/>
        <w:rPr>
          <w:rFonts w:ascii="Times New Roman" w:eastAsia="Times New Roman" w:hAnsi="Times New Roman" w:cs="Times New Roman"/>
          <w:noProof/>
          <w:sz w:val="24"/>
        </w:rPr>
      </w:pPr>
      <w:r>
        <w:rPr>
          <w:rFonts w:ascii="Times New Roman" w:hAnsi="Times New Roman"/>
          <w:noProof/>
          <w:sz w:val="24"/>
        </w:rPr>
        <w:t xml:space="preserve">Habár az Európai PRTR önmagában következetes, kétségek merültek fel a vonatkozó környezetvédelmi jogszabályok – mint például az ipari kibocsátásokról szóló irányelv vagy a hulladékra vonatkozó </w:t>
      </w:r>
      <w:r>
        <w:rPr>
          <w:rFonts w:ascii="Times New Roman" w:hAnsi="Times New Roman"/>
          <w:i/>
          <w:noProof/>
          <w:sz w:val="24"/>
        </w:rPr>
        <w:t>uniós</w:t>
      </w:r>
      <w:r>
        <w:rPr>
          <w:rFonts w:ascii="Times New Roman" w:hAnsi="Times New Roman"/>
          <w:noProof/>
          <w:sz w:val="24"/>
        </w:rPr>
        <w:t xml:space="preserve"> </w:t>
      </w:r>
      <w:r>
        <w:rPr>
          <w:rFonts w:ascii="Times New Roman" w:hAnsi="Times New Roman"/>
          <w:i/>
          <w:noProof/>
          <w:sz w:val="24"/>
        </w:rPr>
        <w:t xml:space="preserve">vívmányok </w:t>
      </w:r>
      <w:r>
        <w:rPr>
          <w:rFonts w:ascii="Times New Roman" w:hAnsi="Times New Roman"/>
          <w:noProof/>
          <w:sz w:val="24"/>
        </w:rPr>
        <w:t xml:space="preserve">– alapján jelentett adatokkal való </w:t>
      </w:r>
      <w:r>
        <w:rPr>
          <w:rFonts w:ascii="Times New Roman" w:hAnsi="Times New Roman"/>
          <w:b/>
          <w:noProof/>
          <w:sz w:val="24"/>
        </w:rPr>
        <w:t>koherenciája</w:t>
      </w:r>
      <w:r>
        <w:rPr>
          <w:rFonts w:ascii="Times New Roman" w:hAnsi="Times New Roman"/>
          <w:noProof/>
          <w:sz w:val="24"/>
        </w:rPr>
        <w:t xml:space="preserve"> tekintetében.  </w:t>
      </w:r>
    </w:p>
    <w:p>
      <w:pPr>
        <w:numPr>
          <w:ilvl w:val="0"/>
          <w:numId w:val="4"/>
        </w:numPr>
        <w:spacing w:after="160" w:line="240" w:lineRule="auto"/>
        <w:jc w:val="both"/>
        <w:rPr>
          <w:rFonts w:ascii="Times New Roman" w:eastAsia="Times New Roman" w:hAnsi="Times New Roman" w:cs="Times New Roman"/>
          <w:noProof/>
          <w:sz w:val="24"/>
        </w:rPr>
      </w:pPr>
      <w:r>
        <w:rPr>
          <w:rFonts w:ascii="Times New Roman" w:hAnsi="Times New Roman"/>
          <w:noProof/>
          <w:sz w:val="24"/>
        </w:rPr>
        <w:t xml:space="preserve">Az Európai PRTR folyamatos </w:t>
      </w:r>
      <w:r>
        <w:rPr>
          <w:rFonts w:ascii="Times New Roman" w:hAnsi="Times New Roman"/>
          <w:b/>
          <w:noProof/>
          <w:sz w:val="24"/>
        </w:rPr>
        <w:t>relevanciával</w:t>
      </w:r>
      <w:r>
        <w:rPr>
          <w:rFonts w:ascii="Times New Roman" w:hAnsi="Times New Roman"/>
          <w:noProof/>
          <w:sz w:val="24"/>
        </w:rPr>
        <w:t xml:space="preserve"> bír, mivel a nyilvánosság számára könnyen hozzáférhető, részletes és átfogó adatbázist biztosít. Az Európai PRTR ennek köszönhetően nagy mértékben hozzájárul ahhoz, hogy a környezettel kapcsolatos döntéshozatal átlátható legyen, és abban a nyilvánosság részt tudjon venni.  </w:t>
      </w:r>
    </w:p>
    <w:p>
      <w:pPr>
        <w:numPr>
          <w:ilvl w:val="0"/>
          <w:numId w:val="4"/>
        </w:numPr>
        <w:spacing w:after="0" w:line="240" w:lineRule="auto"/>
        <w:jc w:val="both"/>
        <w:rPr>
          <w:rFonts w:ascii="Times New Roman" w:eastAsia="Times New Roman" w:hAnsi="Times New Roman" w:cs="Times New Roman"/>
          <w:noProof/>
          <w:sz w:val="24"/>
        </w:rPr>
      </w:pPr>
      <w:r>
        <w:rPr>
          <w:rFonts w:ascii="Times New Roman" w:hAnsi="Times New Roman"/>
          <w:noProof/>
          <w:sz w:val="24"/>
        </w:rPr>
        <w:t xml:space="preserve">Az Európai PRTR a Kijevi Jegyzőkönyv követelményein felül </w:t>
      </w:r>
      <w:r>
        <w:rPr>
          <w:rFonts w:ascii="Times New Roman" w:hAnsi="Times New Roman"/>
          <w:b/>
          <w:noProof/>
          <w:sz w:val="24"/>
        </w:rPr>
        <w:t xml:space="preserve">hozzáadott értéket </w:t>
      </w:r>
      <w:r>
        <w:rPr>
          <w:rFonts w:ascii="Times New Roman" w:hAnsi="Times New Roman"/>
          <w:noProof/>
          <w:sz w:val="24"/>
        </w:rPr>
        <w:t>biztosít a Jegyzőkönyv valamennyi tagállamban való következetes végrehajtásának biztosítása révén. Az Európai PRTR felhasználói értékelik ezt a határokon átnyúló következetességet, mivel ez biztosítja az ipari tevékenységekből származó szennyezőanyag-kibocsátás átláthatóságát, és lehetővé teszi a tagállamok összehasonlító értékelését. Az EEA ipari szennyezéssel kapcsolatos országprofiljai</w:t>
      </w:r>
      <w:r>
        <w:rPr>
          <w:rStyle w:val="FootnoteReference"/>
          <w:noProof/>
        </w:rPr>
        <w:footnoteReference w:id="12"/>
      </w:r>
      <w:r>
        <w:rPr>
          <w:noProof/>
        </w:rPr>
        <w:t xml:space="preserve"> </w:t>
      </w:r>
      <w:r>
        <w:rPr>
          <w:rFonts w:ascii="Times New Roman" w:hAnsi="Times New Roman"/>
          <w:noProof/>
          <w:sz w:val="24"/>
        </w:rPr>
        <w:t>jó példái annak, hogy hogyan használják az Európai PRTR adatait ahhoz, hogy a döntéshozók, az ipar és a nyilvánosság számára hozzáadott értéket biztosítsanak.</w:t>
      </w:r>
    </w:p>
    <w:p>
      <w:pPr>
        <w:spacing w:after="0" w:line="240" w:lineRule="auto"/>
        <w:ind w:left="720"/>
        <w:jc w:val="both"/>
        <w:rPr>
          <w:rFonts w:ascii="Times New Roman" w:eastAsia="Times New Roman" w:hAnsi="Times New Roman" w:cs="Times New Roman"/>
          <w:noProof/>
          <w:sz w:val="24"/>
        </w:rPr>
      </w:pPr>
    </w:p>
    <w:p>
      <w:pPr>
        <w:spacing w:after="0"/>
        <w:jc w:val="both"/>
        <w:rPr>
          <w:rFonts w:ascii="Times New Roman" w:eastAsia="Times New Roman" w:hAnsi="Times New Roman" w:cs="Times New Roman"/>
          <w:noProof/>
          <w:sz w:val="24"/>
        </w:rPr>
      </w:pPr>
      <w:r>
        <w:rPr>
          <w:rFonts w:ascii="Times New Roman" w:hAnsi="Times New Roman"/>
          <w:noProof/>
          <w:sz w:val="24"/>
        </w:rPr>
        <w:t xml:space="preserve">Az értékelés következtetései szerint az Európai PRTR-ről szóló rendelet az </w:t>
      </w:r>
      <w:r>
        <w:rPr>
          <w:rFonts w:ascii="Times New Roman" w:hAnsi="Times New Roman"/>
          <w:i/>
          <w:noProof/>
          <w:sz w:val="24"/>
        </w:rPr>
        <w:t xml:space="preserve">uniós </w:t>
      </w:r>
      <w:r>
        <w:rPr>
          <w:rFonts w:ascii="Times New Roman" w:hAnsi="Times New Roman"/>
          <w:noProof/>
          <w:sz w:val="24"/>
        </w:rPr>
        <w:t xml:space="preserve">környezetvédelmi </w:t>
      </w:r>
      <w:r>
        <w:rPr>
          <w:rFonts w:ascii="Times New Roman" w:hAnsi="Times New Roman"/>
          <w:i/>
          <w:noProof/>
          <w:sz w:val="24"/>
        </w:rPr>
        <w:t>vívmányok</w:t>
      </w:r>
      <w:r>
        <w:rPr>
          <w:rFonts w:ascii="Times New Roman" w:hAnsi="Times New Roman"/>
          <w:noProof/>
          <w:sz w:val="24"/>
        </w:rPr>
        <w:t xml:space="preserve"> fontos eszköze és megfelel a célnak.  </w:t>
      </w:r>
    </w:p>
    <w:p>
      <w:pPr>
        <w:spacing w:after="0"/>
        <w:jc w:val="both"/>
        <w:rPr>
          <w:rFonts w:ascii="Times New Roman" w:eastAsia="Times New Roman" w:hAnsi="Times New Roman" w:cs="Times New Roman"/>
          <w:noProof/>
          <w:sz w:val="24"/>
        </w:rPr>
      </w:pPr>
    </w:p>
    <w:p>
      <w:pPr>
        <w:spacing w:after="0"/>
        <w:jc w:val="both"/>
        <w:rPr>
          <w:rFonts w:ascii="Times New Roman" w:eastAsia="Times New Roman" w:hAnsi="Times New Roman" w:cs="Times New Roman"/>
          <w:noProof/>
          <w:sz w:val="24"/>
        </w:rPr>
      </w:pPr>
    </w:p>
    <w:p>
      <w:pPr>
        <w:pStyle w:val="Heading1"/>
        <w:numPr>
          <w:ilvl w:val="0"/>
          <w:numId w:val="0"/>
        </w:numPr>
        <w:spacing w:before="0"/>
        <w:rPr>
          <w:noProof/>
        </w:rPr>
      </w:pPr>
      <w:bookmarkStart w:id="76" w:name="DQCNUMB_8"/>
      <w:bookmarkStart w:id="77" w:name="_Toc346793357"/>
      <w:bookmarkStart w:id="78" w:name="_Toc498011347"/>
      <w:bookmarkStart w:id="79" w:name="_Toc500330286"/>
      <w:bookmarkEnd w:id="76"/>
      <w:r>
        <w:rPr>
          <w:noProof/>
        </w:rPr>
        <w:t>4. Lehetőségek az Európai PRTR javítására</w:t>
      </w:r>
      <w:bookmarkEnd w:id="77"/>
      <w:bookmarkEnd w:id="78"/>
      <w:bookmarkEnd w:id="79"/>
    </w:p>
    <w:p>
      <w:pPr>
        <w:pStyle w:val="Heading2"/>
        <w:numPr>
          <w:ilvl w:val="1"/>
          <w:numId w:val="18"/>
        </w:numPr>
        <w:tabs>
          <w:tab w:val="left" w:pos="240"/>
        </w:tabs>
        <w:rPr>
          <w:i/>
          <w:noProof/>
        </w:rPr>
      </w:pPr>
      <w:bookmarkStart w:id="80" w:name="_Toc477369279"/>
      <w:bookmarkStart w:id="81" w:name="_Toc477371032"/>
      <w:bookmarkStart w:id="82" w:name="_Toc477449135"/>
      <w:bookmarkStart w:id="83" w:name="_Toc478125848"/>
      <w:bookmarkStart w:id="84" w:name="_Toc478581766"/>
      <w:bookmarkStart w:id="85" w:name="_Toc478581954"/>
      <w:bookmarkStart w:id="86" w:name="DQCNUMB_9"/>
      <w:bookmarkStart w:id="87" w:name="_Toc480900142"/>
      <w:bookmarkStart w:id="88" w:name="_Toc480900839"/>
      <w:bookmarkStart w:id="89" w:name="_Toc480900898"/>
      <w:bookmarkStart w:id="90" w:name="_Toc480900913"/>
      <w:bookmarkStart w:id="91" w:name="_Toc480901007"/>
      <w:bookmarkStart w:id="92" w:name="_Toc480901246"/>
      <w:bookmarkStart w:id="93" w:name="_Toc497991117"/>
      <w:bookmarkStart w:id="94" w:name="_Toc497993902"/>
      <w:bookmarkStart w:id="95" w:name="_Toc498001266"/>
      <w:bookmarkStart w:id="96" w:name="_Toc498010236"/>
      <w:bookmarkStart w:id="97" w:name="_Toc498010369"/>
      <w:bookmarkStart w:id="98" w:name="_Toc498010431"/>
      <w:bookmarkStart w:id="99" w:name="_Toc498010559"/>
      <w:bookmarkStart w:id="100" w:name="_Toc498010738"/>
      <w:bookmarkStart w:id="101" w:name="_Toc498011307"/>
      <w:bookmarkStart w:id="102" w:name="_Toc498011348"/>
      <w:bookmarkStart w:id="103" w:name="_Toc477369280"/>
      <w:bookmarkStart w:id="104" w:name="_Toc477371033"/>
      <w:bookmarkStart w:id="105" w:name="_Toc477449136"/>
      <w:bookmarkStart w:id="106" w:name="_Toc478125849"/>
      <w:bookmarkStart w:id="107" w:name="_Toc478581767"/>
      <w:bookmarkStart w:id="108" w:name="_Toc478581955"/>
      <w:bookmarkStart w:id="109" w:name="_Toc480900143"/>
      <w:bookmarkStart w:id="110" w:name="_Toc480900840"/>
      <w:bookmarkStart w:id="111" w:name="_Toc480900899"/>
      <w:bookmarkStart w:id="112" w:name="_Toc480900914"/>
      <w:bookmarkStart w:id="113" w:name="_Toc480901008"/>
      <w:bookmarkStart w:id="114" w:name="_Toc480901247"/>
      <w:bookmarkStart w:id="115" w:name="_Toc497991118"/>
      <w:bookmarkStart w:id="116" w:name="_Toc497993903"/>
      <w:bookmarkStart w:id="117" w:name="_Toc498001267"/>
      <w:bookmarkStart w:id="118" w:name="_Toc498010237"/>
      <w:bookmarkStart w:id="119" w:name="_Toc498010370"/>
      <w:bookmarkStart w:id="120" w:name="_Toc498010432"/>
      <w:bookmarkStart w:id="121" w:name="_Toc498010560"/>
      <w:bookmarkStart w:id="122" w:name="_Toc498010739"/>
      <w:bookmarkStart w:id="123" w:name="_Toc498011308"/>
      <w:bookmarkStart w:id="124" w:name="_Toc498011349"/>
      <w:bookmarkStart w:id="125" w:name="_Toc498011350"/>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i/>
          <w:noProof/>
        </w:rPr>
        <w:t xml:space="preserve"> </w:t>
      </w:r>
      <w:bookmarkStart w:id="126" w:name="_Toc500330287"/>
      <w:r>
        <w:rPr>
          <w:i/>
          <w:noProof/>
        </w:rPr>
        <w:t>A 2013-as végrehajtási jelentésből eredő fellépések</w:t>
      </w:r>
      <w:bookmarkEnd w:id="125"/>
      <w:bookmarkEnd w:id="126"/>
      <w:r>
        <w:rPr>
          <w:i/>
          <w:noProof/>
        </w:rPr>
        <w:t xml:space="preserve"> </w:t>
      </w:r>
    </w:p>
    <w:p>
      <w:pPr>
        <w:pStyle w:val="Text1"/>
        <w:ind w:left="0"/>
        <w:rPr>
          <w:noProof/>
        </w:rPr>
      </w:pPr>
      <w:r>
        <w:rPr>
          <w:noProof/>
        </w:rPr>
        <w:t>A Bizottság Európai Parlamentnek és Tanácsnak címzett 2013-as jelentése megállapította, hogy az Európai PRTR-ről szóló rendelet végrehajtása viszonylag jó, ugyanakkor azonosította azokat a területeket is, ahol potenciális fejlesztésekre kerülhet sor. A következő négy évben folyamatos javítás volt észlelhető, főként mivel az üzemeltetők, az illetékes hatóságok és a nyilvánosság tapasztalatokat gyűjtöttek az Európai PRTR használatáról. A 2013-as jelentésben azonosított három fő fejlesztési területet újra megvizsgálva a következőket fontos megjegyezni:</w:t>
      </w:r>
    </w:p>
    <w:p>
      <w:pPr>
        <w:pStyle w:val="Text1"/>
        <w:rPr>
          <w:i/>
          <w:noProof/>
          <w:u w:val="single"/>
        </w:rPr>
      </w:pPr>
      <w:r>
        <w:rPr>
          <w:i/>
          <w:noProof/>
          <w:u w:val="single"/>
        </w:rPr>
        <w:t>a) Az adatminőség javítása és a felhasználói bizalom növelése:</w:t>
      </w:r>
    </w:p>
    <w:p>
      <w:pPr>
        <w:pStyle w:val="Text1"/>
        <w:rPr>
          <w:bCs/>
          <w:noProof/>
        </w:rPr>
      </w:pPr>
      <w:r>
        <w:rPr>
          <w:noProof/>
        </w:rPr>
        <w:t xml:space="preserve">A rendelet alapján az üzemeltetők és tagállamok kötelesek jó minőségű adatokat szolgáltatni az Európai PRTR részére. Habár esetenként még mindig előfordulnak adathibák, főként a jelentéstételi rendszerbe foglalt automatizált ellenőrzések finomhangolásának köszönhetően a Bizottságnak benyújtott adatok most már átfogóbbak, következetesebbek és pontosabbak. Egy nem hivatalos EEA-felülvizsgálat feltárta a fennmaradó adathibákat, és a tagállamok az adatok újbóli benyújtása révén kijavíthatják ezeket. </w:t>
      </w:r>
    </w:p>
    <w:p>
      <w:pPr>
        <w:pStyle w:val="Text1"/>
        <w:rPr>
          <w:bCs/>
          <w:noProof/>
        </w:rPr>
      </w:pPr>
      <w:r>
        <w:rPr>
          <w:noProof/>
        </w:rPr>
        <w:t>A 2013-as jelentés a tagállamokkal szembeni kötelezettségszegési eljárások alkalmazásával számolt az adatok minőségének javítása céljából, de eddig nem volt szükséges ezen eszközhöz fordulni.</w:t>
      </w:r>
    </w:p>
    <w:p>
      <w:pPr>
        <w:pStyle w:val="Text1"/>
        <w:rPr>
          <w:bCs/>
          <w:noProof/>
        </w:rPr>
      </w:pPr>
      <w:r>
        <w:rPr>
          <w:noProof/>
        </w:rPr>
        <w:t>Az Európai PRTR iránymutatásának felülvizsgálata elkezdődött.</w:t>
      </w:r>
    </w:p>
    <w:p>
      <w:pPr>
        <w:pStyle w:val="Text1"/>
        <w:rPr>
          <w:noProof/>
        </w:rPr>
      </w:pPr>
      <w:r>
        <w:rPr>
          <w:noProof/>
        </w:rPr>
        <w:t xml:space="preserve">Az adatminőség továbbra is fontos továbbfejlesztési terület marad, mivel a megbízhatóbb és jobb minőségű adatok a megnövekedett felhasználói bizalom „angyali körét” eredményezik, ami viszont az Európai PRTR adatainak fokozottabb felhasználásához vezet. </w:t>
      </w:r>
    </w:p>
    <w:p>
      <w:pPr>
        <w:pStyle w:val="Text1"/>
        <w:spacing w:before="0" w:after="240"/>
        <w:rPr>
          <w:bCs/>
          <w:noProof/>
        </w:rPr>
      </w:pPr>
      <w:r>
        <w:rPr>
          <w:noProof/>
        </w:rPr>
        <w:t xml:space="preserve">A 2013-as jelentés azt is kiemelte, hogy a Bizottságnak jobban össze kell hangolnia az Európai PRTR és az egyéb kapcsolódó környezeti politikákkal foglalkozó szakértői csoportok munkáját. A vízbe juttatott vegyületek kibocsátási tényezőinek javításával kapcsolatos elképzelés tekintetében </w:t>
      </w:r>
      <w:r>
        <w:rPr>
          <w:i/>
          <w:noProof/>
        </w:rPr>
        <w:t>az édesvízi és tengeri környezettel kapcsolatos uniós szakpolitikák területén végzett integrált becslési modellezésről</w:t>
      </w:r>
      <w:r>
        <w:rPr>
          <w:noProof/>
        </w:rPr>
        <w:t xml:space="preserve"> szóló projekten keresztül együttműködésre került sor a víz-keretirányelv kémiai szempontokkal foglalkozó munkacsoportjával.</w:t>
      </w:r>
      <w:r>
        <w:rPr>
          <w:i/>
          <w:noProof/>
        </w:rPr>
        <w:t xml:space="preserve"> </w:t>
      </w:r>
    </w:p>
    <w:p>
      <w:pPr>
        <w:pStyle w:val="Text1"/>
        <w:rPr>
          <w:i/>
          <w:noProof/>
          <w:u w:val="single"/>
        </w:rPr>
      </w:pPr>
      <w:r>
        <w:rPr>
          <w:i/>
          <w:noProof/>
          <w:u w:val="single"/>
        </w:rPr>
        <w:t>b) Az adatfelhasználás és az adatcsere javítása</w:t>
      </w:r>
    </w:p>
    <w:p>
      <w:pPr>
        <w:pStyle w:val="Text1"/>
        <w:rPr>
          <w:bCs/>
          <w:noProof/>
        </w:rPr>
      </w:pPr>
      <w:r>
        <w:rPr>
          <w:noProof/>
        </w:rPr>
        <w:t xml:space="preserve">A 2013-as jelentés szükségét látta annak, hogy az Európai PRTR honlapja felhasználóbarátabbá váljon. A kiemelt területek a következők voltak: az oldal funkcionalitásának javítása; navigációs és kereső funkciók; műszaki tájékoztatás mellékelése a feltüntetett adatokhoz; a terminológia egységesítése; és a más jelentéstételi kötelezettségekhez kapcsolódó adatbázisokra mutató hivatkozások. A folyamatban lévő folyamat részeként számos fejlesztésre került sor, ideértve a felhasználóbarátabb új honlap 2016-os elindítását. </w:t>
      </w:r>
    </w:p>
    <w:p>
      <w:pPr>
        <w:pStyle w:val="Text1"/>
        <w:rPr>
          <w:noProof/>
        </w:rPr>
      </w:pPr>
      <w:r>
        <w:rPr>
          <w:noProof/>
        </w:rPr>
        <w:t xml:space="preserve">Hasonlóképpen, a Bizottság tevékenyen támogatta az Európai PRTR-t a tudományos, műszaki és szakpolitikai elemzés, valamint a nyilvános felhasználás tekintetében. </w:t>
      </w:r>
    </w:p>
    <w:p>
      <w:pPr>
        <w:pStyle w:val="Text1"/>
        <w:rPr>
          <w:i/>
          <w:noProof/>
          <w:u w:val="single"/>
        </w:rPr>
      </w:pPr>
      <w:r>
        <w:rPr>
          <w:i/>
          <w:noProof/>
          <w:u w:val="single"/>
        </w:rPr>
        <w:t>c) Az Európai PRTR-ről szóló rendelet tisztázása, és más jogszabályokkal való kapcsolatok</w:t>
      </w:r>
    </w:p>
    <w:p>
      <w:pPr>
        <w:pStyle w:val="Text1"/>
        <w:rPr>
          <w:noProof/>
          <w:szCs w:val="20"/>
        </w:rPr>
      </w:pPr>
      <w:r>
        <w:rPr>
          <w:noProof/>
        </w:rPr>
        <w:t xml:space="preserve">Az ipari kibocsátásokkal kapcsolatos adatok kulcsfontosságú forrásaként az Európai PRTR összhangban van a Bizottság 7. környezeti cselekvési terve által támogatott jó gyakorlatokkal, azaz a közös környezeti információs rendszer „tápláld be egyszer, használd sokszor” elvével. </w:t>
      </w:r>
    </w:p>
    <w:p>
      <w:pPr>
        <w:pStyle w:val="Text1"/>
        <w:rPr>
          <w:noProof/>
        </w:rPr>
      </w:pPr>
      <w:r>
        <w:rPr>
          <w:noProof/>
        </w:rPr>
        <w:t>A következetes térinformáció beszerzésére és használatára vonatkozó egységes, INSPIRE</w:t>
      </w:r>
      <w:r>
        <w:rPr>
          <w:rStyle w:val="FootnoteReference"/>
          <w:noProof/>
        </w:rPr>
        <w:footnoteReference w:id="13"/>
      </w:r>
      <w:r>
        <w:rPr>
          <w:noProof/>
        </w:rPr>
        <w:t xml:space="preserve"> szerinti megközelítés is lehetőséget teremt az Európai PRTR-adatok vonatkozó jogszabályok – különösen az ipari kibocsátásokról szóló irányelv vagy a hulladékra vonatkozó </w:t>
      </w:r>
      <w:r>
        <w:rPr>
          <w:i/>
          <w:noProof/>
        </w:rPr>
        <w:t>uniós vívmányok</w:t>
      </w:r>
      <w:r>
        <w:rPr>
          <w:noProof/>
        </w:rPr>
        <w:t xml:space="preserve"> – szerinti kötelezettségekkel való összeegyeztetésére. </w:t>
      </w:r>
    </w:p>
    <w:p>
      <w:pPr>
        <w:pStyle w:val="Text1"/>
        <w:spacing w:before="0" w:after="240"/>
        <w:rPr>
          <w:noProof/>
        </w:rPr>
      </w:pPr>
      <w:r>
        <w:rPr>
          <w:noProof/>
        </w:rPr>
        <w:t xml:space="preserve">Kihasználták a lehetőségeket az adatáramlások közötti szinergiák továbbfejlesztésére és a racionalizálás fokozására: </w:t>
      </w:r>
    </w:p>
    <w:p>
      <w:pPr>
        <w:pStyle w:val="Text1"/>
        <w:numPr>
          <w:ilvl w:val="0"/>
          <w:numId w:val="7"/>
        </w:numPr>
        <w:spacing w:before="0" w:after="240"/>
        <w:ind w:left="1418" w:hanging="284"/>
        <w:rPr>
          <w:noProof/>
        </w:rPr>
      </w:pPr>
      <w:r>
        <w:rPr>
          <w:noProof/>
        </w:rPr>
        <w:t>az Európai PRTR információtechnológiai infrastruktúráját korszerűsítik az ipari létesítmények „nyilvántartásának” hozzáadása érdekében. Ez az INSPIRE követelményeinek megfelelően harmonizálja a közös igazgatási paraméterekre vonatkozó információkat, mint például az üzemeltető nevét, címét vagy helyét. Ez előmozdítja az adatbázisok és az Európai PRTR közötti szinergiákat. Például az ipari kibocsátásokról szóló irányelv adatbázisait összekapcsolják és részben integrálják az Európai PRTR-be;</w:t>
      </w:r>
    </w:p>
    <w:p>
      <w:pPr>
        <w:pStyle w:val="Text1"/>
        <w:numPr>
          <w:ilvl w:val="0"/>
          <w:numId w:val="7"/>
        </w:numPr>
        <w:spacing w:before="0" w:after="240"/>
        <w:ind w:left="1418" w:hanging="284"/>
        <w:rPr>
          <w:noProof/>
        </w:rPr>
      </w:pPr>
      <w:r>
        <w:rPr>
          <w:noProof/>
        </w:rPr>
        <w:t>a hulladék keretirányelv</w:t>
      </w:r>
      <w:r>
        <w:rPr>
          <w:rStyle w:val="FootnoteReference"/>
          <w:noProof/>
        </w:rPr>
        <w:footnoteReference w:id="14"/>
      </w:r>
      <w:r>
        <w:rPr>
          <w:noProof/>
        </w:rPr>
        <w:t xml:space="preserve"> tervezett felülvizsgálata tartalmaz egy rendelkezést, mely biztosítja, hogy az Európai PRTR adatait adott esetben felhasználják a nemzeti hulladékkeletkezéssel és hulladékgazdálkodással kapcsolatos információk javítása érdekében;</w:t>
      </w:r>
    </w:p>
    <w:p>
      <w:pPr>
        <w:pStyle w:val="Text1"/>
        <w:numPr>
          <w:ilvl w:val="0"/>
          <w:numId w:val="7"/>
        </w:numPr>
        <w:spacing w:before="0" w:after="240"/>
        <w:ind w:left="1418" w:hanging="284"/>
        <w:rPr>
          <w:noProof/>
        </w:rPr>
      </w:pPr>
      <w:r>
        <w:rPr>
          <w:noProof/>
        </w:rPr>
        <w:t>kezdeményezéseket indítottak az Európai PRTR szerinti jelentéstétel és az ipari kibocsátásokról, települési szennyvíz kezeléséről,</w:t>
      </w:r>
      <w:r>
        <w:rPr>
          <w:rStyle w:val="FootnoteReference"/>
          <w:noProof/>
        </w:rPr>
        <w:footnoteReference w:id="15"/>
      </w:r>
      <w:r>
        <w:rPr>
          <w:noProof/>
        </w:rPr>
        <w:t xml:space="preserve"> és a nemzeti kibocsátási küszöbértékekről</w:t>
      </w:r>
      <w:r>
        <w:rPr>
          <w:rStyle w:val="FootnoteReference"/>
          <w:noProof/>
        </w:rPr>
        <w:footnoteReference w:id="16"/>
      </w:r>
      <w:r>
        <w:rPr>
          <w:noProof/>
        </w:rPr>
        <w:t xml:space="preserve"> szóló, szorosan kapcsolódó irányelvek jobb összehangolása érdekében.</w:t>
      </w:r>
    </w:p>
    <w:p>
      <w:pPr>
        <w:pStyle w:val="Heading2"/>
        <w:numPr>
          <w:ilvl w:val="1"/>
          <w:numId w:val="19"/>
        </w:numPr>
        <w:rPr>
          <w:i/>
          <w:noProof/>
        </w:rPr>
      </w:pPr>
      <w:bookmarkStart w:id="127" w:name="_Toc498011351"/>
      <w:r>
        <w:rPr>
          <w:i/>
          <w:noProof/>
        </w:rPr>
        <w:t xml:space="preserve"> </w:t>
      </w:r>
      <w:bookmarkStart w:id="128" w:name="_Toc500330288"/>
      <w:r>
        <w:rPr>
          <w:i/>
          <w:noProof/>
        </w:rPr>
        <w:t>A legutóbbi értékelésből eredő fellépések</w:t>
      </w:r>
      <w:bookmarkEnd w:id="127"/>
      <w:bookmarkEnd w:id="128"/>
    </w:p>
    <w:p>
      <w:pPr>
        <w:pStyle w:val="Text1"/>
        <w:spacing w:before="0" w:after="0"/>
        <w:ind w:left="0"/>
        <w:rPr>
          <w:noProof/>
        </w:rPr>
      </w:pPr>
      <w:r>
        <w:rPr>
          <w:noProof/>
        </w:rPr>
        <w:t xml:space="preserve">Az Európai PRTR-ről szóló rendelet értékelését a nyilvántartás közel egy évtizedes működését követően hajtották végre. Az értékelés nem állapította meg a jelenlegi rendelet nagy fokú egyszerűsítésének vagy jelentős javításának szükségességét; különösen azért, mert az Európai PRTR működésének javítása fokozott végrehajtás útján is lehetséges maradt.  </w:t>
      </w:r>
    </w:p>
    <w:p>
      <w:pPr>
        <w:pStyle w:val="Text1"/>
        <w:spacing w:before="0" w:after="0"/>
        <w:ind w:left="0"/>
        <w:rPr>
          <w:noProof/>
        </w:rPr>
      </w:pPr>
    </w:p>
    <w:p>
      <w:pPr>
        <w:spacing w:after="0"/>
        <w:jc w:val="both"/>
        <w:rPr>
          <w:rFonts w:ascii="Times New Roman" w:eastAsia="Times New Roman" w:hAnsi="Times New Roman" w:cs="Times New Roman"/>
          <w:noProof/>
          <w:sz w:val="24"/>
          <w:szCs w:val="20"/>
        </w:rPr>
      </w:pPr>
      <w:r>
        <w:rPr>
          <w:rFonts w:ascii="Times New Roman" w:hAnsi="Times New Roman"/>
          <w:noProof/>
          <w:sz w:val="24"/>
        </w:rPr>
        <w:t>Az értékelés megerősíti, hogy az Európai PRTR végrehajtásáról szóló 2013-as jelentésből származó nyomonkövetési fellépések relevánsak és folytatódniuk kell. Az értékelés azt is felveti, hogy a következő területeken további finomhangolások lehetségesek:</w:t>
      </w:r>
    </w:p>
    <w:p>
      <w:pPr>
        <w:pStyle w:val="Text1"/>
        <w:numPr>
          <w:ilvl w:val="0"/>
          <w:numId w:val="6"/>
        </w:numPr>
        <w:rPr>
          <w:noProof/>
        </w:rPr>
      </w:pPr>
      <w:r>
        <w:rPr>
          <w:b/>
          <w:noProof/>
        </w:rPr>
        <w:t>Iránymutatás:</w:t>
      </w:r>
      <w:r>
        <w:rPr>
          <w:noProof/>
        </w:rPr>
        <w:t xml:space="preserve"> A tagállamok jó gyakorlatok mentén fognak össze. Azonban ahhoz, hogy a következetes végrehajtás terén további eredményeket lehessen elérni, aktualizálni kell a jelenlegi, 2006-ra visszanyúló uniós szintű iránymutatást, amely időpont óta számos végrehajtási kérdés merült fel. Az Európai PRTR iránymutatásának felülvizsgálatának ezért a Bizottság 2017-es munkaprogramjának részeként kezdtek neki. Ez olyan kérdéseket fog tisztázni, mint például a rendelet hatálya, tevékenységek meghatározása, kibocsátási tényezők és a bizalmasnak tekinthető jelentéstételi elemek.</w:t>
      </w:r>
    </w:p>
    <w:p>
      <w:pPr>
        <w:numPr>
          <w:ilvl w:val="0"/>
          <w:numId w:val="6"/>
        </w:numPr>
        <w:spacing w:after="120" w:line="240" w:lineRule="auto"/>
        <w:jc w:val="both"/>
        <w:rPr>
          <w:rFonts w:ascii="Times New Roman" w:hAnsi="Times New Roman" w:cs="Times New Roman"/>
          <w:noProof/>
        </w:rPr>
      </w:pPr>
      <w:r>
        <w:rPr>
          <w:rFonts w:ascii="Times New Roman" w:hAnsi="Times New Roman"/>
          <w:b/>
          <w:noProof/>
          <w:sz w:val="24"/>
        </w:rPr>
        <w:t>Kapcsolódó jelentéstétel:</w:t>
      </w:r>
      <w:r>
        <w:rPr>
          <w:noProof/>
        </w:rPr>
        <w:t xml:space="preserve"> </w:t>
      </w:r>
      <w:r>
        <w:rPr>
          <w:rFonts w:ascii="Times New Roman" w:hAnsi="Times New Roman"/>
          <w:noProof/>
          <w:sz w:val="24"/>
        </w:rPr>
        <w:t>Már a 2013-as jelentésben is az Európai PRTR-t hatékonyabbá és következetesebbé tevő eszközként tekintettek a szorosan kapcsolódó környezetvédelmi jelentéstételi kötelezettségekkel való harmonizációra. A fentiekben elmondottaknak megfelelően a jelenlegi kezdeményezések célja a jelentéstételi kötelezettségek Európai PRTR-rel való összehangolására vonatkozó lehetőségek megvizsgálása. A jövőt illetően a Bizottság törekedni fog a kapcsolódó jogszabályok végrehajtása és felülvizsgálata során a jelentéstételi terheket csökkentő és az adatbázisok közötti következetességet javító szinergiák további kihasználására.</w:t>
      </w:r>
      <w:r>
        <w:rPr>
          <w:rFonts w:ascii="Times New Roman" w:hAnsi="Times New Roman"/>
          <w:noProof/>
        </w:rPr>
        <w:t xml:space="preserve"> </w:t>
      </w:r>
    </w:p>
    <w:p>
      <w:pPr>
        <w:numPr>
          <w:ilvl w:val="0"/>
          <w:numId w:val="6"/>
        </w:numPr>
        <w:spacing w:after="120" w:line="240" w:lineRule="auto"/>
        <w:jc w:val="both"/>
        <w:rPr>
          <w:rFonts w:ascii="Times New Roman" w:eastAsia="Times New Roman" w:hAnsi="Times New Roman" w:cs="Times New Roman"/>
          <w:noProof/>
          <w:sz w:val="24"/>
          <w:szCs w:val="20"/>
        </w:rPr>
      </w:pPr>
      <w:r>
        <w:rPr>
          <w:rFonts w:ascii="Times New Roman" w:hAnsi="Times New Roman"/>
          <w:b/>
          <w:noProof/>
          <w:sz w:val="24"/>
        </w:rPr>
        <w:t>16. cikk:</w:t>
      </w:r>
      <w:r>
        <w:rPr>
          <w:noProof/>
        </w:rPr>
        <w:t xml:space="preserve"> </w:t>
      </w:r>
      <w:r>
        <w:rPr>
          <w:rFonts w:ascii="Times New Roman" w:hAnsi="Times New Roman"/>
          <w:noProof/>
          <w:sz w:val="24"/>
        </w:rPr>
        <w:t>A tagállamok három évente kötelesek beszámolni az E-PRTR-hez kapcsolódó gyakorlataikról és intézkedéseikről. Ezt követően a Bizottság az Európai Parlamentnek és Tanácsnak címzett, 17. cikk szerinti jelentés elkészítésére használja ezen információkat. A 16. cikk alapján visszaküldött adatok erősen minőségi és ismétlődő jellegűek. Továbbá a Kijevi Jegyzőkönyv aláírói a Kijevi Jegyzőkönyv értelmében már most kötelesek a végrehajtással kapcsolatos hasonló adatokat visszaküldeni az ENSZ EGB részére</w:t>
      </w:r>
      <w:r>
        <w:rPr>
          <w:rStyle w:val="FootnoteReference"/>
          <w:rFonts w:ascii="Times New Roman" w:hAnsi="Times New Roman"/>
          <w:noProof/>
        </w:rPr>
        <w:footnoteReference w:id="17"/>
      </w:r>
      <w:r>
        <w:rPr>
          <w:rFonts w:ascii="Times New Roman" w:hAnsi="Times New Roman"/>
          <w:noProof/>
          <w:sz w:val="24"/>
        </w:rPr>
        <w:t>.</w:t>
      </w:r>
      <w:r>
        <w:rPr>
          <w:rFonts w:ascii="Times New Roman" w:hAnsi="Times New Roman"/>
          <w:noProof/>
        </w:rPr>
        <w:t xml:space="preserve"> </w:t>
      </w:r>
      <w:r>
        <w:rPr>
          <w:rFonts w:ascii="Times New Roman" w:hAnsi="Times New Roman"/>
          <w:noProof/>
          <w:sz w:val="24"/>
        </w:rPr>
        <w:t xml:space="preserve">Így erőteljes érv szól amellett, hogy az Európai PRTR-ről szóló rendelet 16. és 17. cikkét feleslegesnek lehet tekinteni. Ezért a horizontális jelentés célravezetőségi vizsgálatával kapcsolatos nyomon követés részeként a Bizottság javasolja a tagállamok számára a 16. cikk szerint előírt háromévenkénti jelentéstételi kötelezettség, illetve a kapcsolódó, 17. cikk szerinti bizottsági felülvizsgálat eltörlését. Ez nem zárja ki a rendelet időszakos átfogóbb értékelését. </w:t>
      </w:r>
    </w:p>
    <w:p>
      <w:pPr>
        <w:numPr>
          <w:ilvl w:val="0"/>
          <w:numId w:val="6"/>
        </w:numPr>
        <w:spacing w:after="120" w:line="240" w:lineRule="auto"/>
        <w:jc w:val="both"/>
        <w:rPr>
          <w:rFonts w:ascii="Times New Roman" w:eastAsia="Times New Roman" w:hAnsi="Times New Roman" w:cs="Times New Roman"/>
          <w:noProof/>
          <w:sz w:val="24"/>
          <w:szCs w:val="20"/>
        </w:rPr>
      </w:pPr>
      <w:r>
        <w:rPr>
          <w:rFonts w:ascii="Times New Roman" w:hAnsi="Times New Roman"/>
          <w:b/>
          <w:noProof/>
          <w:sz w:val="24"/>
        </w:rPr>
        <w:t>Adatkörnyezet</w:t>
      </w:r>
      <w:r>
        <w:rPr>
          <w:rFonts w:ascii="Times New Roman" w:hAnsi="Times New Roman"/>
          <w:noProof/>
          <w:sz w:val="24"/>
        </w:rPr>
        <w:t>: A meglévő Európai PRTR kontextusba jobban illeszkedő információkkal való kiegészítése révén a nyilvántartás mint átfogó környezeti információforrás eredményessége nagymértékben javulna. További kontextust lehetne biztosítani olyan intézkedések révén, mint például a tevékenységi leírások granularitásának növelése, ideértve a tevékenységekkel kapcsolatos mennyiségi adatokat is, és a megállapított kibocsátások egészségre és környezetre gyakorolt lehetséges hatásainak világosabb magyarázata, valamint a levegő- és vízminőségre vonatkozó további információkhoz való hozzáférés megfelelőbb jelzése.</w:t>
      </w:r>
    </w:p>
    <w:p>
      <w:pPr>
        <w:spacing w:after="120" w:line="240" w:lineRule="auto"/>
        <w:ind w:left="720"/>
        <w:jc w:val="both"/>
        <w:rPr>
          <w:rFonts w:ascii="Times New Roman" w:eastAsia="Times New Roman" w:hAnsi="Times New Roman" w:cs="Times New Roman"/>
          <w:noProof/>
          <w:sz w:val="24"/>
          <w:szCs w:val="20"/>
        </w:rPr>
      </w:pPr>
      <w:r>
        <w:rPr>
          <w:rFonts w:ascii="Times New Roman" w:hAnsi="Times New Roman"/>
          <w:noProof/>
          <w:sz w:val="24"/>
        </w:rPr>
        <w:t xml:space="preserve"> </w:t>
      </w:r>
    </w:p>
    <w:p>
      <w:pPr>
        <w:pStyle w:val="Heading1"/>
        <w:numPr>
          <w:ilvl w:val="0"/>
          <w:numId w:val="0"/>
        </w:numPr>
        <w:rPr>
          <w:noProof/>
        </w:rPr>
      </w:pPr>
      <w:bookmarkStart w:id="129" w:name="DQCNUMB_10"/>
      <w:bookmarkStart w:id="130" w:name="_Toc346793361"/>
      <w:bookmarkStart w:id="131" w:name="_Toc498011352"/>
      <w:bookmarkStart w:id="132" w:name="_Toc500330289"/>
      <w:bookmarkEnd w:id="129"/>
      <w:r>
        <w:rPr>
          <w:noProof/>
        </w:rPr>
        <w:t>5. Következtetés</w:t>
      </w:r>
      <w:bookmarkEnd w:id="130"/>
      <w:r>
        <w:rPr>
          <w:noProof/>
        </w:rPr>
        <w:t>ek</w:t>
      </w:r>
      <w:bookmarkEnd w:id="131"/>
      <w:bookmarkEnd w:id="132"/>
    </w:p>
    <w:p>
      <w:pPr>
        <w:pStyle w:val="Text1"/>
        <w:ind w:left="0"/>
        <w:rPr>
          <w:noProof/>
        </w:rPr>
      </w:pPr>
      <w:r>
        <w:rPr>
          <w:noProof/>
        </w:rPr>
        <w:t xml:space="preserve">Az Európai PRTR az európai ipari tevékenységekből származó kibocsátásra vonatkozó tudásbázis fontos és központi alkotóeleme.  </w:t>
      </w:r>
    </w:p>
    <w:p>
      <w:pPr>
        <w:pStyle w:val="Text1"/>
        <w:ind w:left="0"/>
        <w:rPr>
          <w:noProof/>
        </w:rPr>
      </w:pPr>
      <w:r>
        <w:rPr>
          <w:noProof/>
        </w:rPr>
        <w:t xml:space="preserve">Az Európai PRTR honlapján könnyen hozzáférhető, jó minőségű adatok olyan információkat biztosítanak a nyilvánosság számára, amelyek nagy mértékben fokozzák azon képességüket, hogy bekapcsolódjanak a környezettel kapcsolatos szélesebb körű döntéshozatalba. Továbbá számos más felhasználó számára – ideértve a szakpolitikai elemzőket és fejlesztőket – az Európai PRTR marad a jelentős ipari tevékenységekre vonatkozó kulcsfontosságú környezeti adatok elsődleges hivatkozási alapja. </w:t>
      </w:r>
    </w:p>
    <w:p>
      <w:pPr>
        <w:pStyle w:val="Text1"/>
        <w:ind w:left="0"/>
        <w:rPr>
          <w:noProof/>
        </w:rPr>
      </w:pPr>
      <w:r>
        <w:rPr>
          <w:noProof/>
        </w:rPr>
        <w:t xml:space="preserve">A Bizottság úgy véli, hogy az Európai PRTR-ről szóló rendelet végrehajtása jó, és az Európai Parlamentnek és Tanácsnak címzett 2013-as jelentésben azonosított számos kérdésre megoldást találtak. </w:t>
      </w:r>
    </w:p>
    <w:p>
      <w:pPr>
        <w:pStyle w:val="Text1"/>
        <w:ind w:left="0"/>
        <w:rPr>
          <w:noProof/>
        </w:rPr>
      </w:pPr>
      <w:r>
        <w:rPr>
          <w:noProof/>
        </w:rPr>
        <w:t>Szükségszerűen maradnak további lehetőségek is az Európai PRTR további javítására, és e jelentés számos olyan irányvonalat azonosít, amelyet a Bizottság követni fog; nevezetesen:</w:t>
      </w:r>
    </w:p>
    <w:p>
      <w:pPr>
        <w:pStyle w:val="Text1"/>
        <w:numPr>
          <w:ilvl w:val="0"/>
          <w:numId w:val="5"/>
        </w:numPr>
        <w:rPr>
          <w:noProof/>
        </w:rPr>
      </w:pPr>
      <w:r>
        <w:rPr>
          <w:noProof/>
        </w:rPr>
        <w:t xml:space="preserve">a meglévő iránymutatás felülvizsgálata a tagállamok következetes végrehajtásban való támogatása érdekében; </w:t>
      </w:r>
    </w:p>
    <w:p>
      <w:pPr>
        <w:pStyle w:val="Text1"/>
        <w:numPr>
          <w:ilvl w:val="0"/>
          <w:numId w:val="5"/>
        </w:numPr>
        <w:rPr>
          <w:noProof/>
        </w:rPr>
      </w:pPr>
      <w:r>
        <w:rPr>
          <w:noProof/>
        </w:rPr>
        <w:t>a jelentéstételi kötelezettségek megfelelőbb racionalizálása a kapcsolódó környezetvédelmi jogszabályokkal való szinergiák további kihasználása révén;</w:t>
      </w:r>
    </w:p>
    <w:p>
      <w:pPr>
        <w:pStyle w:val="Text1"/>
        <w:numPr>
          <w:ilvl w:val="0"/>
          <w:numId w:val="5"/>
        </w:numPr>
        <w:rPr>
          <w:noProof/>
        </w:rPr>
      </w:pPr>
      <w:r>
        <w:rPr>
          <w:noProof/>
        </w:rPr>
        <w:t>a tagállamokra nehezedő igazgatási terhek csökkentése; valamint</w:t>
      </w:r>
    </w:p>
    <w:p>
      <w:pPr>
        <w:pStyle w:val="Text1"/>
        <w:numPr>
          <w:ilvl w:val="0"/>
          <w:numId w:val="5"/>
        </w:numPr>
        <w:rPr>
          <w:noProof/>
        </w:rPr>
      </w:pPr>
      <w:r>
        <w:rPr>
          <w:noProof/>
        </w:rPr>
        <w:t>a kontextusba illő további információk hozzáadásával kapcsolatos lehetőségek megvizsgálása az Európai PRTR adatainak hatékonyabbá tételé érdekében.</w:t>
      </w:r>
    </w:p>
    <w:p>
      <w:pPr>
        <w:pStyle w:val="Text1"/>
        <w:ind w:left="0"/>
        <w:rPr>
          <w:noProof/>
        </w:rPr>
      </w:pPr>
    </w:p>
    <w:p>
      <w:pPr>
        <w:tabs>
          <w:tab w:val="left" w:pos="2690"/>
        </w:tabs>
        <w:rPr>
          <w:noProof/>
        </w:rPr>
      </w:pPr>
    </w:p>
    <w:p>
      <w:pPr>
        <w:tabs>
          <w:tab w:val="left" w:pos="2690"/>
        </w:tabs>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HU</w:t>
    </w:r>
    <w:r>
      <w:rPr>
        <w:rFonts w:ascii="Arial" w:hAnsi="Arial" w:cs="Arial"/>
        <w:b/>
        <w:sz w:val="48"/>
      </w:rPr>
      <w:tab/>
    </w:r>
    <w:r>
      <w:rPr>
        <w:rFonts w:ascii="Arial" w:hAnsi="Arial" w:cs="Arial"/>
        <w:b/>
        <w:sz w:val="48"/>
      </w:rPr>
      <w:tab/>
    </w:r>
    <w:r>
      <w:tab/>
    </w:r>
    <w:r>
      <w:rPr>
        <w:rFonts w:ascii="Arial" w:hAnsi="Arial" w:cs="Arial"/>
        <w:b/>
        <w:sz w:val="48"/>
      </w:rPr>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309575"/>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doc-ti"/>
        <w:spacing w:before="0" w:beforeAutospacing="0" w:after="0" w:afterAutospacing="0"/>
        <w:jc w:val="both"/>
        <w:rPr>
          <w:lang w:val="en-GB"/>
        </w:rPr>
      </w:pPr>
      <w:r>
        <w:rPr>
          <w:rStyle w:val="FootnoteReference"/>
        </w:rPr>
        <w:footnoteRef/>
      </w:r>
      <w:r>
        <w:t xml:space="preserve"> </w:t>
      </w:r>
      <w:r>
        <w:rPr>
          <w:sz w:val="20"/>
        </w:rPr>
        <w:t xml:space="preserve">Az Európai Parlament és a Tanács 166/2006/EK rendelete (2006. január 18.) az Európai Szennyezőanyag-kibocsátási és -szállítási Nyilvántartás létrehozásáról, valamint a 91/689/EGK és a 96/61/EK tanácsi irányelv módosításáról </w:t>
      </w:r>
      <w:hyperlink r:id="rId1">
        <w:r>
          <w:rPr>
            <w:rStyle w:val="Hyperlink"/>
            <w:sz w:val="20"/>
          </w:rPr>
          <w:t>http://eur-lex.europa.eu/legal-content/EN/TXT/HTML/?uri=CELEX:32006R0166&amp;from=EN</w:t>
        </w:r>
      </w:hyperlink>
    </w:p>
  </w:footnote>
  <w:footnote w:id="2">
    <w:p>
      <w:pPr>
        <w:pStyle w:val="FootnoteText"/>
        <w:ind w:left="0" w:firstLine="0"/>
      </w:pPr>
      <w:r>
        <w:rPr>
          <w:rStyle w:val="FootnoteReference"/>
        </w:rPr>
        <w:footnoteRef/>
      </w:r>
      <w:r>
        <w:t xml:space="preserve"> A környezeti ügyekben az információhoz való hozzáférésről, a nyilvánosságnak a döntéshozatalban történő részvételéről és az igazságszolgáltatáshoz való jog biztosításáról szóló ENSZ EGB (az Egyesült Nemzetek Európai Gazdasági Bizottsága) Egyezményhez kapcsolódó Kijevi Jegyzőkönyv a szennyezőanyag-kibocsátási és -szállítási nyilvántartásokról </w:t>
      </w:r>
      <w:hyperlink r:id="rId2">
        <w:r>
          <w:rPr>
            <w:rStyle w:val="Hyperlink"/>
          </w:rPr>
          <w:t>https://www.unece.org/env/pp/prtr/docs/prtrtext.html</w:t>
        </w:r>
      </w:hyperlink>
    </w:p>
  </w:footnote>
  <w:footnote w:id="3">
    <w:p>
      <w:pPr>
        <w:pStyle w:val="FootnoteText"/>
        <w:ind w:left="0" w:firstLine="0"/>
      </w:pPr>
      <w:r>
        <w:rPr>
          <w:rStyle w:val="FootnoteReference"/>
        </w:rPr>
        <w:footnoteRef/>
      </w:r>
      <w:r>
        <w:t xml:space="preserve"> COM(2013) 111 final, A Bizottság jelentése az Európai Parlamentnek és a Tanácsnak az Európai Szennyezőanyag-kibocsátási és -szállítási Nyilvántartás (Európai PRTR) létrehozásáról szóló 166/2006/EK rendelet végrehajtásának előrehaladásáról </w:t>
      </w:r>
      <w:hyperlink r:id="rId3">
        <w:r>
          <w:rPr>
            <w:rStyle w:val="Hyperlink"/>
          </w:rPr>
          <w:t>http://eur-lex.europa.eu/procedure/EN/202443</w:t>
        </w:r>
      </w:hyperlink>
    </w:p>
  </w:footnote>
  <w:footnote w:id="4">
    <w:p>
      <w:pPr>
        <w:pStyle w:val="FootnoteText"/>
        <w:ind w:left="0" w:firstLine="0"/>
      </w:pPr>
      <w:r>
        <w:rPr>
          <w:rStyle w:val="FootnoteReference"/>
        </w:rPr>
        <w:footnoteRef/>
      </w:r>
      <w:r>
        <w:t xml:space="preserve"> COM(2012) 746 final, Az uniós szabályozás célravezetőségéről szóló bizottsági közlemény, </w:t>
      </w:r>
      <w:hyperlink r:id="rId4">
        <w:r>
          <w:rPr>
            <w:rStyle w:val="Hyperlink"/>
          </w:rPr>
          <w:t>http://ec.europa.eu/smart-regulation/better_regulation/documents/com_2013_en.pdf</w:t>
        </w:r>
      </w:hyperlink>
    </w:p>
  </w:footnote>
  <w:footnote w:id="5">
    <w:p>
      <w:pPr>
        <w:pStyle w:val="FootnoteText"/>
      </w:pPr>
      <w:r>
        <w:rPr>
          <w:rStyle w:val="FootnoteReference"/>
        </w:rPr>
        <w:footnoteRef/>
      </w:r>
      <w:r>
        <w:t xml:space="preserve"> </w:t>
      </w:r>
      <w:hyperlink r:id="rId5">
        <w:r>
          <w:rPr>
            <w:rStyle w:val="Hyperlink"/>
          </w:rPr>
          <w:t>https://webgate.ec.europa.eu/fpfis/wikis/display/ENVReporting/1%29+Streamlining+Reporting</w:t>
        </w:r>
      </w:hyperlink>
      <w:r>
        <w:t xml:space="preserve"> </w:t>
      </w:r>
    </w:p>
  </w:footnote>
  <w:footnote w:id="6">
    <w:p>
      <w:pPr>
        <w:pStyle w:val="FootnoteText"/>
      </w:pPr>
      <w:r>
        <w:rPr>
          <w:rStyle w:val="FootnoteReference"/>
        </w:rPr>
        <w:footnoteRef/>
      </w:r>
      <w:r>
        <w:t xml:space="preserve"> </w:t>
      </w:r>
      <w:hyperlink r:id="rId6">
        <w:r>
          <w:rPr>
            <w:rStyle w:val="Hyperlink"/>
          </w:rPr>
          <w:t>http://rod.eionet.europa.eu/obligations/540/overview</w:t>
        </w:r>
      </w:hyperlink>
      <w:r>
        <w:t xml:space="preserve"> </w:t>
      </w:r>
    </w:p>
  </w:footnote>
  <w:footnote w:id="7">
    <w:p>
      <w:pPr>
        <w:pStyle w:val="FootnoteText"/>
        <w:ind w:left="0" w:firstLine="0"/>
      </w:pPr>
      <w:r>
        <w:rPr>
          <w:rStyle w:val="FootnoteReference"/>
        </w:rPr>
        <w:footnoteRef/>
      </w:r>
      <w:r>
        <w:rPr>
          <w:color w:val="000000"/>
        </w:rPr>
        <w:t xml:space="preserve"> 3.2. szakasz és D. függelék</w:t>
      </w:r>
      <w:r>
        <w:t xml:space="preserve"> </w:t>
      </w:r>
      <w:hyperlink r:id="rId7">
        <w:r>
          <w:rPr>
            <w:color w:val="0000FF"/>
            <w:u w:val="single"/>
          </w:rPr>
          <w:t>https://circabc.europa.eu/sd/a/fd585562-0c60-48f0-ad62-9d1ff7151059/E-PRTR%20evaluation_Final%20report%20.pdf</w:t>
        </w:r>
      </w:hyperlink>
      <w:r>
        <w:rPr>
          <w:color w:val="0000FF"/>
          <w:u w:val="single"/>
        </w:rPr>
        <w:t xml:space="preserve"> </w:t>
      </w:r>
    </w:p>
  </w:footnote>
  <w:footnote w:id="8">
    <w:p>
      <w:pPr>
        <w:pStyle w:val="FootnoteText"/>
      </w:pPr>
      <w:r>
        <w:rPr>
          <w:rStyle w:val="FootnoteReference"/>
        </w:rPr>
        <w:footnoteRef/>
      </w:r>
      <w:r>
        <w:t xml:space="preserve"> </w:t>
      </w:r>
      <w:hyperlink r:id="rId8">
        <w:r>
          <w:rPr>
            <w:rStyle w:val="Hyperlink"/>
          </w:rPr>
          <w:t>http://prtr.ec.europa.eu/</w:t>
        </w:r>
      </w:hyperlink>
    </w:p>
  </w:footnote>
  <w:footnote w:id="9">
    <w:p>
      <w:pPr>
        <w:pStyle w:val="FootnoteText"/>
        <w:ind w:left="0" w:firstLine="0"/>
      </w:pPr>
      <w:r>
        <w:rPr>
          <w:rStyle w:val="FootnoteReference"/>
        </w:rPr>
        <w:footnoteRef/>
      </w:r>
      <w:r>
        <w:rPr>
          <w:color w:val="000000"/>
        </w:rPr>
        <w:t xml:space="preserve"> Energia; fémek előállítása és feldolgozása; ásványipar; vegyipar; víz- és szennyvízkezelés; papír és faanyag előállítása és feldolgozása; nagy létszámú állattartás és akvakultúra; </w:t>
      </w:r>
      <w:r>
        <w:t xml:space="preserve">az élelmiszer- és italiparból származó állati és növényi eredetű termékek; </w:t>
      </w:r>
      <w:r>
        <w:rPr>
          <w:color w:val="000000"/>
        </w:rPr>
        <w:t>egyéb.</w:t>
      </w:r>
    </w:p>
  </w:footnote>
  <w:footnote w:id="10">
    <w:p>
      <w:pPr>
        <w:pStyle w:val="FootnoteText"/>
        <w:ind w:left="0" w:firstLine="0"/>
      </w:pPr>
      <w:r>
        <w:rPr>
          <w:rStyle w:val="FootnoteReference"/>
        </w:rPr>
        <w:footnoteRef/>
      </w:r>
      <w:r>
        <w:rPr>
          <w:color w:val="000000"/>
        </w:rPr>
        <w:t xml:space="preserve"> </w:t>
      </w:r>
      <w:r>
        <w:t>Az Európai Parlament és a Tanács 2010/75/EU irányelve (2010. november 24.) az ipari kibocsátásokról</w:t>
      </w:r>
      <w:r>
        <w:rPr>
          <w:color w:val="000000"/>
        </w:rPr>
        <w:t xml:space="preserve"> </w:t>
      </w:r>
      <w:hyperlink r:id="rId9">
        <w:r>
          <w:rPr>
            <w:rStyle w:val="Hyperlink"/>
          </w:rPr>
          <w:t>http://eur-lex.europa.eu/legal-content/EN/TXT/?qid=1489681035236&amp;uri=CELEX:32010L0075</w:t>
        </w:r>
      </w:hyperlink>
    </w:p>
  </w:footnote>
  <w:footnote w:id="11">
    <w:p>
      <w:pPr>
        <w:pStyle w:val="FootnoteText"/>
        <w:rPr>
          <w:color w:val="000000"/>
        </w:rPr>
      </w:pPr>
      <w:r>
        <w:rPr>
          <w:rStyle w:val="FootnoteReference"/>
        </w:rPr>
        <w:footnoteRef/>
      </w:r>
      <w:r>
        <w:t xml:space="preserve"> </w:t>
      </w:r>
      <w:r>
        <w:rPr>
          <w:color w:val="000000"/>
        </w:rPr>
        <w:t>SWD(2017)710.</w:t>
      </w:r>
    </w:p>
  </w:footnote>
  <w:footnote w:id="12">
    <w:p>
      <w:pPr>
        <w:pStyle w:val="FootnoteText"/>
      </w:pPr>
      <w:r>
        <w:rPr>
          <w:rStyle w:val="FootnoteReference"/>
        </w:rPr>
        <w:footnoteRef/>
      </w:r>
      <w:r>
        <w:t xml:space="preserve"> </w:t>
      </w:r>
      <w:hyperlink r:id="rId10">
        <w:r>
          <w:rPr>
            <w:rStyle w:val="Hyperlink"/>
          </w:rPr>
          <w:t>http://www.eea.europa.eu/themes/industry/industrial-pollution</w:t>
        </w:r>
      </w:hyperlink>
      <w:r>
        <w:t xml:space="preserve"> </w:t>
      </w:r>
    </w:p>
  </w:footnote>
  <w:footnote w:id="13">
    <w:p>
      <w:pPr>
        <w:pStyle w:val="FootnoteText"/>
        <w:ind w:left="0" w:firstLine="0"/>
      </w:pPr>
      <w:r>
        <w:rPr>
          <w:rStyle w:val="FootnoteReference"/>
        </w:rPr>
        <w:footnoteRef/>
      </w:r>
      <w:r>
        <w:t xml:space="preserve"> 2007/2/EK irányelv az Európai Közösségen belüli térinformációs infrastruktúra (INSPIRE) kialakításáról </w:t>
      </w:r>
      <w:hyperlink r:id="rId11">
        <w:r>
          <w:rPr>
            <w:color w:val="0000FF" w:themeColor="hyperlink"/>
            <w:u w:val="single"/>
          </w:rPr>
          <w:t>http://eur-lex.europa.eu/LexUriServ/LexUriServ.do?uri=OJ:L:2007:108:0001:0014:en:PDF</w:t>
        </w:r>
      </w:hyperlink>
    </w:p>
  </w:footnote>
  <w:footnote w:id="14">
    <w:p>
      <w:pPr>
        <w:pStyle w:val="FootnoteText"/>
      </w:pPr>
      <w:r>
        <w:rPr>
          <w:rStyle w:val="FootnoteReference"/>
        </w:rPr>
        <w:footnoteRef/>
      </w:r>
      <w:r>
        <w:t xml:space="preserve"> </w:t>
      </w:r>
      <w:hyperlink r:id="rId12">
        <w:r>
          <w:rPr>
            <w:rStyle w:val="Hyperlink"/>
          </w:rPr>
          <w:t>http://eur-lex.europa.eu/legal-content/EN/TXT/?uri=CELEX:52015PC0595</w:t>
        </w:r>
      </w:hyperlink>
      <w:r>
        <w:t xml:space="preserve"> </w:t>
      </w:r>
    </w:p>
  </w:footnote>
  <w:footnote w:id="15">
    <w:p>
      <w:pPr>
        <w:pStyle w:val="FootnoteText"/>
        <w:ind w:left="0" w:firstLine="0"/>
      </w:pPr>
      <w:r>
        <w:rPr>
          <w:rStyle w:val="FootnoteReference"/>
        </w:rPr>
        <w:footnoteRef/>
      </w:r>
      <w:r>
        <w:t xml:space="preserve"> </w:t>
      </w:r>
      <w:r>
        <w:rPr>
          <w:rFonts w:ascii="TimesNewRomanBold" w:hAnsi="TimesNewRomanBold"/>
        </w:rPr>
        <w:t xml:space="preserve">91/271/EGK irányelv </w:t>
      </w:r>
      <w:r>
        <w:rPr>
          <w:rFonts w:ascii="TimesNewRomanBold" w:hAnsi="TimesNewRomanBold" w:cs="TimesNewRomanBold"/>
        </w:rPr>
        <w:fldChar w:fldCharType="begin"/>
      </w:r>
      <w:r>
        <w:rPr>
          <w:rFonts w:ascii="TimesNewRomanBold" w:hAnsi="TimesNewRomanBold" w:cs="TimesNewRomanBold"/>
        </w:rPr>
        <w:instrText xml:space="preserve">http://eur-lex.europa.eu/legal-content/EN/ALL/?uri=CELEX%3A31991L0271 </w:instrText>
      </w:r>
      <w:r>
        <w:rPr>
          <w:rFonts w:ascii="TimesNewRomanBold" w:hAnsi="TimesNewRomanBold" w:cs="TimesNewRomanBold"/>
        </w:rPr>
        <w:fldChar w:fldCharType="separate"/>
      </w:r>
      <w:r>
        <w:rPr>
          <w:rFonts w:ascii="TimesNewRomanBold" w:hAnsi="TimesNewRomanBold" w:cs="TimesNewRomanBold"/>
        </w:rPr>
        <w:t>http://eur-lex.europa.eu/legal-content/EN/ALL/?uri=CELEX%3A31991L0271</w:t>
      </w:r>
      <w:r>
        <w:rPr>
          <w:rFonts w:ascii="TimesNewRomanBold" w:hAnsi="TimesNewRomanBold" w:cs="TimesNewRomanBold"/>
        </w:rPr>
        <w:fldChar w:fldCharType="end"/>
      </w:r>
      <w:r>
        <w:rPr>
          <w:rFonts w:ascii="TimesNewRomanBold" w:hAnsi="TimesNewRomanBold"/>
        </w:rPr>
        <w:t xml:space="preserve">a települési szennyvíz kezeléséről </w:t>
      </w:r>
      <w:hyperlink r:id="rId13">
        <w:r>
          <w:rPr>
            <w:rFonts w:ascii="TimesNewRomanBold" w:hAnsi="TimesNewRomanBold"/>
            <w:color w:val="0000FF"/>
            <w:u w:val="single"/>
          </w:rPr>
          <w:t>http://eur-lex.europa.eu/legal-content/EN/TXT/?uri=celex%3A31991L0271</w:t>
        </w:r>
      </w:hyperlink>
    </w:p>
  </w:footnote>
  <w:footnote w:id="16">
    <w:p>
      <w:pPr>
        <w:pStyle w:val="FootnoteText"/>
        <w:ind w:left="0" w:firstLine="0"/>
      </w:pPr>
      <w:r>
        <w:rPr>
          <w:rStyle w:val="FootnoteReference"/>
        </w:rPr>
        <w:footnoteRef/>
      </w:r>
      <w:r>
        <w:t xml:space="preserve"> (EU) 2016/2284 irányelv az egyes légköri szennyező anyagok nemzeti kibocsátásainak csökkentéséről </w:t>
      </w:r>
      <w:hyperlink r:id="rId14">
        <w:r>
          <w:rPr>
            <w:color w:val="0000FF"/>
            <w:u w:val="single"/>
          </w:rPr>
          <w:t>http://eur-lex.europa.eu/legal-content/EN/TXT/?qid=1490193496651&amp;uri=CELEX:32016L2284</w:t>
        </w:r>
      </w:hyperlink>
    </w:p>
  </w:footnote>
  <w:footnote w:id="17">
    <w:p>
      <w:pPr>
        <w:pStyle w:val="FootnoteText"/>
      </w:pPr>
      <w:r>
        <w:rPr>
          <w:rStyle w:val="FootnoteReference"/>
        </w:rPr>
        <w:footnoteRef/>
      </w:r>
      <w:r>
        <w:t xml:space="preserve"> Lásd a 17. cikk (2) bekezdését.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20785"/>
    <w:multiLevelType w:val="hybridMultilevel"/>
    <w:tmpl w:val="3E2A2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98E2A86"/>
    <w:multiLevelType w:val="multilevel"/>
    <w:tmpl w:val="68F62CE0"/>
    <w:lvl w:ilvl="0">
      <w:start w:val="1"/>
      <w:numFmt w:val="decimal"/>
      <w:lvlText w:val="%1."/>
      <w:lvlJc w:val="left"/>
      <w:pPr>
        <w:ind w:left="360" w:hanging="360"/>
      </w:pPr>
      <w:rPr>
        <w:rFonts w:hint="default"/>
      </w:rPr>
    </w:lvl>
    <w:lvl w:ilvl="1">
      <w:start w:val="1"/>
      <w:numFmt w:val="none"/>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3D50557"/>
    <w:multiLevelType w:val="multilevel"/>
    <w:tmpl w:val="6C6CF4B4"/>
    <w:lvl w:ilvl="0">
      <w:start w:val="1"/>
      <w:numFmt w:val="decimal"/>
      <w:lvlText w:val="%1."/>
      <w:lvlJc w:val="left"/>
      <w:pPr>
        <w:ind w:left="360" w:hanging="360"/>
      </w:pPr>
      <w:rPr>
        <w:rFonts w:hint="default"/>
      </w:rPr>
    </w:lvl>
    <w:lvl w:ilvl="1">
      <w:start w:val="1"/>
      <w:numFmt w:val="none"/>
      <w:lvlText w:val="4.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7EE34BB"/>
    <w:multiLevelType w:val="multilevel"/>
    <w:tmpl w:val="15FEF546"/>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nsid w:val="19493E44"/>
    <w:multiLevelType w:val="hybridMultilevel"/>
    <w:tmpl w:val="08B0C1BA"/>
    <w:lvl w:ilvl="0" w:tplc="A2C27FC4">
      <w:start w:val="1"/>
      <w:numFmt w:val="decimal"/>
      <w:lvlText w:val="3.%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E392D7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4B451E5"/>
    <w:multiLevelType w:val="hybridMultilevel"/>
    <w:tmpl w:val="59F0D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nsid w:val="3E0C06AA"/>
    <w:multiLevelType w:val="hybridMultilevel"/>
    <w:tmpl w:val="B91C0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EEF17E2"/>
    <w:multiLevelType w:val="hybridMultilevel"/>
    <w:tmpl w:val="72B4F5C6"/>
    <w:lvl w:ilvl="0" w:tplc="52FCE162">
      <w:start w:val="1"/>
      <w:numFmt w:val="lowerLetter"/>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nsid w:val="4CA87F0E"/>
    <w:multiLevelType w:val="hybridMultilevel"/>
    <w:tmpl w:val="0894524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nsid w:val="57BD3DCA"/>
    <w:multiLevelType w:val="hybridMultilevel"/>
    <w:tmpl w:val="3258B7C2"/>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nsid w:val="590301B1"/>
    <w:multiLevelType w:val="hybridMultilevel"/>
    <w:tmpl w:val="2E10A7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E134BD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373084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4A12FA4"/>
    <w:multiLevelType w:val="multilevel"/>
    <w:tmpl w:val="22DC9918"/>
    <w:lvl w:ilvl="0">
      <w:start w:val="1"/>
      <w:numFmt w:val="decimal"/>
      <w:lvlText w:val="%1."/>
      <w:lvlJc w:val="left"/>
      <w:pPr>
        <w:ind w:left="360" w:hanging="360"/>
      </w:pPr>
      <w:rPr>
        <w:rFonts w:hint="default"/>
      </w:rPr>
    </w:lvl>
    <w:lvl w:ilvl="1">
      <w:start w:val="1"/>
      <w:numFmt w:val="none"/>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66C30172"/>
    <w:multiLevelType w:val="hybridMultilevel"/>
    <w:tmpl w:val="36B40D88"/>
    <w:lvl w:ilvl="0" w:tplc="C1184334">
      <w:numFmt w:val="bullet"/>
      <w:lvlText w:val="-"/>
      <w:lvlJc w:val="left"/>
      <w:pPr>
        <w:ind w:left="1930" w:hanging="360"/>
      </w:pPr>
      <w:rPr>
        <w:rFonts w:ascii="Times New Roman" w:eastAsia="Times New Roman" w:hAnsi="Times New Roman" w:cs="Times New Roman" w:hint="default"/>
      </w:rPr>
    </w:lvl>
    <w:lvl w:ilvl="1" w:tplc="08090003" w:tentative="1">
      <w:start w:val="1"/>
      <w:numFmt w:val="bullet"/>
      <w:lvlText w:val="o"/>
      <w:lvlJc w:val="left"/>
      <w:pPr>
        <w:ind w:left="2650" w:hanging="360"/>
      </w:pPr>
      <w:rPr>
        <w:rFonts w:ascii="Courier New" w:hAnsi="Courier New" w:cs="Courier New" w:hint="default"/>
      </w:rPr>
    </w:lvl>
    <w:lvl w:ilvl="2" w:tplc="08090005" w:tentative="1">
      <w:start w:val="1"/>
      <w:numFmt w:val="bullet"/>
      <w:lvlText w:val=""/>
      <w:lvlJc w:val="left"/>
      <w:pPr>
        <w:ind w:left="3370" w:hanging="360"/>
      </w:pPr>
      <w:rPr>
        <w:rFonts w:ascii="Wingdings" w:hAnsi="Wingdings" w:hint="default"/>
      </w:rPr>
    </w:lvl>
    <w:lvl w:ilvl="3" w:tplc="08090001" w:tentative="1">
      <w:start w:val="1"/>
      <w:numFmt w:val="bullet"/>
      <w:lvlText w:val=""/>
      <w:lvlJc w:val="left"/>
      <w:pPr>
        <w:ind w:left="4090" w:hanging="360"/>
      </w:pPr>
      <w:rPr>
        <w:rFonts w:ascii="Symbol" w:hAnsi="Symbol" w:hint="default"/>
      </w:rPr>
    </w:lvl>
    <w:lvl w:ilvl="4" w:tplc="08090003" w:tentative="1">
      <w:start w:val="1"/>
      <w:numFmt w:val="bullet"/>
      <w:lvlText w:val="o"/>
      <w:lvlJc w:val="left"/>
      <w:pPr>
        <w:ind w:left="4810" w:hanging="360"/>
      </w:pPr>
      <w:rPr>
        <w:rFonts w:ascii="Courier New" w:hAnsi="Courier New" w:cs="Courier New" w:hint="default"/>
      </w:rPr>
    </w:lvl>
    <w:lvl w:ilvl="5" w:tplc="08090005" w:tentative="1">
      <w:start w:val="1"/>
      <w:numFmt w:val="bullet"/>
      <w:lvlText w:val=""/>
      <w:lvlJc w:val="left"/>
      <w:pPr>
        <w:ind w:left="5530" w:hanging="360"/>
      </w:pPr>
      <w:rPr>
        <w:rFonts w:ascii="Wingdings" w:hAnsi="Wingdings" w:hint="default"/>
      </w:rPr>
    </w:lvl>
    <w:lvl w:ilvl="6" w:tplc="08090001" w:tentative="1">
      <w:start w:val="1"/>
      <w:numFmt w:val="bullet"/>
      <w:lvlText w:val=""/>
      <w:lvlJc w:val="left"/>
      <w:pPr>
        <w:ind w:left="6250" w:hanging="360"/>
      </w:pPr>
      <w:rPr>
        <w:rFonts w:ascii="Symbol" w:hAnsi="Symbol" w:hint="default"/>
      </w:rPr>
    </w:lvl>
    <w:lvl w:ilvl="7" w:tplc="08090003" w:tentative="1">
      <w:start w:val="1"/>
      <w:numFmt w:val="bullet"/>
      <w:lvlText w:val="o"/>
      <w:lvlJc w:val="left"/>
      <w:pPr>
        <w:ind w:left="6970" w:hanging="360"/>
      </w:pPr>
      <w:rPr>
        <w:rFonts w:ascii="Courier New" w:hAnsi="Courier New" w:cs="Courier New" w:hint="default"/>
      </w:rPr>
    </w:lvl>
    <w:lvl w:ilvl="8" w:tplc="08090005" w:tentative="1">
      <w:start w:val="1"/>
      <w:numFmt w:val="bullet"/>
      <w:lvlText w:val=""/>
      <w:lvlJc w:val="left"/>
      <w:pPr>
        <w:ind w:left="7690" w:hanging="360"/>
      </w:pPr>
      <w:rPr>
        <w:rFonts w:ascii="Wingdings" w:hAnsi="Wingdings" w:hint="default"/>
      </w:rPr>
    </w:lvl>
  </w:abstractNum>
  <w:abstractNum w:abstractNumId="17">
    <w:nsid w:val="6E2023A4"/>
    <w:multiLevelType w:val="hybridMultilevel"/>
    <w:tmpl w:val="1BC48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0"/>
  </w:num>
  <w:num w:numId="3">
    <w:abstractNumId w:val="11"/>
  </w:num>
  <w:num w:numId="4">
    <w:abstractNumId w:val="6"/>
  </w:num>
  <w:num w:numId="5">
    <w:abstractNumId w:val="8"/>
  </w:num>
  <w:num w:numId="6">
    <w:abstractNumId w:val="9"/>
  </w:num>
  <w:num w:numId="7">
    <w:abstractNumId w:val="16"/>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4"/>
  </w:num>
  <w:num w:numId="11">
    <w:abstractNumId w:val="13"/>
  </w:num>
  <w:num w:numId="12">
    <w:abstractNumId w:val="3"/>
  </w:num>
  <w:num w:numId="13">
    <w:abstractNumId w:val="12"/>
  </w:num>
  <w:num w:numId="14">
    <w:abstractNumId w:val="17"/>
  </w:num>
  <w:num w:numId="15">
    <w:abstractNumId w:val="10"/>
  </w:num>
  <w:num w:numId="16">
    <w:abstractNumId w:val="4"/>
  </w:num>
  <w:num w:numId="17">
    <w:abstractNumId w:val="3"/>
  </w:num>
  <w:num w:numId="18">
    <w:abstractNumId w:val="2"/>
  </w:num>
  <w:num w:numId="19">
    <w:abstractNumId w:val="1"/>
  </w:num>
  <w:num w:numId="20">
    <w:abstractNumId w:val="7"/>
  </w:num>
  <w:num w:numId="21">
    <w:abstractNumId w:val="7"/>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F956285-2D5C-4EA1-ADDF-349CCF973C57"/>
    <w:docVar w:name="LW_COVERPAGE_TYPE" w:val="1"/>
    <w:docVar w:name="LW_CROSSREFERENCE" w:val="{SWD(2017) 710 final}_x000b_{SWD(2017) 711 final}"/>
    <w:docVar w:name="LW_DocType" w:val="NORMAL"/>
    <w:docVar w:name="LW_EMISSION" w:val="2017.12.13."/>
    <w:docVar w:name="LW_EMISSION_ISODATE" w:val="2017-12-13"/>
    <w:docVar w:name="LW_EMISSION_LOCATION" w:val="BRX"/>
    <w:docVar w:name="LW_EMISSION_PREFIX" w:val="Brüsszel, "/>
    <w:docVar w:name="LW_EMISSION_SUFFIX" w:val="&lt;EMPTY&gt;"/>
    <w:docVar w:name="LW_ID_DOCTYPE_NONLW" w:val="CP-006"/>
    <w:docVar w:name="LW_LANGUE" w:val="HU"/>
    <w:docVar w:name="LW_LEVEL_OF_SENSITIVITY" w:val="Standard treatment"/>
    <w:docVar w:name="LW_NOM.INST" w:val="EURÓPAI BIZOTTSÁG"/>
    <w:docVar w:name="LW_NOM.INST_JOINTDOC" w:val="&lt;EMPTY&gt;"/>
    <w:docVar w:name="LW_PART_NBR" w:val="1"/>
    <w:docVar w:name="LW_PART_NBR_TOTAL" w:val="1"/>
    <w:docVar w:name="LW_REF.INST.NEW" w:val="COM"/>
    <w:docVar w:name="LW_REF.INST.NEW_ADOPTED" w:val="final"/>
    <w:docVar w:name="LW_REF.INST.NEW_TEXT" w:val="(2017) 8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lt;FMT:Bold&gt;az Európai Szennyez\u337?anyag-kibocsátási és -szállítási Nyilvántartás (Európai PRTR) létrehozásáról szóló 166/2006/EK rendelet végrehajtásának el\u337?rehaladásáról&lt;/FMT&gt;_x000b_"/>
    <w:docVar w:name="LW_TYPE.DOC.CP" w:val="A BIZOTTSÁG JELENTÉSE AZ EURÓPAI PARLAMENTNEK ÉS A TANÁCSNAK"/>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2"/>
      </w:numPr>
      <w:spacing w:before="360" w:after="120" w:line="240" w:lineRule="auto"/>
      <w:jc w:val="both"/>
      <w:outlineLvl w:val="0"/>
    </w:pPr>
    <w:rPr>
      <w:rFonts w:ascii="Times New Roman" w:eastAsiaTheme="majorEastAsia" w:hAnsi="Times New Roman" w:cs="Times New Roman"/>
      <w:b/>
      <w:bCs/>
      <w:color w:val="000000" w:themeColor="text1"/>
      <w:sz w:val="28"/>
      <w:szCs w:val="28"/>
    </w:rPr>
  </w:style>
  <w:style w:type="paragraph" w:styleId="Heading2">
    <w:name w:val="heading 2"/>
    <w:basedOn w:val="Normal"/>
    <w:next w:val="Text1"/>
    <w:link w:val="Heading2Char"/>
    <w:uiPriority w:val="9"/>
    <w:unhideWhenUsed/>
    <w:qFormat/>
    <w:pPr>
      <w:keepNext/>
      <w:numPr>
        <w:ilvl w:val="1"/>
        <w:numId w:val="12"/>
      </w:numPr>
      <w:spacing w:before="120" w:after="120" w:line="240" w:lineRule="auto"/>
      <w:jc w:val="both"/>
      <w:outlineLvl w:val="1"/>
    </w:pPr>
    <w:rPr>
      <w:rFonts w:ascii="Times New Roman" w:eastAsia="Times New Roman" w:hAnsi="Times New Roman" w:cs="Times New Roman"/>
      <w:b/>
      <w:bCs/>
      <w:sz w:val="24"/>
      <w:szCs w:val="26"/>
    </w:rPr>
  </w:style>
  <w:style w:type="paragraph" w:styleId="Heading3">
    <w:name w:val="heading 3"/>
    <w:basedOn w:val="Normal"/>
    <w:next w:val="Text1"/>
    <w:link w:val="Heading3Char"/>
    <w:uiPriority w:val="9"/>
    <w:semiHidden/>
    <w:unhideWhenUsed/>
    <w:qFormat/>
    <w:pPr>
      <w:keepNext/>
      <w:numPr>
        <w:ilvl w:val="2"/>
        <w:numId w:val="12"/>
      </w:numPr>
      <w:spacing w:before="120" w:after="120" w:line="240" w:lineRule="auto"/>
      <w:jc w:val="both"/>
      <w:outlineLvl w:val="2"/>
    </w:pPr>
    <w:rPr>
      <w:rFonts w:ascii="Times New Roman" w:eastAsia="Times New Roman" w:hAnsi="Times New Roman" w:cs="Times New Roman"/>
      <w:bCs/>
      <w:i/>
      <w:sz w:val="24"/>
    </w:rPr>
  </w:style>
  <w:style w:type="paragraph" w:styleId="Heading4">
    <w:name w:val="heading 4"/>
    <w:basedOn w:val="Normal"/>
    <w:next w:val="Text1"/>
    <w:link w:val="Heading4Char"/>
    <w:uiPriority w:val="9"/>
    <w:semiHidden/>
    <w:unhideWhenUsed/>
    <w:qFormat/>
    <w:pPr>
      <w:keepNext/>
      <w:numPr>
        <w:ilvl w:val="3"/>
        <w:numId w:val="12"/>
      </w:numPr>
      <w:spacing w:before="120" w:after="120" w:line="240" w:lineRule="auto"/>
      <w:jc w:val="both"/>
      <w:outlineLvl w:val="3"/>
    </w:pPr>
    <w:rPr>
      <w:rFonts w:ascii="Times New Roman" w:eastAsia="Times New Roman" w:hAnsi="Times New Roman" w:cs="Times New Roman"/>
      <w:bCs/>
      <w:iCs/>
      <w:sz w:val="24"/>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styleId="Hyperlink">
    <w:name w:val="Hyperlink"/>
    <w:uiPriority w:val="99"/>
    <w:rPr>
      <w:color w:val="0000FF"/>
      <w:u w:val="single"/>
    </w:rPr>
  </w:style>
  <w:style w:type="character" w:customStyle="1" w:styleId="Heading1Char">
    <w:name w:val="Heading 1 Char"/>
    <w:basedOn w:val="DefaultParagraphFont"/>
    <w:link w:val="Heading1"/>
    <w:uiPriority w:val="9"/>
    <w:rPr>
      <w:rFonts w:ascii="Times New Roman" w:eastAsiaTheme="majorEastAsia" w:hAnsi="Times New Roman" w:cs="Times New Roman"/>
      <w:b/>
      <w:bCs/>
      <w:color w:val="000000" w:themeColor="text1"/>
      <w:sz w:val="28"/>
      <w:szCs w:val="28"/>
    </w:rPr>
  </w:style>
  <w:style w:type="paragraph" w:styleId="TOCHeading">
    <w:name w:val="TOC Heading"/>
    <w:basedOn w:val="Normal"/>
    <w:next w:val="Normal"/>
    <w:uiPriority w:val="39"/>
    <w:semiHidden/>
    <w:unhideWhenUsed/>
    <w:qFormat/>
    <w:pPr>
      <w:spacing w:before="120" w:after="240" w:line="240" w:lineRule="auto"/>
      <w:jc w:val="center"/>
    </w:pPr>
    <w:rPr>
      <w:rFonts w:ascii="Times New Roman" w:eastAsia="Times New Roman" w:hAnsi="Times New Roman" w:cs="Times New Roman"/>
      <w:b/>
      <w:sz w:val="28"/>
    </w:rPr>
  </w:style>
  <w:style w:type="paragraph" w:styleId="TOC1">
    <w:name w:val="toc 1"/>
    <w:basedOn w:val="Normal"/>
    <w:next w:val="Normal"/>
    <w:uiPriority w:val="39"/>
    <w:unhideWhenUsed/>
    <w:pPr>
      <w:tabs>
        <w:tab w:val="right" w:leader="dot" w:pos="9071"/>
      </w:tabs>
      <w:spacing w:before="60" w:after="120" w:line="240" w:lineRule="auto"/>
      <w:ind w:left="850" w:hanging="850"/>
    </w:pPr>
    <w:rPr>
      <w:rFonts w:ascii="Times New Roman" w:eastAsia="Times New Roman" w:hAnsi="Times New Roman" w:cs="Times New Roman"/>
      <w:sz w:val="24"/>
    </w:rPr>
  </w:style>
  <w:style w:type="paragraph" w:styleId="TOC2">
    <w:name w:val="toc 2"/>
    <w:basedOn w:val="Normal"/>
    <w:next w:val="Normal"/>
    <w:uiPriority w:val="39"/>
    <w:unhideWhenUsed/>
    <w:pPr>
      <w:tabs>
        <w:tab w:val="right" w:leader="dot" w:pos="9071"/>
      </w:tabs>
      <w:spacing w:before="60" w:after="120" w:line="240" w:lineRule="auto"/>
      <w:ind w:left="850" w:hanging="850"/>
    </w:pPr>
    <w:rPr>
      <w:rFonts w:ascii="Times New Roman" w:eastAsia="Times New Roman" w:hAnsi="Times New Roman" w:cs="Times New Roman"/>
      <w:sz w:val="24"/>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hu-HU"/>
    </w:rPr>
  </w:style>
  <w:style w:type="character" w:customStyle="1" w:styleId="Heading3Char">
    <w:name w:val="Heading 3 Char"/>
    <w:basedOn w:val="DefaultParagraphFont"/>
    <w:link w:val="Heading3"/>
    <w:uiPriority w:val="9"/>
    <w:semiHidden/>
    <w:rPr>
      <w:rFonts w:ascii="Times New Roman" w:eastAsia="Times New Roman" w:hAnsi="Times New Roman" w:cs="Times New Roman"/>
      <w:bCs/>
      <w:i/>
      <w:sz w:val="24"/>
      <w:lang w:eastAsia="hu-HU"/>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Cs/>
      <w:iCs/>
      <w:sz w:val="24"/>
      <w:lang w:eastAsia="hu-HU"/>
    </w:rPr>
  </w:style>
  <w:style w:type="paragraph" w:customStyle="1" w:styleId="doc-ti">
    <w:name w:val="doc-ti"/>
    <w:basedOn w:val="Normal"/>
    <w:pPr>
      <w:spacing w:before="100" w:beforeAutospacing="1" w:after="100" w:afterAutospacing="1" w:line="240" w:lineRule="auto"/>
    </w:pPr>
    <w:rPr>
      <w:rFonts w:ascii="Times New Roman" w:eastAsia="Times New Roman" w:hAnsi="Times New Roman" w:cs="Times New Roman"/>
      <w:sz w:val="24"/>
    </w:rPr>
  </w:style>
  <w:style w:type="character" w:styleId="Emphasis">
    <w:name w:val="Emphasis"/>
    <w:uiPriority w:val="20"/>
    <w:qFormat/>
    <w:rPr>
      <w:i/>
    </w:rPr>
  </w:style>
  <w:style w:type="paragraph" w:styleId="ListParagraph">
    <w:name w:val="List Paragraph"/>
    <w:basedOn w:val="Normal"/>
    <w:uiPriority w:val="34"/>
    <w:qFormat/>
    <w:pPr>
      <w:spacing w:before="120" w:after="120" w:line="240" w:lineRule="auto"/>
      <w:ind w:left="720"/>
      <w:jc w:val="both"/>
    </w:pPr>
    <w:rPr>
      <w:rFonts w:ascii="Times New Roman" w:eastAsia="Times New Roman" w:hAnsi="Times New Roman" w:cs="Times New Roman"/>
      <w:sz w:val="24"/>
    </w:rPr>
  </w:style>
  <w:style w:type="paragraph" w:styleId="FootnoteText">
    <w:name w:val="footnote text"/>
    <w:basedOn w:val="Normal"/>
    <w:link w:val="FootnoteTextChar"/>
    <w:uiPriority w:val="99"/>
    <w:semiHidden/>
    <w:unhideWhenUsed/>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hu-HU"/>
    </w:rPr>
  </w:style>
  <w:style w:type="character" w:styleId="FootnoteReference">
    <w:name w:val="footnote reference"/>
    <w:uiPriority w:val="99"/>
    <w:semiHidden/>
    <w:unhideWhenUsed/>
    <w:rPr>
      <w:shd w:val="clear" w:color="auto" w:fill="auto"/>
      <w:vertAlign w:val="superscript"/>
    </w:rPr>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customStyle="1" w:styleId="LegalNumPar">
    <w:name w:val="LegalNumPar"/>
    <w:basedOn w:val="Normal"/>
    <w:pPr>
      <w:numPr>
        <w:numId w:val="20"/>
      </w:numPr>
      <w:spacing w:line="240" w:lineRule="auto"/>
    </w:pPr>
    <w:rPr>
      <w:lang w:val="en-GB"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2"/>
      </w:numPr>
      <w:spacing w:before="360" w:after="120" w:line="240" w:lineRule="auto"/>
      <w:jc w:val="both"/>
      <w:outlineLvl w:val="0"/>
    </w:pPr>
    <w:rPr>
      <w:rFonts w:ascii="Times New Roman" w:eastAsiaTheme="majorEastAsia" w:hAnsi="Times New Roman" w:cs="Times New Roman"/>
      <w:b/>
      <w:bCs/>
      <w:color w:val="000000" w:themeColor="text1"/>
      <w:sz w:val="28"/>
      <w:szCs w:val="28"/>
    </w:rPr>
  </w:style>
  <w:style w:type="paragraph" w:styleId="Heading2">
    <w:name w:val="heading 2"/>
    <w:basedOn w:val="Normal"/>
    <w:next w:val="Text1"/>
    <w:link w:val="Heading2Char"/>
    <w:uiPriority w:val="9"/>
    <w:unhideWhenUsed/>
    <w:qFormat/>
    <w:pPr>
      <w:keepNext/>
      <w:numPr>
        <w:ilvl w:val="1"/>
        <w:numId w:val="12"/>
      </w:numPr>
      <w:spacing w:before="120" w:after="120" w:line="240" w:lineRule="auto"/>
      <w:jc w:val="both"/>
      <w:outlineLvl w:val="1"/>
    </w:pPr>
    <w:rPr>
      <w:rFonts w:ascii="Times New Roman" w:eastAsia="Times New Roman" w:hAnsi="Times New Roman" w:cs="Times New Roman"/>
      <w:b/>
      <w:bCs/>
      <w:sz w:val="24"/>
      <w:szCs w:val="26"/>
    </w:rPr>
  </w:style>
  <w:style w:type="paragraph" w:styleId="Heading3">
    <w:name w:val="heading 3"/>
    <w:basedOn w:val="Normal"/>
    <w:next w:val="Text1"/>
    <w:link w:val="Heading3Char"/>
    <w:uiPriority w:val="9"/>
    <w:semiHidden/>
    <w:unhideWhenUsed/>
    <w:qFormat/>
    <w:pPr>
      <w:keepNext/>
      <w:numPr>
        <w:ilvl w:val="2"/>
        <w:numId w:val="12"/>
      </w:numPr>
      <w:spacing w:before="120" w:after="120" w:line="240" w:lineRule="auto"/>
      <w:jc w:val="both"/>
      <w:outlineLvl w:val="2"/>
    </w:pPr>
    <w:rPr>
      <w:rFonts w:ascii="Times New Roman" w:eastAsia="Times New Roman" w:hAnsi="Times New Roman" w:cs="Times New Roman"/>
      <w:bCs/>
      <w:i/>
      <w:sz w:val="24"/>
    </w:rPr>
  </w:style>
  <w:style w:type="paragraph" w:styleId="Heading4">
    <w:name w:val="heading 4"/>
    <w:basedOn w:val="Normal"/>
    <w:next w:val="Text1"/>
    <w:link w:val="Heading4Char"/>
    <w:uiPriority w:val="9"/>
    <w:semiHidden/>
    <w:unhideWhenUsed/>
    <w:qFormat/>
    <w:pPr>
      <w:keepNext/>
      <w:numPr>
        <w:ilvl w:val="3"/>
        <w:numId w:val="12"/>
      </w:numPr>
      <w:spacing w:before="120" w:after="120" w:line="240" w:lineRule="auto"/>
      <w:jc w:val="both"/>
      <w:outlineLvl w:val="3"/>
    </w:pPr>
    <w:rPr>
      <w:rFonts w:ascii="Times New Roman" w:eastAsia="Times New Roman" w:hAnsi="Times New Roman" w:cs="Times New Roman"/>
      <w:bCs/>
      <w:iCs/>
      <w:sz w:val="24"/>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styleId="Hyperlink">
    <w:name w:val="Hyperlink"/>
    <w:uiPriority w:val="99"/>
    <w:rPr>
      <w:color w:val="0000FF"/>
      <w:u w:val="single"/>
    </w:rPr>
  </w:style>
  <w:style w:type="character" w:customStyle="1" w:styleId="Heading1Char">
    <w:name w:val="Heading 1 Char"/>
    <w:basedOn w:val="DefaultParagraphFont"/>
    <w:link w:val="Heading1"/>
    <w:uiPriority w:val="9"/>
    <w:rPr>
      <w:rFonts w:ascii="Times New Roman" w:eastAsiaTheme="majorEastAsia" w:hAnsi="Times New Roman" w:cs="Times New Roman"/>
      <w:b/>
      <w:bCs/>
      <w:color w:val="000000" w:themeColor="text1"/>
      <w:sz w:val="28"/>
      <w:szCs w:val="28"/>
    </w:rPr>
  </w:style>
  <w:style w:type="paragraph" w:styleId="TOCHeading">
    <w:name w:val="TOC Heading"/>
    <w:basedOn w:val="Normal"/>
    <w:next w:val="Normal"/>
    <w:uiPriority w:val="39"/>
    <w:semiHidden/>
    <w:unhideWhenUsed/>
    <w:qFormat/>
    <w:pPr>
      <w:spacing w:before="120" w:after="240" w:line="240" w:lineRule="auto"/>
      <w:jc w:val="center"/>
    </w:pPr>
    <w:rPr>
      <w:rFonts w:ascii="Times New Roman" w:eastAsia="Times New Roman" w:hAnsi="Times New Roman" w:cs="Times New Roman"/>
      <w:b/>
      <w:sz w:val="28"/>
    </w:rPr>
  </w:style>
  <w:style w:type="paragraph" w:styleId="TOC1">
    <w:name w:val="toc 1"/>
    <w:basedOn w:val="Normal"/>
    <w:next w:val="Normal"/>
    <w:uiPriority w:val="39"/>
    <w:unhideWhenUsed/>
    <w:pPr>
      <w:tabs>
        <w:tab w:val="right" w:leader="dot" w:pos="9071"/>
      </w:tabs>
      <w:spacing w:before="60" w:after="120" w:line="240" w:lineRule="auto"/>
      <w:ind w:left="850" w:hanging="850"/>
    </w:pPr>
    <w:rPr>
      <w:rFonts w:ascii="Times New Roman" w:eastAsia="Times New Roman" w:hAnsi="Times New Roman" w:cs="Times New Roman"/>
      <w:sz w:val="24"/>
    </w:rPr>
  </w:style>
  <w:style w:type="paragraph" w:styleId="TOC2">
    <w:name w:val="toc 2"/>
    <w:basedOn w:val="Normal"/>
    <w:next w:val="Normal"/>
    <w:uiPriority w:val="39"/>
    <w:unhideWhenUsed/>
    <w:pPr>
      <w:tabs>
        <w:tab w:val="right" w:leader="dot" w:pos="9071"/>
      </w:tabs>
      <w:spacing w:before="60" w:after="120" w:line="240" w:lineRule="auto"/>
      <w:ind w:left="850" w:hanging="850"/>
    </w:pPr>
    <w:rPr>
      <w:rFonts w:ascii="Times New Roman" w:eastAsia="Times New Roman" w:hAnsi="Times New Roman" w:cs="Times New Roman"/>
      <w:sz w:val="24"/>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hu-HU"/>
    </w:rPr>
  </w:style>
  <w:style w:type="character" w:customStyle="1" w:styleId="Heading3Char">
    <w:name w:val="Heading 3 Char"/>
    <w:basedOn w:val="DefaultParagraphFont"/>
    <w:link w:val="Heading3"/>
    <w:uiPriority w:val="9"/>
    <w:semiHidden/>
    <w:rPr>
      <w:rFonts w:ascii="Times New Roman" w:eastAsia="Times New Roman" w:hAnsi="Times New Roman" w:cs="Times New Roman"/>
      <w:bCs/>
      <w:i/>
      <w:sz w:val="24"/>
      <w:lang w:eastAsia="hu-HU"/>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Cs/>
      <w:iCs/>
      <w:sz w:val="24"/>
      <w:lang w:eastAsia="hu-HU"/>
    </w:rPr>
  </w:style>
  <w:style w:type="paragraph" w:customStyle="1" w:styleId="doc-ti">
    <w:name w:val="doc-ti"/>
    <w:basedOn w:val="Normal"/>
    <w:pPr>
      <w:spacing w:before="100" w:beforeAutospacing="1" w:after="100" w:afterAutospacing="1" w:line="240" w:lineRule="auto"/>
    </w:pPr>
    <w:rPr>
      <w:rFonts w:ascii="Times New Roman" w:eastAsia="Times New Roman" w:hAnsi="Times New Roman" w:cs="Times New Roman"/>
      <w:sz w:val="24"/>
    </w:rPr>
  </w:style>
  <w:style w:type="character" w:styleId="Emphasis">
    <w:name w:val="Emphasis"/>
    <w:uiPriority w:val="20"/>
    <w:qFormat/>
    <w:rPr>
      <w:i/>
    </w:rPr>
  </w:style>
  <w:style w:type="paragraph" w:styleId="ListParagraph">
    <w:name w:val="List Paragraph"/>
    <w:basedOn w:val="Normal"/>
    <w:uiPriority w:val="34"/>
    <w:qFormat/>
    <w:pPr>
      <w:spacing w:before="120" w:after="120" w:line="240" w:lineRule="auto"/>
      <w:ind w:left="720"/>
      <w:jc w:val="both"/>
    </w:pPr>
    <w:rPr>
      <w:rFonts w:ascii="Times New Roman" w:eastAsia="Times New Roman" w:hAnsi="Times New Roman" w:cs="Times New Roman"/>
      <w:sz w:val="24"/>
    </w:rPr>
  </w:style>
  <w:style w:type="paragraph" w:styleId="FootnoteText">
    <w:name w:val="footnote text"/>
    <w:basedOn w:val="Normal"/>
    <w:link w:val="FootnoteTextChar"/>
    <w:uiPriority w:val="99"/>
    <w:semiHidden/>
    <w:unhideWhenUsed/>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hu-HU"/>
    </w:rPr>
  </w:style>
  <w:style w:type="character" w:styleId="FootnoteReference">
    <w:name w:val="footnote reference"/>
    <w:uiPriority w:val="99"/>
    <w:semiHidden/>
    <w:unhideWhenUsed/>
    <w:rPr>
      <w:shd w:val="clear" w:color="auto" w:fill="auto"/>
      <w:vertAlign w:val="superscript"/>
    </w:rPr>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customStyle="1" w:styleId="LegalNumPar">
    <w:name w:val="LegalNumPar"/>
    <w:basedOn w:val="Normal"/>
    <w:pPr>
      <w:numPr>
        <w:numId w:val="20"/>
      </w:numPr>
      <w:spacing w:line="240" w:lineRule="auto"/>
    </w:pPr>
    <w:rPr>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prtr.ec.europa.eu/" TargetMode="External"/><Relationship Id="rId13" Type="http://schemas.openxmlformats.org/officeDocument/2006/relationships/hyperlink" Target="http://eur-lex.europa.eu/legal-content/EN/TXT/?uri=celex:31991L0271" TargetMode="External"/><Relationship Id="rId3" Type="http://schemas.openxmlformats.org/officeDocument/2006/relationships/hyperlink" Target="http://eur-lex.europa.eu/procedure/EN/202443" TargetMode="External"/><Relationship Id="rId7" Type="http://schemas.openxmlformats.org/officeDocument/2006/relationships/hyperlink" Target="https://circabc.europa.eu/sd/a/fd585562-0c60-48f0-ad62-9d1ff7151059/E-PRTR%20evaluation_Final%20report.pdf" TargetMode="External"/><Relationship Id="rId12" Type="http://schemas.openxmlformats.org/officeDocument/2006/relationships/hyperlink" Target="http://eur-lex.europa.eu/legal-content/EN/TXT/?uri=CELEX:52015PC0595" TargetMode="External"/><Relationship Id="rId2" Type="http://schemas.openxmlformats.org/officeDocument/2006/relationships/hyperlink" Target="https://www.unece.org/env/pp/prtr/docs/prtrtext.html" TargetMode="External"/><Relationship Id="rId1" Type="http://schemas.openxmlformats.org/officeDocument/2006/relationships/hyperlink" Target="http://eur-lex.europa.eu/legal-content/EN/TXT/HTML/?uri=CELEX:32006R0166&amp;from=EN" TargetMode="External"/><Relationship Id="rId6" Type="http://schemas.openxmlformats.org/officeDocument/2006/relationships/hyperlink" Target="http://rod.eionet.europa.eu/obligations/540/overview" TargetMode="External"/><Relationship Id="rId11" Type="http://schemas.openxmlformats.org/officeDocument/2006/relationships/hyperlink" Target="http://eur-lex.europa.eu/LexUriServ/LexUriServ.do?uri=OJ:L:2007:108:0001:0014:en:PDF" TargetMode="External"/><Relationship Id="rId5" Type="http://schemas.openxmlformats.org/officeDocument/2006/relationships/hyperlink" Target="https://webgate.ec.europa.eu/fpfis/wikis/display/ENVReporting/1)+Streamlining+Reporting" TargetMode="External"/><Relationship Id="rId10" Type="http://schemas.openxmlformats.org/officeDocument/2006/relationships/hyperlink" Target="http://www.eea.europa.eu/themes/industry/industrial-pollution" TargetMode="External"/><Relationship Id="rId4" Type="http://schemas.openxmlformats.org/officeDocument/2006/relationships/hyperlink" Target="http://ec.europa.eu/smart-regulation/better_regulation/documents/com_2013_en.pdf" TargetMode="External"/><Relationship Id="rId9" Type="http://schemas.openxmlformats.org/officeDocument/2006/relationships/hyperlink" Target="http://eur-lex.europa.eu/legal-content/EN/TXT/?qid=1489681035236&amp;uri=CELEX:32010L0075" TargetMode="External"/><Relationship Id="rId14" Type="http://schemas.openxmlformats.org/officeDocument/2006/relationships/hyperlink" Target="http://eur-lex.europa.eu/legal-content/EN/TXT/?qid=1490193496651&amp;uri=CELEX:32016L22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5D9C6-89C0-4D39-A335-09443C23C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11</Pages>
  <Words>2953</Words>
  <Characters>21764</Characters>
  <Application>Microsoft Office Word</Application>
  <DocSecurity>0</DocSecurity>
  <Lines>375</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28</cp:revision>
  <cp:lastPrinted>2017-11-09T10:45:00Z</cp:lastPrinted>
  <dcterms:created xsi:type="dcterms:W3CDTF">2017-11-09T15:20:00Z</dcterms:created>
  <dcterms:modified xsi:type="dcterms:W3CDTF">2017-12-07T07:11:00Z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name="OP_sanitized" fmtid="{D5CDD505-2E9C-101B-9397-08002B2CF9AE}" pid="6">
    <vt:lpwstr>True</vt:lpwstr>
  </property>
</Properties>
</file>