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CB20328A-3C82-494F-AFD3-A2DFB7F49EF0" style="width:450.45pt;height:320.8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0"/>
          <w:cols w:space="720"/>
          <w:docGrid w:linePitch="326"/>
        </w:sectPr>
      </w:pPr>
    </w:p>
    <w:p>
      <w:pPr>
        <w:pStyle w:val="ListParagraph"/>
        <w:numPr>
          <w:ilvl w:val="0"/>
          <w:numId w:val="2"/>
        </w:numPr>
        <w:jc w:val="both"/>
        <w:rPr>
          <w:rFonts w:ascii="Times New Roman" w:eastAsia="Times New Roman" w:hAnsi="Times New Roman" w:cs="Times New Roman"/>
          <w:b/>
          <w:bCs/>
          <w:smallCaps/>
          <w:noProof/>
        </w:rPr>
      </w:pPr>
      <w:bookmarkStart w:id="1" w:name="_GoBack"/>
      <w:bookmarkEnd w:id="1"/>
      <w:r>
        <w:rPr>
          <w:rFonts w:ascii="Times New Roman" w:hAnsi="Times New Roman"/>
          <w:b/>
          <w:smallCaps/>
          <w:noProof/>
        </w:rPr>
        <w:lastRenderedPageBreak/>
        <w:t>Bevezetés</w:t>
      </w:r>
    </w:p>
    <w:p>
      <w:pPr>
        <w:pStyle w:val="Body"/>
        <w:jc w:val="both"/>
        <w:rPr>
          <w:rFonts w:ascii="Times New Roman" w:hAnsi="Times New Roman"/>
          <w:noProof/>
        </w:rPr>
      </w:pPr>
      <w:r>
        <w:rPr>
          <w:rFonts w:ascii="Times New Roman" w:hAnsi="Times New Roman"/>
          <w:noProof/>
        </w:rPr>
        <w:t>Európa egyre nagyobb mértékben kénytelen szembenézni a súlyos és kiszámíthatatlan szélsőséges időjárási események és földrengések drámai hatásaival, amelyek halálesetekkel, a vagyon és a kulturális örökség pusztulásával járnak. Mindez tragikus következményekkel járt az emberélet és a megélhetés tekintetében. Az európai nemzetek annak érdekében határoztak az Európai Unió létrehozásáról, hogy támogassák a közös jólétüket és együtt nézzenek szembe az előttük álló kihívásokkal, és mindegyikük erősebbé váljon az egység és a szolidaritás révén. A védelmet nyújtó Európa az, amely megfelelő eszközökkel rendelkezik ahhoz, hogy határozottan tudjon reagálni.</w:t>
      </w:r>
    </w:p>
    <w:p>
      <w:pPr>
        <w:pStyle w:val="Body"/>
        <w:jc w:val="both"/>
        <w:rPr>
          <w:rFonts w:ascii="Times New Roman" w:hAnsi="Times New Roman"/>
          <w:noProof/>
        </w:rPr>
      </w:pPr>
      <w:r>
        <w:rPr>
          <w:rFonts w:ascii="Times New Roman" w:hAnsi="Times New Roman"/>
          <w:noProof/>
        </w:rPr>
        <w:t>Az éghajlatváltozás Európában és az egész világon súlyosbítja a szélsőséges időjárási események hatásait.</w:t>
      </w:r>
      <w:r>
        <w:rPr>
          <w:rFonts w:ascii="Times New Roman" w:hAnsi="Times New Roman"/>
          <w:noProof/>
          <w:vertAlign w:val="superscript"/>
        </w:rPr>
        <w:footnoteReference w:id="2"/>
      </w:r>
      <w:r>
        <w:rPr>
          <w:rFonts w:ascii="Times New Roman" w:hAnsi="Times New Roman"/>
          <w:noProof/>
        </w:rPr>
        <w:t xml:space="preserve"> A legfontosabb tendenciák mutatják, hogy az éghajlatváltozás miként járul hozzá Dél-Európában az erdőtüzek intenzitásának növekedéséhez és az erdőtüzek időszakának meghosszabbodásához, a tűzre érzékeny területek északra történő terjedéséhez, valamint a viharok és az áradások kockázatának növekedéséhez.</w:t>
      </w:r>
      <w:r>
        <w:rPr>
          <w:rFonts w:ascii="Times New Roman" w:hAnsi="Times New Roman"/>
          <w:noProof/>
          <w:vertAlign w:val="superscript"/>
        </w:rPr>
        <w:footnoteReference w:id="3"/>
      </w:r>
      <w:r>
        <w:rPr>
          <w:rFonts w:ascii="Times New Roman" w:hAnsi="Times New Roman"/>
          <w:noProof/>
        </w:rPr>
        <w:t xml:space="preserve"> 1980 óta az uniós tagállamok a szélsőséges időjárási és éghajlati események miatt – az emberéleteken kívül – több mint 360 milliárd EUR veszteséget szenvedtek.</w:t>
      </w:r>
      <w:r>
        <w:rPr>
          <w:rFonts w:ascii="Times New Roman" w:hAnsi="Times New Roman"/>
          <w:noProof/>
          <w:vertAlign w:val="superscript"/>
        </w:rPr>
        <w:footnoteReference w:id="4"/>
      </w:r>
      <w:r>
        <w:rPr>
          <w:rFonts w:ascii="Times New Roman" w:hAnsi="Times New Roman"/>
          <w:noProof/>
        </w:rPr>
        <w:t xml:space="preserve"> Ugyanakkor a szélsőséges események – például az erdőtüzek – az üvegházhatásúgáz-kibocsátás növekedése révén tovább súlyosbítják az éghajlatváltozást</w:t>
      </w:r>
      <w:r>
        <w:rPr>
          <w:rFonts w:ascii="Times New Roman" w:hAnsi="Times New Roman"/>
          <w:noProof/>
          <w:vertAlign w:val="superscript"/>
        </w:rPr>
        <w:footnoteReference w:id="5"/>
      </w:r>
      <w:r>
        <w:rPr>
          <w:rFonts w:ascii="Times New Roman" w:hAnsi="Times New Roman"/>
          <w:noProof/>
        </w:rPr>
        <w:t>.</w:t>
      </w:r>
    </w:p>
    <w:p>
      <w:pPr>
        <w:pStyle w:val="Body"/>
        <w:jc w:val="both"/>
        <w:rPr>
          <w:rFonts w:ascii="Times New Roman" w:eastAsia="Times New Roman" w:hAnsi="Times New Roman" w:cs="Times New Roman"/>
          <w:noProof/>
        </w:rPr>
      </w:pPr>
      <w:r>
        <w:rPr>
          <w:rFonts w:ascii="Times New Roman" w:hAnsi="Times New Roman"/>
          <w:noProof/>
        </w:rPr>
        <w:t>A 2017-es év során számos katasztrófa történt. Összességében 2017-ben több mint 200 ember veszítette életét Európában természeti katasztrófák eredményeként</w:t>
      </w:r>
      <w:r>
        <w:rPr>
          <w:rFonts w:ascii="Times New Roman" w:hAnsi="Times New Roman"/>
          <w:noProof/>
          <w:vertAlign w:val="superscript"/>
        </w:rPr>
        <w:footnoteReference w:id="6"/>
      </w:r>
      <w:r>
        <w:rPr>
          <w:rFonts w:ascii="Times New Roman" w:hAnsi="Times New Roman"/>
          <w:noProof/>
        </w:rPr>
        <w:t xml:space="preserve">. A trópusi ciklonok a közelmúltban súlyosan érintették az EU legkülső régióit és az európai tengerentúli területeket a karibi térségben. Az Ofélia hurrikán hirtelen árvizeket okozott Írországban és az Egyesült Királyságban, és Északnyugat-Európa nagy részét érintette. Nyáron a heves hőhullámok nyomán halálos viharok sújtották Közép-Európát. </w:t>
      </w:r>
    </w:p>
    <w:p>
      <w:pPr>
        <w:pStyle w:val="Body"/>
        <w:jc w:val="both"/>
        <w:rPr>
          <w:rFonts w:ascii="Times New Roman" w:hAnsi="Times New Roman"/>
          <w:noProof/>
        </w:rPr>
      </w:pPr>
      <w:r>
        <w:rPr>
          <w:rFonts w:ascii="Times New Roman" w:hAnsi="Times New Roman"/>
          <w:noProof/>
        </w:rPr>
        <w:t>2017-et legfőképpen azonban a súlyos erdőtüzek katasztrofális sorozata jellemezte. Több mint egymillió hektár erdő pusztult el, csaknem háromszorosa az ötéves uniós átlagnak, ennek fele Portugáliában következett be. Ez a terület Luxemburg méretének négyszeresét, vagy Berlin területének tízszeresét jelenti. Tragikus, hogy sok ember életét vesztette. Csupán Portugáliában csak június és október között több mint 100 ember halt meg. A tüzek a tulajdon jelentős mértékű pusztulását eredményezték, és kiemelkedő hatást gyakoroltak a gazdaságra, többek között a hálózati infrastruktúrára, a vállalkozásokra (kereskedelmi és ipari), valamint a mezőgazdasági és erdészeti tevékenységekre. Egyedül Portugáliában közel 600 millió eurót tesz ki az a közvetlen gazdasági kár, amit a június és szeptember között bekövetkezett erdőtüzek okoztak. Ez az ország bruttó nemzeti jövedelmének 0,34 %-át jelenti. Az erdőtüzek új helyeken is bekövetkeztek: 2017-ben Írország és Grönland egyes részeit is érintették.</w:t>
      </w:r>
    </w:p>
    <w:p>
      <w:pPr>
        <w:pStyle w:val="Body"/>
        <w:jc w:val="both"/>
        <w:rPr>
          <w:rFonts w:ascii="Times New Roman" w:eastAsia="Times New Roman" w:hAnsi="Times New Roman" w:cs="Times New Roman"/>
          <w:noProof/>
        </w:rPr>
      </w:pPr>
      <w:r>
        <w:rPr>
          <w:rFonts w:ascii="Times New Roman" w:hAnsi="Times New Roman"/>
          <w:noProof/>
        </w:rPr>
        <w:t>Az elmúlt két évben a földrengések is súlyos károkat okoztak. A Közép-Olaszországot 2016 augusztusában sújtó erős földrengést a következő hónapokban három további jelentős földrengés követte. A jelentések szerint 290 ember vesztette életét; Umbria, Lazio és Marche régió városai és kulturális öröksége jelentős károkat szenvedtek, és a gazdasági tevékenységeket is súlyosan érintették a rengések. A nyár folyamán a görög Kosz szigetét, valamint a szomszédos Törökországot is földrengés sújtotta, amely számos halálesetet, több száz ember sérülését és a turizmustól erősen függő gazdaságban bekövetkező jelentős fennakadásokat eredményezett.</w:t>
      </w:r>
    </w:p>
    <w:p>
      <w:pPr>
        <w:pStyle w:val="Body"/>
        <w:jc w:val="both"/>
        <w:rPr>
          <w:rFonts w:ascii="Times New Roman" w:eastAsia="Times New Roman" w:hAnsi="Times New Roman" w:cs="Times New Roman"/>
          <w:noProof/>
        </w:rPr>
      </w:pPr>
      <w:r>
        <w:rPr>
          <w:rFonts w:ascii="Times New Roman" w:hAnsi="Times New Roman"/>
          <w:noProof/>
        </w:rPr>
        <w:t>A környezeti katasztrófák mellett Európát a több áldozatot követelő terrorista események is sújtják, ideértve a nagy számú, azonnali figyelmet igénylő, összetett égési sérülések eseteit is. Az ebola és az Zika-vírus is felhívták a figyelmet a járványokból és az egészségügyi vészhelyzetekből eredő kockázatokra.</w:t>
      </w:r>
    </w:p>
    <w:p>
      <w:pPr>
        <w:pStyle w:val="Body"/>
        <w:jc w:val="both"/>
        <w:rPr>
          <w:rFonts w:ascii="Times New Roman" w:hAnsi="Times New Roman"/>
          <w:noProof/>
        </w:rPr>
      </w:pPr>
      <w:r>
        <w:rPr>
          <w:rFonts w:ascii="Times New Roman" w:hAnsi="Times New Roman"/>
          <w:noProof/>
        </w:rPr>
        <w:t>Európa nincs egyedül. Az incidensek világszerte hasonló romló tendenciát mutatnak: Kalifornia államot idén több mint 200 ezer hektárt elpusztító, egymást követő erdőtüzek sújtották, ami több mint kétszerese a nemzeti ötéves átlagnak</w:t>
      </w:r>
      <w:r>
        <w:rPr>
          <w:rFonts w:ascii="Times New Roman" w:hAnsi="Times New Roman"/>
          <w:noProof/>
          <w:vertAlign w:val="superscript"/>
        </w:rPr>
        <w:footnoteReference w:id="7"/>
      </w:r>
      <w:r>
        <w:rPr>
          <w:rFonts w:ascii="Times New Roman" w:hAnsi="Times New Roman"/>
          <w:noProof/>
        </w:rPr>
        <w:t>; Az erdőtüzek tekintetében Brazília az eddig regisztrált legrosszabb évnek tekintheti a 2017-es évet</w:t>
      </w:r>
      <w:r>
        <w:rPr>
          <w:rFonts w:ascii="Times New Roman" w:hAnsi="Times New Roman"/>
          <w:noProof/>
          <w:vertAlign w:val="superscript"/>
        </w:rPr>
        <w:footnoteReference w:id="8"/>
      </w:r>
      <w:r>
        <w:rPr>
          <w:rFonts w:ascii="Times New Roman" w:hAnsi="Times New Roman"/>
          <w:noProof/>
        </w:rPr>
        <w:t>; 2016 júliusa és 2017 februárja között Chilében több mint félmillió hektárt taroltak le az erdőtüzek, amelyek leküzdéséhez az Európai Unió aktív segítséget nyújtott</w:t>
      </w:r>
      <w:r>
        <w:rPr>
          <w:rFonts w:ascii="Times New Roman" w:hAnsi="Times New Roman"/>
          <w:noProof/>
          <w:vertAlign w:val="superscript"/>
        </w:rPr>
        <w:footnoteReference w:id="9"/>
      </w:r>
      <w:r>
        <w:rPr>
          <w:rFonts w:ascii="Times New Roman" w:hAnsi="Times New Roman"/>
          <w:noProof/>
        </w:rPr>
        <w:t>. A 2017-es évben számos súlyos áradásra került sor Afrikában és Ázsiában, valamint világszerte földrengések pusztítottak: szeptemberben Mexikóban a halálos rengések több mint 270 embert öltek meg, több tucat épületet döntöttek össze és több száz történelmi épületet rongáltak meg. Ez év november 12-én az Irak és Irán határmenti régióját sújtó földrengés legalább 420 ember életét követelte, több mint 7 000 ember sérült meg, kár keletkezett több ezer házban és a kulturális örökségben is, valamint az alapvető vízellátási és energetikai szolgáltatásokban is súlyosan zavar állt fenn. Az év során Chilét és Törökországot is érintették a földrengések.</w:t>
      </w:r>
    </w:p>
    <w:p>
      <w:pPr>
        <w:pStyle w:val="Body"/>
        <w:jc w:val="both"/>
        <w:rPr>
          <w:rFonts w:ascii="Times New Roman" w:eastAsia="Times New Roman" w:hAnsi="Times New Roman" w:cs="Times New Roman"/>
          <w:noProof/>
        </w:rPr>
      </w:pPr>
      <w:r>
        <w:rPr>
          <w:rFonts w:ascii="Times New Roman" w:hAnsi="Times New Roman"/>
          <w:noProof/>
        </w:rPr>
        <w:t>Mivel az új kihívások újfajta fellépéseket követelnek meg, e közlemény felvázolja, hogy az EU miként tud reagálni a polgárok e katasztrófákkal szembeni védelmének javításával kapcsolatos alapvető kihívásra. Kifejti, hogy egy ambiciózusabb és átfogóbb megközelítés révén az EU hogyan tud hatékonyabban és eredményesebben reagálni, biztosítva ugyanakkor, hogy a tagállamok minden rendelkezésükre álló eszközt felhasználjanak a katasztrófák megelőzésére, előkészítésére és az azokra való reagálásra.</w:t>
      </w:r>
    </w:p>
    <w:p>
      <w:pPr>
        <w:pStyle w:val="Body"/>
        <w:jc w:val="both"/>
        <w:rPr>
          <w:rFonts w:ascii="Times New Roman Bold" w:hAnsi="Times New Roman Bold"/>
          <w:b/>
          <w:smallCaps/>
          <w:noProof/>
        </w:rPr>
      </w:pPr>
      <w:r>
        <w:rPr>
          <w:rFonts w:ascii="Times New Roman Bold" w:hAnsi="Times New Roman Bold"/>
          <w:b/>
          <w:smallCaps/>
          <w:noProof/>
        </w:rPr>
        <w:t>2.</w:t>
      </w:r>
      <w:r>
        <w:rPr>
          <w:noProof/>
        </w:rPr>
        <w:tab/>
      </w:r>
      <w:r>
        <w:rPr>
          <w:rFonts w:ascii="Times New Roman Bold" w:hAnsi="Times New Roman Bold"/>
          <w:b/>
          <w:smallCaps/>
          <w:noProof/>
        </w:rPr>
        <w:t>Az EU eddigi válasza:</w:t>
      </w:r>
    </w:p>
    <w:p>
      <w:pPr>
        <w:pStyle w:val="Body"/>
        <w:jc w:val="both"/>
        <w:rPr>
          <w:rFonts w:ascii="Times New Roman" w:hAnsi="Times New Roman"/>
          <w:noProof/>
        </w:rPr>
      </w:pPr>
      <w:r>
        <w:rPr>
          <w:rFonts w:ascii="Times New Roman" w:hAnsi="Times New Roman"/>
          <w:noProof/>
        </w:rPr>
        <w:t>Az uniós polgári védelmi mechanizmus</w:t>
      </w:r>
      <w:r>
        <w:rPr>
          <w:rStyle w:val="FootnoteReference"/>
          <w:rFonts w:ascii="Times New Roman" w:hAnsi="Times New Roman"/>
          <w:noProof/>
        </w:rPr>
        <w:footnoteReference w:id="10"/>
      </w:r>
      <w:r>
        <w:rPr>
          <w:rFonts w:ascii="Times New Roman" w:hAnsi="Times New Roman"/>
          <w:noProof/>
        </w:rPr>
        <w:t xml:space="preserve"> azon tagállamok és harmadik országok rendelkezésére áll, amelyek katasztrófa bekövetkezte során nemzeti kapacitásaik elégtelensége esetén aktiválhatják az. Önkéntes alapon működik, amelynek keretében egy tagállam vagy harmadik ország az Európai Bizottság Veszélyhelyzet-reagálási Koordinációs Központján (ERCC) keresztül segítségnyújtás iránti megkeresést küld, a többi tagállam pedig dönt arról, hogy ajánl-e fel segítséget vagy sem. A kiszámíthatóság érdekében létrehozták az „önkéntes eszköztárat”. A tagállamok olyan eszközöket biztosítanak, amelyeket a Bizottság kérhet, de nem kötelesek segítséget felajánlani. Gyakran előfordul, hogy a tagállamok nem képesek segítséget nyújtani, különösen akkor, amikor egyszerre több tagállam kénytelen megküzdeni ugyanolyan típusú katasztrófákkal.</w:t>
      </w:r>
    </w:p>
    <w:p>
      <w:pPr>
        <w:pStyle w:val="Body"/>
        <w:jc w:val="both"/>
        <w:rPr>
          <w:rFonts w:ascii="Times New Roman" w:hAnsi="Times New Roman"/>
          <w:noProof/>
        </w:rPr>
      </w:pPr>
      <w:r>
        <w:rPr>
          <w:rFonts w:ascii="Times New Roman" w:hAnsi="Times New Roman"/>
          <w:noProof/>
        </w:rPr>
        <w:t>Az elmúlt években az éghajlati és egyéb jelenségek próbára tették a tagállamok azon képességét, hogy segítséget nyújtsanak egymásnak, mivel az egyes tagállamok kimerítették saját lehetőségeiket.</w:t>
      </w:r>
    </w:p>
    <w:p>
      <w:pPr>
        <w:pStyle w:val="Body"/>
        <w:jc w:val="both"/>
        <w:rPr>
          <w:rFonts w:ascii="Times New Roman" w:hAnsi="Times New Roman"/>
          <w:noProof/>
        </w:rPr>
      </w:pPr>
      <w:r>
        <w:rPr>
          <w:rFonts w:ascii="Times New Roman" w:hAnsi="Times New Roman"/>
          <w:noProof/>
        </w:rPr>
        <w:t>Ezzel párhuzamosan a tagállamokat nem sok minden ösztönzi az uniós polgári védelmi mechanizmuson keresztül történő segítségnyújtásra, mivel az uniós költségvetés csak a szállítási költségek egy részét finanszírozza. A legtöbb művelet esetében azonban nem az A-ból B-be történő eljuttatás jelenti a költséges részt: a működési költségek jóval magasabbak a szállítási költségeknél. Például egy nagy tábori kórház szállítási költségei csupán töredékét teszik ki a mintegy havi 6 millió EUR-s működési költségnek. Egy repülő Franciaországból Portugáliába irányuló útja szintén olcsó az ottani több napos működés költségéhez képest. Az uniós költségvetés nem finanszírozza ezen eszközök működtetésének költségeit.</w:t>
      </w:r>
    </w:p>
    <w:p>
      <w:pPr>
        <w:pStyle w:val="Body"/>
        <w:jc w:val="both"/>
        <w:rPr>
          <w:rFonts w:ascii="Times New Roman" w:hAnsi="Times New Roman"/>
          <w:noProof/>
        </w:rPr>
      </w:pPr>
      <w:r>
        <w:rPr>
          <w:rFonts w:ascii="Times New Roman" w:hAnsi="Times New Roman"/>
          <w:noProof/>
        </w:rPr>
        <w:t>Ennek következtében az uniós polgári védelmi mechanizmus gyakran nem biztosítja a várt eredményeket. Például az idén mindössze 10 esetben nyújtottak ténylegesen segítséget az erdőtüzekre vonatkozó 17 kérelem közül. A válasz időnként túl lassú volt. Drámai hatást gyakorolt az is, hogy számos érintett tagállamban a tűzoltó repülőgépek és a flotta korlátozott számban állnak rendelkezésre, akár számuk, akár működési idejük tekintetében. A tűzoltó repülőgépek korlátozott rendelkezésre állását súlyosbítja az a tény, hogy az ilyen repülőgépek sajátos jellegük és magas előállítási költségük miatt nem szerezhetők be könnyen a piacon. Ezek a körülmények komoly hatással voltak az európai koordinált válaszlépéshez előre lekötött kapacitás hatékonyságára, és rámutattak az eszközök uniós szintű hiányára. Azt is látható, hogy az ösztönzők jelenleg nem elegendőek egy erős uniós polgári védelmi kapacitás kiépítéséhez és az arra való készenálláshoz, hogy ennek révén más tagállamokban is segítséget lehessen nyújtani a katasztrófareagáláshoz. Összefoglalva elmondható, hogy az ez évi súlyos katasztrófák azt mutatják, hogy az uniós polgári védelmi mechanizmus jelenlegi formájában és funkciójával mára egyértelműen elérte korlátait.</w:t>
      </w:r>
    </w:p>
    <w:p>
      <w:pPr>
        <w:pStyle w:val="Body"/>
        <w:jc w:val="both"/>
        <w:rPr>
          <w:rFonts w:ascii="Times New Roman" w:hAnsi="Times New Roman"/>
          <w:noProof/>
        </w:rPr>
      </w:pPr>
      <w:r>
        <w:rPr>
          <w:rFonts w:ascii="Times New Roman" w:hAnsi="Times New Roman"/>
          <w:noProof/>
        </w:rPr>
        <w:t>Ugyanakkor egyértelmű, hogy a katasztrófák lehetséges hatása a hatékony megelőzés révén csökkenthető: 2013-ban a közép-európai súlyos áradások gazdasági hatásainak jelentős csökkentése a 2002. évi hasonló eseményekhez képest részben a 2002 óta bevezetett hatékony árvízvédelmi és kockázatmegelőzési intézkedésekkel magyarázható</w:t>
      </w:r>
      <w:r>
        <w:rPr>
          <w:rFonts w:ascii="Times New Roman" w:hAnsi="Times New Roman"/>
          <w:noProof/>
          <w:vertAlign w:val="superscript"/>
        </w:rPr>
        <w:footnoteReference w:id="11"/>
      </w:r>
      <w:r>
        <w:rPr>
          <w:rFonts w:ascii="Times New Roman" w:hAnsi="Times New Roman"/>
          <w:noProof/>
        </w:rPr>
        <w:t>.</w:t>
      </w:r>
    </w:p>
    <w:p>
      <w:pPr>
        <w:pStyle w:val="Body"/>
        <w:jc w:val="both"/>
        <w:rPr>
          <w:rFonts w:ascii="Times New Roman" w:hAnsi="Times New Roman"/>
          <w:noProof/>
        </w:rPr>
      </w:pPr>
      <w:r>
        <w:rPr>
          <w:rFonts w:ascii="Times New Roman" w:hAnsi="Times New Roman"/>
          <w:noProof/>
        </w:rPr>
        <w:t>Az eddigi tapasztalatok fontos tanulsággal szolgálnak:</w:t>
      </w:r>
    </w:p>
    <w:p>
      <w:pPr>
        <w:pStyle w:val="Body"/>
        <w:jc w:val="both"/>
        <w:rPr>
          <w:rFonts w:ascii="Times New Roman" w:hAnsi="Times New Roman"/>
          <w:noProof/>
        </w:rPr>
      </w:pPr>
      <w:r>
        <w:rPr>
          <w:rFonts w:ascii="Times New Roman" w:hAnsi="Times New Roman"/>
          <w:noProof/>
        </w:rPr>
        <w:t>1.</w:t>
      </w:r>
      <w:r>
        <w:rPr>
          <w:noProof/>
        </w:rPr>
        <w:tab/>
      </w:r>
      <w:r>
        <w:rPr>
          <w:rFonts w:ascii="Times New Roman" w:hAnsi="Times New Roman"/>
          <w:noProof/>
        </w:rPr>
        <w:t>A 2017-hez hasonló, többszörös vagy gyakran előforduló szélsőséges események esetén további kapacitásra van szükség. Felhasználásának a lehető leghatékonyabb módon kell történnie.</w:t>
      </w:r>
    </w:p>
    <w:p>
      <w:pPr>
        <w:pStyle w:val="Body"/>
        <w:jc w:val="both"/>
        <w:rPr>
          <w:rFonts w:ascii="Times New Roman" w:hAnsi="Times New Roman"/>
          <w:noProof/>
        </w:rPr>
      </w:pPr>
      <w:r>
        <w:rPr>
          <w:rFonts w:ascii="Times New Roman" w:hAnsi="Times New Roman"/>
          <w:noProof/>
        </w:rPr>
        <w:t>2.</w:t>
      </w:r>
      <w:r>
        <w:rPr>
          <w:noProof/>
        </w:rPr>
        <w:tab/>
      </w:r>
      <w:r>
        <w:rPr>
          <w:rFonts w:ascii="Times New Roman" w:hAnsi="Times New Roman"/>
          <w:noProof/>
        </w:rPr>
        <w:t>Egy működő szolidaritási mechanizmusnak kellően szilárd ösztönző struktúrával kell rendelkeznie, amely motiválja a reagálási eszközök határokon átnyúló megosztását.</w:t>
      </w:r>
    </w:p>
    <w:p>
      <w:pPr>
        <w:pStyle w:val="Body"/>
        <w:jc w:val="both"/>
        <w:rPr>
          <w:rFonts w:ascii="Times New Roman" w:hAnsi="Times New Roman"/>
          <w:noProof/>
        </w:rPr>
      </w:pPr>
      <w:r>
        <w:rPr>
          <w:rFonts w:ascii="Times New Roman" w:hAnsi="Times New Roman"/>
          <w:noProof/>
        </w:rPr>
        <w:t>3.</w:t>
      </w:r>
      <w:r>
        <w:rPr>
          <w:noProof/>
        </w:rPr>
        <w:tab/>
      </w:r>
      <w:r>
        <w:rPr>
          <w:rFonts w:ascii="Times New Roman" w:hAnsi="Times New Roman"/>
          <w:noProof/>
        </w:rPr>
        <w:t>A hatásos katasztrófamegelőzés és -elhárítás alapjai a megfelelő kockázatelemzés, valamint a célzott rövid és hosszú távú megelőző erőfeszítések.</w:t>
      </w:r>
    </w:p>
    <w:p>
      <w:pPr>
        <w:pStyle w:val="Body"/>
        <w:jc w:val="both"/>
        <w:rPr>
          <w:rFonts w:ascii="Times New Roman" w:hAnsi="Times New Roman"/>
          <w:noProof/>
        </w:rPr>
      </w:pPr>
      <w:r>
        <w:rPr>
          <w:rFonts w:ascii="Times New Roman" w:hAnsi="Times New Roman"/>
          <w:noProof/>
        </w:rPr>
        <w:t>4.</w:t>
      </w:r>
      <w:r>
        <w:rPr>
          <w:noProof/>
        </w:rPr>
        <w:tab/>
      </w:r>
      <w:r>
        <w:rPr>
          <w:rFonts w:ascii="Times New Roman" w:hAnsi="Times New Roman"/>
          <w:noProof/>
        </w:rPr>
        <w:t>A katasztrófamegelőzés és -kezelés terén minden rendelkezésre álló uniós eszközt, például az európai strukturális és beruházási alapokat (esb-alapokat) és a közöttük lévő szinergiákat a lehető legteljesebb mértékben ki kell használni.</w:t>
      </w:r>
    </w:p>
    <w:p>
      <w:pPr>
        <w:pStyle w:val="Body"/>
        <w:jc w:val="both"/>
        <w:rPr>
          <w:rFonts w:ascii="Times New Roman" w:hAnsi="Times New Roman"/>
          <w:noProof/>
        </w:rPr>
      </w:pPr>
      <w:r>
        <w:rPr>
          <w:rFonts w:ascii="Times New Roman" w:hAnsi="Times New Roman"/>
          <w:noProof/>
        </w:rPr>
        <w:t>Az uniós katasztrófavédelem megerősítése azt is jelenti, hogy kritikus figyelmet kell fordítani a tagállamokban bekövetkező katasztrófák megelőzésére, valamint a megelőzést támogató uniós intézkedésekre. Sürgősen szükség van az Unióban és tagállamaiban a katasztrófák megelőzésére, az azok való felkészültségre és válaszadásra vonatkozó, teljes mértékben integrált megközelítésre. Tudjuk, hogy a katasztrófamegelőzésbe irányuló beruházások életeket és megélhetéseket mentenek meg, ezért hatékonyan kell őket a katasztrófakockázatokra összpontosítani.</w:t>
      </w:r>
    </w:p>
    <w:p>
      <w:pPr>
        <w:pStyle w:val="Body"/>
        <w:jc w:val="both"/>
        <w:rPr>
          <w:rFonts w:ascii="Times New Roman" w:hAnsi="Times New Roman"/>
          <w:noProof/>
        </w:rPr>
      </w:pPr>
    </w:p>
    <w:p>
      <w:pPr>
        <w:pStyle w:val="ListParagraph"/>
        <w:numPr>
          <w:ilvl w:val="0"/>
          <w:numId w:val="5"/>
        </w:numPr>
        <w:jc w:val="both"/>
        <w:rPr>
          <w:rFonts w:ascii="Times New Roman" w:eastAsia="Times New Roman" w:hAnsi="Times New Roman" w:cs="Times New Roman"/>
          <w:b/>
          <w:bCs/>
          <w:smallCaps/>
          <w:noProof/>
        </w:rPr>
      </w:pPr>
      <w:r>
        <w:rPr>
          <w:rFonts w:ascii="Times New Roman" w:hAnsi="Times New Roman"/>
          <w:b/>
          <w:smallCaps/>
          <w:noProof/>
        </w:rPr>
        <w:t>Védelmet nyújtó Európa: rescEU</w:t>
      </w:r>
    </w:p>
    <w:p>
      <w:pPr>
        <w:pStyle w:val="Body"/>
        <w:jc w:val="both"/>
        <w:rPr>
          <w:rFonts w:ascii="Times New Roman" w:hAnsi="Times New Roman"/>
          <w:noProof/>
        </w:rPr>
      </w:pPr>
      <w:r>
        <w:rPr>
          <w:rFonts w:ascii="Times New Roman" w:hAnsi="Times New Roman"/>
          <w:noProof/>
        </w:rPr>
        <w:t>Az Unió egészének kell előre felmérnie a változó és újonnan megjelenő – akár természetes, akár ember által előidézett – kockázatokat. Az erőteljesebb és átfogóbb uniós katasztrófakezelési kapacitás ezért előfeltétele annak, hogy jobb védelmet biztosítsunk az emberek, a közösségek, a gazdasági érdekek és a környezet számára. Az EU-nak javítania kell valamennyi szakpolitikájának és eszközének hozzájárulását a katasztrófák megelőzésére, a felkészülésre, a katasztrófareagálásra és későbbi helyreállításra vonatkozó kapacitás megerősítése érdekében. Ez minden szinten építené az európai szolidaritást és felelősségvállalást.</w:t>
      </w:r>
    </w:p>
    <w:p>
      <w:pPr>
        <w:pStyle w:val="Body"/>
        <w:jc w:val="both"/>
        <w:rPr>
          <w:rFonts w:ascii="Times New Roman" w:hAnsi="Times New Roman" w:cs="Times New Roman"/>
          <w:noProof/>
        </w:rPr>
      </w:pPr>
      <w:r>
        <w:rPr>
          <w:rFonts w:ascii="Times New Roman" w:hAnsi="Times New Roman"/>
          <w:noProof/>
        </w:rPr>
        <w:t>Az európai parlamenti és a tanácsi határozatra irányuló javaslat módosítja a jelenlegi polgári védelmi jogszabályokat, amelyek lehetővé tennék Európa számára, hogy előrelépést érjen el annak érdekében, hogy a természeti és ember okozta katasztrófákat jobban megelőzze, azokra jobban felkészüljön és reagáljon az Unión belül és kívül is.</w:t>
      </w:r>
    </w:p>
    <w:p>
      <w:pPr>
        <w:pStyle w:val="Body"/>
        <w:jc w:val="both"/>
        <w:rPr>
          <w:rFonts w:ascii="Times New Roman" w:hAnsi="Times New Roman" w:cs="Times New Roman"/>
          <w:noProof/>
        </w:rPr>
      </w:pPr>
      <w:r>
        <w:rPr>
          <w:rFonts w:ascii="Times New Roman" w:hAnsi="Times New Roman"/>
          <w:noProof/>
        </w:rPr>
        <w:t>A változtatások az alábbi célokat szolgálják:</w:t>
      </w:r>
    </w:p>
    <w:p>
      <w:pPr>
        <w:pStyle w:val="Body"/>
        <w:jc w:val="both"/>
        <w:rPr>
          <w:rFonts w:ascii="Times New Roman" w:hAnsi="Times New Roman" w:cs="Times New Roman"/>
          <w:noProof/>
        </w:rPr>
      </w:pPr>
      <w:r>
        <w:rPr>
          <w:rFonts w:ascii="Times New Roman" w:hAnsi="Times New Roman"/>
          <w:noProof/>
        </w:rPr>
        <w:t>a) az unió és a tagállamok katasztrófákra való kollektív reagálási képességének megerősítése, valamint a visszatérő és kialakuló kapacitáshiány kezelése a veszélyhelyzet-reagálási kapacitás kettős rendszerének létrehozása révén veszélyhelyzet-reagálási kapacitások uniós szinten irányított és ellenőrzött, elkülönített tartaléka, más néven rescEU; valamint a tagállamok hatékonyabb és dinamikusabb hozzájárulása egy európai polgári védelmi eszköztáron keresztül.</w:t>
      </w:r>
    </w:p>
    <w:p>
      <w:pPr>
        <w:pStyle w:val="Body"/>
        <w:jc w:val="both"/>
        <w:rPr>
          <w:rFonts w:ascii="Times New Roman" w:hAnsi="Times New Roman" w:cs="Times New Roman"/>
          <w:noProof/>
        </w:rPr>
      </w:pPr>
      <w:r>
        <w:rPr>
          <w:rFonts w:ascii="Times New Roman" w:hAnsi="Times New Roman"/>
          <w:noProof/>
        </w:rPr>
        <w:t>b) a katasztrófakockázat-kezelési ciklus részeként a megelőző intézkedésekre való összpontosítás erősítése, valamint többek között az éghajlatváltozáshoz való alkalmazkodás, a katasztrófamegelőzés és -reagálás terén hozott egyéb kulcsfontosságú uniós szakpolitikákkal való összhang erősítése;</w:t>
      </w:r>
    </w:p>
    <w:p>
      <w:pPr>
        <w:pStyle w:val="Body"/>
        <w:jc w:val="both"/>
        <w:rPr>
          <w:rFonts w:ascii="Times New Roman" w:hAnsi="Times New Roman" w:cs="Times New Roman"/>
          <w:noProof/>
        </w:rPr>
      </w:pPr>
      <w:r>
        <w:rPr>
          <w:rFonts w:ascii="Times New Roman" w:hAnsi="Times New Roman"/>
          <w:noProof/>
        </w:rPr>
        <w:t>c) annak biztosítása, hogy az uniós polgári védelmi mechanizmus igazgatási eljárásai gyorsak és hatékonyak legyenek a vészhelyzeti műveletek támogata tekintetében.</w:t>
      </w:r>
    </w:p>
    <w:p>
      <w:pPr>
        <w:pStyle w:val="Body"/>
        <w:jc w:val="both"/>
        <w:rPr>
          <w:rFonts w:ascii="Times New Roman" w:hAnsi="Times New Roman" w:cs="Times New Roman"/>
          <w:b/>
          <w:noProof/>
        </w:rPr>
      </w:pPr>
      <w:r>
        <w:rPr>
          <w:rFonts w:ascii="Times New Roman" w:hAnsi="Times New Roman"/>
          <w:b/>
          <w:noProof/>
        </w:rPr>
        <w:t>3.1.</w:t>
      </w:r>
      <w:r>
        <w:rPr>
          <w:noProof/>
        </w:rPr>
        <w:tab/>
      </w:r>
      <w:r>
        <w:rPr>
          <w:rFonts w:ascii="Times New Roman" w:hAnsi="Times New Roman"/>
          <w:b/>
          <w:noProof/>
        </w:rPr>
        <w:t>Az uniós katasztrófareagálás megerősítése</w:t>
      </w:r>
    </w:p>
    <w:p>
      <w:pPr>
        <w:pStyle w:val="Body"/>
        <w:jc w:val="both"/>
        <w:rPr>
          <w:rFonts w:ascii="Times New Roman" w:hAnsi="Times New Roman" w:cs="Times New Roman"/>
          <w:noProof/>
        </w:rPr>
      </w:pPr>
      <w:r>
        <w:rPr>
          <w:rFonts w:ascii="Times New Roman" w:hAnsi="Times New Roman"/>
          <w:noProof/>
        </w:rPr>
        <w:t>A közös uniós megközelítés azt jelenti, hogy az adott időpontban több kapacitás állhat bevetésre készen. Ezt szem előtt tartva a javaslatban két ág szerepel a kapacitásbeli hiányosságok megszüntetésére, hogy az Unió számára lehetővé váljon a katasztrófareagálás együttes megerősítése.</w:t>
      </w:r>
    </w:p>
    <w:p>
      <w:pPr>
        <w:pStyle w:val="Body"/>
        <w:jc w:val="both"/>
        <w:rPr>
          <w:rFonts w:ascii="Times New Roman" w:hAnsi="Times New Roman" w:cs="Times New Roman"/>
          <w:noProof/>
        </w:rPr>
      </w:pPr>
      <w:r>
        <w:rPr>
          <w:rFonts w:ascii="Times New Roman" w:hAnsi="Times New Roman"/>
          <w:noProof/>
        </w:rPr>
        <w:t xml:space="preserve">Először is, az észszerű és koherens uniós katasztrófareagálás biztosítása, valamint az uniós polgári védelmi mechanizmus keretében létező jelenlegi önkéntes rendszer hiányosságainak leküzdése érdekében az Európai Bizottság sürgősen létrehozza az uniós eszközök elkülönített tartalékát: a </w:t>
      </w:r>
      <w:r>
        <w:rPr>
          <w:rFonts w:ascii="Times New Roman" w:hAnsi="Times New Roman"/>
          <w:b/>
          <w:noProof/>
        </w:rPr>
        <w:t>rescEU</w:t>
      </w:r>
      <w:r>
        <w:rPr>
          <w:rFonts w:ascii="Times New Roman" w:hAnsi="Times New Roman"/>
          <w:noProof/>
        </w:rPr>
        <w:t>-t. A rescEU olyan kapacitásokból fog állni, amelyek lehetővé teszik az EU számára, hogy kezelje azok a katasztrófákat, amelyek az elmúlt néhány év során a leggyakrabban érintették Európa társadalmi szövetét. Ezek a következők: erdőtűz elleni tűzoltó repülőgépek, nagy kapacitású szivattyúk, városi kutató-mentő kapacitások, közegészségügyi kockázatok kezelését szolgáló kapacitások építése, valamint tábori kórházak és sürgősségi orvosi csoportok. Ha új, bizonyított kapacitáshiány alakul ki, a Bizottság felhatalmazáson alapuló jogi aktus útján további olyan kapacitásokat jelöl meg, amelyek a rescEU részévé válhatnak.</w:t>
      </w:r>
    </w:p>
    <w:p>
      <w:pPr>
        <w:pStyle w:val="Body"/>
        <w:jc w:val="both"/>
        <w:rPr>
          <w:rFonts w:ascii="Times New Roman" w:eastAsia="Times New Roman" w:hAnsi="Times New Roman" w:cs="Times New Roman"/>
          <w:noProof/>
        </w:rPr>
      </w:pPr>
      <w:r>
        <w:rPr>
          <w:rFonts w:ascii="Times New Roman" w:hAnsi="Times New Roman"/>
          <w:noProof/>
        </w:rPr>
        <w:t>Ez az európai polgári védelmi kapacitás kiegészíti a koordinált európai válaszlépéshez már jelenleg is hozzájáruló meglévő nemzeti reagálási kapacitásokat.</w:t>
      </w:r>
    </w:p>
    <w:p>
      <w:pPr>
        <w:pStyle w:val="Body"/>
        <w:jc w:val="both"/>
        <w:rPr>
          <w:rFonts w:ascii="Times New Roman" w:hAnsi="Times New Roman" w:cs="Times New Roman"/>
          <w:noProof/>
        </w:rPr>
      </w:pPr>
      <w:r>
        <w:rPr>
          <w:rFonts w:ascii="Times New Roman" w:hAnsi="Times New Roman"/>
          <w:noProof/>
        </w:rPr>
        <w:t>A rescEU az uniós megállapodásokon keresztül bérbe adott vagy bérelt, illetve teljes uniós finanszírozással megszerzett kapacitásokból áll majd. E kapacitások valamennyi költségét teljes mértékben az EU finanszírozza, a Bizottság pedig megtartja az üzemelésellenőrzést a szóban forgó eszközök felett, és dönt azok bevetéséről. A műveletek során a kérelmező ország biztosítja, hogy a rescEU kapacitások és csapatok tevékenységei megfeleljenek a Bizottsággal együtt elfogadott műveleti alkalmazásnak.</w:t>
      </w:r>
    </w:p>
    <w:p>
      <w:pPr>
        <w:pStyle w:val="Body"/>
        <w:jc w:val="both"/>
        <w:rPr>
          <w:rFonts w:ascii="Times New Roman" w:hAnsi="Times New Roman" w:cs="Times New Roman"/>
          <w:noProof/>
        </w:rPr>
      </w:pPr>
      <w:r>
        <w:rPr>
          <w:rFonts w:ascii="Times New Roman" w:hAnsi="Times New Roman"/>
          <w:noProof/>
        </w:rPr>
        <w:t>Másodsorban a javaslat tartalmazza az uniós polgári védelmi mechanizmus jelenlegi ösztönző struktúrájának megerősítését és egyszerűsítését. Az EU-nak biztosítania kellene az európai polgári védelmi eszköztár keretében előre lekötött tagállami reagálási kapacitás átalakítási, javítási, operatív, valamint szállítási költségeinek fokozott társfinanszírozását (75 %), amely eszközökre az uniós válságelhárítás bármikor számíthatna. Tekintettel az ezen eszközök megnövelt uniós pénzügyi támogatására, az uniós polgári védelmi mechanizmus aktiválását követően ezek az eszközök a Bizottság kérésére rendelkezésre állnának, kivéve, ha egy tagállam olyan rendkívüli helyzetben van, amely jelentős mértékben befolyásolja a nemzeti feladatok ellátását. Ez jelentős változást jelentene a jelenlegi helyzethez képest.</w:t>
      </w:r>
    </w:p>
    <w:p>
      <w:pPr>
        <w:pStyle w:val="Body"/>
        <w:jc w:val="both"/>
        <w:rPr>
          <w:rFonts w:ascii="Times New Roman" w:eastAsia="Times New Roman" w:hAnsi="Times New Roman" w:cs="Times New Roman"/>
          <w:noProof/>
        </w:rPr>
      </w:pPr>
      <w:r>
        <w:rPr>
          <w:rFonts w:ascii="Times New Roman" w:hAnsi="Times New Roman"/>
          <w:noProof/>
        </w:rPr>
        <w:t>Ugyanakkor az uniós polgári védelmi mechanizmusnak meg kell szüntetnie azon eszközök felhasználásának társfinanszírozását, amelyeket eseti alapon anélkül bocsátanak rendelkezésre, hogy lehetőség lenne előre jelezni azok tényleges rendelkezésre állását a katasztrófák idején.</w:t>
      </w:r>
    </w:p>
    <w:p>
      <w:pPr>
        <w:pStyle w:val="Body"/>
        <w:jc w:val="both"/>
        <w:rPr>
          <w:rFonts w:ascii="Times New Roman" w:eastAsia="Times New Roman" w:hAnsi="Times New Roman" w:cs="Times New Roman"/>
          <w:noProof/>
        </w:rPr>
      </w:pPr>
      <w:r>
        <w:rPr>
          <w:rFonts w:ascii="Times New Roman" w:hAnsi="Times New Roman"/>
          <w:noProof/>
        </w:rPr>
        <w:t>A védelmet nyújtó Európának képesnek kell lennie arra, hogy hosszú bürokratikus eljárásoktól mentesen, gyorsan reagáljon a katasztrófákra. A rescEU megoldást kínál e problémára azáltal, hogy olyan szilárd és hiteles azonnali reagálási kapacitást biztosít, amelyet olyan államok kérésére lehet felhasználni, amelyek nem tudnak megbirkózni egy katasztrófával, és nem kapnak elegendő külső segítséget. A rescEU akkor vehető igénybe, amikor a nemzeti kapacitások túlterheltek. Ugyanakkor nem helyettesíti a nemzeti, regionális és helyi szintű erőfeszítéseket: valamennyi szinten meg kell erősíteni a felkészültséget a kockázatok változása idején.</w:t>
      </w:r>
    </w:p>
    <w:p>
      <w:pPr>
        <w:pStyle w:val="Body"/>
        <w:jc w:val="both"/>
        <w:rPr>
          <w:rFonts w:ascii="Times New Roman" w:hAnsi="Times New Roman" w:cs="Times New Roman"/>
          <w:noProof/>
        </w:rPr>
      </w:pPr>
      <w:r>
        <w:rPr>
          <w:rFonts w:ascii="Times New Roman" w:hAnsi="Times New Roman"/>
          <w:noProof/>
        </w:rPr>
        <w:t>A javaslat rendelkezéseket tartalmaz annak biztosítására is, hogy az uniós pénzeszközöknek az uniós polgári védelmi mechanizmuson keresztül történő folyósítása mellett megfelelő láthatóságot biztosítson az Unió számára.</w:t>
      </w:r>
    </w:p>
    <w:p>
      <w:pPr>
        <w:pStyle w:val="Body"/>
        <w:jc w:val="both"/>
        <w:rPr>
          <w:rFonts w:ascii="Times New Roman" w:hAnsi="Times New Roman" w:cs="Times New Roman"/>
          <w:noProof/>
        </w:rPr>
      </w:pPr>
      <w:r>
        <w:rPr>
          <w:rFonts w:ascii="Times New Roman" w:hAnsi="Times New Roman"/>
          <w:noProof/>
        </w:rPr>
        <w:t>Ennek eredményeként az Európai Unió olyan polgári védelmi mechanizmussal rendelkezne, amely két egymást kiegészítő pilléren nyugodna: a tagállamok eszközeinek hiteles megosztásán egy európai polgári védelmi eszköztár keretében, és a végső kapacitásként az azonnal mozgósítható rescEU-n. Az eredmény egy olyan rendszer lenne, amelyet az egyszerűsítés, a bürokrácia jelentős csökkentése és – ami még fontosabb – gyorsabb és megfelelőbb reagálás jellemezne. Egy olyan polgári védelmi mechanizmus, amely a katasztrófák idején további biztonsági szelepet biztosítana polgáraink védeleméhez.</w:t>
      </w:r>
    </w:p>
    <w:p>
      <w:pPr>
        <w:jc w:val="both"/>
        <w:rPr>
          <w:b/>
          <w:bCs/>
          <w:noProof/>
        </w:rPr>
      </w:pPr>
      <w:r>
        <w:rPr>
          <w:b/>
          <w:noProof/>
          <w:sz w:val="22"/>
        </w:rPr>
        <w:t>3.2.</w:t>
      </w:r>
      <w:r>
        <w:rPr>
          <w:noProof/>
        </w:rPr>
        <w:tab/>
      </w:r>
      <w:r>
        <w:rPr>
          <w:b/>
          <w:noProof/>
          <w:sz w:val="22"/>
        </w:rPr>
        <w:t>A megelőzés és felkészültség magas foka a polgári védelem révén</w:t>
      </w:r>
    </w:p>
    <w:p>
      <w:pPr>
        <w:jc w:val="both"/>
        <w:rPr>
          <w:rFonts w:eastAsia="Times New Roman"/>
          <w:b/>
          <w:bCs/>
          <w:noProof/>
        </w:rPr>
      </w:pPr>
    </w:p>
    <w:p>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noProof/>
        </w:rPr>
      </w:pPr>
      <w:r>
        <w:rPr>
          <w:rFonts w:ascii="Times New Roman" w:hAnsi="Times New Roman"/>
          <w:noProof/>
        </w:rPr>
        <w:t>Az uniós polgári védelmi mechanizmus megerősítése a katasztrófamegelőzést és a kockázatok csökkentését a katasztrófakockázat-kezelési erőfeszítések középpontjába helyezi. Megelőző intézkedésekre van szükség a veszélyek hatásainak csökkentéséhez, valamint ahhoz, hogy a társadalmak jobban felkészüljenek a következő katasztrófák bekövetkeztére, ugyanakkor csökkenteni kell a válaszadási szükségleteket. Az uniós infrastruktúra, az ökoszisztémák és a társadalmak ellenállóképességének növelése a hatékony katasztrófamegelőzés nélkülözhetetlen eleme.</w:t>
      </w:r>
    </w:p>
    <w:p>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noProof/>
        </w:rPr>
      </w:pPr>
      <w:r>
        <w:rPr>
          <w:rFonts w:ascii="Times New Roman" w:hAnsi="Times New Roman"/>
          <w:noProof/>
        </w:rPr>
        <w:t>A rescEU létrehozásához döntő fontosságú, hogy a tagállamok megfelelően beruházzanak a megelőzés és a felkészültség nyomon követésébe. A hatékony katasztrófavédelem alapjául szolgáló katasztrófamegelőzésnek szorosan kapcsolódnia kell a felkészültségi és reagálási tevékenységekhez, és stratégiaibb módon kell integrálódnia a megerősített uniós polgári védelmi mechanizmus fellépéseibe. E célból a jelenlegi javaslat rendelkezik arról, hogy a Bizottságnak képesnek kell lennie arra, hogy a megelőzési és felkészültségi tervek végrehajtását kérje, nyomon kövesse és jelentést tegyen azokról.</w:t>
      </w:r>
    </w:p>
    <w:p>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noProof/>
        </w:rPr>
      </w:pPr>
      <w:r>
        <w:rPr>
          <w:rFonts w:ascii="Times New Roman" w:hAnsi="Times New Roman"/>
          <w:noProof/>
        </w:rPr>
        <w:t>Az új jogszabályra irányuló javaslat megerősíti a katasztrófamegelőzési intézkedések támogatását is az éghajlatváltozáshoz való alkalmazkodás, a korai előrejelző rendszerek, a katasztrófavédelmi felkészültség (pl. képzések és gyakorlatok), a – például a Katasztrófakockázat-kezelési Tudásközpont által indított – tudásmenedzsment-kezdeményezések</w:t>
      </w:r>
      <w:r>
        <w:rPr>
          <w:rStyle w:val="FootnoteReference"/>
          <w:rFonts w:ascii="Times New Roman" w:hAnsi="Times New Roman"/>
          <w:noProof/>
        </w:rPr>
        <w:footnoteReference w:id="12"/>
      </w:r>
      <w:r>
        <w:rPr>
          <w:rFonts w:ascii="Times New Roman" w:hAnsi="Times New Roman"/>
          <w:noProof/>
        </w:rPr>
        <w:t>, a legjobb gyakorlatok cseréje és a technológiatranszfer fontosságának hangsúlyozása, továbbá annak biztosítása révén, hogy a különböző szabványok és protokollok alkalmazása ne akadályozza a hatékony alkalmazást. Emellett konkrét konzultációs mechanizmusokat is lehetővé tesz annak érdekében, hogy a Bizottság összefogja a konkrét közös érdekekkel rendelkező tagállamokat, hogy részletesen kidolgozzák az olyan konkrét kérdések, mint például az erdőtüzek kezelésének módját.</w:t>
      </w:r>
    </w:p>
    <w:p>
      <w:pPr>
        <w:pStyle w:val="Body"/>
        <w:jc w:val="both"/>
        <w:rPr>
          <w:rFonts w:ascii="Times New Roman" w:eastAsia="Times New Roman" w:hAnsi="Times New Roman" w:cs="Times New Roman"/>
          <w:noProof/>
        </w:rPr>
      </w:pPr>
      <w:r>
        <w:rPr>
          <w:rFonts w:ascii="Times New Roman" w:hAnsi="Times New Roman"/>
          <w:noProof/>
        </w:rPr>
        <w:t>Utat nyit továbbá egy célzott uniós polgári védelmi tudáshálózat kifejlesztéséhez is együttműködve az olyan kezdeményezésekkel, mint a Katasztrófakockázat-kezelési Tudásközpont, aminek meg kellene erősítenie az unió polgári védelmi mechanizmusának képzési összetevőjét, amely a vonatkozó nemzeti struktúrákkal az e kérdésben való szoros együttműködésen alapul. A tudáshálózat célja a közös uniós katasztrófavédelem hatékonyabbá tétele lenne. Létre kellene hozni a speciális képzési és gyakorlati központok páneurópai hálózatát, amelyen belül az európai és nemzetközi szinten bevált gyakorlatok terjesztésére, a kölcsönös átjárhatósági és befogadó nemzeti támogatási intézkedések megerősítésére, valamint az EU által végzett közös gyakorlatokra kerülne sor. Ezen uniós polgári védelmi tudáshálózat végső soron elő fogja segíteni az együttműködést és a kölcsönös megértést, és hozzájárul a katasztrófavédelmi felkészültség közös uniós kultúrájának kiépítéséhez. A fokozott együttműködés, a közös képzés és a forgatókönyv-alapú gyakorlatok növelni fogják a közös uniós katasztrófavédelmi felkészültség és reagálás hatékonyságát.</w:t>
      </w:r>
    </w:p>
    <w:p>
      <w:pPr>
        <w:pStyle w:val="Body"/>
        <w:ind w:firstLine="360"/>
        <w:jc w:val="both"/>
        <w:rPr>
          <w:rFonts w:ascii="Times New Roman" w:eastAsia="Times New Roman" w:hAnsi="Times New Roman" w:cs="Times New Roman"/>
          <w:b/>
          <w:noProof/>
        </w:rPr>
      </w:pPr>
      <w:r>
        <w:rPr>
          <w:rFonts w:ascii="Times New Roman" w:hAnsi="Times New Roman"/>
          <w:b/>
          <w:noProof/>
        </w:rPr>
        <w:t>3.3</w:t>
      </w:r>
      <w:r>
        <w:rPr>
          <w:noProof/>
        </w:rPr>
        <w:tab/>
      </w:r>
      <w:r>
        <w:rPr>
          <w:rFonts w:ascii="Times New Roman" w:hAnsi="Times New Roman"/>
          <w:b/>
          <w:noProof/>
        </w:rPr>
        <w:t>Egyszerűsítés</w:t>
      </w:r>
    </w:p>
    <w:p>
      <w:pPr>
        <w:pStyle w:val="Body"/>
        <w:jc w:val="both"/>
        <w:rPr>
          <w:rFonts w:ascii="Times New Roman" w:eastAsia="Times New Roman" w:hAnsi="Times New Roman" w:cs="Times New Roman"/>
          <w:noProof/>
        </w:rPr>
      </w:pPr>
      <w:r>
        <w:rPr>
          <w:rFonts w:ascii="Times New Roman" w:hAnsi="Times New Roman"/>
          <w:noProof/>
        </w:rPr>
        <w:t>A javaslat az adminisztratív eljárások egyszerűsítésére törekszik a segítségnyújtásban bekövetkező késedelmek csökkentése érdekében. Az alábbiak révén egyszerűsíti a jelenlegi rendszert:</w:t>
      </w:r>
    </w:p>
    <w:p>
      <w:pPr>
        <w:pStyle w:val="Body"/>
        <w:numPr>
          <w:ilvl w:val="0"/>
          <w:numId w:val="6"/>
        </w:numPr>
        <w:jc w:val="both"/>
        <w:rPr>
          <w:rFonts w:ascii="Times New Roman" w:eastAsia="Times New Roman" w:hAnsi="Times New Roman" w:cs="Times New Roman"/>
          <w:noProof/>
        </w:rPr>
      </w:pPr>
      <w:r>
        <w:rPr>
          <w:rFonts w:ascii="Times New Roman" w:hAnsi="Times New Roman"/>
          <w:noProof/>
        </w:rPr>
        <w:t>bevezeti a reagálási eszközök egyetlen kategóriáját, azaz az európai polgári védelmi eszköztárat, amely használatához a tagállamok és az uniós költségvetés általi társfinanszírozásra van szükség.</w:t>
      </w:r>
    </w:p>
    <w:p>
      <w:pPr>
        <w:pStyle w:val="Body"/>
        <w:numPr>
          <w:ilvl w:val="0"/>
          <w:numId w:val="6"/>
        </w:numPr>
        <w:jc w:val="both"/>
        <w:rPr>
          <w:rFonts w:ascii="Times New Roman" w:eastAsia="Times New Roman" w:hAnsi="Times New Roman" w:cs="Times New Roman"/>
          <w:noProof/>
        </w:rPr>
      </w:pPr>
      <w:r>
        <w:rPr>
          <w:rFonts w:ascii="Times New Roman" w:hAnsi="Times New Roman"/>
          <w:noProof/>
        </w:rPr>
        <w:t>Bevezeti az egységes társfinanszírozási arányt (75 %) az európai polgári védelmi eszköztárban található eszközök átalakítási, javítási, valamint szállítási és operatív költségei tekintetében.</w:t>
      </w:r>
    </w:p>
    <w:p>
      <w:pPr>
        <w:pStyle w:val="Body"/>
        <w:numPr>
          <w:ilvl w:val="0"/>
          <w:numId w:val="6"/>
        </w:numPr>
        <w:jc w:val="both"/>
        <w:rPr>
          <w:rFonts w:ascii="Times New Roman" w:eastAsia="Times New Roman" w:hAnsi="Times New Roman" w:cs="Times New Roman"/>
          <w:noProof/>
        </w:rPr>
      </w:pPr>
      <w:r>
        <w:rPr>
          <w:rFonts w:ascii="Times New Roman" w:hAnsi="Times New Roman"/>
          <w:noProof/>
        </w:rPr>
        <w:t xml:space="preserve">Az egységesség és a hatékonyság javítása érdekében a szállítási költségek társfinanszírozása tekintetében külön utalás történik az egységköltségek alkalmazására, az egyösszegű kifizetésekre és az átalányfinanszírozás alkalmazására. </w:t>
      </w:r>
    </w:p>
    <w:p>
      <w:pPr>
        <w:pStyle w:val="Body"/>
        <w:numPr>
          <w:ilvl w:val="0"/>
          <w:numId w:val="6"/>
        </w:numPr>
        <w:jc w:val="both"/>
        <w:rPr>
          <w:rFonts w:ascii="Times New Roman" w:eastAsia="Times New Roman" w:hAnsi="Times New Roman" w:cs="Times New Roman"/>
          <w:noProof/>
        </w:rPr>
      </w:pPr>
      <w:r>
        <w:rPr>
          <w:rFonts w:ascii="Times New Roman" w:hAnsi="Times New Roman"/>
          <w:noProof/>
        </w:rPr>
        <w:t>Az alkalmazási kör tisztázása és az eszközök azonnali reagálási szakaszban való alkalmazásának ösztönzése érdekében az uniós polgári védelmi mechanizmus aktiválását 90 napos időszakra korlátozó különös rendelkezéseket is bevezettek.</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b/>
          <w:noProof/>
        </w:rPr>
      </w:pPr>
      <w:r>
        <w:rPr>
          <w:rFonts w:ascii="Times New Roman" w:hAnsi="Times New Roman"/>
          <w:b/>
          <w:noProof/>
        </w:rPr>
        <w:t>KULCSFONTOSSÁGÚ INTÉZKEDÉSEK:</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noProof/>
        </w:rPr>
      </w:pPr>
      <w:r>
        <w:rPr>
          <w:rFonts w:ascii="Times New Roman" w:hAnsi="Times New Roman"/>
          <w:noProof/>
        </w:rPr>
        <w:t>A tagállamok a Tanácsban és az Európai Parlamentben elfogadják az uniós polgári védelmi mechanizmust módosító jogszabályt.</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noProof/>
        </w:rPr>
      </w:pPr>
      <w:r>
        <w:rPr>
          <w:rFonts w:ascii="Times New Roman" w:hAnsi="Times New Roman"/>
          <w:noProof/>
        </w:rPr>
        <w:t>A tagállamok előkészítő intézkedéseket hoznak annak érdekében, hogy a jogszabályok elfogadását követően készen álljanak az európai polgári védelmi eszköztár számára további kapacitást biztosítani.</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noProof/>
        </w:rPr>
      </w:pPr>
      <w:r>
        <w:rPr>
          <w:rFonts w:ascii="Times New Roman" w:hAnsi="Times New Roman"/>
          <w:noProof/>
        </w:rPr>
        <w:t xml:space="preserve">Egy konkrét konzultációs mechanizmus első példájaként a Bizottság olyan struktúrát hoz létre, amely lehetővé teszi az érintett tagállamok közötti rendszeres és szoros koordinációt és együttműködést a tűzidőszakok előtt és alatt. </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noProof/>
        </w:rPr>
      </w:pPr>
      <w:r>
        <w:rPr>
          <w:rFonts w:ascii="Times New Roman" w:hAnsi="Times New Roman"/>
          <w:noProof/>
        </w:rPr>
        <w:t>A Bizottság minden előkészítő intézkedést megtesz a lízing vagy bérleti szerződések megkötése érdekében, hogy a rescEU számára biztosítsa az előirányzott kapacitásokat.</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noProof/>
        </w:rPr>
      </w:pPr>
      <w:r>
        <w:rPr>
          <w:rFonts w:ascii="Times New Roman" w:hAnsi="Times New Roman"/>
          <w:noProof/>
        </w:rPr>
        <w:t>A Bizottság meg fogja könnyíteni az iparral folytatott megbeszéléseket a piacokon nem egyszerűen elérhető kapacitások – mint például a tűzoltó repülőgépek – előállításának felgyorsítása érdekében.</w:t>
      </w:r>
    </w:p>
    <w:p>
      <w:pPr>
        <w:pStyle w:val="Body"/>
        <w:pBdr>
          <w:top w:val="single" w:sz="4" w:space="1" w:color="auto"/>
          <w:left w:val="single" w:sz="4" w:space="1" w:color="auto"/>
          <w:bottom w:val="single" w:sz="4" w:space="1" w:color="auto"/>
          <w:right w:val="single" w:sz="4" w:space="1" w:color="auto"/>
        </w:pBdr>
        <w:jc w:val="both"/>
        <w:rPr>
          <w:rFonts w:ascii="Times New Roman" w:eastAsia="Times New Roman" w:hAnsi="Times New Roman" w:cs="Times New Roman"/>
          <w:noProof/>
        </w:rPr>
      </w:pPr>
      <w:r>
        <w:rPr>
          <w:rFonts w:ascii="Times New Roman" w:hAnsi="Times New Roman"/>
          <w:noProof/>
        </w:rPr>
        <w:t>A tagállamok megelőzési és felkészültségi terveket készítenek, és azokat legkésőbb 2019. január 31-ig megküldik a Bizottságnak annak érdekében, hogy az felülvizsgálhassa őket és segítséget nyújthasson azoknak a tagállamoknak, amelyeknek további támogatásra lehet szüksége.</w:t>
      </w:r>
    </w:p>
    <w:p>
      <w:pPr>
        <w:pStyle w:val="Body"/>
        <w:pBdr>
          <w:top w:val="single" w:sz="4" w:space="1" w:color="auto"/>
          <w:left w:val="single" w:sz="4" w:space="1" w:color="auto"/>
          <w:bottom w:val="single" w:sz="4" w:space="1" w:color="auto"/>
          <w:right w:val="single" w:sz="4" w:space="1" w:color="auto"/>
        </w:pBdr>
        <w:jc w:val="both"/>
        <w:rPr>
          <w:rFonts w:ascii="Times New Roman" w:eastAsia="Times New Roman" w:hAnsi="Times New Roman" w:cs="Times New Roman"/>
          <w:noProof/>
        </w:rPr>
      </w:pPr>
      <w:r>
        <w:rPr>
          <w:rFonts w:ascii="Times New Roman" w:hAnsi="Times New Roman"/>
          <w:noProof/>
        </w:rPr>
        <w:t>A Bizottság összehangolja a nagyszabású katasztrófákra, köztük a terrortámadásokra való, több ágazatot érintő felkészülésre és reagálásra vonatkozóan a tagállamokkal folytatott információcserét a polgári védelem területén.</w:t>
      </w:r>
    </w:p>
    <w:p>
      <w:pPr>
        <w:pStyle w:val="Body"/>
        <w:jc w:val="both"/>
        <w:rPr>
          <w:rFonts w:ascii="Times New Roman" w:eastAsia="Times New Roman" w:hAnsi="Times New Roman" w:cs="Times New Roman"/>
          <w:noProof/>
        </w:rPr>
      </w:pPr>
    </w:p>
    <w:p>
      <w:pPr>
        <w:spacing w:after="200" w:line="276" w:lineRule="auto"/>
        <w:jc w:val="both"/>
        <w:rPr>
          <w:rFonts w:eastAsia="Times New Roman"/>
          <w:b/>
          <w:bCs/>
          <w:smallCaps/>
          <w:noProof/>
          <w:color w:val="000000"/>
          <w:sz w:val="22"/>
          <w:szCs w:val="22"/>
          <w:u w:color="000000"/>
        </w:rPr>
      </w:pPr>
      <w:r>
        <w:rPr>
          <w:b/>
          <w:smallCaps/>
          <w:noProof/>
          <w:color w:val="000000"/>
          <w:sz w:val="22"/>
          <w:u w:color="000000"/>
        </w:rPr>
        <w:t>4.</w:t>
      </w:r>
      <w:r>
        <w:rPr>
          <w:noProof/>
        </w:rPr>
        <w:tab/>
      </w:r>
      <w:r>
        <w:rPr>
          <w:b/>
          <w:smallCaps/>
          <w:noProof/>
          <w:color w:val="000000"/>
          <w:sz w:val="22"/>
          <w:u w:color="000000"/>
        </w:rPr>
        <w:t>Komplementaritás más uniós szakpolitikákkal</w:t>
      </w:r>
    </w:p>
    <w:p>
      <w:pPr>
        <w:spacing w:after="200" w:line="276" w:lineRule="auto"/>
        <w:jc w:val="both"/>
        <w:rPr>
          <w:rFonts w:eastAsia="Times New Roman"/>
          <w:noProof/>
          <w:color w:val="000000"/>
          <w:sz w:val="22"/>
          <w:szCs w:val="22"/>
          <w:u w:color="000000"/>
        </w:rPr>
      </w:pPr>
      <w:r>
        <w:rPr>
          <w:noProof/>
          <w:color w:val="000000"/>
          <w:sz w:val="22"/>
          <w:u w:color="000000"/>
        </w:rPr>
        <w:t>A reagálás és a felkészültség terén a szolidaritás és a felelősségvállalás magasabb szintjét a kockázatok hosszú távú csökkentéséhez szükséges megelőző intézkedéseknek kell kísérniük. Ez elkerülhetetlenül az uniós szakpolitikák fokozottabb összehangolását jelenti, de nemzeti szinten – többek között a regionális és helyi szereplők – és a tagállamok rendelkezésére álló különböző eszközök közötti is növekszik a koordináció.</w:t>
      </w:r>
    </w:p>
    <w:p>
      <w:pPr>
        <w:spacing w:after="200" w:line="276" w:lineRule="auto"/>
        <w:jc w:val="both"/>
        <w:rPr>
          <w:rFonts w:eastAsia="Calibri" w:cs="Calibri"/>
          <w:noProof/>
          <w:color w:val="000000"/>
          <w:sz w:val="22"/>
          <w:szCs w:val="22"/>
          <w:u w:color="000000"/>
        </w:rPr>
      </w:pPr>
      <w:r>
        <w:rPr>
          <w:noProof/>
          <w:color w:val="000000"/>
          <w:sz w:val="22"/>
          <w:u w:color="000000"/>
        </w:rPr>
        <w:t>A katasztrófakockázat-kezeléssel kapcsolatos megfontolások egyre inkább beépülnek számos uniós politikába. Az éghajlatváltozáshoz való alkalmazkodásról szóló uniós stratégia például a legfontosabb sebezhető ágazatok alkalmazkodásának elősegítésével és a katasztrófakockázat-kezeléssel való szinergia révén támogatja az uniós fellépések az éghajlatváltozás hatásaival szemben ellenállóképesebbé tételét. Ezeket a megfontolásokat beillesztik a pénzügyi eszközökbe is, ideértve az európai strukturális és beruházási alapokat, a Szolidaritási Alapot, a környezetvédelmi jogszabályokat (pl. árvízvédelmi tervek és az ökorendszeren alapuló megoldások), a kutatást és innovációt</w:t>
      </w:r>
      <w:r>
        <w:rPr>
          <w:rStyle w:val="FootnoteReference"/>
          <w:noProof/>
          <w:color w:val="000000"/>
          <w:sz w:val="22"/>
          <w:u w:color="000000"/>
        </w:rPr>
        <w:footnoteReference w:id="13"/>
      </w:r>
      <w:r>
        <w:rPr>
          <w:noProof/>
          <w:color w:val="000000"/>
          <w:sz w:val="22"/>
          <w:u w:color="000000"/>
        </w:rPr>
        <w:t>, valamint a határokon át terjedő súlyos egészségügyi veszélyek kezelését célzó politikákat és másokat</w:t>
      </w:r>
      <w:r>
        <w:rPr>
          <w:noProof/>
          <w:color w:val="000000"/>
          <w:sz w:val="22"/>
          <w:u w:color="000000"/>
          <w:vertAlign w:val="superscript"/>
        </w:rPr>
        <w:footnoteReference w:id="14"/>
      </w:r>
      <w:r>
        <w:rPr>
          <w:noProof/>
          <w:color w:val="000000"/>
          <w:sz w:val="22"/>
          <w:u w:color="000000"/>
        </w:rPr>
        <w:t>. Hasonlóképpen hozzájárul a megerősített ellenálló képességhez és a fenntartható növekedéshez, ha az EU-n belül a beruházások még ellenállóbbá válnak a katasztrófakockázatokkal szemben.</w:t>
      </w:r>
    </w:p>
    <w:p>
      <w:pPr>
        <w:spacing w:after="200" w:line="276" w:lineRule="auto"/>
        <w:jc w:val="both"/>
        <w:rPr>
          <w:rFonts w:eastAsia="Calibri" w:cs="Calibri"/>
          <w:noProof/>
          <w:color w:val="000000"/>
          <w:sz w:val="22"/>
          <w:szCs w:val="22"/>
          <w:u w:color="000000"/>
        </w:rPr>
      </w:pPr>
      <w:r>
        <w:rPr>
          <w:noProof/>
          <w:color w:val="000000"/>
          <w:sz w:val="22"/>
          <w:u w:color="000000"/>
        </w:rPr>
        <w:t>A katasztrófamegelőzést és kezelést támogató uniós alapok többségét jelenleg az európai strukturális és beruházási alapok keretében programozzák:</w:t>
      </w:r>
    </w:p>
    <w:p>
      <w:pPr>
        <w:pStyle w:val="ListParagraph"/>
        <w:numPr>
          <w:ilvl w:val="0"/>
          <w:numId w:val="7"/>
        </w:numPr>
        <w:jc w:val="both"/>
        <w:rPr>
          <w:rFonts w:ascii="Times New Roman" w:eastAsia="Times New Roman" w:hAnsi="Times New Roman" w:cs="Times New Roman"/>
          <w:noProof/>
        </w:rPr>
      </w:pPr>
      <w:r>
        <w:rPr>
          <w:rFonts w:ascii="Times New Roman" w:hAnsi="Times New Roman"/>
          <w:noProof/>
        </w:rPr>
        <w:t>A 2014–2020 közötti időszakban 20 tagállam közel 8 milliárd eurót különített el az éghajlatváltozáshoz való alkalmazkodásra és a katasztrófamegelőzésre, valamint a kohéziós politikához kapcsolódó alapokon keresztül történő kezelésre, ami e területen az uniós finanszírozás legnagyobb forrását jelenti</w:t>
      </w:r>
      <w:r>
        <w:rPr>
          <w:rFonts w:ascii="Times New Roman" w:hAnsi="Times New Roman"/>
          <w:noProof/>
          <w:vertAlign w:val="superscript"/>
        </w:rPr>
        <w:footnoteReference w:id="15"/>
      </w:r>
      <w:r>
        <w:rPr>
          <w:rFonts w:ascii="Times New Roman" w:hAnsi="Times New Roman"/>
          <w:noProof/>
        </w:rPr>
        <w:t>.</w:t>
      </w:r>
    </w:p>
    <w:p>
      <w:pPr>
        <w:pStyle w:val="ListParagraph"/>
        <w:numPr>
          <w:ilvl w:val="0"/>
          <w:numId w:val="7"/>
        </w:numPr>
        <w:jc w:val="both"/>
        <w:rPr>
          <w:rFonts w:ascii="Times New Roman" w:hAnsi="Times New Roman" w:cs="Times New Roman"/>
          <w:noProof/>
        </w:rPr>
      </w:pPr>
      <w:r>
        <w:rPr>
          <w:rFonts w:ascii="Times New Roman" w:hAnsi="Times New Roman"/>
          <w:noProof/>
        </w:rPr>
        <w:t xml:space="preserve">Az Európai Mezőgazdasági Vidékfejlesztési Alap (EMVA) a vidékfejlesztéssel kapcsolatos prioritásai keretében magában foglalja </w:t>
      </w:r>
      <w:r>
        <w:rPr>
          <w:rFonts w:ascii="Times New Roman" w:hAnsi="Times New Roman"/>
          <w:i/>
          <w:noProof/>
        </w:rPr>
        <w:t>a mezőgazdasági üzemekben megvalósuló kockázatmegelőzés és -kezelés támogatásának</w:t>
      </w:r>
      <w:r>
        <w:rPr>
          <w:rFonts w:ascii="Times New Roman" w:hAnsi="Times New Roman"/>
          <w:noProof/>
        </w:rPr>
        <w:t xml:space="preserve"> kiemelt területét. Az alap olyan erdészeti intézkedéseket is támogat, amelyek konkrét erdőtűz megelőzést és helyreállítást célzó intézkedéseket tartalmaznak. E célból mintegy 2,3 milliárd EUR-t különítettek el kifejezetten a 2014–2020 közötti időszakra.</w:t>
      </w:r>
      <w:r>
        <w:rPr>
          <w:rFonts w:ascii="Times New Roman" w:hAnsi="Times New Roman"/>
          <w:i/>
          <w:noProof/>
        </w:rPr>
        <w:t xml:space="preserve"> </w:t>
      </w:r>
      <w:r>
        <w:rPr>
          <w:rFonts w:ascii="Times New Roman" w:hAnsi="Times New Roman"/>
          <w:noProof/>
        </w:rPr>
        <w:t>A jelenlegi programozási időszakban még nem került sor a természeti katasztrófák és katasztrófaesemények következményeinek csökkentését célzó megelőző intézkedésekre</w:t>
      </w:r>
      <w:r>
        <w:rPr>
          <w:rFonts w:ascii="Times New Roman" w:hAnsi="Times New Roman"/>
          <w:noProof/>
          <w:vertAlign w:val="superscript"/>
        </w:rPr>
        <w:footnoteReference w:id="16"/>
      </w:r>
      <w:r>
        <w:rPr>
          <w:rFonts w:ascii="Times New Roman" w:hAnsi="Times New Roman"/>
          <w:noProof/>
        </w:rPr>
        <w:t>, valamint a mezőgazdasági földterületek és a termelési potenciál helyreállítására</w:t>
      </w:r>
      <w:r>
        <w:rPr>
          <w:rFonts w:ascii="Times New Roman" w:hAnsi="Times New Roman"/>
          <w:noProof/>
          <w:vertAlign w:val="superscript"/>
        </w:rPr>
        <w:footnoteReference w:id="17"/>
      </w:r>
      <w:r>
        <w:rPr>
          <w:rFonts w:ascii="Times New Roman" w:hAnsi="Times New Roman"/>
          <w:noProof/>
        </w:rPr>
        <w:t xml:space="preserve"> irányuló beruházások</w:t>
      </w:r>
      <w:r>
        <w:rPr>
          <w:rFonts w:ascii="Times New Roman" w:hAnsi="Times New Roman"/>
          <w:noProof/>
          <w:vertAlign w:val="superscript"/>
        </w:rPr>
        <w:footnoteReference w:id="18"/>
      </w:r>
      <w:r>
        <w:rPr>
          <w:rFonts w:ascii="Times New Roman" w:hAnsi="Times New Roman"/>
          <w:noProof/>
        </w:rPr>
        <w:t xml:space="preserve"> támogatását célzó tervezett intézkedések túlnyomó többségének végrehajtására.</w:t>
      </w:r>
    </w:p>
    <w:p>
      <w:pPr>
        <w:spacing w:after="200" w:line="276" w:lineRule="auto"/>
        <w:jc w:val="both"/>
        <w:rPr>
          <w:noProof/>
          <w:sz w:val="22"/>
          <w:szCs w:val="22"/>
        </w:rPr>
      </w:pPr>
      <w:r>
        <w:rPr>
          <w:noProof/>
          <w:sz w:val="22"/>
        </w:rPr>
        <w:t>Ezen felül, mivel az EU Szolidaritási Alapjának – a súlyos természeti katasztrófákat követő veszélyhelyzeti és helyreállítási intézkedések (újra) finanszírozási eszközeként – 2002-ben történt létrehozása óta a Bizottság összesen több mint 5 milliárd EUR-t ítélt oda a katasztrófa utáni beavatkozásokhoz nyújtott uniós pénzügyi támogatásként.</w:t>
      </w:r>
    </w:p>
    <w:p>
      <w:pPr>
        <w:spacing w:after="200" w:line="276" w:lineRule="auto"/>
        <w:jc w:val="both"/>
        <w:rPr>
          <w:rFonts w:eastAsia="Calibri" w:cs="Calibri"/>
          <w:noProof/>
          <w:color w:val="000000"/>
          <w:sz w:val="22"/>
          <w:szCs w:val="22"/>
          <w:u w:color="000000"/>
        </w:rPr>
      </w:pPr>
      <w:r>
        <w:rPr>
          <w:noProof/>
          <w:color w:val="000000"/>
          <w:sz w:val="22"/>
          <w:u w:color="000000"/>
        </w:rPr>
        <w:t>A hatékony és eredményes kiadások biztosítása érdekében az európai strukturális és beruházási alapok odaítélése tekintetében érvényben vannak a katasztrófakockázatok megelőzésére és kezelésére, valamint az éghajlatváltozáshoz való alkalmazkodásra vonatkozó előfeltételek is: a kockázatmegelőzésbe történő beruházáshoz szükség van nemzeti vagy regionális kockázatértékelésekre, ideértve az éghajlatváltozáshoz való alkalmazkodást és kezelést is. A feltételrendszer arra ösztönözte a tagállamokat, hogy a katasztrófakockázat-kezelési rendszereikben strukturális változtatásokat hajtsanak végre, erősítsék közigazgatási kapacitásukat, és javítsák beruházásaik minőségét.</w:t>
      </w:r>
    </w:p>
    <w:p>
      <w:pPr>
        <w:spacing w:after="200" w:line="276" w:lineRule="auto"/>
        <w:jc w:val="both"/>
        <w:rPr>
          <w:rFonts w:eastAsia="Calibri" w:cs="Calibri"/>
          <w:noProof/>
          <w:color w:val="000000"/>
          <w:sz w:val="22"/>
          <w:szCs w:val="22"/>
          <w:u w:color="000000"/>
        </w:rPr>
      </w:pPr>
      <w:r>
        <w:rPr>
          <w:noProof/>
          <w:color w:val="000000"/>
          <w:sz w:val="22"/>
          <w:u w:color="000000"/>
        </w:rPr>
        <w:t>Az EU-ban a megelőzés erősítése a tudományos támogatással alátámasztott szilárd tudásalapra, valamint a kiterjedt bizonyítékok, a levont tanulságok, a bevált gyakorlatok és a projektek eredményeinek hatékony terjesztésére épül. A katasztrófák kockázatainak megértése előfeltétele a kockázatok tudatosításának és a kockázati kultúra kiépítésének az EU-ban.</w:t>
      </w:r>
    </w:p>
    <w:p>
      <w:pPr>
        <w:spacing w:after="200" w:line="276" w:lineRule="auto"/>
        <w:jc w:val="both"/>
        <w:rPr>
          <w:rFonts w:eastAsia="Calibri" w:cs="Calibri"/>
          <w:noProof/>
          <w:color w:val="000000"/>
          <w:sz w:val="22"/>
          <w:szCs w:val="22"/>
          <w:u w:color="000000"/>
        </w:rPr>
      </w:pPr>
      <w:r>
        <w:rPr>
          <w:noProof/>
          <w:color w:val="000000"/>
          <w:sz w:val="22"/>
          <w:u w:color="000000"/>
        </w:rPr>
        <w:t>Számos más uniós szakpolitika és forrás támogathatja a reagálási és helyreállítási erőfeszítéseket, többek között az Európai Mezőgazdasági Vidékfejlesztési Alap keretében végrehajtott helyreállítási intézkedések, a kohéziós politika által finanszírozott programok rugalmassága és az EU Szolidaritási Alapjának aktiválása révén. Ezen túlmenően az Európai Szolidaritási Testület lehetővé teszi a fiatalok számára, hogy az EU szolidaritásának erőteljes kifejeződéseként támogassák a katasztrófák megelőzésén dolgozó közösségeket, segítsék őket a helyreállításban.</w:t>
      </w:r>
    </w:p>
    <w:p>
      <w:pPr>
        <w:spacing w:after="200" w:line="276" w:lineRule="auto"/>
        <w:jc w:val="both"/>
        <w:rPr>
          <w:rFonts w:eastAsia="Calibri" w:cs="Calibri"/>
          <w:noProof/>
          <w:color w:val="000000"/>
          <w:sz w:val="22"/>
          <w:szCs w:val="22"/>
          <w:u w:color="000000"/>
        </w:rPr>
      </w:pPr>
      <w:r>
        <w:rPr>
          <w:noProof/>
          <w:color w:val="000000"/>
          <w:sz w:val="22"/>
          <w:u w:color="000000"/>
        </w:rPr>
        <w:t>Az uniós vívmányok vonatkozó területeinek aktualizálása során általánosságban figyelembe kell venni a katasztrófamegelőzéshez és reagáláshoz való hozzájárulás jelentőségét.</w:t>
      </w:r>
    </w:p>
    <w:p>
      <w:pPr>
        <w:spacing w:after="200" w:line="276" w:lineRule="auto"/>
        <w:jc w:val="both"/>
        <w:rPr>
          <w:rFonts w:eastAsia="Times New Roman"/>
          <w:noProof/>
          <w:color w:val="000000"/>
          <w:sz w:val="22"/>
          <w:szCs w:val="22"/>
          <w:u w:color="000000"/>
        </w:rPr>
      </w:pPr>
    </w:p>
    <w:p>
      <w:pPr>
        <w:spacing w:after="200" w:line="276" w:lineRule="auto"/>
        <w:jc w:val="both"/>
        <w:rPr>
          <w:rFonts w:eastAsia="Times New Roman"/>
          <w:noProof/>
          <w:color w:val="000000"/>
          <w:sz w:val="22"/>
          <w:szCs w:val="22"/>
          <w:u w:color="000000"/>
        </w:rPr>
      </w:pP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b/>
          <w:noProof/>
          <w:color w:val="000000"/>
          <w:sz w:val="22"/>
          <w:szCs w:val="22"/>
          <w:u w:color="000000"/>
        </w:rPr>
      </w:pPr>
      <w:r>
        <w:rPr>
          <w:b/>
          <w:noProof/>
          <w:color w:val="000000"/>
          <w:sz w:val="22"/>
          <w:u w:color="000000"/>
        </w:rPr>
        <w:t>KULCSFONTOSSÁGÚ INTÉZKEDÉSEK</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noProof/>
          <w:color w:val="000000"/>
          <w:sz w:val="22"/>
          <w:szCs w:val="22"/>
          <w:u w:color="000000"/>
        </w:rPr>
      </w:pPr>
      <w:r>
        <w:rPr>
          <w:noProof/>
          <w:color w:val="000000"/>
          <w:sz w:val="22"/>
          <w:u w:color="000000"/>
        </w:rPr>
        <w:t>A tagállamoknak a meglévő uniós jogszabályok szerinti valamennyi finanszírozási lehetőséget fel kell használniuk a kapacitások megszerzése, kiigazítása és felújítása érdekében.</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noProof/>
          <w:color w:val="000000"/>
          <w:sz w:val="22"/>
          <w:szCs w:val="22"/>
          <w:u w:color="000000"/>
        </w:rPr>
      </w:pPr>
      <w:r>
        <w:rPr>
          <w:noProof/>
          <w:color w:val="000000"/>
          <w:sz w:val="22"/>
          <w:u w:color="000000"/>
        </w:rPr>
        <w:t>A Bizottság fontolóra veszi, hogy a 2020 utáni időszakban a kockázatértékelés és a kockázatkezelés tervezésére vonatkozó rendelkezéseket</w:t>
      </w:r>
      <w:r>
        <w:rPr>
          <w:rStyle w:val="FootnoteReference"/>
          <w:noProof/>
          <w:color w:val="000000"/>
          <w:sz w:val="22"/>
          <w:u w:color="000000"/>
        </w:rPr>
        <w:footnoteReference w:id="19"/>
      </w:r>
      <w:r>
        <w:rPr>
          <w:noProof/>
          <w:color w:val="000000"/>
          <w:sz w:val="22"/>
          <w:u w:color="000000"/>
        </w:rPr>
        <w:t xml:space="preserve"> előzetes feltételrendszerként alkalmazza mind a kohéziós politika, mind pedig az Európai Mezőgazdasági Vidékfejlesztési Alap keretében.</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noProof/>
          <w:color w:val="000000"/>
          <w:sz w:val="22"/>
          <w:szCs w:val="22"/>
          <w:u w:color="000000"/>
        </w:rPr>
      </w:pPr>
      <w:r>
        <w:rPr>
          <w:noProof/>
          <w:color w:val="000000"/>
          <w:sz w:val="22"/>
          <w:u w:color="000000"/>
        </w:rPr>
        <w:t>A Bizottság fontolóra veszi, hogy a 2020 utáni időszakra vonatkozó szabályok miként segíthetik elő a reagálási eszközök európai polgári védelmi eszköztára keretében alkalmazott katasztrófareagálási képességeknek a kohéziós politikához kapcsolódó alapokon keresztüli társfinanszírozását.</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Times New Roman"/>
          <w:noProof/>
          <w:color w:val="000000"/>
          <w:sz w:val="22"/>
          <w:szCs w:val="22"/>
          <w:u w:color="000000"/>
        </w:rPr>
      </w:pPr>
      <w:r>
        <w:rPr>
          <w:noProof/>
          <w:color w:val="000000"/>
          <w:sz w:val="22"/>
          <w:u w:color="000000"/>
        </w:rPr>
        <w:t>A Bizottság 2018 nyaráig átvilágítja az összes vonatkozó programba való tervezett beruházásokat, és megvitatja a tagállamokkal az esetleges változásokat. A tagállamoknak konkrét projektekre kell összpontosítaniuk fennmaradó pénzeszközök felhasználását, és amennyiben szükséges, a Bizottság gyorsan módosítja a programokat.</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noProof/>
          <w:color w:val="000000"/>
          <w:sz w:val="22"/>
          <w:szCs w:val="22"/>
          <w:u w:color="000000"/>
        </w:rPr>
      </w:pPr>
      <w:r>
        <w:rPr>
          <w:noProof/>
          <w:color w:val="000000"/>
          <w:sz w:val="22"/>
          <w:u w:color="000000"/>
        </w:rPr>
        <w:t>A tagállamoknak lehetőségük van arra, hogy az európai strukturális és beruházási alapok keretében megnövelt társfinanszírozási arányokat vagy a természeti katasztrófákat követő helyreállítási intézkedéseket alkalmazzanak.</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Times New Roman"/>
          <w:noProof/>
          <w:color w:val="000000"/>
          <w:sz w:val="22"/>
          <w:szCs w:val="22"/>
          <w:u w:color="000000"/>
        </w:rPr>
      </w:pPr>
      <w:r>
        <w:rPr>
          <w:noProof/>
          <w:color w:val="000000"/>
          <w:sz w:val="22"/>
          <w:u w:color="000000"/>
        </w:rPr>
        <w:t>A Bizottság fontolóra veszi, hogy 2020 után miként lehetne felgyorsítani az európai strukturális és beruházási alapok vonatkozó programjainak módosítására irányuló eljárásokat, különösen egy katasztrófát követően</w:t>
      </w:r>
      <w:r>
        <w:rPr>
          <w:noProof/>
          <w:color w:val="000000"/>
          <w:sz w:val="22"/>
          <w:u w:color="000000"/>
          <w:vertAlign w:val="superscript"/>
        </w:rPr>
        <w:footnoteReference w:id="20"/>
      </w:r>
      <w:r>
        <w:rPr>
          <w:noProof/>
          <w:color w:val="000000"/>
          <w:sz w:val="22"/>
          <w:u w:color="000000"/>
        </w:rPr>
        <w:t>.</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noProof/>
          <w:color w:val="000000"/>
          <w:sz w:val="22"/>
          <w:szCs w:val="22"/>
          <w:u w:color="000000"/>
        </w:rPr>
      </w:pPr>
      <w:r>
        <w:rPr>
          <w:noProof/>
          <w:color w:val="000000"/>
          <w:sz w:val="22"/>
          <w:u w:color="000000"/>
        </w:rPr>
        <w:t>A Bizottságnak kihasználja a vonatkozó uniós jogszabályok és eljárások felülvizsgálatában rejlő lehetőséget a katasztrófavédelemmel kapcsolatos megfontolások erőteljes megerősítése érdekében a kormányzás minden szintjén.</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Times New Roman"/>
          <w:noProof/>
          <w:color w:val="000000"/>
          <w:sz w:val="22"/>
          <w:szCs w:val="22"/>
          <w:u w:color="000000"/>
        </w:rPr>
      </w:pPr>
      <w:r>
        <w:rPr>
          <w:noProof/>
          <w:color w:val="000000"/>
          <w:sz w:val="22"/>
          <w:u w:color="000000"/>
        </w:rPr>
        <w:t>A megelőző intézkedésekkel kapcsolatos tudatosság növelése érdekében a Bizottság kommunikációs és figyelemfelhívó kampányt indít a katasztrófamegelőzésről, különös tekintettel az erdőtüzekre, a hőhullámokra és az éghajlatváltozás által okozott egyéb szélsőséges időjárási eseményekre.</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Times New Roman"/>
          <w:noProof/>
          <w:color w:val="000000"/>
          <w:sz w:val="22"/>
          <w:szCs w:val="22"/>
          <w:u w:color="000000"/>
        </w:rPr>
      </w:pPr>
      <w:r>
        <w:rPr>
          <w:noProof/>
          <w:color w:val="000000"/>
          <w:sz w:val="22"/>
          <w:u w:color="000000"/>
        </w:rPr>
        <w:t>A tagállamok és a Bizottság előmozdítják a veszteségekre vonatkozó adatok rendszeresebb gyűjtését és terjesztését, fokozza a veszteségekre vonatkozó adatok gyűjtését és ezen adatokat felhasználja a megelőzésre és az éghajlatváltozáshoz való alkalmazkodásra vonatkozó optimális tervezéshez.</w:t>
      </w:r>
    </w:p>
    <w:p>
      <w:pPr>
        <w:spacing w:after="200" w:line="276" w:lineRule="auto"/>
        <w:ind w:left="360"/>
        <w:jc w:val="both"/>
        <w:rPr>
          <w:rFonts w:eastAsia="Times New Roman"/>
          <w:b/>
          <w:bCs/>
          <w:noProof/>
          <w:color w:val="000000"/>
          <w:sz w:val="22"/>
          <w:szCs w:val="22"/>
          <w:u w:color="000000"/>
        </w:rPr>
      </w:pPr>
    </w:p>
    <w:p>
      <w:pPr>
        <w:spacing w:after="200" w:line="276" w:lineRule="auto"/>
        <w:jc w:val="both"/>
        <w:rPr>
          <w:rFonts w:eastAsia="Times New Roman"/>
          <w:b/>
          <w:bCs/>
          <w:smallCaps/>
          <w:noProof/>
          <w:color w:val="000000"/>
          <w:sz w:val="22"/>
          <w:szCs w:val="22"/>
          <w:u w:color="000000"/>
        </w:rPr>
      </w:pPr>
      <w:r>
        <w:rPr>
          <w:b/>
          <w:smallCaps/>
          <w:noProof/>
          <w:color w:val="000000"/>
          <w:sz w:val="22"/>
          <w:u w:color="000000"/>
        </w:rPr>
        <w:t>5.</w:t>
      </w:r>
      <w:r>
        <w:rPr>
          <w:noProof/>
        </w:rPr>
        <w:tab/>
      </w:r>
      <w:r>
        <w:rPr>
          <w:b/>
          <w:smallCaps/>
          <w:noProof/>
          <w:color w:val="000000"/>
          <w:sz w:val="22"/>
          <w:u w:color="000000"/>
        </w:rPr>
        <w:t>Következtetés</w:t>
      </w:r>
    </w:p>
    <w:p>
      <w:pPr>
        <w:spacing w:after="200" w:line="276" w:lineRule="auto"/>
        <w:jc w:val="both"/>
        <w:rPr>
          <w:rFonts w:eastAsia="Calibri" w:cs="Calibri"/>
          <w:noProof/>
          <w:color w:val="000000"/>
          <w:sz w:val="22"/>
          <w:szCs w:val="22"/>
          <w:u w:color="000000"/>
        </w:rPr>
      </w:pPr>
      <w:r>
        <w:rPr>
          <w:noProof/>
          <w:color w:val="000000"/>
          <w:sz w:val="22"/>
          <w:u w:color="000000"/>
        </w:rPr>
        <w:t>A pusztító katasztrófák 2017. évi sorozata – amely súlyos emberi, környezeti és gazdasági áldozatokkal járt – rámutatott arra, hogy meg kell erősíteni az európai szolidaritást, valamint az EU és tagállamai felelősségét a katasztrófák megelőzése, a rájuk való felkészülés és reagálás terén. Az éghajlatváltozás fontos szerepet játszik a kihívások súlyosbodásában, és hozzájárult a természeti katasztrófák fokozott gyakoriságához és intenzitásához. A védelmet nyújtó Európának képesnek kell lennie a társadalmunk előtt álló kihívások megelőzésére, az azokra való felkészülésre és reagálásra. A rescEU olyan előrelépés, amely biztosítja az Unió és tagállamai számára az ehhez szükséges kapacitást.</w:t>
      </w:r>
    </w:p>
    <w:p>
      <w:pPr>
        <w:spacing w:after="200" w:line="276" w:lineRule="auto"/>
        <w:jc w:val="both"/>
        <w:rPr>
          <w:rFonts w:eastAsia="Calibri" w:cs="Calibri"/>
          <w:noProof/>
          <w:color w:val="000000"/>
          <w:sz w:val="22"/>
          <w:szCs w:val="22"/>
          <w:u w:color="000000"/>
        </w:rPr>
      </w:pPr>
      <w:r>
        <w:rPr>
          <w:noProof/>
          <w:color w:val="000000"/>
          <w:sz w:val="22"/>
          <w:u w:color="000000"/>
        </w:rPr>
        <w:t>Arra az elvre alapozva, hogy az azonosított kockázatok megelőzését, valamint – amennyiben a teljes megelőzés lehetetlen – az e kockázatokhoz való alkalmazkodást kötelességnek, nem pedig meghozandó döntésnek kell tekinteni, valamint ezt a lehető leggyorsabban és leghatékonyabban történő reagálás képességével összekapcsolva a rescEU jelentősen meg fogja erősíteni az EU katasztrófakockázat-kezelési kapacitásait.</w:t>
      </w:r>
    </w:p>
    <w:p>
      <w:pPr>
        <w:spacing w:after="200" w:line="276" w:lineRule="auto"/>
        <w:jc w:val="both"/>
        <w:rPr>
          <w:rFonts w:eastAsia="Calibri"/>
          <w:noProof/>
        </w:rPr>
      </w:pPr>
      <w:r>
        <w:rPr>
          <w:noProof/>
          <w:color w:val="000000"/>
          <w:sz w:val="22"/>
          <w:u w:color="000000"/>
        </w:rPr>
        <w:t>A rescEU olyan helyzetet fog eredményezni, amelyben valamennyi ország minden szakpolitikájába integrált katasztrófa-megelőzést vezet be, a reagálási kapacitás kielégítő szintjét garantáló intézkedéseket hoz, és biztonságosan támaszkodhat az uniós segítségnyújtásra olyan katasztrófák esetén, amelyek jellegüknél vagy természetüknél fogva kivételesek, és amelyek esetében az EU beavatkozása indokolt. Előre tekintve az Európai Unió és az uniós polgári védelmi mechanizmusban részt vevő államok olyan helyzetbe kerülnek, amelyben a reagálási képességeiket a jövőbeli kockázatokon alapuló fejlesztésére tudják összpontosítani.</w:t>
      </w:r>
    </w:p>
    <w:sectPr>
      <w:headerReference w:type="even" r:id="rId16"/>
      <w:headerReference w:type="default" r:id="rId17"/>
      <w:footerReference w:type="even" r:id="rId18"/>
      <w:footerReference w:type="default" r:id="rId19"/>
      <w:headerReference w:type="first" r:id="rId20"/>
      <w:footerReference w:type="first" r:id="rId21"/>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15676"/>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jc w:val="both"/>
        <w:rPr>
          <w:rFonts w:ascii="Times New Roman" w:hAnsi="Times New Roman" w:cs="Times New Roman"/>
          <w:sz w:val="18"/>
          <w:szCs w:val="18"/>
        </w:rPr>
      </w:pPr>
      <w:r>
        <w:rPr>
          <w:rFonts w:ascii="Times New Roman" w:hAnsi="Times New Roman"/>
          <w:vertAlign w:val="superscript"/>
        </w:rPr>
        <w:footnoteRef/>
      </w:r>
      <w:r>
        <w:t xml:space="preserve"> </w:t>
      </w:r>
      <w:r>
        <w:rPr>
          <w:rFonts w:ascii="Times New Roman" w:hAnsi="Times New Roman"/>
          <w:sz w:val="18"/>
        </w:rPr>
        <w:t>IPCC (Éghajlatváltozási Kormányközi Testület), Éghajlatváltozás 2014: hatások, alkalmazkodás és sebezhetőség. A. rész: Globális és ágazati szempontok. Az II. munkacsoport hozzájárulása az Éghajlat-változási Kormányközi Testület ötödik értékelő jelentéséhez, 2014</w:t>
      </w:r>
    </w:p>
  </w:footnote>
  <w:footnote w:id="3">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Az Európai Környezetvédelmi Ügynökség (EEA) 1/2017. sz. jelentése, 2017.1.25., Éghajlatváltozás, a hatások és a kiszolgáltatottság Európában, 2016.</w:t>
      </w:r>
    </w:p>
  </w:footnote>
  <w:footnote w:id="4">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Az előrejelzések szerint 2071 és 2100 között egyedül az EU-ban évente 152,000 haláleset várható (azaz az éghajlatváltozáshoz kapcsolódó jelenlegi veszteségek ötvenszeres növekedése) a szélsőséges időjárással kapcsolatos veszélyek közvetlen következményeként, amennyiben nem tesznek intézkedéseket a polgárok védelme érdekében; valószínűleg a Dél-Európában élőket fogja mindez leginkább érinteni: Lásd: Forzieri, Giovanni et al., „Increasing risk over time of weather-related hazards to the European population” (Az európai lakosságot érintő, időjárással kapcsolatos veszélyek idővel növekvő kockázata), 2017.</w:t>
      </w:r>
    </w:p>
  </w:footnote>
  <w:footnote w:id="5">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Az Éghajlatváltozási Kormányközi Testület értékelő jelentése, 2014: Az éghajlatváltozás mérséklése</w:t>
      </w:r>
    </w:p>
  </w:footnote>
  <w:footnote w:id="6">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EM-DAT, 2017</w:t>
      </w:r>
    </w:p>
  </w:footnote>
  <w:footnote w:id="7">
    <w:p>
      <w:pPr>
        <w:pStyle w:val="FootnoteText"/>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A statisztikák a 2017. január 1. és 2017. október 22. közötti időszakra vonatkoznak. Lásd Kalifornia állam, CAL FIRE service.</w:t>
      </w:r>
    </w:p>
  </w:footnote>
  <w:footnote w:id="8">
    <w:p>
      <w:pPr>
        <w:pStyle w:val="FootnoteText"/>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Brazília nemzeti űrkutatási intézete.</w:t>
      </w:r>
    </w:p>
  </w:footnote>
  <w:footnote w:id="9">
    <w:p>
      <w:pPr>
        <w:pStyle w:val="FootnoteText"/>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Lásd az ERCC portált, Chile – az erdőtüzek ellen nyújtott uniós támogatás, 2017. február 2.</w:t>
      </w:r>
    </w:p>
  </w:footnote>
  <w:footnote w:id="10">
    <w:p>
      <w:pPr>
        <w:pStyle w:val="FootnoteText"/>
      </w:pPr>
      <w:r>
        <w:rPr>
          <w:rStyle w:val="FootnoteReference"/>
        </w:rPr>
        <w:footnoteRef/>
      </w:r>
      <w:r>
        <w:t xml:space="preserve"> </w:t>
      </w:r>
      <w:r>
        <w:rPr>
          <w:rFonts w:ascii="Times New Roman" w:hAnsi="Times New Roman"/>
          <w:sz w:val="18"/>
        </w:rPr>
        <w:t>1313/2013/EU határozat E közlemény a határozat 34. cikke alapján készült.</w:t>
      </w:r>
    </w:p>
  </w:footnote>
  <w:footnote w:id="11">
    <w:p>
      <w:pPr>
        <w:pStyle w:val="FootnoteText"/>
      </w:pPr>
      <w:r>
        <w:rPr>
          <w:rFonts w:ascii="Times New Roman" w:hAnsi="Times New Roman"/>
          <w:sz w:val="18"/>
          <w:vertAlign w:val="superscript"/>
        </w:rPr>
        <w:footnoteRef/>
      </w:r>
      <w:r>
        <w:rPr>
          <w:rFonts w:ascii="Times New Roman" w:hAnsi="Times New Roman"/>
          <w:sz w:val="18"/>
        </w:rPr>
        <w:t xml:space="preserve"> Lásd</w:t>
      </w:r>
      <w:r>
        <w:t xml:space="preserve">: </w:t>
      </w:r>
      <w:hyperlink r:id="rId1">
        <w:r>
          <w:rPr>
            <w:rStyle w:val="Hyperlink0"/>
            <w:rFonts w:ascii="Times New Roman" w:hAnsi="Times New Roman"/>
            <w:sz w:val="18"/>
          </w:rPr>
          <w:t>http://europa.eu/rapid/press-release_IP-13-907_en.htm</w:t>
        </w:r>
      </w:hyperlink>
    </w:p>
  </w:footnote>
  <w:footnote w:id="12">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A Katasztrófakockázat-kezelési Tudásközpont tudásmenedzsment-kezdeményezései közé tartozik például a leginnovatívabb kutatási eredmények folyamatos fejlesztése és beépítése.</w:t>
      </w:r>
    </w:p>
  </w:footnote>
  <w:footnote w:id="13">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A „Horizont 2020” már több mint 20 millió EUR összegben finanszírozta az erdőtüzekhez kapcsolódó kutatási projekteket. A 2020-ra tervezett jövőbeli kutatások a következőket érintik: „az erdőtüzek kockázatának csökkentésére irányuló új, ökorendszeren alapuló kiigazított irányítás az EU-n belül, ideértve a természetalapú megoldásokat is” (15 millió EUR) és az „ellenálló erdők”, amely célja az erdőtüzek kockázatának megelőzésére vonatkozó új irányadó hivatkozások, valamint a legjobb alkalmazkodási lehetőségekre vonatkozó, kockázaton alapuló határozatok kidolgozása (10 millió EUR). 2018-ban az erdőtüzek kockázatainak uniós kezelésével kapcsolatban stratégiai kutatási és innovációs menetrendet dolgoznak ki, amelynek alapját az erdőtüzekre vonatkozó, az EU által finanszírozott kutatási projektek tudományos-politikai felülvizsgálata során megállapított szükségletek, valamint a „Hogyan nézzünk szembe az európai óriástüzekkel?” címmel 2018. januárjában/februárjában Lisszabonban tartandó, több érdekelt fél részvételével zajló munkaértekezleten megfogalmazott ajánlások képezik.</w:t>
      </w:r>
    </w:p>
  </w:footnote>
  <w:footnote w:id="14">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Bizottsági szolgálati munkadokumentum – Cselekvési terv a 2015–2030-as időszakra szóló sendai katasztrófakockázat-csökkentési keretről, SWD (2016) 205.</w:t>
      </w:r>
    </w:p>
  </w:footnote>
  <w:footnote w:id="15">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Európai Regionális Fejlesztési Alap: 4,2 milliárd EUR; Kohéziós Alap: 3,7 milliárd EUR.</w:t>
      </w:r>
    </w:p>
  </w:footnote>
  <w:footnote w:id="16">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A 2014–2020 közötti időszakban ezek 13,4 %-a áll kivitelezés alatt – beleértve az erdei ökoszisztémák ellenálló képességének és környezeti értékének javítását célzó beruházásokra tervezett 3,8 milliárd EUR-t; Az ökoszisztémákra épülő megelőző megközelítéseket előmozdító erdő-környezetvédelmi és éghajlattal kapcsolatos szolgáltatásokra szánt 354 millió EUR összeg 7,2 %-a került kifizetésre; a kockázatkezelési eszközökre, mint például a biztosításra, a kölcsönös kockázatkezelési alapokra és a jövedelem stabilizálására szolgáló támogatásra szánt 2,7 milliárd EUR 7,2 %-a került kifizetésre.</w:t>
      </w:r>
    </w:p>
  </w:footnote>
  <w:footnote w:id="17">
    <w:p>
      <w:pPr>
        <w:pStyle w:val="FootnoteText"/>
        <w:jc w:val="both"/>
      </w:pPr>
      <w:r>
        <w:rPr>
          <w:rFonts w:ascii="Times New Roman" w:hAnsi="Times New Roman"/>
          <w:sz w:val="18"/>
          <w:vertAlign w:val="superscript"/>
        </w:rPr>
        <w:footnoteRef/>
      </w:r>
      <w:r>
        <w:rPr>
          <w:rFonts w:ascii="Times New Roman" w:hAnsi="Times New Roman"/>
          <w:sz w:val="18"/>
        </w:rPr>
        <w:t xml:space="preserve"> A 2014–2020 közötti időszakra tervezett 2,1 milliárd EUR, amelynek 10,4 % jelenleg hajtják végre.</w:t>
      </w:r>
    </w:p>
  </w:footnote>
  <w:footnote w:id="18">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A társfinanszírozás mértéke az egyes beruházások esetében elérheti a 80 %-ot, a kollektív beruházások esetében pedig az 100 %-ot.</w:t>
      </w:r>
    </w:p>
  </w:footnote>
  <w:footnote w:id="19">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Olyan rendelkezéseket lehetne megfontolni, mint például a polgári védelemről szóló jogszabályokban előírt katasztrófakockázat-kezelési tervek megléte; az uniós árvízvédelmi irányelven alapuló árvízkockázat-kezelési tervek; vagy az erdők tűzzel szembeni ellenálló képességének növelését célzó, ökorendszeren alapuló intézkedések.</w:t>
      </w:r>
    </w:p>
  </w:footnote>
  <w:footnote w:id="20">
    <w:p>
      <w:pPr>
        <w:pStyle w:val="FootnoteText"/>
        <w:jc w:val="both"/>
      </w:pPr>
      <w:r>
        <w:rPr>
          <w:rFonts w:ascii="Times New Roman" w:hAnsi="Times New Roman"/>
          <w:sz w:val="18"/>
          <w:vertAlign w:val="superscript"/>
        </w:rPr>
        <w:footnoteRef/>
      </w:r>
      <w:r>
        <w:rPr>
          <w:rFonts w:ascii="Times New Roman" w:hAnsi="Times New Roman"/>
          <w:sz w:val="18"/>
        </w:rPr>
        <w:t xml:space="preserve"> A 2017. évi portugáliai erdőtüzeket követően gyorsított eljárásokat alkalmaztak az operatív programok módosítására.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01586"/>
    <w:multiLevelType w:val="hybridMultilevel"/>
    <w:tmpl w:val="B58EA8C8"/>
    <w:lvl w:ilvl="0" w:tplc="E1C267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180E90"/>
    <w:multiLevelType w:val="multilevel"/>
    <w:tmpl w:val="7D08118C"/>
    <w:lvl w:ilvl="0">
      <w:start w:val="3"/>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92" w:hanging="432"/>
      </w:pPr>
      <w:rPr>
        <w:rFonts w:hAnsi="Arial Unicode MS" w:hint="default"/>
        <w:b/>
        <w:bCs/>
        <w:caps w:val="0"/>
        <w:smallCaps w:val="0"/>
        <w:strike w:val="0"/>
        <w:dstrike w:val="0"/>
        <w:outline w:val="0"/>
        <w:emboss w:val="0"/>
        <w:imprint w:val="0"/>
        <w:spacing w:val="0"/>
        <w:w w:val="100"/>
        <w:kern w:val="0"/>
        <w:position w:val="0"/>
        <w:vertAlign w:val="baseline"/>
      </w:rPr>
    </w:lvl>
    <w:lvl w:ilvl="2">
      <w:start w:val="1"/>
      <w:numFmt w:val="decimal"/>
      <w:suff w:val="nothing"/>
      <w:lvlText w:val="%1.%2.%3."/>
      <w:lvlJc w:val="left"/>
      <w:pPr>
        <w:ind w:left="1224" w:hanging="504"/>
      </w:pPr>
      <w:rPr>
        <w:rFonts w:hAnsi="Arial Unicode MS" w:hint="default"/>
        <w:b/>
        <w:bCs/>
        <w:caps w:val="0"/>
        <w:smallCaps w:val="0"/>
        <w:strike w:val="0"/>
        <w:dstrike w:val="0"/>
        <w:outline w:val="0"/>
        <w:emboss w:val="0"/>
        <w:imprint w:val="0"/>
        <w:spacing w:val="0"/>
        <w:w w:val="100"/>
        <w:kern w:val="0"/>
        <w:position w:val="0"/>
        <w:vertAlign w:val="baseline"/>
      </w:rPr>
    </w:lvl>
    <w:lvl w:ilvl="3">
      <w:start w:val="1"/>
      <w:numFmt w:val="decimal"/>
      <w:suff w:val="nothing"/>
      <w:lvlText w:val="%1.%2.%3.%4."/>
      <w:lvlJc w:val="left"/>
      <w:pPr>
        <w:ind w:left="1728" w:hanging="648"/>
      </w:pPr>
      <w:rPr>
        <w:rFonts w:hAnsi="Arial Unicode MS" w:hint="default"/>
        <w:b/>
        <w:bCs/>
        <w:caps w:val="0"/>
        <w:smallCaps w:val="0"/>
        <w:strike w:val="0"/>
        <w:dstrike w:val="0"/>
        <w:outline w:val="0"/>
        <w:emboss w:val="0"/>
        <w:imprint w:val="0"/>
        <w:spacing w:val="0"/>
        <w:w w:val="100"/>
        <w:kern w:val="0"/>
        <w:position w:val="0"/>
        <w:vertAlign w:val="baseline"/>
      </w:rPr>
    </w:lvl>
    <w:lvl w:ilvl="4">
      <w:start w:val="1"/>
      <w:numFmt w:val="decimal"/>
      <w:suff w:val="nothing"/>
      <w:lvlText w:val="%1.%2.%3.%4.%5."/>
      <w:lvlJc w:val="left"/>
      <w:pPr>
        <w:ind w:left="2232" w:hanging="792"/>
      </w:pPr>
      <w:rPr>
        <w:rFonts w:hAnsi="Arial Unicode MS" w:hint="default"/>
        <w:b/>
        <w:bCs/>
        <w:caps w:val="0"/>
        <w:smallCaps w:val="0"/>
        <w:strike w:val="0"/>
        <w:dstrike w:val="0"/>
        <w:outline w:val="0"/>
        <w:emboss w:val="0"/>
        <w:imprint w:val="0"/>
        <w:spacing w:val="0"/>
        <w:w w:val="100"/>
        <w:kern w:val="0"/>
        <w:position w:val="0"/>
        <w:vertAlign w:val="baseline"/>
      </w:rPr>
    </w:lvl>
    <w:lvl w:ilvl="5">
      <w:start w:val="1"/>
      <w:numFmt w:val="decimal"/>
      <w:suff w:val="nothing"/>
      <w:lvlText w:val="%1.%2.%3.%4.%5.%6."/>
      <w:lvlJc w:val="left"/>
      <w:pPr>
        <w:ind w:left="2736" w:hanging="936"/>
      </w:pPr>
      <w:rPr>
        <w:rFonts w:hAnsi="Arial Unicode MS" w:hint="default"/>
        <w:b/>
        <w:bCs/>
        <w:caps w:val="0"/>
        <w:smallCaps w:val="0"/>
        <w:strike w:val="0"/>
        <w:dstrike w:val="0"/>
        <w:outline w:val="0"/>
        <w:emboss w:val="0"/>
        <w:imprint w:val="0"/>
        <w:spacing w:val="0"/>
        <w:w w:val="100"/>
        <w:kern w:val="0"/>
        <w:position w:val="0"/>
        <w:vertAlign w:val="baseline"/>
      </w:rPr>
    </w:lvl>
    <w:lvl w:ilvl="6">
      <w:start w:val="1"/>
      <w:numFmt w:val="decimal"/>
      <w:suff w:val="nothing"/>
      <w:lvlText w:val="%1.%2.%3.%4.%5.%6.%7."/>
      <w:lvlJc w:val="left"/>
      <w:pPr>
        <w:ind w:left="3240" w:hanging="1080"/>
      </w:pPr>
      <w:rPr>
        <w:rFonts w:hAnsi="Arial Unicode MS" w:hint="default"/>
        <w:b/>
        <w:bCs/>
        <w:caps w:val="0"/>
        <w:smallCaps w:val="0"/>
        <w:strike w:val="0"/>
        <w:dstrike w:val="0"/>
        <w:outline w:val="0"/>
        <w:emboss w:val="0"/>
        <w:imprint w:val="0"/>
        <w:spacing w:val="0"/>
        <w:w w:val="100"/>
        <w:kern w:val="0"/>
        <w:position w:val="0"/>
        <w:vertAlign w:val="baseline"/>
      </w:rPr>
    </w:lvl>
    <w:lvl w:ilvl="7">
      <w:start w:val="1"/>
      <w:numFmt w:val="decimal"/>
      <w:suff w:val="nothing"/>
      <w:lvlText w:val="%1.%2.%3.%4.%5.%6.%7.%8."/>
      <w:lvlJc w:val="left"/>
      <w:pPr>
        <w:ind w:left="3744" w:hanging="1224"/>
      </w:pPr>
      <w:rPr>
        <w:rFonts w:hAnsi="Arial Unicode MS" w:hint="default"/>
        <w:b/>
        <w:bCs/>
        <w:caps w:val="0"/>
        <w:smallCaps w:val="0"/>
        <w:strike w:val="0"/>
        <w:dstrike w:val="0"/>
        <w:outline w:val="0"/>
        <w:emboss w:val="0"/>
        <w:imprint w:val="0"/>
        <w:spacing w:val="0"/>
        <w:w w:val="100"/>
        <w:kern w:val="0"/>
        <w:position w:val="0"/>
        <w:vertAlign w:val="baseline"/>
      </w:rPr>
    </w:lvl>
    <w:lvl w:ilvl="8">
      <w:start w:val="1"/>
      <w:numFmt w:val="decimal"/>
      <w:suff w:val="nothing"/>
      <w:lvlText w:val="%1.%2.%3.%4.%5.%6.%7.%8.%9."/>
      <w:lvlJc w:val="left"/>
      <w:pPr>
        <w:ind w:left="4320" w:hanging="1440"/>
      </w:pPr>
      <w:rPr>
        <w:rFonts w:hAnsi="Arial Unicode MS" w:hint="default"/>
        <w:b/>
        <w:bCs/>
        <w:caps w:val="0"/>
        <w:smallCaps w:val="0"/>
        <w:strike w:val="0"/>
        <w:dstrike w:val="0"/>
        <w:outline w:val="0"/>
        <w:emboss w:val="0"/>
        <w:imprint w:val="0"/>
        <w:spacing w:val="0"/>
        <w:w w:val="100"/>
        <w:kern w:val="0"/>
        <w:position w:val="0"/>
        <w:vertAlign w:val="baseline"/>
      </w:rPr>
    </w:lvl>
  </w:abstractNum>
  <w:abstractNum w:abstractNumId="2">
    <w:nsid w:val="69831EC5"/>
    <w:multiLevelType w:val="multilevel"/>
    <w:tmpl w:val="A0F2D876"/>
    <w:numStyleLink w:val="ImportedStyle1"/>
  </w:abstractNum>
  <w:abstractNum w:abstractNumId="3">
    <w:nsid w:val="6EFC03C1"/>
    <w:multiLevelType w:val="hybridMultilevel"/>
    <w:tmpl w:val="6E68069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nsid w:val="6FC7739C"/>
    <w:multiLevelType w:val="multilevel"/>
    <w:tmpl w:val="A0F2D876"/>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791A3F4C"/>
    <w:multiLevelType w:val="hybridMultilevel"/>
    <w:tmpl w:val="2DCA16B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nsid w:val="79F738FF"/>
    <w:multiLevelType w:val="hybridMultilevel"/>
    <w:tmpl w:val="53741072"/>
    <w:lvl w:ilvl="0" w:tplc="2C58AD0E">
      <w:start w:val="1"/>
      <w:numFmt w:val="decimal"/>
      <w:lvlText w:val="%1."/>
      <w:lvlJc w:val="left"/>
      <w:pPr>
        <w:ind w:left="786" w:hanging="360"/>
      </w:pPr>
      <w:rPr>
        <w:rFonts w:eastAsia="Calibri" w:cs="Calibr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4"/>
  </w:num>
  <w:num w:numId="2">
    <w:abstractNumId w:val="2"/>
  </w:num>
  <w:num w:numId="3">
    <w:abstractNumId w:val="5"/>
  </w:num>
  <w:num w:numId="4">
    <w:abstractNumId w:val="6"/>
  </w:num>
  <w:num w:numId="5">
    <w:abstractNumId w:val="1"/>
  </w:num>
  <w:num w:numId="6">
    <w:abstractNumId w:val="3"/>
  </w:num>
  <w:num w:numId="7">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 STEWART-DAVID">
    <w15:presenceInfo w15:providerId="None" w15:userId="Julia STEWART-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revisionView w:markup="0"/>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
  <w:docVars>
    <w:docVar w:name="DocStatus" w:val="Green"/>
    <w:docVar w:name="LW_CORRIGENDUM" w:val="&lt;UNUSED&gt;"/>
    <w:docVar w:name="LW_COVERPAGE_EXISTS" w:val="True"/>
    <w:docVar w:name="LW_COVERPAGE_GUID" w:val="CB20328A-3C82-494F-AFD3-A2DFB7F49EF0"/>
    <w:docVar w:name="LW_COVERPAGE_TYPE" w:val="1"/>
    <w:docVar w:name="LW_CROSSREFERENCE" w:val="&lt;UNUSED&gt;"/>
    <w:docVar w:name="LW_DocType" w:val="NORMAL"/>
    <w:docVar w:name="LW_EMISSION" w:val="2017.11.23."/>
    <w:docVar w:name="LW_EMISSION_ISODATE" w:val="2017-11-23"/>
    <w:docVar w:name="LW_EMISSION_LOCATION" w:val="BRX"/>
    <w:docVar w:name="LW_EMISSION_PREFIX" w:val="Brüsszel, "/>
    <w:docVar w:name="LW_EMISSION_SUFFIX" w:val="&lt;EMPTY&gt;"/>
    <w:docVar w:name="LW_ID_DOCTYPE_NONLW" w:val="CP-009"/>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17) 77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 w:val="Solidarity with Responsibility"/>
    <w:docVar w:name="LW_SOUS.TITRE.OBJ.CP" w:val="Solidarity with Responsibility"/>
    <w:docVar w:name="LW_SUPERTITRE" w:val="&lt;UNUSED&gt;"/>
    <w:docVar w:name="LW_TITRE.OBJ.CP" w:val="&lt;FMT:Font=Calibri CE&gt;Az EU katasztrófakezelésének meger\u337?sítése: rescEU \u8211? szolidaritás és felel\u337?sségvállalás&lt;/FMT&gt;_x000b_"/>
    <w:docVar w:name="LW_TYPE.DOC.CP" w:val="A BIZOTTSÁG KÖZLEMÉNYE"/>
    <w:docVar w:name="LW_TYPE.DOC.CP.USERTEXT" w:val="AZ EURÓPAI PARLAMENTNEK, A TANÁCSNAK ÉS A RÉGIÓK BIZOTTSÁGÁNAK"/>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hu-HU" w:eastAsia="hu-HU" w:bidi="hu-HU"/>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Pagedecouverture">
    <w:name w:val="Page de couverture"/>
    <w:next w:val="Body"/>
    <w:pPr>
      <w:jc w:val="both"/>
    </w:pPr>
    <w:rPr>
      <w:rFonts w:eastAsia="Times New Roman"/>
      <w:color w:val="000000"/>
      <w:sz w:val="24"/>
      <w:szCs w:val="24"/>
      <w:u w:color="000000"/>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styleId="Footer">
    <w:name w:val="footer"/>
    <w:basedOn w:val="Normal"/>
    <w:link w:val="Footer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tabs>
        <w:tab w:val="center" w:pos="4535"/>
        <w:tab w:val="right" w:pos="9071"/>
        <w:tab w:val="right" w:pos="9921"/>
      </w:tabs>
      <w:spacing w:before="360"/>
      <w:ind w:left="-850" w:right="-850"/>
    </w:pPr>
    <w:rPr>
      <w:rFonts w:eastAsiaTheme="minorHAnsi"/>
      <w:szCs w:val="22"/>
      <w:bdr w:val="none" w:sz="0" w:space="0" w:color="auto"/>
    </w:rPr>
  </w:style>
  <w:style w:type="paragraph" w:customStyle="1" w:styleId="Default">
    <w:name w:val="Default"/>
    <w:rPr>
      <w:rFonts w:ascii="Helvetica Neue" w:eastAsia="Helvetica Neue" w:hAnsi="Helvetica Neue" w:cs="Helvetica Neue"/>
      <w:color w:val="000000"/>
      <w:sz w:val="22"/>
      <w:szCs w:val="22"/>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FootnoteText">
    <w:name w:val="footnote text"/>
    <w:link w:val="FootnoteTextChar"/>
    <w:rPr>
      <w:rFonts w:ascii="Calibri" w:eastAsia="Calibri" w:hAnsi="Calibri" w:cs="Calibri"/>
      <w:color w:val="000000"/>
      <w:u w:color="000000"/>
    </w:rPr>
  </w:style>
  <w:style w:type="character" w:customStyle="1" w:styleId="Hyperlink0">
    <w:name w:val="Hyperlink.0"/>
    <w:basedOn w:val="Hyperlink"/>
    <w:rPr>
      <w:strike w:val="0"/>
      <w:dstrike w:val="0"/>
      <w:color w:val="428BCA"/>
      <w:u w:val="none" w:color="428BCA"/>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hu-HU" w:eastAsia="hu-HU"/>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eastAsia="hu-HU"/>
    </w:rPr>
  </w:style>
  <w:style w:type="character" w:styleId="FootnoteReference">
    <w:name w:val="footnote reference"/>
    <w:basedOn w:val="DefaultParagraphFont"/>
    <w:uiPriority w:val="99"/>
    <w:unhideWhenUsed/>
    <w:rPr>
      <w:vertAlign w:val="superscri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hu-HU" w:eastAsia="hu-HU"/>
    </w:rPr>
  </w:style>
  <w:style w:type="character" w:customStyle="1" w:styleId="BodyChar">
    <w:name w:val="Body Char"/>
    <w:basedOn w:val="DefaultParagraphFont"/>
    <w:link w:val="Body"/>
    <w:rPr>
      <w:rFonts w:ascii="Calibri" w:eastAsia="Calibri" w:hAnsi="Calibri" w:cs="Calibri"/>
      <w:color w:val="000000"/>
      <w:sz w:val="22"/>
      <w:szCs w:val="22"/>
      <w:u w:color="000000"/>
    </w:rPr>
  </w:style>
  <w:style w:type="numbering" w:customStyle="1" w:styleId="ImportedStyle11">
    <w:name w:val="Imported Style 11"/>
  </w:style>
  <w:style w:type="character" w:customStyle="1" w:styleId="FootnoteTextChar">
    <w:name w:val="Footnote Text Char"/>
    <w:basedOn w:val="DefaultParagraphFont"/>
    <w:link w:val="FootnoteText"/>
    <w:rPr>
      <w:rFonts w:ascii="Calibri" w:eastAsia="Calibri" w:hAnsi="Calibri" w:cs="Calibri"/>
      <w:color w:val="000000"/>
      <w:u w:color="000000"/>
      <w:lang w:val="hu-HU"/>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tabs>
        <w:tab w:val="center" w:pos="4535"/>
        <w:tab w:val="right" w:pos="9071"/>
      </w:tabs>
      <w:spacing w:after="120"/>
      <w:jc w:val="both"/>
    </w:pPr>
    <w:rPr>
      <w:rFonts w:eastAsiaTheme="minorHAnsi"/>
      <w:szCs w:val="22"/>
      <w:bdr w:val="none" w:sz="0" w:space="0" w:color="auto"/>
    </w:rPr>
  </w:style>
  <w:style w:type="character" w:customStyle="1" w:styleId="HeaderChar">
    <w:name w:val="Header Char"/>
    <w:basedOn w:val="DefaultParagraphFont"/>
    <w:link w:val="Header"/>
    <w:uiPriority w:val="99"/>
    <w:rPr>
      <w:rFonts w:eastAsiaTheme="minorHAnsi"/>
      <w:sz w:val="24"/>
      <w:szCs w:val="22"/>
      <w:bdr w:val="none" w:sz="0" w:space="0" w:color="auto"/>
      <w:lang w:val="hu-HU" w:eastAsia="hu-HU"/>
    </w:rPr>
  </w:style>
  <w:style w:type="paragraph" w:customStyle="1" w:styleId="Typedudocument">
    <w:name w:val="Type du documen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360"/>
      <w:jc w:val="center"/>
    </w:pPr>
    <w:rPr>
      <w:rFonts w:eastAsiaTheme="minorHAnsi"/>
      <w:b/>
      <w:szCs w:val="22"/>
      <w:bdr w:val="none" w:sz="0" w:space="0" w:color="auto"/>
    </w:rPr>
  </w:style>
  <w:style w:type="paragraph" w:customStyle="1" w:styleId="Titreobjet">
    <w:name w:val="Titre obje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pPr>
    <w:rPr>
      <w:rFonts w:eastAsiaTheme="minorHAnsi"/>
      <w:b/>
      <w:szCs w:val="22"/>
      <w:bdr w:val="none" w:sz="0" w:space="0" w:color="auto"/>
    </w:rPr>
  </w:style>
  <w:style w:type="paragraph" w:customStyle="1" w:styleId="Sous-titreobjet">
    <w:name w:val="Sous-titre objet"/>
    <w:basedOn w:val="Normal"/>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heme="minorHAnsi"/>
      <w:b/>
      <w:szCs w:val="22"/>
      <w:bdr w:val="none" w:sz="0" w:space="0" w:color="auto"/>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Declassification">
    <w:name w:val="Declassification"/>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customStyle="1" w:styleId="HeaderLandscape">
    <w:name w:val="HeaderLandscape"/>
    <w:basedOn w:val="Normal"/>
    <w:pPr>
      <w:pBdr>
        <w:top w:val="none" w:sz="0" w:space="0" w:color="auto"/>
        <w:left w:val="none" w:sz="0" w:space="0" w:color="auto"/>
        <w:bottom w:val="none" w:sz="0" w:space="0" w:color="auto"/>
        <w:right w:val="none" w:sz="0" w:space="0" w:color="auto"/>
        <w:between w:val="none" w:sz="0" w:space="0" w:color="auto"/>
        <w:bar w:val="none" w:sz="0" w:color="auto"/>
      </w:pBdr>
      <w:tabs>
        <w:tab w:val="center" w:pos="7285"/>
        <w:tab w:val="right" w:pos="14003"/>
      </w:tabs>
      <w:spacing w:after="120"/>
      <w:jc w:val="both"/>
    </w:pPr>
    <w:rPr>
      <w:rFonts w:eastAsiaTheme="minorHAnsi"/>
      <w:szCs w:val="22"/>
      <w:bdr w:val="none" w:sz="0" w:space="0" w:color="auto"/>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between w:val="none" w:sz="0" w:space="0" w:color="auto"/>
        <w:bar w:val="none" w:sz="0" w:color="auto"/>
      </w:pBdr>
      <w:spacing w:after="120"/>
      <w:ind w:left="113" w:right="113"/>
      <w:jc w:val="center"/>
    </w:pPr>
    <w:rPr>
      <w:b/>
      <w:sz w:val="32"/>
    </w:rPr>
  </w:style>
  <w:style w:type="character" w:customStyle="1" w:styleId="FooterChar">
    <w:name w:val="Footer Char"/>
    <w:basedOn w:val="DefaultParagraphFont"/>
    <w:link w:val="Footer"/>
    <w:uiPriority w:val="99"/>
    <w:rPr>
      <w:rFonts w:eastAsiaTheme="minorHAnsi"/>
      <w:sz w:val="24"/>
      <w:szCs w:val="22"/>
      <w:bdr w:val="none" w:sz="0" w:space="0" w:color="auto"/>
      <w:lang w:val="hu-HU" w:eastAsia="hu-HU"/>
    </w:rPr>
  </w:style>
  <w:style w:type="paragraph" w:customStyle="1" w:styleId="FooterLandscape">
    <w:name w:val="FooterLandscape"/>
    <w:basedOn w:val="Normal"/>
    <w:pPr>
      <w:pBdr>
        <w:top w:val="none" w:sz="0" w:space="0" w:color="auto"/>
        <w:left w:val="none" w:sz="0" w:space="0" w:color="auto"/>
        <w:bottom w:val="none" w:sz="0" w:space="0" w:color="auto"/>
        <w:right w:val="none" w:sz="0" w:space="0" w:color="auto"/>
        <w:between w:val="none" w:sz="0" w:space="0" w:color="auto"/>
        <w:bar w:val="none" w:sz="0" w:color="auto"/>
      </w:pBdr>
      <w:tabs>
        <w:tab w:val="center" w:pos="7285"/>
        <w:tab w:val="center" w:pos="10913"/>
        <w:tab w:val="right" w:pos="15137"/>
      </w:tabs>
      <w:spacing w:before="360"/>
      <w:ind w:left="-567" w:right="-567"/>
    </w:pPr>
    <w:rPr>
      <w:rFonts w:eastAsiaTheme="minorHAnsi"/>
      <w:szCs w:val="22"/>
      <w:bdr w:val="none" w:sz="0" w:space="0" w:color="auto"/>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between w:val="none" w:sz="0" w:space="0" w:color="auto"/>
        <w:bar w:val="none" w:sz="0" w:color="auto"/>
      </w:pBdr>
      <w:spacing w:before="360"/>
      <w:ind w:left="113" w:right="113"/>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hu-HU" w:eastAsia="hu-HU" w:bidi="hu-HU"/>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Pagedecouverture">
    <w:name w:val="Page de couverture"/>
    <w:next w:val="Body"/>
    <w:pPr>
      <w:jc w:val="both"/>
    </w:pPr>
    <w:rPr>
      <w:rFonts w:eastAsia="Times New Roman"/>
      <w:color w:val="000000"/>
      <w:sz w:val="24"/>
      <w:szCs w:val="24"/>
      <w:u w:color="000000"/>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styleId="Footer">
    <w:name w:val="footer"/>
    <w:basedOn w:val="Normal"/>
    <w:link w:val="Footer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tabs>
        <w:tab w:val="center" w:pos="4535"/>
        <w:tab w:val="right" w:pos="9071"/>
        <w:tab w:val="right" w:pos="9921"/>
      </w:tabs>
      <w:spacing w:before="360"/>
      <w:ind w:left="-850" w:right="-850"/>
    </w:pPr>
    <w:rPr>
      <w:rFonts w:eastAsiaTheme="minorHAnsi"/>
      <w:szCs w:val="22"/>
      <w:bdr w:val="none" w:sz="0" w:space="0" w:color="auto"/>
    </w:rPr>
  </w:style>
  <w:style w:type="paragraph" w:customStyle="1" w:styleId="Default">
    <w:name w:val="Default"/>
    <w:rPr>
      <w:rFonts w:ascii="Helvetica Neue" w:eastAsia="Helvetica Neue" w:hAnsi="Helvetica Neue" w:cs="Helvetica Neue"/>
      <w:color w:val="000000"/>
      <w:sz w:val="22"/>
      <w:szCs w:val="22"/>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FootnoteText">
    <w:name w:val="footnote text"/>
    <w:link w:val="FootnoteTextChar"/>
    <w:rPr>
      <w:rFonts w:ascii="Calibri" w:eastAsia="Calibri" w:hAnsi="Calibri" w:cs="Calibri"/>
      <w:color w:val="000000"/>
      <w:u w:color="000000"/>
    </w:rPr>
  </w:style>
  <w:style w:type="character" w:customStyle="1" w:styleId="Hyperlink0">
    <w:name w:val="Hyperlink.0"/>
    <w:basedOn w:val="Hyperlink"/>
    <w:rPr>
      <w:strike w:val="0"/>
      <w:dstrike w:val="0"/>
      <w:color w:val="428BCA"/>
      <w:u w:val="none" w:color="428BCA"/>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hu-HU" w:eastAsia="hu-HU"/>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eastAsia="hu-HU"/>
    </w:rPr>
  </w:style>
  <w:style w:type="character" w:styleId="FootnoteReference">
    <w:name w:val="footnote reference"/>
    <w:basedOn w:val="DefaultParagraphFont"/>
    <w:uiPriority w:val="99"/>
    <w:unhideWhenUsed/>
    <w:rPr>
      <w:vertAlign w:val="superscri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hu-HU" w:eastAsia="hu-HU"/>
    </w:rPr>
  </w:style>
  <w:style w:type="character" w:customStyle="1" w:styleId="BodyChar">
    <w:name w:val="Body Char"/>
    <w:basedOn w:val="DefaultParagraphFont"/>
    <w:link w:val="Body"/>
    <w:rPr>
      <w:rFonts w:ascii="Calibri" w:eastAsia="Calibri" w:hAnsi="Calibri" w:cs="Calibri"/>
      <w:color w:val="000000"/>
      <w:sz w:val="22"/>
      <w:szCs w:val="22"/>
      <w:u w:color="000000"/>
    </w:rPr>
  </w:style>
  <w:style w:type="numbering" w:customStyle="1" w:styleId="ImportedStyle11">
    <w:name w:val="Imported Style 11"/>
  </w:style>
  <w:style w:type="character" w:customStyle="1" w:styleId="FootnoteTextChar">
    <w:name w:val="Footnote Text Char"/>
    <w:basedOn w:val="DefaultParagraphFont"/>
    <w:link w:val="FootnoteText"/>
    <w:rPr>
      <w:rFonts w:ascii="Calibri" w:eastAsia="Calibri" w:hAnsi="Calibri" w:cs="Calibri"/>
      <w:color w:val="000000"/>
      <w:u w:color="000000"/>
      <w:lang w:val="hu-HU"/>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tabs>
        <w:tab w:val="center" w:pos="4535"/>
        <w:tab w:val="right" w:pos="9071"/>
      </w:tabs>
      <w:spacing w:after="120"/>
      <w:jc w:val="both"/>
    </w:pPr>
    <w:rPr>
      <w:rFonts w:eastAsiaTheme="minorHAnsi"/>
      <w:szCs w:val="22"/>
      <w:bdr w:val="none" w:sz="0" w:space="0" w:color="auto"/>
    </w:rPr>
  </w:style>
  <w:style w:type="character" w:customStyle="1" w:styleId="HeaderChar">
    <w:name w:val="Header Char"/>
    <w:basedOn w:val="DefaultParagraphFont"/>
    <w:link w:val="Header"/>
    <w:uiPriority w:val="99"/>
    <w:rPr>
      <w:rFonts w:eastAsiaTheme="minorHAnsi"/>
      <w:sz w:val="24"/>
      <w:szCs w:val="22"/>
      <w:bdr w:val="none" w:sz="0" w:space="0" w:color="auto"/>
      <w:lang w:val="hu-HU" w:eastAsia="hu-HU"/>
    </w:rPr>
  </w:style>
  <w:style w:type="paragraph" w:customStyle="1" w:styleId="Typedudocument">
    <w:name w:val="Type du documen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360"/>
      <w:jc w:val="center"/>
    </w:pPr>
    <w:rPr>
      <w:rFonts w:eastAsiaTheme="minorHAnsi"/>
      <w:b/>
      <w:szCs w:val="22"/>
      <w:bdr w:val="none" w:sz="0" w:space="0" w:color="auto"/>
    </w:rPr>
  </w:style>
  <w:style w:type="paragraph" w:customStyle="1" w:styleId="Titreobjet">
    <w:name w:val="Titre obje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pPr>
    <w:rPr>
      <w:rFonts w:eastAsiaTheme="minorHAnsi"/>
      <w:b/>
      <w:szCs w:val="22"/>
      <w:bdr w:val="none" w:sz="0" w:space="0" w:color="auto"/>
    </w:rPr>
  </w:style>
  <w:style w:type="paragraph" w:customStyle="1" w:styleId="Sous-titreobjet">
    <w:name w:val="Sous-titre objet"/>
    <w:basedOn w:val="Normal"/>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heme="minorHAnsi"/>
      <w:b/>
      <w:szCs w:val="22"/>
      <w:bdr w:val="none" w:sz="0" w:space="0" w:color="auto"/>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Declassification">
    <w:name w:val="Declassification"/>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customStyle="1" w:styleId="HeaderLandscape">
    <w:name w:val="HeaderLandscape"/>
    <w:basedOn w:val="Normal"/>
    <w:pPr>
      <w:pBdr>
        <w:top w:val="none" w:sz="0" w:space="0" w:color="auto"/>
        <w:left w:val="none" w:sz="0" w:space="0" w:color="auto"/>
        <w:bottom w:val="none" w:sz="0" w:space="0" w:color="auto"/>
        <w:right w:val="none" w:sz="0" w:space="0" w:color="auto"/>
        <w:between w:val="none" w:sz="0" w:space="0" w:color="auto"/>
        <w:bar w:val="none" w:sz="0" w:color="auto"/>
      </w:pBdr>
      <w:tabs>
        <w:tab w:val="center" w:pos="7285"/>
        <w:tab w:val="right" w:pos="14003"/>
      </w:tabs>
      <w:spacing w:after="120"/>
      <w:jc w:val="both"/>
    </w:pPr>
    <w:rPr>
      <w:rFonts w:eastAsiaTheme="minorHAnsi"/>
      <w:szCs w:val="22"/>
      <w:bdr w:val="none" w:sz="0" w:space="0" w:color="auto"/>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between w:val="none" w:sz="0" w:space="0" w:color="auto"/>
        <w:bar w:val="none" w:sz="0" w:color="auto"/>
      </w:pBdr>
      <w:spacing w:after="120"/>
      <w:ind w:left="113" w:right="113"/>
      <w:jc w:val="center"/>
    </w:pPr>
    <w:rPr>
      <w:b/>
      <w:sz w:val="32"/>
    </w:rPr>
  </w:style>
  <w:style w:type="character" w:customStyle="1" w:styleId="FooterChar">
    <w:name w:val="Footer Char"/>
    <w:basedOn w:val="DefaultParagraphFont"/>
    <w:link w:val="Footer"/>
    <w:uiPriority w:val="99"/>
    <w:rPr>
      <w:rFonts w:eastAsiaTheme="minorHAnsi"/>
      <w:sz w:val="24"/>
      <w:szCs w:val="22"/>
      <w:bdr w:val="none" w:sz="0" w:space="0" w:color="auto"/>
      <w:lang w:val="hu-HU" w:eastAsia="hu-HU"/>
    </w:rPr>
  </w:style>
  <w:style w:type="paragraph" w:customStyle="1" w:styleId="FooterLandscape">
    <w:name w:val="FooterLandscape"/>
    <w:basedOn w:val="Normal"/>
    <w:pPr>
      <w:pBdr>
        <w:top w:val="none" w:sz="0" w:space="0" w:color="auto"/>
        <w:left w:val="none" w:sz="0" w:space="0" w:color="auto"/>
        <w:bottom w:val="none" w:sz="0" w:space="0" w:color="auto"/>
        <w:right w:val="none" w:sz="0" w:space="0" w:color="auto"/>
        <w:between w:val="none" w:sz="0" w:space="0" w:color="auto"/>
        <w:bar w:val="none" w:sz="0" w:color="auto"/>
      </w:pBdr>
      <w:tabs>
        <w:tab w:val="center" w:pos="7285"/>
        <w:tab w:val="center" w:pos="10913"/>
        <w:tab w:val="right" w:pos="15137"/>
      </w:tabs>
      <w:spacing w:before="360"/>
      <w:ind w:left="-567" w:right="-567"/>
    </w:pPr>
    <w:rPr>
      <w:rFonts w:eastAsiaTheme="minorHAnsi"/>
      <w:szCs w:val="22"/>
      <w:bdr w:val="none" w:sz="0" w:space="0" w:color="auto"/>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between w:val="none" w:sz="0" w:space="0" w:color="auto"/>
        <w:bar w:val="none" w:sz="0" w:color="auto"/>
      </w:pBdr>
      <w:spacing w:before="360"/>
      <w:ind w:left="113" w:right="113"/>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opa.eu/rapid/press-release_IP-13-907_en.ht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1EEB10B-29C0-4D47-90E8-F3B20E559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3766</Words>
  <Characters>27310</Characters>
  <Application>Microsoft Office Word</Application>
  <DocSecurity>0</DocSecurity>
  <Lines>374</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2017-11-17T13:57:00Z</cp:lastPrinted>
  <dcterms:created xsi:type="dcterms:W3CDTF">2017-12-08T09:30:00Z</dcterms:created>
  <dcterms:modified xsi:type="dcterms:W3CDTF">2017-12-11T14:17:00Z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name="OP_sanitized" fmtid="{D5CDD505-2E9C-101B-9397-08002B2CF9AE}" pid="6">
    <vt:lpwstr>True</vt:lpwstr>
  </property>
</Properties>
</file>