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FA930A2B87294984AD6810EF88E64DF7" style="width:450.8pt;height:307.4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rPr>
          <w:noProof/>
        </w:rPr>
      </w:pPr>
      <w:bookmarkStart w:id="1" w:name="_GoBack"/>
      <w:bookmarkEnd w:id="1"/>
      <w:r>
        <w:rPr>
          <w:noProof/>
        </w:rPr>
        <w:lastRenderedPageBreak/>
        <w:t>Tekintettel:</w:t>
      </w:r>
    </w:p>
    <w:p>
      <w:pPr>
        <w:pStyle w:val="Tiret0"/>
        <w:rPr>
          <w:noProof/>
        </w:rPr>
      </w:pPr>
      <w:r>
        <w:rPr>
          <w:noProof/>
        </w:rPr>
        <w:t>az Európai Unió működéséről szóló szerződésre és különösen annak 314. cikkére, összefüggésben az Európai Atomenergia-közösséget létrehozó szerződéssel és különösen annak 106a. cikkével,</w:t>
      </w:r>
    </w:p>
    <w:p>
      <w:pPr>
        <w:pStyle w:val="Tiret0"/>
        <w:rPr>
          <w:rFonts w:cs="Arial"/>
          <w:noProof/>
          <w:szCs w:val="18"/>
        </w:rPr>
      </w:pPr>
      <w:r>
        <w:rPr>
          <w:noProof/>
        </w:rPr>
        <w:t>az Unió általános költségvetésére alkalmazandó pénzügyi szabályokról szóló, 2012. október 25-i 966/2012/EU, Euratom európai parlamenti és tanácsi rendeletre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és különösen annak 18. cikke (3) bekezdésére és 41. cikkére,</w:t>
      </w:r>
    </w:p>
    <w:p>
      <w:pPr>
        <w:pStyle w:val="Tiret0"/>
        <w:rPr>
          <w:noProof/>
        </w:rPr>
      </w:pPr>
      <w:r>
        <w:rPr>
          <w:noProof/>
        </w:rPr>
        <w:t>az Európai Unió 2017-es pénzügyi évre vonatkozó, 2016. december 1-jén elfogadott általános költségvetésére</w:t>
      </w:r>
      <w:r>
        <w:rPr>
          <w:rStyle w:val="FootnoteReference"/>
          <w:noProof/>
        </w:rPr>
        <w:footnoteReference w:id="3"/>
      </w:r>
      <w:r>
        <w:rPr>
          <w:noProof/>
        </w:rPr>
        <w:t>,</w:t>
      </w:r>
    </w:p>
    <w:p>
      <w:pPr>
        <w:pStyle w:val="Tiret0"/>
        <w:rPr>
          <w:noProof/>
        </w:rPr>
      </w:pPr>
      <w:r>
        <w:rPr>
          <w:noProof/>
        </w:rPr>
        <w:t>a 2017. április [5]-én elfogadott 1/2017. sz. költségvetés-módosításra</w:t>
      </w:r>
      <w:r>
        <w:rPr>
          <w:rStyle w:val="FootnoteReference"/>
          <w:noProof/>
        </w:rPr>
        <w:footnoteReference w:id="4"/>
      </w:r>
      <w:r>
        <w:rPr>
          <w:noProof/>
        </w:rPr>
        <w:t>,</w:t>
      </w:r>
    </w:p>
    <w:p>
      <w:pPr>
        <w:jc w:val="both"/>
        <w:rPr>
          <w:noProof/>
        </w:rPr>
      </w:pPr>
      <w:r>
        <w:rPr>
          <w:noProof/>
        </w:rPr>
        <w:t>az Európai Bizottság az Európai Parlament és a Tanács elé terjeszti a 2017. évi költségvetés 2. sz. költségvetés-módosítási tervezetét.</w:t>
      </w:r>
    </w:p>
    <w:p>
      <w:pPr>
        <w:rPr>
          <w:b/>
          <w:noProof/>
          <w:u w:val="single"/>
        </w:rPr>
      </w:pPr>
    </w:p>
    <w:p>
      <w:pPr>
        <w:jc w:val="both"/>
        <w:rPr>
          <w:b/>
          <w:noProof/>
          <w:u w:val="single"/>
        </w:rPr>
      </w:pPr>
      <w:r>
        <w:rPr>
          <w:b/>
          <w:noProof/>
          <w:u w:val="single"/>
        </w:rPr>
        <w:t>A SZAKASZONKÉNTI BONTÁSÚ BEVÉTELI ÉS KIADÁSI KIMUTATÁS VÁLTOZÁSAI</w:t>
      </w:r>
    </w:p>
    <w:p>
      <w:pPr>
        <w:rPr>
          <w:b/>
          <w:noProof/>
          <w:u w:val="single"/>
        </w:rPr>
      </w:pPr>
    </w:p>
    <w:p>
      <w:pPr>
        <w:jc w:val="both"/>
        <w:rPr>
          <w:noProof/>
        </w:rPr>
      </w:pPr>
      <w:r>
        <w:rPr>
          <w:noProof/>
        </w:rPr>
        <w:t>A szakaszonkénti bontású bevételi és kiadási kimutatás változásai elérhetők az EUR-Lexen (</w:t>
      </w:r>
      <w:hyperlink r:id="rId16">
        <w:r>
          <w:rPr>
            <w:rStyle w:val="Hyperlink"/>
            <w:noProof/>
            <w:color w:val="auto"/>
          </w:rPr>
          <w:t>http://eur-lex.europa.eu/budget/www/index-hu.htm</w:t>
        </w:r>
      </w:hyperlink>
      <w:r>
        <w:rPr>
          <w:noProof/>
        </w:rPr>
        <w:t>). E változások angol nyelvű változata tájékoztatásul költségvetési mellékletként csatolva található.</w:t>
      </w:r>
    </w:p>
    <w:p>
      <w:pPr>
        <w:rPr>
          <w:noProof/>
        </w:rPr>
        <w:sectPr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Exposdesmotifstitre"/>
        <w:rPr>
          <w:noProof/>
        </w:rPr>
      </w:pPr>
      <w:bookmarkStart w:id="2" w:name="_Toc194220890"/>
      <w:bookmarkStart w:id="3" w:name="_Toc294675429"/>
      <w:bookmarkStart w:id="4" w:name="_Toc378575883"/>
      <w:r>
        <w:rPr>
          <w:noProof/>
        </w:rPr>
        <w:t>INDOKOLÁS</w:t>
      </w:r>
    </w:p>
    <w:p>
      <w:pPr>
        <w:jc w:val="both"/>
        <w:rPr>
          <w:noProof/>
        </w:rPr>
      </w:pPr>
      <w:r>
        <w:rPr>
          <w:noProof/>
        </w:rPr>
        <w:t>A 2/2017. sz. költségvetés-módosítási tervezet célja a 2016. évi költségvetés végrehajtásából származó többlet bevitele a 2017. évi költségvetésbe. Az Unió általános költségvetésére alkalmazandó költségvetési rendelet</w:t>
      </w:r>
      <w:r>
        <w:rPr>
          <w:noProof/>
          <w:vertAlign w:val="superscript"/>
        </w:rPr>
        <w:footnoteReference w:id="5"/>
      </w:r>
      <w:r>
        <w:rPr>
          <w:noProof/>
        </w:rPr>
        <w:t xml:space="preserve"> 18. cikke (3) bekezdésének megfelelően e költségvetés-módosítási tervezet témája kizárólag ez, és a tervezetet az előzetes beszámoló 2017. március végi benyújtását követő 15 napon belül be kell nyújtani.</w:t>
      </w:r>
    </w:p>
    <w:p>
      <w:pPr>
        <w:pStyle w:val="NumPar1"/>
        <w:rPr>
          <w:noProof/>
        </w:rPr>
      </w:pPr>
      <w:r>
        <w:rPr>
          <w:noProof/>
        </w:rPr>
        <w:t>A 2016. évi költségvetés végrehajtása 6 404 529 791,03 EUR többletet eredményezett (az Európai Szabadkereskedelmi Társulásnak [EFTA] az Európai Gazdasági Térségről [EGT] szóló megállapodásban részes félként részt vevő országaitól származó hozzájárulások eredménye nélkül), amely ezért a 2017. évi költségvetésben bevételként kerül feltüntetésre.</w:t>
      </w:r>
    </w:p>
    <w:p>
      <w:pPr>
        <w:pStyle w:val="Text1"/>
        <w:spacing w:after="240"/>
        <w:ind w:left="851"/>
        <w:rPr>
          <w:noProof/>
        </w:rPr>
      </w:pPr>
      <w:r>
        <w:rPr>
          <w:noProof/>
        </w:rPr>
        <w:t>A többlet az alábbi táblázatban felsorolt elemek összegéből adódik:</w:t>
      </w:r>
    </w:p>
    <w:p>
      <w:pPr>
        <w:pStyle w:val="NormalRight"/>
        <w:keepNext/>
        <w:tabs>
          <w:tab w:val="left" w:pos="9781"/>
        </w:tabs>
        <w:spacing w:before="0" w:after="0"/>
        <w:ind w:right="-58"/>
        <w:rPr>
          <w:noProof/>
        </w:rPr>
      </w:pPr>
      <w:r>
        <w:rPr>
          <w:i/>
          <w:noProof/>
          <w:sz w:val="20"/>
        </w:rPr>
        <w:t>(EUR-ban)</w:t>
      </w:r>
    </w:p>
    <w:tbl>
      <w:tblPr>
        <w:tblW w:w="9101" w:type="dxa"/>
        <w:jc w:val="right"/>
        <w:tblInd w:w="-492" w:type="dxa"/>
        <w:tblLayout w:type="fixed"/>
        <w:tblLook w:val="0000" w:firstRow="0" w:lastRow="0" w:firstColumn="0" w:lastColumn="0" w:noHBand="0" w:noVBand="0"/>
      </w:tblPr>
      <w:tblGrid>
        <w:gridCol w:w="4063"/>
        <w:gridCol w:w="1680"/>
        <w:gridCol w:w="1657"/>
        <w:gridCol w:w="1701"/>
      </w:tblGrid>
      <w:tr>
        <w:trPr>
          <w:trHeight w:val="396"/>
          <w:jc w:val="right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2016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EFTA–EGT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Európai Unió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Összesen</w:t>
            </w:r>
          </w:p>
        </w:tc>
      </w:tr>
      <w:tr>
        <w:trPr>
          <w:trHeight w:val="360"/>
          <w:jc w:val="right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A pénzügyi év bevétele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393 490 071,00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144 323 275 745,23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144 716 765 816,23</w:t>
            </w:r>
          </w:p>
        </w:tc>
      </w:tr>
      <w:tr>
        <w:trPr>
          <w:trHeight w:val="407"/>
          <w:jc w:val="right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A folyó év előirányzataiból teljesített kifizetések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–389 965 609,25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–134 790 370 338,67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ind w:left="181" w:hanging="181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–135 180 335 947,92</w:t>
            </w:r>
          </w:p>
        </w:tc>
      </w:tr>
      <w:tr>
        <w:trPr>
          <w:trHeight w:val="400"/>
          <w:jc w:val="right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 xml:space="preserve">Az </w:t>
            </w:r>
            <w:r>
              <w:rPr>
                <w:rStyle w:val="CommentReference"/>
                <w:noProof/>
              </w:rPr>
              <w:t xml:space="preserve"> </w:t>
            </w:r>
            <w:r>
              <w:rPr>
                <w:b/>
                <w:noProof/>
                <w:color w:val="000000"/>
                <w:sz w:val="16"/>
              </w:rPr>
              <w:t>N+1. évre átvitt kifizetési előirányzatok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–3 838 251,04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–1 651 142 565,23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–1 654 980 816,27</w:t>
            </w:r>
          </w:p>
        </w:tc>
      </w:tr>
      <w:tr>
        <w:trPr>
          <w:trHeight w:val="494"/>
          <w:jc w:val="right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Az N-1. évről áthozott, fel nem használt előirányzatok megszüntetése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351 994,52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62 504 192,08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62 856 186,60</w:t>
            </w:r>
          </w:p>
        </w:tc>
      </w:tr>
      <w:tr>
        <w:trPr>
          <w:trHeight w:val="494"/>
          <w:jc w:val="right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i/>
                <w:noProof/>
                <w:color w:val="000000"/>
                <w:sz w:val="16"/>
                <w:szCs w:val="16"/>
              </w:rPr>
            </w:pPr>
            <w:r>
              <w:rPr>
                <w:b/>
                <w:i/>
                <w:noProof/>
                <w:color w:val="000000"/>
                <w:sz w:val="16"/>
              </w:rPr>
              <w:t>Az N–1. évről az N. évre, és az N. évről az N+1. évre átvitt címzett bevételek különbsége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–1 367 077 753,06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–1 367 077 753,06</w:t>
            </w:r>
          </w:p>
        </w:tc>
      </w:tr>
      <w:tr>
        <w:trPr>
          <w:trHeight w:val="391"/>
          <w:jc w:val="right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Az évre elszámolt árfolyamkülönbségek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–172 659 489,32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–172 659 489,32</w:t>
            </w:r>
          </w:p>
        </w:tc>
      </w:tr>
      <w:tr>
        <w:trPr>
          <w:trHeight w:val="325"/>
          <w:jc w:val="right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2016. évi költségvetési eredmény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38 205,23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6 404 529 791,03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</w:rPr>
              <w:t>6 404 567 996,26</w:t>
            </w:r>
          </w:p>
        </w:tc>
      </w:tr>
    </w:tbl>
    <w:bookmarkEnd w:id="2"/>
    <w:p>
      <w:pPr>
        <w:pStyle w:val="NumPar1"/>
        <w:spacing w:before="240"/>
        <w:ind w:left="851" w:hanging="851"/>
        <w:rPr>
          <w:noProof/>
        </w:rPr>
      </w:pPr>
      <w:r>
        <w:rPr>
          <w:noProof/>
        </w:rPr>
        <w:t>A többlet költségvetésbe való bevitelével ilyen mértékben csökken a tagállamoknak a 2017. évi költségvetéshez való globális hozzájárulása is. A tagállamok végleges hozzájárulását a saját forrásokra vonatkozó aktualizált előrejelzés (tradicionális saját források [TOR], hozzáadottérték-adó (héa), bruttó nemzeti jövedelem [GNI]) is befolyásolja majd, amely tartalmazza a brit korrekció aktualizált összegét is. Ezen összegek a saját forrásokkal foglalkozó tanácsadó bizottság 2017. májusi ülését követően állnak majd rendelkezésre.</w:t>
      </w:r>
    </w:p>
    <w:p>
      <w:pPr>
        <w:pStyle w:val="NumPar1"/>
        <w:spacing w:before="240"/>
        <w:ind w:left="851" w:hanging="851"/>
        <w:rPr>
          <w:noProof/>
        </w:rPr>
      </w:pPr>
      <w:r>
        <w:rPr>
          <w:noProof/>
        </w:rPr>
        <w:t>Az alábbi táblázatban a 2016. évi eredmény a költségvetés végrehajtása (vagyis az intézmények összesített bevételei és kiadásai) szerinti bontásban látható:</w:t>
      </w:r>
    </w:p>
    <w:p>
      <w:pPr>
        <w:pStyle w:val="NormalRight"/>
        <w:keepNext/>
        <w:spacing w:before="0" w:after="0"/>
        <w:ind w:right="651"/>
        <w:rPr>
          <w:noProof/>
        </w:rPr>
      </w:pPr>
      <w:r>
        <w:rPr>
          <w:noProof/>
        </w:rPr>
        <w:br w:type="page"/>
      </w:r>
      <w:r>
        <w:rPr>
          <w:i/>
          <w:noProof/>
          <w:sz w:val="20"/>
        </w:rPr>
        <w:t>(millió EUR-ban)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560"/>
        <w:gridCol w:w="738"/>
      </w:tblGrid>
      <w:tr>
        <w:trPr>
          <w:tblHeader/>
          <w:jc w:val="center"/>
        </w:trPr>
        <w:tc>
          <w:tcPr>
            <w:tcW w:w="8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>
            <w:pPr>
              <w:pStyle w:val="NormalCentered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A 2016. évi eredmény bontása</w:t>
            </w:r>
          </w:p>
        </w:tc>
      </w:tr>
      <w:tr>
        <w:trPr>
          <w:jc w:val="center"/>
        </w:trPr>
        <w:tc>
          <w:tcPr>
            <w:tcW w:w="7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Részösszeg: bevételek teljesülése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>
            <w:pPr>
              <w:pStyle w:val="NormalRight"/>
              <w:tabs>
                <w:tab w:val="left" w:pos="589"/>
              </w:tabs>
              <w:spacing w:before="30" w:after="30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1 688</w:t>
            </w:r>
          </w:p>
        </w:tc>
      </w:tr>
      <w:tr>
        <w:trPr>
          <w:jc w:val="center"/>
        </w:trPr>
        <w:tc>
          <w:tcPr>
            <w:tcW w:w="7986" w:type="dxa"/>
            <w:gridSpan w:val="2"/>
            <w:tcBorders>
              <w:top w:val="nil"/>
              <w:left w:val="single" w:sz="4" w:space="0" w:color="auto"/>
              <w:bottom w:val="dotted" w:sz="2" w:space="0" w:color="auto"/>
              <w:right w:val="nil"/>
            </w:tcBorders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Bevételek teljesülése (a tényleges és a tervezett bevételek különbsége), ebből:</w:t>
            </w:r>
          </w:p>
        </w:tc>
        <w:tc>
          <w:tcPr>
            <w:tcW w:w="738" w:type="dxa"/>
            <w:tcBorders>
              <w:top w:val="nil"/>
              <w:left w:val="nil"/>
              <w:bottom w:val="dotted" w:sz="2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dotted" w:sz="2" w:space="0" w:color="auto"/>
              <w:right w:val="nil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7560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1. cím (Saját források)</w:t>
            </w:r>
          </w:p>
        </w:tc>
        <w:tc>
          <w:tcPr>
            <w:tcW w:w="738" w:type="dxa"/>
            <w:tcBorders>
              <w:top w:val="nil"/>
              <w:left w:val="nil"/>
              <w:bottom w:val="dotted" w:sz="2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–1 511</w:t>
            </w:r>
          </w:p>
        </w:tc>
      </w:tr>
      <w:tr>
        <w:trPr>
          <w:jc w:val="center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>
            <w:pPr>
              <w:pStyle w:val="NormalRight"/>
              <w:spacing w:before="30" w:after="30"/>
              <w:rPr>
                <w:i/>
                <w:iCs/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75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>
            <w:pPr>
              <w:spacing w:before="30" w:after="30"/>
              <w:rPr>
                <w:i/>
                <w:iCs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3. cím (Többletek, egyenlegek és kiigazítások)</w:t>
            </w:r>
          </w:p>
        </w:tc>
        <w:tc>
          <w:tcPr>
            <w:tcW w:w="73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iCs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8</w:t>
            </w:r>
          </w:p>
        </w:tc>
      </w:tr>
      <w:tr>
        <w:trPr>
          <w:jc w:val="center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>
            <w:pPr>
              <w:pStyle w:val="NormalRight"/>
              <w:spacing w:before="30" w:after="30"/>
              <w:rPr>
                <w:i/>
                <w:iCs/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75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>
            <w:pPr>
              <w:spacing w:before="30" w:after="30"/>
              <w:rPr>
                <w:i/>
                <w:iCs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7. cím (Késedelmi kamatok és pénzbírságok)</w:t>
            </w:r>
          </w:p>
        </w:tc>
        <w:tc>
          <w:tcPr>
            <w:tcW w:w="73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iCs/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3 052</w:t>
            </w:r>
          </w:p>
        </w:tc>
      </w:tr>
      <w:tr>
        <w:trPr>
          <w:jc w:val="center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7560" w:type="dxa"/>
            <w:tcBorders>
              <w:top w:val="dotted" w:sz="2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Egyéb címek</w:t>
            </w:r>
          </w:p>
        </w:tc>
        <w:tc>
          <w:tcPr>
            <w:tcW w:w="738" w:type="dxa"/>
            <w:tcBorders>
              <w:top w:val="dotted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138</w:t>
            </w:r>
          </w:p>
        </w:tc>
      </w:tr>
      <w:tr>
        <w:trPr>
          <w:jc w:val="center"/>
        </w:trPr>
        <w:tc>
          <w:tcPr>
            <w:tcW w:w="7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Részösszeg: kiadások teljesülése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>
            <w:pPr>
              <w:pStyle w:val="NormalRight"/>
              <w:spacing w:before="30" w:after="30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4 889</w:t>
            </w:r>
          </w:p>
        </w:tc>
      </w:tr>
      <w:tr>
        <w:trPr>
          <w:jc w:val="center"/>
        </w:trPr>
        <w:tc>
          <w:tcPr>
            <w:tcW w:w="7986" w:type="dxa"/>
            <w:gridSpan w:val="2"/>
            <w:tcBorders>
              <w:top w:val="nil"/>
              <w:left w:val="single" w:sz="4" w:space="0" w:color="auto"/>
              <w:bottom w:val="dotted" w:sz="2" w:space="0" w:color="auto"/>
              <w:right w:val="nil"/>
            </w:tcBorders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 xml:space="preserve">Kiadások teljesülése, ebből: </w:t>
            </w:r>
          </w:p>
        </w:tc>
        <w:tc>
          <w:tcPr>
            <w:tcW w:w="738" w:type="dxa"/>
            <w:tcBorders>
              <w:top w:val="nil"/>
              <w:left w:val="nil"/>
              <w:bottom w:val="dotted" w:sz="2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dotted" w:sz="2" w:space="0" w:color="auto"/>
              <w:right w:val="nil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7560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A 2016. évi költségvetésben engedélyezett, nem teljes mértékben végrehajtott előirányzatok: Bizottság</w:t>
            </w:r>
          </w:p>
        </w:tc>
        <w:tc>
          <w:tcPr>
            <w:tcW w:w="738" w:type="dxa"/>
            <w:tcBorders>
              <w:top w:val="nil"/>
              <w:left w:val="nil"/>
              <w:bottom w:val="dotted" w:sz="2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 4 825</w:t>
            </w:r>
          </w:p>
        </w:tc>
      </w:tr>
      <w:tr>
        <w:trPr>
          <w:jc w:val="center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75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A 2015. évről áthozott, nem teljes mértékben végrehajtott előirányzatok: Bizottság</w:t>
            </w:r>
          </w:p>
        </w:tc>
        <w:tc>
          <w:tcPr>
            <w:tcW w:w="73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28</w:t>
            </w:r>
          </w:p>
        </w:tc>
      </w:tr>
      <w:tr>
        <w:trPr>
          <w:jc w:val="center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>
            <w:pPr>
              <w:pStyle w:val="NormalRight"/>
              <w:spacing w:before="30" w:after="30"/>
              <w:rPr>
                <w:i/>
                <w:iCs/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75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2016-ban fel nem használt tartalékok</w:t>
            </w:r>
          </w:p>
        </w:tc>
        <w:tc>
          <w:tcPr>
            <w:tcW w:w="738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1</w:t>
            </w:r>
          </w:p>
        </w:tc>
      </w:tr>
      <w:tr>
        <w:trPr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i/>
                <w:noProof/>
                <w:sz w:val="16"/>
              </w:rPr>
              <w:t>—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A 2016. évi költségvetésben engedélyezett, nem teljes mértékben végrehajtott előirányzatok és a 2015. évről áthozott előirányzatok: 5. fejezet – Igazgatás (egyéb intézmények)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NormalRight"/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>35</w:t>
            </w:r>
          </w:p>
        </w:tc>
      </w:tr>
      <w:tr>
        <w:trPr>
          <w:jc w:val="center"/>
        </w:trPr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Részösszeg: árfolyamkülönbségek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>
            <w:pPr>
              <w:pStyle w:val="NormalRight"/>
              <w:spacing w:before="30" w:after="30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–173</w:t>
            </w:r>
          </w:p>
        </w:tc>
      </w:tr>
      <w:tr>
        <w:trPr>
          <w:jc w:val="center"/>
        </w:trPr>
        <w:tc>
          <w:tcPr>
            <w:tcW w:w="7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>
            <w:pPr>
              <w:spacing w:before="30" w:after="30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2016. évi teljes eredmény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>
            <w:pPr>
              <w:pStyle w:val="NormalRight"/>
              <w:spacing w:before="30" w:after="30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6 405</w:t>
            </w:r>
          </w:p>
        </w:tc>
      </w:tr>
      <w:bookmarkEnd w:id="3"/>
      <w:bookmarkEnd w:id="4"/>
    </w:tbl>
    <w:p>
      <w:pPr>
        <w:pStyle w:val="ListDash"/>
        <w:numPr>
          <w:ilvl w:val="0"/>
          <w:numId w:val="0"/>
        </w:numPr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spacing w:before="0"/>
      <w:ind w:left="-851" w:right="-851"/>
      <w:rPr>
        <w:rFonts w:ascii="Arial" w:hAnsi="Arial" w:cs="Arial"/>
        <w:b/>
        <w:sz w:val="48"/>
      </w:rPr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fldChar w:fldCharType="begin"/>
    </w:r>
    <w:r>
      <w:instrText xml:space="preserve"> DOCPROPERTY "Classification" \* MERGEFORMAT </w:instrText>
    </w:r>
    <w:r>
      <w:fldChar w:fldCharType="separate"/>
    </w:r>
    <w:r>
      <w:t xml:space="preserve"> </w:t>
    </w:r>
    <w:r>
      <w:fldChar w:fldCharType="end"/>
    </w:r>
    <w: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spacing w:before="0"/>
      <w:ind w:left="-851" w:right="-851"/>
      <w:rPr>
        <w:rFonts w:ascii="Arial" w:hAnsi="Arial" w:cs="Arial"/>
        <w:b/>
        <w:sz w:val="48"/>
      </w:rPr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fldChar w:fldCharType="begin"/>
    </w:r>
    <w:r>
      <w:instrText xml:space="preserve"> DOCPROPERTY "Classification" \* MERGEFORMAT </w:instrText>
    </w:r>
    <w:r>
      <w:fldChar w:fldCharType="separate"/>
    </w:r>
    <w:r>
      <w:t xml:space="preserve"> </w:t>
    </w:r>
    <w:r>
      <w:fldChar w:fldCharType="end"/>
    </w:r>
    <w: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  <w:footnote w:id="2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</w:r>
      <w:r>
        <w:rPr>
          <w:sz w:val="18"/>
        </w:rPr>
        <w:t>HL L 298., 2012.10.26., 1. o.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sz w:val="18"/>
        </w:rPr>
        <w:t>HL L 51., 2017.2.28., 1. o.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 w:val="18"/>
        </w:rPr>
        <w:t>HL L XXX., XXXX.XX.XX.</w:t>
      </w:r>
    </w:p>
  </w:footnote>
  <w:footnote w:id="5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</w:r>
      <w:r>
        <w:rPr>
          <w:sz w:val="18"/>
        </w:rPr>
        <w:t>HL L 298., 2012.10.26., 1. 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BA72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7ED41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A856D4"/>
    <w:multiLevelType w:val="hybridMultilevel"/>
    <w:tmpl w:val="B07CF3C4"/>
    <w:lvl w:ilvl="0" w:tplc="3D900F3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54526B"/>
    <w:multiLevelType w:val="hybridMultilevel"/>
    <w:tmpl w:val="18D88870"/>
    <w:lvl w:ilvl="0" w:tplc="8A36BA8C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01886"/>
    <w:multiLevelType w:val="hybridMultilevel"/>
    <w:tmpl w:val="FBA0B950"/>
    <w:lvl w:ilvl="0" w:tplc="D1CAE414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20AC0"/>
    <w:multiLevelType w:val="hybridMultilevel"/>
    <w:tmpl w:val="32B0E5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936C33"/>
    <w:multiLevelType w:val="hybridMultilevel"/>
    <w:tmpl w:val="4036C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95CFC"/>
    <w:multiLevelType w:val="hybridMultilevel"/>
    <w:tmpl w:val="D988CAF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027E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9">
    <w:nsid w:val="2F78565E"/>
    <w:multiLevelType w:val="hybridMultilevel"/>
    <w:tmpl w:val="3F76E56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1246D7F"/>
    <w:multiLevelType w:val="hybridMultilevel"/>
    <w:tmpl w:val="E1EA8208"/>
    <w:lvl w:ilvl="0" w:tplc="94027E84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A52C4F"/>
    <w:multiLevelType w:val="singleLevel"/>
    <w:tmpl w:val="CEFC5A2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33BE45BD"/>
    <w:multiLevelType w:val="hybridMultilevel"/>
    <w:tmpl w:val="6D2219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027E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EA3932"/>
    <w:multiLevelType w:val="hybridMultilevel"/>
    <w:tmpl w:val="FA52BE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>
    <w:nsid w:val="3F090162"/>
    <w:multiLevelType w:val="hybridMultilevel"/>
    <w:tmpl w:val="97F2B26A"/>
    <w:lvl w:ilvl="0" w:tplc="61E27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15490"/>
    <w:multiLevelType w:val="singleLevel"/>
    <w:tmpl w:val="1F86C700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7">
    <w:nsid w:val="41AF2082"/>
    <w:multiLevelType w:val="hybridMultilevel"/>
    <w:tmpl w:val="A672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628B4"/>
    <w:multiLevelType w:val="hybridMultilevel"/>
    <w:tmpl w:val="7706A2BE"/>
    <w:lvl w:ilvl="0" w:tplc="3D900F3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F8C3B69"/>
    <w:multiLevelType w:val="multilevel"/>
    <w:tmpl w:val="9B14DAA8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D2B5511"/>
    <w:multiLevelType w:val="singleLevel"/>
    <w:tmpl w:val="74A09970"/>
    <w:name w:val="Heading__2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1">
    <w:nsid w:val="7123216D"/>
    <w:multiLevelType w:val="hybridMultilevel"/>
    <w:tmpl w:val="F648ECEA"/>
    <w:lvl w:ilvl="0" w:tplc="AB00A56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7A0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D8E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0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204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789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61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AA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C40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E95D7F"/>
    <w:multiLevelType w:val="multilevel"/>
    <w:tmpl w:val="F126F78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3">
    <w:nsid w:val="7C966381"/>
    <w:multiLevelType w:val="multilevel"/>
    <w:tmpl w:val="DCC8806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6"/>
  </w:num>
  <w:num w:numId="5">
    <w:abstractNumId w:val="21"/>
  </w:num>
  <w:num w:numId="6">
    <w:abstractNumId w:val="16"/>
  </w:num>
  <w:num w:numId="7">
    <w:abstractNumId w:val="20"/>
  </w:num>
  <w:num w:numId="8">
    <w:abstractNumId w:val="14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6"/>
  </w:num>
  <w:num w:numId="14">
    <w:abstractNumId w:val="8"/>
  </w:num>
  <w:num w:numId="15">
    <w:abstractNumId w:val="10"/>
  </w:num>
  <w:num w:numId="16">
    <w:abstractNumId w:val="18"/>
  </w:num>
  <w:num w:numId="17">
    <w:abstractNumId w:val="16"/>
  </w:num>
  <w:num w:numId="18">
    <w:abstractNumId w:val="19"/>
  </w:num>
  <w:num w:numId="19">
    <w:abstractNumId w:val="4"/>
  </w:num>
  <w:num w:numId="20">
    <w:abstractNumId w:val="9"/>
  </w:num>
  <w:num w:numId="21">
    <w:abstractNumId w:val="16"/>
  </w:num>
  <w:num w:numId="22">
    <w:abstractNumId w:val="16"/>
  </w:num>
  <w:num w:numId="23">
    <w:abstractNumId w:val="0"/>
  </w:num>
  <w:num w:numId="24">
    <w:abstractNumId w:val="17"/>
  </w:num>
  <w:num w:numId="25">
    <w:abstractNumId w:val="15"/>
  </w:num>
  <w:num w:numId="26">
    <w:abstractNumId w:val="3"/>
  </w:num>
  <w:num w:numId="27">
    <w:abstractNumId w:val="22"/>
  </w:num>
  <w:num w:numId="28">
    <w:abstractNumId w:val="1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DocumentType" w:val="ERR"/>
    <w:docVar w:name="FigNum" w:val="1"/>
    <w:docVar w:name="LW_CONFIDENCE" w:val=" "/>
    <w:docVar w:name="LW_CONST_RESTREINT_UE" w:val="RESTREINT UE"/>
    <w:docVar w:name="LW_CORRIGENDUM" w:val="&lt;UNUSED&gt;"/>
    <w:docVar w:name="LW_COVERPAGE_GUID" w:val="FA930A2B87294984AD6810EF88E64DF7"/>
    <w:docVar w:name="LW_CROSSREFERENCE" w:val="&lt;UNUSED&gt;"/>
    <w:docVar w:name="LW_DocType" w:val="NORMAL"/>
    <w:docVar w:name="LW_EMISSION" w:val="2017.4.12."/>
    <w:docVar w:name="LW_EMISSION_ISODATE" w:val="2017-04-12"/>
    <w:docVar w:name="LW_EMISSION_LOCATION" w:val="BRX"/>
    <w:docVar w:name="LW_EMISSION_PREFIX" w:val="Brüsszel, "/>
    <w:docVar w:name="LW_EMISSION_SUFFIX" w:val=" "/>
    <w:docVar w:name="LW_ID_DOCTYPE_NONLW" w:val="CP-035"/>
    <w:docVar w:name="LW_LANGUE" w:val="HU"/>
    <w:docVar w:name="LW_MARKING" w:val="&lt;UNUSED&gt;"/>
    <w:docVar w:name="LW_NOM.INST" w:val="EURÓPAI BIZOTTSÁG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7"/>
    <w:docVar w:name="LW_REF.INST.NEW" w:val="COM"/>
    <w:docVar w:name="LW_REF.INST.NEW_ADOPTED" w:val="final"/>
    <w:docVar w:name="LW_REF.INST.NEW_TEXT" w:val="(2017) 188"/>
    <w:docVar w:name="LW_REF.INTERNE" w:val="&lt;UNUSED&gt;"/>
    <w:docVar w:name="LW_SOUS.TITRE.OBJ.CP" w:val="&lt;UNUSED&gt;"/>
    <w:docVar w:name="LW_SUPERTITRE" w:val="&lt;UNUSED&gt;"/>
    <w:docVar w:name="LW_TITRE.OBJ.CP" w:val="A 2016-OS PÉNZÜGYI ÉV TÖBBLETÉNEK BEVITELE"/>
    <w:docVar w:name="LW_TITRE.OBJ.CP_PREVIOUS" w:val="&lt;UNUSED&gt;"/>
    <w:docVar w:name="LW_TYPE.DOC.CP" w:val="2. SZ. KÖLTSÉGVETÉS-MÓDOSÍTÁSI TERVEZET_x000b_A 2017. ÉVI ÁLTALÁNOS KÖLTSÉGVETÉSHEZ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hu-H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spacing w:before="240" w:after="120"/>
      <w:ind w:left="720" w:hanging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</w:numPr>
      <w:tabs>
        <w:tab w:val="num" w:pos="850"/>
      </w:tabs>
      <w:spacing w:before="120" w:after="120"/>
      <w:ind w:left="850" w:hanging="850"/>
      <w:jc w:val="both"/>
      <w:outlineLvl w:val="2"/>
    </w:pPr>
    <w:rPr>
      <w:rFonts w:ascii="Arial" w:hAnsi="Arial"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</w:numPr>
      <w:tabs>
        <w:tab w:val="num" w:pos="1030"/>
      </w:tabs>
      <w:spacing w:before="120" w:after="120"/>
      <w:ind w:left="1030" w:hanging="85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paragraph" w:styleId="FootnoteText">
    <w:name w:val="footnote text"/>
    <w:basedOn w:val="Normal"/>
    <w:link w:val="FootnoteTextChar"/>
    <w:pPr>
      <w:ind w:left="720" w:hanging="720"/>
      <w:jc w:val="both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b/>
      <w:bCs/>
      <w:caps/>
      <w:sz w:val="20"/>
      <w:szCs w:val="20"/>
    </w:rPr>
  </w:style>
  <w:style w:type="character" w:styleId="FootnoteReference">
    <w:name w:val="footnote reference"/>
    <w:aliases w:val="stylish,Footnote Reference Superscript,BVI fnr,Footnote symbol,Footnote symboFußnotenzeichen,Footnote sign,Footnote Reference Number,E FNZ,-E Fußnotenzeichen,Footnote#,Footnote,Times 10 Point,Exposant 3 Point,Ref,de nota al pie,SUPER"/>
    <w:semiHidden/>
    <w:rPr>
      <w:vertAlign w:val="superscript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</w:style>
  <w:style w:type="paragraph" w:customStyle="1" w:styleId="Tiret0">
    <w:name w:val="Tiret 0"/>
    <w:basedOn w:val="Normal"/>
    <w:pPr>
      <w:numPr>
        <w:numId w:val="1"/>
      </w:numPr>
      <w:spacing w:before="120" w:after="120"/>
      <w:jc w:val="both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b/>
    </w:rPr>
  </w:style>
  <w:style w:type="paragraph" w:customStyle="1" w:styleId="ListDash">
    <w:name w:val="List Dash"/>
    <w:basedOn w:val="Normal"/>
    <w:link w:val="ListDashChar"/>
    <w:pPr>
      <w:numPr>
        <w:numId w:val="2"/>
      </w:numPr>
      <w:spacing w:before="120" w:after="120"/>
      <w:jc w:val="both"/>
    </w:pPr>
  </w:style>
  <w:style w:type="paragraph" w:styleId="TOCHeading">
    <w:name w:val="TOC Heading"/>
    <w:basedOn w:val="Normal"/>
    <w:next w:val="Normal"/>
    <w:qFormat/>
    <w:pPr>
      <w:spacing w:before="120" w:after="240"/>
      <w:jc w:val="center"/>
    </w:pPr>
    <w:rPr>
      <w:b/>
      <w:sz w:val="28"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b/>
    </w:rPr>
  </w:style>
  <w:style w:type="paragraph" w:customStyle="1" w:styleId="Prliminairetype">
    <w:name w:val="Préliminaire type"/>
    <w:basedOn w:val="Normal"/>
    <w:next w:val="Normal"/>
    <w:pPr>
      <w:spacing w:before="360"/>
      <w:jc w:val="center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120" w:after="12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FooterCoverPage">
    <w:name w:val="Footer Cover Page"/>
    <w:basedOn w:val="Normal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paragraph" w:customStyle="1" w:styleId="HeaderCoverPage">
    <w:name w:val="Header Cover Page"/>
    <w:basedOn w:val="Normal"/>
    <w:pPr>
      <w:tabs>
        <w:tab w:val="center" w:pos="4535"/>
        <w:tab w:val="right" w:pos="9071"/>
      </w:tabs>
      <w:spacing w:after="120"/>
      <w:jc w:val="both"/>
    </w:p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styleId="ListBullet">
    <w:name w:val="List Bullet"/>
    <w:basedOn w:val="Normal"/>
    <w:pPr>
      <w:numPr>
        <w:numId w:val="7"/>
      </w:numPr>
      <w:spacing w:before="120" w:after="120"/>
      <w:jc w:val="both"/>
    </w:pPr>
  </w:style>
  <w:style w:type="paragraph" w:customStyle="1" w:styleId="ListDash2">
    <w:name w:val="List Dash 2"/>
    <w:basedOn w:val="Normal"/>
    <w:pPr>
      <w:tabs>
        <w:tab w:val="num" w:pos="1134"/>
      </w:tabs>
      <w:spacing w:before="120" w:after="120"/>
      <w:ind w:left="1134" w:hanging="283"/>
      <w:jc w:val="both"/>
    </w:pPr>
  </w:style>
  <w:style w:type="paragraph" w:customStyle="1" w:styleId="ListBullet1">
    <w:name w:val="List Bullet 1"/>
    <w:basedOn w:val="Text1"/>
    <w:pPr>
      <w:numPr>
        <w:numId w:val="8"/>
      </w:numPr>
      <w:spacing w:before="0" w:after="240"/>
    </w:pPr>
    <w:rPr>
      <w:szCs w:val="20"/>
    </w:rPr>
  </w:style>
  <w:style w:type="paragraph" w:styleId="ListBullet2">
    <w:name w:val="List Bullet 2"/>
    <w:basedOn w:val="Normal"/>
    <w:pPr>
      <w:numPr>
        <w:numId w:val="14"/>
      </w:numPr>
      <w:spacing w:after="240"/>
      <w:jc w:val="both"/>
    </w:pPr>
    <w:rPr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Typedudocument">
    <w:name w:val="Type du document"/>
    <w:basedOn w:val="Normal"/>
    <w:next w:val="Titreobjet"/>
    <w:pPr>
      <w:spacing w:before="360"/>
      <w:jc w:val="center"/>
    </w:pPr>
    <w:rPr>
      <w:b/>
    </w:rPr>
  </w:style>
  <w:style w:type="paragraph" w:customStyle="1" w:styleId="Titreobjet">
    <w:name w:val="Titre objet"/>
    <w:basedOn w:val="Normal"/>
    <w:next w:val="Normal"/>
    <w:pPr>
      <w:spacing w:before="360" w:after="360"/>
      <w:jc w:val="center"/>
    </w:pPr>
    <w:rPr>
      <w:b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Text2">
    <w:name w:val="Text 2"/>
    <w:basedOn w:val="Normal"/>
    <w:pPr>
      <w:spacing w:before="120" w:after="120"/>
      <w:ind w:left="85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pPr>
      <w:numPr>
        <w:numId w:val="28"/>
      </w:numPr>
      <w:spacing w:before="120" w:after="120"/>
      <w:jc w:val="both"/>
    </w:pPr>
  </w:style>
  <w:style w:type="paragraph" w:customStyle="1" w:styleId="ListNumberLevel2">
    <w:name w:val="List Number (Level 2)"/>
    <w:basedOn w:val="Normal"/>
    <w:pPr>
      <w:numPr>
        <w:ilvl w:val="1"/>
        <w:numId w:val="28"/>
      </w:numPr>
      <w:spacing w:before="120" w:after="120"/>
      <w:jc w:val="both"/>
    </w:pPr>
  </w:style>
  <w:style w:type="paragraph" w:customStyle="1" w:styleId="ListNumberLevel3">
    <w:name w:val="List Number (Level 3)"/>
    <w:basedOn w:val="Normal"/>
    <w:pPr>
      <w:numPr>
        <w:ilvl w:val="2"/>
        <w:numId w:val="28"/>
      </w:numPr>
      <w:spacing w:before="120" w:after="120"/>
      <w:jc w:val="both"/>
    </w:pPr>
  </w:style>
  <w:style w:type="paragraph" w:customStyle="1" w:styleId="ListNumberLevel4">
    <w:name w:val="List Number (Level 4)"/>
    <w:basedOn w:val="Normal"/>
    <w:pPr>
      <w:numPr>
        <w:ilvl w:val="3"/>
        <w:numId w:val="28"/>
      </w:numPr>
      <w:spacing w:before="120" w:after="120"/>
      <w:jc w:val="both"/>
    </w:pPr>
  </w:style>
  <w:style w:type="character" w:customStyle="1" w:styleId="ListDashChar">
    <w:name w:val="List Dash Char"/>
    <w:link w:val="ListDash"/>
    <w:rPr>
      <w:sz w:val="24"/>
      <w:szCs w:val="24"/>
      <w:lang w:eastAsia="hu-HU"/>
    </w:rPr>
  </w:style>
  <w:style w:type="paragraph" w:customStyle="1" w:styleId="StyleManualHeading2Italic">
    <w:name w:val="Style Manual Heading 2 + Italic"/>
    <w:basedOn w:val="ManualHeading2"/>
    <w:autoRedefine/>
    <w:pPr>
      <w:spacing w:before="160" w:after="160"/>
      <w:ind w:left="851" w:hanging="851"/>
    </w:pPr>
    <w:rPr>
      <w:bCs/>
      <w:i/>
      <w:iCs/>
    </w:rPr>
  </w:style>
  <w:style w:type="character" w:customStyle="1" w:styleId="FootnoteTextChar">
    <w:name w:val="Footnote Text Char"/>
    <w:link w:val="FootnoteText"/>
    <w:rPr>
      <w:lang w:eastAsia="hu-HU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</w:style>
  <w:style w:type="paragraph" w:customStyle="1" w:styleId="NormalRight">
    <w:name w:val="Normal Right"/>
    <w:basedOn w:val="Normal"/>
    <w:pPr>
      <w:spacing w:before="120" w:after="120"/>
      <w:jc w:val="right"/>
    </w:pPr>
  </w:style>
  <w:style w:type="paragraph" w:customStyle="1" w:styleId="NormalLeft">
    <w:name w:val="Normal Left"/>
    <w:basedOn w:val="Normal"/>
    <w:pPr>
      <w:spacing w:before="120" w:after="120"/>
    </w:pPr>
  </w:style>
  <w:style w:type="paragraph" w:customStyle="1" w:styleId="Point0number">
    <w:name w:val="Point 0 (number)"/>
    <w:basedOn w:val="Normal"/>
    <w:uiPriority w:val="99"/>
    <w:pPr>
      <w:numPr>
        <w:numId w:val="27"/>
      </w:numPr>
      <w:spacing w:before="120" w:after="120"/>
      <w:jc w:val="both"/>
    </w:pPr>
  </w:style>
  <w:style w:type="paragraph" w:customStyle="1" w:styleId="Point1number">
    <w:name w:val="Point 1 (number)"/>
    <w:basedOn w:val="Normal"/>
    <w:uiPriority w:val="99"/>
    <w:pPr>
      <w:numPr>
        <w:ilvl w:val="2"/>
        <w:numId w:val="27"/>
      </w:numPr>
      <w:spacing w:before="120" w:after="120"/>
      <w:jc w:val="both"/>
    </w:pPr>
  </w:style>
  <w:style w:type="paragraph" w:customStyle="1" w:styleId="Point2number">
    <w:name w:val="Point 2 (number)"/>
    <w:basedOn w:val="Normal"/>
    <w:uiPriority w:val="99"/>
    <w:pPr>
      <w:numPr>
        <w:ilvl w:val="4"/>
        <w:numId w:val="27"/>
      </w:numPr>
      <w:spacing w:before="120" w:after="120"/>
      <w:jc w:val="both"/>
    </w:pPr>
  </w:style>
  <w:style w:type="paragraph" w:customStyle="1" w:styleId="Point3number">
    <w:name w:val="Point 3 (number)"/>
    <w:basedOn w:val="Normal"/>
    <w:uiPriority w:val="99"/>
    <w:pPr>
      <w:numPr>
        <w:ilvl w:val="6"/>
        <w:numId w:val="27"/>
      </w:numPr>
      <w:spacing w:before="120" w:after="120"/>
      <w:jc w:val="both"/>
    </w:pPr>
  </w:style>
  <w:style w:type="paragraph" w:customStyle="1" w:styleId="Point0letter">
    <w:name w:val="Point 0 (letter)"/>
    <w:basedOn w:val="Normal"/>
    <w:uiPriority w:val="99"/>
    <w:pPr>
      <w:numPr>
        <w:ilvl w:val="1"/>
        <w:numId w:val="27"/>
      </w:numPr>
      <w:spacing w:before="120" w:after="120"/>
      <w:jc w:val="both"/>
    </w:pPr>
  </w:style>
  <w:style w:type="paragraph" w:customStyle="1" w:styleId="Point1letter">
    <w:name w:val="Point 1 (letter)"/>
    <w:basedOn w:val="Normal"/>
    <w:uiPriority w:val="99"/>
    <w:pPr>
      <w:numPr>
        <w:ilvl w:val="3"/>
        <w:numId w:val="27"/>
      </w:numPr>
      <w:spacing w:before="120" w:after="120"/>
      <w:jc w:val="both"/>
    </w:pPr>
  </w:style>
  <w:style w:type="paragraph" w:customStyle="1" w:styleId="Point2letter">
    <w:name w:val="Point 2 (letter)"/>
    <w:basedOn w:val="Normal"/>
    <w:uiPriority w:val="99"/>
    <w:pPr>
      <w:numPr>
        <w:ilvl w:val="5"/>
        <w:numId w:val="27"/>
      </w:numPr>
      <w:spacing w:before="120" w:after="120"/>
      <w:jc w:val="both"/>
    </w:pPr>
  </w:style>
  <w:style w:type="paragraph" w:customStyle="1" w:styleId="Point3letter">
    <w:name w:val="Point 3 (letter)"/>
    <w:basedOn w:val="Normal"/>
    <w:uiPriority w:val="99"/>
    <w:pPr>
      <w:numPr>
        <w:ilvl w:val="7"/>
        <w:numId w:val="27"/>
      </w:numPr>
      <w:spacing w:before="120" w:after="120"/>
      <w:jc w:val="both"/>
    </w:pPr>
  </w:style>
  <w:style w:type="paragraph" w:customStyle="1" w:styleId="Point4letter">
    <w:name w:val="Point 4 (letter)"/>
    <w:basedOn w:val="Normal"/>
    <w:uiPriority w:val="99"/>
    <w:pPr>
      <w:numPr>
        <w:ilvl w:val="8"/>
        <w:numId w:val="27"/>
      </w:numPr>
      <w:spacing w:before="120" w:after="120"/>
      <w:jc w:val="both"/>
    </w:pPr>
  </w:style>
  <w:style w:type="paragraph" w:customStyle="1" w:styleId="NumPar1">
    <w:name w:val="NumPar 1"/>
    <w:basedOn w:val="Normal"/>
    <w:next w:val="Text1"/>
    <w:pPr>
      <w:numPr>
        <w:numId w:val="36"/>
      </w:numPr>
      <w:spacing w:before="120" w:after="120"/>
      <w:jc w:val="both"/>
    </w:pPr>
  </w:style>
  <w:style w:type="paragraph" w:customStyle="1" w:styleId="NumPar2">
    <w:name w:val="NumPar 2"/>
    <w:basedOn w:val="Normal"/>
    <w:next w:val="Normal"/>
    <w:pPr>
      <w:numPr>
        <w:ilvl w:val="1"/>
        <w:numId w:val="36"/>
      </w:numPr>
      <w:spacing w:before="120" w:after="120"/>
      <w:jc w:val="both"/>
    </w:pPr>
  </w:style>
  <w:style w:type="paragraph" w:customStyle="1" w:styleId="NumPar3">
    <w:name w:val="NumPar 3"/>
    <w:basedOn w:val="Normal"/>
    <w:next w:val="Normal"/>
    <w:pPr>
      <w:numPr>
        <w:ilvl w:val="2"/>
        <w:numId w:val="36"/>
      </w:numPr>
      <w:spacing w:before="120" w:after="120"/>
      <w:jc w:val="both"/>
    </w:pPr>
  </w:style>
  <w:style w:type="paragraph" w:customStyle="1" w:styleId="NumPar4">
    <w:name w:val="NumPar 4"/>
    <w:basedOn w:val="Normal"/>
    <w:next w:val="Normal"/>
    <w:pPr>
      <w:numPr>
        <w:ilvl w:val="3"/>
        <w:numId w:val="36"/>
      </w:numPr>
      <w:spacing w:before="120" w:after="120"/>
      <w:jc w:val="both"/>
    </w:pPr>
  </w:style>
  <w:style w:type="paragraph" w:customStyle="1" w:styleId="Exposdesmotifstitre">
    <w:name w:val="Exposé des motifs titre"/>
    <w:basedOn w:val="Normal"/>
    <w:next w:val="Normal"/>
    <w:pPr>
      <w:spacing w:before="120" w:after="120"/>
      <w:jc w:val="center"/>
    </w:pPr>
    <w:rPr>
      <w:b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Statut">
    <w:name w:val="Statut"/>
    <w:basedOn w:val="Normal"/>
    <w:next w:val="Typedudocument"/>
    <w:pPr>
      <w:spacing w:before="360"/>
      <w:jc w:val="center"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hu-H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spacing w:before="240" w:after="120"/>
      <w:ind w:left="720" w:hanging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</w:numPr>
      <w:tabs>
        <w:tab w:val="num" w:pos="850"/>
      </w:tabs>
      <w:spacing w:before="120" w:after="120"/>
      <w:ind w:left="850" w:hanging="850"/>
      <w:jc w:val="both"/>
      <w:outlineLvl w:val="2"/>
    </w:pPr>
    <w:rPr>
      <w:rFonts w:ascii="Arial" w:hAnsi="Arial"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</w:numPr>
      <w:tabs>
        <w:tab w:val="num" w:pos="1030"/>
      </w:tabs>
      <w:spacing w:before="120" w:after="120"/>
      <w:ind w:left="1030" w:hanging="85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paragraph" w:styleId="FootnoteText">
    <w:name w:val="footnote text"/>
    <w:basedOn w:val="Normal"/>
    <w:link w:val="FootnoteTextChar"/>
    <w:pPr>
      <w:ind w:left="720" w:hanging="720"/>
      <w:jc w:val="both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b/>
      <w:bCs/>
      <w:caps/>
      <w:sz w:val="20"/>
      <w:szCs w:val="20"/>
    </w:rPr>
  </w:style>
  <w:style w:type="character" w:styleId="FootnoteReference">
    <w:name w:val="footnote reference"/>
    <w:aliases w:val="stylish,Footnote Reference Superscript,BVI fnr,Footnote symbol,Footnote symboFußnotenzeichen,Footnote sign,Footnote Reference Number,E FNZ,-E Fußnotenzeichen,Footnote#,Footnote,Times 10 Point,Exposant 3 Point,Ref,de nota al pie,SUPER"/>
    <w:semiHidden/>
    <w:rPr>
      <w:vertAlign w:val="superscript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</w:style>
  <w:style w:type="paragraph" w:customStyle="1" w:styleId="Tiret0">
    <w:name w:val="Tiret 0"/>
    <w:basedOn w:val="Normal"/>
    <w:pPr>
      <w:numPr>
        <w:numId w:val="1"/>
      </w:numPr>
      <w:spacing w:before="120" w:after="120"/>
      <w:jc w:val="both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b/>
    </w:rPr>
  </w:style>
  <w:style w:type="paragraph" w:customStyle="1" w:styleId="ListDash">
    <w:name w:val="List Dash"/>
    <w:basedOn w:val="Normal"/>
    <w:link w:val="ListDashChar"/>
    <w:pPr>
      <w:numPr>
        <w:numId w:val="2"/>
      </w:numPr>
      <w:spacing w:before="120" w:after="120"/>
      <w:jc w:val="both"/>
    </w:pPr>
  </w:style>
  <w:style w:type="paragraph" w:styleId="TOCHeading">
    <w:name w:val="TOC Heading"/>
    <w:basedOn w:val="Normal"/>
    <w:next w:val="Normal"/>
    <w:qFormat/>
    <w:pPr>
      <w:spacing w:before="120" w:after="240"/>
      <w:jc w:val="center"/>
    </w:pPr>
    <w:rPr>
      <w:b/>
      <w:sz w:val="28"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b/>
    </w:rPr>
  </w:style>
  <w:style w:type="paragraph" w:customStyle="1" w:styleId="Prliminairetype">
    <w:name w:val="Préliminaire type"/>
    <w:basedOn w:val="Normal"/>
    <w:next w:val="Normal"/>
    <w:pPr>
      <w:spacing w:before="360"/>
      <w:jc w:val="center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120" w:after="120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FooterCoverPage">
    <w:name w:val="Footer Cover Page"/>
    <w:basedOn w:val="Normal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paragraph" w:customStyle="1" w:styleId="HeaderCoverPage">
    <w:name w:val="Header Cover Page"/>
    <w:basedOn w:val="Normal"/>
    <w:pPr>
      <w:tabs>
        <w:tab w:val="center" w:pos="4535"/>
        <w:tab w:val="right" w:pos="9071"/>
      </w:tabs>
      <w:spacing w:after="120"/>
      <w:jc w:val="both"/>
    </w:p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styleId="ListBullet">
    <w:name w:val="List Bullet"/>
    <w:basedOn w:val="Normal"/>
    <w:pPr>
      <w:numPr>
        <w:numId w:val="7"/>
      </w:numPr>
      <w:spacing w:before="120" w:after="120"/>
      <w:jc w:val="both"/>
    </w:pPr>
  </w:style>
  <w:style w:type="paragraph" w:customStyle="1" w:styleId="ListDash2">
    <w:name w:val="List Dash 2"/>
    <w:basedOn w:val="Normal"/>
    <w:pPr>
      <w:tabs>
        <w:tab w:val="num" w:pos="1134"/>
      </w:tabs>
      <w:spacing w:before="120" w:after="120"/>
      <w:ind w:left="1134" w:hanging="283"/>
      <w:jc w:val="both"/>
    </w:pPr>
  </w:style>
  <w:style w:type="paragraph" w:customStyle="1" w:styleId="ListBullet1">
    <w:name w:val="List Bullet 1"/>
    <w:basedOn w:val="Text1"/>
    <w:pPr>
      <w:numPr>
        <w:numId w:val="8"/>
      </w:numPr>
      <w:spacing w:before="0" w:after="240"/>
    </w:pPr>
    <w:rPr>
      <w:szCs w:val="20"/>
    </w:rPr>
  </w:style>
  <w:style w:type="paragraph" w:styleId="ListBullet2">
    <w:name w:val="List Bullet 2"/>
    <w:basedOn w:val="Normal"/>
    <w:pPr>
      <w:numPr>
        <w:numId w:val="14"/>
      </w:numPr>
      <w:spacing w:after="240"/>
      <w:jc w:val="both"/>
    </w:pPr>
    <w:rPr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Typedudocument">
    <w:name w:val="Type du document"/>
    <w:basedOn w:val="Normal"/>
    <w:next w:val="Titreobjet"/>
    <w:pPr>
      <w:spacing w:before="360"/>
      <w:jc w:val="center"/>
    </w:pPr>
    <w:rPr>
      <w:b/>
    </w:rPr>
  </w:style>
  <w:style w:type="paragraph" w:customStyle="1" w:styleId="Titreobjet">
    <w:name w:val="Titre objet"/>
    <w:basedOn w:val="Normal"/>
    <w:next w:val="Normal"/>
    <w:pPr>
      <w:spacing w:before="360" w:after="360"/>
      <w:jc w:val="center"/>
    </w:pPr>
    <w:rPr>
      <w:b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Text2">
    <w:name w:val="Text 2"/>
    <w:basedOn w:val="Normal"/>
    <w:pPr>
      <w:spacing w:before="120" w:after="120"/>
      <w:ind w:left="85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pPr>
      <w:numPr>
        <w:numId w:val="28"/>
      </w:numPr>
      <w:spacing w:before="120" w:after="120"/>
      <w:jc w:val="both"/>
    </w:pPr>
  </w:style>
  <w:style w:type="paragraph" w:customStyle="1" w:styleId="ListNumberLevel2">
    <w:name w:val="List Number (Level 2)"/>
    <w:basedOn w:val="Normal"/>
    <w:pPr>
      <w:numPr>
        <w:ilvl w:val="1"/>
        <w:numId w:val="28"/>
      </w:numPr>
      <w:spacing w:before="120" w:after="120"/>
      <w:jc w:val="both"/>
    </w:pPr>
  </w:style>
  <w:style w:type="paragraph" w:customStyle="1" w:styleId="ListNumberLevel3">
    <w:name w:val="List Number (Level 3)"/>
    <w:basedOn w:val="Normal"/>
    <w:pPr>
      <w:numPr>
        <w:ilvl w:val="2"/>
        <w:numId w:val="28"/>
      </w:numPr>
      <w:spacing w:before="120" w:after="120"/>
      <w:jc w:val="both"/>
    </w:pPr>
  </w:style>
  <w:style w:type="paragraph" w:customStyle="1" w:styleId="ListNumberLevel4">
    <w:name w:val="List Number (Level 4)"/>
    <w:basedOn w:val="Normal"/>
    <w:pPr>
      <w:numPr>
        <w:ilvl w:val="3"/>
        <w:numId w:val="28"/>
      </w:numPr>
      <w:spacing w:before="120" w:after="120"/>
      <w:jc w:val="both"/>
    </w:pPr>
  </w:style>
  <w:style w:type="character" w:customStyle="1" w:styleId="ListDashChar">
    <w:name w:val="List Dash Char"/>
    <w:link w:val="ListDash"/>
    <w:rPr>
      <w:sz w:val="24"/>
      <w:szCs w:val="24"/>
      <w:lang w:eastAsia="hu-HU"/>
    </w:rPr>
  </w:style>
  <w:style w:type="paragraph" w:customStyle="1" w:styleId="StyleManualHeading2Italic">
    <w:name w:val="Style Manual Heading 2 + Italic"/>
    <w:basedOn w:val="ManualHeading2"/>
    <w:autoRedefine/>
    <w:pPr>
      <w:spacing w:before="160" w:after="160"/>
      <w:ind w:left="851" w:hanging="851"/>
    </w:pPr>
    <w:rPr>
      <w:bCs/>
      <w:i/>
      <w:iCs/>
    </w:rPr>
  </w:style>
  <w:style w:type="character" w:customStyle="1" w:styleId="FootnoteTextChar">
    <w:name w:val="Footnote Text Char"/>
    <w:link w:val="FootnoteText"/>
    <w:rPr>
      <w:lang w:eastAsia="hu-HU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</w:style>
  <w:style w:type="paragraph" w:customStyle="1" w:styleId="NormalRight">
    <w:name w:val="Normal Right"/>
    <w:basedOn w:val="Normal"/>
    <w:pPr>
      <w:spacing w:before="120" w:after="120"/>
      <w:jc w:val="right"/>
    </w:pPr>
  </w:style>
  <w:style w:type="paragraph" w:customStyle="1" w:styleId="NormalLeft">
    <w:name w:val="Normal Left"/>
    <w:basedOn w:val="Normal"/>
    <w:pPr>
      <w:spacing w:before="120" w:after="120"/>
    </w:pPr>
  </w:style>
  <w:style w:type="paragraph" w:customStyle="1" w:styleId="Point0number">
    <w:name w:val="Point 0 (number)"/>
    <w:basedOn w:val="Normal"/>
    <w:uiPriority w:val="99"/>
    <w:pPr>
      <w:numPr>
        <w:numId w:val="27"/>
      </w:numPr>
      <w:spacing w:before="120" w:after="120"/>
      <w:jc w:val="both"/>
    </w:pPr>
  </w:style>
  <w:style w:type="paragraph" w:customStyle="1" w:styleId="Point1number">
    <w:name w:val="Point 1 (number)"/>
    <w:basedOn w:val="Normal"/>
    <w:uiPriority w:val="99"/>
    <w:pPr>
      <w:numPr>
        <w:ilvl w:val="2"/>
        <w:numId w:val="27"/>
      </w:numPr>
      <w:spacing w:before="120" w:after="120"/>
      <w:jc w:val="both"/>
    </w:pPr>
  </w:style>
  <w:style w:type="paragraph" w:customStyle="1" w:styleId="Point2number">
    <w:name w:val="Point 2 (number)"/>
    <w:basedOn w:val="Normal"/>
    <w:uiPriority w:val="99"/>
    <w:pPr>
      <w:numPr>
        <w:ilvl w:val="4"/>
        <w:numId w:val="27"/>
      </w:numPr>
      <w:spacing w:before="120" w:after="120"/>
      <w:jc w:val="both"/>
    </w:pPr>
  </w:style>
  <w:style w:type="paragraph" w:customStyle="1" w:styleId="Point3number">
    <w:name w:val="Point 3 (number)"/>
    <w:basedOn w:val="Normal"/>
    <w:uiPriority w:val="99"/>
    <w:pPr>
      <w:numPr>
        <w:ilvl w:val="6"/>
        <w:numId w:val="27"/>
      </w:numPr>
      <w:spacing w:before="120" w:after="120"/>
      <w:jc w:val="both"/>
    </w:pPr>
  </w:style>
  <w:style w:type="paragraph" w:customStyle="1" w:styleId="Point0letter">
    <w:name w:val="Point 0 (letter)"/>
    <w:basedOn w:val="Normal"/>
    <w:uiPriority w:val="99"/>
    <w:pPr>
      <w:numPr>
        <w:ilvl w:val="1"/>
        <w:numId w:val="27"/>
      </w:numPr>
      <w:spacing w:before="120" w:after="120"/>
      <w:jc w:val="both"/>
    </w:pPr>
  </w:style>
  <w:style w:type="paragraph" w:customStyle="1" w:styleId="Point1letter">
    <w:name w:val="Point 1 (letter)"/>
    <w:basedOn w:val="Normal"/>
    <w:uiPriority w:val="99"/>
    <w:pPr>
      <w:numPr>
        <w:ilvl w:val="3"/>
        <w:numId w:val="27"/>
      </w:numPr>
      <w:spacing w:before="120" w:after="120"/>
      <w:jc w:val="both"/>
    </w:pPr>
  </w:style>
  <w:style w:type="paragraph" w:customStyle="1" w:styleId="Point2letter">
    <w:name w:val="Point 2 (letter)"/>
    <w:basedOn w:val="Normal"/>
    <w:uiPriority w:val="99"/>
    <w:pPr>
      <w:numPr>
        <w:ilvl w:val="5"/>
        <w:numId w:val="27"/>
      </w:numPr>
      <w:spacing w:before="120" w:after="120"/>
      <w:jc w:val="both"/>
    </w:pPr>
  </w:style>
  <w:style w:type="paragraph" w:customStyle="1" w:styleId="Point3letter">
    <w:name w:val="Point 3 (letter)"/>
    <w:basedOn w:val="Normal"/>
    <w:uiPriority w:val="99"/>
    <w:pPr>
      <w:numPr>
        <w:ilvl w:val="7"/>
        <w:numId w:val="27"/>
      </w:numPr>
      <w:spacing w:before="120" w:after="120"/>
      <w:jc w:val="both"/>
    </w:pPr>
  </w:style>
  <w:style w:type="paragraph" w:customStyle="1" w:styleId="Point4letter">
    <w:name w:val="Point 4 (letter)"/>
    <w:basedOn w:val="Normal"/>
    <w:uiPriority w:val="99"/>
    <w:pPr>
      <w:numPr>
        <w:ilvl w:val="8"/>
        <w:numId w:val="27"/>
      </w:numPr>
      <w:spacing w:before="120" w:after="120"/>
      <w:jc w:val="both"/>
    </w:pPr>
  </w:style>
  <w:style w:type="paragraph" w:customStyle="1" w:styleId="NumPar1">
    <w:name w:val="NumPar 1"/>
    <w:basedOn w:val="Normal"/>
    <w:next w:val="Text1"/>
    <w:pPr>
      <w:numPr>
        <w:numId w:val="36"/>
      </w:numPr>
      <w:spacing w:before="120" w:after="120"/>
      <w:jc w:val="both"/>
    </w:pPr>
  </w:style>
  <w:style w:type="paragraph" w:customStyle="1" w:styleId="NumPar2">
    <w:name w:val="NumPar 2"/>
    <w:basedOn w:val="Normal"/>
    <w:next w:val="Normal"/>
    <w:pPr>
      <w:numPr>
        <w:ilvl w:val="1"/>
        <w:numId w:val="36"/>
      </w:numPr>
      <w:spacing w:before="120" w:after="120"/>
      <w:jc w:val="both"/>
    </w:pPr>
  </w:style>
  <w:style w:type="paragraph" w:customStyle="1" w:styleId="NumPar3">
    <w:name w:val="NumPar 3"/>
    <w:basedOn w:val="Normal"/>
    <w:next w:val="Normal"/>
    <w:pPr>
      <w:numPr>
        <w:ilvl w:val="2"/>
        <w:numId w:val="36"/>
      </w:numPr>
      <w:spacing w:before="120" w:after="120"/>
      <w:jc w:val="both"/>
    </w:pPr>
  </w:style>
  <w:style w:type="paragraph" w:customStyle="1" w:styleId="NumPar4">
    <w:name w:val="NumPar 4"/>
    <w:basedOn w:val="Normal"/>
    <w:next w:val="Normal"/>
    <w:pPr>
      <w:numPr>
        <w:ilvl w:val="3"/>
        <w:numId w:val="36"/>
      </w:numPr>
      <w:spacing w:before="120" w:after="120"/>
      <w:jc w:val="both"/>
    </w:pPr>
  </w:style>
  <w:style w:type="paragraph" w:customStyle="1" w:styleId="Exposdesmotifstitre">
    <w:name w:val="Exposé des motifs titre"/>
    <w:basedOn w:val="Normal"/>
    <w:next w:val="Normal"/>
    <w:pPr>
      <w:spacing w:before="120" w:after="120"/>
      <w:jc w:val="center"/>
    </w:pPr>
    <w:rPr>
      <w:b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Statut">
    <w:name w:val="Statut"/>
    <w:basedOn w:val="Normal"/>
    <w:next w:val="Typedudocument"/>
    <w:pPr>
      <w:spacing w:before="360"/>
      <w:jc w:val="center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budget/www/index-hu.htm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44FB-5C88-4CD2-A244-CF7BBF5F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566</Words>
  <Characters>3698</Characters>
  <Application>Microsoft Office Word</Application>
  <DocSecurity>0</DocSecurity>
  <Lines>119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4179</CharactersWithSpaces>
  <SharedDoc>false</SharedDoc>
  <HLinks>
    <vt:vector size="6" baseType="variant">
      <vt:variant>
        <vt:i4>5046279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http://eur-lex.europa.eu/budget/www/index-en.htm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2017-03-30T12:30:00Z</cp:lastPrinted>
  <dcterms:created xsi:type="dcterms:W3CDTF">2017-04-07T09:43:00Z</dcterms:created>
  <dcterms:modified xsi:type="dcterms:W3CDTF">2017-04-21T07:43:00Z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name="OP_sanitized" fmtid="{D5CDD505-2E9C-101B-9397-08002B2CF9AE}" pid="6">
    <vt:lpwstr>True</vt:lpwstr>
  </property>
</Properties>
</file>