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688B2E397244D658B1C29C0E7FB621D" style="width:450.7pt;height:407.7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color w:val="000000"/>
          <w:u w:color="000000"/>
          <w:bdr w:val="nil"/>
        </w:rPr>
        <w:t>•</w:t>
      </w:r>
      <w:r>
        <w:rPr>
          <w:noProof/>
        </w:rPr>
        <w:tab/>
        <w:t>A javaslat indokai és céljai</w:t>
      </w:r>
    </w:p>
    <w:p>
      <w:pPr>
        <w:pStyle w:val="Text1"/>
        <w:ind w:left="0"/>
        <w:rPr>
          <w:noProof/>
          <w:szCs w:val="24"/>
        </w:rPr>
      </w:pPr>
      <w:bookmarkStart w:id="1" w:name="DQCErrorScopeADA5850EB8D3406E9AA164459AE"/>
      <w:r>
        <w:rPr>
          <w:noProof/>
        </w:rPr>
        <w:t>2016. április 7-én a Bizottság elfogadta a héára vonatkozó cselekvési tervet</w:t>
      </w:r>
      <w:r>
        <w:rPr>
          <w:rStyle w:val="FootnoteReference"/>
          <w:noProof/>
        </w:rPr>
        <w:footnoteReference w:id="1"/>
      </w:r>
      <w:r>
        <w:rPr>
          <w:noProof/>
        </w:rPr>
        <w:t>, amely az EU héarendszerének korszerűsítésére irányuló célkitűzéseket és intézkedéseket tartalmaz. A cselekvési terv a héa jövőjéről szóló közlemény</w:t>
      </w:r>
      <w:r>
        <w:rPr>
          <w:rStyle w:val="FootnoteReference"/>
          <w:noProof/>
        </w:rPr>
        <w:footnoteReference w:id="2"/>
      </w:r>
      <w:r>
        <w:rPr>
          <w:noProof/>
        </w:rPr>
        <w:t xml:space="preserve"> óta végzett munkára épül, amely a Bizottság által a héa jövőjéről szóló zöld könyvvel</w:t>
      </w:r>
      <w:r>
        <w:rPr>
          <w:rStyle w:val="FootnoteReference"/>
          <w:noProof/>
        </w:rPr>
        <w:footnoteReference w:id="3"/>
      </w:r>
      <w:r>
        <w:rPr>
          <w:noProof/>
        </w:rPr>
        <w:t xml:space="preserve"> elindított széles körű konzultációs folyamatot követte.</w:t>
      </w:r>
    </w:p>
    <w:p>
      <w:pPr>
        <w:pStyle w:val="Text1"/>
        <w:ind w:left="0"/>
        <w:rPr>
          <w:noProof/>
          <w:szCs w:val="24"/>
        </w:rPr>
      </w:pPr>
      <w:bookmarkStart w:id="2" w:name="DQCErrorScopeA46EAE030B4E4B6A9C53397E2D0"/>
      <w:bookmarkEnd w:id="1"/>
      <w:r>
        <w:rPr>
          <w:noProof/>
        </w:rPr>
        <w:t>Az egységes európai héaövezet létrehozása a Bizottság cselekvési tervében bejelentett egyik legfontosabb intézkedés. Ehhez az Unión belüli vállalkozások közötti (B2B), határokon átnyúló kereskedelemre vonatkozó végleges héarendszer kialakítására lesz szükség az átmenetinek szánt jelenlegi rendszer felváltása érdekében.</w:t>
      </w:r>
    </w:p>
    <w:p>
      <w:pPr>
        <w:pStyle w:val="Text1"/>
        <w:ind w:left="0"/>
        <w:rPr>
          <w:noProof/>
          <w:szCs w:val="24"/>
        </w:rPr>
      </w:pPr>
      <w:bookmarkStart w:id="3" w:name="DQCErrorScopeB1A24870A2B245C18ADF59D0E09"/>
      <w:bookmarkEnd w:id="2"/>
      <w:r>
        <w:rPr>
          <w:noProof/>
        </w:rPr>
        <w:t>Az Európai Parlament és a Tanács megállapodása szerint ez a végleges héarendszer az áruk rendeltetési országában történő adóztatásának elvén fog alapulni (az úgynevezett „rendeltetési hely elve”), míg a jelenlegi rendszer az áruknak az indulási hely szerinti tagállamban történő értékesítésének adómentességén alapul. A Bizottság ezért bejelentette azon szándékát, hogy 2017-ben jogalkotási javaslatot nyújt be a határokon átnyúló kereskedelemre vonatkozó, ezen „adóztatási” lehetőségen alapuló végleges héarendszerre vonatkozóan.</w:t>
      </w:r>
    </w:p>
    <w:p>
      <w:pPr>
        <w:pStyle w:val="Text1"/>
        <w:ind w:left="0"/>
        <w:rPr>
          <w:noProof/>
          <w:szCs w:val="24"/>
        </w:rPr>
      </w:pPr>
      <w:bookmarkStart w:id="4" w:name="DQCErrorScope1B57CA7F586241F5A6935800D3F"/>
      <w:bookmarkEnd w:id="3"/>
      <w:r>
        <w:rPr>
          <w:noProof/>
        </w:rPr>
        <w:t>Mivel azonban egy ilyen jelentős változtatás előkészítése, elfogadása és bevezetése valószínűleg hosszabb ideig tart, a Bizottság elismerte annak szükségességét, hogy párhuzamosan más kezdeményezésekkel is foglalkozni kell, különösen a héacsalás kezelését célzó sürgős intézkedésekkel, valamint ezt követően a héabevétel-kieséssel, az elvárt héa és az adóhatóságok által ténylegesen beszedett héa közötti különbséggel. Ez a héabevétel-kiesés elérte a riasztó, csaknem 160 milliárd eurós</w:t>
      </w:r>
      <w:r>
        <w:rPr>
          <w:rStyle w:val="FootnoteReference"/>
          <w:noProof/>
        </w:rPr>
        <w:footnoteReference w:id="4"/>
      </w:r>
      <w:r>
        <w:rPr>
          <w:noProof/>
        </w:rPr>
        <w:t xml:space="preserve"> szintet, amelyből a határokon átnyúló csalások évente mintegy 50 milliárd EUR bevételkiesést</w:t>
      </w:r>
      <w:r>
        <w:rPr>
          <w:rStyle w:val="FootnoteReference"/>
          <w:noProof/>
        </w:rPr>
        <w:footnoteReference w:id="5"/>
      </w:r>
      <w:r>
        <w:rPr>
          <w:noProof/>
        </w:rPr>
        <w:t xml:space="preserve"> okoznak.</w:t>
      </w:r>
    </w:p>
    <w:p>
      <w:pPr>
        <w:pStyle w:val="Text1"/>
        <w:ind w:left="0"/>
        <w:rPr>
          <w:noProof/>
          <w:szCs w:val="24"/>
        </w:rPr>
      </w:pPr>
      <w:bookmarkStart w:id="5" w:name="DQCErrorScopeB3BBB3041DDB46AEBFC6D190E0F"/>
      <w:bookmarkEnd w:id="4"/>
      <w:r>
        <w:rPr>
          <w:noProof/>
        </w:rPr>
        <w:t>Ezen sürgős intézkedések egyikeként a Bizottság – egyes tagállamok kérésére – fontolóra vette annak lehetőségét, hogy lehetővé tegye e tagállamok számára egy ideiglenes általános fordított adózási mechanizmus (GRCM) bevezetését, amely eltérést jelentene a héa-irányelv</w:t>
      </w:r>
      <w:r>
        <w:rPr>
          <w:rStyle w:val="FootnoteReference"/>
          <w:noProof/>
        </w:rPr>
        <w:footnoteReference w:id="6"/>
      </w:r>
      <w:r>
        <w:rPr>
          <w:noProof/>
        </w:rPr>
        <w:t xml:space="preserve"> általános elveinek egyikétől, a szakaszos fizetéstől. Ennek érdekében a Bizottság vállalta, hogy következtetéseinek előterjesztése előtt alaposan megvizsgálja egy ilyen ideiglenes általános fordított adózási mechanizmus politikai, jogi és gazdasági vonatkozásait. </w:t>
      </w:r>
    </w:p>
    <w:p>
      <w:pPr>
        <w:pStyle w:val="Text1"/>
        <w:ind w:left="0"/>
        <w:rPr>
          <w:noProof/>
          <w:szCs w:val="24"/>
        </w:rPr>
      </w:pPr>
      <w:bookmarkStart w:id="6" w:name="DQCErrorScopeE31BFB3AD0864BAF971E3F887B5"/>
      <w:bookmarkEnd w:id="5"/>
      <w:r>
        <w:rPr>
          <w:noProof/>
        </w:rPr>
        <w:t xml:space="preserve">Az ECOFIN Tanács 2016. június 17-i ülésén sor került egy 10 000 eurós számlaküszöbértékű GRCM mélyreható technikai szintű elemzésére és bemutatására. A Bizottság a csalás elleni átfogó uniós politikáról szóló politikai megállapodással összefüggésben a következő nyilatkozatot tette az ECOFIN Tanács ülésének jegyzőkönyvében: </w:t>
      </w:r>
      <w:r>
        <w:rPr>
          <w:i/>
          <w:noProof/>
        </w:rPr>
        <w:t>„A Bizottság kötelezettséget vállal arra, hogy az év vége előtt jogalkotási javaslatot nyújt be, amely lehetővé teszi az egyes tagállamok számára a közös hozzáadottértékadó-rendszertől való eltérést annak érdekében, hogy egy általános fordított adózási mechanizmust alkalmazzanak a meghatározott küszöbértéket meghaladó belföldi értékesítésekre és megőrizzék a belső piacot.”</w:t>
      </w:r>
    </w:p>
    <w:bookmarkEnd w:id="6"/>
    <w:p>
      <w:pPr>
        <w:pStyle w:val="ManualHeading2"/>
        <w:rPr>
          <w:rFonts w:eastAsia="Arial Unicode MS"/>
          <w:noProof/>
          <w:color w:val="000000"/>
          <w:u w:color="000000"/>
          <w:bdr w:val="nil"/>
        </w:rPr>
      </w:pPr>
      <w:r>
        <w:rPr>
          <w:noProof/>
          <w:color w:val="000000"/>
          <w:u w:color="000000"/>
          <w:bdr w:val="nil"/>
        </w:rPr>
        <w:t>•</w:t>
      </w:r>
      <w:r>
        <w:rPr>
          <w:noProof/>
        </w:rPr>
        <w:tab/>
        <w:t>Összhang a szabályozási terület jelenlegi rendelkezéseivel</w:t>
      </w:r>
    </w:p>
    <w:p>
      <w:pPr>
        <w:pBdr>
          <w:top w:val="nil"/>
          <w:left w:val="nil"/>
          <w:bottom w:val="nil"/>
          <w:right w:val="nil"/>
          <w:between w:val="nil"/>
          <w:bar w:val="nil"/>
        </w:pBdr>
        <w:spacing w:before="0" w:after="240"/>
        <w:rPr>
          <w:rFonts w:eastAsia="Arial Unicode MS"/>
          <w:noProof/>
        </w:rPr>
      </w:pPr>
      <w:r>
        <w:rPr>
          <w:noProof/>
        </w:rPr>
        <w:t>A jogalkotási javaslat célja hatályában és időben korlátozott, és nem érinti a határokon átnyúló értékesítések adóztatásán alapuló végleges héarendszer kidolgozását.</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rPr>
        <w:t>•</w:t>
      </w:r>
      <w:r>
        <w:rPr>
          <w:noProof/>
        </w:rPr>
        <w:tab/>
        <w:t>Jogalap</w:t>
      </w:r>
    </w:p>
    <w:p>
      <w:pPr>
        <w:rPr>
          <w:noProof/>
        </w:rPr>
      </w:pPr>
      <w:r>
        <w:rPr>
          <w:noProof/>
        </w:rPr>
        <w:t>Az irányelv az Európai Unió működéséről szóló szerződés 113. cikke alapján módosítja a héa-irányelvet.</w:t>
      </w:r>
    </w:p>
    <w:p>
      <w:pPr>
        <w:rPr>
          <w:noProof/>
        </w:rPr>
      </w:pPr>
      <w:r>
        <w:rPr>
          <w:noProof/>
        </w:rPr>
        <w:t>A szakaszos fizetés alapelvétől való eltérése miatt a GRCM-nek meghatározott küszöböt meghaladó árukra és szolgáltatásokra történő ideiglenes alkalmazására vonatkozóan egy konkrét jogalap a legjobb út, és összhangban van a héára vonatkozó cselekvési tervvel is.</w:t>
      </w:r>
    </w:p>
    <w:p>
      <w:pPr>
        <w:pStyle w:val="ManualHeading2"/>
        <w:rPr>
          <w:rFonts w:eastAsia="Arial Unicode MS"/>
          <w:noProof/>
          <w:u w:color="000000"/>
          <w:bdr w:val="nil"/>
        </w:rPr>
      </w:pPr>
      <w:r>
        <w:rPr>
          <w:noProof/>
        </w:rPr>
        <w:t>•</w:t>
      </w:r>
      <w:r>
        <w:rPr>
          <w:noProof/>
        </w:rPr>
        <w:tab/>
        <w:t xml:space="preserve">Szubszidiaritás (nem kizárólagos hatáskör esetén) </w:t>
      </w:r>
    </w:p>
    <w:p>
      <w:pPr>
        <w:pStyle w:val="Text1"/>
        <w:ind w:left="0"/>
        <w:rPr>
          <w:noProof/>
        </w:rPr>
      </w:pPr>
      <w:bookmarkStart w:id="7" w:name="DQCErrorScopeF9170149E378440488EC650ED82"/>
      <w:r>
        <w:rPr>
          <w:noProof/>
        </w:rPr>
        <w:t>A szubszidiaritás elve szerint, mint azt az Európai Unióról szóló szerződés 5. cikkének (3) bekezdése kimondja, uniós szintű intézkedésre csak abban az esetben kerülhet sor, ha a kitűzött célokat a tagállamok önállóan nem képesek kielégítően megvalósítani, tehát a tervezett intézkedések nagyságrendje vagy hatásai miatt azok az Unió szintjén jobban megvalósíthatók.</w:t>
      </w:r>
    </w:p>
    <w:p>
      <w:pPr>
        <w:pStyle w:val="Text1"/>
        <w:ind w:left="0"/>
        <w:rPr>
          <w:rFonts w:eastAsia="Arial Unicode MS"/>
          <w:noProof/>
        </w:rPr>
      </w:pPr>
      <w:bookmarkStart w:id="8" w:name="DQCErrorScopeAE4971CC85E64695AD568A5D8C3"/>
      <w:bookmarkEnd w:id="7"/>
      <w:r>
        <w:rPr>
          <w:noProof/>
        </w:rPr>
        <w:t>A tagállamok nem járhatnak el egyenként, mivel a GRCM egyes tagállamok általi alkalmazása nem tekinthető a héa-irányelv 395. cikke értelmében vett „rendes eltérésnek”, mert a héarendszer alapvető megváltoztatásáról van szó. Ezért az egyes tagállamok számára a GRCM alkalmazásának lehetőségéhez szükség van a héa-irányelv módosítására irányuló bizottsági javaslatra, hogy lehetővé tegyen egy ilyen eltérő rendszert. A javaslat továbbra is magas fokú szubszidiaritást biztosít a tagállamok számára, mivel a mechanizmus alkalmazása önkéntes, és a kritériumok teljesülése esetén a tagállamok dönthetnek az eltérés kérelmezéséről.</w:t>
      </w:r>
    </w:p>
    <w:bookmarkEnd w:id="8"/>
    <w:p>
      <w:pPr>
        <w:pStyle w:val="ManualHeading2"/>
        <w:rPr>
          <w:rFonts w:eastAsia="Arial Unicode MS"/>
          <w:noProof/>
          <w:u w:color="000000"/>
          <w:bdr w:val="nil"/>
        </w:rPr>
      </w:pPr>
      <w:r>
        <w:rPr>
          <w:noProof/>
        </w:rPr>
        <w:t>•</w:t>
      </w:r>
      <w:r>
        <w:rPr>
          <w:noProof/>
        </w:rPr>
        <w:tab/>
        <w:t>Arányosság</w:t>
      </w:r>
    </w:p>
    <w:p>
      <w:pPr>
        <w:pBdr>
          <w:top w:val="nil"/>
          <w:left w:val="nil"/>
          <w:bottom w:val="nil"/>
          <w:right w:val="nil"/>
          <w:between w:val="nil"/>
          <w:bar w:val="nil"/>
        </w:pBdr>
        <w:spacing w:before="0" w:after="240"/>
        <w:rPr>
          <w:rFonts w:eastAsia="Arial Unicode MS"/>
          <w:noProof/>
        </w:rPr>
      </w:pPr>
      <w:r>
        <w:rPr>
          <w:noProof/>
        </w:rPr>
        <w:t xml:space="preserve">Nem kötelező és átmeneti jellege miatt az intézkedés arányos azzal a céllal, amely a csalás elleni küzdelemre irányul egyes tagállamokban, amelyek nem rendelkeznek a probléma hatékony kezelését lehetővé tevő közigazgatási kapacitással, vagy a héacsalás jelentős mértékű növekedésével szembesülnek. A GRCM engedélyezésére előre meghatározott kritériumok vonatkoznak, amelyek arra irányulnak, hogy azon tagállamokra korlátozzák az intézkedés hatályát, amelyeket különösen érint a „körhintacsalás”. Ebben az összefüggésben az EU mediánját 5 százalékponttal meghaladó héabevétel-kiesés és a „körhintacsalás” 25 %-ot meghaladó részesedése a tagállam teljes héabevétel-kiesésén belül ésszerű és reprezentatív kritériumnak minősül az átlagosnál nagyobb mértékben érintett tagállamok azonosításához. Ezen túlmenően az intézkedésnek a csalások átterelődésére gyakorolt hatásainak bizonytalansága miatt egy GRCM-et alkalmazó tagállammal közös határral rendelkező tagállam számára is engedélyezni kell, hogy bizonyos feltételek mellett alkalmazza a GRCM-et. </w:t>
      </w:r>
    </w:p>
    <w:p>
      <w:pPr>
        <w:pBdr>
          <w:top w:val="nil"/>
          <w:left w:val="nil"/>
          <w:bottom w:val="nil"/>
          <w:right w:val="nil"/>
          <w:between w:val="nil"/>
          <w:bar w:val="nil"/>
        </w:pBdr>
        <w:spacing w:before="0" w:after="240"/>
        <w:rPr>
          <w:rFonts w:eastAsia="Arial Unicode MS"/>
          <w:noProof/>
        </w:rPr>
      </w:pPr>
      <w:r>
        <w:rPr>
          <w:noProof/>
        </w:rPr>
        <w:t>A belső piacra gyakorolt hatást azonban szorosan figyelemmel kell kísérni. E célból a Bizottságot egy védzáradékban fel kell hatalmazni arra, hogy visszamenőleges hatály nélkül hatályon kívül helyezze az eltéréseket, amennyiben a belső piacra gyakorolt hatás negatív lenne.</w:t>
      </w:r>
    </w:p>
    <w:p>
      <w:pPr>
        <w:pStyle w:val="ManualHeading2"/>
        <w:rPr>
          <w:rFonts w:eastAsia="Arial Unicode MS"/>
          <w:noProof/>
          <w:u w:color="000000"/>
          <w:bdr w:val="nil"/>
        </w:rPr>
      </w:pPr>
      <w:r>
        <w:rPr>
          <w:noProof/>
        </w:rPr>
        <w:t>•</w:t>
      </w:r>
      <w:r>
        <w:rPr>
          <w:noProof/>
        </w:rPr>
        <w:tab/>
        <w:t>A jogi aktus típusának megválasztása</w:t>
      </w:r>
    </w:p>
    <w:p>
      <w:pPr>
        <w:pBdr>
          <w:top w:val="nil"/>
          <w:left w:val="nil"/>
          <w:bottom w:val="nil"/>
          <w:right w:val="nil"/>
          <w:between w:val="nil"/>
          <w:bar w:val="nil"/>
        </w:pBdr>
        <w:spacing w:before="0" w:after="240"/>
        <w:rPr>
          <w:rFonts w:eastAsia="Arial Unicode MS"/>
          <w:noProof/>
        </w:rPr>
      </w:pPr>
      <w:r>
        <w:rPr>
          <w:noProof/>
        </w:rPr>
        <w:t>A héa-irányelv módosítására tekintettel a javaslat egy irányelvre vonatkozik.</w:t>
      </w:r>
    </w:p>
    <w:p>
      <w:pPr>
        <w:pStyle w:val="ManualHeading1"/>
        <w:rPr>
          <w:noProof/>
        </w:rPr>
      </w:pPr>
      <w:r>
        <w:rPr>
          <w:noProof/>
        </w:rPr>
        <w:t>3.</w:t>
      </w:r>
      <w:r>
        <w:rPr>
          <w:noProof/>
        </w:rPr>
        <w:tab/>
        <w:t>AZ UTÓLAGOS ÉRTÉKELÉSEK, AZ ÉRDEKELT FELEKKEL FOLYTATOTT KONZULTÁCIÓK ÉS A HATÁSVIZSGÁLATOK EREDMÉNYEI</w:t>
      </w:r>
    </w:p>
    <w:p>
      <w:pPr>
        <w:pStyle w:val="ManualHeading2"/>
        <w:rPr>
          <w:rFonts w:eastAsia="Arial Unicode MS"/>
          <w:noProof/>
          <w:u w:color="000000"/>
          <w:bdr w:val="nil"/>
        </w:rPr>
      </w:pPr>
      <w:r>
        <w:rPr>
          <w:noProof/>
        </w:rPr>
        <w:t>•</w:t>
      </w:r>
      <w:r>
        <w:rPr>
          <w:noProof/>
        </w:rPr>
        <w:tab/>
        <w:t>Az érdekelt felekkel folytatott konzultációk</w:t>
      </w:r>
    </w:p>
    <w:p>
      <w:pPr>
        <w:pBdr>
          <w:top w:val="nil"/>
          <w:left w:val="nil"/>
          <w:bottom w:val="nil"/>
          <w:right w:val="nil"/>
          <w:between w:val="nil"/>
          <w:bar w:val="nil"/>
        </w:pBdr>
        <w:spacing w:before="0" w:after="240"/>
        <w:rPr>
          <w:rFonts w:eastAsia="Arial Unicode MS"/>
          <w:noProof/>
        </w:rPr>
      </w:pPr>
      <w:r>
        <w:rPr>
          <w:noProof/>
        </w:rPr>
        <w:t>Nem került sor célzott egyeztetésre az érdekelt felekkel.</w:t>
      </w:r>
    </w:p>
    <w:p>
      <w:pPr>
        <w:pBdr>
          <w:top w:val="nil"/>
          <w:left w:val="nil"/>
          <w:bottom w:val="nil"/>
          <w:right w:val="nil"/>
          <w:between w:val="nil"/>
          <w:bar w:val="nil"/>
        </w:pBdr>
        <w:spacing w:before="0" w:after="240"/>
        <w:rPr>
          <w:rFonts w:eastAsia="Arial Unicode MS"/>
          <w:noProof/>
        </w:rPr>
      </w:pPr>
      <w:r>
        <w:rPr>
          <w:noProof/>
        </w:rPr>
        <w:t>„A héa jövőjéről – Úton egy egyszerűbb, szilárdabb és hatékony héarendszer felé” című zöld könyvről (COM(2010) 695) szóló nyílt nyilvános konzultáció, amely mintegy 1700 észrevételt eredményezett, lehetővé tette a Bizottság számára, hogy világos képet kapjon a problémákról és a lehetséges megoldásokról, ideértve a fordított adózás szempontjait is. További részletek a hatásvizsgálat 2. mellékletében olvashatók.</w:t>
      </w:r>
    </w:p>
    <w:p>
      <w:pPr>
        <w:pBdr>
          <w:top w:val="nil"/>
          <w:left w:val="nil"/>
          <w:bottom w:val="nil"/>
          <w:right w:val="nil"/>
          <w:between w:val="nil"/>
          <w:bar w:val="nil"/>
        </w:pBdr>
        <w:spacing w:before="0" w:after="240"/>
        <w:rPr>
          <w:rFonts w:eastAsia="Arial Unicode MS"/>
          <w:noProof/>
        </w:rPr>
      </w:pPr>
      <w:r>
        <w:rPr>
          <w:noProof/>
        </w:rPr>
        <w:t>Az adóhatóságok és az üzleti szereplők megvitatták a kérdést a héa jövőjével foglalkozó csoport (GFV) és a héával foglalkozó szakértői csoport (VEG) 2016. februári ülésén, amely átfogó képet adott a Bizottság számára egy ilyen rendszer esetleges végrehajtására és alkalmazására vonatkozó véleményekről.</w:t>
      </w:r>
    </w:p>
    <w:p>
      <w:pPr>
        <w:pStyle w:val="ManualHeading2"/>
        <w:rPr>
          <w:rFonts w:eastAsia="Arial Unicode MS"/>
          <w:noProof/>
          <w:u w:color="000000"/>
          <w:bdr w:val="nil"/>
        </w:rPr>
      </w:pPr>
      <w:r>
        <w:rPr>
          <w:noProof/>
        </w:rPr>
        <w:t>•</w:t>
      </w:r>
      <w:r>
        <w:rPr>
          <w:noProof/>
        </w:rPr>
        <w:tab/>
        <w:t>Szakértői vélemények beszerzése és felhasználása</w:t>
      </w:r>
    </w:p>
    <w:p>
      <w:pPr>
        <w:pBdr>
          <w:top w:val="nil"/>
          <w:left w:val="nil"/>
          <w:bottom w:val="nil"/>
          <w:right w:val="nil"/>
          <w:between w:val="nil"/>
          <w:bar w:val="nil"/>
        </w:pBdr>
        <w:spacing w:before="0" w:after="240"/>
        <w:rPr>
          <w:rFonts w:eastAsia="Arial Unicode MS"/>
          <w:noProof/>
        </w:rPr>
      </w:pPr>
      <w:r>
        <w:rPr>
          <w:noProof/>
        </w:rPr>
        <w:t>A héával foglalkozó szakértői csoporttal, amely a jogalkotási aktusok és más szakpolitikai kezdeményezések előkészítése során segítséget és tanácsokat nyújt az Európai Bizottságnak a héával kapcsolatos kérdésekben, 2016 februárjában került sor konzultációra.</w:t>
      </w:r>
    </w:p>
    <w:p>
      <w:pPr>
        <w:pBdr>
          <w:top w:val="nil"/>
          <w:left w:val="nil"/>
          <w:bottom w:val="nil"/>
          <w:right w:val="nil"/>
          <w:between w:val="nil"/>
          <w:bar w:val="nil"/>
        </w:pBdr>
        <w:spacing w:before="0" w:after="240"/>
        <w:rPr>
          <w:noProof/>
        </w:rPr>
      </w:pPr>
      <w:r>
        <w:rPr>
          <w:noProof/>
        </w:rPr>
        <w:t>2016. június 28-i véleményében a REFIT-platform egyszerűbb és alapvetőbb uniós héarendszert szorgalmazott, kiemelve különösen a létre jövő belső piaci akadályokat és szabályozási terheket</w:t>
      </w:r>
      <w:r>
        <w:rPr>
          <w:rStyle w:val="FootnoteReference"/>
          <w:noProof/>
        </w:rPr>
        <w:footnoteReference w:id="7"/>
      </w:r>
      <w:r>
        <w:rPr>
          <w:noProof/>
        </w:rPr>
        <w:t>.</w:t>
      </w:r>
    </w:p>
    <w:p>
      <w:pPr>
        <w:pBdr>
          <w:top w:val="nil"/>
          <w:left w:val="nil"/>
          <w:bottom w:val="nil"/>
          <w:right w:val="nil"/>
          <w:between w:val="nil"/>
          <w:bar w:val="nil"/>
        </w:pBdr>
        <w:spacing w:before="0" w:after="240"/>
        <w:rPr>
          <w:rFonts w:eastAsia="Arial Unicode MS"/>
          <w:noProof/>
        </w:rPr>
      </w:pPr>
      <w:r>
        <w:rPr>
          <w:noProof/>
        </w:rPr>
        <w:t>Számos, az üzleti szövetségek által elfogadott véleményt és tudományos publikációt vettek figyelembe.</w:t>
      </w:r>
    </w:p>
    <w:p>
      <w:pPr>
        <w:pStyle w:val="ManualHeading2"/>
        <w:rPr>
          <w:rFonts w:eastAsia="Arial Unicode MS"/>
          <w:noProof/>
          <w:u w:color="000000"/>
          <w:bdr w:val="nil"/>
        </w:rPr>
      </w:pPr>
      <w:r>
        <w:rPr>
          <w:noProof/>
        </w:rPr>
        <w:t>•</w:t>
      </w:r>
      <w:r>
        <w:rPr>
          <w:noProof/>
        </w:rPr>
        <w:tab/>
        <w:t>Hatásvizsgálat</w:t>
      </w:r>
    </w:p>
    <w:p>
      <w:pPr>
        <w:pBdr>
          <w:top w:val="nil"/>
          <w:left w:val="nil"/>
          <w:bottom w:val="nil"/>
          <w:right w:val="nil"/>
          <w:between w:val="nil"/>
          <w:bar w:val="nil"/>
        </w:pBdr>
        <w:spacing w:before="0" w:after="240"/>
        <w:rPr>
          <w:noProof/>
        </w:rPr>
      </w:pPr>
      <w:r>
        <w:rPr>
          <w:noProof/>
        </w:rPr>
        <w:t>A hatásvizsgálatot első alkalommal 2016. szeptember 27-én nyújtották be a Szabályozói Ellenőrzési Testületnek, és 2016. október 26-án sor került egy ülésre. A testület véleménye alapján új tervezetet nyújtottak be a testületnek, amely 2016. november 28-án ajánlásokat tartalmazó kedvező véleményt fogalmazott meg, nevezetesen a legjobb esetet és a legrosszabb esetek figyelembe vételéről</w:t>
      </w:r>
      <w:r>
        <w:rPr>
          <w:rStyle w:val="FootnoteReference"/>
          <w:noProof/>
        </w:rPr>
        <w:footnoteReference w:id="8"/>
      </w:r>
      <w:r>
        <w:rPr>
          <w:noProof/>
        </w:rPr>
        <w:t xml:space="preserve"> (lásd a javaslatot kísérő hatásvizsgálat 1. mellékletét).</w:t>
      </w:r>
    </w:p>
    <w:p>
      <w:pPr>
        <w:pBdr>
          <w:top w:val="nil"/>
          <w:left w:val="nil"/>
          <w:bottom w:val="nil"/>
          <w:right w:val="nil"/>
          <w:between w:val="nil"/>
          <w:bar w:val="nil"/>
        </w:pBdr>
        <w:spacing w:before="0" w:after="240"/>
        <w:rPr>
          <w:noProof/>
        </w:rPr>
      </w:pPr>
      <w:r>
        <w:rPr>
          <w:noProof/>
        </w:rPr>
        <w:t>A hatásvizsgálat során az arra vonatkozó eltérést határozták meg előnyben részesített opcióként, hogy az előre meghatározott kritériumoknak megfelelő egyes tagállamok önkéntes alapon és minden 10 000 EUR számlaküszöbértéket meghaladó árura és szolgáltatásra alkalmazzák a GRCM-et. Ez a lehetőség rövid távú megoldást kínál a körhintacsalás által különösen érintett tagállamok számára. A belső piacra gyakorolt negatív hatásokat azáltal minimalizálja, hogy korlátozza a csalások tagállamok közötti átterelődését. A belső piacra gyakorolt kedvezőtlen hatások esetére védzáradékot irányoznak elő.</w:t>
      </w:r>
    </w:p>
    <w:p>
      <w:pPr>
        <w:pStyle w:val="ManualHeading1"/>
        <w:rPr>
          <w:noProof/>
        </w:rPr>
      </w:pPr>
      <w:r>
        <w:rPr>
          <w:noProof/>
        </w:rPr>
        <w:t>4.</w:t>
      </w:r>
      <w:r>
        <w:rPr>
          <w:noProof/>
        </w:rPr>
        <w:tab/>
        <w:t>EGYÉB ELEMEK</w:t>
      </w:r>
    </w:p>
    <w:p>
      <w:pPr>
        <w:rPr>
          <w:noProof/>
        </w:rPr>
      </w:pPr>
      <w:r>
        <w:rPr>
          <w:noProof/>
        </w:rPr>
        <w:t>A javaslat hatályvesztésre vonatkozó rendelkezést tartalmaz.</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2016/0406 (CNS)</w:t>
      </w:r>
    </w:p>
    <w:p>
      <w:pPr>
        <w:pStyle w:val="Statut"/>
        <w:rPr>
          <w:noProof/>
        </w:rPr>
      </w:pPr>
      <w:r>
        <w:rPr>
          <w:noProof/>
        </w:rPr>
        <w:t>Javaslat</w:t>
      </w:r>
    </w:p>
    <w:p>
      <w:pPr>
        <w:pStyle w:val="Typedudocument"/>
        <w:rPr>
          <w:noProof/>
        </w:rPr>
      </w:pPr>
      <w:r>
        <w:rPr>
          <w:noProof/>
        </w:rPr>
        <w:t>A TANÁCS IRÁNYELVE</w:t>
      </w:r>
    </w:p>
    <w:p>
      <w:pPr>
        <w:pStyle w:val="Titreobjet"/>
        <w:rPr>
          <w:noProof/>
        </w:rPr>
      </w:pPr>
      <w:r>
        <w:rPr>
          <w:noProof/>
        </w:rPr>
        <w:t>a közös hozzáadottértékadó-rendszerről szóló 2006/112/EK irányelvnek az általános fordított adózási mechanizmusnak termékek és szolgáltatások egy bizonyos határértéket meghaladó értékesítésére vonatkozó ideiglenes alkalmazása tekintetében történő módosításáról</w:t>
      </w:r>
    </w:p>
    <w:p>
      <w:pPr>
        <w:pStyle w:val="Institutionquiagit"/>
        <w:rPr>
          <w:noProof/>
        </w:rPr>
      </w:pPr>
      <w:r>
        <w:rPr>
          <w:noProof/>
        </w:rPr>
        <w:t>AZ EURÓPAI UNIÓ TANÁCSA,</w:t>
      </w:r>
    </w:p>
    <w:p>
      <w:pPr>
        <w:rPr>
          <w:noProof/>
        </w:rPr>
      </w:pPr>
      <w:r>
        <w:rPr>
          <w:noProof/>
        </w:rPr>
        <w:t>tekintettel az Európai Unió működéséről szóló szerződésre és különösen annak 113. cikkére,</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tekintettel az Európai Parlament véleményére,</w:t>
      </w:r>
    </w:p>
    <w:p>
      <w:pPr>
        <w:rPr>
          <w:noProof/>
        </w:rPr>
      </w:pPr>
      <w:r>
        <w:rPr>
          <w:noProof/>
        </w:rPr>
        <w:t>tekintettel az Európai Gazdasági és Szociális Bizottság véleményére,</w:t>
      </w:r>
    </w:p>
    <w:p>
      <w:pPr>
        <w:rPr>
          <w:noProof/>
        </w:rPr>
      </w:pPr>
      <w:r>
        <w:rPr>
          <w:noProof/>
        </w:rPr>
        <w:t>különleges jogalkotási eljárás keretében,</w:t>
      </w:r>
    </w:p>
    <w:p>
      <w:pPr>
        <w:rPr>
          <w:noProof/>
        </w:rPr>
      </w:pPr>
      <w:r>
        <w:rPr>
          <w:noProof/>
        </w:rPr>
        <w:t xml:space="preserve">mivel: </w:t>
      </w:r>
    </w:p>
    <w:p>
      <w:pPr>
        <w:pStyle w:val="ManualConsidrant"/>
        <w:rPr>
          <w:noProof/>
        </w:rPr>
      </w:pPr>
      <w:r>
        <w:t>(1)</w:t>
      </w:r>
      <w:r>
        <w:tab/>
      </w:r>
      <w:r>
        <w:rPr>
          <w:noProof/>
        </w:rPr>
        <w:t>A Bizottság a héára vonatkozó cselekvési tervében</w:t>
      </w:r>
      <w:r>
        <w:rPr>
          <w:rStyle w:val="FootnoteReference"/>
          <w:noProof/>
        </w:rPr>
        <w:footnoteReference w:id="9"/>
      </w:r>
      <w:r>
        <w:rPr>
          <w:noProof/>
        </w:rPr>
        <w:t xml:space="preserve"> bejelentette azon szándékát, hogy az áruk és szolgáltatások határokon átnyúló értékesítésének adóztatásán alapuló javaslatot terjeszt elő a tagállamok közötti, határokon átnyúló, vállalkozások közötti kereskedelemre vonatkozó végleges hozzáadottértékadó-rendszerre (héarendszerre) vonatkozóan.</w:t>
      </w:r>
    </w:p>
    <w:p>
      <w:pPr>
        <w:pStyle w:val="ManualConsidrant"/>
        <w:rPr>
          <w:noProof/>
        </w:rPr>
      </w:pPr>
      <w:r>
        <w:t>(2)</w:t>
      </w:r>
      <w:r>
        <w:tab/>
      </w:r>
      <w:r>
        <w:rPr>
          <w:noProof/>
        </w:rPr>
        <w:t>Tekintettel a héacsalás jelenlegi szintjére, valamint arra, hogy nem minden tagállamot érint egyformán az ilyen csalás, és mivel a végleges héarendszer bevezetése több évet vesz igénybe, sürgős és konkrét intézkedésekre lehet szükség.</w:t>
      </w:r>
    </w:p>
    <w:p>
      <w:pPr>
        <w:pStyle w:val="ManualConsidrant"/>
        <w:rPr>
          <w:noProof/>
        </w:rPr>
      </w:pPr>
      <w:r>
        <w:t>(3)</w:t>
      </w:r>
      <w:r>
        <w:tab/>
      </w:r>
      <w:r>
        <w:rPr>
          <w:noProof/>
        </w:rPr>
        <w:t>Ebben az összefüggésben egyes tagállamok kérték, hogy a burjánzó körhintacsalás kezelése érdekében lehetőségük legyen egy ideiglenes általános fordított adózási mechanizmus (a továbbiakban: GRCM) alkalmazására egy bizonyos számlánkénti értékhatárral, amely – a szakaszos fizetési rendszer tekintetében – eltérést jelentene a jelenlegi héarendszer általános elveinek egyikétől. A körhintacsalás különösen abban gyökerezik, hogy a Közösségen belüli értékesítések jelenleg adómentesek, lehetővé téve az áruk héamentesen történő beszerzését. Ebből eredően számos kereskedő foglalkozik adócsalással azáltal, hogy nem fizeti meg az adóhatóságnak az ügyfeleitől kapott héa összegét. Az érvényes számla birtokában lévő ügyfelek azonban jogosultak az adó levonására. Ugyanazt az árut többször is lehet értékesíteni, ismét a Közösségen belüli adómentes értékesítéseket alkalmazva. Hasonló körhintacsalás a szolgáltatások nyújtása során is előfordulhat. Azáltal, hogy a héa megfizetésére kötelezett személy az az adóalany lenne, akinek a részére a termékeket és szolgáltatásokat értékesítik, az eltérés megszüntetné a lehetőséget az adócsalás ezen formájának az elkövetésére.</w:t>
      </w:r>
    </w:p>
    <w:p>
      <w:pPr>
        <w:pStyle w:val="ManualConsidrant"/>
        <w:rPr>
          <w:noProof/>
        </w:rPr>
      </w:pPr>
      <w:r>
        <w:t>(4)</w:t>
      </w:r>
      <w:r>
        <w:tab/>
      </w:r>
      <w:r>
        <w:rPr>
          <w:noProof/>
        </w:rPr>
        <w:t>A csalások tagállamok közötti átterelődésével kapcsolatos kockázat korlátozásának érdekében indokolt engedélyezni, hogy minden, a csalások szintje – különösen a körhintacsalások – tekintetében bizonyos kritériumoknak megfelelő tagállam, amelyik igazolni tudja, hogy más ellenőrzési intézkedések nem elegendőek az ilyen csalások elleni küzdelemhez, alkalmazhassa a GRCM-et.</w:t>
      </w:r>
    </w:p>
    <w:p>
      <w:pPr>
        <w:pStyle w:val="ManualConsidrant"/>
        <w:rPr>
          <w:noProof/>
        </w:rPr>
      </w:pPr>
      <w:r>
        <w:t>(5)</w:t>
      </w:r>
      <w:r>
        <w:tab/>
      </w:r>
      <w:r>
        <w:rPr>
          <w:noProof/>
        </w:rPr>
        <w:t>Ezen felül azon szomszédos tagállamok számára, amelyek esetében az említett mechanizmusnak valamely másik tagállamban történő engedélyezése miatt fennáll a csalások területére történő átterelődésének kockázata, lehetővé kell tenni a GRCM használatát, ha más ellenőrző intézkedések nem elégségesek az ilyen csalás kockázatának leküzdéséhez.</w:t>
      </w:r>
    </w:p>
    <w:p>
      <w:pPr>
        <w:pStyle w:val="ManualConsidrant"/>
        <w:rPr>
          <w:noProof/>
        </w:rPr>
      </w:pPr>
      <w:r>
        <w:t>(6)</w:t>
      </w:r>
      <w:r>
        <w:tab/>
      </w:r>
      <w:r>
        <w:rPr>
          <w:noProof/>
        </w:rPr>
        <w:t>Ha egy tagállamok a GRCM alkalmazása mellett dönt, akkor azt egy bizonyos számlánkénti küszöbértéket meghaladó minden áru és szolgáltatás tekintetében alkalmaznia kell. A GRCM nem korlátozható valamely konkrét ágazatra.</w:t>
      </w:r>
    </w:p>
    <w:p>
      <w:pPr>
        <w:pStyle w:val="ManualConsidrant"/>
        <w:rPr>
          <w:noProof/>
        </w:rPr>
      </w:pPr>
      <w:r>
        <w:t>(7)</w:t>
      </w:r>
      <w:r>
        <w:tab/>
      </w:r>
      <w:r>
        <w:rPr>
          <w:noProof/>
        </w:rPr>
        <w:t>A GRCM alkalmazását választó tagállamoknak külön elektronikus jelentéstételi kötelezettséget kell bevezetniük az adóalanyok számára annak érdekében, hogy biztosítsák a GRCM alkalmazásának hatékony működését és nyomon követését. Fel kell deríteniük és meg kell akadályozniuk az adócsalás valamennyi új formáját.</w:t>
      </w:r>
    </w:p>
    <w:p>
      <w:pPr>
        <w:pStyle w:val="ManualConsidrant"/>
        <w:rPr>
          <w:noProof/>
        </w:rPr>
      </w:pPr>
      <w:r>
        <w:t>(8)</w:t>
      </w:r>
      <w:r>
        <w:tab/>
      </w:r>
      <w:r>
        <w:rPr>
          <w:noProof/>
        </w:rPr>
        <w:t>Annak érdekében, hogy átlátható módon történő értékelni ehessen a GRCM alkalmazásának a csalárd tevékenységekre gyakorolt hatását, az említett tagállamoknak előre meghatározott értékelési kritériumokat kell létrehozniuk, lehetővé téve a csalás GRCM alkalmazása előtti és utáni mértékének értékelését.</w:t>
      </w:r>
    </w:p>
    <w:p>
      <w:pPr>
        <w:pStyle w:val="ManualConsidrant"/>
        <w:rPr>
          <w:noProof/>
        </w:rPr>
      </w:pPr>
      <w:r>
        <w:t>(9)</w:t>
      </w:r>
      <w:r>
        <w:tab/>
      </w:r>
      <w:r>
        <w:rPr>
          <w:noProof/>
        </w:rPr>
        <w:t>Ezen irányelv végrehajtása egységes feltételeinek biztosítása érdekében a Bizottságot végrehajtási hatáskörökkel kell felruházni a kérelmező tagállamok részére a GRCM bevezetésére vonatkozó engedélyek megadása tekintetében.</w:t>
      </w:r>
    </w:p>
    <w:p>
      <w:pPr>
        <w:pStyle w:val="ManualConsidrant"/>
        <w:rPr>
          <w:noProof/>
        </w:rPr>
      </w:pPr>
      <w:r>
        <w:t>(10)</w:t>
      </w:r>
      <w:r>
        <w:tab/>
      </w:r>
      <w:r>
        <w:rPr>
          <w:noProof/>
        </w:rPr>
        <w:t>A GRCM alkalmazását választó tagállamoknak fel kell kérniük a Bizottságot a GRCM alkalmazásának engedélyezésére, és megfelelő tájékoztatást kell nyújtaniuk annak érdekében, hogy a Bizottság értékelni tudja a kérelmet. Szükség esetén a Bizottság további információkat kérhet.</w:t>
      </w:r>
    </w:p>
    <w:p>
      <w:pPr>
        <w:pStyle w:val="ManualConsidrant"/>
        <w:rPr>
          <w:noProof/>
        </w:rPr>
      </w:pPr>
      <w:r>
        <w:t>(11)</w:t>
      </w:r>
      <w:r>
        <w:tab/>
      </w:r>
      <w:r>
        <w:rPr>
          <w:noProof/>
        </w:rPr>
        <w:t>Tekintettel azon váratlan hatásokra, amelyeket egy ilyen mechanizmus a belső piac működésére gyakorolhat a csalásoknak a GRCM-et nem alkalmazó más tagállamokra történő esetleges átterelődése által, a Bizottságnak lehetőséget kell kapnia arra, hogy védintézkedésként hatályon kívül helyezze a GRCM alkalmazását jóváhagyó végrehajtási határozatokat.</w:t>
      </w:r>
    </w:p>
    <w:p>
      <w:pPr>
        <w:pStyle w:val="ManualConsidrant"/>
        <w:rPr>
          <w:noProof/>
        </w:rPr>
      </w:pPr>
      <w:r>
        <w:t>(12)</w:t>
      </w:r>
      <w:r>
        <w:tab/>
      </w:r>
      <w:r>
        <w:rPr>
          <w:noProof/>
        </w:rPr>
        <w:t>Figyelembe véve, hogy egy ilyen mechanizmus bizonytalan hatásokkal járhat, annak időbeli hatályát korlátozni kell.</w:t>
      </w:r>
    </w:p>
    <w:p>
      <w:pPr>
        <w:pStyle w:val="ManualConsidrant"/>
        <w:rPr>
          <w:noProof/>
        </w:rPr>
      </w:pPr>
      <w:r>
        <w:t>(13)</w:t>
      </w:r>
      <w:r>
        <w:tab/>
      </w:r>
      <w:r>
        <w:rPr>
          <w:noProof/>
        </w:rPr>
        <w:t>A belső piacra gyakorolt hatás szoros figyelemmel kísérése érdekében – amennyiben a GRCM-et legalább egy tagállamban alkalmazzák – a tagállamoknak jelentést kell benyújtaniuk a Bizottságnak, amely lehetővé teszi a csalásra, a vállalkozások megfelelési költségeire, valamint a csalárd tevékenységeknek a GRCM alkalmazása miatt másik tagállamra történő átterelődésére gyakorolt hatás értékelését.</w:t>
      </w:r>
    </w:p>
    <w:p>
      <w:pPr>
        <w:pStyle w:val="ManualConsidrant"/>
        <w:rPr>
          <w:noProof/>
        </w:rPr>
      </w:pPr>
      <w:r>
        <w:t>(14)</w:t>
      </w:r>
      <w:r>
        <w:tab/>
      </w:r>
      <w:r>
        <w:rPr>
          <w:noProof/>
        </w:rPr>
        <w:t>A 2006/112/EK irányelvet ezért ennek megfelelően módosítani kell,</w:t>
      </w:r>
    </w:p>
    <w:p>
      <w:pPr>
        <w:pStyle w:val="Formuledadoption"/>
        <w:rPr>
          <w:noProof/>
        </w:rPr>
      </w:pPr>
      <w:r>
        <w:rPr>
          <w:noProof/>
        </w:rPr>
        <w:t>ELFOGADTA EZT AZ IRÁNYELVET:</w:t>
      </w:r>
    </w:p>
    <w:p>
      <w:pPr>
        <w:pStyle w:val="Titrearticle"/>
        <w:rPr>
          <w:noProof/>
        </w:rPr>
      </w:pPr>
      <w:r>
        <w:rPr>
          <w:noProof/>
        </w:rPr>
        <w:t>1. cikk</w:t>
      </w:r>
    </w:p>
    <w:p>
      <w:pPr>
        <w:rPr>
          <w:noProof/>
        </w:rPr>
      </w:pPr>
      <w:r>
        <w:rPr>
          <w:noProof/>
        </w:rPr>
        <w:t>A 2006/112/EK irányelv a következő 199c. cikkel egészül ki:</w:t>
      </w:r>
    </w:p>
    <w:p>
      <w:pPr>
        <w:pStyle w:val="Titrearticle"/>
        <w:rPr>
          <w:noProof/>
        </w:rPr>
      </w:pPr>
      <w:r>
        <w:rPr>
          <w:noProof/>
        </w:rPr>
        <w:t>„199c. cikk</w:t>
      </w:r>
    </w:p>
    <w:p>
      <w:pPr>
        <w:pStyle w:val="Point0"/>
        <w:ind w:left="720" w:firstLine="0"/>
        <w:rPr>
          <w:noProof/>
        </w:rPr>
      </w:pPr>
      <w:bookmarkStart w:id="9" w:name="DQCErrorScope0B28932CA11F4F15A7590B72A67"/>
      <w:r>
        <w:rPr>
          <w:noProof/>
        </w:rPr>
        <w:t>(1)</w:t>
      </w:r>
      <w:bookmarkStart w:id="10" w:name="DQCErrorScope7623B4F840EB429CAC32D339377"/>
      <w:r>
        <w:rPr>
          <w:noProof/>
        </w:rPr>
        <w:t xml:space="preserve"> </w:t>
      </w:r>
      <w:r>
        <w:rPr>
          <w:noProof/>
        </w:rPr>
        <w:tab/>
      </w:r>
      <w:bookmarkEnd w:id="10"/>
      <w:r>
        <w:rPr>
          <w:noProof/>
        </w:rPr>
        <w:t>2022. június 30-ig a tagállamok – általános fordított adózási mechanizmusként (GRCM) – rendelkezhetnek úgy, hogy a héa megfizetésére kötelezett személy a 193. cikktől eltérve az az adóalany, aki számlánként 10 000 EUR értékhatár felett árukat vásárol vagy szolgáltatásokat vesz igénybe.</w:t>
      </w:r>
    </w:p>
    <w:p>
      <w:pPr>
        <w:pStyle w:val="Point0"/>
        <w:ind w:hanging="10"/>
        <w:rPr>
          <w:noProof/>
        </w:rPr>
      </w:pPr>
      <w:bookmarkStart w:id="11" w:name="DQCErrorScopeD0BFA770428B481BB2F7C1EA3F0"/>
      <w:bookmarkEnd w:id="9"/>
      <w:r>
        <w:rPr>
          <w:noProof/>
        </w:rPr>
        <w:t>A GRCM-et bevezetni kívánó tagállamnak meg kell felelnie a következő feltételeknek:</w:t>
      </w:r>
    </w:p>
    <w:bookmarkEnd w:id="11"/>
    <w:p>
      <w:pPr>
        <w:pStyle w:val="Point1"/>
        <w:rPr>
          <w:noProof/>
        </w:rPr>
      </w:pPr>
      <w:r>
        <w:rPr>
          <w:noProof/>
        </w:rPr>
        <w:t>a)</w:t>
      </w:r>
      <w:r>
        <w:rPr>
          <w:noProof/>
        </w:rPr>
        <w:tab/>
        <w:t>a teljes héafizetési kötelezettség százalékában kifejezett héabevétel-kiesése legalább 5 százalékponttal meghaladja a héabevétel-kiesés közösségi medián értékét;</w:t>
      </w:r>
    </w:p>
    <w:p>
      <w:pPr>
        <w:pStyle w:val="Point1"/>
        <w:rPr>
          <w:noProof/>
        </w:rPr>
      </w:pPr>
      <w:r>
        <w:rPr>
          <w:noProof/>
        </w:rPr>
        <w:t>b)</w:t>
      </w:r>
      <w:r>
        <w:rPr>
          <w:noProof/>
        </w:rPr>
        <w:tab/>
        <w:t>a körhintacsalás aránya a teljes héabevétel-kiesésen belül meghaladja a 25%-ot;</w:t>
      </w:r>
    </w:p>
    <w:p>
      <w:pPr>
        <w:pStyle w:val="Point1"/>
        <w:rPr>
          <w:noProof/>
        </w:rPr>
      </w:pPr>
      <w:r>
        <w:rPr>
          <w:noProof/>
        </w:rPr>
        <w:t>c)</w:t>
      </w:r>
      <w:r>
        <w:rPr>
          <w:noProof/>
        </w:rPr>
        <w:tab/>
        <w:t>megállapítja, hogy területén a körhintacsalás elleni küzdelemhez más ellenőrző intézkedések nem elegendőek.</w:t>
      </w:r>
    </w:p>
    <w:p>
      <w:pPr>
        <w:pStyle w:val="Point0"/>
        <w:ind w:left="720" w:firstLine="0"/>
        <w:rPr>
          <w:noProof/>
        </w:rPr>
      </w:pPr>
      <w:bookmarkStart w:id="12" w:name="DQCErrorScopeDADA6FF4CAEF48F8A50DF01CB7F"/>
      <w:r>
        <w:rPr>
          <w:noProof/>
        </w:rPr>
        <w:t>A tagállam a (4) bekezdésben említett kérelemhez csatolja a héabevétel-kiesésnek a Bizottság által közzétett, a héabevétel-kiesésről szóló legutóbbi jelentésben szereplő módszer és számadatok alapján történő kiszámítását.</w:t>
      </w:r>
    </w:p>
    <w:p>
      <w:pPr>
        <w:pStyle w:val="Point0"/>
        <w:ind w:left="720" w:firstLine="0"/>
        <w:rPr>
          <w:noProof/>
        </w:rPr>
      </w:pPr>
      <w:bookmarkStart w:id="13" w:name="DQCErrorScopeFD1156A127634EE8A8C0C6B87FD"/>
      <w:bookmarkEnd w:id="12"/>
      <w:r>
        <w:rPr>
          <w:noProof/>
        </w:rPr>
        <w:t>(2)</w:t>
      </w:r>
      <w:r>
        <w:rPr>
          <w:noProof/>
        </w:rPr>
        <w:tab/>
        <w:t>2022. június 30-ig a tagállamok rendelkezhetnek úgy, hogy a héa megfizetésére kötelezett személy az az adóalany, aki számlánként 10 000 EUR értékhatár felett árukat vásárol vagy szolgáltatásokat vesz igénybe, amennyiben az adott tagállam:</w:t>
      </w:r>
    </w:p>
    <w:bookmarkEnd w:id="13"/>
    <w:p>
      <w:pPr>
        <w:pStyle w:val="Point1"/>
        <w:rPr>
          <w:noProof/>
        </w:rPr>
      </w:pPr>
      <w:r>
        <w:rPr>
          <w:noProof/>
        </w:rPr>
        <w:t>a)</w:t>
      </w:r>
      <w:r>
        <w:rPr>
          <w:noProof/>
        </w:rPr>
        <w:tab/>
        <w:t>közös határral rendelkezik egy olyan tagállammal, amely jogosult a GRCM alkalmazására;</w:t>
      </w:r>
    </w:p>
    <w:p>
      <w:pPr>
        <w:pStyle w:val="Point1"/>
        <w:rPr>
          <w:noProof/>
        </w:rPr>
      </w:pPr>
      <w:r>
        <w:rPr>
          <w:noProof/>
        </w:rPr>
        <w:t>b)</w:t>
      </w:r>
      <w:r>
        <w:rPr>
          <w:noProof/>
        </w:rPr>
        <w:tab/>
        <w:t>megállapítja, hogy a GRCM-nek az említett szomszédos tagállamban történő engedélyezése miatt fennáll a komoly kockázata annak, hogy a csalások az ő területére terelődnek át;</w:t>
      </w:r>
    </w:p>
    <w:p>
      <w:pPr>
        <w:pStyle w:val="Point1"/>
        <w:rPr>
          <w:noProof/>
        </w:rPr>
      </w:pPr>
      <w:r>
        <w:rPr>
          <w:noProof/>
        </w:rPr>
        <w:t>c)</w:t>
      </w:r>
      <w:r>
        <w:rPr>
          <w:noProof/>
        </w:rPr>
        <w:tab/>
        <w:t>megállapítja, hogy területén a csalás elleni küzdelemhez más ellenőrző intézkedések nem elegendőek.</w:t>
      </w:r>
    </w:p>
    <w:p>
      <w:pPr>
        <w:pStyle w:val="Point0"/>
        <w:ind w:left="720" w:firstLine="0"/>
        <w:rPr>
          <w:noProof/>
        </w:rPr>
      </w:pPr>
      <w:bookmarkStart w:id="14" w:name="DQCErrorScopeDF39EBD5574F4FC2AC819A206FC"/>
      <w:r>
        <w:rPr>
          <w:noProof/>
        </w:rPr>
        <w:t>(3)</w:t>
      </w:r>
      <w:r>
        <w:rPr>
          <w:noProof/>
        </w:rPr>
        <w:tab/>
        <w:t xml:space="preserve">A GRCM-et alkalmazó tagállamok megfelelő és hatékony elektronikus jelentéstételi kötelezettségeket vezetnek be valamennyi adóalany részére, és különösen azon adóalanyoknak, akik a mechanizmus hatálya alá tartozó árukat vagy szolgáltatásokat értékesítik vagy igénybe veszik. </w:t>
      </w:r>
    </w:p>
    <w:p>
      <w:pPr>
        <w:pStyle w:val="Point0"/>
        <w:ind w:hanging="130"/>
        <w:rPr>
          <w:noProof/>
        </w:rPr>
      </w:pPr>
      <w:bookmarkStart w:id="15" w:name="DQCErrorScopeEF12E9B246AF4A08BF66A43702C"/>
      <w:bookmarkEnd w:id="14"/>
      <w:r>
        <w:rPr>
          <w:noProof/>
        </w:rPr>
        <w:t>(4)</w:t>
      </w:r>
      <w:r>
        <w:rPr>
          <w:noProof/>
        </w:rPr>
        <w:tab/>
        <w:t>A GRCM-et alkalmazni kívánó tagállamok kérelmet nyújtanak be a Bizottsághoz, amelyben megadják a következő információkat:</w:t>
      </w:r>
    </w:p>
    <w:bookmarkEnd w:id="15"/>
    <w:p>
      <w:pPr>
        <w:pStyle w:val="Point1"/>
        <w:rPr>
          <w:noProof/>
        </w:rPr>
      </w:pPr>
      <w:r>
        <w:rPr>
          <w:noProof/>
        </w:rPr>
        <w:t>a)</w:t>
      </w:r>
      <w:r>
        <w:rPr>
          <w:noProof/>
        </w:rPr>
        <w:tab/>
        <w:t>az (1) vagy (2) bekezdésben említett feltételek teljesülésének részletes indokolása;</w:t>
      </w:r>
    </w:p>
    <w:p>
      <w:pPr>
        <w:pStyle w:val="Point1"/>
        <w:rPr>
          <w:noProof/>
        </w:rPr>
      </w:pPr>
      <w:r>
        <w:rPr>
          <w:noProof/>
        </w:rPr>
        <w:t>b)</w:t>
      </w:r>
      <w:r>
        <w:rPr>
          <w:noProof/>
        </w:rPr>
        <w:tab/>
        <w:t>a GRCM alkalmazása megkezdésének időpontja és az alkalmazási időszak;</w:t>
      </w:r>
    </w:p>
    <w:p>
      <w:pPr>
        <w:pStyle w:val="Point1"/>
        <w:rPr>
          <w:noProof/>
        </w:rPr>
      </w:pPr>
      <w:r>
        <w:rPr>
          <w:noProof/>
        </w:rPr>
        <w:t>c)</w:t>
      </w:r>
      <w:r>
        <w:rPr>
          <w:noProof/>
        </w:rPr>
        <w:tab/>
        <w:t>az adóalanyoknak a GRCM alkalmazásának bevezetéséről való tájékoztatása érdekében meghozandó intézkedések;</w:t>
      </w:r>
    </w:p>
    <w:p>
      <w:pPr>
        <w:pStyle w:val="Point1"/>
        <w:rPr>
          <w:noProof/>
        </w:rPr>
      </w:pPr>
      <w:r>
        <w:rPr>
          <w:noProof/>
        </w:rPr>
        <w:t>d)</w:t>
      </w:r>
      <w:r>
        <w:rPr>
          <w:noProof/>
        </w:rPr>
        <w:tab/>
        <w:t>a (3) bekezdésben említett kísérő intézkedések részletes leírása.</w:t>
      </w:r>
    </w:p>
    <w:p>
      <w:pPr>
        <w:pStyle w:val="Point0"/>
        <w:ind w:left="720" w:firstLine="0"/>
        <w:rPr>
          <w:noProof/>
        </w:rPr>
      </w:pPr>
      <w:bookmarkStart w:id="16" w:name="DQCErrorScope8CEBF8C8852449DFB08FD8EED67"/>
      <w:r>
        <w:rPr>
          <w:noProof/>
        </w:rPr>
        <w:t>Amennyiben a Bizottság úgy ítéli meg, hogy nem rendelkezik minden szükséges információval, a kérelem kézhezvételétől számított egy hónapon belül további információkat kér. A kérelmező tagállam az értesítés kézhezvételétől számított egy hónapon belül benyújtja a kért információkat.</w:t>
      </w:r>
    </w:p>
    <w:p>
      <w:pPr>
        <w:pStyle w:val="Point0"/>
        <w:ind w:left="720" w:firstLine="0"/>
        <w:rPr>
          <w:noProof/>
        </w:rPr>
      </w:pPr>
      <w:bookmarkStart w:id="17" w:name="DQCErrorScopeDE528AE9EF254EBE9153AD43E9E"/>
      <w:bookmarkEnd w:id="16"/>
      <w:r>
        <w:rPr>
          <w:noProof/>
        </w:rPr>
        <w:t>(5)</w:t>
      </w:r>
      <w:r>
        <w:rPr>
          <w:noProof/>
        </w:rPr>
        <w:tab/>
        <w:t>A Bizottság legkésőbb három hónappal azt követően, hogy megkapja az összes szükséges információt, végrehajtási határozatot fogad el, amelyben megerősíti, hogy a kérelem megfelel a (4) bekezdésben említett követelményeknek, és engedélyezi a kérelmező tagállam számára a GRCM alkalmazását. Abban az esetben, ha a követelmények nem teljesülnek, a Bizottság végrehajtási határozatot fogad el a kérelem elutasításáról.</w:t>
      </w:r>
    </w:p>
    <w:p>
      <w:pPr>
        <w:pStyle w:val="Point0"/>
        <w:ind w:left="720" w:firstLine="0"/>
        <w:rPr>
          <w:noProof/>
        </w:rPr>
      </w:pPr>
      <w:bookmarkStart w:id="18" w:name="DQCErrorScopeC9B9965129794605AA1D0B2F3D0"/>
      <w:bookmarkEnd w:id="17"/>
      <w:r>
        <w:rPr>
          <w:noProof/>
        </w:rPr>
        <w:t>(6)</w:t>
      </w:r>
      <w:r>
        <w:rPr>
          <w:noProof/>
        </w:rPr>
        <w:tab/>
        <w:t>A belső piacra gyakorolt jelentős negatív hatás esetén a Bizottság az (5) bekezdésben említett valamennyi végrehajtási határozatot legkorábban a tagállamot a GRCM alkalmazására felhatalmazó első végrehajtási határozat hatályba lépését követő hat hónap elteltével hatályon kívül helyezi.</w:t>
      </w:r>
    </w:p>
    <w:p>
      <w:pPr>
        <w:pStyle w:val="Point0"/>
        <w:ind w:left="720" w:firstLine="0"/>
        <w:rPr>
          <w:noProof/>
        </w:rPr>
      </w:pPr>
      <w:bookmarkStart w:id="19" w:name="DQCErrorScope55228AC685774727B942D1727A1"/>
      <w:bookmarkEnd w:id="18"/>
      <w:r>
        <w:rPr>
          <w:noProof/>
        </w:rPr>
        <w:t>Jelentős negatív hatás meglétét kell megállapítani az alábbi feltételek teljesülése esetén:</w:t>
      </w:r>
    </w:p>
    <w:bookmarkEnd w:id="19"/>
    <w:p>
      <w:pPr>
        <w:pStyle w:val="Point1"/>
        <w:rPr>
          <w:noProof/>
        </w:rPr>
      </w:pPr>
      <w:r>
        <w:rPr>
          <w:noProof/>
        </w:rPr>
        <w:t>a)</w:t>
      </w:r>
      <w:r>
        <w:rPr>
          <w:noProof/>
        </w:rPr>
        <w:tab/>
        <w:t>egynél több olyan tagállam, amely nem alkalmazza az (1) és (2) bekezdésben említett GRCM-et, tájékoztatja a Bizottságot, hogy területén a GRCM alkalmazása következtében növekedett a héacsalás;</w:t>
      </w:r>
    </w:p>
    <w:p>
      <w:pPr>
        <w:pStyle w:val="Point1"/>
        <w:rPr>
          <w:noProof/>
        </w:rPr>
      </w:pPr>
      <w:r>
        <w:rPr>
          <w:noProof/>
        </w:rPr>
        <w:t>b)</w:t>
      </w:r>
      <w:r>
        <w:rPr>
          <w:noProof/>
        </w:rPr>
        <w:tab/>
        <w:t>a Bizottság – többek között az a) pontban említett, a tagállamok által nyújtott információk alapján – megállapítja, hogy ez a növekedés közvetlenül kapcsolódik egy ilyen mechanizmusnak egy vagy több tagállamban történő alkalmazásához.</w:t>
      </w:r>
    </w:p>
    <w:p>
      <w:pPr>
        <w:pStyle w:val="Point0"/>
        <w:ind w:left="720" w:firstLine="0"/>
        <w:rPr>
          <w:noProof/>
        </w:rPr>
      </w:pPr>
      <w:bookmarkStart w:id="20" w:name="DQCErrorScope88450CCE2C164ADFACAB7D3D2EC"/>
      <w:r>
        <w:rPr>
          <w:noProof/>
        </w:rPr>
        <w:t>(7)</w:t>
      </w:r>
      <w:r>
        <w:rPr>
          <w:noProof/>
        </w:rPr>
        <w:tab/>
        <w:t>A GRCM-et alkalmazó tagállamok legkésőbb két évvel a GRCM alkalmazásának megkezdését követően időközi jelentést nyújtanak be a Bizottságnak. A jelentésnek részletes értékelést kell tartalmaznia a GRCM eredményességéről.</w:t>
      </w:r>
    </w:p>
    <w:p>
      <w:pPr>
        <w:pStyle w:val="Point0"/>
        <w:ind w:left="720" w:firstLine="0"/>
        <w:rPr>
          <w:noProof/>
        </w:rPr>
      </w:pPr>
      <w:bookmarkStart w:id="21" w:name="DQCErrorScope20D06EC743F245A9ACBD140F6F7"/>
      <w:bookmarkEnd w:id="20"/>
      <w:r>
        <w:rPr>
          <w:noProof/>
        </w:rPr>
        <w:t>A GRCM alkalmazásának befejezésétől számított három hónapon belül a mechanizmust alkalmazó tagállamok végleges jelentést nyújtanak be a mechanizmus átfogó hatásáról.</w:t>
      </w:r>
    </w:p>
    <w:p>
      <w:pPr>
        <w:pStyle w:val="Point0"/>
        <w:ind w:left="720" w:firstLine="0"/>
        <w:rPr>
          <w:noProof/>
        </w:rPr>
      </w:pPr>
      <w:bookmarkStart w:id="22" w:name="DQCErrorScopeABE7DDA80BF74464BFBB1E36920"/>
      <w:bookmarkEnd w:id="21"/>
      <w:r>
        <w:rPr>
          <w:noProof/>
        </w:rPr>
        <w:t>(8)</w:t>
      </w:r>
      <w:r>
        <w:rPr>
          <w:noProof/>
        </w:rPr>
        <w:tab/>
        <w:t>Azok a tagállamok, amelyek nem alkalmazzák a mechanizmust, legkésőbb 2019. június 30-ig időközi jelentést nyújtanak be a Bizottságnak a GRCM más tagállamok általi alkalmazásának a saját területükön érzékelhető hatásairól, amennyiben a GRCM-et az említett időpontig valamely tagállamban legalább egy évig alkalmazták.</w:t>
      </w:r>
    </w:p>
    <w:p>
      <w:pPr>
        <w:pStyle w:val="Point0"/>
        <w:ind w:left="720" w:firstLine="0"/>
        <w:rPr>
          <w:noProof/>
        </w:rPr>
      </w:pPr>
      <w:bookmarkStart w:id="23" w:name="DQCErrorScopeFA85ADE012C84A93BE4CB1ECA46"/>
      <w:bookmarkEnd w:id="22"/>
      <w:r>
        <w:rPr>
          <w:noProof/>
        </w:rPr>
        <w:t>Ha a GRCM-et legalább egy tagállamban alkalmazzák, a mechanizmust nem alkalmazó tagállamok legkésőbb 2022. szeptember 30-ig végleges jelentést nyújtanak be a Bizottságnak a GRCM más tagállamok általi alkalmazásának a saját területükön érzékelhető hatásairól.</w:t>
      </w:r>
    </w:p>
    <w:p>
      <w:pPr>
        <w:pStyle w:val="Point0"/>
        <w:ind w:left="720" w:firstLine="0"/>
        <w:rPr>
          <w:noProof/>
        </w:rPr>
      </w:pPr>
      <w:bookmarkStart w:id="24" w:name="DQCErrorScope42AC5ADF1D0F4F45B9E9338B09B"/>
      <w:bookmarkEnd w:id="23"/>
      <w:r>
        <w:rPr>
          <w:noProof/>
        </w:rPr>
        <w:t>(9)</w:t>
      </w:r>
      <w:r>
        <w:rPr>
          <w:noProof/>
        </w:rPr>
        <w:tab/>
        <w:t>A (7) bekezdésben említett jelentésekben a tagállamok a következő értékelési kritériumok alapján értékelik a GRCM alkalmazásának hatását:</w:t>
      </w:r>
    </w:p>
    <w:bookmarkEnd w:id="24"/>
    <w:p>
      <w:pPr>
        <w:pStyle w:val="Point1"/>
        <w:rPr>
          <w:noProof/>
        </w:rPr>
      </w:pPr>
      <w:r>
        <w:rPr>
          <w:noProof/>
        </w:rPr>
        <w:t>a)</w:t>
      </w:r>
      <w:r>
        <w:rPr>
          <w:noProof/>
        </w:rPr>
        <w:tab/>
        <w:t>a héabevétel-kiesés alakulása;</w:t>
      </w:r>
    </w:p>
    <w:p>
      <w:pPr>
        <w:pStyle w:val="Point1"/>
        <w:rPr>
          <w:noProof/>
        </w:rPr>
      </w:pPr>
      <w:r>
        <w:rPr>
          <w:noProof/>
        </w:rPr>
        <w:t>b)</w:t>
      </w:r>
      <w:r>
        <w:rPr>
          <w:noProof/>
        </w:rPr>
        <w:tab/>
        <w:t>a héacsalás, nevezetesen a körhintacsalás és a kiskereskedelmi szintű csalás alakulása;</w:t>
      </w:r>
    </w:p>
    <w:p>
      <w:pPr>
        <w:pStyle w:val="Point1"/>
        <w:rPr>
          <w:noProof/>
        </w:rPr>
      </w:pPr>
      <w:r>
        <w:rPr>
          <w:noProof/>
        </w:rPr>
        <w:t>c)</w:t>
      </w:r>
      <w:r>
        <w:rPr>
          <w:noProof/>
        </w:rPr>
        <w:tab/>
        <w:t>az adóalanyokra háruló adminisztratív terhek alakulása;</w:t>
      </w:r>
    </w:p>
    <w:p>
      <w:pPr>
        <w:pStyle w:val="Point1"/>
        <w:rPr>
          <w:noProof/>
        </w:rPr>
      </w:pPr>
      <w:r>
        <w:rPr>
          <w:noProof/>
        </w:rPr>
        <w:t>d)</w:t>
      </w:r>
      <w:r>
        <w:rPr>
          <w:noProof/>
        </w:rPr>
        <w:tab/>
        <w:t>az adóhatóság igazgatási költségeinek alakulása.</w:t>
      </w:r>
    </w:p>
    <w:p>
      <w:pPr>
        <w:pStyle w:val="Point0"/>
        <w:ind w:left="720" w:firstLine="0"/>
        <w:rPr>
          <w:noProof/>
        </w:rPr>
      </w:pPr>
      <w:bookmarkStart w:id="25" w:name="DQCErrorScope0F3FE7D809DF4262AAA9599E105"/>
      <w:r>
        <w:rPr>
          <w:noProof/>
        </w:rPr>
        <w:t>(10)</w:t>
      </w:r>
      <w:r>
        <w:rPr>
          <w:noProof/>
        </w:rPr>
        <w:tab/>
        <w:t>A (8) bekezdésben említett jelentésekben a tagállamok a következő értékelési kritériumok alapján értékelik a GRCM alkalmazásának hatását:</w:t>
      </w:r>
    </w:p>
    <w:bookmarkEnd w:id="25"/>
    <w:p>
      <w:pPr>
        <w:pStyle w:val="Point1"/>
        <w:rPr>
          <w:noProof/>
        </w:rPr>
      </w:pPr>
      <w:r>
        <w:rPr>
          <w:noProof/>
        </w:rPr>
        <w:t>a)</w:t>
      </w:r>
      <w:r>
        <w:rPr>
          <w:noProof/>
        </w:rPr>
        <w:tab/>
        <w:t>a héabevétel-kiesés alakulása;</w:t>
      </w:r>
    </w:p>
    <w:p>
      <w:pPr>
        <w:pStyle w:val="Point1"/>
        <w:rPr>
          <w:noProof/>
        </w:rPr>
      </w:pPr>
      <w:r>
        <w:rPr>
          <w:noProof/>
        </w:rPr>
        <w:t>b)</w:t>
      </w:r>
      <w:r>
        <w:rPr>
          <w:noProof/>
        </w:rPr>
        <w:tab/>
        <w:t>a héacsalás, nevezetesen a körhintacsalás és a kiskereskedelmi szintű csalás alakulása;</w:t>
      </w:r>
    </w:p>
    <w:p>
      <w:pPr>
        <w:pStyle w:val="Point1"/>
        <w:rPr>
          <w:noProof/>
        </w:rPr>
      </w:pPr>
      <w:r>
        <w:rPr>
          <w:noProof/>
        </w:rPr>
        <w:t>c)</w:t>
      </w:r>
      <w:r>
        <w:rPr>
          <w:noProof/>
        </w:rPr>
        <w:tab/>
        <w:t>a csalások átterelődése a GRCM-et alkalmazó tagállamokból másik tagállam területére.”.</w:t>
      </w:r>
    </w:p>
    <w:p>
      <w:pPr>
        <w:pStyle w:val="Titrearticle"/>
        <w:rPr>
          <w:noProof/>
        </w:rPr>
      </w:pPr>
      <w:r>
        <w:rPr>
          <w:noProof/>
        </w:rPr>
        <w:t>2. cikk</w:t>
      </w:r>
    </w:p>
    <w:p>
      <w:pPr>
        <w:rPr>
          <w:noProof/>
        </w:rPr>
      </w:pPr>
      <w:r>
        <w:rPr>
          <w:noProof/>
        </w:rPr>
        <w:t xml:space="preserve">Ez az irányelv az </w:t>
      </w:r>
      <w:r>
        <w:rPr>
          <w:i/>
          <w:noProof/>
        </w:rPr>
        <w:t>Európai Unió Hivatalos Lapjában</w:t>
      </w:r>
      <w:r>
        <w:rPr>
          <w:noProof/>
        </w:rPr>
        <w:t xml:space="preserve"> való kihirdetését követő huszadik napon lép hatályba.</w:t>
      </w:r>
    </w:p>
    <w:p>
      <w:pPr>
        <w:rPr>
          <w:noProof/>
        </w:rPr>
      </w:pPr>
      <w:r>
        <w:rPr>
          <w:noProof/>
        </w:rPr>
        <w:t>Ezt az irányelvet 2022. szeptember 30-ig kell alkalmazni.</w:t>
      </w:r>
    </w:p>
    <w:p>
      <w:pPr>
        <w:pStyle w:val="Titrearticle"/>
        <w:rPr>
          <w:noProof/>
        </w:rPr>
      </w:pPr>
      <w:r>
        <w:rPr>
          <w:noProof/>
        </w:rPr>
        <w:t>3. cikk</w:t>
      </w:r>
    </w:p>
    <w:p>
      <w:pPr>
        <w:rPr>
          <w:noProof/>
        </w:rPr>
      </w:pPr>
      <w:r>
        <w:rPr>
          <w:noProof/>
        </w:rPr>
        <w:t>Ennek az irányelvnek a tagállamok a címzettjei.</w:t>
      </w:r>
    </w:p>
    <w:p>
      <w:pPr>
        <w:pStyle w:val="Fait"/>
        <w:rPr>
          <w:noProof/>
        </w:rPr>
      </w:pPr>
      <w:r>
        <w:rPr>
          <w:noProof/>
        </w:rPr>
        <w:t>Kelt Brüsszelben, -án/-én.</w:t>
      </w:r>
    </w:p>
    <w:p>
      <w:pPr>
        <w:pStyle w:val="Institutionquisigne"/>
        <w:rPr>
          <w:noProof/>
        </w:rPr>
      </w:pPr>
      <w:r>
        <w:rPr>
          <w:noProof/>
        </w:rPr>
        <w:tab/>
        <w:t>a Tanács részéről</w:t>
      </w:r>
    </w:p>
    <w:p>
      <w:pPr>
        <w:pStyle w:val="Personnequisigne"/>
        <w:rPr>
          <w:noProof/>
        </w:rPr>
      </w:pPr>
      <w:r>
        <w:rPr>
          <w:noProof/>
        </w:rPr>
        <w:tab/>
        <w:t>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 Bizottság közleménye az Európai Parlamentnek, a Tanácsnak és az Európai Gazdasági és Szociális Bizottságnak egy, a héára vonatkozó cselekvési tervről. Úton egy egységes uniós héaövezet felé – új döntések szükségeltetnek (COM(2016)148 final, 2016. április 7.).</w:t>
      </w:r>
    </w:p>
  </w:footnote>
  <w:footnote w:id="2">
    <w:p>
      <w:pPr>
        <w:pStyle w:val="FootnoteText"/>
      </w:pPr>
      <w:r>
        <w:rPr>
          <w:rStyle w:val="FootnoteReference"/>
        </w:rPr>
        <w:footnoteRef/>
      </w:r>
      <w:r>
        <w:tab/>
        <w:t>A Bizottság közleménye az Európai Parlamentnek, a Tanácsnak, és az Európai Gazdasági és Szociális Bizottságnak a héa jövőjéről – Úton egy egyszerűbb, stabilabb és hatékonyabb, az egységes piacra szabott héa-rendszer felé (COM(2011) 851, 2011.12.6.).</w:t>
      </w:r>
    </w:p>
  </w:footnote>
  <w:footnote w:id="3">
    <w:p>
      <w:pPr>
        <w:pStyle w:val="FootnoteText"/>
      </w:pPr>
      <w:r>
        <w:rPr>
          <w:rStyle w:val="FootnoteReference"/>
        </w:rPr>
        <w:footnoteRef/>
      </w:r>
      <w:r>
        <w:tab/>
        <w:t>Zöld könyv a héa jövőjéről – Úton egy egyszerűbb, szilárdabb és hatékony héarendszer felé, (COM(2010)695, 2010.12.1.)</w:t>
      </w:r>
    </w:p>
  </w:footnote>
  <w:footnote w:id="4">
    <w:p>
      <w:pPr>
        <w:pStyle w:val="FootnoteText"/>
      </w:pPr>
      <w:r>
        <w:rPr>
          <w:rStyle w:val="FootnoteReference"/>
        </w:rPr>
        <w:footnoteRef/>
      </w:r>
      <w:r>
        <w:tab/>
        <w:t xml:space="preserve">CASE, </w:t>
      </w:r>
      <w:r>
        <w:rPr>
          <w:i/>
        </w:rPr>
        <w:t>Study and Reports on the VAT Gap in the EU-28 Member States:2016 Final Report (A héabevétel-kiesés vizsgálata a 28 uniós tagállamban és az erről szóló jelentések: 2016. évi végleges jelentés)</w:t>
      </w:r>
    </w:p>
  </w:footnote>
  <w:footnote w:id="5">
    <w:p>
      <w:pPr>
        <w:pStyle w:val="FootnoteText"/>
      </w:pPr>
      <w:r>
        <w:rPr>
          <w:rStyle w:val="FootnoteReference"/>
        </w:rPr>
        <w:footnoteRef/>
      </w:r>
      <w:r>
        <w:tab/>
        <w:t xml:space="preserve">Ernst &amp; Young, </w:t>
      </w:r>
      <w:r>
        <w:rPr>
          <w:i/>
        </w:rPr>
        <w:t>Implementing the ‘destination principle’ to intra-EU B2B supplies of goods: 2015 Final Report (A „rendeltetési hely elvének” alkalmazása az unión belüli B2B értékesítésekre: 2015. évi zárójelentés)</w:t>
      </w:r>
      <w:r>
        <w:t xml:space="preserve">. </w:t>
      </w:r>
    </w:p>
  </w:footnote>
  <w:footnote w:id="6">
    <w:p>
      <w:pPr>
        <w:pStyle w:val="FootnoteText"/>
      </w:pPr>
      <w:r>
        <w:rPr>
          <w:rStyle w:val="FootnoteReference"/>
        </w:rPr>
        <w:footnoteRef/>
      </w:r>
      <w:r>
        <w:tab/>
        <w:t>A Tanács 2006/112/EK irányelve (2006. november 28.) a közös hozzáadottértékadó-rendszerről (HL L 347., 2006.12.11., 1. o.).</w:t>
      </w:r>
    </w:p>
  </w:footnote>
  <w:footnote w:id="7">
    <w:p>
      <w:pPr>
        <w:pStyle w:val="FootnoteText"/>
      </w:pPr>
      <w:r>
        <w:rPr>
          <w:rStyle w:val="FootnoteReference"/>
        </w:rPr>
        <w:footnoteRef/>
      </w:r>
      <w:r>
        <w:tab/>
      </w:r>
      <w:hyperlink r:id="rId1">
        <w:r>
          <w:rPr>
            <w:rStyle w:val="Hyperlink"/>
          </w:rPr>
          <w:t>http://ec.europa.eu/smart-regulation/refit/refit-platform/docs/recommendations/opinion_taxation_1a.pdf</w:t>
        </w:r>
      </w:hyperlink>
    </w:p>
  </w:footnote>
  <w:footnote w:id="8">
    <w:p>
      <w:pPr>
        <w:pStyle w:val="FootnoteText"/>
        <w:jc w:val="left"/>
      </w:pPr>
      <w:r>
        <w:rPr>
          <w:rStyle w:val="FootnoteReference"/>
        </w:rPr>
        <w:footnoteRef/>
      </w:r>
      <w:r>
        <w:tab/>
        <w:t>A vezetői összefoglaló a következő oldalon érhető el:</w:t>
      </w:r>
      <w:r>
        <w:br/>
      </w:r>
      <w:hyperlink r:id="rId2">
        <w:r>
          <w:rPr>
            <w:rStyle w:val="Hyperlink"/>
          </w:rPr>
          <w:t>http://ec.europa.eu/smart-regulation/impact/ia_carried_out/cia_2016_en.htm</w:t>
        </w:r>
      </w:hyperlink>
    </w:p>
  </w:footnote>
  <w:footnote w:id="9">
    <w:p>
      <w:pPr>
        <w:pStyle w:val="FootnoteText"/>
      </w:pPr>
      <w:r>
        <w:rPr>
          <w:rStyle w:val="FootnoteReference"/>
        </w:rPr>
        <w:footnoteRef/>
      </w:r>
      <w:r>
        <w:tab/>
        <w:t>A Bizottság közleménye az Európai Parlamentnek, a Tanácsnak és az Európai Gazdasági és Szociális Bizottságnak egy, a héára vonatkozó cselekvési tervről. Úton egy egységes uniós héaövezet felé – új döntések szükségeltetnek (COM(2016)148 final, 2016. április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BBAB88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FCE7F9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A8EB706"/>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80C21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A14C4F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F24B6D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95C6F12"/>
    <w:lvl w:ilvl="0">
      <w:start w:val="1"/>
      <w:numFmt w:val="decimal"/>
      <w:pStyle w:val="ListNumber"/>
      <w:lvlText w:val="%1."/>
      <w:lvlJc w:val="left"/>
      <w:pPr>
        <w:tabs>
          <w:tab w:val="num" w:pos="360"/>
        </w:tabs>
        <w:ind w:left="360" w:hanging="360"/>
      </w:pPr>
    </w:lvl>
  </w:abstractNum>
  <w:abstractNum w:abstractNumId="7">
    <w:nsid w:val="FFFFFF89"/>
    <w:multiLevelType w:val="singleLevel"/>
    <w:tmpl w:val="0C6E41E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04 14:42:20"/>
    <w:docVar w:name="DQCHighlighting" w:val="10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1"/>
    <w:docVar w:name="LW_CONFIDENCE" w:val=" "/>
    <w:docVar w:name="LW_CONST_RESTREINT_UE" w:val="RESTREINT UE"/>
    <w:docVar w:name="LW_CORRIGENDUM" w:val="&lt;UNUSED&gt;"/>
    <w:docVar w:name="LW_COVERPAGE_GUID" w:val="0688B2E397244D658B1C29C0E7FB621D"/>
    <w:docVar w:name="LW_CROSSREFERENCE" w:val="{SWD(2016) 457 final}_x000b_{SWD(2016) 458 final}"/>
    <w:docVar w:name="LW_DocType" w:val="COM"/>
    <w:docVar w:name="LW_EMISSION" w:val="2016.12.21."/>
    <w:docVar w:name="LW_EMISSION_ISODATE" w:val="2016-12-21"/>
    <w:docVar w:name="LW_EMISSION_LOCATION" w:val="BRX"/>
    <w:docVar w:name="LW_EMISSION_PREFIX" w:val="Brüsszel, "/>
    <w:docVar w:name="LW_EMISSION_SUFFIX" w:val=" "/>
    <w:docVar w:name="LW_ID_DOCMODEL" w:val="SJ-017"/>
    <w:docVar w:name="LW_ID_DOCSIGNATURE" w:val="SJ-017"/>
    <w:docVar w:name="LW_ID_DOCSTRUCTURE" w:val="COM/PL/ORG"/>
    <w:docVar w:name="LW_ID_DOCTYPE" w:val="SJ-017"/>
    <w:docVar w:name="LW_ID_STATUT" w:val="SJ-017"/>
    <w:docVar w:name="LW_INTERETEEE.CP" w:val="&lt;UNUSED&gt;"/>
    <w:docVar w:name="LW_LANGUE" w:val="HU"/>
    <w:docVar w:name="LW_MARKING" w:val="&lt;UNUSED&gt;"/>
    <w:docVar w:name="LW_NOM.INST" w:val="EURÓPAI BIZOTTSÁG"/>
    <w:docVar w:name="LW_NOM.INST_JOINTDOC" w:val="&lt;EMPTY&gt;"/>
    <w:docVar w:name="LW_PART_NBR" w:val="1"/>
    <w:docVar w:name="LW_PART_NBR_TOTAL" w:val="1"/>
    <w:docVar w:name="LW_REF.II.NEW.CP" w:val="CNS"/>
    <w:docVar w:name="LW_REF.II.NEW.CP_NUMBER" w:val="0406"/>
    <w:docVar w:name="LW_REF.II.NEW.CP_YEAR" w:val="2016"/>
    <w:docVar w:name="LW_REF.INST.NEW" w:val="COM"/>
    <w:docVar w:name="LW_REF.INST.NEW_ADOPTED" w:val="final"/>
    <w:docVar w:name="LW_REF.INST.NEW_TEXT" w:val="(2016) 811"/>
    <w:docVar w:name="LW_REF.INTERNE" w:val="&lt;UNUSED&gt;"/>
    <w:docVar w:name="LW_SOUS.TITRE.OBJ.CP" w:val="&lt;UNUSED&gt;"/>
    <w:docVar w:name="LW_STATUT.CP" w:val="Javaslat"/>
    <w:docVar w:name="LW_SUPERTITRE" w:val="&lt;UNUSED&gt;"/>
    <w:docVar w:name="LW_TITRE.OBJ.CP" w:val="a közös hozzáadottértékadó-rendszerr\u337?l szóló 2006/112/EK irányelvnek az általános fordított adózási mechanizmusnak termékek és szolgáltatások egy bizonyos határértéket meghaladó értékesítésére vonatkozó ideiglenes alkalmazása tekintetében történ\u337? módosításáról"/>
    <w:docVar w:name="LW_TYPE.DOC.CP" w:val="A TANÁCS IRÁNYELVE"/>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odyText3">
    <w:name w:val="Body Text 3"/>
    <w:basedOn w:val="Normal"/>
    <w:link w:val="BodyText3Char"/>
    <w:uiPriority w:val="99"/>
    <w:unhideWhenUsed/>
    <w:rPr>
      <w:sz w:val="16"/>
      <w:szCs w:val="16"/>
    </w:rPr>
  </w:style>
  <w:style w:type="character" w:customStyle="1" w:styleId="BodyText3Char">
    <w:name w:val="Body Text 3 Char"/>
    <w:basedOn w:val="DefaultParagraphFont"/>
    <w:link w:val="BodyText3"/>
    <w:uiPriority w:val="99"/>
    <w:rPr>
      <w:rFonts w:ascii="Times New Roman" w:hAnsi="Times New Roman" w:cs="Times New Roman"/>
      <w:sz w:val="16"/>
      <w:szCs w:val="16"/>
      <w:lang w:val="hu-HU"/>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hu-HU"/>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cs="Times New Roman"/>
      <w:sz w:val="21"/>
      <w:szCs w:val="21"/>
      <w:lang w:val="hu-HU"/>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odyText3">
    <w:name w:val="Body Text 3"/>
    <w:basedOn w:val="Normal"/>
    <w:link w:val="BodyText3Char"/>
    <w:uiPriority w:val="99"/>
    <w:unhideWhenUsed/>
    <w:rPr>
      <w:sz w:val="16"/>
      <w:szCs w:val="16"/>
    </w:rPr>
  </w:style>
  <w:style w:type="character" w:customStyle="1" w:styleId="BodyText3Char">
    <w:name w:val="Body Text 3 Char"/>
    <w:basedOn w:val="DefaultParagraphFont"/>
    <w:link w:val="BodyText3"/>
    <w:uiPriority w:val="99"/>
    <w:rPr>
      <w:rFonts w:ascii="Times New Roman" w:hAnsi="Times New Roman" w:cs="Times New Roman"/>
      <w:sz w:val="16"/>
      <w:szCs w:val="16"/>
      <w:lang w:val="hu-HU"/>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hu-HU"/>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cs="Times New Roman"/>
      <w:sz w:val="21"/>
      <w:szCs w:val="21"/>
      <w:lang w:val="hu-HU"/>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59">
      <w:bodyDiv w:val="1"/>
      <w:marLeft w:val="0"/>
      <w:marRight w:val="0"/>
      <w:marTop w:val="0"/>
      <w:marBottom w:val="0"/>
      <w:divBdr>
        <w:top w:val="none" w:sz="0" w:space="0" w:color="auto"/>
        <w:left w:val="none" w:sz="0" w:space="0" w:color="auto"/>
        <w:bottom w:val="none" w:sz="0" w:space="0" w:color="auto"/>
        <w:right w:val="none" w:sz="0" w:space="0" w:color="auto"/>
      </w:divBdr>
    </w:div>
    <w:div w:id="1213690593">
      <w:bodyDiv w:val="1"/>
      <w:marLeft w:val="0"/>
      <w:marRight w:val="0"/>
      <w:marTop w:val="0"/>
      <w:marBottom w:val="0"/>
      <w:divBdr>
        <w:top w:val="none" w:sz="0" w:space="0" w:color="auto"/>
        <w:left w:val="none" w:sz="0" w:space="0" w:color="auto"/>
        <w:bottom w:val="none" w:sz="0" w:space="0" w:color="auto"/>
        <w:right w:val="none" w:sz="0" w:space="0" w:color="auto"/>
      </w:divBdr>
    </w:div>
    <w:div w:id="17675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smart-regulation/impact/ia_carried_out/cia_2016_en.htm" TargetMode="External"/><Relationship Id="rId1" Type="http://schemas.openxmlformats.org/officeDocument/2006/relationships/hyperlink" Target="http://ec.europa.eu/smart-regulation/refit/refit-platform/docs/recommendations/opinion_taxation_1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6A3D-D900-416B-9E5C-C2E09516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Pages>
  <Words>2535</Words>
  <Characters>17801</Characters>
  <Application>Microsoft Office Word</Application>
  <DocSecurity>0</DocSecurity>
  <Lines>312</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2016-12-07T16:41:00Z</cp:lastPrinted>
  <dcterms:created xsi:type="dcterms:W3CDTF">2017-01-04T13:42:00Z</dcterms:created>
  <dcterms:modified xsi:type="dcterms:W3CDTF">2017-01-11T13:37:00Z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SJ-017</vt:lpwstr>
  </property>
  <property fmtid="{D5CDD505-2E9C-101B-9397-08002B2CF9AE}" pid="10" name="DQCStatus">
    <vt:lpwstr>Yellow (DQC version 03)</vt:lpwstr>
  </property>
  <property name="OP_sanitized" fmtid="{D5CDD505-2E9C-101B-9397-08002B2CF9AE}" pid="11">
    <vt:lpwstr>True</vt:lpwstr>
  </property>
</Properties>
</file>