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2204B5E5484341ED9FD5B4D686BF2BCF" style="width:450.75pt;height:351.75pt">
            <v:imagedata r:id="rId9" o:title=""/>
          </v:shape>
        </w:pict>
      </w:r>
    </w:p>
    <w:p>
      <w:pPr>
        <w:rPr>
          <w:noProof/>
        </w:rPr>
        <w:sectPr>
          <w:footerReference w:type="default" r:id="rId10"/>
          <w:pgSz w:w="11907" w:h="16839"/>
          <w:pgMar w:top="1134" w:right="1417" w:bottom="1134" w:left="1417" w:header="709" w:footer="709" w:gutter="0"/>
          <w:pgNumType w:start="1"/>
          <w:cols w:space="720"/>
          <w:docGrid w:linePitch="360"/>
        </w:sectPr>
      </w:pPr>
    </w:p>
    <w:p>
      <w:pPr>
        <w:pStyle w:val="Exposdesmotifstitre"/>
        <w:rPr>
          <w:noProof/>
        </w:rPr>
      </w:pPr>
      <w:bookmarkStart w:id="0" w:name="_GoBack"/>
      <w:bookmarkEnd w:id="0"/>
      <w:r>
        <w:rPr>
          <w:noProof/>
        </w:rPr>
        <w:lastRenderedPageBreak/>
        <w:t>INDOKOLÁS</w:t>
      </w:r>
    </w:p>
    <w:p>
      <w:pPr>
        <w:pStyle w:val="ManualHeading1"/>
        <w:rPr>
          <w:noProof/>
        </w:rPr>
      </w:pPr>
      <w:r>
        <w:rPr>
          <w:noProof/>
        </w:rPr>
        <w:t>1.</w:t>
      </w:r>
      <w:r>
        <w:rPr>
          <w:noProof/>
        </w:rPr>
        <w:tab/>
        <w:t>A JAVASLAT HÁTTERE</w:t>
      </w:r>
    </w:p>
    <w:p>
      <w:pPr>
        <w:pStyle w:val="ManualHeading2"/>
        <w:rPr>
          <w:rFonts w:eastAsia="Arial Unicode MS"/>
          <w:noProof/>
        </w:rPr>
      </w:pPr>
      <w:r>
        <w:rPr>
          <w:noProof/>
          <w:color w:val="000000"/>
          <w:u w:color="000000"/>
          <w:bdr w:val="nil"/>
        </w:rPr>
        <w:t>•</w:t>
      </w:r>
      <w:r>
        <w:rPr>
          <w:noProof/>
        </w:rPr>
        <w:tab/>
        <w:t>A javaslat indokai és céljai</w:t>
      </w:r>
    </w:p>
    <w:p>
      <w:pPr>
        <w:pStyle w:val="Text1"/>
        <w:spacing w:before="0" w:after="240"/>
        <w:ind w:left="0"/>
        <w:rPr>
          <w:noProof/>
        </w:rPr>
      </w:pPr>
      <w:r>
        <w:rPr>
          <w:noProof/>
        </w:rPr>
        <w:t>Az elmúlt évtizedben globális szinten és Európában egyaránt jelentős mértékben növekszik az új pszichoaktív anyagok mennyisége, és lassulás nem mutatkozik. 2015-ben 100 új pszichoaktív anyagot jelentettek első alkalommal az uniós riasztási rendszerben, így a nyomon követett új anyagok száma összességében meghaladja az 560-at – ezek közül több mint 380-at (70 %) az elmúlt öt évben derítettek fel</w:t>
      </w:r>
      <w:r>
        <w:rPr>
          <w:rStyle w:val="FootnoteReference"/>
          <w:noProof/>
        </w:rPr>
        <w:footnoteReference w:id="1"/>
      </w:r>
      <w:r>
        <w:rPr>
          <w:noProof/>
        </w:rPr>
        <w:t>.</w:t>
      </w:r>
    </w:p>
    <w:p>
      <w:pPr>
        <w:pStyle w:val="Text1"/>
        <w:spacing w:before="0" w:after="240"/>
        <w:ind w:left="0"/>
        <w:rPr>
          <w:noProof/>
        </w:rPr>
      </w:pPr>
      <w:r>
        <w:rPr>
          <w:noProof/>
        </w:rPr>
        <w:t>Az Egyesült Nemzetek Közgyűlése a globális kábítószer-problémáról szóló rendkívüli ülésszakán (UNGASS, 2016. április 19–21.) elfogadta a „Közös kötelezettségvállalásunk a globális kábítószer-probléma hatékony kezelésére és leküzdésére” című dokumentum</w:t>
      </w:r>
      <w:r>
        <w:rPr>
          <w:rStyle w:val="FootnoteReference"/>
          <w:noProof/>
        </w:rPr>
        <w:footnoteReference w:id="2"/>
      </w:r>
      <w:r>
        <w:rPr>
          <w:noProof/>
        </w:rPr>
        <w:t xml:space="preserve"> eredményét. Ebben külön szakasz foglalkozik a felmerülő és tartós kihívások és veszélyek – köztük az új pszichoaktív anyagok – kezelésével. A közös kötelezettségvállalás felszólítást tartalmaz az új pszichoaktív anyagokkal kapcsolatos kihívás kezelését célzó intézkedések megerősítésére, valamint az információmegosztás és az előrejelző hálózatok tökéletesítésére.</w:t>
      </w:r>
    </w:p>
    <w:p>
      <w:pPr>
        <w:pBdr>
          <w:top w:val="nil"/>
          <w:left w:val="nil"/>
          <w:bottom w:val="nil"/>
          <w:right w:val="nil"/>
          <w:between w:val="nil"/>
          <w:bar w:val="nil"/>
        </w:pBdr>
        <w:spacing w:before="0" w:after="240"/>
        <w:rPr>
          <w:rFonts w:eastAsia="Arial Unicode MS"/>
          <w:noProof/>
          <w:color w:val="000000" w:themeColor="text1"/>
        </w:rPr>
      </w:pPr>
      <w:r>
        <w:rPr>
          <w:noProof/>
        </w:rPr>
        <w:t>A Bizottság 2013. szeptember 17-én két jogalkotási javaslatból álló csomagot terjesztett elő az új pszichoaktív anyagok vonatkozásában, amelynek elemei az új pszichoaktív anyagokról szóló rendeletjavaslat</w:t>
      </w:r>
      <w:r>
        <w:rPr>
          <w:rStyle w:val="FootnoteReference"/>
          <w:noProof/>
        </w:rPr>
        <w:footnoteReference w:id="3"/>
      </w:r>
      <w:r>
        <w:rPr>
          <w:noProof/>
        </w:rPr>
        <w:t>, valamint a tiltott kábítószer-kereskedelem területén a bűncselekmények tényállási elemeire és a büntetésekre vonatkozó minimumszabályok megállapításáról szóló, 2004. október 25-i 2004/757/IB tanácsi kerethatározatnak a kábítószer fogalommeghatározása tekintetében való módosításáról szóló irányelvjavaslat</w:t>
      </w:r>
      <w:r>
        <w:rPr>
          <w:rStyle w:val="FootnoteReference"/>
          <w:noProof/>
        </w:rPr>
        <w:footnoteReference w:id="4"/>
      </w:r>
      <w:r>
        <w:rPr>
          <w:noProof/>
        </w:rPr>
        <w:t>. A csomag célkitűzése a kockázatot jelentő új pszichoaktív anyagok rendelkezésre állásának gyorsabb és hatékonyabb uniós szintű fellépés útján történő csökkentése volt az új pszichoaktív anyagokra vonatkozó információcseréről, kockázatértékelésről és ellenőrzésről szóló, 2005. május 10-i 2005/387/IB tanácsi határozaton</w:t>
      </w:r>
      <w:r>
        <w:rPr>
          <w:rStyle w:val="FootnoteReference"/>
          <w:noProof/>
        </w:rPr>
        <w:footnoteReference w:id="5"/>
      </w:r>
      <w:r>
        <w:rPr>
          <w:noProof/>
        </w:rPr>
        <w:t xml:space="preserve"> alapuló jelenleg alkalmazandó rendszerhez képest.</w:t>
      </w:r>
    </w:p>
    <w:p>
      <w:pPr>
        <w:pBdr>
          <w:top w:val="nil"/>
          <w:left w:val="nil"/>
          <w:bottom w:val="nil"/>
          <w:right w:val="nil"/>
          <w:between w:val="nil"/>
          <w:bar w:val="nil"/>
        </w:pBdr>
        <w:spacing w:before="0" w:after="240"/>
        <w:rPr>
          <w:rFonts w:eastAsia="Arial Unicode MS"/>
          <w:noProof/>
        </w:rPr>
      </w:pPr>
      <w:r>
        <w:rPr>
          <w:noProof/>
        </w:rPr>
        <w:t>A jogalkotási csomagról szóló intézményközi tárgyalások több mint két éve tartanak. Az Európai Parlament 2014. április 17-én elfogadta jogalkotási állásfoglalásait</w:t>
      </w:r>
      <w:r>
        <w:rPr>
          <w:rStyle w:val="FootnoteReference"/>
          <w:noProof/>
        </w:rPr>
        <w:footnoteReference w:id="6"/>
      </w:r>
      <w:r>
        <w:rPr>
          <w:noProof/>
        </w:rPr>
        <w:t>. A Tanács nem fogadott el általános megközelítést a javaslatokról, a tagállamok ugyanis a javaslatok vizsgálata során kételyeiknek adtak hangot afelől, hogy az előterjesztett rendelet jogalapjaként megfelelő-e az Európai Unió működéséről szóló szerződés (EUMSZ) 114. cikke.</w:t>
      </w:r>
    </w:p>
    <w:p>
      <w:pPr>
        <w:spacing w:before="0" w:after="240"/>
        <w:rPr>
          <w:rFonts w:eastAsia="Calibri"/>
          <w:noProof/>
          <w:szCs w:val="24"/>
        </w:rPr>
      </w:pPr>
      <w:r>
        <w:rPr>
          <w:noProof/>
        </w:rPr>
        <w:t>Az új pszichoaktív anyagokra irányuló gyorsabb, hatékonyabb uniós intézkedésre irányuló, fent ismertetett célkitűzés elérése érdekében az Állandó Képviselők Bizottsága (COREPER) 2016. április 6-án</w:t>
      </w:r>
      <w:r>
        <w:rPr>
          <w:rStyle w:val="FootnoteReference"/>
          <w:noProof/>
        </w:rPr>
        <w:footnoteReference w:id="7"/>
      </w:r>
      <w:r>
        <w:rPr>
          <w:noProof/>
        </w:rPr>
        <w:t xml:space="preserve"> megállapodott a holland elnökség vitaanyagában előterjesztett megközelítésben, amely magában foglalta az irányelvtervezetnek az EUMSZ 83. cikkén alapján történő módosítását, és – a káros új pszichoaktív anyagok valamennyi tagállamban történő büntetendővé tétele érdekében –tartalmazza különösen az új pszichoaktív anyagok fogalmának meghatározását, valamint rendelkezéseket ír elő az uniós szintű gyors döntéshozatalról. A COREPER felkérte továbbá a Bizottságot, hogy terjesszen elő javaslatot a Kábítószer és Kábítószerfüggőség Európai Megfigyelőközpontjának (EMCDDA) alapító rendelete, az 1920/2006/EK rendelet módosítására.</w:t>
      </w:r>
      <w:r>
        <w:rPr>
          <w:rFonts w:ascii="Calibri" w:hAnsi="Calibri"/>
          <w:noProof/>
          <w:color w:val="1F497D"/>
          <w:sz w:val="22"/>
        </w:rPr>
        <w:t xml:space="preserve"> </w:t>
      </w:r>
      <w:r>
        <w:rPr>
          <w:noProof/>
        </w:rPr>
        <w:t>A COREPER 2580. ülésének összefoglaló jegyzőkönyve szerint e határozattal megkezdődik az EUSZ-hez csatolt 21. jegyzőkönyvben érintett tagállamok részvételi szándékának jelzésére nyitva álló három hónapos határidő, és a határozat következményekkel bír a 22. jegyzőkönyv szerint. Erről a változásról az Európai Parlament a Tanácstól levélben kapott tájékoztatást.</w:t>
      </w:r>
    </w:p>
    <w:p>
      <w:pPr>
        <w:pBdr>
          <w:top w:val="nil"/>
          <w:left w:val="nil"/>
          <w:bottom w:val="nil"/>
          <w:right w:val="nil"/>
          <w:between w:val="nil"/>
          <w:bar w:val="nil"/>
        </w:pBdr>
        <w:spacing w:before="0" w:after="240"/>
        <w:rPr>
          <w:rFonts w:eastAsia="Calibri"/>
          <w:noProof/>
        </w:rPr>
      </w:pPr>
      <w:r>
        <w:rPr>
          <w:noProof/>
        </w:rPr>
        <w:t>Mivel a COREPER határozatának ugyanazok a célkitűzései, mint a 2013. évi előterjesztett csomagnak, a Bizottság az 1920/2006/EK rendelet célirányos módosítását javasolja azoknak a riasztási rendszerre és kockázatértékelési eljárásra vonatkozó rendelkezéstervezeteknek az EMCDDA alapító rendeletébe történő beépítésével, amelyek már az új pszichoaktív anyagokról szóló rendeletre irányuló 2013. évi bizottsági javaslatban is szerepeltek. Az új pszichoaktív anyagokról szóló rendeletjavaslat visszavonását a Bizottság a 2017. évi bizottsági munkaprogram összeállítása során fontolóra veszi.</w:t>
      </w:r>
    </w:p>
    <w:p>
      <w:pPr>
        <w:pBdr>
          <w:top w:val="nil"/>
          <w:left w:val="nil"/>
          <w:bottom w:val="nil"/>
          <w:right w:val="nil"/>
          <w:between w:val="nil"/>
          <w:bar w:val="nil"/>
        </w:pBdr>
        <w:spacing w:before="0" w:after="240"/>
        <w:rPr>
          <w:rFonts w:eastAsia="Arial Unicode MS"/>
          <w:noProof/>
        </w:rPr>
      </w:pPr>
      <w:r>
        <w:rPr>
          <w:noProof/>
        </w:rPr>
        <w:t>Az új javaslat – a korábbihoz hasonlóan – az intézkedések hatékonyabbá tétele és felgyorsítása érdekében az uniós riasztási rendszer és a kockázatértékelés megerősítését, valamint az eljárások egyszerűsítését célozza. A határidők ezért a folyamat felgyorsítása érdekében a 2005/387/IB tanácsi határozaton alapuló jelenlegi rendszerhez képest jelentősen lerövidülnek. Az új pszichoaktív anyagokkal kapcsolatos gyors és hatékony információgyűjtés érdekében az EMCDDA-nak a rendelet Hivatalos Lapban történő kihirdetése után indokolatlan késedelem nélkül munkamegállapodást kell kötnie az Europollal, az Európai Gyógyszerügynökséggel, az Európai Vegyianyag-ügynökséggel és az Európai Élelmiszerbiztonsági Hatósággal.</w:t>
      </w:r>
    </w:p>
    <w:p>
      <w:pPr>
        <w:pBdr>
          <w:top w:val="nil"/>
          <w:left w:val="nil"/>
          <w:bottom w:val="nil"/>
          <w:right w:val="nil"/>
          <w:between w:val="nil"/>
          <w:bar w:val="nil"/>
        </w:pBdr>
        <w:spacing w:before="0" w:after="240"/>
        <w:rPr>
          <w:rFonts w:eastAsia="Arial Unicode MS"/>
          <w:noProof/>
        </w:rPr>
      </w:pPr>
      <w:r>
        <w:rPr>
          <w:noProof/>
        </w:rPr>
        <w:t>A javaslat biztosítja továbbá az EUROPOL-nak a riasztási rendszerben és kockázatértékelési eljárásban való részvételét, különös tekintettel a bűnözői csoportok új pszichoaktív anyagok előállításában és forgalmazásában való részvételével kapcsolatos információkra.</w:t>
      </w:r>
    </w:p>
    <w:p>
      <w:pPr>
        <w:pBdr>
          <w:top w:val="nil"/>
          <w:left w:val="nil"/>
          <w:bottom w:val="nil"/>
          <w:right w:val="nil"/>
          <w:between w:val="nil"/>
          <w:bar w:val="nil"/>
        </w:pBdr>
        <w:spacing w:before="0" w:after="240"/>
        <w:rPr>
          <w:rFonts w:eastAsia="Calibri"/>
          <w:noProof/>
        </w:rPr>
      </w:pPr>
      <w:r>
        <w:rPr>
          <w:noProof/>
        </w:rPr>
        <w:t>Az 1920/2006/EK rendelet 23. cikke szerint a Bizottság a Megfigyelőközpont következő értékelése alapján a szabályozó ügynökségekkel kapcsolatos fejlemények fényében szükség esetén javaslatot terjeszthet elő az EMCDDA alapító rendeletének további módosítására.</w:t>
      </w:r>
    </w:p>
    <w:p>
      <w:pPr>
        <w:pBdr>
          <w:top w:val="nil"/>
          <w:left w:val="nil"/>
          <w:bottom w:val="nil"/>
          <w:right w:val="nil"/>
          <w:between w:val="nil"/>
          <w:bar w:val="nil"/>
        </w:pBdr>
        <w:spacing w:before="0" w:after="240"/>
        <w:rPr>
          <w:rFonts w:eastAsia="Arial Unicode MS"/>
          <w:b/>
          <w:noProof/>
          <w:color w:val="000000"/>
          <w:u w:color="000000"/>
          <w:bdr w:val="nil"/>
        </w:rPr>
      </w:pPr>
      <w:r>
        <w:rPr>
          <w:b/>
          <w:noProof/>
          <w:color w:val="000000"/>
          <w:u w:color="000000"/>
          <w:bdr w:val="nil"/>
        </w:rPr>
        <w:t>•</w:t>
      </w:r>
      <w:r>
        <w:rPr>
          <w:noProof/>
        </w:rPr>
        <w:tab/>
      </w:r>
      <w:r>
        <w:rPr>
          <w:b/>
          <w:noProof/>
        </w:rPr>
        <w:t>Összhang a szabályozási terület jelenlegi rendelkezéseivel</w:t>
      </w:r>
    </w:p>
    <w:p>
      <w:pPr>
        <w:pBdr>
          <w:top w:val="nil"/>
          <w:left w:val="nil"/>
          <w:bottom w:val="nil"/>
          <w:right w:val="nil"/>
          <w:between w:val="nil"/>
          <w:bar w:val="nil"/>
        </w:pBdr>
        <w:spacing w:before="0" w:after="240"/>
        <w:rPr>
          <w:rFonts w:eastAsia="Arial Unicode MS"/>
          <w:noProof/>
          <w:color w:val="000000" w:themeColor="text1"/>
        </w:rPr>
      </w:pPr>
      <w:r>
        <w:rPr>
          <w:noProof/>
        </w:rPr>
        <w:t>A javaslat a 2015. április 28-án elfogadott európai biztonsági stratégia</w:t>
      </w:r>
      <w:r>
        <w:rPr>
          <w:rStyle w:val="FootnoteReference"/>
          <w:noProof/>
        </w:rPr>
        <w:footnoteReference w:id="8"/>
      </w:r>
      <w:r>
        <w:rPr>
          <w:noProof/>
        </w:rPr>
        <w:t xml:space="preserve"> prioritásait tükrözi. Az európai biztonsági stratégia hangsúlyozza, hogy az illegális piacok közül továbbra is a kábítószerek piaca a legdinamikusabb, és a legfrissebb trend az új pszichoaktív anyagok térnyerése. Kimondja továbbá, hogy ezen anyagok előállítása egyre inkább áthelyeződik az Unióba, ami új uniós jogszabályi keretek mielőbbi elfogadását teszi szükségessé.</w:t>
      </w:r>
    </w:p>
    <w:p>
      <w:pPr>
        <w:pBdr>
          <w:top w:val="nil"/>
          <w:left w:val="nil"/>
          <w:bottom w:val="nil"/>
          <w:right w:val="nil"/>
          <w:between w:val="nil"/>
          <w:bar w:val="nil"/>
        </w:pBdr>
        <w:spacing w:before="0" w:after="240"/>
        <w:rPr>
          <w:rFonts w:eastAsia="Arial Unicode MS"/>
          <w:noProof/>
          <w:color w:val="000000" w:themeColor="text1"/>
        </w:rPr>
      </w:pPr>
      <w:r>
        <w:rPr>
          <w:noProof/>
        </w:rPr>
        <w:t>Ezt a javaslatot a[z] [tiltott kábítószer-kereskedelem területén a bűncselekmények tényállási elemeire és a büntetésekre vonatkozó minimumszabályok megállapításáról szóló, 2004. október 25-i 2004/757/IB tanácsi kerethatározat</w:t>
      </w:r>
      <w:r>
        <w:rPr>
          <w:rStyle w:val="FootnoteReference"/>
          <w:noProof/>
        </w:rPr>
        <w:footnoteReference w:id="9"/>
      </w:r>
      <w:r>
        <w:rPr>
          <w:noProof/>
        </w:rPr>
        <w:t xml:space="preserve"> módosításáról szóló] (EU) .../... irányelvvel összefüggésben kell értelmezni.</w:t>
      </w:r>
      <w:r>
        <w:rPr>
          <w:noProof/>
          <w:color w:val="000000" w:themeColor="text1"/>
        </w:rPr>
        <w:t xml:space="preserve"> Mindkét eszköz célja a 2005/387/IB tanácsi határozattal létrehozott mechanizmus felváltása.</w:t>
      </w:r>
    </w:p>
    <w:p>
      <w:pPr>
        <w:keepNext/>
        <w:tabs>
          <w:tab w:val="left" w:pos="850"/>
        </w:tabs>
        <w:ind w:left="850" w:hanging="850"/>
        <w:outlineLvl w:val="1"/>
        <w:rPr>
          <w:b/>
          <w:noProof/>
        </w:rPr>
      </w:pPr>
      <w:r>
        <w:rPr>
          <w:b/>
          <w:noProof/>
        </w:rPr>
        <w:t>2.</w:t>
      </w:r>
      <w:r>
        <w:rPr>
          <w:noProof/>
        </w:rPr>
        <w:tab/>
      </w:r>
      <w:r>
        <w:rPr>
          <w:b/>
          <w:noProof/>
        </w:rPr>
        <w:t>JOGALAP, SZUBSZIDIARITÁS ÉS ARÁNYOSSÁG</w:t>
      </w:r>
    </w:p>
    <w:p>
      <w:pPr>
        <w:keepNext/>
        <w:tabs>
          <w:tab w:val="left" w:pos="850"/>
        </w:tabs>
        <w:ind w:left="850" w:hanging="850"/>
        <w:outlineLvl w:val="1"/>
        <w:rPr>
          <w:rFonts w:eastAsia="Arial Unicode MS"/>
          <w:b/>
          <w:noProof/>
          <w:u w:color="000000"/>
          <w:bdr w:val="nil"/>
        </w:rPr>
      </w:pPr>
      <w:r>
        <w:rPr>
          <w:b/>
          <w:noProof/>
          <w:u w:color="000000"/>
          <w:bdr w:val="nil"/>
        </w:rPr>
        <w:t>•</w:t>
      </w:r>
      <w:r>
        <w:rPr>
          <w:noProof/>
        </w:rPr>
        <w:tab/>
      </w:r>
      <w:r>
        <w:rPr>
          <w:b/>
          <w:noProof/>
          <w:u w:color="000000"/>
          <w:bdr w:val="nil"/>
        </w:rPr>
        <w:t>Jogalap</w:t>
      </w:r>
    </w:p>
    <w:p>
      <w:pPr>
        <w:pBdr>
          <w:top w:val="nil"/>
          <w:left w:val="nil"/>
          <w:bottom w:val="nil"/>
          <w:right w:val="nil"/>
          <w:between w:val="nil"/>
          <w:bar w:val="nil"/>
        </w:pBdr>
        <w:spacing w:before="0" w:after="240"/>
        <w:rPr>
          <w:rFonts w:eastAsia="Arial Unicode MS"/>
          <w:noProof/>
        </w:rPr>
      </w:pPr>
      <w:r>
        <w:rPr>
          <w:noProof/>
        </w:rPr>
        <w:t>A javaslat az EUMSZ 168. cikkének (5) bekezdésén alapul, amely felhatalmazza az Európai Parlamentet és a Tanácsot a határokon át terjedő súlyos egészségügyi veszélyek nyomon követésére, korai előrejelzésére és az ilyen veszélyek elleni küzdelemre vonatkozó intézkedések elfogadására, a tagállami törvények és jogszabályok harmonizációjának kizárásával.</w:t>
      </w:r>
    </w:p>
    <w:p>
      <w:pPr>
        <w:keepNext/>
        <w:tabs>
          <w:tab w:val="left" w:pos="850"/>
        </w:tabs>
        <w:ind w:left="850" w:hanging="850"/>
        <w:outlineLvl w:val="1"/>
        <w:rPr>
          <w:rFonts w:eastAsia="Arial Unicode MS"/>
          <w:b/>
          <w:noProof/>
          <w:u w:color="000000"/>
          <w:bdr w:val="nil"/>
        </w:rPr>
      </w:pPr>
      <w:r>
        <w:rPr>
          <w:b/>
          <w:noProof/>
          <w:u w:color="000000"/>
          <w:bdr w:val="nil"/>
        </w:rPr>
        <w:t>•</w:t>
      </w:r>
      <w:r>
        <w:rPr>
          <w:noProof/>
        </w:rPr>
        <w:tab/>
      </w:r>
      <w:r>
        <w:rPr>
          <w:b/>
          <w:noProof/>
          <w:u w:color="000000"/>
          <w:bdr w:val="nil"/>
        </w:rPr>
        <w:t>Szubszidiaritás</w:t>
      </w:r>
    </w:p>
    <w:p>
      <w:pPr>
        <w:rPr>
          <w:rFonts w:eastAsia="Times New Roman"/>
          <w:noProof/>
          <w:szCs w:val="24"/>
        </w:rPr>
      </w:pPr>
      <w:r>
        <w:rPr>
          <w:noProof/>
        </w:rPr>
        <w:t>Az új pszichoaktív anyagokkal kapcsolatban egyértelműen uniós fellépésre van szükség. A tagállamok önmagukban nem képesek csökkenteni a káros új pszichoaktív anyagok terjedése okozta problémákat. Az e területen folytatott koordinálatlan nemzeti intézkedések kedvezőtlen dominóhatással járhatnak, így például a káros anyagok áthelyeződhetnek az egyik tagállamból a másikba. Ezt a helyzetet a bűnözői csoportok kihasználhatják.</w:t>
      </w:r>
    </w:p>
    <w:p>
      <w:pPr>
        <w:rPr>
          <w:rFonts w:eastAsia="Times New Roman"/>
          <w:noProof/>
          <w:szCs w:val="24"/>
        </w:rPr>
      </w:pPr>
      <w:r>
        <w:rPr>
          <w:noProof/>
        </w:rPr>
        <w:t>Következésképpen uniós szintű fellépésre van szükség annak biztosítására, hogy az Unió-szerte aggályos, potenciálisan káros új pszichoaktív anyagokat valamennyi tagállamban azonosítani, értékelni, és – ha kockázatot jelentenek –, büntetni lehessen. Ezt a rendeletet ezért a[z] [tiltott kábítószer-kereskedelem területén a bűncselekmények tényállási elemeire és a büntetésekre vonatkozó minimumszabályok megállapításáról szóló, 2004. október 25-i 2004/757/IB tanácsi kerethatározat módosításáról szóló] (EU) .../... irányelvvel összefüggésben kell értelmezni, mivel mindkét jogi aktus célja a 2005/387/IB tanácsi határozattal létrehozott mechanizmus felváltása.</w:t>
      </w:r>
    </w:p>
    <w:p>
      <w:pPr>
        <w:keepNext/>
        <w:tabs>
          <w:tab w:val="left" w:pos="850"/>
        </w:tabs>
        <w:ind w:left="850" w:hanging="850"/>
        <w:outlineLvl w:val="1"/>
        <w:rPr>
          <w:rFonts w:eastAsia="Arial Unicode MS"/>
          <w:b/>
          <w:noProof/>
          <w:u w:color="000000"/>
          <w:bdr w:val="nil"/>
        </w:rPr>
      </w:pPr>
      <w:r>
        <w:rPr>
          <w:b/>
          <w:noProof/>
          <w:u w:color="000000"/>
          <w:bdr w:val="nil"/>
        </w:rPr>
        <w:t>•</w:t>
      </w:r>
      <w:r>
        <w:rPr>
          <w:noProof/>
        </w:rPr>
        <w:tab/>
      </w:r>
      <w:r>
        <w:rPr>
          <w:b/>
          <w:noProof/>
          <w:u w:color="000000"/>
          <w:bdr w:val="nil"/>
        </w:rPr>
        <w:t>Arányosság</w:t>
      </w:r>
    </w:p>
    <w:p>
      <w:pPr>
        <w:rPr>
          <w:rFonts w:eastAsia="Times New Roman"/>
          <w:noProof/>
          <w:szCs w:val="24"/>
        </w:rPr>
      </w:pPr>
      <w:r>
        <w:rPr>
          <w:noProof/>
        </w:rPr>
        <w:t>A javaslat arányos, és nem haladja meg a célkitűzések eléréséhez szükséges mértéket, mivel csak az uniós szinten aggályos új pszichoaktív anyagokra vonatkozik.</w:t>
      </w:r>
    </w:p>
    <w:p>
      <w:pPr>
        <w:keepNext/>
        <w:tabs>
          <w:tab w:val="left" w:pos="850"/>
        </w:tabs>
        <w:ind w:left="850" w:hanging="850"/>
        <w:outlineLvl w:val="1"/>
        <w:rPr>
          <w:rFonts w:eastAsia="Arial Unicode MS"/>
          <w:b/>
          <w:noProof/>
          <w:u w:color="000000"/>
          <w:bdr w:val="nil"/>
        </w:rPr>
      </w:pPr>
      <w:r>
        <w:rPr>
          <w:b/>
          <w:noProof/>
          <w:u w:color="000000"/>
          <w:bdr w:val="nil"/>
        </w:rPr>
        <w:t>•</w:t>
      </w:r>
      <w:r>
        <w:rPr>
          <w:noProof/>
        </w:rPr>
        <w:tab/>
      </w:r>
      <w:r>
        <w:rPr>
          <w:b/>
          <w:noProof/>
          <w:u w:color="000000"/>
          <w:bdr w:val="nil"/>
        </w:rPr>
        <w:t>A jogi aktus típusának megválasztása</w:t>
      </w:r>
    </w:p>
    <w:p>
      <w:pPr>
        <w:pBdr>
          <w:top w:val="nil"/>
          <w:left w:val="nil"/>
          <w:bottom w:val="nil"/>
          <w:right w:val="nil"/>
          <w:between w:val="nil"/>
          <w:bar w:val="nil"/>
        </w:pBdr>
        <w:spacing w:before="0" w:after="240"/>
        <w:rPr>
          <w:rFonts w:eastAsia="Arial Unicode MS"/>
          <w:noProof/>
        </w:rPr>
      </w:pPr>
      <w:r>
        <w:rPr>
          <w:noProof/>
        </w:rPr>
        <w:t>A javaslat rendelet módosítására irányul. Semmilyen jel nem mutat arra, hogy rendelettől eltérő jogi aktus lenne helyénvaló.</w:t>
      </w:r>
    </w:p>
    <w:p>
      <w:pPr>
        <w:keepNext/>
        <w:tabs>
          <w:tab w:val="left" w:pos="850"/>
        </w:tabs>
        <w:spacing w:before="360"/>
        <w:ind w:left="850" w:hanging="850"/>
        <w:outlineLvl w:val="0"/>
        <w:rPr>
          <w:b/>
          <w:smallCaps/>
          <w:noProof/>
        </w:rPr>
      </w:pPr>
      <w:r>
        <w:rPr>
          <w:b/>
          <w:smallCaps/>
          <w:noProof/>
        </w:rPr>
        <w:t>3.</w:t>
      </w:r>
      <w:r>
        <w:rPr>
          <w:noProof/>
        </w:rPr>
        <w:tab/>
      </w:r>
      <w:r>
        <w:rPr>
          <w:b/>
          <w:smallCaps/>
          <w:noProof/>
        </w:rPr>
        <w:t>AZ UTÓLAGOS ÉRTÉKELÉSEK, AZ ÉRDEKELT FELEKKEL FOLYTATOTT KONZULTÁCIÓK ÉS A HATÁSVIZSGÁLATOK EREDMÉNYEI</w:t>
      </w:r>
    </w:p>
    <w:p>
      <w:pPr>
        <w:keepNext/>
        <w:tabs>
          <w:tab w:val="left" w:pos="850"/>
        </w:tabs>
        <w:ind w:left="850" w:hanging="850"/>
        <w:outlineLvl w:val="1"/>
        <w:rPr>
          <w:rFonts w:eastAsia="Arial Unicode MS"/>
          <w:b/>
          <w:noProof/>
          <w:u w:color="000000"/>
          <w:bdr w:val="nil"/>
        </w:rPr>
      </w:pPr>
      <w:r>
        <w:rPr>
          <w:b/>
          <w:noProof/>
          <w:u w:color="000000"/>
          <w:bdr w:val="nil"/>
        </w:rPr>
        <w:t>•</w:t>
      </w:r>
      <w:r>
        <w:rPr>
          <w:noProof/>
        </w:rPr>
        <w:tab/>
      </w:r>
      <w:r>
        <w:rPr>
          <w:b/>
          <w:noProof/>
          <w:u w:color="000000"/>
          <w:bdr w:val="nil"/>
        </w:rPr>
        <w:t>Az érdekelt felekkel folytatott konzultációk</w:t>
      </w:r>
    </w:p>
    <w:p>
      <w:pPr>
        <w:pBdr>
          <w:top w:val="nil"/>
          <w:left w:val="nil"/>
          <w:bottom w:val="nil"/>
          <w:right w:val="nil"/>
          <w:between w:val="nil"/>
          <w:bar w:val="nil"/>
        </w:pBdr>
        <w:spacing w:before="0" w:after="240"/>
        <w:rPr>
          <w:rFonts w:eastAsia="Arial Unicode MS"/>
          <w:noProof/>
          <w:color w:val="000000" w:themeColor="text1"/>
        </w:rPr>
      </w:pPr>
      <w:r>
        <w:rPr>
          <w:noProof/>
        </w:rPr>
        <w:t>Ez a rendelet a COREPER ülésén létrejött, a Tanács holland elnöksége által előterjesztett kompromisszumos megközelítésről szóló 2016. április 6-i megállapodást követi.</w:t>
      </w:r>
      <w:r>
        <w:rPr>
          <w:noProof/>
          <w:color w:val="000000" w:themeColor="text1"/>
        </w:rPr>
        <w:t xml:space="preserve"> Az Európai Parlament Állampolgári Jogi, Bel- és Igazságügyi Bizottságának 2016. június 15-i ülésén az előadók és az árnyékelőadók bejelentették, hogy az új megközelítést egyetlen csomagként kívánják alkalmazni, és együttműködnek a Tanáccsal és a Bizottsággal a megállapodás elérésén. Mivel jelen új javaslat tartalma az említett megállapodásnak felel meg, további konzultációra az érdekelt felekkel nincs szükség.</w:t>
      </w:r>
    </w:p>
    <w:p>
      <w:pPr>
        <w:keepNext/>
        <w:tabs>
          <w:tab w:val="left" w:pos="850"/>
        </w:tabs>
        <w:ind w:left="850" w:hanging="850"/>
        <w:outlineLvl w:val="1"/>
        <w:rPr>
          <w:rFonts w:eastAsia="Arial Unicode MS"/>
          <w:b/>
          <w:noProof/>
          <w:u w:color="000000"/>
          <w:bdr w:val="nil"/>
        </w:rPr>
      </w:pPr>
      <w:r>
        <w:rPr>
          <w:b/>
          <w:noProof/>
          <w:u w:color="000000"/>
          <w:bdr w:val="nil"/>
        </w:rPr>
        <w:t>•</w:t>
      </w:r>
      <w:r>
        <w:rPr>
          <w:noProof/>
        </w:rPr>
        <w:tab/>
      </w:r>
      <w:r>
        <w:rPr>
          <w:b/>
          <w:noProof/>
          <w:u w:color="000000"/>
          <w:bdr w:val="nil"/>
        </w:rPr>
        <w:t>Hatásvizsgálat</w:t>
      </w:r>
    </w:p>
    <w:p>
      <w:pPr>
        <w:pBdr>
          <w:top w:val="nil"/>
          <w:left w:val="nil"/>
          <w:bottom w:val="nil"/>
          <w:right w:val="nil"/>
          <w:between w:val="nil"/>
          <w:bar w:val="nil"/>
        </w:pBdr>
        <w:spacing w:before="0" w:after="240"/>
        <w:rPr>
          <w:rFonts w:eastAsia="Arial Unicode MS"/>
          <w:noProof/>
          <w:color w:val="000000" w:themeColor="text1"/>
        </w:rPr>
      </w:pPr>
      <w:r>
        <w:rPr>
          <w:noProof/>
          <w:color w:val="000000" w:themeColor="text1"/>
        </w:rPr>
        <w:t xml:space="preserve">A Bizottság a 2013. szeptember 17-én előterjesztett, két javaslatból álló csomag kapcsán elvégezte a szakpolitikai alternatívák hatásvizsgálatát. </w:t>
      </w:r>
      <w:r>
        <w:rPr>
          <w:noProof/>
        </w:rPr>
        <w:t>A hatásvizsgálatban megállapította különösen, hogy javítani kell az uniós szinten rendelkezésre álló és a tagállamok által átadott információk minőségén és mennyiségén, valamint bővíteni kell az új pszichoaktív anyagok gyors azonosítására és értékelésére irányuló kapacitást</w:t>
      </w:r>
      <w:r>
        <w:rPr>
          <w:rStyle w:val="FootnoteReference"/>
          <w:noProof/>
        </w:rPr>
        <w:footnoteReference w:id="10"/>
      </w:r>
      <w:r>
        <w:rPr>
          <w:noProof/>
        </w:rPr>
        <w:t>.</w:t>
      </w:r>
      <w:r>
        <w:rPr>
          <w:noProof/>
          <w:color w:val="000000" w:themeColor="text1"/>
        </w:rPr>
        <w:t xml:space="preserve"> E javaslat esetében tehát újabb hatásvizsgálatra nincs szükség.</w:t>
      </w:r>
    </w:p>
    <w:p>
      <w:pPr>
        <w:keepNext/>
        <w:tabs>
          <w:tab w:val="left" w:pos="850"/>
        </w:tabs>
        <w:spacing w:before="360"/>
        <w:ind w:left="850" w:hanging="850"/>
        <w:outlineLvl w:val="0"/>
        <w:rPr>
          <w:b/>
          <w:smallCaps/>
          <w:noProof/>
        </w:rPr>
      </w:pPr>
      <w:r>
        <w:rPr>
          <w:b/>
          <w:smallCaps/>
          <w:noProof/>
        </w:rPr>
        <w:t>4.</w:t>
      </w:r>
      <w:r>
        <w:rPr>
          <w:noProof/>
        </w:rPr>
        <w:tab/>
      </w:r>
      <w:r>
        <w:rPr>
          <w:b/>
          <w:smallCaps/>
          <w:noProof/>
        </w:rPr>
        <w:t>KÖLTSÉGVETÉSI VONZATOK</w:t>
      </w:r>
    </w:p>
    <w:p>
      <w:pPr>
        <w:pBdr>
          <w:top w:val="nil"/>
          <w:left w:val="nil"/>
          <w:bottom w:val="nil"/>
          <w:right w:val="nil"/>
          <w:between w:val="nil"/>
          <w:bar w:val="nil"/>
        </w:pBdr>
        <w:spacing w:before="0" w:after="240"/>
        <w:rPr>
          <w:rFonts w:eastAsia="Arial Unicode MS"/>
          <w:noProof/>
        </w:rPr>
      </w:pPr>
      <w:r>
        <w:rPr>
          <w:noProof/>
        </w:rPr>
        <w:t>Az új pszichoaktív anyagokra vonatkozó információcsere, riasztási rendszer és kockázatértékelési eljárás kialakítása az EMCDDA feladata. A Megfigyelőközpont támogatása már részét képezi az uniós költségvetésnek.</w:t>
      </w:r>
    </w:p>
    <w:p>
      <w:pPr>
        <w:pBdr>
          <w:top w:val="nil"/>
          <w:left w:val="nil"/>
          <w:bottom w:val="nil"/>
          <w:right w:val="nil"/>
          <w:between w:val="nil"/>
          <w:bar w:val="nil"/>
        </w:pBdr>
        <w:spacing w:before="0" w:after="240"/>
        <w:rPr>
          <w:rFonts w:eastAsia="Arial Unicode MS"/>
          <w:noProof/>
        </w:rPr>
      </w:pPr>
      <w:r>
        <w:rPr>
          <w:noProof/>
        </w:rPr>
        <w:t>Ahhoz azonban, hogy a Megfigyelőközpont megfelelően kezelje az új pszichoaktív anyagokra vonatkozó információcserével kapcsolatos növekvő számú megkeresést, valamint az uniós riasztási rendszer és kockázatértékelési eljárás javasolt egyszerűsített eljárásait, költségvetését a rendszerfejlesztés tekintetében a 2017–2020 közötti időszakra vonatkozóan összesen 676 000 EUR-val, továbbá a három új szerződéses alkalmazott tekintetében évi 100 000 EUR-val ki kell egészíteni.</w:t>
      </w:r>
    </w:p>
    <w:p>
      <w:pPr>
        <w:keepNext/>
        <w:tabs>
          <w:tab w:val="left" w:pos="850"/>
        </w:tabs>
        <w:spacing w:before="360"/>
        <w:ind w:left="850" w:hanging="850"/>
        <w:outlineLvl w:val="0"/>
        <w:rPr>
          <w:b/>
          <w:smallCaps/>
          <w:noProof/>
        </w:rPr>
      </w:pPr>
      <w:r>
        <w:rPr>
          <w:b/>
          <w:smallCaps/>
          <w:noProof/>
        </w:rPr>
        <w:t>5.</w:t>
      </w:r>
      <w:r>
        <w:rPr>
          <w:noProof/>
        </w:rPr>
        <w:tab/>
      </w:r>
      <w:r>
        <w:rPr>
          <w:b/>
          <w:smallCaps/>
          <w:noProof/>
        </w:rPr>
        <w:t>EGYÉB ELEMEK</w:t>
      </w:r>
    </w:p>
    <w:p>
      <w:pPr>
        <w:keepNext/>
        <w:tabs>
          <w:tab w:val="left" w:pos="850"/>
        </w:tabs>
        <w:ind w:left="850" w:hanging="850"/>
        <w:outlineLvl w:val="1"/>
        <w:rPr>
          <w:rFonts w:eastAsia="Arial Unicode MS"/>
          <w:b/>
          <w:noProof/>
          <w:u w:color="000000"/>
          <w:bdr w:val="nil"/>
        </w:rPr>
      </w:pPr>
      <w:r>
        <w:rPr>
          <w:b/>
          <w:noProof/>
          <w:u w:color="000000"/>
          <w:bdr w:val="nil"/>
        </w:rPr>
        <w:t>•</w:t>
      </w:r>
      <w:r>
        <w:rPr>
          <w:noProof/>
        </w:rPr>
        <w:tab/>
      </w:r>
      <w:r>
        <w:rPr>
          <w:b/>
          <w:noProof/>
          <w:u w:color="000000"/>
          <w:bdr w:val="nil"/>
        </w:rPr>
        <w:t>Nyomonkövetési, értékelési és jelentéstételi szabályok</w:t>
      </w:r>
    </w:p>
    <w:p>
      <w:pPr>
        <w:rPr>
          <w:rFonts w:eastAsia="Times New Roman"/>
          <w:noProof/>
          <w:szCs w:val="24"/>
        </w:rPr>
      </w:pPr>
      <w:r>
        <w:rPr>
          <w:noProof/>
        </w:rPr>
        <w:t>Az 1920/2006/EK rendelet 23. cikke szerint az EMCDDA értékelésére rendszeresen sor kerül. E rendelkezés értelmében a Bizottság hatévente kezdeményezi az EMCDDA külső értékelését, amely egybeesik a Megfigyelőközpont két egymást követő hároméves munkaprogramjának befejezésével.</w:t>
      </w:r>
    </w:p>
    <w:p>
      <w:pPr>
        <w:keepNext/>
        <w:tabs>
          <w:tab w:val="left" w:pos="850"/>
        </w:tabs>
        <w:ind w:left="850" w:hanging="850"/>
        <w:outlineLvl w:val="1"/>
        <w:rPr>
          <w:rFonts w:eastAsia="Arial Unicode MS"/>
          <w:b/>
          <w:noProof/>
          <w:u w:color="000000"/>
          <w:bdr w:val="nil"/>
        </w:rPr>
      </w:pPr>
      <w:r>
        <w:rPr>
          <w:b/>
          <w:noProof/>
          <w:u w:color="000000"/>
          <w:bdr w:val="nil"/>
        </w:rPr>
        <w:t>•</w:t>
      </w:r>
      <w:r>
        <w:rPr>
          <w:noProof/>
        </w:rPr>
        <w:tab/>
      </w:r>
      <w:r>
        <w:rPr>
          <w:b/>
          <w:noProof/>
          <w:u w:color="000000"/>
          <w:bdr w:val="nil"/>
        </w:rPr>
        <w:t>A javaslat egyes rendelkezéseinek részletes magyarázata</w:t>
      </w:r>
    </w:p>
    <w:p>
      <w:pPr>
        <w:rPr>
          <w:rFonts w:eastAsia="Times New Roman"/>
          <w:noProof/>
          <w:szCs w:val="24"/>
        </w:rPr>
      </w:pPr>
      <w:r>
        <w:rPr>
          <w:noProof/>
        </w:rPr>
        <w:t>Az 1. cikk az 1920/2006/EK rendelet következő módosításairól rendelkezik:</w:t>
      </w:r>
    </w:p>
    <w:p>
      <w:pPr>
        <w:rPr>
          <w:rFonts w:eastAsia="Times New Roman"/>
          <w:i/>
          <w:noProof/>
          <w:szCs w:val="24"/>
        </w:rPr>
      </w:pPr>
      <w:r>
        <w:rPr>
          <w:i/>
          <w:noProof/>
        </w:rPr>
        <w:t xml:space="preserve">A 2. cikk (Feladatok) új f) pontja </w:t>
      </w:r>
      <w:r>
        <w:rPr>
          <w:noProof/>
        </w:rPr>
        <w:t>– ez a rendelkezés kimondja, hogy az EMCDDA feladata az új pszichoaktív anyagokra vonatkozó információcsere és riasztás, valamint kockázatértékelés. A Megfigyelőközpont emellett nyomon követi a tagállamok által bejelentett valamennyi új pszichoaktív anyagot.</w:t>
      </w:r>
    </w:p>
    <w:p>
      <w:pPr>
        <w:rPr>
          <w:rFonts w:eastAsia="Times New Roman"/>
          <w:noProof/>
          <w:szCs w:val="24"/>
        </w:rPr>
      </w:pPr>
      <w:r>
        <w:rPr>
          <w:i/>
          <w:noProof/>
        </w:rPr>
        <w:t>Új 5a. cikk (Az új pszichoaktív anyagokra vonatkozó információcsere, riasztási rendszer és kockázatértékelés)</w:t>
      </w:r>
      <w:r>
        <w:rPr>
          <w:noProof/>
        </w:rPr>
        <w:t xml:space="preserve"> – ez a rendelkezés megállapítja a tagállamok, az EMCDDA és az Europol szerepét az új pszichoaktív anyagokra vonatkozó információcsere és riasztás folyamatában.</w:t>
      </w:r>
    </w:p>
    <w:p>
      <w:pPr>
        <w:rPr>
          <w:rFonts w:eastAsia="Times New Roman"/>
          <w:noProof/>
          <w:szCs w:val="24"/>
        </w:rPr>
      </w:pPr>
      <w:r>
        <w:rPr>
          <w:i/>
          <w:noProof/>
        </w:rPr>
        <w:t>Új 5b. cikk (Bevezető jelentés)</w:t>
      </w:r>
      <w:r>
        <w:rPr>
          <w:noProof/>
        </w:rPr>
        <w:t xml:space="preserve"> – ez a rendelkezés meghatározza az új pszichoaktív anyagról szóló bevezető jelentés EMCDDA általi elkészítésére és továbbítására vonatkozó tartalmakat és eljárásokat. A bevezető jelentéshez szükséges információk összegyűjtésében az Europol, az Európai Gyógyszerügynökség, az Európai Vegyianyag-ügynökség és az Európai Élelmiszerbiztonsági Hatóság működik közre.</w:t>
      </w:r>
    </w:p>
    <w:p>
      <w:pPr>
        <w:rPr>
          <w:rFonts w:eastAsia="Times New Roman"/>
          <w:noProof/>
          <w:szCs w:val="24"/>
        </w:rPr>
      </w:pPr>
      <w:r>
        <w:rPr>
          <w:i/>
          <w:noProof/>
        </w:rPr>
        <w:t>Új 5c. cikk (Kockázatértékelési eljárás és jelentés)</w:t>
      </w:r>
      <w:r>
        <w:rPr>
          <w:noProof/>
        </w:rPr>
        <w:t xml:space="preserve"> – ez a rendelkezés felhatalmazza a Bizottságot, hogy felkérje az EMCDDA-t a bevezető jelentés tárgyát képező új pszichoaktív anyag kockázatainak értékelésére. A rendelkezés meghatározza az EMCDDA tudományos bizottsága által lefolytatandó kockázatértékelésre, valamint a kockázatértékelési jelentés elkészítésére és továbbítására vonatkozó eljárásokat.</w:t>
      </w:r>
    </w:p>
    <w:p>
      <w:pPr>
        <w:rPr>
          <w:rFonts w:eastAsia="Times New Roman"/>
          <w:noProof/>
          <w:szCs w:val="24"/>
        </w:rPr>
      </w:pPr>
      <w:r>
        <w:rPr>
          <w:i/>
          <w:noProof/>
        </w:rPr>
        <w:t xml:space="preserve">Új 5d. cikk (Kizárás a kockázatértékelés köréből) – </w:t>
      </w:r>
      <w:r>
        <w:rPr>
          <w:noProof/>
        </w:rPr>
        <w:t>ez a rendelkezés részletesen meghatározza azokat a körülményeket, amelyek között az új pszichoaktív anyagról nem kell kockázatértékelést végezni.</w:t>
      </w:r>
    </w:p>
    <w:p>
      <w:pPr>
        <w:rPr>
          <w:rFonts w:eastAsia="Times New Roman"/>
          <w:noProof/>
          <w:szCs w:val="24"/>
        </w:rPr>
      </w:pPr>
      <w:r>
        <w:rPr>
          <w:noProof/>
        </w:rPr>
        <w:t>A 2. cikk megállapítja a rendelet hatálybalépésének időpontját.</w:t>
      </w:r>
    </w:p>
    <w:p>
      <w:pPr>
        <w:rPr>
          <w:noProof/>
        </w:rPr>
        <w:sectPr>
          <w:footerReference w:type="default" r:id="rId11"/>
          <w:footerReference w:type="first" r:id="rId12"/>
          <w:pgSz w:w="11907" w:h="16839"/>
          <w:pgMar w:top="1134" w:right="1417" w:bottom="1134" w:left="1417" w:header="709" w:footer="709" w:gutter="0"/>
          <w:cols w:space="708"/>
          <w:docGrid w:linePitch="360"/>
        </w:sectPr>
      </w:pPr>
    </w:p>
    <w:p>
      <w:pPr>
        <w:pStyle w:val="Rfrenceinterinstitutionnelle"/>
        <w:rPr>
          <w:noProof/>
        </w:rPr>
      </w:pPr>
      <w:r>
        <w:rPr>
          <w:noProof/>
        </w:rPr>
        <w:t>2016/0261 (COD)</w:t>
      </w:r>
    </w:p>
    <w:p>
      <w:pPr>
        <w:pStyle w:val="Statut"/>
        <w:rPr>
          <w:noProof/>
        </w:rPr>
      </w:pPr>
      <w:r>
        <w:rPr>
          <w:noProof/>
        </w:rPr>
        <w:t>Javaslat</w:t>
      </w:r>
    </w:p>
    <w:p>
      <w:pPr>
        <w:pStyle w:val="Typedudocument"/>
        <w:rPr>
          <w:noProof/>
        </w:rPr>
      </w:pPr>
      <w:r>
        <w:rPr>
          <w:noProof/>
        </w:rPr>
        <w:t>AZ EURÓPAI PARLAMENT ÉS A TANÁCS RENDELETE</w:t>
      </w:r>
    </w:p>
    <w:p>
      <w:pPr>
        <w:pStyle w:val="Titreobjet"/>
        <w:rPr>
          <w:noProof/>
        </w:rPr>
      </w:pPr>
      <w:r>
        <w:rPr>
          <w:noProof/>
        </w:rPr>
        <w:t>az 1920/2006/EK rendeletnek az új pszichoaktív anyagokra vonatkozó információcsere, riasztási rendszer és kockázatértékelési eljárás tekintetében történő módosításáról</w:t>
      </w:r>
    </w:p>
    <w:p>
      <w:pPr>
        <w:pStyle w:val="Institutionquiagit"/>
        <w:rPr>
          <w:noProof/>
        </w:rPr>
      </w:pPr>
      <w:r>
        <w:rPr>
          <w:noProof/>
        </w:rPr>
        <w:t>AZ EURÓPAI PARLAMENT ÉS AZ EURÓPAI UNIÓ TANÁCSA,</w:t>
      </w:r>
    </w:p>
    <w:p>
      <w:pPr>
        <w:rPr>
          <w:noProof/>
        </w:rPr>
      </w:pPr>
      <w:r>
        <w:rPr>
          <w:noProof/>
        </w:rPr>
        <w:t>tekintettel az Európai Unió működéséről szóló szerződésre és különösen annak 168. cikke (5) bekezdésére,</w:t>
      </w:r>
    </w:p>
    <w:p>
      <w:pPr>
        <w:rPr>
          <w:noProof/>
        </w:rPr>
      </w:pPr>
      <w:r>
        <w:rPr>
          <w:noProof/>
        </w:rPr>
        <w:t>tekintettel az Európai Bizottság javaslatára,</w:t>
      </w:r>
    </w:p>
    <w:p>
      <w:pPr>
        <w:rPr>
          <w:noProof/>
        </w:rPr>
      </w:pPr>
      <w:r>
        <w:rPr>
          <w:noProof/>
        </w:rPr>
        <w:t>a jogalkotási aktus tervezete nemzeti parlamenteknek való megküldését követően,</w:t>
      </w:r>
    </w:p>
    <w:p>
      <w:pPr>
        <w:rPr>
          <w:noProof/>
        </w:rPr>
      </w:pPr>
      <w:r>
        <w:rPr>
          <w:noProof/>
        </w:rPr>
        <w:t>tekintettel az Európai Gazdasági és Szociális Bizottság véleményére</w:t>
      </w:r>
      <w:r>
        <w:rPr>
          <w:rStyle w:val="FootnoteReference"/>
          <w:noProof/>
        </w:rPr>
        <w:footnoteReference w:id="11"/>
      </w:r>
      <w:r>
        <w:rPr>
          <w:noProof/>
        </w:rPr>
        <w:t>,</w:t>
      </w:r>
    </w:p>
    <w:p>
      <w:pPr>
        <w:rPr>
          <w:noProof/>
        </w:rPr>
      </w:pPr>
      <w:r>
        <w:rPr>
          <w:noProof/>
        </w:rPr>
        <w:t>tekintettel a Régiók Bizottságának véleményére</w:t>
      </w:r>
      <w:r>
        <w:rPr>
          <w:rStyle w:val="FootnoteReference"/>
          <w:noProof/>
        </w:rPr>
        <w:footnoteReference w:id="12"/>
      </w:r>
      <w:r>
        <w:rPr>
          <w:noProof/>
        </w:rPr>
        <w:t>,</w:t>
      </w:r>
    </w:p>
    <w:p>
      <w:pPr>
        <w:rPr>
          <w:noProof/>
        </w:rPr>
      </w:pPr>
      <w:r>
        <w:rPr>
          <w:noProof/>
        </w:rPr>
        <w:t>rendes jogalkotási eljárás keretében,</w:t>
      </w:r>
    </w:p>
    <w:p>
      <w:pPr>
        <w:rPr>
          <w:noProof/>
        </w:rPr>
      </w:pPr>
      <w:r>
        <w:rPr>
          <w:noProof/>
        </w:rPr>
        <w:t>mivel:</w:t>
      </w:r>
    </w:p>
    <w:p>
      <w:pPr>
        <w:pStyle w:val="ManualConsidrant"/>
        <w:rPr>
          <w:noProof/>
        </w:rPr>
      </w:pPr>
      <w:r>
        <w:t>(1)</w:t>
      </w:r>
      <w:r>
        <w:tab/>
      </w:r>
      <w:r>
        <w:rPr>
          <w:noProof/>
        </w:rPr>
        <w:t>Az új pszichoaktív anyagok határokon át terjedő súlyos egészségügyi veszélyeket hordoznak, ami szükségessé teszi e veszélyek nyomon követését, az azokkal kapcsolatos riasztást és az ellenük való küzdelmet.</w:t>
      </w:r>
    </w:p>
    <w:p>
      <w:pPr>
        <w:pStyle w:val="ManualConsidrant"/>
        <w:rPr>
          <w:noProof/>
        </w:rPr>
      </w:pPr>
      <w:r>
        <w:t>(2)</w:t>
      </w:r>
      <w:r>
        <w:tab/>
      </w:r>
      <w:r>
        <w:rPr>
          <w:noProof/>
        </w:rPr>
        <w:t>Az elmúlt években a tagállamok egyre nagyobb számban jelentettek be új pszichoaktív anyagokat az Európai Unióról szóló szerződés K. 3. cikke alapján, az új szintetikus kábítószerekre vonatkozó információcseréről, kockázatértékelésről és ellenőrzésről szóló 97/396/IB együttes tanácsi fellépéssel</w:t>
      </w:r>
      <w:r>
        <w:rPr>
          <w:rStyle w:val="FootnoteReference"/>
          <w:noProof/>
        </w:rPr>
        <w:footnoteReference w:id="13"/>
      </w:r>
      <w:r>
        <w:rPr>
          <w:noProof/>
        </w:rPr>
        <w:t xml:space="preserve"> létrehozott és a 2005/387/IB tanácsi határozattal</w:t>
      </w:r>
      <w:r>
        <w:rPr>
          <w:rStyle w:val="FootnoteReference"/>
          <w:noProof/>
        </w:rPr>
        <w:footnoteReference w:id="14"/>
      </w:r>
      <w:r>
        <w:rPr>
          <w:noProof/>
        </w:rPr>
        <w:t xml:space="preserve"> tovább megerősített, gyors információs rendszer útján.</w:t>
      </w:r>
    </w:p>
    <w:p>
      <w:pPr>
        <w:pStyle w:val="ManualConsidrant"/>
        <w:rPr>
          <w:noProof/>
        </w:rPr>
      </w:pPr>
      <w:r>
        <w:t>(3)</w:t>
      </w:r>
      <w:r>
        <w:tab/>
      </w:r>
      <w:r>
        <w:rPr>
          <w:noProof/>
        </w:rPr>
        <w:t>Az Unió-szerte egészségügyi és társadalmi kockázatokat hordozó új pszichoaktív anyagokat uniós szintű megközelítéssel kell kezelni. Ezt a rendeletet tehát a[z] [(EU) …/… irányelvvel módosított] 2004/757/IB tanácsi kerethatározattal</w:t>
      </w:r>
      <w:r>
        <w:rPr>
          <w:rStyle w:val="FootnoteReference"/>
          <w:noProof/>
        </w:rPr>
        <w:footnoteReference w:id="15"/>
      </w:r>
      <w:r>
        <w:rPr>
          <w:noProof/>
        </w:rPr>
        <w:t xml:space="preserve"> összhangban kell értelmezni, mivel mindkét jogi aktus célja a 2005/387/IB tanácsi határozattal létrehozott mechanizmus felváltása.</w:t>
      </w:r>
    </w:p>
    <w:p>
      <w:pPr>
        <w:pStyle w:val="ManualConsidrant"/>
        <w:rPr>
          <w:noProof/>
        </w:rPr>
      </w:pPr>
      <w:r>
        <w:t>(4)</w:t>
      </w:r>
      <w:r>
        <w:tab/>
      </w:r>
      <w:r>
        <w:rPr>
          <w:noProof/>
        </w:rPr>
        <w:t>Az 1920/2006/EK európai parlamenti és tanácsi rendeletet</w:t>
      </w:r>
      <w:r>
        <w:rPr>
          <w:rStyle w:val="FootnoteReference"/>
          <w:noProof/>
        </w:rPr>
        <w:footnoteReference w:id="16"/>
      </w:r>
      <w:r>
        <w:rPr>
          <w:noProof/>
        </w:rPr>
        <w:t xml:space="preserve"> ki kell egészíteni az új pszichoaktív anyagokra vonatkozó információcseréről és riasztási rendszerről, valamint a kockázatértékelési eljárásról szóló rendelkezésekkel. Különösen meg kell erősíteni az új pszichoaktív anyagokra vonatkozó riasztásról szóló rendelkezéseket, és hatékonyabbá kell tenni a bevezető jelentés elkészítésére és a kockázatértékelési eljárás megszervezésére vonatkozó eljárásokat. Az eljárás valamennyi szakaszára vonatkozóan jelentősen rövidebb határidőket kell előírni.</w:t>
      </w:r>
    </w:p>
    <w:p>
      <w:pPr>
        <w:pStyle w:val="ManualConsidrant"/>
        <w:rPr>
          <w:noProof/>
        </w:rPr>
      </w:pPr>
      <w:r>
        <w:t>(5)</w:t>
      </w:r>
      <w:r>
        <w:tab/>
      </w:r>
      <w:r>
        <w:rPr>
          <w:noProof/>
        </w:rPr>
        <w:t>Az új pszichoaktív anyagokra vonatkozó minden uniós fellépést tudományos eredményekre kell alapozni.</w:t>
      </w:r>
    </w:p>
    <w:p>
      <w:pPr>
        <w:pStyle w:val="ManualConsidrant"/>
        <w:rPr>
          <w:noProof/>
        </w:rPr>
      </w:pPr>
      <w:r>
        <w:t>(6)</w:t>
      </w:r>
      <w:r>
        <w:tab/>
      </w:r>
      <w:r>
        <w:rPr>
          <w:noProof/>
        </w:rPr>
        <w:t>A kockázatértékelési eljárást követően a Bizottságnak a[z] [(EU) .../... irányelvvel módosított] 2004/757/IB tanácsi kerethatározatban előírt eljárással összhangban meg kell határoznia, hogy az adott új pszichoaktív anyagot büntetendővé kell-e tenni. Ez a rendelet az irányelv átültetésének napjával azonos napon lép hatályba, mivel mindkét jogi aktus célja a 2005/387/IB tanácsi határozattal létrehozott mechanizmus felváltása.</w:t>
      </w:r>
    </w:p>
    <w:p>
      <w:pPr>
        <w:pStyle w:val="ManualConsidrant"/>
        <w:rPr>
          <w:noProof/>
        </w:rPr>
      </w:pPr>
      <w:r>
        <w:t>(7)</w:t>
      </w:r>
      <w:r>
        <w:tab/>
      </w:r>
      <w:r>
        <w:rPr>
          <w:noProof/>
        </w:rPr>
        <w:t>Azon új pszichoaktív anyagok tekintetében, amelyeket nemzetközi jog szerint értékelnek, vagy amelyek megtalálhatók valamely gyógyszer vagy állatgyógyászati készítmény hatóanyagában, nem kell kockázatértékelést végezni.</w:t>
      </w:r>
    </w:p>
    <w:p>
      <w:pPr>
        <w:pStyle w:val="ManualConsidrant"/>
        <w:rPr>
          <w:noProof/>
        </w:rPr>
      </w:pPr>
      <w:r>
        <w:t>(8)</w:t>
      </w:r>
      <w:r>
        <w:tab/>
      </w:r>
      <w:r>
        <w:rPr>
          <w:noProof/>
        </w:rPr>
        <w:t>Az 1920/2006/EK rendeletet tehát ennek megfelelően módosítani kell,</w:t>
      </w:r>
    </w:p>
    <w:p>
      <w:pPr>
        <w:pStyle w:val="Formuledadoption"/>
        <w:rPr>
          <w:noProof/>
        </w:rPr>
      </w:pPr>
      <w:r>
        <w:rPr>
          <w:noProof/>
        </w:rPr>
        <w:t>ELFOGADTA EZT A RENDELETET:</w:t>
      </w:r>
    </w:p>
    <w:p>
      <w:pPr>
        <w:pStyle w:val="Titrearticle"/>
        <w:rPr>
          <w:noProof/>
        </w:rPr>
      </w:pPr>
      <w:r>
        <w:rPr>
          <w:noProof/>
        </w:rPr>
        <w:t>1. cikk</w:t>
      </w:r>
    </w:p>
    <w:p>
      <w:pPr>
        <w:keepNext/>
        <w:spacing w:before="0"/>
        <w:jc w:val="center"/>
        <w:rPr>
          <w:rFonts w:eastAsia="Times New Roman"/>
          <w:b/>
          <w:noProof/>
          <w:szCs w:val="24"/>
        </w:rPr>
      </w:pPr>
      <w:r>
        <w:rPr>
          <w:b/>
          <w:noProof/>
        </w:rPr>
        <w:t>Az 1920/2006/EK rendelet módosítása</w:t>
      </w:r>
    </w:p>
    <w:p>
      <w:pPr>
        <w:rPr>
          <w:noProof/>
        </w:rPr>
      </w:pPr>
    </w:p>
    <w:p>
      <w:pPr>
        <w:rPr>
          <w:noProof/>
        </w:rPr>
      </w:pPr>
      <w:r>
        <w:rPr>
          <w:noProof/>
        </w:rPr>
        <w:t>Az 1920/2006/EK rendelet a következőképpen módosul:</w:t>
      </w:r>
    </w:p>
    <w:p>
      <w:pPr>
        <w:rPr>
          <w:rFonts w:eastAsia="Times New Roman"/>
          <w:noProof/>
          <w:szCs w:val="24"/>
        </w:rPr>
      </w:pPr>
    </w:p>
    <w:p>
      <w:pPr>
        <w:rPr>
          <w:rFonts w:eastAsia="Times New Roman"/>
          <w:noProof/>
          <w:szCs w:val="24"/>
        </w:rPr>
      </w:pPr>
      <w:r>
        <w:rPr>
          <w:noProof/>
        </w:rPr>
        <w:t>1. A 2. cikk a következő f) ponttal egészül ki:</w:t>
      </w:r>
    </w:p>
    <w:p>
      <w:pPr>
        <w:rPr>
          <w:rFonts w:eastAsia="Times New Roman"/>
          <w:noProof/>
          <w:szCs w:val="24"/>
        </w:rPr>
      </w:pPr>
    </w:p>
    <w:p>
      <w:pPr>
        <w:ind w:left="850" w:hanging="850"/>
        <w:rPr>
          <w:rFonts w:eastAsia="Times New Roman"/>
          <w:noProof/>
          <w:szCs w:val="24"/>
        </w:rPr>
      </w:pPr>
      <w:r>
        <w:rPr>
          <w:noProof/>
        </w:rPr>
        <w:t xml:space="preserve"> „f)</w:t>
      </w:r>
      <w:r>
        <w:rPr>
          <w:noProof/>
        </w:rPr>
        <w:tab/>
      </w:r>
      <w:r>
        <w:rPr>
          <w:b/>
          <w:noProof/>
        </w:rPr>
        <w:t>Az új pszichoaktív anyagokra vonatkozó információcsere, riasztási rendszer és kockázatértékelés</w:t>
      </w:r>
    </w:p>
    <w:p>
      <w:pPr>
        <w:autoSpaceDE w:val="0"/>
        <w:autoSpaceDN w:val="0"/>
        <w:adjustRightInd w:val="0"/>
        <w:ind w:left="720" w:hanging="720"/>
        <w:rPr>
          <w:rFonts w:eastAsia="Times New Roman"/>
          <w:noProof/>
          <w:szCs w:val="24"/>
        </w:rPr>
      </w:pPr>
    </w:p>
    <w:p>
      <w:pPr>
        <w:ind w:left="1440" w:hanging="720"/>
        <w:rPr>
          <w:rFonts w:eastAsia="Times New Roman"/>
          <w:noProof/>
          <w:szCs w:val="24"/>
        </w:rPr>
      </w:pPr>
      <w:r>
        <w:rPr>
          <w:noProof/>
        </w:rPr>
        <w:t>i.</w:t>
      </w:r>
      <w:r>
        <w:rPr>
          <w:noProof/>
        </w:rPr>
        <w:tab/>
        <w:t>a[z] [(EU) .../... irányelvvel módosított] 2004/757/IB tanácsi kerethatározat [...]. cikkében meghatározott új pszichoaktív anyagokról rendelkezésre álló információknak a Reitox nemzeti kapcsolattartó pontoktól és az Europol nemzeti egységeitől való összegyűjtése, összeállítása, elemzése és értékelése, valamint ezen információknak a Reitox nemzeti kapcsolattartó pontokhoz, az Europol nemzeti egységeihez és a Bizottsághoz történő, indokolatlan késedelem nélküli eljuttatása;</w:t>
      </w:r>
    </w:p>
    <w:p>
      <w:pPr>
        <w:rPr>
          <w:rFonts w:eastAsia="Times New Roman"/>
          <w:noProof/>
          <w:szCs w:val="24"/>
        </w:rPr>
      </w:pPr>
    </w:p>
    <w:p>
      <w:pPr>
        <w:ind w:left="1440" w:hanging="720"/>
        <w:rPr>
          <w:noProof/>
        </w:rPr>
      </w:pPr>
      <w:r>
        <w:rPr>
          <w:noProof/>
        </w:rPr>
        <w:t>ii.</w:t>
      </w:r>
      <w:r>
        <w:rPr>
          <w:noProof/>
        </w:rPr>
        <w:tab/>
        <w:t>a bevezető jelentés vagy összesített bevezető jelentés 5b. cikkel összhangban történő elkészítése;</w:t>
      </w:r>
    </w:p>
    <w:p>
      <w:pPr>
        <w:rPr>
          <w:noProof/>
        </w:rPr>
      </w:pPr>
    </w:p>
    <w:p>
      <w:pPr>
        <w:ind w:left="1440" w:hanging="720"/>
        <w:rPr>
          <w:noProof/>
        </w:rPr>
      </w:pPr>
      <w:r>
        <w:rPr>
          <w:noProof/>
        </w:rPr>
        <w:t>iii.</w:t>
      </w:r>
      <w:r>
        <w:rPr>
          <w:noProof/>
        </w:rPr>
        <w:tab/>
        <w:t>a kockázatértékelési eljárás 5c. és 5d. cikkel összhangban történő megszervezése;</w:t>
      </w:r>
    </w:p>
    <w:p>
      <w:pPr>
        <w:rPr>
          <w:noProof/>
        </w:rPr>
      </w:pPr>
    </w:p>
    <w:p>
      <w:pPr>
        <w:ind w:left="1440" w:hanging="720"/>
        <w:rPr>
          <w:rFonts w:eastAsia="Times New Roman"/>
          <w:noProof/>
          <w:szCs w:val="24"/>
        </w:rPr>
      </w:pPr>
      <w:r>
        <w:rPr>
          <w:noProof/>
        </w:rPr>
        <w:t>iv.</w:t>
      </w:r>
      <w:r>
        <w:rPr>
          <w:noProof/>
        </w:rPr>
        <w:tab/>
        <w:t>a tagállamok által bejelentett valamennyi új pszichoaktív anyagnak az Europollal együttműködésben és a Reitox nemzeti kapcsolattartó pontok és az Europol nemzeti egységek támogatásával történő nyomon követése.”</w:t>
      </w:r>
    </w:p>
    <w:p>
      <w:pPr>
        <w:rPr>
          <w:noProof/>
        </w:rPr>
      </w:pPr>
    </w:p>
    <w:p>
      <w:pPr>
        <w:rPr>
          <w:noProof/>
        </w:rPr>
      </w:pPr>
      <w:r>
        <w:rPr>
          <w:noProof/>
        </w:rPr>
        <w:t>2. Az 5. cikk (2) bekezdésének második és a harmadik albekezdését el kell hagyni.</w:t>
      </w:r>
    </w:p>
    <w:p>
      <w:pPr>
        <w:rPr>
          <w:rFonts w:eastAsia="Times New Roman"/>
          <w:noProof/>
          <w:szCs w:val="24"/>
        </w:rPr>
      </w:pPr>
    </w:p>
    <w:p>
      <w:pPr>
        <w:rPr>
          <w:rFonts w:eastAsia="Times New Roman"/>
          <w:noProof/>
          <w:szCs w:val="24"/>
        </w:rPr>
      </w:pPr>
      <w:r>
        <w:rPr>
          <w:noProof/>
        </w:rPr>
        <w:t>3. A szöveg a következő 5a., 5b., 5c. és 5d. cikkel egészül ki:</w:t>
      </w:r>
    </w:p>
    <w:p>
      <w:pPr>
        <w:keepNext/>
        <w:spacing w:before="360"/>
        <w:jc w:val="center"/>
        <w:rPr>
          <w:rFonts w:eastAsia="Times New Roman"/>
          <w:i/>
          <w:noProof/>
          <w:szCs w:val="24"/>
        </w:rPr>
      </w:pPr>
      <w:r>
        <w:rPr>
          <w:noProof/>
        </w:rPr>
        <w:t>„</w:t>
      </w:r>
      <w:r>
        <w:rPr>
          <w:i/>
          <w:noProof/>
        </w:rPr>
        <w:t>5a. cikk</w:t>
      </w:r>
    </w:p>
    <w:p>
      <w:pPr>
        <w:keepNext/>
        <w:spacing w:before="0"/>
        <w:jc w:val="center"/>
        <w:rPr>
          <w:rFonts w:eastAsia="Times New Roman"/>
          <w:b/>
          <w:noProof/>
          <w:szCs w:val="24"/>
        </w:rPr>
      </w:pPr>
      <w:r>
        <w:rPr>
          <w:b/>
          <w:noProof/>
        </w:rPr>
        <w:t>Az új pszichoaktív anyagokra vonatkozó információcsere és riasztási rendszer</w:t>
      </w:r>
    </w:p>
    <w:p>
      <w:pPr>
        <w:autoSpaceDE w:val="0"/>
        <w:autoSpaceDN w:val="0"/>
        <w:adjustRightInd w:val="0"/>
        <w:rPr>
          <w:rFonts w:eastAsia="Times New Roman"/>
          <w:noProof/>
          <w:szCs w:val="24"/>
        </w:rPr>
      </w:pPr>
      <w:r>
        <w:rPr>
          <w:noProof/>
        </w:rPr>
        <w:t>Valamennyi tagállam biztosítja, hogy Reitox nemzeti kapcsolattartó pontja és Europol nemzeti egysége időben és indokolatlan késedelem nélkül továbbítsa a Megfigyelőközpontnak és az Europolnak az új pszichoaktív anyagokról rendelkezésére álló információkat. Az információknak az említett anyagok felderítéséhez és azonosításához, használatához és használati mintázataihoz, potenciális és azonosított kockázataihoz, előállításához, kivonásához, forgalmazásához, kereskedelméhez, kereskedelmi, valamint orvosi és tudományos felhasználásához kell kapcsolódniuk.</w:t>
      </w:r>
    </w:p>
    <w:p>
      <w:pPr>
        <w:autoSpaceDE w:val="0"/>
        <w:autoSpaceDN w:val="0"/>
        <w:adjustRightInd w:val="0"/>
        <w:rPr>
          <w:rFonts w:eastAsia="Times New Roman"/>
          <w:noProof/>
          <w:szCs w:val="24"/>
        </w:rPr>
      </w:pPr>
      <w:r>
        <w:rPr>
          <w:noProof/>
        </w:rPr>
        <w:t>A Megfigyelőközpont ezeket az információkat az Europollal együttműködésben gyűjti, elemzi, értékeli és időben továbbítja a tagállamoknak abból a célból, hogy a tagállamok minden riasztáshoz szükséges információval rendelkezzenek, és a Megfigyelőközpont elkészíthesse az 5b. cikk szerinti bevezető jelentést vagy az összesített bevezető jelentést.</w:t>
      </w:r>
    </w:p>
    <w:p>
      <w:pPr>
        <w:pStyle w:val="Titrearticle"/>
        <w:rPr>
          <w:noProof/>
        </w:rPr>
      </w:pPr>
      <w:r>
        <w:rPr>
          <w:noProof/>
        </w:rPr>
        <w:t>5b. cikk</w:t>
      </w:r>
    </w:p>
    <w:p>
      <w:pPr>
        <w:keepNext/>
        <w:spacing w:before="0"/>
        <w:jc w:val="center"/>
        <w:rPr>
          <w:rFonts w:eastAsia="Times New Roman"/>
          <w:b/>
          <w:noProof/>
          <w:szCs w:val="24"/>
        </w:rPr>
      </w:pPr>
      <w:r>
        <w:rPr>
          <w:b/>
          <w:noProof/>
        </w:rPr>
        <w:t>Bevezető jelentés</w:t>
      </w:r>
    </w:p>
    <w:p>
      <w:pPr>
        <w:ind w:left="850" w:hanging="850"/>
        <w:rPr>
          <w:rFonts w:eastAsia="Times New Roman"/>
          <w:noProof/>
          <w:szCs w:val="24"/>
        </w:rPr>
      </w:pPr>
      <w:r>
        <w:rPr>
          <w:noProof/>
        </w:rPr>
        <w:t>(1)</w:t>
      </w:r>
      <w:r>
        <w:rPr>
          <w:noProof/>
        </w:rPr>
        <w:tab/>
        <w:t>Amennyiben a Megfigyelőközpont, a Bizottság vagy a tagállamok egyszerű többségével eljáró Tanács úgy ítéli meg, hogy a valamely új pszichoaktív anyagról az 5a. cikk szerint továbbított, egy vagy több tagállamban gyűjtött információk alapján az adott új pszichoaktív anyag uniós szintű egészségügyi vagy társadalmi kockázatokat jelenthet, a Megfigyelőközpont az új pszichoaktív anyagról bevezető jelentést készít.</w:t>
      </w:r>
    </w:p>
    <w:p>
      <w:pPr>
        <w:ind w:left="850" w:hanging="850"/>
        <w:rPr>
          <w:rFonts w:eastAsia="Times New Roman"/>
          <w:noProof/>
          <w:szCs w:val="24"/>
        </w:rPr>
      </w:pPr>
      <w:r>
        <w:rPr>
          <w:noProof/>
        </w:rPr>
        <w:t>(2)</w:t>
      </w:r>
      <w:r>
        <w:rPr>
          <w:noProof/>
        </w:rPr>
        <w:tab/>
        <w:t>A bevezető jelentés a következőket tartalmazza:</w:t>
      </w:r>
    </w:p>
    <w:p>
      <w:pPr>
        <w:pStyle w:val="Point1"/>
        <w:rPr>
          <w:noProof/>
        </w:rPr>
      </w:pPr>
      <w:r>
        <w:rPr>
          <w:noProof/>
        </w:rPr>
        <w:t>a)</w:t>
      </w:r>
      <w:r>
        <w:rPr>
          <w:noProof/>
        </w:rPr>
        <w:tab/>
        <w:t>az új pszichoaktív anyaghoz kapcsolódó egészségügyi és társadalmi kockázatok jellegének vagy mértékének előzetes jelzése;</w:t>
      </w:r>
    </w:p>
    <w:p>
      <w:pPr>
        <w:pStyle w:val="Point1"/>
        <w:rPr>
          <w:noProof/>
        </w:rPr>
      </w:pPr>
      <w:r>
        <w:rPr>
          <w:noProof/>
        </w:rPr>
        <w:t>b)</w:t>
      </w:r>
      <w:r>
        <w:rPr>
          <w:noProof/>
        </w:rPr>
        <w:tab/>
        <w:t>az új pszichoaktív anyag kémiai és fizikai leírása, az előállításához vagy kivonásához használt módszerek és prekurzorok ismertetése;</w:t>
      </w:r>
    </w:p>
    <w:p>
      <w:pPr>
        <w:pStyle w:val="Point1"/>
        <w:rPr>
          <w:noProof/>
        </w:rPr>
      </w:pPr>
      <w:r>
        <w:rPr>
          <w:noProof/>
        </w:rPr>
        <w:t>c)</w:t>
      </w:r>
      <w:r>
        <w:rPr>
          <w:noProof/>
        </w:rPr>
        <w:tab/>
        <w:t>az új pszichoaktív anyag gyógyszerészeti és toxikológiai leírása;</w:t>
      </w:r>
    </w:p>
    <w:p>
      <w:pPr>
        <w:pStyle w:val="Point1"/>
        <w:rPr>
          <w:noProof/>
        </w:rPr>
      </w:pPr>
      <w:r>
        <w:rPr>
          <w:noProof/>
        </w:rPr>
        <w:t>d)</w:t>
      </w:r>
      <w:r>
        <w:rPr>
          <w:noProof/>
        </w:rPr>
        <w:tab/>
        <w:t>a bűnözői csoportoknak az új pszichoaktív anyag előállításában és forgalmazásában való részvételére vonatkozó információk;</w:t>
      </w:r>
    </w:p>
    <w:p>
      <w:pPr>
        <w:pStyle w:val="Point1"/>
        <w:rPr>
          <w:noProof/>
        </w:rPr>
      </w:pPr>
      <w:r>
        <w:rPr>
          <w:noProof/>
        </w:rPr>
        <w:t>e)</w:t>
      </w:r>
      <w:r>
        <w:rPr>
          <w:noProof/>
        </w:rPr>
        <w:tab/>
        <w:t>az új pszichoaktív anyag humán és állatgyógyászati – többek között gyógyszerek vagy állatgyógyászati készítmények hatóanyagaként történő – felhasználására vonatkozó információk;</w:t>
      </w:r>
    </w:p>
    <w:p>
      <w:pPr>
        <w:pStyle w:val="Point1"/>
        <w:rPr>
          <w:noProof/>
        </w:rPr>
      </w:pPr>
      <w:r>
        <w:rPr>
          <w:noProof/>
        </w:rPr>
        <w:t>f)</w:t>
      </w:r>
      <w:r>
        <w:rPr>
          <w:noProof/>
        </w:rPr>
        <w:tab/>
        <w:t>információk arról, hogy az új pszichoaktív anyagra vonatkoznak-e tagállami korlátozó intézkedések;</w:t>
      </w:r>
    </w:p>
    <w:p>
      <w:pPr>
        <w:pStyle w:val="Point1"/>
        <w:rPr>
          <w:noProof/>
        </w:rPr>
      </w:pPr>
      <w:r>
        <w:rPr>
          <w:noProof/>
        </w:rPr>
        <w:t>g)</w:t>
      </w:r>
      <w:r>
        <w:rPr>
          <w:noProof/>
        </w:rPr>
        <w:tab/>
        <w:t>információk arról, hogy az új pszichoaktív anyag értékelés alatt áll-e vagy korábban értékelés alatt állt-e az 1972. évi jegyzőkönyvvel módosított 1961. évi Egységes Kábítószer Egyezménnyel vagy a pszichotrop anyagokról szóló 1971. évi egyezménnyel létrehozott rendszerben (az ENSZ rendszere).</w:t>
      </w:r>
    </w:p>
    <w:p>
      <w:pPr>
        <w:ind w:left="850" w:hanging="850"/>
        <w:rPr>
          <w:rFonts w:eastAsia="Times New Roman"/>
          <w:noProof/>
          <w:szCs w:val="24"/>
        </w:rPr>
      </w:pPr>
      <w:r>
        <w:rPr>
          <w:noProof/>
        </w:rPr>
        <w:t>(3)</w:t>
      </w:r>
      <w:r>
        <w:rPr>
          <w:noProof/>
        </w:rPr>
        <w:tab/>
        <w:t>A bevezető jelentés céljaira a Megfigyelőközpont a már rendelkezésére álló információkat használja.</w:t>
      </w:r>
    </w:p>
    <w:p>
      <w:pPr>
        <w:ind w:left="850" w:hanging="850"/>
        <w:rPr>
          <w:rFonts w:eastAsia="Times New Roman"/>
          <w:noProof/>
          <w:szCs w:val="24"/>
        </w:rPr>
      </w:pPr>
      <w:r>
        <w:rPr>
          <w:noProof/>
        </w:rPr>
        <w:t>(4)</w:t>
      </w:r>
      <w:r>
        <w:rPr>
          <w:noProof/>
        </w:rPr>
        <w:tab/>
        <w:t>Amennyiben a Megfigyelőközpont szükségesnek ítéli, a Reitox nemzeti kapcsolattartó pontoktól az új pszichoaktív anyagról további tájékoztatást kér. A Reitox nemzeti kapcsolattartó pontok ezt az tájékoztatást a kérelem kézhezvételétől számított két héten belül megadják.</w:t>
      </w:r>
    </w:p>
    <w:p>
      <w:pPr>
        <w:ind w:left="850" w:hanging="850"/>
        <w:rPr>
          <w:rFonts w:eastAsia="Times New Roman"/>
          <w:noProof/>
          <w:szCs w:val="24"/>
        </w:rPr>
      </w:pPr>
      <w:r>
        <w:rPr>
          <w:noProof/>
        </w:rPr>
        <w:t>(5)</w:t>
      </w:r>
      <w:r>
        <w:rPr>
          <w:noProof/>
        </w:rPr>
        <w:tab/>
        <w:t>A Megfigyelőközpont tájékoztatást kér az Európai Gyógyszerügynökségtől arról, hogy az új pszichoaktív anyag az Unióban vagy valamelyik tagállamban:</w:t>
      </w:r>
    </w:p>
    <w:p>
      <w:pPr>
        <w:pStyle w:val="Point1"/>
        <w:rPr>
          <w:rFonts w:eastAsia="Times New Roman"/>
          <w:noProof/>
          <w:szCs w:val="24"/>
        </w:rPr>
      </w:pPr>
      <w:r>
        <w:rPr>
          <w:noProof/>
        </w:rPr>
        <w:t>a)</w:t>
      </w:r>
      <w:r>
        <w:rPr>
          <w:noProof/>
        </w:rPr>
        <w:tab/>
        <w:t>forgalombahozatali engedélyt kapott gyógyszer vagy állatgyógyászati készítmény hatóanyaga-e;</w:t>
      </w:r>
    </w:p>
    <w:p>
      <w:pPr>
        <w:numPr>
          <w:ilvl w:val="3"/>
          <w:numId w:val="0"/>
        </w:numPr>
        <w:tabs>
          <w:tab w:val="num" w:pos="1417"/>
        </w:tabs>
        <w:ind w:left="1417" w:hanging="567"/>
        <w:rPr>
          <w:rFonts w:eastAsia="Times New Roman"/>
          <w:noProof/>
          <w:szCs w:val="24"/>
        </w:rPr>
      </w:pPr>
      <w:r>
        <w:rPr>
          <w:noProof/>
        </w:rPr>
        <w:t>b)</w:t>
      </w:r>
      <w:r>
        <w:rPr>
          <w:noProof/>
        </w:rPr>
        <w:tab/>
        <w:t>forgalombahozatali engedély iránti kérelem tárgyát képező gyógyszer vagy állatgyógyászati készítmény hatóanyaga-e;</w:t>
      </w:r>
    </w:p>
    <w:p>
      <w:pPr>
        <w:numPr>
          <w:ilvl w:val="3"/>
          <w:numId w:val="0"/>
        </w:numPr>
        <w:tabs>
          <w:tab w:val="num" w:pos="1417"/>
        </w:tabs>
        <w:ind w:left="1417" w:hanging="567"/>
        <w:rPr>
          <w:rFonts w:eastAsia="Times New Roman"/>
          <w:noProof/>
          <w:szCs w:val="24"/>
        </w:rPr>
      </w:pPr>
      <w:r>
        <w:rPr>
          <w:noProof/>
        </w:rPr>
        <w:t>c)</w:t>
      </w:r>
      <w:r>
        <w:rPr>
          <w:noProof/>
        </w:rPr>
        <w:tab/>
        <w:t>forgalombahozatali engedélyt kapott gyógyszer vagy állatgyógyászati készítmény hatóanyaga-e, amennyiben a forgalombahozatali engedélyt az illetékes hatóság felfüggesztette;</w:t>
      </w:r>
    </w:p>
    <w:p>
      <w:pPr>
        <w:numPr>
          <w:ilvl w:val="3"/>
          <w:numId w:val="0"/>
        </w:numPr>
        <w:tabs>
          <w:tab w:val="num" w:pos="1417"/>
        </w:tabs>
        <w:ind w:left="1417" w:hanging="567"/>
        <w:rPr>
          <w:rFonts w:eastAsia="Times New Roman"/>
          <w:noProof/>
          <w:szCs w:val="24"/>
        </w:rPr>
      </w:pPr>
      <w:r>
        <w:rPr>
          <w:noProof/>
        </w:rPr>
        <w:t>d)</w:t>
      </w:r>
      <w:r>
        <w:rPr>
          <w:noProof/>
        </w:rPr>
        <w:tab/>
        <w:t>a 2001/83/EK európai parlamenti és tanácsi irányelv</w:t>
      </w:r>
      <w:r>
        <w:rPr>
          <w:rStyle w:val="FootnoteReference"/>
          <w:noProof/>
        </w:rPr>
        <w:footnoteReference w:id="17"/>
      </w:r>
      <w:r>
        <w:rPr>
          <w:noProof/>
        </w:rPr>
        <w:t xml:space="preserve"> 5. cikke szerinti engedély nélküli gyógyszer vagy a 2001/82/EK európai parlamenti és tanácsi irányelv</w:t>
      </w:r>
      <w:r>
        <w:rPr>
          <w:rStyle w:val="FootnoteReference"/>
          <w:noProof/>
        </w:rPr>
        <w:footnoteReference w:id="18"/>
      </w:r>
      <w:r>
        <w:rPr>
          <w:noProof/>
        </w:rPr>
        <w:t xml:space="preserve"> 10. cikke (1) bekezdésének c) pontja szerint egy, a nemzeti jogszabályok értelmében erre képesítéssel rendelkező személy által helyben, állatorvosi rendelvényre készített állatgyógyászati készítmény hatóanyaga-e;</w:t>
      </w:r>
    </w:p>
    <w:p>
      <w:pPr>
        <w:numPr>
          <w:ilvl w:val="3"/>
          <w:numId w:val="0"/>
        </w:numPr>
        <w:tabs>
          <w:tab w:val="num" w:pos="1417"/>
        </w:tabs>
        <w:ind w:left="1417" w:hanging="567"/>
        <w:rPr>
          <w:rFonts w:eastAsia="Times New Roman"/>
          <w:noProof/>
          <w:szCs w:val="24"/>
        </w:rPr>
      </w:pPr>
      <w:r>
        <w:rPr>
          <w:noProof/>
        </w:rPr>
        <w:t>e)</w:t>
      </w:r>
      <w:r>
        <w:rPr>
          <w:noProof/>
        </w:rPr>
        <w:tab/>
        <w:t>a 2001/20/EK európai parlamenti és tanácsi irányelv</w:t>
      </w:r>
      <w:r>
        <w:rPr>
          <w:rStyle w:val="FootnoteReference"/>
          <w:noProof/>
        </w:rPr>
        <w:footnoteReference w:id="19"/>
      </w:r>
      <w:r>
        <w:rPr>
          <w:noProof/>
        </w:rPr>
        <w:t xml:space="preserve"> 2. cikkének d) pontja szerint engedélyezett klinikai vizsgálatok és vizsgálati készítmények hatóanyaga-e.</w:t>
      </w:r>
    </w:p>
    <w:p>
      <w:pPr>
        <w:ind w:left="850" w:hanging="850"/>
        <w:rPr>
          <w:rFonts w:eastAsia="Times New Roman"/>
          <w:noProof/>
          <w:szCs w:val="24"/>
        </w:rPr>
      </w:pPr>
      <w:r>
        <w:rPr>
          <w:noProof/>
        </w:rPr>
        <w:t>(6)</w:t>
      </w:r>
      <w:r>
        <w:rPr>
          <w:noProof/>
        </w:rPr>
        <w:tab/>
        <w:t>A Megfigyelőközpont tájékoztatást kér az Europoltól a bűnözői csoportoknak az új pszichoaktív anyag előállításában és forgalmazásában való részvételéről, valamint az új pszichoaktív anyag bármilyen felhasználásáról.</w:t>
      </w:r>
    </w:p>
    <w:p>
      <w:pPr>
        <w:ind w:left="850" w:hanging="850"/>
        <w:rPr>
          <w:rFonts w:eastAsia="Times New Roman"/>
          <w:noProof/>
          <w:szCs w:val="24"/>
        </w:rPr>
      </w:pPr>
      <w:r>
        <w:rPr>
          <w:noProof/>
        </w:rPr>
        <w:t>(7)</w:t>
      </w:r>
      <w:r>
        <w:rPr>
          <w:noProof/>
        </w:rPr>
        <w:tab/>
        <w:t>A Megfigyelőközpont tájékoztatást és a rendelkezésre álló adatok továbbítását kéri az Európai Vegyianyag-ügynökségtől és az Európai Élelmiszerbiztonsági Hatóságtól az új pszichoaktív anyagokról.</w:t>
      </w:r>
    </w:p>
    <w:p>
      <w:pPr>
        <w:ind w:left="850" w:hanging="850"/>
        <w:rPr>
          <w:rFonts w:eastAsia="Times New Roman"/>
          <w:noProof/>
          <w:szCs w:val="24"/>
        </w:rPr>
      </w:pPr>
      <w:r>
        <w:rPr>
          <w:noProof/>
        </w:rPr>
        <w:t>(8)</w:t>
      </w:r>
      <w:r>
        <w:rPr>
          <w:noProof/>
        </w:rPr>
        <w:tab/>
        <w:t>A Megfigyelőközpont és az (5), (6) és (7) bekezdésben említett szervek és ügynökségek közötti együttműködés részleteit munkamegállapodások szabályozzák. A munkamegállapodásokat a 20. cikk második bekezdése szerint kell megkötni.</w:t>
      </w:r>
    </w:p>
    <w:p>
      <w:pPr>
        <w:ind w:left="850" w:hanging="850"/>
        <w:rPr>
          <w:rFonts w:eastAsia="Times New Roman"/>
          <w:noProof/>
          <w:szCs w:val="24"/>
        </w:rPr>
      </w:pPr>
      <w:r>
        <w:rPr>
          <w:noProof/>
        </w:rPr>
        <w:t>(9)</w:t>
      </w:r>
      <w:r>
        <w:rPr>
          <w:noProof/>
        </w:rPr>
        <w:tab/>
        <w:t>A Megfigyelőközpont tiszteletben tartja a vele közölt információk felhasználásának feltételeit, beleértve az információ- és adatbiztonságra, valamint a bizalmas üzleti információk védelmére vonatkozó feltételeket.</w:t>
      </w:r>
    </w:p>
    <w:p>
      <w:pPr>
        <w:ind w:left="850" w:hanging="850"/>
        <w:rPr>
          <w:rFonts w:eastAsia="Times New Roman"/>
          <w:noProof/>
          <w:szCs w:val="24"/>
        </w:rPr>
      </w:pPr>
      <w:r>
        <w:rPr>
          <w:noProof/>
        </w:rPr>
        <w:t>(10)</w:t>
      </w:r>
      <w:r>
        <w:rPr>
          <w:noProof/>
        </w:rPr>
        <w:tab/>
        <w:t>A Megfigyelőközpont a bevezető jelentést az (5), (6) és (7) bekezdésben említett tájékoztatási kérelemtől számított öt héten belül benyújtja a Bizottságnak és a Tanácsnak.</w:t>
      </w:r>
    </w:p>
    <w:p>
      <w:pPr>
        <w:ind w:left="850" w:hanging="850"/>
        <w:rPr>
          <w:rFonts w:eastAsia="Times New Roman"/>
          <w:noProof/>
          <w:szCs w:val="24"/>
        </w:rPr>
      </w:pPr>
      <w:r>
        <w:rPr>
          <w:noProof/>
        </w:rPr>
        <w:t>(11)</w:t>
      </w:r>
      <w:r>
        <w:rPr>
          <w:noProof/>
        </w:rPr>
        <w:tab/>
        <w:t>Amennyiben a Megfigyelőközpont több hasonló kémiai szerkezetű új pszichoaktív anyagról gyűjt információkat, a bevezető jelentés elindításától számított hat héten belül egyedi bevezető jelentéseket vagy több új pszichoaktív anyagról szóló összesített bevezető jelentést nyújt be a Bizottságnak és a Tanácsnak, feltéve, hogy az egyes új pszichoaktív anyagok jellemzői egyértelműen meghatározottak.</w:t>
      </w:r>
    </w:p>
    <w:p>
      <w:pPr>
        <w:rPr>
          <w:rFonts w:eastAsia="Times New Roman"/>
          <w:noProof/>
          <w:szCs w:val="24"/>
        </w:rPr>
      </w:pPr>
    </w:p>
    <w:p>
      <w:pPr>
        <w:pStyle w:val="Titrearticle"/>
        <w:rPr>
          <w:noProof/>
        </w:rPr>
      </w:pPr>
      <w:r>
        <w:rPr>
          <w:noProof/>
        </w:rPr>
        <w:t>5c. cikk</w:t>
      </w:r>
    </w:p>
    <w:p>
      <w:pPr>
        <w:keepNext/>
        <w:spacing w:before="0"/>
        <w:jc w:val="center"/>
        <w:rPr>
          <w:rFonts w:eastAsia="Times New Roman"/>
          <w:b/>
          <w:noProof/>
          <w:szCs w:val="24"/>
        </w:rPr>
      </w:pPr>
      <w:r>
        <w:rPr>
          <w:b/>
          <w:noProof/>
        </w:rPr>
        <w:t>Kockázatértékelési eljárás és jelentés</w:t>
      </w:r>
    </w:p>
    <w:p>
      <w:pPr>
        <w:ind w:left="850" w:hanging="850"/>
        <w:rPr>
          <w:rFonts w:eastAsia="Times New Roman"/>
          <w:noProof/>
          <w:szCs w:val="24"/>
        </w:rPr>
      </w:pPr>
      <w:r>
        <w:rPr>
          <w:noProof/>
        </w:rPr>
        <w:t>(1)</w:t>
      </w:r>
      <w:r>
        <w:rPr>
          <w:noProof/>
        </w:rPr>
        <w:tab/>
        <w:t>A Bizottság az 5b. cikk (10) bekezdésében említett bevezető jelentés kézhezvételétől számított két héten belül felkérheti a Megfigyelőközpontot az új pszichoaktív anyag potenciális kockázatainak értékelésére és kockázatértékelési jelentés elkészítésére. A kockázatértékelést a tudományos bizottság folytatja le.</w:t>
      </w:r>
    </w:p>
    <w:p>
      <w:pPr>
        <w:ind w:left="850" w:hanging="850"/>
        <w:rPr>
          <w:rFonts w:eastAsia="Times New Roman"/>
          <w:noProof/>
          <w:szCs w:val="24"/>
        </w:rPr>
      </w:pPr>
      <w:r>
        <w:rPr>
          <w:noProof/>
        </w:rPr>
        <w:t>(2)</w:t>
      </w:r>
      <w:r>
        <w:rPr>
          <w:noProof/>
        </w:rPr>
        <w:tab/>
        <w:t>A Bizottság az 5b. cikk (11) bekezdésében említett összesített bevezető jelentés kézhezvételétől számított két héten belül felkérheti a Megfigyelőközpontot a hasonló kémiai szerkezetű új pszichoaktív anyagok potenciális kockázatainak értékelésére és összesített kockázatértékelési jelentés elkészítésére. Az összesített kockázatértékelést a Megfigyelőközpontot tudományos bizottsága folytatja le.</w:t>
      </w:r>
    </w:p>
    <w:p>
      <w:pPr>
        <w:ind w:left="850" w:hanging="850"/>
        <w:rPr>
          <w:rFonts w:eastAsia="Times New Roman"/>
          <w:noProof/>
          <w:szCs w:val="24"/>
        </w:rPr>
      </w:pPr>
      <w:r>
        <w:rPr>
          <w:noProof/>
        </w:rPr>
        <w:t>(3)</w:t>
      </w:r>
      <w:r>
        <w:rPr>
          <w:noProof/>
        </w:rPr>
        <w:tab/>
        <w:t>A kockázatértékelési jelentés vagy az összesített kockázatértékelési jelentés a következőket tartalmazza:</w:t>
      </w:r>
    </w:p>
    <w:p>
      <w:pPr>
        <w:pStyle w:val="Point1"/>
        <w:rPr>
          <w:rFonts w:eastAsia="Times New Roman"/>
          <w:noProof/>
          <w:szCs w:val="24"/>
        </w:rPr>
      </w:pPr>
      <w:r>
        <w:rPr>
          <w:noProof/>
        </w:rPr>
        <w:t>a)</w:t>
      </w:r>
      <w:r>
        <w:rPr>
          <w:noProof/>
        </w:rPr>
        <w:tab/>
        <w:t>az új pszichoaktív anyag kémiai és fizikai jellemzőire, továbbá az előállításához vagy kivonásához használt módszerekre és prekurzorokra vonatkozó információk;</w:t>
      </w:r>
    </w:p>
    <w:p>
      <w:pPr>
        <w:pStyle w:val="Point1"/>
        <w:rPr>
          <w:rFonts w:eastAsia="Times New Roman"/>
          <w:noProof/>
          <w:szCs w:val="24"/>
        </w:rPr>
      </w:pPr>
      <w:r>
        <w:rPr>
          <w:noProof/>
        </w:rPr>
        <w:t>b)</w:t>
      </w:r>
      <w:r>
        <w:rPr>
          <w:noProof/>
        </w:rPr>
        <w:tab/>
        <w:t>az új pszichoaktív anyag gyógyszerészeti és toxikológiai jellemzőire vonatkozó információk;</w:t>
      </w:r>
    </w:p>
    <w:p>
      <w:pPr>
        <w:pStyle w:val="Point1"/>
        <w:rPr>
          <w:rFonts w:eastAsia="Times New Roman"/>
          <w:noProof/>
          <w:szCs w:val="24"/>
        </w:rPr>
      </w:pPr>
      <w:r>
        <w:rPr>
          <w:noProof/>
        </w:rPr>
        <w:t>c)</w:t>
      </w:r>
      <w:r>
        <w:rPr>
          <w:noProof/>
        </w:rPr>
        <w:tab/>
        <w:t>az új pszichoaktív anyaghoz kapcsolódó egészségügyi kockázatok elemzése, különös tekintettel az anyag akut és krónikus toxicitására, az anyaggal való visszaélés valószínűségére, a függőség kialakulásának valószínűségére és az anyag fizikai, szellemi és viselkedési hatásaira;</w:t>
      </w:r>
    </w:p>
    <w:p>
      <w:pPr>
        <w:pStyle w:val="Point1"/>
        <w:rPr>
          <w:noProof/>
        </w:rPr>
      </w:pPr>
      <w:r>
        <w:rPr>
          <w:noProof/>
        </w:rPr>
        <w:t>d)</w:t>
      </w:r>
      <w:r>
        <w:rPr>
          <w:noProof/>
        </w:rPr>
        <w:tab/>
        <w:t>az új pszichoaktív anyaghoz kapcsolódó társadalmi kockázatok elemzése, különös tekintettel az anyagnak a társadalom működésére, a közrendre és a bűnözői tevékenységekre gyakorolt hatására, valamint a bűnözői csoportoknak az új pszichoaktív anyag előállításában és forgalmazásában való részvételére;</w:t>
      </w:r>
    </w:p>
    <w:p>
      <w:pPr>
        <w:pStyle w:val="Point1"/>
        <w:rPr>
          <w:rFonts w:eastAsia="Times New Roman"/>
          <w:noProof/>
          <w:szCs w:val="24"/>
        </w:rPr>
      </w:pPr>
      <w:r>
        <w:rPr>
          <w:noProof/>
        </w:rPr>
        <w:t>e)</w:t>
      </w:r>
      <w:r>
        <w:rPr>
          <w:noProof/>
        </w:rPr>
        <w:tab/>
        <w:t>az új pszichoaktív anyag előfordulási gyakoriságára és használati mintázataira, elérhetőségére és az Unióban való terjesztésének lehetőségére vonatkozó információk;</w:t>
      </w:r>
    </w:p>
    <w:p>
      <w:pPr>
        <w:pStyle w:val="Point1"/>
        <w:rPr>
          <w:rFonts w:eastAsia="Times New Roman"/>
          <w:noProof/>
          <w:szCs w:val="24"/>
        </w:rPr>
      </w:pPr>
      <w:r>
        <w:rPr>
          <w:noProof/>
        </w:rPr>
        <w:t>f)</w:t>
      </w:r>
      <w:r>
        <w:rPr>
          <w:noProof/>
        </w:rPr>
        <w:tab/>
        <w:t>az új pszichoaktív anyag kereskedelmi és ipari felhasználására, e felhasználás mértékére, valamint tudományos kutatási és fejlesztési célú felhasználására vonatkozó információk.</w:t>
      </w:r>
    </w:p>
    <w:p>
      <w:pPr>
        <w:ind w:left="850" w:hanging="850"/>
        <w:rPr>
          <w:rFonts w:eastAsia="Times New Roman"/>
          <w:noProof/>
          <w:szCs w:val="24"/>
        </w:rPr>
      </w:pPr>
      <w:r>
        <w:rPr>
          <w:noProof/>
        </w:rPr>
        <w:t>(4)</w:t>
      </w:r>
      <w:r>
        <w:rPr>
          <w:noProof/>
        </w:rPr>
        <w:tab/>
        <w:t>A tudományos bizottság értékeli az új pszichoaktív anyag vagy új pszichoaktív anyagcsoport kockázatait. Ha az igazgató a tudományos bizottság elnökének tanácsára szükségesnek ítéli, a bizottság kiegészíthető az új pszichoaktív anyagok kockázatainak kiegyensúlyozott értékelésének biztosítása szempontjából jelentős tudományos területeket képviselő szakértőkkel. Ezeket az igazgató szakértői listáról nevezi ki. A szakértői listát az igazgatóság háromévente hagyja jóvá.</w:t>
      </w:r>
    </w:p>
    <w:p>
      <w:pPr>
        <w:ind w:left="850"/>
        <w:rPr>
          <w:rFonts w:eastAsia="Times New Roman"/>
          <w:noProof/>
          <w:szCs w:val="24"/>
        </w:rPr>
      </w:pPr>
      <w:r>
        <w:rPr>
          <w:noProof/>
        </w:rPr>
        <w:t>A Bizottság, a Megfigyelőközpont, az Europol és az Európai Gyógyszerügynökség jogosult két-két megfigyelőt nevezni.</w:t>
      </w:r>
    </w:p>
    <w:p>
      <w:pPr>
        <w:ind w:left="850" w:hanging="850"/>
        <w:rPr>
          <w:rFonts w:eastAsia="Times New Roman"/>
          <w:noProof/>
          <w:szCs w:val="24"/>
        </w:rPr>
      </w:pPr>
      <w:r>
        <w:rPr>
          <w:noProof/>
        </w:rPr>
        <w:t>(5)</w:t>
      </w:r>
      <w:r>
        <w:rPr>
          <w:noProof/>
        </w:rPr>
        <w:tab/>
        <w:t>A tudományos bizottság a kockázatértékelést a rendelkezésre álló információk és egyéb érintett tudományos eredmények alapján folytatja le. Ennek során figyelembe veszi tagjai véleményét. A kockázatértékelési folyamatot a Megfigyelőközpont szervezi meg, beleértve a jövőbeni információs igények és az érintett tanulmányok körének meghatározását is.</w:t>
      </w:r>
    </w:p>
    <w:p>
      <w:pPr>
        <w:ind w:left="850" w:hanging="850"/>
        <w:rPr>
          <w:rFonts w:eastAsia="Times New Roman"/>
          <w:noProof/>
          <w:szCs w:val="24"/>
        </w:rPr>
      </w:pPr>
      <w:r>
        <w:rPr>
          <w:noProof/>
        </w:rPr>
        <w:t>(6)</w:t>
      </w:r>
      <w:r>
        <w:rPr>
          <w:noProof/>
        </w:rPr>
        <w:tab/>
        <w:t>A kockázatértékelési jelentést a Megfigyelőközpont a bizottsági kérelem kézhezvételétől számított hat héten belül benyújtja a Bizottságnak.</w:t>
      </w:r>
    </w:p>
    <w:p>
      <w:pPr>
        <w:ind w:left="850" w:hanging="850"/>
        <w:rPr>
          <w:rFonts w:eastAsia="Times New Roman"/>
          <w:noProof/>
          <w:szCs w:val="24"/>
        </w:rPr>
      </w:pPr>
      <w:r>
        <w:rPr>
          <w:noProof/>
        </w:rPr>
        <w:t>(7)</w:t>
      </w:r>
      <w:r>
        <w:rPr>
          <w:noProof/>
        </w:rPr>
        <w:tab/>
        <w:t>A Bizottság a Megfigyelőközpont indokolt kérelmére további kutatás vagy adatgyűjtés céljából meghosszabbíthatja a kockázatértékeléshez vagy összesített kockázatértékeléshez rendelkezésre álló időszakot. A Megfigyelőközpont által benyújtott kérelem tartalmazza a kockázatértékelés vagy összesített kockázatértékelés befejezéséhez szükséges időtartamra vonatkozó információkat.</w:t>
      </w:r>
    </w:p>
    <w:p>
      <w:pPr>
        <w:rPr>
          <w:rFonts w:eastAsia="Times New Roman"/>
          <w:noProof/>
          <w:szCs w:val="24"/>
        </w:rPr>
      </w:pPr>
    </w:p>
    <w:p>
      <w:pPr>
        <w:pStyle w:val="Titrearticle"/>
        <w:rPr>
          <w:noProof/>
        </w:rPr>
      </w:pPr>
      <w:r>
        <w:rPr>
          <w:noProof/>
        </w:rPr>
        <w:t>5d. cikk</w:t>
      </w:r>
    </w:p>
    <w:p>
      <w:pPr>
        <w:keepNext/>
        <w:spacing w:before="0"/>
        <w:jc w:val="center"/>
        <w:rPr>
          <w:rFonts w:eastAsia="Times New Roman"/>
          <w:b/>
          <w:noProof/>
          <w:szCs w:val="24"/>
        </w:rPr>
      </w:pPr>
      <w:r>
        <w:rPr>
          <w:b/>
          <w:noProof/>
        </w:rPr>
        <w:t>Kizárás a kockázatértékelés köréből</w:t>
      </w:r>
    </w:p>
    <w:p>
      <w:pPr>
        <w:ind w:left="850" w:hanging="850"/>
        <w:rPr>
          <w:rFonts w:eastAsia="Times New Roman"/>
          <w:noProof/>
          <w:szCs w:val="24"/>
        </w:rPr>
      </w:pPr>
      <w:r>
        <w:rPr>
          <w:noProof/>
        </w:rPr>
        <w:t>(1)</w:t>
      </w:r>
      <w:r>
        <w:rPr>
          <w:noProof/>
        </w:rPr>
        <w:tab/>
        <w:t>Nem kell kockázatértékelést végezni, amennyiben az új pszichoaktív anyagnak az ENSZ rendszerében történő értékelése előrehaladott szakaszban jár, azaz ha az Egészségügyi Világszervezet kábítószer-függőségi szakértői bizottsága közzétette kritikus értékelését és írásos ajánlását, kivéve, ha olyan új vagy az Unió számára különleges jelentőséggel bíró jelentős információ merül fel, amelyet az ENSZ rendszerében nem vettek figyelembe.</w:t>
      </w:r>
    </w:p>
    <w:p>
      <w:pPr>
        <w:ind w:left="850" w:hanging="850"/>
        <w:rPr>
          <w:rFonts w:eastAsia="Times New Roman"/>
          <w:noProof/>
          <w:szCs w:val="24"/>
        </w:rPr>
      </w:pPr>
      <w:r>
        <w:rPr>
          <w:noProof/>
        </w:rPr>
        <w:t>(2)</w:t>
      </w:r>
      <w:r>
        <w:rPr>
          <w:noProof/>
        </w:rPr>
        <w:tab/>
        <w:t>Nem kell kockázatértékelést végezni, amennyiben az új pszichoaktív anyag értékelésre került az ENSZ rendszerében, de nem került besorolásra az 1972. évi jegyzőkönyvvel módosított 1961. évi Egységes Kábítószer Egyezmény vagy a pszichotrop anyagokról szóló 1971. évi egyezmény hatálya alá, kivéve, ha új vagy az Unió számára különleges jelentőséggel bíró jelentős információ merül fel.</w:t>
      </w:r>
    </w:p>
    <w:p>
      <w:pPr>
        <w:ind w:left="850" w:hanging="850"/>
        <w:rPr>
          <w:rFonts w:eastAsia="Times New Roman"/>
          <w:noProof/>
          <w:szCs w:val="24"/>
        </w:rPr>
      </w:pPr>
      <w:r>
        <w:rPr>
          <w:noProof/>
        </w:rPr>
        <w:t>(3)</w:t>
      </w:r>
      <w:r>
        <w:rPr>
          <w:noProof/>
        </w:rPr>
        <w:tab/>
        <w:t>Nem kell kockázatértékelést végezni, amennyiben az új pszichoaktív anyag:</w:t>
      </w:r>
    </w:p>
    <w:p>
      <w:pPr>
        <w:pStyle w:val="Point1"/>
        <w:rPr>
          <w:rFonts w:eastAsia="Times New Roman"/>
          <w:noProof/>
          <w:szCs w:val="24"/>
        </w:rPr>
      </w:pPr>
      <w:r>
        <w:rPr>
          <w:noProof/>
        </w:rPr>
        <w:t>a)</w:t>
      </w:r>
      <w:r>
        <w:rPr>
          <w:noProof/>
        </w:rPr>
        <w:tab/>
        <w:t>forgalombahozatali engedélyt kapott gyógyszer vagy állatgyógyászati készítmény hatóanyaga;</w:t>
      </w:r>
    </w:p>
    <w:p>
      <w:pPr>
        <w:numPr>
          <w:ilvl w:val="3"/>
          <w:numId w:val="0"/>
        </w:numPr>
        <w:tabs>
          <w:tab w:val="num" w:pos="1417"/>
        </w:tabs>
        <w:ind w:left="1417" w:hanging="567"/>
        <w:rPr>
          <w:rFonts w:eastAsia="Times New Roman"/>
          <w:noProof/>
          <w:szCs w:val="24"/>
        </w:rPr>
      </w:pPr>
      <w:r>
        <w:rPr>
          <w:noProof/>
        </w:rPr>
        <w:t xml:space="preserve">b) </w:t>
      </w:r>
      <w:r>
        <w:rPr>
          <w:noProof/>
        </w:rPr>
        <w:tab/>
        <w:t>forgalombahozatali engedély iránti kérelem tárgyát képező gyógyszer vagy állatgyógyászati készítmény hatóanyaga;</w:t>
      </w:r>
    </w:p>
    <w:p>
      <w:pPr>
        <w:numPr>
          <w:ilvl w:val="3"/>
          <w:numId w:val="0"/>
        </w:numPr>
        <w:tabs>
          <w:tab w:val="num" w:pos="1417"/>
        </w:tabs>
        <w:ind w:left="1417" w:hanging="567"/>
        <w:rPr>
          <w:rFonts w:eastAsia="Times New Roman"/>
          <w:noProof/>
          <w:szCs w:val="24"/>
        </w:rPr>
      </w:pPr>
      <w:r>
        <w:rPr>
          <w:noProof/>
        </w:rPr>
        <w:t>c)</w:t>
      </w:r>
      <w:r>
        <w:rPr>
          <w:noProof/>
        </w:rPr>
        <w:tab/>
        <w:t>forgalombahozatali engedélyt kapott gyógyszer vagy állatgyógyászati készítmény hatóanyaga, amennyiben a forgalombahozatali engedélyt az illetékes hatóság felfüggesztette, de vissza még nem vonta;</w:t>
      </w:r>
    </w:p>
    <w:p>
      <w:pPr>
        <w:numPr>
          <w:ilvl w:val="3"/>
          <w:numId w:val="0"/>
        </w:numPr>
        <w:tabs>
          <w:tab w:val="num" w:pos="1417"/>
        </w:tabs>
        <w:ind w:left="1417" w:hanging="567"/>
        <w:rPr>
          <w:rFonts w:eastAsia="Times New Roman"/>
          <w:noProof/>
          <w:szCs w:val="24"/>
        </w:rPr>
      </w:pPr>
      <w:r>
        <w:rPr>
          <w:noProof/>
        </w:rPr>
        <w:t>d)</w:t>
      </w:r>
      <w:r>
        <w:rPr>
          <w:noProof/>
        </w:rPr>
        <w:tab/>
        <w:t>engedélyezett klinikai vizsgálatok és vizsgálati készítmények hatóanyaga.”</w:t>
      </w:r>
    </w:p>
    <w:p>
      <w:pPr>
        <w:rPr>
          <w:noProof/>
        </w:rPr>
      </w:pPr>
    </w:p>
    <w:p>
      <w:pPr>
        <w:rPr>
          <w:noProof/>
        </w:rPr>
      </w:pPr>
      <w:r>
        <w:rPr>
          <w:noProof/>
        </w:rPr>
        <w:t>4. A 13. cikk (2) bekezdésének negyedik albekezdése helyébe a következő szöveg lép:</w:t>
      </w:r>
    </w:p>
    <w:p>
      <w:pPr>
        <w:rPr>
          <w:noProof/>
        </w:rPr>
      </w:pPr>
    </w:p>
    <w:p>
      <w:pPr>
        <w:rPr>
          <w:noProof/>
        </w:rPr>
      </w:pPr>
      <w:r>
        <w:rPr>
          <w:noProof/>
        </w:rPr>
        <w:t>„A pszichoaktív anyag vagy új pszichoaktív anyagcsoport kockázatainak értékelése céljából a tudományos bizottság az 5c. cikk (4) bekezdésében előírt eljárás szerint kibővíthető.”</w:t>
      </w:r>
    </w:p>
    <w:p>
      <w:pPr>
        <w:jc w:val="left"/>
        <w:outlineLvl w:val="0"/>
        <w:rPr>
          <w:rFonts w:eastAsia="Times New Roman"/>
          <w:noProof/>
          <w:szCs w:val="24"/>
        </w:rPr>
      </w:pPr>
    </w:p>
    <w:p>
      <w:pPr>
        <w:pStyle w:val="Titrearticle"/>
        <w:rPr>
          <w:noProof/>
        </w:rPr>
      </w:pPr>
      <w:r>
        <w:rPr>
          <w:noProof/>
        </w:rPr>
        <w:t>2. cikk</w:t>
      </w:r>
    </w:p>
    <w:p>
      <w:pPr>
        <w:rPr>
          <w:noProof/>
        </w:rPr>
      </w:pPr>
      <w:r>
        <w:rPr>
          <w:noProof/>
        </w:rPr>
        <w:t>Ez a rendelet [a[z] [tiltott kábítószer-kereskedelem területén a bűncselekmények tényállási elemeire és a büntetésekre vonatkozó minimumszabályok megállapításáról szóló, 2004. október 25-i 2004/757/IB tanácsi kerethatározat módosításáról szóló] (EU) .../... irányelv átültetésének napjával azonos napon] lép hatályba.</w:t>
      </w:r>
    </w:p>
    <w:p>
      <w:pPr>
        <w:pStyle w:val="Applicationdirecte"/>
        <w:rPr>
          <w:noProof/>
        </w:rPr>
      </w:pPr>
      <w:r>
        <w:rPr>
          <w:noProof/>
        </w:rPr>
        <w:t>Ez a rendelet teljes egészében kötelező és közvetlenül alkalmazandó valamennyi tagállamban.</w:t>
      </w:r>
    </w:p>
    <w:p>
      <w:pPr>
        <w:pStyle w:val="Fait"/>
        <w:rPr>
          <w:noProof/>
        </w:rPr>
      </w:pPr>
      <w:r>
        <w:rPr>
          <w:noProof/>
        </w:rPr>
        <w:t xml:space="preserve">Kelt Brüsszelben, </w:t>
      </w:r>
    </w:p>
    <w:p>
      <w:pPr>
        <w:pStyle w:val="Institutionquisigne"/>
        <w:rPr>
          <w:noProof/>
        </w:rPr>
      </w:pPr>
      <w:r>
        <w:rPr>
          <w:noProof/>
        </w:rPr>
        <w:t>az Európai Parlament részéről</w:t>
      </w:r>
      <w:r>
        <w:rPr>
          <w:noProof/>
        </w:rPr>
        <w:tab/>
        <w:t>a Tanács részéről</w:t>
      </w:r>
    </w:p>
    <w:p>
      <w:pPr>
        <w:pStyle w:val="Personnequisigne"/>
        <w:rPr>
          <w:noProof/>
        </w:rPr>
      </w:pPr>
      <w:r>
        <w:rPr>
          <w:noProof/>
        </w:rPr>
        <w:t>az elnök</w:t>
      </w:r>
      <w:r>
        <w:rPr>
          <w:noProof/>
        </w:rPr>
        <w:tab/>
        <w:t>az elnök</w:t>
      </w:r>
    </w:p>
    <w:p>
      <w:pPr>
        <w:rPr>
          <w:noProof/>
        </w:rPr>
        <w:sectPr>
          <w:footnotePr>
            <w:numRestart w:val="eachSect"/>
          </w:footnotePr>
          <w:pgSz w:w="11907" w:h="16839"/>
          <w:pgMar w:top="1134" w:right="1417" w:bottom="1134" w:left="1417" w:header="709" w:footer="709" w:gutter="0"/>
          <w:cols w:space="708"/>
          <w:docGrid w:linePitch="360"/>
        </w:sectPr>
      </w:pPr>
    </w:p>
    <w:p>
      <w:pPr>
        <w:pStyle w:val="Fichefinanciretitre"/>
        <w:rPr>
          <w:noProof/>
        </w:rPr>
      </w:pPr>
      <w:r>
        <w:rPr>
          <w:noProof/>
        </w:rPr>
        <w:t>PÉNZÜGYI KIMUTATÁS</w:t>
      </w:r>
    </w:p>
    <w:p>
      <w:pPr>
        <w:rPr>
          <w:noProof/>
        </w:rPr>
      </w:pPr>
      <w:r>
        <w:rPr>
          <w:noProof/>
        </w:rPr>
        <w:t>1.</w:t>
      </w:r>
      <w:r>
        <w:rPr>
          <w:noProof/>
        </w:rPr>
        <w:tab/>
        <w:t xml:space="preserve">A JAVASLAT/KEZDEMÉNYEZÉS FŐBB ADATAI </w:t>
      </w:r>
    </w:p>
    <w:p>
      <w:pPr>
        <w:keepNext/>
        <w:tabs>
          <w:tab w:val="left" w:pos="850"/>
        </w:tabs>
        <w:ind w:left="850" w:hanging="850"/>
        <w:outlineLvl w:val="1"/>
        <w:rPr>
          <w:noProof/>
        </w:rPr>
      </w:pPr>
      <w:r>
        <w:rPr>
          <w:noProof/>
        </w:rPr>
        <w:tab/>
        <w:t>1.1.</w:t>
      </w:r>
      <w:r>
        <w:rPr>
          <w:noProof/>
        </w:rPr>
        <w:tab/>
        <w:t xml:space="preserve">A javaslat/kezdeményezés címe </w:t>
      </w:r>
    </w:p>
    <w:p>
      <w:pPr>
        <w:keepNext/>
        <w:tabs>
          <w:tab w:val="left" w:pos="850"/>
        </w:tabs>
        <w:ind w:left="850" w:hanging="850"/>
        <w:outlineLvl w:val="1"/>
        <w:rPr>
          <w:noProof/>
        </w:rPr>
      </w:pPr>
      <w:r>
        <w:rPr>
          <w:noProof/>
        </w:rPr>
        <w:tab/>
        <w:t>1.2.</w:t>
      </w:r>
      <w:r>
        <w:rPr>
          <w:noProof/>
        </w:rPr>
        <w:tab/>
        <w:t>A tevékenységalapú irányítás /tevékenységalapú költségvetés-tervezés keretébe tartozó érintett szakpolitikai terület(ek)</w:t>
      </w:r>
    </w:p>
    <w:p>
      <w:pPr>
        <w:keepNext/>
        <w:tabs>
          <w:tab w:val="left" w:pos="850"/>
        </w:tabs>
        <w:ind w:left="850" w:hanging="850"/>
        <w:outlineLvl w:val="1"/>
        <w:rPr>
          <w:noProof/>
        </w:rPr>
      </w:pPr>
      <w:r>
        <w:rPr>
          <w:noProof/>
        </w:rPr>
        <w:tab/>
        <w:t>1.3.</w:t>
      </w:r>
      <w:r>
        <w:rPr>
          <w:noProof/>
        </w:rPr>
        <w:tab/>
        <w:t xml:space="preserve">A javaslat/kezdeményezés típusa </w:t>
      </w:r>
    </w:p>
    <w:p>
      <w:pPr>
        <w:keepNext/>
        <w:tabs>
          <w:tab w:val="left" w:pos="850"/>
        </w:tabs>
        <w:ind w:left="850" w:hanging="850"/>
        <w:outlineLvl w:val="1"/>
        <w:rPr>
          <w:noProof/>
        </w:rPr>
      </w:pPr>
      <w:r>
        <w:rPr>
          <w:noProof/>
        </w:rPr>
        <w:tab/>
        <w:t>1.4.</w:t>
      </w:r>
      <w:r>
        <w:rPr>
          <w:noProof/>
        </w:rPr>
        <w:tab/>
        <w:t xml:space="preserve">Célkitűzés(ek) </w:t>
      </w:r>
    </w:p>
    <w:p>
      <w:pPr>
        <w:keepNext/>
        <w:tabs>
          <w:tab w:val="left" w:pos="850"/>
        </w:tabs>
        <w:ind w:left="850" w:hanging="850"/>
        <w:outlineLvl w:val="1"/>
        <w:rPr>
          <w:noProof/>
        </w:rPr>
      </w:pPr>
      <w:r>
        <w:rPr>
          <w:noProof/>
        </w:rPr>
        <w:tab/>
        <w:t>1.5.</w:t>
      </w:r>
      <w:r>
        <w:rPr>
          <w:noProof/>
        </w:rPr>
        <w:tab/>
        <w:t xml:space="preserve">A javaslat/kezdeményezés indoklása </w:t>
      </w:r>
    </w:p>
    <w:p>
      <w:pPr>
        <w:keepNext/>
        <w:tabs>
          <w:tab w:val="left" w:pos="850"/>
        </w:tabs>
        <w:ind w:left="850" w:hanging="850"/>
        <w:outlineLvl w:val="1"/>
        <w:rPr>
          <w:noProof/>
        </w:rPr>
      </w:pPr>
      <w:r>
        <w:rPr>
          <w:noProof/>
        </w:rPr>
        <w:tab/>
        <w:t>1.6.</w:t>
      </w:r>
      <w:r>
        <w:rPr>
          <w:noProof/>
        </w:rPr>
        <w:tab/>
        <w:t xml:space="preserve">Az intézkedés és a pénzügyi hatás időtartama </w:t>
      </w:r>
    </w:p>
    <w:p>
      <w:pPr>
        <w:keepNext/>
        <w:tabs>
          <w:tab w:val="left" w:pos="850"/>
        </w:tabs>
        <w:ind w:left="850" w:hanging="850"/>
        <w:outlineLvl w:val="1"/>
        <w:rPr>
          <w:noProof/>
        </w:rPr>
      </w:pPr>
      <w:r>
        <w:rPr>
          <w:noProof/>
        </w:rPr>
        <w:tab/>
        <w:t>1.7.</w:t>
      </w:r>
      <w:r>
        <w:rPr>
          <w:noProof/>
        </w:rPr>
        <w:tab/>
        <w:t xml:space="preserve">Tervezett irányítási módszer(ek) </w:t>
      </w:r>
    </w:p>
    <w:p>
      <w:pPr>
        <w:keepNext/>
        <w:tabs>
          <w:tab w:val="left" w:pos="850"/>
        </w:tabs>
        <w:spacing w:before="360"/>
        <w:ind w:left="850" w:hanging="850"/>
        <w:outlineLvl w:val="0"/>
        <w:rPr>
          <w:b/>
          <w:smallCaps/>
          <w:noProof/>
        </w:rPr>
      </w:pPr>
      <w:r>
        <w:rPr>
          <w:b/>
          <w:smallCaps/>
          <w:noProof/>
        </w:rPr>
        <w:t>2.</w:t>
      </w:r>
      <w:r>
        <w:rPr>
          <w:noProof/>
        </w:rPr>
        <w:tab/>
      </w:r>
      <w:r>
        <w:rPr>
          <w:b/>
          <w:smallCaps/>
          <w:noProof/>
        </w:rPr>
        <w:t xml:space="preserve">IRÁNYÍTÁSI INTÉZKEDÉSEK </w:t>
      </w:r>
    </w:p>
    <w:p>
      <w:pPr>
        <w:keepNext/>
        <w:tabs>
          <w:tab w:val="left" w:pos="850"/>
        </w:tabs>
        <w:ind w:left="850" w:hanging="850"/>
        <w:outlineLvl w:val="1"/>
        <w:rPr>
          <w:noProof/>
        </w:rPr>
      </w:pPr>
      <w:r>
        <w:rPr>
          <w:noProof/>
        </w:rPr>
        <w:tab/>
        <w:t>2.1.</w:t>
      </w:r>
      <w:r>
        <w:rPr>
          <w:noProof/>
        </w:rPr>
        <w:tab/>
        <w:t xml:space="preserve">A nyomon követésre és a jelentéstételre vonatkozó rendelkezések </w:t>
      </w:r>
    </w:p>
    <w:p>
      <w:pPr>
        <w:keepNext/>
        <w:tabs>
          <w:tab w:val="left" w:pos="850"/>
        </w:tabs>
        <w:ind w:left="850" w:hanging="850"/>
        <w:outlineLvl w:val="1"/>
        <w:rPr>
          <w:noProof/>
        </w:rPr>
      </w:pPr>
      <w:r>
        <w:rPr>
          <w:noProof/>
        </w:rPr>
        <w:tab/>
        <w:t>2.2.</w:t>
      </w:r>
      <w:r>
        <w:rPr>
          <w:noProof/>
        </w:rPr>
        <w:tab/>
        <w:t xml:space="preserve">Irányítási és kontrollrendszer </w:t>
      </w:r>
    </w:p>
    <w:p>
      <w:pPr>
        <w:keepNext/>
        <w:tabs>
          <w:tab w:val="left" w:pos="850"/>
        </w:tabs>
        <w:ind w:left="850" w:hanging="850"/>
        <w:outlineLvl w:val="1"/>
        <w:rPr>
          <w:noProof/>
        </w:rPr>
      </w:pPr>
      <w:r>
        <w:rPr>
          <w:noProof/>
        </w:rPr>
        <w:tab/>
        <w:t>2.3.</w:t>
      </w:r>
      <w:r>
        <w:rPr>
          <w:noProof/>
        </w:rPr>
        <w:tab/>
        <w:t xml:space="preserve">A csalások és a szabálytalanságok megelőzésére vonatkozó intézkedések </w:t>
      </w:r>
    </w:p>
    <w:p>
      <w:pPr>
        <w:keepNext/>
        <w:tabs>
          <w:tab w:val="left" w:pos="850"/>
        </w:tabs>
        <w:spacing w:before="360"/>
        <w:ind w:left="850" w:hanging="850"/>
        <w:outlineLvl w:val="0"/>
        <w:rPr>
          <w:b/>
          <w:smallCaps/>
          <w:noProof/>
        </w:rPr>
      </w:pPr>
      <w:r>
        <w:rPr>
          <w:b/>
          <w:smallCaps/>
          <w:noProof/>
        </w:rPr>
        <w:t>3.</w:t>
      </w:r>
      <w:r>
        <w:rPr>
          <w:noProof/>
        </w:rPr>
        <w:tab/>
      </w:r>
      <w:r>
        <w:rPr>
          <w:b/>
          <w:smallCaps/>
          <w:noProof/>
        </w:rPr>
        <w:t xml:space="preserve">A JAVASLAT/KEZDEMÉNYEZÉS BECSÜLT PÉNZÜGYI HATÁSA </w:t>
      </w:r>
    </w:p>
    <w:p>
      <w:pPr>
        <w:keepNext/>
        <w:tabs>
          <w:tab w:val="left" w:pos="850"/>
        </w:tabs>
        <w:ind w:left="850" w:hanging="850"/>
        <w:outlineLvl w:val="1"/>
        <w:rPr>
          <w:noProof/>
        </w:rPr>
      </w:pPr>
      <w:r>
        <w:rPr>
          <w:noProof/>
        </w:rPr>
        <w:tab/>
        <w:t>3.1.</w:t>
      </w:r>
      <w:r>
        <w:rPr>
          <w:noProof/>
        </w:rPr>
        <w:tab/>
        <w:t xml:space="preserve">A többéves pénzügyi keret mely fejezetét/fejezeteit és a költségvetés mely kiadási tételét/tételeit érintik a kiadások? </w:t>
      </w:r>
    </w:p>
    <w:p>
      <w:pPr>
        <w:keepNext/>
        <w:tabs>
          <w:tab w:val="left" w:pos="850"/>
        </w:tabs>
        <w:ind w:left="850" w:hanging="850"/>
        <w:outlineLvl w:val="1"/>
        <w:rPr>
          <w:b/>
          <w:noProof/>
        </w:rPr>
      </w:pPr>
      <w:r>
        <w:rPr>
          <w:noProof/>
        </w:rPr>
        <w:tab/>
        <w:t>3.2.</w:t>
      </w:r>
      <w:r>
        <w:rPr>
          <w:noProof/>
        </w:rPr>
        <w:tab/>
        <w:t>A kiadásokra gyakorolt becsült hatás</w:t>
      </w:r>
      <w:r>
        <w:rPr>
          <w:b/>
          <w:noProof/>
        </w:rPr>
        <w:t xml:space="preserve"> </w:t>
      </w:r>
    </w:p>
    <w:p>
      <w:pPr>
        <w:keepNext/>
        <w:tabs>
          <w:tab w:val="left" w:pos="850"/>
        </w:tabs>
        <w:ind w:left="850" w:hanging="850"/>
        <w:outlineLvl w:val="2"/>
        <w:rPr>
          <w:i/>
          <w:noProof/>
        </w:rPr>
      </w:pPr>
      <w:r>
        <w:rPr>
          <w:noProof/>
        </w:rPr>
        <w:tab/>
      </w:r>
      <w:r>
        <w:rPr>
          <w:i/>
          <w:noProof/>
        </w:rPr>
        <w:t>3.2.1.</w:t>
      </w:r>
      <w:r>
        <w:rPr>
          <w:noProof/>
        </w:rPr>
        <w:tab/>
      </w:r>
      <w:r>
        <w:rPr>
          <w:i/>
          <w:noProof/>
        </w:rPr>
        <w:t xml:space="preserve">A kiadásokra gyakorolt becsült hatás összegzése </w:t>
      </w:r>
    </w:p>
    <w:p>
      <w:pPr>
        <w:keepNext/>
        <w:tabs>
          <w:tab w:val="left" w:pos="850"/>
        </w:tabs>
        <w:ind w:left="850" w:hanging="850"/>
        <w:outlineLvl w:val="2"/>
        <w:rPr>
          <w:i/>
          <w:noProof/>
        </w:rPr>
      </w:pPr>
      <w:r>
        <w:rPr>
          <w:noProof/>
        </w:rPr>
        <w:tab/>
      </w:r>
      <w:r>
        <w:rPr>
          <w:i/>
          <w:noProof/>
        </w:rPr>
        <w:t>3.2.2.</w:t>
      </w:r>
      <w:r>
        <w:rPr>
          <w:noProof/>
        </w:rPr>
        <w:tab/>
      </w:r>
      <w:r>
        <w:rPr>
          <w:i/>
          <w:noProof/>
        </w:rPr>
        <w:t xml:space="preserve">Az operatív előirányzatokra gyakorolt becsült hatás </w:t>
      </w:r>
    </w:p>
    <w:p>
      <w:pPr>
        <w:keepNext/>
        <w:tabs>
          <w:tab w:val="left" w:pos="850"/>
        </w:tabs>
        <w:ind w:left="850" w:hanging="850"/>
        <w:outlineLvl w:val="2"/>
        <w:rPr>
          <w:i/>
          <w:noProof/>
        </w:rPr>
      </w:pPr>
      <w:r>
        <w:rPr>
          <w:noProof/>
        </w:rPr>
        <w:tab/>
      </w:r>
      <w:r>
        <w:rPr>
          <w:i/>
          <w:noProof/>
        </w:rPr>
        <w:t>3.2.3.</w:t>
      </w:r>
      <w:r>
        <w:rPr>
          <w:noProof/>
        </w:rPr>
        <w:tab/>
      </w:r>
      <w:r>
        <w:rPr>
          <w:i/>
          <w:noProof/>
        </w:rPr>
        <w:t>Az igazgatási előirányzatokra gyakorolt becsült hatás</w:t>
      </w:r>
    </w:p>
    <w:p>
      <w:pPr>
        <w:keepNext/>
        <w:tabs>
          <w:tab w:val="left" w:pos="850"/>
        </w:tabs>
        <w:ind w:left="850" w:hanging="850"/>
        <w:outlineLvl w:val="2"/>
        <w:rPr>
          <w:i/>
          <w:noProof/>
        </w:rPr>
      </w:pPr>
      <w:r>
        <w:rPr>
          <w:noProof/>
        </w:rPr>
        <w:tab/>
      </w:r>
      <w:r>
        <w:rPr>
          <w:i/>
          <w:noProof/>
        </w:rPr>
        <w:t>3.2.4.</w:t>
      </w:r>
      <w:r>
        <w:rPr>
          <w:noProof/>
        </w:rPr>
        <w:tab/>
      </w:r>
      <w:r>
        <w:rPr>
          <w:i/>
          <w:noProof/>
        </w:rPr>
        <w:t>A jelenlegi többéves pénzügyi kerettel való összeegyeztethetőség</w:t>
      </w:r>
    </w:p>
    <w:p>
      <w:pPr>
        <w:keepNext/>
        <w:tabs>
          <w:tab w:val="left" w:pos="850"/>
        </w:tabs>
        <w:ind w:left="850" w:hanging="850"/>
        <w:outlineLvl w:val="2"/>
        <w:rPr>
          <w:i/>
          <w:noProof/>
        </w:rPr>
      </w:pPr>
      <w:r>
        <w:rPr>
          <w:noProof/>
        </w:rPr>
        <w:tab/>
      </w:r>
      <w:r>
        <w:rPr>
          <w:i/>
          <w:noProof/>
        </w:rPr>
        <w:t>3.2.5.</w:t>
      </w:r>
      <w:r>
        <w:rPr>
          <w:noProof/>
        </w:rPr>
        <w:tab/>
      </w:r>
      <w:r>
        <w:rPr>
          <w:i/>
          <w:noProof/>
        </w:rPr>
        <w:t xml:space="preserve">Harmadik felek részvétele a finanszírozásban </w:t>
      </w:r>
    </w:p>
    <w:p>
      <w:pPr>
        <w:keepNext/>
        <w:tabs>
          <w:tab w:val="left" w:pos="850"/>
        </w:tabs>
        <w:ind w:left="850" w:hanging="850"/>
        <w:jc w:val="left"/>
        <w:outlineLvl w:val="1"/>
        <w:rPr>
          <w:noProof/>
        </w:rPr>
        <w:sectPr>
          <w:pgSz w:w="11907" w:h="16840" w:code="9"/>
          <w:pgMar w:top="1134" w:right="1418" w:bottom="1134" w:left="1418" w:header="709" w:footer="709" w:gutter="0"/>
          <w:cols w:space="708"/>
          <w:docGrid w:linePitch="360"/>
        </w:sectPr>
      </w:pPr>
      <w:r>
        <w:rPr>
          <w:noProof/>
        </w:rPr>
        <w:tab/>
        <w:t>3.3.</w:t>
      </w:r>
      <w:r>
        <w:rPr>
          <w:noProof/>
        </w:rPr>
        <w:tab/>
        <w:t>A bevételre gyakorolt becsült pénzügyi hatás</w:t>
      </w:r>
    </w:p>
    <w:p>
      <w:pPr>
        <w:jc w:val="center"/>
        <w:rPr>
          <w:b/>
          <w:noProof/>
          <w:u w:val="single"/>
        </w:rPr>
      </w:pPr>
      <w:r>
        <w:rPr>
          <w:b/>
          <w:noProof/>
          <w:u w:val="single"/>
        </w:rPr>
        <w:t>PÉNZÜGYI KIMUTATÁS</w:t>
      </w:r>
    </w:p>
    <w:p>
      <w:pPr>
        <w:pStyle w:val="ManualNumPar1"/>
        <w:rPr>
          <w:noProof/>
        </w:rPr>
      </w:pPr>
      <w:r>
        <w:t>1.</w:t>
      </w:r>
      <w:r>
        <w:tab/>
      </w:r>
      <w:r>
        <w:rPr>
          <w:noProof/>
        </w:rPr>
        <w:t>A JAVASLAT/KEZDEMÉNYEZÉS FŐBB ADATAI</w:t>
      </w:r>
    </w:p>
    <w:p>
      <w:pPr>
        <w:pStyle w:val="ManualNumPar2"/>
        <w:rPr>
          <w:noProof/>
        </w:rPr>
      </w:pPr>
      <w:r>
        <w:t>1.1.</w:t>
      </w:r>
      <w:r>
        <w:tab/>
      </w:r>
      <w:r>
        <w:rPr>
          <w:noProof/>
        </w:rPr>
        <w:t>A javaslat/kezdeményezés címe</w:t>
      </w:r>
    </w:p>
    <w:p>
      <w:pPr>
        <w:pBdr>
          <w:top w:val="single" w:sz="4" w:space="1" w:color="auto"/>
          <w:left w:val="single" w:sz="4" w:space="4" w:color="auto"/>
          <w:bottom w:val="single" w:sz="4" w:space="1" w:color="auto"/>
          <w:right w:val="single" w:sz="4" w:space="4" w:color="auto"/>
        </w:pBdr>
        <w:ind w:left="850"/>
        <w:rPr>
          <w:noProof/>
        </w:rPr>
      </w:pPr>
      <w:r>
        <w:rPr>
          <w:noProof/>
        </w:rPr>
        <w:t>A Kábítószer és a Kábítószerfüggőség Európai Megfigyelőközpontjáról szóló, 2006. december 12-i 1920/2006/EK rendeletnek az új pszichoaktív anyagokra vonatkozó információcsere, riasztási rendszer és kockázatértékelési eljárás tekintetében történő módosításáról szóló európai parlamenti és tanácsi rendeletre irányuló javaslat</w:t>
      </w:r>
    </w:p>
    <w:p>
      <w:pPr>
        <w:pStyle w:val="ManualNumPar2"/>
        <w:rPr>
          <w:noProof/>
        </w:rPr>
      </w:pPr>
      <w:r>
        <w:t>1.2.</w:t>
      </w:r>
      <w:r>
        <w:tab/>
      </w:r>
      <w:r>
        <w:rPr>
          <w:noProof/>
        </w:rPr>
        <w:t>A tevékenységalapú irányítás /tevékenységalapú költségvetés-tervezés keretébe tartozó érintett szakpolitikai terület(ek)</w:t>
      </w:r>
      <w:r>
        <w:rPr>
          <w:rStyle w:val="FootnoteReference"/>
          <w:b/>
          <w:noProof/>
        </w:rPr>
        <w:footnoteReference w:id="20"/>
      </w:r>
    </w:p>
    <w:p>
      <w:pPr>
        <w:pBdr>
          <w:top w:val="single" w:sz="4" w:space="1" w:color="auto"/>
          <w:left w:val="single" w:sz="4" w:space="4" w:color="auto"/>
          <w:bottom w:val="single" w:sz="4" w:space="1" w:color="auto"/>
          <w:right w:val="single" w:sz="4" w:space="4" w:color="auto"/>
        </w:pBdr>
        <w:ind w:left="850"/>
        <w:rPr>
          <w:noProof/>
        </w:rPr>
      </w:pPr>
      <w:r>
        <w:rPr>
          <w:noProof/>
        </w:rPr>
        <w:t>18 – Migráció és belügy</w:t>
      </w:r>
    </w:p>
    <w:p>
      <w:pPr>
        <w:pStyle w:val="ManualNumPar2"/>
        <w:rPr>
          <w:noProof/>
        </w:rPr>
      </w:pPr>
      <w:r>
        <w:t>1.3.</w:t>
      </w:r>
      <w:r>
        <w:tab/>
      </w:r>
      <w:r>
        <w:rPr>
          <w:noProof/>
        </w:rPr>
        <w:t>A javaslat/kezdeményezés típusa</w:t>
      </w:r>
    </w:p>
    <w:p>
      <w:pPr>
        <w:ind w:left="850"/>
        <w:rPr>
          <w:b/>
          <w:noProof/>
          <w:sz w:val="22"/>
        </w:rPr>
      </w:pPr>
      <w:r>
        <w:rPr>
          <w:noProof/>
          <w:sz w:val="22"/>
        </w:rPr>
        <w:sym w:font="Wingdings" w:char="F0FD"/>
      </w:r>
      <w:r>
        <w:rPr>
          <w:b/>
          <w:i/>
          <w:noProof/>
          <w:sz w:val="22"/>
        </w:rPr>
        <w:t xml:space="preserve"> </w:t>
      </w:r>
      <w:r>
        <w:rPr>
          <w:noProof/>
        </w:rPr>
        <w:t xml:space="preserve">A javaslat/kezdeményezés </w:t>
      </w:r>
      <w:r>
        <w:rPr>
          <w:b/>
          <w:noProof/>
        </w:rPr>
        <w:t>az ügynökség hatáskörén belüli új intézkedésre (exponenciális növekedés) irányul</w:t>
      </w:r>
    </w:p>
    <w:p>
      <w:pPr>
        <w:ind w:left="850"/>
        <w:rPr>
          <w:noProof/>
          <w:sz w:val="22"/>
        </w:rPr>
      </w:pPr>
      <w:r>
        <w:rPr>
          <w:noProof/>
          <w:sz w:val="22"/>
        </w:rPr>
        <w:sym w:font="Wingdings" w:char="F0A8"/>
      </w:r>
      <w:r>
        <w:rPr>
          <w:i/>
          <w:noProof/>
          <w:sz w:val="22"/>
        </w:rPr>
        <w:t xml:space="preserve"> </w:t>
      </w:r>
      <w:r>
        <w:rPr>
          <w:noProof/>
        </w:rPr>
        <w:t xml:space="preserve">A javaslat/kezdeményezés </w:t>
      </w:r>
      <w:r>
        <w:rPr>
          <w:b/>
          <w:noProof/>
        </w:rPr>
        <w:t>kísérleti projektet / előkészítő intézkedést követő új intézkedésre</w:t>
      </w:r>
      <w:r>
        <w:rPr>
          <w:rStyle w:val="FootnoteReference"/>
          <w:noProof/>
        </w:rPr>
        <w:footnoteReference w:id="21"/>
      </w:r>
      <w:r>
        <w:rPr>
          <w:noProof/>
        </w:rPr>
        <w:t xml:space="preserve"> irányul</w:t>
      </w:r>
    </w:p>
    <w:p>
      <w:pPr>
        <w:ind w:left="850"/>
        <w:rPr>
          <w:noProof/>
          <w:sz w:val="22"/>
        </w:rPr>
      </w:pPr>
      <w:r>
        <w:rPr>
          <w:noProof/>
          <w:sz w:val="22"/>
        </w:rPr>
        <w:sym w:font="Wingdings" w:char="F0A8"/>
      </w:r>
      <w:r>
        <w:rPr>
          <w:i/>
          <w:noProof/>
          <w:sz w:val="22"/>
        </w:rPr>
        <w:t xml:space="preserve"> </w:t>
      </w:r>
      <w:r>
        <w:rPr>
          <w:noProof/>
        </w:rPr>
        <w:t xml:space="preserve">A javaslat/kezdeményezés </w:t>
      </w:r>
      <w:r>
        <w:rPr>
          <w:b/>
          <w:noProof/>
        </w:rPr>
        <w:t>jelenlegi intézkedés meghosszabbítására</w:t>
      </w:r>
      <w:r>
        <w:rPr>
          <w:noProof/>
        </w:rPr>
        <w:t xml:space="preserve"> irányul</w:t>
      </w:r>
    </w:p>
    <w:p>
      <w:pPr>
        <w:ind w:left="850"/>
        <w:rPr>
          <w:noProof/>
        </w:rPr>
      </w:pPr>
      <w:r>
        <w:rPr>
          <w:noProof/>
          <w:sz w:val="22"/>
        </w:rPr>
        <w:sym w:font="Wingdings" w:char="F0A8"/>
      </w:r>
      <w:r>
        <w:rPr>
          <w:i/>
          <w:noProof/>
          <w:sz w:val="22"/>
        </w:rPr>
        <w:t xml:space="preserve"> </w:t>
      </w:r>
      <w:r>
        <w:rPr>
          <w:noProof/>
        </w:rPr>
        <w:t xml:space="preserve">A javaslat/kezdeményezés </w:t>
      </w:r>
      <w:r>
        <w:rPr>
          <w:b/>
          <w:noProof/>
        </w:rPr>
        <w:t>új intézkedésnek megfelelően módosított intézkedésre</w:t>
      </w:r>
      <w:r>
        <w:rPr>
          <w:noProof/>
        </w:rPr>
        <w:t xml:space="preserve"> irányul</w:t>
      </w:r>
    </w:p>
    <w:p>
      <w:pPr>
        <w:pStyle w:val="ManualNumPar2"/>
        <w:rPr>
          <w:noProof/>
        </w:rPr>
      </w:pPr>
      <w:r>
        <w:t>1.4.</w:t>
      </w:r>
      <w:r>
        <w:tab/>
      </w:r>
      <w:r>
        <w:rPr>
          <w:noProof/>
        </w:rPr>
        <w:t>Célkitűzés(ek)</w:t>
      </w:r>
    </w:p>
    <w:p>
      <w:pPr>
        <w:pStyle w:val="ManualNumPar3"/>
        <w:rPr>
          <w:noProof/>
        </w:rPr>
      </w:pPr>
      <w:r>
        <w:t>1.4.1.</w:t>
      </w:r>
      <w:r>
        <w:tab/>
      </w:r>
      <w:r>
        <w:rPr>
          <w:noProof/>
        </w:rPr>
        <w:t>A javaslat/kezdeményezés által érintett többéves bizottsági stratégiai célkitűzés(ek)</w:t>
      </w:r>
    </w:p>
    <w:p>
      <w:pPr>
        <w:pBdr>
          <w:top w:val="single" w:sz="4" w:space="1" w:color="auto"/>
          <w:left w:val="single" w:sz="4" w:space="4" w:color="auto"/>
          <w:bottom w:val="single" w:sz="4" w:space="1" w:color="auto"/>
          <w:right w:val="single" w:sz="4" w:space="4" w:color="auto"/>
        </w:pBdr>
        <w:ind w:left="850"/>
        <w:rPr>
          <w:noProof/>
        </w:rPr>
      </w:pPr>
      <w:r>
        <w:rPr>
          <w:noProof/>
        </w:rPr>
        <w:t>A 2016. évi bizottsági munkaprogram „A jogérvényesülés és az alapvető jogok kölcsönös bizalmon alapuló térsége” című fejezete az európai biztonsági stratégia (COM(2015) 185 final, elfogadás: 2015.4.28.) végrehajtására hivatkozik. Az európai biztonsági stratégia kimondja:</w:t>
      </w:r>
    </w:p>
    <w:p>
      <w:pPr>
        <w:pBdr>
          <w:top w:val="single" w:sz="4" w:space="1" w:color="auto"/>
          <w:left w:val="single" w:sz="4" w:space="4" w:color="auto"/>
          <w:bottom w:val="single" w:sz="4" w:space="1" w:color="auto"/>
          <w:right w:val="single" w:sz="4" w:space="4" w:color="auto"/>
        </w:pBdr>
        <w:ind w:left="850"/>
        <w:rPr>
          <w:noProof/>
        </w:rPr>
      </w:pPr>
      <w:r>
        <w:rPr>
          <w:noProof/>
        </w:rPr>
        <w:t>„Az illegális piacok közül továbbra is a kábítószerek piaca a legdinamikusabb. A legfrissebb trend az új pszichoaktív anyagok térnyerése. Az új pszichoaktív anyagok előállítása egyre inkább áthelyeződik az Unióba, ami új uniós jogszabályi keretek mielőbbi elfogadását teszi szükségessé.”</w:t>
      </w:r>
    </w:p>
    <w:p>
      <w:pPr>
        <w:pStyle w:val="ManualNumPar3"/>
        <w:rPr>
          <w:noProof/>
        </w:rPr>
      </w:pPr>
      <w:r>
        <w:t>1.4.2.</w:t>
      </w:r>
      <w:r>
        <w:tab/>
      </w:r>
      <w:r>
        <w:rPr>
          <w:noProof/>
        </w:rPr>
        <w:t xml:space="preserve">Konkrét célkitűzés(ek) és a tevékenységalapú irányítás/tevékenységalapú költségvetés-tervezés keretébe tartozó érintett tevékenység(ek) </w:t>
      </w:r>
    </w:p>
    <w:p>
      <w:pPr>
        <w:pBdr>
          <w:top w:val="single" w:sz="4" w:space="1" w:color="auto"/>
          <w:left w:val="single" w:sz="4" w:space="4" w:color="auto"/>
          <w:bottom w:val="single" w:sz="4" w:space="1" w:color="auto"/>
          <w:right w:val="single" w:sz="4" w:space="4" w:color="auto"/>
        </w:pBdr>
        <w:ind w:left="850"/>
        <w:rPr>
          <w:bCs/>
          <w:noProof/>
        </w:rPr>
      </w:pPr>
      <w:r>
        <w:rPr>
          <w:noProof/>
          <w:u w:val="single"/>
        </w:rPr>
        <w:t>Érintett általános célkitűzés</w:t>
      </w:r>
      <w:r>
        <w:rPr>
          <w:noProof/>
        </w:rPr>
        <w:t>:</w:t>
      </w:r>
    </w:p>
    <w:p>
      <w:pPr>
        <w:pBdr>
          <w:top w:val="single" w:sz="4" w:space="1" w:color="auto"/>
          <w:left w:val="single" w:sz="4" w:space="4" w:color="auto"/>
          <w:bottom w:val="single" w:sz="4" w:space="1" w:color="auto"/>
          <w:right w:val="single" w:sz="4" w:space="4" w:color="auto"/>
        </w:pBdr>
        <w:ind w:left="850"/>
        <w:rPr>
          <w:noProof/>
        </w:rPr>
      </w:pPr>
      <w:r>
        <w:rPr>
          <w:noProof/>
        </w:rPr>
        <w:t>Hozzájárulás az Európai Unión belüli magas szintű biztonság biztosításához a jogszerű utazás megkönnyítése mellett, a külső határokon történő egységes és magas szintű ellenőrzések és a schengeni vízumok hatékony feldolgozása révén, összhangban az Unió alapvető szabadságokkal és emberi jogokkal kapcsolatos kötelezettségvállalásával.</w:t>
      </w:r>
    </w:p>
    <w:p>
      <w:pPr>
        <w:pBdr>
          <w:top w:val="single" w:sz="4" w:space="1" w:color="auto"/>
          <w:left w:val="single" w:sz="4" w:space="4" w:color="auto"/>
          <w:bottom w:val="single" w:sz="4" w:space="1" w:color="auto"/>
          <w:right w:val="single" w:sz="4" w:space="4" w:color="auto"/>
        </w:pBdr>
        <w:ind w:left="850"/>
        <w:rPr>
          <w:bCs/>
          <w:noProof/>
          <w:u w:val="single"/>
        </w:rPr>
      </w:pPr>
      <w:r>
        <w:rPr>
          <w:noProof/>
          <w:u w:val="single"/>
        </w:rPr>
        <w:t>6. sz. konkrét célkitűzés:</w:t>
      </w:r>
    </w:p>
    <w:p>
      <w:pPr>
        <w:pBdr>
          <w:top w:val="single" w:sz="4" w:space="1" w:color="auto"/>
          <w:left w:val="single" w:sz="4" w:space="4" w:color="auto"/>
          <w:bottom w:val="single" w:sz="4" w:space="1" w:color="auto"/>
          <w:right w:val="single" w:sz="4" w:space="4" w:color="auto"/>
        </w:pBdr>
        <w:ind w:left="850"/>
        <w:rPr>
          <w:bCs/>
          <w:noProof/>
        </w:rPr>
      </w:pPr>
      <w:r>
        <w:rPr>
          <w:noProof/>
        </w:rPr>
        <w:t>A Jogérvényesülés program általános célkitűzéséhez szorosan kapcsolódó igazságügyi együttműködésre és bűnmegelőzési aspektusokra vonatkozó azon drogpolitikai kezdeményezések támogatása, amelyek nem tartoznak a Belső Biztonsági Alap vagy az egészségügyre vonatkozó harmadik uniós cselekvési program hatálya alá.</w:t>
      </w:r>
    </w:p>
    <w:p>
      <w:pPr>
        <w:pBdr>
          <w:top w:val="single" w:sz="4" w:space="1" w:color="auto"/>
          <w:left w:val="single" w:sz="4" w:space="4" w:color="auto"/>
          <w:bottom w:val="single" w:sz="4" w:space="1" w:color="auto"/>
          <w:right w:val="single" w:sz="4" w:space="4" w:color="auto"/>
        </w:pBdr>
        <w:ind w:left="850"/>
        <w:rPr>
          <w:noProof/>
        </w:rPr>
      </w:pPr>
    </w:p>
    <w:p>
      <w:pPr>
        <w:pBdr>
          <w:top w:val="single" w:sz="4" w:space="1" w:color="auto"/>
          <w:left w:val="single" w:sz="4" w:space="4" w:color="auto"/>
          <w:bottom w:val="single" w:sz="4" w:space="1" w:color="auto"/>
          <w:right w:val="single" w:sz="4" w:space="4" w:color="auto"/>
        </w:pBdr>
        <w:ind w:left="850"/>
        <w:rPr>
          <w:bCs/>
          <w:noProof/>
          <w:u w:val="single"/>
        </w:rPr>
      </w:pPr>
      <w:r>
        <w:rPr>
          <w:noProof/>
          <w:u w:val="single"/>
        </w:rPr>
        <w:t>7. sz. konkrét célkitűzés:</w:t>
      </w:r>
    </w:p>
    <w:p>
      <w:pPr>
        <w:pBdr>
          <w:top w:val="single" w:sz="4" w:space="1" w:color="auto"/>
          <w:left w:val="single" w:sz="4" w:space="4" w:color="auto"/>
          <w:bottom w:val="single" w:sz="4" w:space="1" w:color="auto"/>
          <w:right w:val="single" w:sz="4" w:space="4" w:color="auto"/>
        </w:pBdr>
        <w:ind w:left="850"/>
        <w:rPr>
          <w:noProof/>
        </w:rPr>
      </w:pPr>
      <w:r>
        <w:rPr>
          <w:noProof/>
        </w:rPr>
        <w:t>A kábítószer-használat és a kábítószer-kereskedelem, valamint a kábítószerek egyénekre és a társadalomra gyakorolt káros hatásainak visszaszorításához való hozzájárulás az új kábítószerek elérhetőségének csökkentésére, valamint a kábítószer-kereslet csökkentését célzó szolgáltatások minőségének és a kábítószer-kínálat megértésének javítására irányuló intézkedésekkel, a kábítószerek kockázataira vonatkozó figyelemfelkeltési intézkedések támogatásával, a kezelés hatékonyságának javításával és a kábítószerek elleni határokon átnyúló operatív együttműködés támogatásával.</w:t>
      </w:r>
    </w:p>
    <w:p>
      <w:pPr>
        <w:pBdr>
          <w:top w:val="single" w:sz="4" w:space="1" w:color="auto"/>
          <w:left w:val="single" w:sz="4" w:space="4" w:color="auto"/>
          <w:bottom w:val="single" w:sz="4" w:space="1" w:color="auto"/>
          <w:right w:val="single" w:sz="4" w:space="4" w:color="auto"/>
        </w:pBdr>
        <w:ind w:left="850"/>
        <w:rPr>
          <w:noProof/>
          <w:u w:val="single"/>
        </w:rPr>
      </w:pPr>
      <w:r>
        <w:rPr>
          <w:noProof/>
          <w:u w:val="single"/>
        </w:rPr>
        <w:t>A tevékenységalapú irányítás / tevékenységalapú költségvetés-tervezés keretébe tartozó érintett tevékenység(ek)</w:t>
      </w:r>
    </w:p>
    <w:p>
      <w:pPr>
        <w:pBdr>
          <w:top w:val="single" w:sz="4" w:space="1" w:color="auto"/>
          <w:left w:val="single" w:sz="4" w:space="4" w:color="auto"/>
          <w:bottom w:val="single" w:sz="4" w:space="1" w:color="auto"/>
          <w:right w:val="single" w:sz="4" w:space="4" w:color="auto"/>
        </w:pBdr>
        <w:ind w:left="850"/>
        <w:rPr>
          <w:noProof/>
        </w:rPr>
      </w:pPr>
      <w:r>
        <w:rPr>
          <w:noProof/>
        </w:rPr>
        <w:t>Kábítószer-ellenes fellépés</w:t>
      </w:r>
    </w:p>
    <w:p>
      <w:pPr>
        <w:pStyle w:val="ManualNumPar3"/>
        <w:rPr>
          <w:noProof/>
        </w:rPr>
      </w:pPr>
      <w:r>
        <w:t>1.4.3.</w:t>
      </w:r>
      <w:r>
        <w:tab/>
      </w:r>
      <w:r>
        <w:rPr>
          <w:noProof/>
        </w:rPr>
        <w:t>Várható eredmény(ek) és hatás(ok)</w:t>
      </w:r>
    </w:p>
    <w:p>
      <w:pPr>
        <w:ind w:left="850"/>
        <w:rPr>
          <w:i/>
          <w:noProof/>
          <w:sz w:val="20"/>
        </w:rPr>
      </w:pPr>
      <w:r>
        <w:rPr>
          <w:i/>
          <w:noProof/>
          <w:sz w:val="20"/>
        </w:rPr>
        <w:t>Tüntesse fel, milyen hatásokat gyakorolhat a javaslat/kezdeményezés a kedvezményezettekre/célcsoportokra.</w:t>
      </w:r>
    </w:p>
    <w:p>
      <w:pPr>
        <w:pBdr>
          <w:top w:val="single" w:sz="4" w:space="1" w:color="auto"/>
          <w:left w:val="single" w:sz="4" w:space="4" w:color="auto"/>
          <w:bottom w:val="single" w:sz="4" w:space="1" w:color="auto"/>
          <w:right w:val="single" w:sz="4" w:space="4" w:color="auto"/>
        </w:pBdr>
        <w:ind w:left="850"/>
        <w:rPr>
          <w:noProof/>
        </w:rPr>
      </w:pPr>
      <w:r>
        <w:rPr>
          <w:noProof/>
        </w:rPr>
        <w:t>Az új pszichoaktív anyagokra vonatkozó hatékony és eredményes riasztási rendszer és kockázatértékelési eljárás biztosítása az új pszichoaktív anyagok által okozott súlyos károk kezdeményező kivédése, azonosítása, ellenőrzése, megelőzése és az azokra való reagálás érdekében, valamint annak érdekében, hogy a káros új pszichoaktív anyagok az [(EU) .../... irányelvvel módosított] 2004/757/IB tanácsi kerethatározat alapján valamennyi tagállamban büntetendők legyenek.</w:t>
      </w:r>
    </w:p>
    <w:p>
      <w:pPr>
        <w:pStyle w:val="ManualNumPar3"/>
        <w:rPr>
          <w:noProof/>
        </w:rPr>
      </w:pPr>
      <w:r>
        <w:t>1.4.4.</w:t>
      </w:r>
      <w:r>
        <w:tab/>
      </w:r>
      <w:r>
        <w:rPr>
          <w:noProof/>
        </w:rPr>
        <w:t>Eredmény- és hatásmutatók</w:t>
      </w:r>
    </w:p>
    <w:p>
      <w:pPr>
        <w:ind w:left="850"/>
        <w:rPr>
          <w:i/>
          <w:noProof/>
          <w:sz w:val="20"/>
        </w:rPr>
      </w:pPr>
      <w:r>
        <w:rPr>
          <w:i/>
          <w:noProof/>
          <w:sz w:val="20"/>
        </w:rPr>
        <w:t>Tüntesse fel a javaslat/kezdeményezés megvalósításának nyomon követését lehetővé tevő mutatókat.</w:t>
      </w:r>
    </w:p>
    <w:p>
      <w:pPr>
        <w:pBdr>
          <w:top w:val="single" w:sz="4" w:space="1" w:color="auto"/>
          <w:left w:val="single" w:sz="4" w:space="4" w:color="auto"/>
          <w:bottom w:val="single" w:sz="4" w:space="1" w:color="auto"/>
          <w:right w:val="single" w:sz="4" w:space="4" w:color="auto"/>
        </w:pBdr>
        <w:ind w:left="850"/>
        <w:rPr>
          <w:bCs/>
          <w:noProof/>
        </w:rPr>
      </w:pPr>
      <w:r>
        <w:rPr>
          <w:noProof/>
          <w:u w:val="single"/>
        </w:rPr>
        <w:t>1. eredménymutató (6. célkitűzés)</w:t>
      </w:r>
      <w:r>
        <w:rPr>
          <w:noProof/>
        </w:rPr>
        <w:t>:</w:t>
      </w:r>
    </w:p>
    <w:p>
      <w:pPr>
        <w:pBdr>
          <w:top w:val="single" w:sz="4" w:space="1" w:color="auto"/>
          <w:left w:val="single" w:sz="4" w:space="4" w:color="auto"/>
          <w:bottom w:val="single" w:sz="4" w:space="1" w:color="auto"/>
          <w:right w:val="single" w:sz="4" w:space="4" w:color="auto"/>
        </w:pBdr>
        <w:ind w:left="850"/>
        <w:rPr>
          <w:noProof/>
        </w:rPr>
      </w:pPr>
      <w:r>
        <w:rPr>
          <w:noProof/>
        </w:rPr>
        <w:t>Az annak érdekében értékelt (beleértve szükség esetén a tesztelést is) új pszichoaktív anyagok száma, hogy az EU vagy a tagállamok az emberi fogyasztással kapcsolatos kockázat típusától és szintjétől függően megfelelő intézkedéseket hozhassanak a fogyasztók védelmére.</w:t>
      </w:r>
    </w:p>
    <w:p>
      <w:pPr>
        <w:pBdr>
          <w:top w:val="single" w:sz="4" w:space="1" w:color="auto"/>
          <w:left w:val="single" w:sz="4" w:space="4" w:color="auto"/>
          <w:bottom w:val="single" w:sz="4" w:space="1" w:color="auto"/>
          <w:right w:val="single" w:sz="4" w:space="4" w:color="auto"/>
        </w:pBdr>
        <w:ind w:left="850"/>
        <w:rPr>
          <w:bCs/>
          <w:noProof/>
        </w:rPr>
      </w:pPr>
      <w:r>
        <w:rPr>
          <w:noProof/>
          <w:u w:val="single"/>
        </w:rPr>
        <w:t>3. eredménymutató (7. célkitűzés)</w:t>
      </w:r>
      <w:r>
        <w:rPr>
          <w:noProof/>
        </w:rPr>
        <w:t>:</w:t>
      </w:r>
    </w:p>
    <w:p>
      <w:pPr>
        <w:pBdr>
          <w:top w:val="single" w:sz="4" w:space="1" w:color="auto"/>
          <w:left w:val="single" w:sz="4" w:space="4" w:color="auto"/>
          <w:bottom w:val="single" w:sz="4" w:space="1" w:color="auto"/>
          <w:right w:val="single" w:sz="4" w:space="4" w:color="auto"/>
        </w:pBdr>
        <w:ind w:left="850"/>
        <w:rPr>
          <w:noProof/>
        </w:rPr>
      </w:pPr>
      <w:r>
        <w:rPr>
          <w:noProof/>
        </w:rPr>
        <w:t>Az annak érdekében kockázatértékelés (beleértve szükség esetén a tesztelést is) alá vont, több tagállam által bejelentett és a jelek szerint kockázatot hordozó új pszichoaktív anyagok kockázatértékelésének mértéke, hogy az EU és a tagállamok megfelelő intézkedéseket hozhassanak a fogyasztók védelmére.</w:t>
      </w:r>
    </w:p>
    <w:p>
      <w:pPr>
        <w:pStyle w:val="ManualNumPar2"/>
        <w:rPr>
          <w:noProof/>
        </w:rPr>
      </w:pPr>
      <w:r>
        <w:rPr>
          <w:noProof/>
        </w:rPr>
        <w:br w:type="page"/>
      </w:r>
      <w:r>
        <w:t>1.5.</w:t>
      </w:r>
      <w:r>
        <w:tab/>
      </w:r>
      <w:r>
        <w:rPr>
          <w:noProof/>
        </w:rPr>
        <w:t>A javaslat/kezdeményezés indoklása</w:t>
      </w:r>
    </w:p>
    <w:p>
      <w:pPr>
        <w:pStyle w:val="ManualNumPar3"/>
        <w:rPr>
          <w:noProof/>
        </w:rPr>
      </w:pPr>
      <w:r>
        <w:t>1.5.1.</w:t>
      </w:r>
      <w:r>
        <w:tab/>
      </w:r>
      <w:r>
        <w:rPr>
          <w:noProof/>
        </w:rPr>
        <w:t>Rövid vagy hosszú távon kielégítendő szükséglet(ek)</w:t>
      </w:r>
    </w:p>
    <w:p>
      <w:pPr>
        <w:pBdr>
          <w:top w:val="single" w:sz="4" w:space="1" w:color="auto"/>
          <w:left w:val="single" w:sz="4" w:space="4" w:color="auto"/>
          <w:bottom w:val="single" w:sz="4" w:space="1" w:color="auto"/>
          <w:right w:val="single" w:sz="4" w:space="4" w:color="auto"/>
        </w:pBdr>
        <w:ind w:left="1435" w:hanging="585"/>
        <w:rPr>
          <w:noProof/>
        </w:rPr>
      </w:pPr>
      <w:r>
        <w:rPr>
          <w:noProof/>
        </w:rPr>
        <w:t xml:space="preserve">– </w:t>
      </w:r>
      <w:r>
        <w:rPr>
          <w:noProof/>
        </w:rPr>
        <w:tab/>
        <w:t>Az egyének egészségének a káros új pszichoaktív anyagokkal járó kockázatokkal szembeni védelme</w:t>
      </w:r>
    </w:p>
    <w:p>
      <w:pPr>
        <w:pBdr>
          <w:top w:val="single" w:sz="4" w:space="1" w:color="auto"/>
          <w:left w:val="single" w:sz="4" w:space="4" w:color="auto"/>
          <w:bottom w:val="single" w:sz="4" w:space="1" w:color="auto"/>
          <w:right w:val="single" w:sz="4" w:space="4" w:color="auto"/>
        </w:pBdr>
        <w:ind w:left="1435" w:hanging="585"/>
        <w:rPr>
          <w:noProof/>
        </w:rPr>
      </w:pPr>
      <w:r>
        <w:rPr>
          <w:noProof/>
        </w:rPr>
        <w:t xml:space="preserve">– </w:t>
      </w:r>
      <w:r>
        <w:rPr>
          <w:noProof/>
        </w:rPr>
        <w:tab/>
        <w:t>A[z] [(EU) .../... irányelvvel módosított] 2004/757/IB tanácsi kerethatározat alapján a káros új pszichoaktív anyagok büntetendővé tételéről szóló uniós szintű döntéshozatal jogalapjának létrehozása</w:t>
      </w:r>
    </w:p>
    <w:p>
      <w:pPr>
        <w:pBdr>
          <w:top w:val="single" w:sz="4" w:space="1" w:color="auto"/>
          <w:left w:val="single" w:sz="4" w:space="4" w:color="auto"/>
          <w:bottom w:val="single" w:sz="4" w:space="1" w:color="auto"/>
          <w:right w:val="single" w:sz="4" w:space="4" w:color="auto"/>
        </w:pBdr>
        <w:ind w:left="1435" w:hanging="585"/>
        <w:rPr>
          <w:noProof/>
        </w:rPr>
      </w:pPr>
      <w:r>
        <w:rPr>
          <w:noProof/>
        </w:rPr>
        <w:t xml:space="preserve">– </w:t>
      </w:r>
      <w:r>
        <w:rPr>
          <w:noProof/>
        </w:rPr>
        <w:tab/>
        <w:t>Az új pszichoaktív anyagok gyors azonosítását és értékelését lehetővé tevő kapacitások javítása</w:t>
      </w:r>
    </w:p>
    <w:p>
      <w:pPr>
        <w:pStyle w:val="ManualNumPar3"/>
        <w:rPr>
          <w:noProof/>
        </w:rPr>
      </w:pPr>
      <w:r>
        <w:t>1.5.2.</w:t>
      </w:r>
      <w:r>
        <w:tab/>
      </w:r>
      <w:r>
        <w:rPr>
          <w:noProof/>
        </w:rPr>
        <w:t>Az uniós részvételből adódó többletérték</w:t>
      </w:r>
    </w:p>
    <w:p>
      <w:pPr>
        <w:pBdr>
          <w:top w:val="single" w:sz="4" w:space="1" w:color="auto"/>
          <w:left w:val="single" w:sz="4" w:space="4" w:color="auto"/>
          <w:bottom w:val="single" w:sz="4" w:space="1" w:color="auto"/>
          <w:right w:val="single" w:sz="4" w:space="4" w:color="auto"/>
        </w:pBdr>
        <w:ind w:left="850"/>
        <w:rPr>
          <w:noProof/>
        </w:rPr>
      </w:pPr>
      <w:r>
        <w:rPr>
          <w:noProof/>
        </w:rPr>
        <w:t>A megerősített riasztási rendszer fokozná a tagállamok közötti információcserét, és egyértelmű hozzáadott értéket képviselne azáltal, hogy a tagállamok a potenciális közegészségügyi veszélyek előrejelzését elősegítő riasztást kapnának a más tagállamokban felbukkanó potenciálisan káros anyagokról. Az új pszichoaktív anyagok kockázatának uniós szintű értékelése azzal a hozzáadott értékkel járna, hogy az egész Unióban összesíthetők lennének a tudományos erőforrások és a vizsgálati kapacitások, és egy anyagról a rendelkezésre álló legjobb adatok lennének biztosíthatók, ami szilárd alapot nyújtana a[z] [(EU) .../... irányelvvel módosított] 2004/757/IB tanácsi kerethatározaton alapuló, az új pszichoaktív anyagokkal kapcsolatos uniós szintű döntéshozatalhoz.</w:t>
      </w:r>
    </w:p>
    <w:p>
      <w:pPr>
        <w:pStyle w:val="ManualNumPar3"/>
        <w:rPr>
          <w:noProof/>
        </w:rPr>
      </w:pPr>
      <w:r>
        <w:t>1.5.3.</w:t>
      </w:r>
      <w:r>
        <w:tab/>
      </w:r>
      <w:r>
        <w:rPr>
          <w:noProof/>
        </w:rPr>
        <w:t>Hasonló korábbi tapasztalatok tanulsága</w:t>
      </w:r>
    </w:p>
    <w:p>
      <w:pPr>
        <w:pBdr>
          <w:top w:val="single" w:sz="4" w:space="1" w:color="auto"/>
          <w:left w:val="single" w:sz="4" w:space="4" w:color="auto"/>
          <w:bottom w:val="single" w:sz="4" w:space="1" w:color="auto"/>
          <w:right w:val="single" w:sz="4" w:space="4" w:color="auto"/>
        </w:pBdr>
        <w:ind w:left="850"/>
        <w:rPr>
          <w:noProof/>
        </w:rPr>
      </w:pPr>
      <w:r>
        <w:rPr>
          <w:noProof/>
        </w:rPr>
        <w:t>Az új pszichoaktív anyagokra vonatkozó információcseréről, kockázatértékelésről és ellenőrzésről szóló 2005/387/IB tanácsi határozaton alapuló jelenlegi rendszer túl lassú az új pszichoaktív anyagok gyorsan növekvő számának hatékony kezeléséhez.</w:t>
      </w:r>
    </w:p>
    <w:p>
      <w:pPr>
        <w:pStyle w:val="ManualNumPar3"/>
        <w:rPr>
          <w:noProof/>
        </w:rPr>
      </w:pPr>
      <w:r>
        <w:t>1.5.4.</w:t>
      </w:r>
      <w:r>
        <w:tab/>
      </w:r>
      <w:r>
        <w:rPr>
          <w:noProof/>
        </w:rPr>
        <w:t>Egyéb releváns eszközökkel való összeegyeztethetőség és lehetséges szinergia</w:t>
      </w:r>
    </w:p>
    <w:p>
      <w:pPr>
        <w:pBdr>
          <w:top w:val="single" w:sz="4" w:space="1" w:color="auto"/>
          <w:left w:val="single" w:sz="4" w:space="4" w:color="auto"/>
          <w:bottom w:val="single" w:sz="4" w:space="1" w:color="auto"/>
          <w:right w:val="single" w:sz="4" w:space="4" w:color="auto"/>
        </w:pBdr>
        <w:ind w:left="850"/>
        <w:rPr>
          <w:noProof/>
        </w:rPr>
      </w:pPr>
      <w:r>
        <w:rPr>
          <w:noProof/>
        </w:rPr>
        <w:t>Az új pszichoaktív anyagokra vonatkozó fellépés összhangban áll az Unió stratégiai szakpolitikai dokumentumaival, különös tekintettel az európai biztonsági stratégiára</w:t>
      </w:r>
      <w:r>
        <w:rPr>
          <w:rStyle w:val="FootnoteReference"/>
          <w:noProof/>
        </w:rPr>
        <w:footnoteReference w:id="22"/>
      </w:r>
      <w:r>
        <w:rPr>
          <w:noProof/>
        </w:rPr>
        <w:t xml:space="preserve"> és a 2013–2020-as időszakra szóló, kábítószer elleni uniós stratégiára. Az új pszichoaktív anyagokra vonatkozó uniós fellépés továbbá teljes mértékben összhangban áll az ENSZ-szintű intézkedésekkel.</w:t>
      </w:r>
    </w:p>
    <w:p>
      <w:pPr>
        <w:pStyle w:val="ManualNumPar2"/>
        <w:rPr>
          <w:noProof/>
        </w:rPr>
      </w:pPr>
      <w:r>
        <w:t>1.6.</w:t>
      </w:r>
      <w:r>
        <w:tab/>
      </w:r>
      <w:r>
        <w:rPr>
          <w:noProof/>
        </w:rPr>
        <w:t>Az intézkedés és a pénzügyi hatás időtartama</w:t>
      </w:r>
    </w:p>
    <w:p>
      <w:pPr>
        <w:ind w:left="850"/>
        <w:rPr>
          <w:noProof/>
        </w:rPr>
      </w:pPr>
      <w:r>
        <w:rPr>
          <w:noProof/>
        </w:rPr>
        <w:sym w:font="Wingdings" w:char="F0A8"/>
      </w:r>
      <w:r>
        <w:rPr>
          <w:noProof/>
        </w:rPr>
        <w:t xml:space="preserve"> A javaslat/kezdeményezés határozott időtartamra vonatkozik</w:t>
      </w:r>
    </w:p>
    <w:p>
      <w:pPr>
        <w:pStyle w:val="Tiret0"/>
        <w:numPr>
          <w:ilvl w:val="0"/>
          <w:numId w:val="17"/>
        </w:numPr>
        <w:ind w:firstLine="284"/>
        <w:rPr>
          <w:noProof/>
        </w:rPr>
      </w:pPr>
      <w:r>
        <w:rPr>
          <w:noProof/>
        </w:rPr>
        <w:sym w:font="Wingdings" w:char="F0A8"/>
      </w:r>
      <w:r>
        <w:rPr>
          <w:noProof/>
        </w:rPr>
        <w:t xml:space="preserve"> A javaslat/kezdeményezés időtartama: ÉÉÉÉ [HH/NN]-tól/-től ÉÉÉÉ [HH/NN]-ig</w:t>
      </w:r>
    </w:p>
    <w:p>
      <w:pPr>
        <w:pStyle w:val="Tiret0"/>
        <w:ind w:firstLine="284"/>
        <w:rPr>
          <w:noProof/>
        </w:rPr>
      </w:pPr>
      <w:r>
        <w:rPr>
          <w:noProof/>
        </w:rPr>
        <w:sym w:font="Wingdings" w:char="F0A8"/>
      </w:r>
      <w:r>
        <w:rPr>
          <w:noProof/>
        </w:rPr>
        <w:t>Pénzügyi hatás: ÉÉÉÉ-tól/-től ÉÉÉÉ-ig</w:t>
      </w:r>
    </w:p>
    <w:p>
      <w:pPr>
        <w:ind w:left="850"/>
        <w:rPr>
          <w:noProof/>
        </w:rPr>
      </w:pPr>
      <w:r>
        <w:rPr>
          <w:noProof/>
        </w:rPr>
        <w:sym w:font="Wingdings" w:char="F0FD"/>
      </w:r>
      <w:r>
        <w:rPr>
          <w:b/>
          <w:i/>
          <w:noProof/>
        </w:rPr>
        <w:t xml:space="preserve"> </w:t>
      </w:r>
      <w:r>
        <w:rPr>
          <w:noProof/>
        </w:rPr>
        <w:t xml:space="preserve">A javaslat/kezdeményezés </w:t>
      </w:r>
      <w:r>
        <w:rPr>
          <w:b/>
          <w:noProof/>
        </w:rPr>
        <w:t>határozatlan időtartamra</w:t>
      </w:r>
      <w:r>
        <w:rPr>
          <w:noProof/>
        </w:rPr>
        <w:t xml:space="preserve"> vonatkozik</w:t>
      </w:r>
    </w:p>
    <w:p>
      <w:pPr>
        <w:pStyle w:val="Tiret0"/>
        <w:ind w:firstLine="284"/>
        <w:rPr>
          <w:noProof/>
        </w:rPr>
      </w:pPr>
      <w:r>
        <w:rPr>
          <w:noProof/>
        </w:rPr>
        <w:sym w:font="Wingdings" w:char="F0A8"/>
      </w:r>
      <w:r>
        <w:rPr>
          <w:noProof/>
        </w:rPr>
        <w:t xml:space="preserve"> Beindítási időszak: 2017-től 2020-ig</w:t>
      </w:r>
    </w:p>
    <w:p>
      <w:pPr>
        <w:pStyle w:val="Tiret0"/>
        <w:ind w:firstLine="284"/>
        <w:rPr>
          <w:noProof/>
        </w:rPr>
      </w:pPr>
      <w:r>
        <w:rPr>
          <w:noProof/>
        </w:rPr>
        <w:sym w:font="Wingdings" w:char="F0A8"/>
      </w:r>
      <w:r>
        <w:rPr>
          <w:noProof/>
        </w:rPr>
        <w:t xml:space="preserve"> azt követően: rendes ütem.</w:t>
      </w:r>
    </w:p>
    <w:p>
      <w:pPr>
        <w:pStyle w:val="ManualNumPar2"/>
        <w:rPr>
          <w:noProof/>
        </w:rPr>
      </w:pPr>
      <w:r>
        <w:t>1.7.</w:t>
      </w:r>
      <w:r>
        <w:tab/>
      </w:r>
      <w:r>
        <w:rPr>
          <w:noProof/>
        </w:rPr>
        <w:t>Tervezett irányítási módszer(ek)</w:t>
      </w:r>
      <w:r>
        <w:rPr>
          <w:rStyle w:val="FootnoteReference"/>
          <w:b/>
          <w:noProof/>
        </w:rPr>
        <w:footnoteReference w:id="23"/>
      </w:r>
    </w:p>
    <w:p>
      <w:pPr>
        <w:ind w:left="850"/>
        <w:rPr>
          <w:noProof/>
        </w:rPr>
      </w:pPr>
      <w:r>
        <w:rPr>
          <w:noProof/>
        </w:rPr>
        <w:sym w:font="Wingdings" w:char="F0A8"/>
      </w:r>
      <w:r>
        <w:rPr>
          <w:i/>
          <w:noProof/>
        </w:rPr>
        <w:t xml:space="preserve"> </w:t>
      </w:r>
      <w:r>
        <w:rPr>
          <w:noProof/>
        </w:rPr>
        <w:t xml:space="preserve">Bizottság általi </w:t>
      </w:r>
      <w:r>
        <w:rPr>
          <w:b/>
          <w:noProof/>
        </w:rPr>
        <w:t>közvetlen irányítás</w:t>
      </w:r>
    </w:p>
    <w:p>
      <w:pPr>
        <w:pStyle w:val="Tiret0"/>
        <w:ind w:firstLine="284"/>
        <w:rPr>
          <w:noProof/>
        </w:rPr>
      </w:pPr>
      <w:r>
        <w:rPr>
          <w:noProof/>
        </w:rPr>
        <w:sym w:font="Wingdings" w:char="F0A8"/>
      </w:r>
      <w:r>
        <w:rPr>
          <w:noProof/>
        </w:rPr>
        <w:t xml:space="preserve"> a Bizottság szervezeti egységein keresztül, ideértve az uniós küldöttségek személyzetét</w:t>
      </w:r>
    </w:p>
    <w:p>
      <w:pPr>
        <w:pStyle w:val="Tiret0"/>
        <w:ind w:firstLine="284"/>
        <w:rPr>
          <w:noProof/>
        </w:rPr>
      </w:pPr>
      <w:r>
        <w:rPr>
          <w:noProof/>
        </w:rPr>
        <w:sym w:font="Wingdings" w:char="F0A8"/>
      </w:r>
      <w:r>
        <w:rPr>
          <w:noProof/>
        </w:rPr>
        <w:t xml:space="preserve"> végrehajtó ügynökségen keresztül</w:t>
      </w:r>
    </w:p>
    <w:p>
      <w:pPr>
        <w:ind w:left="850"/>
        <w:rPr>
          <w:noProof/>
        </w:rPr>
      </w:pPr>
      <w:r>
        <w:rPr>
          <w:noProof/>
        </w:rPr>
        <w:sym w:font="Wingdings" w:char="F0A8"/>
      </w:r>
      <w:r>
        <w:rPr>
          <w:b/>
          <w:i/>
          <w:noProof/>
        </w:rPr>
        <w:t xml:space="preserve"> </w:t>
      </w:r>
      <w:r>
        <w:rPr>
          <w:b/>
          <w:noProof/>
        </w:rPr>
        <w:t>Megosztott irányítás</w:t>
      </w:r>
      <w:r>
        <w:rPr>
          <w:noProof/>
        </w:rPr>
        <w:t xml:space="preserve"> a tagállamokkal</w:t>
      </w:r>
    </w:p>
    <w:p>
      <w:pPr>
        <w:ind w:left="850"/>
        <w:rPr>
          <w:noProof/>
        </w:rPr>
      </w:pPr>
      <w:r>
        <w:rPr>
          <w:noProof/>
        </w:rPr>
        <w:sym w:font="Wingdings" w:char="F0FD"/>
      </w:r>
      <w:r>
        <w:rPr>
          <w:i/>
          <w:noProof/>
        </w:rPr>
        <w:t xml:space="preserve"> </w:t>
      </w:r>
      <w:r>
        <w:rPr>
          <w:b/>
          <w:noProof/>
        </w:rPr>
        <w:t>Közvetett irányítás</w:t>
      </w:r>
      <w:r>
        <w:rPr>
          <w:noProof/>
        </w:rPr>
        <w:t>, a költségvetés végrehajtásával kapcsolatos feladatoknak a következőkre történő átruházásával:</w:t>
      </w:r>
    </w:p>
    <w:p>
      <w:pPr>
        <w:pStyle w:val="Tiret0"/>
        <w:ind w:firstLine="284"/>
        <w:rPr>
          <w:noProof/>
        </w:rPr>
      </w:pPr>
      <w:r>
        <w:rPr>
          <w:noProof/>
        </w:rPr>
        <w:sym w:font="Wingdings" w:char="F0A8"/>
      </w:r>
      <w:r>
        <w:rPr>
          <w:noProof/>
        </w:rPr>
        <w:t xml:space="preserve"> harmadik országok vagy az általuk kijelölt szervek</w:t>
      </w:r>
    </w:p>
    <w:p>
      <w:pPr>
        <w:pStyle w:val="Tiret0"/>
        <w:ind w:firstLine="284"/>
        <w:rPr>
          <w:noProof/>
        </w:rPr>
      </w:pPr>
      <w:r>
        <w:rPr>
          <w:noProof/>
        </w:rPr>
        <w:sym w:font="Wingdings" w:char="F0A8"/>
      </w:r>
      <w:r>
        <w:rPr>
          <w:noProof/>
        </w:rPr>
        <w:t xml:space="preserve"> nemzetközi szervezetek és ügynökségeik (nevezze meg)</w:t>
      </w:r>
    </w:p>
    <w:p>
      <w:pPr>
        <w:pStyle w:val="Tiret0"/>
        <w:ind w:firstLine="284"/>
        <w:rPr>
          <w:noProof/>
        </w:rPr>
      </w:pPr>
      <w:r>
        <w:rPr>
          <w:noProof/>
        </w:rPr>
        <w:sym w:font="Wingdings" w:char="F0A8"/>
      </w:r>
      <w:r>
        <w:rPr>
          <w:noProof/>
        </w:rPr>
        <w:t xml:space="preserve"> az EBB és az Európai Beruházási Alap</w:t>
      </w:r>
    </w:p>
    <w:p>
      <w:pPr>
        <w:pStyle w:val="Tiret0"/>
        <w:ind w:firstLine="284"/>
        <w:rPr>
          <w:noProof/>
        </w:rPr>
      </w:pPr>
      <w:r>
        <w:rPr>
          <w:noProof/>
        </w:rPr>
        <w:sym w:font="Wingdings" w:char="F0FD"/>
      </w:r>
      <w:r>
        <w:rPr>
          <w:noProof/>
        </w:rPr>
        <w:t xml:space="preserve"> a költségvetési rendelet 208. és 209. cikkében említett szervek</w:t>
      </w:r>
    </w:p>
    <w:p>
      <w:pPr>
        <w:pStyle w:val="Tiret0"/>
        <w:ind w:firstLine="284"/>
        <w:rPr>
          <w:noProof/>
        </w:rPr>
      </w:pPr>
      <w:r>
        <w:rPr>
          <w:noProof/>
        </w:rPr>
        <w:sym w:font="Wingdings" w:char="F0A8"/>
      </w:r>
      <w:r>
        <w:rPr>
          <w:noProof/>
        </w:rPr>
        <w:t xml:space="preserve"> közjogi szervek</w:t>
      </w:r>
    </w:p>
    <w:p>
      <w:pPr>
        <w:pStyle w:val="Tiret0"/>
        <w:tabs>
          <w:tab w:val="clear" w:pos="850"/>
          <w:tab w:val="num" w:pos="1418"/>
        </w:tabs>
        <w:ind w:left="1418" w:hanging="284"/>
        <w:rPr>
          <w:noProof/>
        </w:rPr>
      </w:pPr>
      <w:r>
        <w:rPr>
          <w:noProof/>
        </w:rPr>
        <w:sym w:font="Wingdings" w:char="F0A8"/>
      </w:r>
      <w:r>
        <w:rPr>
          <w:noProof/>
        </w:rPr>
        <w:t xml:space="preserve"> magánjog alapján működő, közfeladatot ellátó szervek, olyan mértékben, amennyiben megfelelő pénzügyi garanciákat nyújtanak</w:t>
      </w:r>
    </w:p>
    <w:p>
      <w:pPr>
        <w:pStyle w:val="Tiret0"/>
        <w:tabs>
          <w:tab w:val="clear" w:pos="850"/>
          <w:tab w:val="num" w:pos="1418"/>
        </w:tabs>
        <w:ind w:left="1418" w:hanging="284"/>
        <w:rPr>
          <w:noProof/>
        </w:rPr>
      </w:pPr>
      <w:r>
        <w:rPr>
          <w:noProof/>
        </w:rPr>
        <w:sym w:font="Wingdings" w:char="F0A8"/>
      </w:r>
      <w:r>
        <w:rPr>
          <w:noProof/>
        </w:rPr>
        <w:t xml:space="preserve"> a valamely tagállam magánjoga alapján működő, köz- és magánszféra közötti partnerség végrehajtásával megbízott és megfelelő pénzügyi garanciákat nyújtó szervek</w:t>
      </w:r>
    </w:p>
    <w:p>
      <w:pPr>
        <w:pStyle w:val="Tiret0"/>
        <w:tabs>
          <w:tab w:val="clear" w:pos="850"/>
          <w:tab w:val="num" w:pos="1418"/>
        </w:tabs>
        <w:ind w:left="1418" w:hanging="284"/>
        <w:rPr>
          <w:noProof/>
        </w:rPr>
      </w:pPr>
      <w:r>
        <w:rPr>
          <w:noProof/>
        </w:rPr>
        <w:sym w:font="Wingdings" w:char="F0A8"/>
      </w:r>
      <w:r>
        <w:rPr>
          <w:noProof/>
        </w:rPr>
        <w:t xml:space="preserve"> az EUSZ V. címének értelmében a KKBP terén konkrét fellépések végrehajtásával megbízott, és a vonatkozó alap-jogiaktusban meghatározott személyek.</w:t>
      </w:r>
    </w:p>
    <w:p>
      <w:pPr>
        <w:pStyle w:val="Tiret0"/>
        <w:tabs>
          <w:tab w:val="clear" w:pos="850"/>
          <w:tab w:val="num" w:pos="1418"/>
        </w:tabs>
        <w:ind w:left="1418" w:hanging="284"/>
        <w:rPr>
          <w:noProof/>
          <w:sz w:val="20"/>
          <w:szCs w:val="20"/>
        </w:rPr>
      </w:pPr>
      <w:r>
        <w:rPr>
          <w:noProof/>
          <w:sz w:val="20"/>
        </w:rPr>
        <w:t>Egynél több irányítási módszer feltüntetése esetén kérjük, adjon részletes felvilágosítást a „Megjegyzések” rovatban.</w:t>
      </w:r>
    </w:p>
    <w:p>
      <w:pPr>
        <w:rPr>
          <w:noProof/>
        </w:rPr>
      </w:pPr>
      <w:r>
        <w:rPr>
          <w:noProof/>
        </w:rPr>
        <w:t xml:space="preserve">Megjegyzések </w:t>
      </w:r>
    </w:p>
    <w:p>
      <w:pPr>
        <w:pBdr>
          <w:top w:val="single" w:sz="4" w:space="1" w:color="auto"/>
          <w:left w:val="single" w:sz="4" w:space="4" w:color="auto"/>
          <w:bottom w:val="single" w:sz="4" w:space="1" w:color="auto"/>
          <w:right w:val="single" w:sz="4" w:space="4" w:color="auto"/>
        </w:pBdr>
        <w:rPr>
          <w:noProof/>
        </w:rPr>
      </w:pPr>
    </w:p>
    <w:p>
      <w:pPr>
        <w:rPr>
          <w:noProof/>
        </w:rPr>
        <w:sectPr>
          <w:pgSz w:w="11907" w:h="16840" w:code="9"/>
          <w:pgMar w:top="1134" w:right="1418" w:bottom="1134" w:left="1418" w:header="709" w:footer="709" w:gutter="0"/>
          <w:cols w:space="708"/>
          <w:docGrid w:linePitch="360"/>
        </w:sectPr>
      </w:pPr>
    </w:p>
    <w:p>
      <w:pPr>
        <w:pStyle w:val="ManualNumPar1"/>
        <w:rPr>
          <w:noProof/>
        </w:rPr>
      </w:pPr>
      <w:r>
        <w:t>2.</w:t>
      </w:r>
      <w:r>
        <w:tab/>
      </w:r>
      <w:r>
        <w:rPr>
          <w:noProof/>
        </w:rPr>
        <w:t>IRÁNYÍTÁSI INTÉZKEDÉSEK</w:t>
      </w:r>
    </w:p>
    <w:p>
      <w:pPr>
        <w:pStyle w:val="ManualNumPar2"/>
        <w:rPr>
          <w:noProof/>
        </w:rPr>
      </w:pPr>
      <w:r>
        <w:t>2.1.</w:t>
      </w:r>
      <w:r>
        <w:tab/>
      </w:r>
      <w:r>
        <w:rPr>
          <w:noProof/>
        </w:rPr>
        <w:t>A nyomon követésre és a jelentéstételre vonatkozó rendelkezések</w:t>
      </w:r>
    </w:p>
    <w:p>
      <w:pPr>
        <w:ind w:left="850"/>
        <w:rPr>
          <w:i/>
          <w:noProof/>
          <w:sz w:val="20"/>
          <w:u w:val="single"/>
        </w:rPr>
      </w:pPr>
      <w:r>
        <w:rPr>
          <w:i/>
          <w:noProof/>
          <w:sz w:val="20"/>
        </w:rPr>
        <w:t>Gyakoriság és feltételek</w:t>
      </w:r>
    </w:p>
    <w:p>
      <w:pPr>
        <w:pBdr>
          <w:top w:val="single" w:sz="4" w:space="1" w:color="auto"/>
          <w:left w:val="single" w:sz="4" w:space="4" w:color="auto"/>
          <w:bottom w:val="single" w:sz="4" w:space="1" w:color="auto"/>
          <w:right w:val="single" w:sz="4" w:space="4" w:color="auto"/>
        </w:pBdr>
        <w:ind w:left="850"/>
        <w:rPr>
          <w:noProof/>
          <w:color w:val="000000" w:themeColor="text1"/>
        </w:rPr>
      </w:pPr>
      <w:r>
        <w:rPr>
          <w:noProof/>
          <w:color w:val="000000" w:themeColor="text1"/>
        </w:rPr>
        <w:t>A Kábítószer és a Kábítószerfüggőség Európai Megfigyelőközpontjáról szóló 1920/2006/EK rendelet 23. cikke szerint hatévente sor kerül a Megfigyelőközpont külső értékelésére, amely egybeesik a Megfigyelőközpont két egymást követő hároméves munkaprogramjának befejezésével.</w:t>
      </w:r>
    </w:p>
    <w:p>
      <w:pPr>
        <w:pBdr>
          <w:top w:val="single" w:sz="4" w:space="1" w:color="auto"/>
          <w:left w:val="single" w:sz="4" w:space="4" w:color="auto"/>
          <w:bottom w:val="single" w:sz="4" w:space="1" w:color="auto"/>
          <w:right w:val="single" w:sz="4" w:space="4" w:color="auto"/>
        </w:pBdr>
        <w:ind w:left="850"/>
        <w:rPr>
          <w:noProof/>
          <w:color w:val="000000" w:themeColor="text1"/>
        </w:rPr>
      </w:pPr>
      <w:r>
        <w:rPr>
          <w:noProof/>
          <w:color w:val="000000" w:themeColor="text1"/>
        </w:rPr>
        <w:t>A Kábítószer és a Kábítószerfüggőség Európai Megfigyelőközpontjáról szóló 1920/2006/EK rendelet 9. cikkének (7) bekezdése szerint „[a]z igazgatóság elfogadja a Megfigyelőközpont tevékenységéről szóló éves beszámolót és június 15-ig megküldi az Európai Parlament, a Tanács, a Bizottság, a Számvevőszék és a tagállamok részére”.</w:t>
      </w:r>
    </w:p>
    <w:p>
      <w:pPr>
        <w:pStyle w:val="ManualNumPar2"/>
        <w:rPr>
          <w:noProof/>
        </w:rPr>
      </w:pPr>
      <w:r>
        <w:t>2.2.</w:t>
      </w:r>
      <w:r>
        <w:tab/>
      </w:r>
      <w:r>
        <w:rPr>
          <w:noProof/>
        </w:rPr>
        <w:t>Irányítási és kontrollrendszer</w:t>
      </w:r>
    </w:p>
    <w:p>
      <w:pPr>
        <w:pStyle w:val="ManualNumPar3"/>
        <w:rPr>
          <w:noProof/>
        </w:rPr>
      </w:pPr>
      <w:r>
        <w:t>2.2.1.</w:t>
      </w:r>
      <w:r>
        <w:tab/>
      </w:r>
      <w:r>
        <w:rPr>
          <w:noProof/>
        </w:rPr>
        <w:t>Felismert kockázat(ok)</w:t>
      </w:r>
    </w:p>
    <w:p>
      <w:pPr>
        <w:pBdr>
          <w:top w:val="single" w:sz="4" w:space="1" w:color="auto"/>
          <w:left w:val="single" w:sz="4" w:space="4" w:color="auto"/>
          <w:bottom w:val="single" w:sz="4" w:space="1" w:color="auto"/>
          <w:right w:val="single" w:sz="4" w:space="4" w:color="auto"/>
        </w:pBdr>
        <w:ind w:left="850"/>
        <w:rPr>
          <w:noProof/>
        </w:rPr>
      </w:pPr>
      <w:r>
        <w:rPr>
          <w:noProof/>
        </w:rPr>
        <w:t>A végrehajtás esetleges késése, amelyet rendszeres nyomon követéssel kell csökkenteni</w:t>
      </w:r>
    </w:p>
    <w:p>
      <w:pPr>
        <w:pStyle w:val="ManualNumPar3"/>
        <w:rPr>
          <w:noProof/>
        </w:rPr>
      </w:pPr>
      <w:r>
        <w:t>2.2.2.</w:t>
      </w:r>
      <w:r>
        <w:tab/>
      </w:r>
      <w:r>
        <w:rPr>
          <w:noProof/>
        </w:rPr>
        <w:t>A működő belső kontrollrendszerrel kapcsolatos információk</w:t>
      </w:r>
    </w:p>
    <w:p>
      <w:pPr>
        <w:pBdr>
          <w:top w:val="single" w:sz="4" w:space="1" w:color="auto"/>
          <w:left w:val="single" w:sz="4" w:space="4" w:color="auto"/>
          <w:bottom w:val="single" w:sz="4" w:space="1" w:color="auto"/>
          <w:right w:val="single" w:sz="4" w:space="4" w:color="auto"/>
        </w:pBdr>
        <w:ind w:left="850"/>
        <w:rPr>
          <w:noProof/>
        </w:rPr>
      </w:pPr>
      <w:r>
        <w:rPr>
          <w:noProof/>
        </w:rPr>
        <w:t>A módosított rendelet alkalmazására vonatkozó szabványos bizottsági ellenőrzési/kötelezettségszegési eljárások</w:t>
      </w:r>
    </w:p>
    <w:p>
      <w:pPr>
        <w:pStyle w:val="ManualNumPar3"/>
        <w:rPr>
          <w:noProof/>
        </w:rPr>
      </w:pPr>
      <w:r>
        <w:t>2.2.3.</w:t>
      </w:r>
      <w:r>
        <w:tab/>
      </w:r>
      <w:r>
        <w:rPr>
          <w:noProof/>
        </w:rPr>
        <w:t>Az ellenőrzések költsége és haszna, a várt hibaarány értékelése</w:t>
      </w:r>
    </w:p>
    <w:p>
      <w:pPr>
        <w:pBdr>
          <w:top w:val="single" w:sz="4" w:space="1" w:color="auto"/>
          <w:left w:val="single" w:sz="4" w:space="4" w:color="auto"/>
          <w:bottom w:val="single" w:sz="4" w:space="1" w:color="auto"/>
          <w:right w:val="single" w:sz="4" w:space="4" w:color="auto"/>
        </w:pBdr>
        <w:ind w:left="850"/>
        <w:rPr>
          <w:noProof/>
          <w:color w:val="000000" w:themeColor="text1"/>
        </w:rPr>
      </w:pPr>
      <w:r>
        <w:rPr>
          <w:noProof/>
          <w:color w:val="000000" w:themeColor="text1"/>
        </w:rPr>
        <w:t>Nem alkalmazandó, mert nem tártak fel kockázatot</w:t>
      </w:r>
    </w:p>
    <w:p>
      <w:pPr>
        <w:pStyle w:val="ManualNumPar2"/>
        <w:rPr>
          <w:noProof/>
        </w:rPr>
      </w:pPr>
      <w:r>
        <w:t>2.3.</w:t>
      </w:r>
      <w:r>
        <w:tab/>
      </w:r>
      <w:r>
        <w:rPr>
          <w:noProof/>
        </w:rPr>
        <w:t>A csalások és a szabálytalanságok megelőzésére vonatkozó intézkedések</w:t>
      </w:r>
    </w:p>
    <w:p>
      <w:pPr>
        <w:ind w:left="850"/>
        <w:rPr>
          <w:i/>
          <w:noProof/>
          <w:sz w:val="20"/>
        </w:rPr>
      </w:pPr>
      <w:r>
        <w:rPr>
          <w:i/>
          <w:noProof/>
          <w:sz w:val="20"/>
        </w:rPr>
        <w:t>Tüntesse fel a meglévő vagy tervezett megelőző és védintézkedéseket.</w:t>
      </w:r>
    </w:p>
    <w:p>
      <w:pPr>
        <w:pBdr>
          <w:top w:val="single" w:sz="4" w:space="1" w:color="auto"/>
          <w:left w:val="single" w:sz="4" w:space="4" w:color="auto"/>
          <w:bottom w:val="single" w:sz="4" w:space="1" w:color="auto"/>
          <w:right w:val="single" w:sz="4" w:space="4" w:color="auto"/>
        </w:pBdr>
        <w:ind w:left="850"/>
        <w:rPr>
          <w:noProof/>
          <w:color w:val="000000" w:themeColor="text1"/>
        </w:rPr>
      </w:pPr>
      <w:r>
        <w:rPr>
          <w:noProof/>
          <w:color w:val="000000" w:themeColor="text1"/>
        </w:rPr>
        <w:t>A Kábítószer és a Kábítószerfüggőség Európai Megfigyelőközpontjáról szóló 1920/2006/EK rendelet 16. cikke szerint a csalás, a korrupció és a Közösségek pénzügyi érdekeit érintő egyéb jogellenes tevékenységek elleni küzdelem céljából az 1073/1999/EK rendelet rendelkezéseit a Megfigyelőközpontra korlátozás nélkül alkalmazni kell.</w:t>
      </w:r>
    </w:p>
    <w:p>
      <w:pPr>
        <w:rPr>
          <w:noProof/>
        </w:rPr>
        <w:sectPr>
          <w:pgSz w:w="11907" w:h="16840" w:code="9"/>
          <w:pgMar w:top="1134" w:right="1418" w:bottom="1134" w:left="1418" w:header="709" w:footer="709" w:gutter="0"/>
          <w:cols w:space="708"/>
          <w:docGrid w:linePitch="360"/>
        </w:sectPr>
      </w:pPr>
    </w:p>
    <w:p>
      <w:pPr>
        <w:pStyle w:val="ManualNumPar1"/>
        <w:rPr>
          <w:noProof/>
        </w:rPr>
      </w:pPr>
      <w:r>
        <w:t>3.</w:t>
      </w:r>
      <w:r>
        <w:tab/>
      </w:r>
      <w:r>
        <w:rPr>
          <w:noProof/>
        </w:rPr>
        <w:t>A JAVASLAT/KEZDEMÉNYEZÉS BECSÜLT PÉNZÜGYI HATÁSA</w:t>
      </w:r>
    </w:p>
    <w:p>
      <w:pPr>
        <w:pStyle w:val="ManualNumPar2"/>
        <w:rPr>
          <w:noProof/>
        </w:rPr>
      </w:pPr>
      <w:r>
        <w:t>3.1.</w:t>
      </w:r>
      <w:r>
        <w:tab/>
      </w:r>
      <w:r>
        <w:rPr>
          <w:noProof/>
        </w:rPr>
        <w:t>A többéves pénzügyi keret mely fejezetét/fejezeteit és a költségvetés mely kiadási tételét/tételeit érintik a kiadások?</w:t>
      </w:r>
    </w:p>
    <w:p>
      <w:pPr>
        <w:pStyle w:val="Bullet1"/>
        <w:numPr>
          <w:ilvl w:val="0"/>
          <w:numId w:val="14"/>
        </w:numPr>
        <w:rPr>
          <w:noProof/>
        </w:rPr>
      </w:pPr>
      <w:r>
        <w:rPr>
          <w:noProof/>
        </w:rPr>
        <w:t>Jelenlegi költségvetési tételek</w:t>
      </w:r>
    </w:p>
    <w:p>
      <w:pPr>
        <w:ind w:left="850"/>
        <w:rPr>
          <w:noProof/>
        </w:rPr>
      </w:pPr>
      <w:r>
        <w:rPr>
          <w:noProof/>
        </w:rPr>
        <w:t xml:space="preserve">A többéves pénzügyi keret fejezetei, azon belül pedig a költségvetési tételek </w:t>
      </w:r>
      <w:r>
        <w:rPr>
          <w:noProof/>
          <w:u w:val="single"/>
        </w:rPr>
        <w:t>sorrendjében</w:t>
      </w:r>
      <w:r>
        <w:rPr>
          <w:noProof/>
        </w:rPr>
        <w:t>.</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956"/>
        <w:gridCol w:w="1080"/>
        <w:gridCol w:w="956"/>
        <w:gridCol w:w="1448"/>
      </w:tblGrid>
      <w:tr>
        <w:tc>
          <w:tcPr>
            <w:tcW w:w="1080" w:type="dxa"/>
            <w:vMerge w:val="restart"/>
            <w:vAlign w:val="center"/>
          </w:tcPr>
          <w:p>
            <w:pPr>
              <w:spacing w:before="60" w:after="60"/>
              <w:jc w:val="center"/>
              <w:rPr>
                <w:noProof/>
                <w:sz w:val="22"/>
              </w:rPr>
            </w:pPr>
            <w:r>
              <w:rPr>
                <w:noProof/>
                <w:sz w:val="18"/>
              </w:rPr>
              <w:t>A többéves pénzügyi keret fejezete</w:t>
            </w:r>
          </w:p>
        </w:tc>
        <w:tc>
          <w:tcPr>
            <w:tcW w:w="3960" w:type="dxa"/>
            <w:vAlign w:val="center"/>
          </w:tcPr>
          <w:p>
            <w:pPr>
              <w:spacing w:before="60" w:after="60"/>
              <w:jc w:val="center"/>
              <w:rPr>
                <w:noProof/>
                <w:sz w:val="22"/>
              </w:rPr>
            </w:pPr>
            <w:r>
              <w:rPr>
                <w:noProof/>
                <w:sz w:val="20"/>
              </w:rPr>
              <w:t>Költségvetési tétel</w:t>
            </w:r>
          </w:p>
        </w:tc>
        <w:tc>
          <w:tcPr>
            <w:tcW w:w="1080" w:type="dxa"/>
            <w:vAlign w:val="center"/>
          </w:tcPr>
          <w:p>
            <w:pPr>
              <w:spacing w:before="60" w:after="60"/>
              <w:jc w:val="center"/>
              <w:rPr>
                <w:noProof/>
                <w:sz w:val="22"/>
              </w:rPr>
            </w:pPr>
            <w:r>
              <w:rPr>
                <w:noProof/>
                <w:sz w:val="18"/>
              </w:rPr>
              <w:t>Kiadás</w:t>
            </w:r>
            <w:r>
              <w:rPr>
                <w:noProof/>
                <w:sz w:val="22"/>
              </w:rPr>
              <w:br/>
            </w:r>
            <w:r>
              <w:rPr>
                <w:noProof/>
                <w:sz w:val="18"/>
              </w:rPr>
              <w:t>típusa</w:t>
            </w:r>
          </w:p>
        </w:tc>
        <w:tc>
          <w:tcPr>
            <w:tcW w:w="4440" w:type="dxa"/>
            <w:gridSpan w:val="4"/>
            <w:vAlign w:val="center"/>
          </w:tcPr>
          <w:p>
            <w:pPr>
              <w:spacing w:before="60" w:after="60"/>
              <w:jc w:val="center"/>
              <w:rPr>
                <w:noProof/>
                <w:sz w:val="22"/>
              </w:rPr>
            </w:pPr>
            <w:r>
              <w:rPr>
                <w:noProof/>
                <w:sz w:val="20"/>
              </w:rPr>
              <w:t xml:space="preserve">Hozzájárulás </w:t>
            </w:r>
          </w:p>
        </w:tc>
      </w:tr>
      <w:tr>
        <w:tc>
          <w:tcPr>
            <w:tcW w:w="1080" w:type="dxa"/>
            <w:vMerge/>
            <w:vAlign w:val="center"/>
          </w:tcPr>
          <w:p>
            <w:pPr>
              <w:jc w:val="center"/>
              <w:rPr>
                <w:noProof/>
                <w:sz w:val="22"/>
              </w:rPr>
            </w:pPr>
          </w:p>
        </w:tc>
        <w:tc>
          <w:tcPr>
            <w:tcW w:w="3960" w:type="dxa"/>
            <w:vAlign w:val="center"/>
          </w:tcPr>
          <w:p>
            <w:pPr>
              <w:rPr>
                <w:noProof/>
                <w:sz w:val="22"/>
              </w:rPr>
            </w:pPr>
            <w:r>
              <w:rPr>
                <w:noProof/>
                <w:sz w:val="20"/>
              </w:rPr>
              <w:t>Szám</w:t>
            </w:r>
            <w:r>
              <w:rPr>
                <w:noProof/>
                <w:sz w:val="22"/>
              </w:rPr>
              <w:br/>
            </w:r>
            <w:r>
              <w:rPr>
                <w:noProof/>
                <w:sz w:val="20"/>
              </w:rPr>
              <w:t>3. fejezet</w:t>
            </w:r>
          </w:p>
        </w:tc>
        <w:tc>
          <w:tcPr>
            <w:tcW w:w="1080" w:type="dxa"/>
            <w:vAlign w:val="center"/>
          </w:tcPr>
          <w:p>
            <w:pPr>
              <w:jc w:val="center"/>
              <w:rPr>
                <w:noProof/>
                <w:sz w:val="22"/>
              </w:rPr>
            </w:pPr>
            <w:r>
              <w:rPr>
                <w:noProof/>
                <w:sz w:val="18"/>
              </w:rPr>
              <w:t>diff./nem diff.</w:t>
            </w:r>
            <w:r>
              <w:rPr>
                <w:rStyle w:val="FootnoteReference"/>
                <w:noProof/>
                <w:sz w:val="18"/>
              </w:rPr>
              <w:footnoteReference w:id="24"/>
            </w:r>
            <w:r>
              <w:rPr>
                <w:rStyle w:val="CommentReference"/>
                <w:noProof/>
              </w:rPr>
              <w:t xml:space="preserve"> </w:t>
            </w:r>
          </w:p>
        </w:tc>
        <w:tc>
          <w:tcPr>
            <w:tcW w:w="956" w:type="dxa"/>
            <w:vAlign w:val="center"/>
          </w:tcPr>
          <w:p>
            <w:pPr>
              <w:jc w:val="center"/>
              <w:rPr>
                <w:noProof/>
                <w:sz w:val="22"/>
              </w:rPr>
            </w:pPr>
            <w:r>
              <w:rPr>
                <w:noProof/>
                <w:sz w:val="18"/>
              </w:rPr>
              <w:t>EFTA-országoktól</w:t>
            </w:r>
            <w:r>
              <w:rPr>
                <w:rStyle w:val="FootnoteReference"/>
                <w:noProof/>
              </w:rPr>
              <w:footnoteReference w:id="25"/>
            </w:r>
          </w:p>
          <w:p>
            <w:pPr>
              <w:spacing w:before="0" w:after="0"/>
              <w:jc w:val="center"/>
              <w:rPr>
                <w:b/>
                <w:noProof/>
                <w:sz w:val="18"/>
              </w:rPr>
            </w:pPr>
          </w:p>
        </w:tc>
        <w:tc>
          <w:tcPr>
            <w:tcW w:w="1080" w:type="dxa"/>
            <w:vAlign w:val="center"/>
          </w:tcPr>
          <w:p>
            <w:pPr>
              <w:jc w:val="center"/>
              <w:rPr>
                <w:noProof/>
                <w:sz w:val="22"/>
              </w:rPr>
            </w:pPr>
            <w:r>
              <w:rPr>
                <w:noProof/>
                <w:sz w:val="18"/>
              </w:rPr>
              <w:t>tagjelölt országoktól</w:t>
            </w:r>
            <w:r>
              <w:rPr>
                <w:rStyle w:val="FootnoteReference"/>
                <w:noProof/>
              </w:rPr>
              <w:footnoteReference w:id="26"/>
            </w:r>
          </w:p>
          <w:p>
            <w:pPr>
              <w:spacing w:before="0" w:after="0"/>
              <w:jc w:val="center"/>
              <w:rPr>
                <w:noProof/>
                <w:sz w:val="18"/>
              </w:rPr>
            </w:pPr>
          </w:p>
        </w:tc>
        <w:tc>
          <w:tcPr>
            <w:tcW w:w="956" w:type="dxa"/>
            <w:vAlign w:val="center"/>
          </w:tcPr>
          <w:p>
            <w:pPr>
              <w:jc w:val="center"/>
              <w:rPr>
                <w:noProof/>
                <w:sz w:val="18"/>
              </w:rPr>
            </w:pPr>
            <w:r>
              <w:rPr>
                <w:noProof/>
                <w:sz w:val="18"/>
              </w:rPr>
              <w:t>harmadik országoktól</w:t>
            </w:r>
          </w:p>
        </w:tc>
        <w:tc>
          <w:tcPr>
            <w:tcW w:w="1448" w:type="dxa"/>
            <w:vAlign w:val="center"/>
          </w:tcPr>
          <w:p>
            <w:pPr>
              <w:jc w:val="center"/>
              <w:rPr>
                <w:noProof/>
                <w:sz w:val="22"/>
              </w:rPr>
            </w:pPr>
            <w:r>
              <w:rPr>
                <w:noProof/>
                <w:sz w:val="16"/>
              </w:rPr>
              <w:t xml:space="preserve">a költségvetési rendelet 21. cikke (2) bekezdésének b) pontja értelmében </w:t>
            </w:r>
          </w:p>
        </w:tc>
      </w:tr>
      <w:tr>
        <w:tc>
          <w:tcPr>
            <w:tcW w:w="1080" w:type="dxa"/>
            <w:vAlign w:val="center"/>
          </w:tcPr>
          <w:p>
            <w:pPr>
              <w:jc w:val="center"/>
              <w:rPr>
                <w:noProof/>
                <w:color w:val="0000FF"/>
                <w:sz w:val="22"/>
              </w:rPr>
            </w:pPr>
          </w:p>
        </w:tc>
        <w:tc>
          <w:tcPr>
            <w:tcW w:w="3960" w:type="dxa"/>
            <w:vAlign w:val="center"/>
          </w:tcPr>
          <w:p>
            <w:pPr>
              <w:spacing w:before="60"/>
              <w:rPr>
                <w:noProof/>
                <w:sz w:val="22"/>
              </w:rPr>
            </w:pPr>
            <w:r>
              <w:rPr>
                <w:noProof/>
                <w:sz w:val="22"/>
              </w:rPr>
              <w:t>Kábítószer és Kábítószerfüggőség Európai Megfigyelőközpontja (EMCDDA)</w:t>
            </w:r>
          </w:p>
          <w:p>
            <w:pPr>
              <w:spacing w:before="60"/>
              <w:rPr>
                <w:noProof/>
                <w:sz w:val="22"/>
              </w:rPr>
            </w:pPr>
            <w:r>
              <w:rPr>
                <w:noProof/>
                <w:sz w:val="22"/>
              </w:rPr>
              <w:t>18 06 02</w:t>
            </w:r>
          </w:p>
          <w:p>
            <w:pPr>
              <w:spacing w:after="60"/>
              <w:rPr>
                <w:noProof/>
                <w:sz w:val="22"/>
              </w:rPr>
            </w:pPr>
          </w:p>
        </w:tc>
        <w:tc>
          <w:tcPr>
            <w:tcW w:w="1080" w:type="dxa"/>
            <w:vAlign w:val="center"/>
          </w:tcPr>
          <w:p>
            <w:pPr>
              <w:jc w:val="center"/>
              <w:rPr>
                <w:noProof/>
                <w:color w:val="0000FF"/>
                <w:sz w:val="22"/>
              </w:rPr>
            </w:pPr>
            <w:r>
              <w:rPr>
                <w:noProof/>
                <w:sz w:val="22"/>
              </w:rPr>
              <w:t>diff.</w:t>
            </w:r>
          </w:p>
        </w:tc>
        <w:tc>
          <w:tcPr>
            <w:tcW w:w="956" w:type="dxa"/>
            <w:vAlign w:val="center"/>
          </w:tcPr>
          <w:p>
            <w:pPr>
              <w:jc w:val="center"/>
              <w:rPr>
                <w:noProof/>
                <w:sz w:val="22"/>
              </w:rPr>
            </w:pPr>
            <w:r>
              <w:rPr>
                <w:noProof/>
                <w:sz w:val="22"/>
              </w:rPr>
              <w:t>NEM</w:t>
            </w:r>
          </w:p>
        </w:tc>
        <w:tc>
          <w:tcPr>
            <w:tcW w:w="1080" w:type="dxa"/>
            <w:vAlign w:val="center"/>
          </w:tcPr>
          <w:p>
            <w:pPr>
              <w:jc w:val="center"/>
              <w:rPr>
                <w:noProof/>
                <w:sz w:val="22"/>
              </w:rPr>
            </w:pPr>
            <w:r>
              <w:rPr>
                <w:noProof/>
                <w:sz w:val="22"/>
              </w:rPr>
              <w:t>NEM</w:t>
            </w:r>
          </w:p>
        </w:tc>
        <w:tc>
          <w:tcPr>
            <w:tcW w:w="956" w:type="dxa"/>
            <w:vAlign w:val="center"/>
          </w:tcPr>
          <w:p>
            <w:pPr>
              <w:jc w:val="center"/>
              <w:rPr>
                <w:noProof/>
                <w:sz w:val="22"/>
              </w:rPr>
            </w:pPr>
            <w:r>
              <w:rPr>
                <w:noProof/>
                <w:sz w:val="22"/>
              </w:rPr>
              <w:t>NEM</w:t>
            </w:r>
          </w:p>
        </w:tc>
        <w:tc>
          <w:tcPr>
            <w:tcW w:w="1448" w:type="dxa"/>
            <w:vAlign w:val="center"/>
          </w:tcPr>
          <w:p>
            <w:pPr>
              <w:jc w:val="center"/>
              <w:rPr>
                <w:noProof/>
                <w:sz w:val="22"/>
              </w:rPr>
            </w:pPr>
            <w:r>
              <w:rPr>
                <w:noProof/>
                <w:sz w:val="22"/>
              </w:rPr>
              <w:t>NEM</w:t>
            </w:r>
          </w:p>
        </w:tc>
      </w:tr>
    </w:tbl>
    <w:p>
      <w:pPr>
        <w:pStyle w:val="Bullet1"/>
        <w:rPr>
          <w:noProof/>
        </w:rPr>
      </w:pPr>
      <w:r>
        <w:rPr>
          <w:noProof/>
        </w:rPr>
        <w:t>Létrehozandó új költségvetési tételek – nem alkalmazandó</w:t>
      </w:r>
    </w:p>
    <w:p>
      <w:pPr>
        <w:ind w:left="850"/>
        <w:rPr>
          <w:i/>
          <w:noProof/>
          <w:sz w:val="20"/>
        </w:rPr>
      </w:pPr>
      <w:r>
        <w:rPr>
          <w:i/>
          <w:noProof/>
        </w:rPr>
        <w:t xml:space="preserve">A többéves pénzügyi keret fejezetei, azon belül pedig a költségvetési tételek </w:t>
      </w:r>
      <w:r>
        <w:rPr>
          <w:i/>
          <w:noProof/>
          <w:u w:val="single"/>
        </w:rPr>
        <w:t>sorrendjében</w:t>
      </w:r>
      <w:r>
        <w:rPr>
          <w:i/>
          <w:noProof/>
        </w:rPr>
        <w:t>.</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956"/>
        <w:gridCol w:w="1080"/>
        <w:gridCol w:w="956"/>
        <w:gridCol w:w="1448"/>
      </w:tblGrid>
      <w:tr>
        <w:tc>
          <w:tcPr>
            <w:tcW w:w="1080" w:type="dxa"/>
            <w:vMerge w:val="restart"/>
            <w:vAlign w:val="center"/>
          </w:tcPr>
          <w:p>
            <w:pPr>
              <w:spacing w:before="60" w:after="60"/>
              <w:jc w:val="center"/>
              <w:rPr>
                <w:noProof/>
                <w:sz w:val="18"/>
                <w:szCs w:val="18"/>
              </w:rPr>
            </w:pPr>
            <w:r>
              <w:rPr>
                <w:noProof/>
                <w:sz w:val="18"/>
              </w:rPr>
              <w:t>A többéves pénzügyi keret fejezete</w:t>
            </w:r>
          </w:p>
        </w:tc>
        <w:tc>
          <w:tcPr>
            <w:tcW w:w="3960" w:type="dxa"/>
            <w:vAlign w:val="center"/>
          </w:tcPr>
          <w:p>
            <w:pPr>
              <w:spacing w:before="60" w:after="60"/>
              <w:jc w:val="center"/>
              <w:rPr>
                <w:noProof/>
                <w:sz w:val="22"/>
              </w:rPr>
            </w:pPr>
            <w:r>
              <w:rPr>
                <w:noProof/>
                <w:sz w:val="20"/>
              </w:rPr>
              <w:t>Költségvetési tétel</w:t>
            </w:r>
          </w:p>
        </w:tc>
        <w:tc>
          <w:tcPr>
            <w:tcW w:w="1080" w:type="dxa"/>
            <w:vAlign w:val="center"/>
          </w:tcPr>
          <w:p>
            <w:pPr>
              <w:spacing w:before="60" w:after="60"/>
              <w:jc w:val="center"/>
              <w:rPr>
                <w:noProof/>
                <w:sz w:val="22"/>
              </w:rPr>
            </w:pPr>
            <w:r>
              <w:rPr>
                <w:noProof/>
                <w:sz w:val="18"/>
              </w:rPr>
              <w:t>Kiadás</w:t>
            </w:r>
            <w:r>
              <w:rPr>
                <w:noProof/>
                <w:sz w:val="22"/>
              </w:rPr>
              <w:br/>
            </w:r>
            <w:r>
              <w:rPr>
                <w:noProof/>
                <w:sz w:val="18"/>
              </w:rPr>
              <w:t>típusa</w:t>
            </w:r>
          </w:p>
        </w:tc>
        <w:tc>
          <w:tcPr>
            <w:tcW w:w="4440" w:type="dxa"/>
            <w:gridSpan w:val="4"/>
            <w:vAlign w:val="center"/>
          </w:tcPr>
          <w:p>
            <w:pPr>
              <w:spacing w:before="60" w:after="60"/>
              <w:jc w:val="center"/>
              <w:rPr>
                <w:noProof/>
                <w:sz w:val="22"/>
              </w:rPr>
            </w:pPr>
            <w:r>
              <w:rPr>
                <w:noProof/>
                <w:sz w:val="20"/>
              </w:rPr>
              <w:t xml:space="preserve">Hozzájárulás </w:t>
            </w:r>
          </w:p>
        </w:tc>
      </w:tr>
      <w:tr>
        <w:tc>
          <w:tcPr>
            <w:tcW w:w="1080" w:type="dxa"/>
            <w:vMerge/>
            <w:vAlign w:val="center"/>
          </w:tcPr>
          <w:p>
            <w:pPr>
              <w:jc w:val="center"/>
              <w:rPr>
                <w:noProof/>
                <w:sz w:val="22"/>
              </w:rPr>
            </w:pPr>
          </w:p>
        </w:tc>
        <w:tc>
          <w:tcPr>
            <w:tcW w:w="3960" w:type="dxa"/>
            <w:vAlign w:val="center"/>
          </w:tcPr>
          <w:p>
            <w:pPr>
              <w:rPr>
                <w:noProof/>
                <w:sz w:val="22"/>
              </w:rPr>
            </w:pPr>
            <w:r>
              <w:rPr>
                <w:noProof/>
                <w:sz w:val="20"/>
              </w:rPr>
              <w:t>Szám</w:t>
            </w:r>
            <w:r>
              <w:rPr>
                <w:noProof/>
                <w:sz w:val="22"/>
              </w:rPr>
              <w:br/>
            </w:r>
            <w:r>
              <w:rPr>
                <w:noProof/>
                <w:color w:val="0000FF"/>
                <w:sz w:val="22"/>
              </w:rPr>
              <w:t>[…]</w:t>
            </w:r>
            <w:r>
              <w:rPr>
                <w:noProof/>
                <w:sz w:val="20"/>
              </w:rPr>
              <w:t>[Megnevezés………………………………………]</w:t>
            </w:r>
          </w:p>
        </w:tc>
        <w:tc>
          <w:tcPr>
            <w:tcW w:w="1080" w:type="dxa"/>
            <w:vAlign w:val="center"/>
          </w:tcPr>
          <w:p>
            <w:pPr>
              <w:jc w:val="center"/>
              <w:rPr>
                <w:noProof/>
                <w:sz w:val="22"/>
              </w:rPr>
            </w:pPr>
            <w:r>
              <w:rPr>
                <w:noProof/>
                <w:sz w:val="18"/>
              </w:rPr>
              <w:t>diff./nem diff.</w:t>
            </w:r>
          </w:p>
        </w:tc>
        <w:tc>
          <w:tcPr>
            <w:tcW w:w="956" w:type="dxa"/>
            <w:vAlign w:val="center"/>
          </w:tcPr>
          <w:p>
            <w:pPr>
              <w:jc w:val="center"/>
              <w:rPr>
                <w:noProof/>
                <w:sz w:val="18"/>
              </w:rPr>
            </w:pPr>
            <w:r>
              <w:rPr>
                <w:noProof/>
                <w:sz w:val="18"/>
              </w:rPr>
              <w:t>EFTA-országoktól</w:t>
            </w:r>
          </w:p>
        </w:tc>
        <w:tc>
          <w:tcPr>
            <w:tcW w:w="1080" w:type="dxa"/>
            <w:vAlign w:val="center"/>
          </w:tcPr>
          <w:p>
            <w:pPr>
              <w:jc w:val="center"/>
              <w:rPr>
                <w:noProof/>
                <w:sz w:val="18"/>
              </w:rPr>
            </w:pPr>
            <w:r>
              <w:rPr>
                <w:noProof/>
                <w:sz w:val="18"/>
              </w:rPr>
              <w:t>tagjelölt országoktól</w:t>
            </w:r>
          </w:p>
        </w:tc>
        <w:tc>
          <w:tcPr>
            <w:tcW w:w="956" w:type="dxa"/>
            <w:vAlign w:val="center"/>
          </w:tcPr>
          <w:p>
            <w:pPr>
              <w:jc w:val="center"/>
              <w:rPr>
                <w:noProof/>
                <w:sz w:val="18"/>
              </w:rPr>
            </w:pPr>
            <w:r>
              <w:rPr>
                <w:noProof/>
                <w:sz w:val="18"/>
              </w:rPr>
              <w:t>harmadik országoktól</w:t>
            </w:r>
          </w:p>
        </w:tc>
        <w:tc>
          <w:tcPr>
            <w:tcW w:w="1448" w:type="dxa"/>
            <w:vAlign w:val="center"/>
          </w:tcPr>
          <w:p>
            <w:pPr>
              <w:jc w:val="center"/>
              <w:rPr>
                <w:noProof/>
                <w:sz w:val="22"/>
              </w:rPr>
            </w:pPr>
            <w:r>
              <w:rPr>
                <w:noProof/>
                <w:sz w:val="16"/>
              </w:rPr>
              <w:t xml:space="preserve">a költségvetési rendelet 21. cikke (2) bekezdésének b) pontja értelmében </w:t>
            </w:r>
          </w:p>
        </w:tc>
      </w:tr>
      <w:tr>
        <w:tc>
          <w:tcPr>
            <w:tcW w:w="1080" w:type="dxa"/>
            <w:vAlign w:val="center"/>
          </w:tcPr>
          <w:p>
            <w:pPr>
              <w:jc w:val="center"/>
              <w:rPr>
                <w:noProof/>
                <w:color w:val="0000FF"/>
                <w:sz w:val="22"/>
              </w:rPr>
            </w:pPr>
          </w:p>
        </w:tc>
        <w:tc>
          <w:tcPr>
            <w:tcW w:w="3960" w:type="dxa"/>
            <w:vAlign w:val="center"/>
          </w:tcPr>
          <w:p>
            <w:pPr>
              <w:spacing w:before="60"/>
              <w:rPr>
                <w:noProof/>
                <w:sz w:val="22"/>
              </w:rPr>
            </w:pPr>
            <w:r>
              <w:rPr>
                <w:noProof/>
                <w:color w:val="0000FF"/>
                <w:sz w:val="22"/>
              </w:rPr>
              <w:t>[…]</w:t>
            </w:r>
            <w:r>
              <w:rPr>
                <w:noProof/>
                <w:sz w:val="22"/>
              </w:rPr>
              <w:t>[XX.YY.YY.YY]</w:t>
            </w:r>
          </w:p>
          <w:p>
            <w:pPr>
              <w:spacing w:after="60"/>
              <w:rPr>
                <w:noProof/>
                <w:color w:val="0000FF"/>
                <w:sz w:val="22"/>
              </w:rPr>
            </w:pPr>
          </w:p>
        </w:tc>
        <w:tc>
          <w:tcPr>
            <w:tcW w:w="1080" w:type="dxa"/>
            <w:vAlign w:val="center"/>
          </w:tcPr>
          <w:p>
            <w:pPr>
              <w:jc w:val="center"/>
              <w:rPr>
                <w:noProof/>
                <w:color w:val="0000FF"/>
                <w:sz w:val="22"/>
              </w:rPr>
            </w:pPr>
          </w:p>
        </w:tc>
        <w:tc>
          <w:tcPr>
            <w:tcW w:w="956" w:type="dxa"/>
            <w:vAlign w:val="center"/>
          </w:tcPr>
          <w:p>
            <w:pPr>
              <w:jc w:val="center"/>
              <w:rPr>
                <w:noProof/>
                <w:sz w:val="22"/>
              </w:rPr>
            </w:pPr>
            <w:r>
              <w:rPr>
                <w:noProof/>
                <w:sz w:val="22"/>
              </w:rPr>
              <w:t>IGEN/NEM</w:t>
            </w:r>
          </w:p>
        </w:tc>
        <w:tc>
          <w:tcPr>
            <w:tcW w:w="1080" w:type="dxa"/>
            <w:vAlign w:val="center"/>
          </w:tcPr>
          <w:p>
            <w:pPr>
              <w:jc w:val="center"/>
              <w:rPr>
                <w:noProof/>
                <w:color w:val="0000FF"/>
                <w:sz w:val="18"/>
              </w:rPr>
            </w:pPr>
            <w:r>
              <w:rPr>
                <w:noProof/>
                <w:sz w:val="22"/>
              </w:rPr>
              <w:t>IGEN/NEM</w:t>
            </w:r>
          </w:p>
        </w:tc>
        <w:tc>
          <w:tcPr>
            <w:tcW w:w="956" w:type="dxa"/>
            <w:vAlign w:val="center"/>
          </w:tcPr>
          <w:p>
            <w:pPr>
              <w:jc w:val="center"/>
              <w:rPr>
                <w:noProof/>
                <w:color w:val="0000FF"/>
                <w:sz w:val="18"/>
              </w:rPr>
            </w:pPr>
            <w:r>
              <w:rPr>
                <w:noProof/>
                <w:sz w:val="22"/>
              </w:rPr>
              <w:t>IGEN/NEM</w:t>
            </w:r>
          </w:p>
        </w:tc>
        <w:tc>
          <w:tcPr>
            <w:tcW w:w="1448" w:type="dxa"/>
            <w:vAlign w:val="center"/>
          </w:tcPr>
          <w:p>
            <w:pPr>
              <w:jc w:val="center"/>
              <w:rPr>
                <w:noProof/>
                <w:sz w:val="22"/>
              </w:rPr>
            </w:pPr>
            <w:r>
              <w:rPr>
                <w:noProof/>
                <w:sz w:val="22"/>
              </w:rPr>
              <w:t>IGEN/NEM</w:t>
            </w:r>
          </w:p>
        </w:tc>
      </w:tr>
    </w:tbl>
    <w:p>
      <w:pPr>
        <w:rPr>
          <w:noProof/>
        </w:rPr>
        <w:sectPr>
          <w:pgSz w:w="11907" w:h="16840" w:code="1"/>
          <w:pgMar w:top="1134" w:right="1418" w:bottom="1134" w:left="1418" w:header="709" w:footer="709" w:gutter="0"/>
          <w:cols w:space="708"/>
          <w:docGrid w:linePitch="360"/>
        </w:sectPr>
      </w:pPr>
    </w:p>
    <w:p>
      <w:pPr>
        <w:pStyle w:val="ManualNumPar2"/>
        <w:rPr>
          <w:noProof/>
        </w:rPr>
      </w:pPr>
      <w:r>
        <w:t>3.2.</w:t>
      </w:r>
      <w:r>
        <w:tab/>
      </w:r>
      <w:r>
        <w:rPr>
          <w:noProof/>
        </w:rPr>
        <w:t>A kiadásokra gyakorolt becsült hatás</w:t>
      </w:r>
    </w:p>
    <w:p>
      <w:pPr>
        <w:pStyle w:val="ManualNumPar3"/>
        <w:rPr>
          <w:noProof/>
        </w:rPr>
      </w:pPr>
      <w:r>
        <w:t>3.2.1.</w:t>
      </w:r>
      <w:r>
        <w:tab/>
      </w:r>
      <w:r>
        <w:rPr>
          <w:noProof/>
        </w:rPr>
        <w:t>A kiadásokra gyakorolt becsült hatás összegzése</w:t>
      </w:r>
    </w:p>
    <w:p>
      <w:pPr>
        <w:jc w:val="right"/>
        <w:rPr>
          <w:noProof/>
          <w:sz w:val="20"/>
        </w:rPr>
      </w:pPr>
      <w:r>
        <w:rPr>
          <w:noProof/>
          <w:sz w:val="20"/>
        </w:rPr>
        <w:t>millió EUR (három tizedesjegyig)</w:t>
      </w:r>
    </w:p>
    <w:tbl>
      <w:tblPr>
        <w:tblW w:w="0" w:type="auto"/>
        <w:jc w:val="center"/>
        <w:tblInd w:w="-2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trPr>
          <w:jc w:val="center"/>
        </w:trPr>
        <w:tc>
          <w:tcPr>
            <w:tcW w:w="4744" w:type="dxa"/>
            <w:shd w:val="thinDiagStripe" w:color="C0C0C0" w:fill="auto"/>
            <w:vAlign w:val="center"/>
          </w:tcPr>
          <w:p>
            <w:pPr>
              <w:spacing w:before="60" w:after="60"/>
              <w:jc w:val="center"/>
              <w:rPr>
                <w:b/>
                <w:noProof/>
                <w:sz w:val="22"/>
              </w:rPr>
            </w:pPr>
            <w:r>
              <w:rPr>
                <w:b/>
                <w:noProof/>
                <w:sz w:val="22"/>
              </w:rPr>
              <w:t>A többéves pénzügyi keret</w:t>
            </w:r>
            <w:r>
              <w:rPr>
                <w:noProof/>
                <w:sz w:val="22"/>
              </w:rPr>
              <w:br/>
            </w:r>
            <w:r>
              <w:rPr>
                <w:b/>
                <w:noProof/>
                <w:sz w:val="22"/>
              </w:rPr>
              <w:t xml:space="preserve">fejezete </w:t>
            </w:r>
          </w:p>
        </w:tc>
        <w:tc>
          <w:tcPr>
            <w:tcW w:w="1080" w:type="dxa"/>
            <w:vAlign w:val="center"/>
          </w:tcPr>
          <w:p>
            <w:pPr>
              <w:spacing w:before="60" w:after="60"/>
              <w:jc w:val="center"/>
              <w:rPr>
                <w:noProof/>
                <w:sz w:val="22"/>
              </w:rPr>
            </w:pPr>
            <w:r>
              <w:rPr>
                <w:noProof/>
                <w:sz w:val="22"/>
              </w:rPr>
              <w:t>Szám</w:t>
            </w:r>
          </w:p>
        </w:tc>
        <w:tc>
          <w:tcPr>
            <w:tcW w:w="7817" w:type="dxa"/>
            <w:vAlign w:val="center"/>
          </w:tcPr>
          <w:p>
            <w:pPr>
              <w:spacing w:before="60" w:after="60"/>
              <w:rPr>
                <w:noProof/>
                <w:sz w:val="22"/>
              </w:rPr>
            </w:pPr>
            <w:r>
              <w:rPr>
                <w:noProof/>
                <w:sz w:val="22"/>
              </w:rPr>
              <w:t xml:space="preserve"> 3. fejezet</w:t>
            </w:r>
          </w:p>
        </w:tc>
      </w:tr>
    </w:tbl>
    <w:p>
      <w:pPr>
        <w:rPr>
          <w:noProof/>
          <w:sz w:val="16"/>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120"/>
        <w:gridCol w:w="534"/>
        <w:gridCol w:w="868"/>
        <w:gridCol w:w="868"/>
        <w:gridCol w:w="868"/>
        <w:gridCol w:w="868"/>
        <w:gridCol w:w="868"/>
        <w:gridCol w:w="868"/>
        <w:gridCol w:w="868"/>
        <w:gridCol w:w="1777"/>
      </w:tblGrid>
      <w:tr>
        <w:tc>
          <w:tcPr>
            <w:tcW w:w="3960" w:type="dxa"/>
            <w:vAlign w:val="center"/>
          </w:tcPr>
          <w:p>
            <w:pPr>
              <w:jc w:val="center"/>
              <w:rPr>
                <w:noProof/>
                <w:sz w:val="22"/>
              </w:rPr>
            </w:pPr>
            <w:r>
              <w:rPr>
                <w:noProof/>
                <w:sz w:val="22"/>
              </w:rPr>
              <w:t>EMCDDA</w:t>
            </w:r>
          </w:p>
        </w:tc>
        <w:tc>
          <w:tcPr>
            <w:tcW w:w="1560" w:type="dxa"/>
            <w:gridSpan w:val="2"/>
          </w:tcPr>
          <w:p>
            <w:pPr>
              <w:rPr>
                <w:noProof/>
                <w:sz w:val="20"/>
              </w:rPr>
            </w:pPr>
          </w:p>
        </w:tc>
        <w:tc>
          <w:tcPr>
            <w:tcW w:w="534" w:type="dxa"/>
          </w:tcPr>
          <w:p>
            <w:pPr>
              <w:jc w:val="center"/>
              <w:rPr>
                <w:noProof/>
                <w:sz w:val="20"/>
              </w:rPr>
            </w:pPr>
          </w:p>
        </w:tc>
        <w:tc>
          <w:tcPr>
            <w:tcW w:w="868" w:type="dxa"/>
            <w:vAlign w:val="center"/>
          </w:tcPr>
          <w:p>
            <w:pPr>
              <w:jc w:val="center"/>
              <w:rPr>
                <w:noProof/>
                <w:sz w:val="20"/>
              </w:rPr>
            </w:pPr>
            <w:r>
              <w:rPr>
                <w:noProof/>
                <w:sz w:val="20"/>
              </w:rPr>
              <w:br/>
            </w:r>
            <w:r>
              <w:rPr>
                <w:b/>
                <w:noProof/>
                <w:sz w:val="20"/>
              </w:rPr>
              <w:t>2017</w:t>
            </w:r>
            <w:r>
              <w:rPr>
                <w:noProof/>
                <w:sz w:val="20"/>
              </w:rPr>
              <w:t>. év</w:t>
            </w:r>
            <w:r>
              <w:rPr>
                <w:rStyle w:val="FootnoteReference"/>
                <w:noProof/>
              </w:rPr>
              <w:footnoteReference w:id="27"/>
            </w:r>
          </w:p>
        </w:tc>
        <w:tc>
          <w:tcPr>
            <w:tcW w:w="868" w:type="dxa"/>
            <w:vAlign w:val="center"/>
          </w:tcPr>
          <w:p>
            <w:pPr>
              <w:jc w:val="center"/>
              <w:rPr>
                <w:noProof/>
                <w:sz w:val="20"/>
              </w:rPr>
            </w:pPr>
            <w:r>
              <w:rPr>
                <w:noProof/>
                <w:sz w:val="22"/>
              </w:rPr>
              <w:br/>
            </w:r>
            <w:r>
              <w:rPr>
                <w:b/>
                <w:noProof/>
                <w:sz w:val="20"/>
              </w:rPr>
              <w:t>2018</w:t>
            </w:r>
            <w:r>
              <w:rPr>
                <w:noProof/>
              </w:rPr>
              <w:t>. év</w:t>
            </w:r>
          </w:p>
        </w:tc>
        <w:tc>
          <w:tcPr>
            <w:tcW w:w="868" w:type="dxa"/>
            <w:vAlign w:val="center"/>
          </w:tcPr>
          <w:p>
            <w:pPr>
              <w:jc w:val="center"/>
              <w:rPr>
                <w:b/>
                <w:noProof/>
                <w:sz w:val="20"/>
              </w:rPr>
            </w:pPr>
            <w:r>
              <w:rPr>
                <w:noProof/>
                <w:sz w:val="22"/>
              </w:rPr>
              <w:br/>
            </w:r>
            <w:r>
              <w:rPr>
                <w:b/>
                <w:noProof/>
                <w:sz w:val="20"/>
              </w:rPr>
              <w:t>2019</w:t>
            </w:r>
            <w:r>
              <w:rPr>
                <w:noProof/>
              </w:rPr>
              <w:t>. év</w:t>
            </w:r>
          </w:p>
        </w:tc>
        <w:tc>
          <w:tcPr>
            <w:tcW w:w="868" w:type="dxa"/>
            <w:vAlign w:val="center"/>
          </w:tcPr>
          <w:p>
            <w:pPr>
              <w:jc w:val="center"/>
              <w:rPr>
                <w:noProof/>
                <w:sz w:val="20"/>
              </w:rPr>
            </w:pPr>
            <w:r>
              <w:rPr>
                <w:noProof/>
                <w:sz w:val="22"/>
              </w:rPr>
              <w:br/>
            </w:r>
            <w:r>
              <w:rPr>
                <w:b/>
                <w:noProof/>
                <w:sz w:val="20"/>
              </w:rPr>
              <w:t>2020</w:t>
            </w:r>
            <w:r>
              <w:rPr>
                <w:noProof/>
              </w:rPr>
              <w:t>. év</w:t>
            </w:r>
          </w:p>
        </w:tc>
        <w:tc>
          <w:tcPr>
            <w:tcW w:w="2604" w:type="dxa"/>
            <w:gridSpan w:val="3"/>
            <w:vAlign w:val="center"/>
          </w:tcPr>
          <w:p>
            <w:pPr>
              <w:jc w:val="center"/>
              <w:rPr>
                <w:b/>
                <w:noProof/>
                <w:sz w:val="18"/>
              </w:rPr>
            </w:pPr>
            <w:r>
              <w:rPr>
                <w:noProof/>
                <w:sz w:val="18"/>
              </w:rPr>
              <w:t>A táblázat a hatás időtartamának megfelelően (vö. 1.6. pont) további évekkel bővíthető</w:t>
            </w:r>
          </w:p>
        </w:tc>
        <w:tc>
          <w:tcPr>
            <w:tcW w:w="1777" w:type="dxa"/>
            <w:vAlign w:val="center"/>
          </w:tcPr>
          <w:p>
            <w:pPr>
              <w:jc w:val="center"/>
              <w:rPr>
                <w:b/>
                <w:noProof/>
                <w:sz w:val="20"/>
              </w:rPr>
            </w:pPr>
            <w:r>
              <w:rPr>
                <w:b/>
                <w:noProof/>
                <w:sz w:val="20"/>
              </w:rPr>
              <w:t>ÖSSZESEN</w:t>
            </w:r>
          </w:p>
        </w:tc>
      </w:tr>
      <w:tr>
        <w:trPr>
          <w:trHeight w:val="213"/>
        </w:trPr>
        <w:tc>
          <w:tcPr>
            <w:tcW w:w="6054" w:type="dxa"/>
            <w:gridSpan w:val="4"/>
            <w:vAlign w:val="center"/>
          </w:tcPr>
          <w:p>
            <w:pPr>
              <w:spacing w:before="20" w:after="20"/>
              <w:rPr>
                <w:noProof/>
                <w:sz w:val="21"/>
              </w:rPr>
            </w:pPr>
            <w:r>
              <w:rPr>
                <w:noProof/>
                <w:sz w:val="21"/>
              </w:rPr>
              <w:sym w:font="Wingdings" w:char="F09F"/>
            </w:r>
            <w:r>
              <w:rPr>
                <w:noProof/>
                <w:sz w:val="21"/>
              </w:rPr>
              <w:t xml:space="preserve"> Operatív előirányzatok</w:t>
            </w:r>
          </w:p>
        </w:tc>
        <w:tc>
          <w:tcPr>
            <w:tcW w:w="868" w:type="dxa"/>
            <w:vAlign w:val="center"/>
          </w:tcPr>
          <w:p>
            <w:pPr>
              <w:rPr>
                <w:noProof/>
                <w:sz w:val="20"/>
              </w:rPr>
            </w:pPr>
          </w:p>
        </w:tc>
        <w:tc>
          <w:tcPr>
            <w:tcW w:w="868" w:type="dxa"/>
            <w:vAlign w:val="center"/>
          </w:tcPr>
          <w:p>
            <w:pPr>
              <w:rPr>
                <w:noProof/>
                <w:sz w:val="20"/>
              </w:rPr>
            </w:pPr>
          </w:p>
        </w:tc>
        <w:tc>
          <w:tcPr>
            <w:tcW w:w="868" w:type="dxa"/>
            <w:vAlign w:val="center"/>
          </w:tcPr>
          <w:p>
            <w:pPr>
              <w:rPr>
                <w:noProof/>
                <w:sz w:val="20"/>
              </w:rPr>
            </w:pPr>
          </w:p>
        </w:tc>
        <w:tc>
          <w:tcPr>
            <w:tcW w:w="868" w:type="dxa"/>
            <w:vAlign w:val="center"/>
          </w:tcPr>
          <w:p>
            <w:pPr>
              <w:rPr>
                <w:noProof/>
                <w:sz w:val="20"/>
              </w:rPr>
            </w:pPr>
          </w:p>
        </w:tc>
        <w:tc>
          <w:tcPr>
            <w:tcW w:w="868" w:type="dxa"/>
            <w:vAlign w:val="center"/>
          </w:tcPr>
          <w:p>
            <w:pPr>
              <w:rPr>
                <w:noProof/>
                <w:sz w:val="20"/>
              </w:rPr>
            </w:pPr>
          </w:p>
        </w:tc>
        <w:tc>
          <w:tcPr>
            <w:tcW w:w="868" w:type="dxa"/>
            <w:vAlign w:val="center"/>
          </w:tcPr>
          <w:p>
            <w:pPr>
              <w:rPr>
                <w:noProof/>
                <w:sz w:val="20"/>
              </w:rPr>
            </w:pPr>
          </w:p>
        </w:tc>
        <w:tc>
          <w:tcPr>
            <w:tcW w:w="868" w:type="dxa"/>
            <w:vAlign w:val="center"/>
          </w:tcPr>
          <w:p>
            <w:pPr>
              <w:rPr>
                <w:b/>
                <w:noProof/>
                <w:sz w:val="20"/>
              </w:rPr>
            </w:pPr>
          </w:p>
        </w:tc>
        <w:tc>
          <w:tcPr>
            <w:tcW w:w="1777" w:type="dxa"/>
            <w:vAlign w:val="center"/>
          </w:tcPr>
          <w:p>
            <w:pPr>
              <w:rPr>
                <w:b/>
                <w:noProof/>
                <w:sz w:val="20"/>
              </w:rPr>
            </w:pPr>
          </w:p>
        </w:tc>
      </w:tr>
      <w:tr>
        <w:trPr>
          <w:trHeight w:val="277"/>
        </w:trPr>
        <w:tc>
          <w:tcPr>
            <w:tcW w:w="3960" w:type="dxa"/>
            <w:vMerge w:val="restart"/>
            <w:vAlign w:val="center"/>
          </w:tcPr>
          <w:p>
            <w:pPr>
              <w:rPr>
                <w:noProof/>
                <w:sz w:val="22"/>
              </w:rPr>
            </w:pPr>
            <w:r>
              <w:rPr>
                <w:noProof/>
                <w:sz w:val="20"/>
              </w:rPr>
              <w:t xml:space="preserve">Költségvetési tétel száma </w:t>
            </w:r>
            <w:r>
              <w:rPr>
                <w:b/>
                <w:noProof/>
                <w:sz w:val="20"/>
              </w:rPr>
              <w:t>18 06 02</w:t>
            </w:r>
          </w:p>
        </w:tc>
        <w:tc>
          <w:tcPr>
            <w:tcW w:w="1440" w:type="dxa"/>
            <w:vAlign w:val="center"/>
          </w:tcPr>
          <w:p>
            <w:pPr>
              <w:spacing w:before="20" w:after="20"/>
              <w:rPr>
                <w:noProof/>
                <w:sz w:val="18"/>
              </w:rPr>
            </w:pPr>
            <w:r>
              <w:rPr>
                <w:noProof/>
                <w:sz w:val="18"/>
              </w:rPr>
              <w:t>Kötelezettségvállalási előirányzatok</w:t>
            </w:r>
          </w:p>
        </w:tc>
        <w:tc>
          <w:tcPr>
            <w:tcW w:w="654" w:type="dxa"/>
            <w:gridSpan w:val="2"/>
            <w:vAlign w:val="center"/>
          </w:tcPr>
          <w:p>
            <w:pPr>
              <w:spacing w:before="20" w:after="20"/>
              <w:jc w:val="center"/>
              <w:rPr>
                <w:noProof/>
                <w:sz w:val="14"/>
              </w:rPr>
            </w:pPr>
            <w:r>
              <w:rPr>
                <w:noProof/>
                <w:sz w:val="14"/>
              </w:rPr>
              <w:t>(1)</w:t>
            </w:r>
          </w:p>
        </w:tc>
        <w:tc>
          <w:tcPr>
            <w:tcW w:w="868" w:type="dxa"/>
            <w:vAlign w:val="center"/>
          </w:tcPr>
          <w:p>
            <w:pPr>
              <w:spacing w:before="20" w:after="20"/>
              <w:jc w:val="right"/>
              <w:rPr>
                <w:noProof/>
                <w:sz w:val="20"/>
                <w:szCs w:val="20"/>
              </w:rPr>
            </w:pPr>
            <w:r>
              <w:rPr>
                <w:noProof/>
                <w:sz w:val="20"/>
              </w:rPr>
              <w:t>15,1356</w:t>
            </w:r>
          </w:p>
        </w:tc>
        <w:tc>
          <w:tcPr>
            <w:tcW w:w="868" w:type="dxa"/>
            <w:vAlign w:val="center"/>
          </w:tcPr>
          <w:p>
            <w:pPr>
              <w:spacing w:before="20" w:after="20"/>
              <w:jc w:val="right"/>
              <w:rPr>
                <w:noProof/>
                <w:sz w:val="20"/>
              </w:rPr>
            </w:pPr>
            <w:r>
              <w:rPr>
                <w:noProof/>
                <w:sz w:val="20"/>
              </w:rPr>
              <w:t>15,1356</w:t>
            </w:r>
          </w:p>
        </w:tc>
        <w:tc>
          <w:tcPr>
            <w:tcW w:w="868" w:type="dxa"/>
            <w:vAlign w:val="center"/>
          </w:tcPr>
          <w:p>
            <w:pPr>
              <w:spacing w:before="20" w:after="20"/>
              <w:jc w:val="right"/>
              <w:rPr>
                <w:noProof/>
                <w:sz w:val="20"/>
              </w:rPr>
            </w:pPr>
            <w:r>
              <w:rPr>
                <w:noProof/>
                <w:sz w:val="20"/>
              </w:rPr>
              <w:t>15,2866</w:t>
            </w:r>
          </w:p>
        </w:tc>
        <w:tc>
          <w:tcPr>
            <w:tcW w:w="868" w:type="dxa"/>
            <w:vAlign w:val="center"/>
          </w:tcPr>
          <w:p>
            <w:pPr>
              <w:spacing w:before="20" w:after="20"/>
              <w:jc w:val="right"/>
              <w:rPr>
                <w:noProof/>
                <w:sz w:val="20"/>
              </w:rPr>
            </w:pPr>
            <w:r>
              <w:rPr>
                <w:noProof/>
                <w:sz w:val="20"/>
              </w:rPr>
              <w:t>15,5886</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r>
              <w:rPr>
                <w:b/>
                <w:noProof/>
                <w:sz w:val="20"/>
              </w:rPr>
              <w:t>61,1464</w:t>
            </w:r>
          </w:p>
        </w:tc>
      </w:tr>
      <w:tr>
        <w:tc>
          <w:tcPr>
            <w:tcW w:w="3960" w:type="dxa"/>
            <w:vMerge/>
          </w:tcPr>
          <w:p>
            <w:pPr>
              <w:jc w:val="center"/>
              <w:rPr>
                <w:noProof/>
                <w:sz w:val="20"/>
              </w:rPr>
            </w:pPr>
          </w:p>
        </w:tc>
        <w:tc>
          <w:tcPr>
            <w:tcW w:w="1440" w:type="dxa"/>
            <w:vAlign w:val="center"/>
          </w:tcPr>
          <w:p>
            <w:pPr>
              <w:spacing w:before="20" w:after="20"/>
              <w:rPr>
                <w:noProof/>
                <w:sz w:val="18"/>
              </w:rPr>
            </w:pPr>
            <w:r>
              <w:rPr>
                <w:noProof/>
                <w:sz w:val="18"/>
              </w:rPr>
              <w:t xml:space="preserve">Kifizetési előirányzatok </w:t>
            </w:r>
          </w:p>
        </w:tc>
        <w:tc>
          <w:tcPr>
            <w:tcW w:w="654" w:type="dxa"/>
            <w:gridSpan w:val="2"/>
            <w:vAlign w:val="center"/>
          </w:tcPr>
          <w:p>
            <w:pPr>
              <w:spacing w:before="20" w:after="20"/>
              <w:jc w:val="center"/>
              <w:rPr>
                <w:noProof/>
                <w:sz w:val="14"/>
              </w:rPr>
            </w:pPr>
            <w:r>
              <w:rPr>
                <w:noProof/>
                <w:sz w:val="14"/>
              </w:rPr>
              <w:t>(2)</w:t>
            </w:r>
          </w:p>
        </w:tc>
        <w:tc>
          <w:tcPr>
            <w:tcW w:w="868" w:type="dxa"/>
            <w:vAlign w:val="center"/>
          </w:tcPr>
          <w:p>
            <w:pPr>
              <w:spacing w:before="20" w:after="20"/>
              <w:jc w:val="right"/>
              <w:rPr>
                <w:noProof/>
                <w:sz w:val="20"/>
              </w:rPr>
            </w:pPr>
            <w:r>
              <w:rPr>
                <w:noProof/>
                <w:sz w:val="20"/>
              </w:rPr>
              <w:t>15,1356</w:t>
            </w:r>
          </w:p>
        </w:tc>
        <w:tc>
          <w:tcPr>
            <w:tcW w:w="868" w:type="dxa"/>
            <w:vAlign w:val="center"/>
          </w:tcPr>
          <w:p>
            <w:pPr>
              <w:spacing w:before="20" w:after="20"/>
              <w:jc w:val="right"/>
              <w:rPr>
                <w:noProof/>
                <w:sz w:val="20"/>
              </w:rPr>
            </w:pPr>
            <w:r>
              <w:rPr>
                <w:noProof/>
                <w:sz w:val="20"/>
              </w:rPr>
              <w:t>15,1356</w:t>
            </w:r>
          </w:p>
        </w:tc>
        <w:tc>
          <w:tcPr>
            <w:tcW w:w="868" w:type="dxa"/>
            <w:vAlign w:val="center"/>
          </w:tcPr>
          <w:p>
            <w:pPr>
              <w:spacing w:before="20" w:after="20"/>
              <w:jc w:val="right"/>
              <w:rPr>
                <w:noProof/>
                <w:sz w:val="20"/>
              </w:rPr>
            </w:pPr>
            <w:r>
              <w:rPr>
                <w:noProof/>
                <w:sz w:val="20"/>
              </w:rPr>
              <w:t>15,2866</w:t>
            </w:r>
          </w:p>
        </w:tc>
        <w:tc>
          <w:tcPr>
            <w:tcW w:w="868" w:type="dxa"/>
            <w:vAlign w:val="center"/>
          </w:tcPr>
          <w:p>
            <w:pPr>
              <w:spacing w:before="20" w:after="20"/>
              <w:jc w:val="right"/>
              <w:rPr>
                <w:noProof/>
                <w:sz w:val="20"/>
              </w:rPr>
            </w:pPr>
            <w:r>
              <w:rPr>
                <w:noProof/>
                <w:sz w:val="20"/>
              </w:rPr>
              <w:t>15,5886</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r>
              <w:rPr>
                <w:b/>
                <w:noProof/>
                <w:sz w:val="20"/>
              </w:rPr>
              <w:t>61,1464</w:t>
            </w:r>
          </w:p>
        </w:tc>
      </w:tr>
      <w:tr>
        <w:tc>
          <w:tcPr>
            <w:tcW w:w="3960" w:type="dxa"/>
            <w:vMerge w:val="restart"/>
            <w:vAlign w:val="center"/>
          </w:tcPr>
          <w:p>
            <w:pPr>
              <w:rPr>
                <w:noProof/>
                <w:sz w:val="22"/>
              </w:rPr>
            </w:pPr>
            <w:r>
              <w:rPr>
                <w:noProof/>
                <w:sz w:val="20"/>
              </w:rPr>
              <w:t>Költségvetési tétel száma</w:t>
            </w:r>
          </w:p>
        </w:tc>
        <w:tc>
          <w:tcPr>
            <w:tcW w:w="1440" w:type="dxa"/>
            <w:vAlign w:val="center"/>
          </w:tcPr>
          <w:p>
            <w:pPr>
              <w:spacing w:before="20" w:after="20"/>
              <w:rPr>
                <w:noProof/>
                <w:sz w:val="18"/>
              </w:rPr>
            </w:pPr>
            <w:r>
              <w:rPr>
                <w:noProof/>
                <w:sz w:val="18"/>
              </w:rPr>
              <w:t>Kötelezettségvállalási előirányzatok</w:t>
            </w:r>
          </w:p>
        </w:tc>
        <w:tc>
          <w:tcPr>
            <w:tcW w:w="654" w:type="dxa"/>
            <w:gridSpan w:val="2"/>
            <w:vAlign w:val="center"/>
          </w:tcPr>
          <w:p>
            <w:pPr>
              <w:spacing w:before="20" w:after="20"/>
              <w:jc w:val="center"/>
              <w:rPr>
                <w:noProof/>
                <w:sz w:val="14"/>
              </w:rPr>
            </w:pPr>
            <w:r>
              <w:rPr>
                <w:noProof/>
                <w:sz w:val="14"/>
              </w:rPr>
              <w:t>(1a)</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p>
        </w:tc>
      </w:tr>
      <w:tr>
        <w:tc>
          <w:tcPr>
            <w:tcW w:w="3960" w:type="dxa"/>
            <w:vMerge/>
          </w:tcPr>
          <w:p>
            <w:pPr>
              <w:jc w:val="center"/>
              <w:rPr>
                <w:noProof/>
                <w:sz w:val="20"/>
              </w:rPr>
            </w:pPr>
          </w:p>
        </w:tc>
        <w:tc>
          <w:tcPr>
            <w:tcW w:w="1440" w:type="dxa"/>
            <w:vAlign w:val="center"/>
          </w:tcPr>
          <w:p>
            <w:pPr>
              <w:spacing w:before="20" w:after="20"/>
              <w:rPr>
                <w:noProof/>
                <w:sz w:val="18"/>
              </w:rPr>
            </w:pPr>
            <w:r>
              <w:rPr>
                <w:noProof/>
                <w:sz w:val="18"/>
              </w:rPr>
              <w:t xml:space="preserve">Kifizetési előirányzatok </w:t>
            </w:r>
          </w:p>
        </w:tc>
        <w:tc>
          <w:tcPr>
            <w:tcW w:w="654" w:type="dxa"/>
            <w:gridSpan w:val="2"/>
            <w:vAlign w:val="center"/>
          </w:tcPr>
          <w:p>
            <w:pPr>
              <w:spacing w:before="20" w:after="20"/>
              <w:jc w:val="center"/>
              <w:rPr>
                <w:noProof/>
                <w:sz w:val="14"/>
              </w:rPr>
            </w:pPr>
            <w:r>
              <w:rPr>
                <w:noProof/>
                <w:sz w:val="14"/>
              </w:rPr>
              <w:t>(2 a)</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p>
        </w:tc>
      </w:tr>
      <w:tr>
        <w:trPr>
          <w:trHeight w:val="231"/>
        </w:trPr>
        <w:tc>
          <w:tcPr>
            <w:tcW w:w="6054" w:type="dxa"/>
            <w:gridSpan w:val="4"/>
            <w:vAlign w:val="center"/>
          </w:tcPr>
          <w:p>
            <w:pPr>
              <w:spacing w:before="20" w:after="20"/>
              <w:rPr>
                <w:noProof/>
                <w:sz w:val="22"/>
              </w:rPr>
            </w:pPr>
            <w:r>
              <w:rPr>
                <w:noProof/>
                <w:sz w:val="21"/>
              </w:rPr>
              <w:t>Bizonyos egyedi programok keretéből finanszírozott igazgatási előirányzatok</w:t>
            </w:r>
            <w:r>
              <w:rPr>
                <w:rStyle w:val="FootnoteReference"/>
                <w:noProof/>
              </w:rPr>
              <w:footnoteReference w:id="28"/>
            </w:r>
            <w:r>
              <w:rPr>
                <w:noProof/>
                <w:sz w:val="21"/>
              </w:rPr>
              <w:t xml:space="preserve"> </w:t>
            </w:r>
          </w:p>
          <w:p>
            <w:pPr>
              <w:spacing w:before="0" w:after="0"/>
              <w:rPr>
                <w:noProof/>
                <w:sz w:val="22"/>
              </w:rPr>
            </w:pPr>
          </w:p>
        </w:tc>
        <w:tc>
          <w:tcPr>
            <w:tcW w:w="868" w:type="dxa"/>
            <w:vAlign w:val="center"/>
          </w:tcPr>
          <w:p>
            <w:pPr>
              <w:rPr>
                <w:b/>
                <w:noProof/>
                <w:sz w:val="20"/>
              </w:rPr>
            </w:pPr>
          </w:p>
        </w:tc>
        <w:tc>
          <w:tcPr>
            <w:tcW w:w="868" w:type="dxa"/>
            <w:vAlign w:val="center"/>
          </w:tcPr>
          <w:p>
            <w:pPr>
              <w:rPr>
                <w:b/>
                <w:noProof/>
                <w:sz w:val="20"/>
              </w:rPr>
            </w:pPr>
          </w:p>
        </w:tc>
        <w:tc>
          <w:tcPr>
            <w:tcW w:w="868" w:type="dxa"/>
            <w:vAlign w:val="center"/>
          </w:tcPr>
          <w:p>
            <w:pPr>
              <w:rPr>
                <w:b/>
                <w:noProof/>
                <w:sz w:val="20"/>
              </w:rPr>
            </w:pPr>
          </w:p>
        </w:tc>
        <w:tc>
          <w:tcPr>
            <w:tcW w:w="868" w:type="dxa"/>
            <w:vAlign w:val="center"/>
          </w:tcPr>
          <w:p>
            <w:pPr>
              <w:rPr>
                <w:b/>
                <w:noProof/>
                <w:sz w:val="20"/>
              </w:rPr>
            </w:pPr>
          </w:p>
        </w:tc>
        <w:tc>
          <w:tcPr>
            <w:tcW w:w="868" w:type="dxa"/>
            <w:vAlign w:val="center"/>
          </w:tcPr>
          <w:p>
            <w:pPr>
              <w:rPr>
                <w:b/>
                <w:noProof/>
                <w:sz w:val="20"/>
              </w:rPr>
            </w:pPr>
          </w:p>
        </w:tc>
        <w:tc>
          <w:tcPr>
            <w:tcW w:w="868" w:type="dxa"/>
            <w:vAlign w:val="center"/>
          </w:tcPr>
          <w:p>
            <w:pPr>
              <w:rPr>
                <w:b/>
                <w:noProof/>
                <w:sz w:val="20"/>
              </w:rPr>
            </w:pPr>
          </w:p>
        </w:tc>
        <w:tc>
          <w:tcPr>
            <w:tcW w:w="868" w:type="dxa"/>
            <w:vAlign w:val="center"/>
          </w:tcPr>
          <w:p>
            <w:pPr>
              <w:rPr>
                <w:b/>
                <w:noProof/>
                <w:sz w:val="20"/>
              </w:rPr>
            </w:pPr>
          </w:p>
        </w:tc>
        <w:tc>
          <w:tcPr>
            <w:tcW w:w="1777" w:type="dxa"/>
            <w:vAlign w:val="center"/>
          </w:tcPr>
          <w:p>
            <w:pPr>
              <w:rPr>
                <w:b/>
                <w:noProof/>
                <w:sz w:val="20"/>
              </w:rPr>
            </w:pPr>
          </w:p>
        </w:tc>
      </w:tr>
      <w:tr>
        <w:trPr>
          <w:trHeight w:val="319"/>
        </w:trPr>
        <w:tc>
          <w:tcPr>
            <w:tcW w:w="3960" w:type="dxa"/>
            <w:vAlign w:val="center"/>
          </w:tcPr>
          <w:p>
            <w:pPr>
              <w:spacing w:before="60" w:after="60"/>
              <w:rPr>
                <w:noProof/>
                <w:sz w:val="22"/>
              </w:rPr>
            </w:pPr>
            <w:r>
              <w:rPr>
                <w:noProof/>
                <w:sz w:val="20"/>
              </w:rPr>
              <w:t>Költségvetési tétel száma</w:t>
            </w:r>
          </w:p>
        </w:tc>
        <w:tc>
          <w:tcPr>
            <w:tcW w:w="1440" w:type="dxa"/>
            <w:vAlign w:val="center"/>
          </w:tcPr>
          <w:p>
            <w:pPr>
              <w:spacing w:before="40" w:after="40"/>
              <w:jc w:val="right"/>
              <w:rPr>
                <w:noProof/>
                <w:sz w:val="18"/>
              </w:rPr>
            </w:pPr>
          </w:p>
        </w:tc>
        <w:tc>
          <w:tcPr>
            <w:tcW w:w="654" w:type="dxa"/>
            <w:gridSpan w:val="2"/>
            <w:vAlign w:val="center"/>
          </w:tcPr>
          <w:p>
            <w:pPr>
              <w:spacing w:before="40" w:after="40"/>
              <w:jc w:val="center"/>
              <w:rPr>
                <w:noProof/>
                <w:sz w:val="14"/>
              </w:rPr>
            </w:pPr>
            <w:r>
              <w:rPr>
                <w:noProof/>
                <w:sz w:val="14"/>
              </w:rPr>
              <w:t>(3)</w:t>
            </w:r>
          </w:p>
        </w:tc>
        <w:tc>
          <w:tcPr>
            <w:tcW w:w="868" w:type="dxa"/>
            <w:vAlign w:val="center"/>
          </w:tcPr>
          <w:p>
            <w:pPr>
              <w:spacing w:before="40" w:after="40"/>
              <w:jc w:val="right"/>
              <w:rPr>
                <w:noProof/>
                <w:sz w:val="20"/>
              </w:rPr>
            </w:pPr>
            <w:r>
              <w:rPr>
                <w:noProof/>
                <w:sz w:val="20"/>
              </w:rPr>
              <w:t>1</w:t>
            </w:r>
          </w:p>
        </w:tc>
        <w:tc>
          <w:tcPr>
            <w:tcW w:w="868" w:type="dxa"/>
            <w:vAlign w:val="center"/>
          </w:tcPr>
          <w:p>
            <w:pPr>
              <w:spacing w:before="40" w:after="40"/>
              <w:jc w:val="right"/>
              <w:rPr>
                <w:noProof/>
                <w:sz w:val="20"/>
              </w:rPr>
            </w:pPr>
            <w:r>
              <w:rPr>
                <w:noProof/>
                <w:sz w:val="20"/>
              </w:rPr>
              <w:t>1</w:t>
            </w:r>
          </w:p>
        </w:tc>
        <w:tc>
          <w:tcPr>
            <w:tcW w:w="868" w:type="dxa"/>
            <w:vAlign w:val="center"/>
          </w:tcPr>
          <w:p>
            <w:pPr>
              <w:spacing w:before="40" w:after="40"/>
              <w:jc w:val="right"/>
              <w:rPr>
                <w:noProof/>
                <w:sz w:val="20"/>
              </w:rPr>
            </w:pPr>
            <w:r>
              <w:rPr>
                <w:noProof/>
                <w:sz w:val="20"/>
              </w:rPr>
              <w:t>1</w:t>
            </w:r>
          </w:p>
        </w:tc>
        <w:tc>
          <w:tcPr>
            <w:tcW w:w="868" w:type="dxa"/>
            <w:vAlign w:val="center"/>
          </w:tcPr>
          <w:p>
            <w:pPr>
              <w:spacing w:before="40" w:after="40"/>
              <w:jc w:val="right"/>
              <w:rPr>
                <w:noProof/>
                <w:sz w:val="20"/>
              </w:rPr>
            </w:pPr>
            <w:r>
              <w:rPr>
                <w:noProof/>
                <w:sz w:val="20"/>
              </w:rPr>
              <w:t>1</w:t>
            </w: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1777" w:type="dxa"/>
            <w:vAlign w:val="center"/>
          </w:tcPr>
          <w:p>
            <w:pPr>
              <w:spacing w:before="40" w:after="40"/>
              <w:jc w:val="right"/>
              <w:rPr>
                <w:b/>
                <w:noProof/>
                <w:sz w:val="20"/>
              </w:rPr>
            </w:pPr>
          </w:p>
        </w:tc>
      </w:tr>
      <w:tr>
        <w:tc>
          <w:tcPr>
            <w:tcW w:w="3960" w:type="dxa"/>
            <w:vMerge w:val="restart"/>
            <w:vAlign w:val="center"/>
          </w:tcPr>
          <w:p>
            <w:pPr>
              <w:jc w:val="center"/>
              <w:rPr>
                <w:b/>
                <w:noProof/>
                <w:sz w:val="22"/>
              </w:rPr>
            </w:pPr>
            <w:r>
              <w:rPr>
                <w:b/>
                <w:noProof/>
                <w:sz w:val="22"/>
              </w:rPr>
              <w:t>Az EMCDDA-hoz tartozó előirányzatok ÖSSZESEN</w:t>
            </w:r>
            <w:r>
              <w:rPr>
                <w:noProof/>
                <w:sz w:val="22"/>
              </w:rPr>
              <w:br/>
            </w:r>
          </w:p>
        </w:tc>
        <w:tc>
          <w:tcPr>
            <w:tcW w:w="1440" w:type="dxa"/>
            <w:vAlign w:val="center"/>
          </w:tcPr>
          <w:p>
            <w:pPr>
              <w:rPr>
                <w:noProof/>
                <w:sz w:val="18"/>
              </w:rPr>
            </w:pPr>
            <w:r>
              <w:rPr>
                <w:noProof/>
                <w:sz w:val="18"/>
              </w:rPr>
              <w:t>Kötelezettségvállalási előirányzatok</w:t>
            </w:r>
          </w:p>
        </w:tc>
        <w:tc>
          <w:tcPr>
            <w:tcW w:w="654" w:type="dxa"/>
            <w:gridSpan w:val="2"/>
            <w:vAlign w:val="center"/>
          </w:tcPr>
          <w:p>
            <w:pPr>
              <w:jc w:val="center"/>
              <w:rPr>
                <w:noProof/>
                <w:sz w:val="14"/>
              </w:rPr>
            </w:pPr>
            <w:r>
              <w:rPr>
                <w:noProof/>
                <w:sz w:val="14"/>
              </w:rPr>
              <w:t>=1+1a +3</w:t>
            </w:r>
          </w:p>
        </w:tc>
        <w:tc>
          <w:tcPr>
            <w:tcW w:w="868" w:type="dxa"/>
            <w:vAlign w:val="center"/>
          </w:tcPr>
          <w:p>
            <w:pPr>
              <w:spacing w:before="20" w:after="20"/>
              <w:jc w:val="right"/>
              <w:rPr>
                <w:noProof/>
                <w:sz w:val="20"/>
              </w:rPr>
            </w:pPr>
            <w:r>
              <w:rPr>
                <w:noProof/>
                <w:sz w:val="20"/>
              </w:rPr>
              <w:t>15,1356</w:t>
            </w:r>
          </w:p>
        </w:tc>
        <w:tc>
          <w:tcPr>
            <w:tcW w:w="868" w:type="dxa"/>
            <w:vAlign w:val="center"/>
          </w:tcPr>
          <w:p>
            <w:pPr>
              <w:spacing w:before="20" w:after="20"/>
              <w:jc w:val="right"/>
              <w:rPr>
                <w:noProof/>
                <w:sz w:val="20"/>
              </w:rPr>
            </w:pPr>
            <w:r>
              <w:rPr>
                <w:noProof/>
                <w:sz w:val="20"/>
              </w:rPr>
              <w:t>15,1356</w:t>
            </w:r>
          </w:p>
        </w:tc>
        <w:tc>
          <w:tcPr>
            <w:tcW w:w="868" w:type="dxa"/>
            <w:vAlign w:val="center"/>
          </w:tcPr>
          <w:p>
            <w:pPr>
              <w:spacing w:before="20" w:after="20"/>
              <w:jc w:val="right"/>
              <w:rPr>
                <w:noProof/>
                <w:sz w:val="20"/>
              </w:rPr>
            </w:pPr>
            <w:r>
              <w:rPr>
                <w:noProof/>
                <w:sz w:val="20"/>
              </w:rPr>
              <w:t>15,2866</w:t>
            </w:r>
          </w:p>
        </w:tc>
        <w:tc>
          <w:tcPr>
            <w:tcW w:w="868" w:type="dxa"/>
            <w:vAlign w:val="center"/>
          </w:tcPr>
          <w:p>
            <w:pPr>
              <w:spacing w:before="20" w:after="20"/>
              <w:jc w:val="right"/>
              <w:rPr>
                <w:noProof/>
                <w:sz w:val="20"/>
              </w:rPr>
            </w:pPr>
            <w:r>
              <w:rPr>
                <w:noProof/>
                <w:sz w:val="20"/>
              </w:rPr>
              <w:t>15,5886</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r>
              <w:rPr>
                <w:b/>
                <w:noProof/>
                <w:sz w:val="20"/>
              </w:rPr>
              <w:t>61,1464</w:t>
            </w:r>
          </w:p>
        </w:tc>
      </w:tr>
      <w:tr>
        <w:tc>
          <w:tcPr>
            <w:tcW w:w="3960" w:type="dxa"/>
            <w:vMerge/>
          </w:tcPr>
          <w:p>
            <w:pPr>
              <w:rPr>
                <w:noProof/>
                <w:sz w:val="20"/>
              </w:rPr>
            </w:pPr>
          </w:p>
        </w:tc>
        <w:tc>
          <w:tcPr>
            <w:tcW w:w="1440" w:type="dxa"/>
            <w:vAlign w:val="center"/>
          </w:tcPr>
          <w:p>
            <w:pPr>
              <w:rPr>
                <w:noProof/>
                <w:sz w:val="18"/>
              </w:rPr>
            </w:pPr>
            <w:r>
              <w:rPr>
                <w:noProof/>
                <w:sz w:val="18"/>
              </w:rPr>
              <w:t xml:space="preserve">Kifizetési előirányzatok </w:t>
            </w:r>
          </w:p>
        </w:tc>
        <w:tc>
          <w:tcPr>
            <w:tcW w:w="654" w:type="dxa"/>
            <w:gridSpan w:val="2"/>
            <w:vAlign w:val="center"/>
          </w:tcPr>
          <w:p>
            <w:pPr>
              <w:jc w:val="center"/>
              <w:rPr>
                <w:noProof/>
                <w:sz w:val="14"/>
              </w:rPr>
            </w:pPr>
            <w:r>
              <w:rPr>
                <w:noProof/>
                <w:sz w:val="14"/>
              </w:rPr>
              <w:t>=2+2a</w:t>
            </w:r>
          </w:p>
          <w:p>
            <w:pPr>
              <w:jc w:val="center"/>
              <w:rPr>
                <w:noProof/>
                <w:sz w:val="14"/>
              </w:rPr>
            </w:pPr>
            <w:r>
              <w:rPr>
                <w:noProof/>
                <w:sz w:val="14"/>
              </w:rPr>
              <w:t>+3</w:t>
            </w:r>
          </w:p>
        </w:tc>
        <w:tc>
          <w:tcPr>
            <w:tcW w:w="868" w:type="dxa"/>
            <w:vAlign w:val="center"/>
          </w:tcPr>
          <w:p>
            <w:pPr>
              <w:spacing w:before="20" w:after="20"/>
              <w:jc w:val="right"/>
              <w:rPr>
                <w:noProof/>
                <w:sz w:val="20"/>
              </w:rPr>
            </w:pPr>
            <w:r>
              <w:rPr>
                <w:noProof/>
                <w:sz w:val="20"/>
              </w:rPr>
              <w:t>15,1356</w:t>
            </w:r>
          </w:p>
        </w:tc>
        <w:tc>
          <w:tcPr>
            <w:tcW w:w="868" w:type="dxa"/>
            <w:vAlign w:val="center"/>
          </w:tcPr>
          <w:p>
            <w:pPr>
              <w:spacing w:before="20" w:after="20"/>
              <w:jc w:val="right"/>
              <w:rPr>
                <w:noProof/>
                <w:sz w:val="20"/>
              </w:rPr>
            </w:pPr>
            <w:r>
              <w:rPr>
                <w:noProof/>
                <w:sz w:val="20"/>
              </w:rPr>
              <w:t>15,1356</w:t>
            </w:r>
          </w:p>
        </w:tc>
        <w:tc>
          <w:tcPr>
            <w:tcW w:w="868" w:type="dxa"/>
            <w:vAlign w:val="center"/>
          </w:tcPr>
          <w:p>
            <w:pPr>
              <w:spacing w:before="20" w:after="20"/>
              <w:jc w:val="right"/>
              <w:rPr>
                <w:noProof/>
                <w:sz w:val="20"/>
              </w:rPr>
            </w:pPr>
            <w:r>
              <w:rPr>
                <w:noProof/>
                <w:sz w:val="20"/>
              </w:rPr>
              <w:t>15,2866</w:t>
            </w:r>
          </w:p>
        </w:tc>
        <w:tc>
          <w:tcPr>
            <w:tcW w:w="868" w:type="dxa"/>
            <w:vAlign w:val="center"/>
          </w:tcPr>
          <w:p>
            <w:pPr>
              <w:spacing w:before="20" w:after="20"/>
              <w:jc w:val="right"/>
              <w:rPr>
                <w:noProof/>
                <w:sz w:val="20"/>
              </w:rPr>
            </w:pPr>
            <w:r>
              <w:rPr>
                <w:noProof/>
                <w:sz w:val="20"/>
              </w:rPr>
              <w:t>15,5886</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r>
              <w:rPr>
                <w:b/>
                <w:noProof/>
                <w:sz w:val="20"/>
              </w:rPr>
              <w:t>61,1464</w:t>
            </w:r>
          </w:p>
        </w:tc>
      </w:tr>
      <w:tr>
        <w:trPr>
          <w:trHeight w:val="277"/>
        </w:trPr>
        <w:tc>
          <w:tcPr>
            <w:tcW w:w="3960" w:type="dxa"/>
            <w:vMerge w:val="restart"/>
            <w:vAlign w:val="center"/>
          </w:tcPr>
          <w:p>
            <w:pPr>
              <w:spacing w:before="20" w:after="20"/>
              <w:rPr>
                <w:noProof/>
                <w:sz w:val="22"/>
              </w:rPr>
            </w:pPr>
            <w:r>
              <w:rPr>
                <w:noProof/>
              </w:rPr>
              <w:br w:type="page"/>
            </w:r>
            <w:r>
              <w:rPr>
                <w:noProof/>
                <w:sz w:val="21"/>
              </w:rPr>
              <w:sym w:font="Wingdings" w:char="F09F"/>
            </w:r>
            <w:r>
              <w:rPr>
                <w:noProof/>
                <w:sz w:val="21"/>
              </w:rPr>
              <w:t xml:space="preserve"> Operatív előirányzatok ÖSSZESEN</w:t>
            </w:r>
          </w:p>
        </w:tc>
        <w:tc>
          <w:tcPr>
            <w:tcW w:w="1440" w:type="dxa"/>
            <w:vAlign w:val="center"/>
          </w:tcPr>
          <w:p>
            <w:pPr>
              <w:spacing w:beforeLines="20" w:before="48" w:afterLines="20" w:after="48"/>
              <w:rPr>
                <w:noProof/>
                <w:sz w:val="18"/>
              </w:rPr>
            </w:pPr>
            <w:r>
              <w:rPr>
                <w:noProof/>
                <w:sz w:val="18"/>
              </w:rPr>
              <w:t>Kötelezettségvállalási előirányzatok</w:t>
            </w:r>
          </w:p>
        </w:tc>
        <w:tc>
          <w:tcPr>
            <w:tcW w:w="654" w:type="dxa"/>
            <w:gridSpan w:val="2"/>
            <w:vAlign w:val="center"/>
          </w:tcPr>
          <w:p>
            <w:pPr>
              <w:spacing w:beforeLines="20" w:before="48" w:afterLines="20" w:after="48"/>
              <w:jc w:val="center"/>
              <w:rPr>
                <w:noProof/>
                <w:sz w:val="14"/>
              </w:rPr>
            </w:pPr>
            <w:r>
              <w:rPr>
                <w:noProof/>
                <w:sz w:val="14"/>
              </w:rPr>
              <w:t>(4)</w:t>
            </w:r>
          </w:p>
        </w:tc>
        <w:tc>
          <w:tcPr>
            <w:tcW w:w="868" w:type="dxa"/>
            <w:vAlign w:val="center"/>
          </w:tcPr>
          <w:p>
            <w:pPr>
              <w:spacing w:before="20" w:after="20"/>
              <w:jc w:val="right"/>
              <w:rPr>
                <w:noProof/>
                <w:sz w:val="20"/>
              </w:rPr>
            </w:pPr>
            <w:r>
              <w:rPr>
                <w:noProof/>
                <w:sz w:val="20"/>
              </w:rPr>
              <w:t>15,1356</w:t>
            </w:r>
          </w:p>
        </w:tc>
        <w:tc>
          <w:tcPr>
            <w:tcW w:w="868" w:type="dxa"/>
            <w:vAlign w:val="center"/>
          </w:tcPr>
          <w:p>
            <w:pPr>
              <w:spacing w:before="20" w:after="20"/>
              <w:jc w:val="right"/>
              <w:rPr>
                <w:noProof/>
                <w:sz w:val="20"/>
              </w:rPr>
            </w:pPr>
            <w:r>
              <w:rPr>
                <w:noProof/>
                <w:sz w:val="20"/>
              </w:rPr>
              <w:t>15,1356</w:t>
            </w:r>
          </w:p>
        </w:tc>
        <w:tc>
          <w:tcPr>
            <w:tcW w:w="868" w:type="dxa"/>
            <w:vAlign w:val="center"/>
          </w:tcPr>
          <w:p>
            <w:pPr>
              <w:spacing w:before="20" w:after="20"/>
              <w:jc w:val="right"/>
              <w:rPr>
                <w:noProof/>
                <w:sz w:val="20"/>
              </w:rPr>
            </w:pPr>
            <w:r>
              <w:rPr>
                <w:noProof/>
                <w:sz w:val="20"/>
              </w:rPr>
              <w:t>15,2866</w:t>
            </w:r>
          </w:p>
        </w:tc>
        <w:tc>
          <w:tcPr>
            <w:tcW w:w="868" w:type="dxa"/>
            <w:vAlign w:val="center"/>
          </w:tcPr>
          <w:p>
            <w:pPr>
              <w:spacing w:before="20" w:after="20"/>
              <w:jc w:val="right"/>
              <w:rPr>
                <w:noProof/>
                <w:sz w:val="20"/>
              </w:rPr>
            </w:pPr>
            <w:r>
              <w:rPr>
                <w:noProof/>
                <w:sz w:val="20"/>
              </w:rPr>
              <w:t>15,5886</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r>
              <w:rPr>
                <w:b/>
                <w:noProof/>
                <w:sz w:val="20"/>
              </w:rPr>
              <w:t>61,1464</w:t>
            </w:r>
          </w:p>
        </w:tc>
      </w:tr>
      <w:tr>
        <w:tc>
          <w:tcPr>
            <w:tcW w:w="3960" w:type="dxa"/>
            <w:vMerge/>
          </w:tcPr>
          <w:p>
            <w:pPr>
              <w:jc w:val="center"/>
              <w:rPr>
                <w:noProof/>
                <w:sz w:val="20"/>
              </w:rPr>
            </w:pPr>
          </w:p>
        </w:tc>
        <w:tc>
          <w:tcPr>
            <w:tcW w:w="1440" w:type="dxa"/>
            <w:vAlign w:val="center"/>
          </w:tcPr>
          <w:p>
            <w:pPr>
              <w:spacing w:beforeLines="20" w:before="48" w:afterLines="20" w:after="48"/>
              <w:rPr>
                <w:noProof/>
                <w:sz w:val="18"/>
              </w:rPr>
            </w:pPr>
            <w:r>
              <w:rPr>
                <w:noProof/>
                <w:sz w:val="18"/>
              </w:rPr>
              <w:t xml:space="preserve">Kifizetési előirányzatok </w:t>
            </w:r>
          </w:p>
        </w:tc>
        <w:tc>
          <w:tcPr>
            <w:tcW w:w="654" w:type="dxa"/>
            <w:gridSpan w:val="2"/>
            <w:vAlign w:val="center"/>
          </w:tcPr>
          <w:p>
            <w:pPr>
              <w:spacing w:beforeLines="20" w:before="48" w:afterLines="20" w:after="48"/>
              <w:jc w:val="center"/>
              <w:rPr>
                <w:noProof/>
                <w:sz w:val="14"/>
              </w:rPr>
            </w:pPr>
            <w:r>
              <w:rPr>
                <w:noProof/>
                <w:sz w:val="14"/>
              </w:rPr>
              <w:t>(5)</w:t>
            </w:r>
          </w:p>
        </w:tc>
        <w:tc>
          <w:tcPr>
            <w:tcW w:w="868" w:type="dxa"/>
            <w:vAlign w:val="center"/>
          </w:tcPr>
          <w:p>
            <w:pPr>
              <w:spacing w:before="20" w:after="20"/>
              <w:jc w:val="right"/>
              <w:rPr>
                <w:noProof/>
                <w:sz w:val="20"/>
              </w:rPr>
            </w:pPr>
            <w:r>
              <w:rPr>
                <w:noProof/>
                <w:sz w:val="20"/>
              </w:rPr>
              <w:t>15,1356</w:t>
            </w:r>
          </w:p>
        </w:tc>
        <w:tc>
          <w:tcPr>
            <w:tcW w:w="868" w:type="dxa"/>
            <w:vAlign w:val="center"/>
          </w:tcPr>
          <w:p>
            <w:pPr>
              <w:spacing w:before="20" w:after="20"/>
              <w:jc w:val="right"/>
              <w:rPr>
                <w:noProof/>
                <w:sz w:val="20"/>
              </w:rPr>
            </w:pPr>
            <w:r>
              <w:rPr>
                <w:noProof/>
                <w:sz w:val="20"/>
              </w:rPr>
              <w:t>15,1356</w:t>
            </w:r>
          </w:p>
        </w:tc>
        <w:tc>
          <w:tcPr>
            <w:tcW w:w="868" w:type="dxa"/>
            <w:vAlign w:val="center"/>
          </w:tcPr>
          <w:p>
            <w:pPr>
              <w:spacing w:before="20" w:after="20"/>
              <w:jc w:val="right"/>
              <w:rPr>
                <w:noProof/>
                <w:sz w:val="20"/>
              </w:rPr>
            </w:pPr>
            <w:r>
              <w:rPr>
                <w:noProof/>
                <w:sz w:val="20"/>
              </w:rPr>
              <w:t>15,2866</w:t>
            </w:r>
          </w:p>
        </w:tc>
        <w:tc>
          <w:tcPr>
            <w:tcW w:w="868" w:type="dxa"/>
            <w:vAlign w:val="center"/>
          </w:tcPr>
          <w:p>
            <w:pPr>
              <w:spacing w:before="20" w:after="20"/>
              <w:jc w:val="right"/>
              <w:rPr>
                <w:noProof/>
                <w:sz w:val="20"/>
              </w:rPr>
            </w:pPr>
            <w:r>
              <w:rPr>
                <w:noProof/>
                <w:sz w:val="20"/>
              </w:rPr>
              <w:t>15,5886</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r>
              <w:rPr>
                <w:b/>
                <w:noProof/>
                <w:sz w:val="20"/>
              </w:rPr>
              <w:t>61,1464</w:t>
            </w:r>
          </w:p>
        </w:tc>
      </w:tr>
      <w:tr>
        <w:trPr>
          <w:trHeight w:val="533"/>
        </w:trPr>
        <w:tc>
          <w:tcPr>
            <w:tcW w:w="5400" w:type="dxa"/>
            <w:gridSpan w:val="2"/>
            <w:vAlign w:val="center"/>
          </w:tcPr>
          <w:p>
            <w:pPr>
              <w:spacing w:beforeLines="20" w:before="48" w:afterLines="20" w:after="48"/>
              <w:rPr>
                <w:noProof/>
                <w:sz w:val="22"/>
              </w:rPr>
            </w:pPr>
            <w:r>
              <w:rPr>
                <w:noProof/>
                <w:sz w:val="21"/>
              </w:rPr>
              <w:sym w:font="Wingdings" w:char="F09F"/>
            </w:r>
            <w:r>
              <w:rPr>
                <w:noProof/>
                <w:sz w:val="21"/>
              </w:rPr>
              <w:t xml:space="preserve"> Bizonyos egyedi programok keretéből finanszírozott igazgatási előirányzatok ÖSSZESEN</w:t>
            </w:r>
          </w:p>
        </w:tc>
        <w:tc>
          <w:tcPr>
            <w:tcW w:w="654" w:type="dxa"/>
            <w:gridSpan w:val="2"/>
            <w:vAlign w:val="center"/>
          </w:tcPr>
          <w:p>
            <w:pPr>
              <w:spacing w:beforeLines="20" w:before="48" w:afterLines="20" w:after="48"/>
              <w:jc w:val="center"/>
              <w:rPr>
                <w:noProof/>
                <w:sz w:val="14"/>
              </w:rPr>
            </w:pPr>
            <w:r>
              <w:rPr>
                <w:noProof/>
                <w:sz w:val="14"/>
              </w:rPr>
              <w:t>(6)</w:t>
            </w: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p>
        </w:tc>
      </w:tr>
      <w:tr>
        <w:tc>
          <w:tcPr>
            <w:tcW w:w="3960" w:type="dxa"/>
            <w:vMerge w:val="restart"/>
            <w:shd w:val="thinDiagStripe" w:color="C0C0C0" w:fill="auto"/>
            <w:vAlign w:val="center"/>
          </w:tcPr>
          <w:p>
            <w:pPr>
              <w:jc w:val="center"/>
              <w:rPr>
                <w:b/>
                <w:noProof/>
                <w:sz w:val="22"/>
              </w:rPr>
            </w:pPr>
            <w:r>
              <w:rPr>
                <w:noProof/>
              </w:rPr>
              <w:t>A többéves pénzügyi keret</w:t>
            </w:r>
            <w:r>
              <w:rPr>
                <w:noProof/>
                <w:sz w:val="22"/>
              </w:rPr>
              <w:br/>
            </w:r>
            <w:r>
              <w:rPr>
                <w:b/>
                <w:noProof/>
                <w:sz w:val="22"/>
              </w:rPr>
              <w:t>3. FEJEZETÉHEZ tartozó előirányzatok ÖSSZESEN</w:t>
            </w:r>
            <w:r>
              <w:rPr>
                <w:noProof/>
                <w:sz w:val="22"/>
              </w:rPr>
              <w:br/>
            </w:r>
          </w:p>
        </w:tc>
        <w:tc>
          <w:tcPr>
            <w:tcW w:w="1440" w:type="dxa"/>
            <w:vAlign w:val="center"/>
          </w:tcPr>
          <w:p>
            <w:pPr>
              <w:rPr>
                <w:noProof/>
                <w:sz w:val="18"/>
              </w:rPr>
            </w:pPr>
            <w:r>
              <w:rPr>
                <w:noProof/>
                <w:sz w:val="18"/>
              </w:rPr>
              <w:t>Kötelezettségvállalási előirányzatok</w:t>
            </w:r>
          </w:p>
        </w:tc>
        <w:tc>
          <w:tcPr>
            <w:tcW w:w="654" w:type="dxa"/>
            <w:gridSpan w:val="2"/>
            <w:vAlign w:val="center"/>
          </w:tcPr>
          <w:p>
            <w:pPr>
              <w:jc w:val="center"/>
              <w:rPr>
                <w:noProof/>
                <w:sz w:val="14"/>
              </w:rPr>
            </w:pPr>
            <w:r>
              <w:rPr>
                <w:noProof/>
                <w:sz w:val="14"/>
              </w:rPr>
              <w:t>=4+ 6</w:t>
            </w:r>
          </w:p>
        </w:tc>
        <w:tc>
          <w:tcPr>
            <w:tcW w:w="868" w:type="dxa"/>
            <w:vAlign w:val="center"/>
          </w:tcPr>
          <w:p>
            <w:pPr>
              <w:spacing w:before="20" w:after="20"/>
              <w:jc w:val="right"/>
              <w:rPr>
                <w:noProof/>
                <w:sz w:val="20"/>
              </w:rPr>
            </w:pPr>
            <w:r>
              <w:rPr>
                <w:noProof/>
                <w:sz w:val="20"/>
              </w:rPr>
              <w:t>15,1356</w:t>
            </w:r>
          </w:p>
        </w:tc>
        <w:tc>
          <w:tcPr>
            <w:tcW w:w="868" w:type="dxa"/>
            <w:vAlign w:val="center"/>
          </w:tcPr>
          <w:p>
            <w:pPr>
              <w:spacing w:before="20" w:after="20"/>
              <w:jc w:val="right"/>
              <w:rPr>
                <w:noProof/>
                <w:sz w:val="20"/>
              </w:rPr>
            </w:pPr>
            <w:r>
              <w:rPr>
                <w:noProof/>
                <w:sz w:val="20"/>
              </w:rPr>
              <w:t>15,1356</w:t>
            </w:r>
          </w:p>
        </w:tc>
        <w:tc>
          <w:tcPr>
            <w:tcW w:w="868" w:type="dxa"/>
            <w:vAlign w:val="center"/>
          </w:tcPr>
          <w:p>
            <w:pPr>
              <w:spacing w:before="20" w:after="20"/>
              <w:jc w:val="right"/>
              <w:rPr>
                <w:noProof/>
                <w:sz w:val="20"/>
              </w:rPr>
            </w:pPr>
            <w:r>
              <w:rPr>
                <w:noProof/>
                <w:sz w:val="20"/>
              </w:rPr>
              <w:t>15,2866</w:t>
            </w:r>
          </w:p>
        </w:tc>
        <w:tc>
          <w:tcPr>
            <w:tcW w:w="868" w:type="dxa"/>
            <w:vAlign w:val="center"/>
          </w:tcPr>
          <w:p>
            <w:pPr>
              <w:spacing w:before="20" w:after="20"/>
              <w:jc w:val="right"/>
              <w:rPr>
                <w:noProof/>
                <w:sz w:val="20"/>
              </w:rPr>
            </w:pPr>
            <w:r>
              <w:rPr>
                <w:noProof/>
                <w:sz w:val="20"/>
              </w:rPr>
              <w:t>15,5886</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r>
              <w:rPr>
                <w:b/>
                <w:noProof/>
                <w:sz w:val="20"/>
              </w:rPr>
              <w:t>61,1464</w:t>
            </w:r>
          </w:p>
        </w:tc>
      </w:tr>
      <w:tr>
        <w:tc>
          <w:tcPr>
            <w:tcW w:w="3960" w:type="dxa"/>
            <w:vMerge/>
            <w:shd w:val="thinDiagStripe" w:color="C0C0C0" w:fill="auto"/>
          </w:tcPr>
          <w:p>
            <w:pPr>
              <w:rPr>
                <w:noProof/>
                <w:sz w:val="20"/>
              </w:rPr>
            </w:pPr>
          </w:p>
        </w:tc>
        <w:tc>
          <w:tcPr>
            <w:tcW w:w="1440" w:type="dxa"/>
            <w:vAlign w:val="center"/>
          </w:tcPr>
          <w:p>
            <w:pPr>
              <w:rPr>
                <w:noProof/>
                <w:sz w:val="18"/>
              </w:rPr>
            </w:pPr>
            <w:r>
              <w:rPr>
                <w:noProof/>
                <w:sz w:val="18"/>
              </w:rPr>
              <w:t xml:space="preserve">Kifizetési előirányzatok </w:t>
            </w:r>
          </w:p>
        </w:tc>
        <w:tc>
          <w:tcPr>
            <w:tcW w:w="654" w:type="dxa"/>
            <w:gridSpan w:val="2"/>
            <w:vAlign w:val="center"/>
          </w:tcPr>
          <w:p>
            <w:pPr>
              <w:jc w:val="center"/>
              <w:rPr>
                <w:noProof/>
                <w:sz w:val="14"/>
              </w:rPr>
            </w:pPr>
            <w:r>
              <w:rPr>
                <w:noProof/>
                <w:sz w:val="14"/>
              </w:rPr>
              <w:t>=5+ 6</w:t>
            </w:r>
          </w:p>
        </w:tc>
        <w:tc>
          <w:tcPr>
            <w:tcW w:w="868" w:type="dxa"/>
            <w:vAlign w:val="center"/>
          </w:tcPr>
          <w:p>
            <w:pPr>
              <w:spacing w:before="20" w:after="20"/>
              <w:jc w:val="right"/>
              <w:rPr>
                <w:noProof/>
                <w:sz w:val="20"/>
              </w:rPr>
            </w:pPr>
            <w:r>
              <w:rPr>
                <w:noProof/>
                <w:sz w:val="20"/>
              </w:rPr>
              <w:t>15,1356</w:t>
            </w:r>
          </w:p>
        </w:tc>
        <w:tc>
          <w:tcPr>
            <w:tcW w:w="868" w:type="dxa"/>
            <w:vAlign w:val="center"/>
          </w:tcPr>
          <w:p>
            <w:pPr>
              <w:spacing w:before="20" w:after="20"/>
              <w:jc w:val="right"/>
              <w:rPr>
                <w:noProof/>
                <w:sz w:val="20"/>
              </w:rPr>
            </w:pPr>
            <w:r>
              <w:rPr>
                <w:noProof/>
                <w:sz w:val="20"/>
              </w:rPr>
              <w:t>15,1356</w:t>
            </w:r>
          </w:p>
        </w:tc>
        <w:tc>
          <w:tcPr>
            <w:tcW w:w="868" w:type="dxa"/>
            <w:vAlign w:val="center"/>
          </w:tcPr>
          <w:p>
            <w:pPr>
              <w:spacing w:before="20" w:after="20"/>
              <w:jc w:val="right"/>
              <w:rPr>
                <w:noProof/>
                <w:sz w:val="20"/>
              </w:rPr>
            </w:pPr>
            <w:r>
              <w:rPr>
                <w:noProof/>
                <w:sz w:val="20"/>
              </w:rPr>
              <w:t>15,2866</w:t>
            </w:r>
          </w:p>
        </w:tc>
        <w:tc>
          <w:tcPr>
            <w:tcW w:w="868" w:type="dxa"/>
            <w:vAlign w:val="center"/>
          </w:tcPr>
          <w:p>
            <w:pPr>
              <w:spacing w:before="20" w:after="20"/>
              <w:jc w:val="right"/>
              <w:rPr>
                <w:noProof/>
                <w:sz w:val="20"/>
              </w:rPr>
            </w:pPr>
            <w:r>
              <w:rPr>
                <w:noProof/>
                <w:sz w:val="20"/>
              </w:rPr>
              <w:t>15,5886</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r>
              <w:rPr>
                <w:b/>
                <w:noProof/>
                <w:sz w:val="20"/>
              </w:rPr>
              <w:t>61,1464</w:t>
            </w:r>
          </w:p>
        </w:tc>
      </w:tr>
    </w:tbl>
    <w:p>
      <w:pPr>
        <w:spacing w:after="40"/>
        <w:rPr>
          <w:b/>
          <w:noProof/>
          <w:color w:val="000000" w:themeColor="text1"/>
          <w:sz w:val="22"/>
          <w:u w:val="single"/>
        </w:rPr>
      </w:pPr>
      <w:r>
        <w:rPr>
          <w:b/>
          <w:noProof/>
          <w:color w:val="000000" w:themeColor="text1"/>
          <w:sz w:val="22"/>
          <w:u w:val="single"/>
        </w:rPr>
        <w:t xml:space="preserve">Amennyiben a javaslat/kezdeményezés több fejezetet is érint: </w:t>
      </w:r>
      <w:r>
        <w:rPr>
          <w:b/>
          <w:noProof/>
          <w:color w:val="000000" w:themeColor="text1"/>
          <w:sz w:val="22"/>
        </w:rPr>
        <w:t>nem alkalmazandó</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654"/>
        <w:gridCol w:w="868"/>
        <w:gridCol w:w="868"/>
        <w:gridCol w:w="868"/>
        <w:gridCol w:w="868"/>
        <w:gridCol w:w="868"/>
        <w:gridCol w:w="868"/>
        <w:gridCol w:w="868"/>
        <w:gridCol w:w="1777"/>
      </w:tblGrid>
      <w:tr>
        <w:trPr>
          <w:trHeight w:val="277"/>
        </w:trPr>
        <w:tc>
          <w:tcPr>
            <w:tcW w:w="3960" w:type="dxa"/>
            <w:vMerge w:val="restart"/>
            <w:vAlign w:val="center"/>
          </w:tcPr>
          <w:p>
            <w:pPr>
              <w:spacing w:before="20" w:after="20"/>
              <w:rPr>
                <w:noProof/>
                <w:color w:val="000000" w:themeColor="text1"/>
                <w:sz w:val="22"/>
              </w:rPr>
            </w:pPr>
            <w:r>
              <w:rPr>
                <w:noProof/>
                <w:color w:val="000000" w:themeColor="text1"/>
                <w:sz w:val="21"/>
              </w:rPr>
              <w:sym w:font="Wingdings" w:char="F09F"/>
            </w:r>
            <w:r>
              <w:rPr>
                <w:noProof/>
                <w:color w:val="000000" w:themeColor="text1"/>
                <w:sz w:val="21"/>
              </w:rPr>
              <w:t xml:space="preserve"> Operatív előirányzatok ÖSSZESEN</w:t>
            </w:r>
          </w:p>
        </w:tc>
        <w:tc>
          <w:tcPr>
            <w:tcW w:w="1440" w:type="dxa"/>
            <w:vAlign w:val="center"/>
          </w:tcPr>
          <w:p>
            <w:pPr>
              <w:spacing w:beforeLines="20" w:before="48" w:afterLines="20" w:after="48"/>
              <w:rPr>
                <w:noProof/>
                <w:color w:val="000000" w:themeColor="text1"/>
                <w:sz w:val="18"/>
              </w:rPr>
            </w:pPr>
            <w:r>
              <w:rPr>
                <w:noProof/>
                <w:color w:val="000000" w:themeColor="text1"/>
                <w:sz w:val="18"/>
              </w:rPr>
              <w:t>Kötelezettségvállalási előirányzatok</w:t>
            </w:r>
          </w:p>
        </w:tc>
        <w:tc>
          <w:tcPr>
            <w:tcW w:w="654" w:type="dxa"/>
            <w:vAlign w:val="center"/>
          </w:tcPr>
          <w:p>
            <w:pPr>
              <w:spacing w:beforeLines="20" w:before="48" w:afterLines="20" w:after="48"/>
              <w:jc w:val="center"/>
              <w:rPr>
                <w:noProof/>
                <w:color w:val="000000" w:themeColor="text1"/>
                <w:sz w:val="14"/>
              </w:rPr>
            </w:pPr>
            <w:r>
              <w:rPr>
                <w:noProof/>
                <w:color w:val="000000" w:themeColor="text1"/>
                <w:sz w:val="14"/>
              </w:rPr>
              <w:t>(4)</w:t>
            </w: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b/>
                <w:noProof/>
                <w:color w:val="000000" w:themeColor="text1"/>
                <w:sz w:val="20"/>
              </w:rPr>
            </w:pPr>
          </w:p>
        </w:tc>
        <w:tc>
          <w:tcPr>
            <w:tcW w:w="1777" w:type="dxa"/>
            <w:vAlign w:val="center"/>
          </w:tcPr>
          <w:p>
            <w:pPr>
              <w:spacing w:before="20" w:after="20"/>
              <w:jc w:val="right"/>
              <w:rPr>
                <w:b/>
                <w:noProof/>
                <w:color w:val="000000" w:themeColor="text1"/>
                <w:sz w:val="20"/>
              </w:rPr>
            </w:pPr>
          </w:p>
        </w:tc>
      </w:tr>
      <w:tr>
        <w:tc>
          <w:tcPr>
            <w:tcW w:w="3960" w:type="dxa"/>
            <w:vMerge/>
          </w:tcPr>
          <w:p>
            <w:pPr>
              <w:jc w:val="center"/>
              <w:rPr>
                <w:noProof/>
                <w:color w:val="000000" w:themeColor="text1"/>
                <w:sz w:val="20"/>
              </w:rPr>
            </w:pPr>
          </w:p>
        </w:tc>
        <w:tc>
          <w:tcPr>
            <w:tcW w:w="1440" w:type="dxa"/>
            <w:vAlign w:val="center"/>
          </w:tcPr>
          <w:p>
            <w:pPr>
              <w:spacing w:beforeLines="20" w:before="48" w:afterLines="20" w:after="48"/>
              <w:rPr>
                <w:noProof/>
                <w:color w:val="000000" w:themeColor="text1"/>
                <w:sz w:val="18"/>
              </w:rPr>
            </w:pPr>
            <w:r>
              <w:rPr>
                <w:noProof/>
                <w:color w:val="000000" w:themeColor="text1"/>
                <w:sz w:val="18"/>
              </w:rPr>
              <w:t xml:space="preserve">Kifizetési előirányzatok </w:t>
            </w:r>
          </w:p>
        </w:tc>
        <w:tc>
          <w:tcPr>
            <w:tcW w:w="654" w:type="dxa"/>
            <w:vAlign w:val="center"/>
          </w:tcPr>
          <w:p>
            <w:pPr>
              <w:spacing w:beforeLines="20" w:before="48" w:afterLines="20" w:after="48"/>
              <w:jc w:val="center"/>
              <w:rPr>
                <w:noProof/>
                <w:color w:val="000000" w:themeColor="text1"/>
                <w:sz w:val="14"/>
              </w:rPr>
            </w:pPr>
            <w:r>
              <w:rPr>
                <w:noProof/>
                <w:color w:val="000000" w:themeColor="text1"/>
                <w:sz w:val="14"/>
              </w:rPr>
              <w:t>(5)</w:t>
            </w: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b/>
                <w:noProof/>
                <w:color w:val="000000" w:themeColor="text1"/>
                <w:sz w:val="20"/>
              </w:rPr>
            </w:pPr>
          </w:p>
        </w:tc>
        <w:tc>
          <w:tcPr>
            <w:tcW w:w="1777" w:type="dxa"/>
            <w:vAlign w:val="center"/>
          </w:tcPr>
          <w:p>
            <w:pPr>
              <w:spacing w:before="20" w:after="20"/>
              <w:jc w:val="right"/>
              <w:rPr>
                <w:b/>
                <w:noProof/>
                <w:color w:val="000000" w:themeColor="text1"/>
                <w:sz w:val="20"/>
              </w:rPr>
            </w:pPr>
          </w:p>
        </w:tc>
      </w:tr>
      <w:tr>
        <w:trPr>
          <w:trHeight w:val="533"/>
        </w:trPr>
        <w:tc>
          <w:tcPr>
            <w:tcW w:w="5400" w:type="dxa"/>
            <w:gridSpan w:val="2"/>
            <w:vAlign w:val="center"/>
          </w:tcPr>
          <w:p>
            <w:pPr>
              <w:spacing w:beforeLines="20" w:before="48" w:afterLines="20" w:after="48"/>
              <w:rPr>
                <w:noProof/>
                <w:color w:val="000000" w:themeColor="text1"/>
                <w:sz w:val="22"/>
              </w:rPr>
            </w:pPr>
            <w:r>
              <w:rPr>
                <w:noProof/>
                <w:color w:val="000000" w:themeColor="text1"/>
                <w:sz w:val="21"/>
              </w:rPr>
              <w:sym w:font="Wingdings" w:char="F09F"/>
            </w:r>
            <w:r>
              <w:rPr>
                <w:noProof/>
                <w:color w:val="000000" w:themeColor="text1"/>
                <w:sz w:val="21"/>
              </w:rPr>
              <w:t xml:space="preserve"> Bizonyos egyedi programok keretéből finanszírozott igazgatási előirányzatok ÖSSZESEN</w:t>
            </w:r>
          </w:p>
        </w:tc>
        <w:tc>
          <w:tcPr>
            <w:tcW w:w="654" w:type="dxa"/>
            <w:vAlign w:val="center"/>
          </w:tcPr>
          <w:p>
            <w:pPr>
              <w:spacing w:beforeLines="20" w:before="48" w:afterLines="20" w:after="48"/>
              <w:jc w:val="center"/>
              <w:rPr>
                <w:noProof/>
                <w:color w:val="000000" w:themeColor="text1"/>
                <w:sz w:val="14"/>
              </w:rPr>
            </w:pPr>
            <w:r>
              <w:rPr>
                <w:noProof/>
                <w:color w:val="000000" w:themeColor="text1"/>
                <w:sz w:val="14"/>
              </w:rPr>
              <w:t>(6)</w:t>
            </w:r>
          </w:p>
        </w:tc>
        <w:tc>
          <w:tcPr>
            <w:tcW w:w="868" w:type="dxa"/>
            <w:vAlign w:val="center"/>
          </w:tcPr>
          <w:p>
            <w:pPr>
              <w:spacing w:before="20" w:after="20"/>
              <w:jc w:val="right"/>
              <w:rPr>
                <w:b/>
                <w:noProof/>
                <w:color w:val="000000" w:themeColor="text1"/>
                <w:sz w:val="20"/>
              </w:rPr>
            </w:pPr>
          </w:p>
        </w:tc>
        <w:tc>
          <w:tcPr>
            <w:tcW w:w="868" w:type="dxa"/>
            <w:vAlign w:val="center"/>
          </w:tcPr>
          <w:p>
            <w:pPr>
              <w:spacing w:before="20" w:after="20"/>
              <w:jc w:val="right"/>
              <w:rPr>
                <w:b/>
                <w:noProof/>
                <w:color w:val="000000" w:themeColor="text1"/>
                <w:sz w:val="20"/>
              </w:rPr>
            </w:pPr>
          </w:p>
        </w:tc>
        <w:tc>
          <w:tcPr>
            <w:tcW w:w="868" w:type="dxa"/>
            <w:vAlign w:val="center"/>
          </w:tcPr>
          <w:p>
            <w:pPr>
              <w:spacing w:before="20" w:after="20"/>
              <w:jc w:val="right"/>
              <w:rPr>
                <w:b/>
                <w:noProof/>
                <w:color w:val="000000" w:themeColor="text1"/>
                <w:sz w:val="20"/>
              </w:rPr>
            </w:pPr>
          </w:p>
        </w:tc>
        <w:tc>
          <w:tcPr>
            <w:tcW w:w="868" w:type="dxa"/>
            <w:vAlign w:val="center"/>
          </w:tcPr>
          <w:p>
            <w:pPr>
              <w:spacing w:before="20" w:after="20"/>
              <w:jc w:val="right"/>
              <w:rPr>
                <w:b/>
                <w:noProof/>
                <w:color w:val="000000" w:themeColor="text1"/>
                <w:sz w:val="20"/>
              </w:rPr>
            </w:pPr>
          </w:p>
        </w:tc>
        <w:tc>
          <w:tcPr>
            <w:tcW w:w="868" w:type="dxa"/>
            <w:vAlign w:val="center"/>
          </w:tcPr>
          <w:p>
            <w:pPr>
              <w:spacing w:before="20" w:after="20"/>
              <w:jc w:val="right"/>
              <w:rPr>
                <w:b/>
                <w:noProof/>
                <w:color w:val="000000" w:themeColor="text1"/>
                <w:sz w:val="20"/>
              </w:rPr>
            </w:pPr>
          </w:p>
        </w:tc>
        <w:tc>
          <w:tcPr>
            <w:tcW w:w="868" w:type="dxa"/>
            <w:vAlign w:val="center"/>
          </w:tcPr>
          <w:p>
            <w:pPr>
              <w:spacing w:before="20" w:after="20"/>
              <w:jc w:val="right"/>
              <w:rPr>
                <w:b/>
                <w:noProof/>
                <w:color w:val="000000" w:themeColor="text1"/>
                <w:sz w:val="20"/>
              </w:rPr>
            </w:pPr>
          </w:p>
        </w:tc>
        <w:tc>
          <w:tcPr>
            <w:tcW w:w="868" w:type="dxa"/>
            <w:vAlign w:val="center"/>
          </w:tcPr>
          <w:p>
            <w:pPr>
              <w:spacing w:before="20" w:after="20"/>
              <w:jc w:val="right"/>
              <w:rPr>
                <w:b/>
                <w:noProof/>
                <w:color w:val="000000" w:themeColor="text1"/>
                <w:sz w:val="20"/>
              </w:rPr>
            </w:pPr>
          </w:p>
        </w:tc>
        <w:tc>
          <w:tcPr>
            <w:tcW w:w="1777" w:type="dxa"/>
            <w:vAlign w:val="center"/>
          </w:tcPr>
          <w:p>
            <w:pPr>
              <w:spacing w:before="20" w:after="20"/>
              <w:jc w:val="right"/>
              <w:rPr>
                <w:b/>
                <w:noProof/>
                <w:color w:val="000000" w:themeColor="text1"/>
                <w:sz w:val="20"/>
              </w:rPr>
            </w:pPr>
          </w:p>
        </w:tc>
      </w:tr>
      <w:tr>
        <w:tc>
          <w:tcPr>
            <w:tcW w:w="3960" w:type="dxa"/>
            <w:vMerge w:val="restart"/>
            <w:shd w:val="thinDiagStripe" w:color="C0C0C0" w:fill="auto"/>
            <w:vAlign w:val="center"/>
          </w:tcPr>
          <w:p>
            <w:pPr>
              <w:jc w:val="center"/>
              <w:rPr>
                <w:b/>
                <w:noProof/>
                <w:color w:val="000000" w:themeColor="text1"/>
                <w:sz w:val="22"/>
              </w:rPr>
            </w:pPr>
            <w:r>
              <w:rPr>
                <w:noProof/>
              </w:rPr>
              <w:t>A többéves pénzügyi keret</w:t>
            </w:r>
            <w:r>
              <w:rPr>
                <w:noProof/>
                <w:color w:val="000000" w:themeColor="text1"/>
                <w:sz w:val="22"/>
              </w:rPr>
              <w:br/>
            </w:r>
            <w:r>
              <w:rPr>
                <w:b/>
                <w:noProof/>
                <w:color w:val="000000" w:themeColor="text1"/>
                <w:sz w:val="22"/>
              </w:rPr>
              <w:t>1–4. FEJEZETÉHEZ tartozó előirányzatok ÖSSZESEN</w:t>
            </w:r>
            <w:r>
              <w:rPr>
                <w:noProof/>
                <w:color w:val="000000" w:themeColor="text1"/>
                <w:sz w:val="22"/>
              </w:rPr>
              <w:br/>
            </w:r>
            <w:r>
              <w:rPr>
                <w:noProof/>
                <w:color w:val="000000" w:themeColor="text1"/>
                <w:sz w:val="22"/>
              </w:rPr>
              <w:br/>
            </w:r>
            <w:r>
              <w:rPr>
                <w:noProof/>
                <w:color w:val="000000" w:themeColor="text1"/>
                <w:sz w:val="20"/>
              </w:rPr>
              <w:t>(Referenciaösszeg)</w:t>
            </w:r>
          </w:p>
        </w:tc>
        <w:tc>
          <w:tcPr>
            <w:tcW w:w="1440" w:type="dxa"/>
            <w:vAlign w:val="center"/>
          </w:tcPr>
          <w:p>
            <w:pPr>
              <w:rPr>
                <w:noProof/>
                <w:color w:val="000000" w:themeColor="text1"/>
                <w:sz w:val="18"/>
              </w:rPr>
            </w:pPr>
            <w:r>
              <w:rPr>
                <w:noProof/>
                <w:color w:val="000000" w:themeColor="text1"/>
                <w:sz w:val="18"/>
              </w:rPr>
              <w:t>Kötelezettségvállalási előirányzatok</w:t>
            </w:r>
          </w:p>
        </w:tc>
        <w:tc>
          <w:tcPr>
            <w:tcW w:w="654" w:type="dxa"/>
            <w:vAlign w:val="center"/>
          </w:tcPr>
          <w:p>
            <w:pPr>
              <w:jc w:val="center"/>
              <w:rPr>
                <w:noProof/>
                <w:color w:val="000000" w:themeColor="text1"/>
                <w:sz w:val="14"/>
              </w:rPr>
            </w:pPr>
            <w:r>
              <w:rPr>
                <w:noProof/>
                <w:color w:val="000000" w:themeColor="text1"/>
                <w:sz w:val="14"/>
              </w:rPr>
              <w:t>=4+ 6</w:t>
            </w: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b/>
                <w:noProof/>
                <w:color w:val="000000" w:themeColor="text1"/>
                <w:sz w:val="20"/>
              </w:rPr>
            </w:pPr>
          </w:p>
        </w:tc>
        <w:tc>
          <w:tcPr>
            <w:tcW w:w="1777" w:type="dxa"/>
            <w:vAlign w:val="center"/>
          </w:tcPr>
          <w:p>
            <w:pPr>
              <w:spacing w:before="20" w:after="20"/>
              <w:jc w:val="right"/>
              <w:rPr>
                <w:b/>
                <w:noProof/>
                <w:color w:val="000000" w:themeColor="text1"/>
                <w:sz w:val="20"/>
              </w:rPr>
            </w:pPr>
          </w:p>
        </w:tc>
      </w:tr>
      <w:tr>
        <w:tc>
          <w:tcPr>
            <w:tcW w:w="3960" w:type="dxa"/>
            <w:vMerge/>
            <w:shd w:val="thinDiagStripe" w:color="C0C0C0" w:fill="auto"/>
          </w:tcPr>
          <w:p>
            <w:pPr>
              <w:rPr>
                <w:noProof/>
                <w:color w:val="000000" w:themeColor="text1"/>
                <w:sz w:val="20"/>
              </w:rPr>
            </w:pPr>
          </w:p>
        </w:tc>
        <w:tc>
          <w:tcPr>
            <w:tcW w:w="1440" w:type="dxa"/>
            <w:vAlign w:val="center"/>
          </w:tcPr>
          <w:p>
            <w:pPr>
              <w:rPr>
                <w:noProof/>
                <w:color w:val="000000" w:themeColor="text1"/>
                <w:sz w:val="18"/>
              </w:rPr>
            </w:pPr>
            <w:r>
              <w:rPr>
                <w:noProof/>
                <w:color w:val="000000" w:themeColor="text1"/>
                <w:sz w:val="18"/>
              </w:rPr>
              <w:t xml:space="preserve">Kifizetési előirányzatok </w:t>
            </w:r>
          </w:p>
        </w:tc>
        <w:tc>
          <w:tcPr>
            <w:tcW w:w="654" w:type="dxa"/>
            <w:vAlign w:val="center"/>
          </w:tcPr>
          <w:p>
            <w:pPr>
              <w:jc w:val="center"/>
              <w:rPr>
                <w:noProof/>
                <w:color w:val="000000" w:themeColor="text1"/>
                <w:sz w:val="14"/>
              </w:rPr>
            </w:pPr>
            <w:r>
              <w:rPr>
                <w:noProof/>
                <w:color w:val="000000" w:themeColor="text1"/>
                <w:sz w:val="14"/>
              </w:rPr>
              <w:t>=5+ 6</w:t>
            </w: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noProof/>
                <w:color w:val="000000" w:themeColor="text1"/>
                <w:sz w:val="20"/>
              </w:rPr>
            </w:pPr>
          </w:p>
        </w:tc>
        <w:tc>
          <w:tcPr>
            <w:tcW w:w="868" w:type="dxa"/>
            <w:vAlign w:val="center"/>
          </w:tcPr>
          <w:p>
            <w:pPr>
              <w:spacing w:before="20" w:after="20"/>
              <w:jc w:val="right"/>
              <w:rPr>
                <w:b/>
                <w:noProof/>
                <w:color w:val="000000" w:themeColor="text1"/>
                <w:sz w:val="20"/>
              </w:rPr>
            </w:pPr>
          </w:p>
        </w:tc>
        <w:tc>
          <w:tcPr>
            <w:tcW w:w="1777" w:type="dxa"/>
            <w:vAlign w:val="center"/>
          </w:tcPr>
          <w:p>
            <w:pPr>
              <w:spacing w:before="20" w:after="20"/>
              <w:jc w:val="right"/>
              <w:rPr>
                <w:b/>
                <w:noProof/>
                <w:color w:val="000000" w:themeColor="text1"/>
                <w:sz w:val="20"/>
              </w:rPr>
            </w:pPr>
          </w:p>
        </w:tc>
      </w:tr>
    </w:tbl>
    <w:p>
      <w:pPr>
        <w:rPr>
          <w:noProof/>
          <w:color w:val="000000" w:themeColor="text1"/>
        </w:rPr>
      </w:pPr>
    </w:p>
    <w:p>
      <w:pPr>
        <w:rPr>
          <w:noProof/>
        </w:rPr>
      </w:pPr>
      <w:r>
        <w:rPr>
          <w:noProof/>
        </w:rPr>
        <w:br w:type="page"/>
      </w:r>
    </w:p>
    <w:tbl>
      <w:tblPr>
        <w:tblW w:w="0" w:type="auto"/>
        <w:jc w:val="center"/>
        <w:tblInd w:w="-2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trPr>
          <w:jc w:val="center"/>
        </w:trPr>
        <w:tc>
          <w:tcPr>
            <w:tcW w:w="4744" w:type="dxa"/>
            <w:shd w:val="thinDiagStripe" w:color="C0C0C0" w:fill="auto"/>
            <w:vAlign w:val="center"/>
          </w:tcPr>
          <w:p>
            <w:pPr>
              <w:spacing w:before="60" w:after="60"/>
              <w:jc w:val="center"/>
              <w:rPr>
                <w:b/>
                <w:noProof/>
                <w:sz w:val="22"/>
              </w:rPr>
            </w:pPr>
            <w:r>
              <w:rPr>
                <w:noProof/>
              </w:rPr>
              <w:br w:type="page"/>
            </w:r>
            <w:r>
              <w:rPr>
                <w:b/>
                <w:noProof/>
                <w:sz w:val="22"/>
              </w:rPr>
              <w:t>A többéves pénzügyi keret</w:t>
            </w:r>
            <w:r>
              <w:rPr>
                <w:noProof/>
                <w:sz w:val="22"/>
              </w:rPr>
              <w:br/>
            </w:r>
            <w:r>
              <w:rPr>
                <w:b/>
                <w:noProof/>
                <w:sz w:val="22"/>
              </w:rPr>
              <w:t xml:space="preserve">fejezete </w:t>
            </w:r>
          </w:p>
        </w:tc>
        <w:tc>
          <w:tcPr>
            <w:tcW w:w="1080" w:type="dxa"/>
            <w:shd w:val="thinDiagStripe" w:color="C0C0C0" w:fill="auto"/>
            <w:vAlign w:val="center"/>
          </w:tcPr>
          <w:p>
            <w:pPr>
              <w:spacing w:before="60" w:after="60"/>
              <w:jc w:val="center"/>
              <w:rPr>
                <w:noProof/>
                <w:sz w:val="22"/>
              </w:rPr>
            </w:pPr>
            <w:r>
              <w:rPr>
                <w:b/>
                <w:noProof/>
                <w:sz w:val="22"/>
              </w:rPr>
              <w:t>5</w:t>
            </w:r>
          </w:p>
        </w:tc>
        <w:tc>
          <w:tcPr>
            <w:tcW w:w="7817" w:type="dxa"/>
            <w:vAlign w:val="center"/>
          </w:tcPr>
          <w:p>
            <w:pPr>
              <w:spacing w:before="60" w:after="60"/>
              <w:rPr>
                <w:noProof/>
                <w:sz w:val="22"/>
              </w:rPr>
            </w:pPr>
            <w:r>
              <w:rPr>
                <w:noProof/>
                <w:sz w:val="22"/>
              </w:rPr>
              <w:t>„Igazgatási kiadások”</w:t>
            </w:r>
          </w:p>
        </w:tc>
      </w:tr>
    </w:tbl>
    <w:p>
      <w:pPr>
        <w:jc w:val="right"/>
        <w:rPr>
          <w:noProof/>
          <w:sz w:val="20"/>
        </w:rPr>
      </w:pPr>
      <w:r>
        <w:rPr>
          <w:noProof/>
          <w:sz w:val="20"/>
        </w:rPr>
        <w:t>millió EUR (három tizedesjegyig)</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60"/>
        <w:gridCol w:w="534"/>
        <w:gridCol w:w="868"/>
        <w:gridCol w:w="868"/>
        <w:gridCol w:w="868"/>
        <w:gridCol w:w="868"/>
        <w:gridCol w:w="868"/>
        <w:gridCol w:w="868"/>
        <w:gridCol w:w="868"/>
        <w:gridCol w:w="1777"/>
      </w:tblGrid>
      <w:tr>
        <w:tc>
          <w:tcPr>
            <w:tcW w:w="3960" w:type="dxa"/>
            <w:tcBorders>
              <w:top w:val="nil"/>
              <w:left w:val="nil"/>
              <w:right w:val="nil"/>
            </w:tcBorders>
            <w:vAlign w:val="center"/>
          </w:tcPr>
          <w:p>
            <w:pPr>
              <w:jc w:val="center"/>
              <w:rPr>
                <w:noProof/>
                <w:sz w:val="22"/>
              </w:rPr>
            </w:pPr>
          </w:p>
        </w:tc>
        <w:tc>
          <w:tcPr>
            <w:tcW w:w="1560" w:type="dxa"/>
            <w:tcBorders>
              <w:top w:val="nil"/>
              <w:left w:val="nil"/>
              <w:right w:val="nil"/>
            </w:tcBorders>
          </w:tcPr>
          <w:p>
            <w:pPr>
              <w:rPr>
                <w:noProof/>
                <w:sz w:val="20"/>
              </w:rPr>
            </w:pPr>
          </w:p>
        </w:tc>
        <w:tc>
          <w:tcPr>
            <w:tcW w:w="534" w:type="dxa"/>
            <w:tcBorders>
              <w:top w:val="nil"/>
              <w:left w:val="nil"/>
            </w:tcBorders>
          </w:tcPr>
          <w:p>
            <w:pPr>
              <w:jc w:val="center"/>
              <w:rPr>
                <w:noProof/>
                <w:sz w:val="20"/>
              </w:rPr>
            </w:pPr>
          </w:p>
        </w:tc>
        <w:tc>
          <w:tcPr>
            <w:tcW w:w="868" w:type="dxa"/>
            <w:vAlign w:val="center"/>
          </w:tcPr>
          <w:p>
            <w:pPr>
              <w:jc w:val="center"/>
              <w:rPr>
                <w:noProof/>
                <w:sz w:val="20"/>
              </w:rPr>
            </w:pPr>
            <w:r>
              <w:rPr>
                <w:noProof/>
                <w:sz w:val="22"/>
              </w:rPr>
              <w:br/>
            </w:r>
            <w:r>
              <w:rPr>
                <w:b/>
                <w:noProof/>
                <w:sz w:val="20"/>
              </w:rPr>
              <w:t>2017</w:t>
            </w:r>
            <w:r>
              <w:rPr>
                <w:noProof/>
              </w:rPr>
              <w:t>. év</w:t>
            </w:r>
          </w:p>
        </w:tc>
        <w:tc>
          <w:tcPr>
            <w:tcW w:w="868" w:type="dxa"/>
            <w:vAlign w:val="center"/>
          </w:tcPr>
          <w:p>
            <w:pPr>
              <w:jc w:val="center"/>
              <w:rPr>
                <w:noProof/>
                <w:sz w:val="20"/>
              </w:rPr>
            </w:pPr>
            <w:r>
              <w:rPr>
                <w:noProof/>
                <w:sz w:val="22"/>
              </w:rPr>
              <w:br/>
            </w:r>
            <w:r>
              <w:rPr>
                <w:b/>
                <w:noProof/>
                <w:sz w:val="20"/>
              </w:rPr>
              <w:t>2018</w:t>
            </w:r>
            <w:r>
              <w:rPr>
                <w:noProof/>
              </w:rPr>
              <w:t>. év</w:t>
            </w:r>
          </w:p>
        </w:tc>
        <w:tc>
          <w:tcPr>
            <w:tcW w:w="868" w:type="dxa"/>
            <w:vAlign w:val="center"/>
          </w:tcPr>
          <w:p>
            <w:pPr>
              <w:jc w:val="center"/>
              <w:rPr>
                <w:noProof/>
                <w:sz w:val="20"/>
              </w:rPr>
            </w:pPr>
            <w:r>
              <w:rPr>
                <w:noProof/>
                <w:sz w:val="22"/>
              </w:rPr>
              <w:br/>
            </w:r>
            <w:r>
              <w:rPr>
                <w:b/>
                <w:noProof/>
                <w:sz w:val="20"/>
              </w:rPr>
              <w:t>2019</w:t>
            </w:r>
            <w:r>
              <w:rPr>
                <w:noProof/>
              </w:rPr>
              <w:t>. év</w:t>
            </w:r>
          </w:p>
        </w:tc>
        <w:tc>
          <w:tcPr>
            <w:tcW w:w="868" w:type="dxa"/>
            <w:vAlign w:val="center"/>
          </w:tcPr>
          <w:p>
            <w:pPr>
              <w:jc w:val="center"/>
              <w:rPr>
                <w:noProof/>
                <w:sz w:val="20"/>
              </w:rPr>
            </w:pPr>
            <w:r>
              <w:rPr>
                <w:noProof/>
                <w:sz w:val="22"/>
              </w:rPr>
              <w:br/>
            </w:r>
            <w:r>
              <w:rPr>
                <w:b/>
                <w:noProof/>
                <w:sz w:val="20"/>
              </w:rPr>
              <w:t>2020</w:t>
            </w:r>
            <w:r>
              <w:rPr>
                <w:noProof/>
              </w:rPr>
              <w:t>. év</w:t>
            </w:r>
          </w:p>
        </w:tc>
        <w:tc>
          <w:tcPr>
            <w:tcW w:w="2604" w:type="dxa"/>
            <w:gridSpan w:val="3"/>
            <w:vAlign w:val="center"/>
          </w:tcPr>
          <w:p>
            <w:pPr>
              <w:jc w:val="center"/>
              <w:rPr>
                <w:b/>
                <w:noProof/>
                <w:sz w:val="18"/>
              </w:rPr>
            </w:pPr>
            <w:r>
              <w:rPr>
                <w:noProof/>
                <w:sz w:val="18"/>
              </w:rPr>
              <w:t xml:space="preserve">A táblázat a hatás időtartamának megfelelően (vö. 1.6. pont) további évekkel bővíthető </w:t>
            </w:r>
          </w:p>
        </w:tc>
        <w:tc>
          <w:tcPr>
            <w:tcW w:w="1777" w:type="dxa"/>
            <w:vAlign w:val="center"/>
          </w:tcPr>
          <w:p>
            <w:pPr>
              <w:jc w:val="center"/>
              <w:rPr>
                <w:b/>
                <w:noProof/>
                <w:sz w:val="20"/>
              </w:rPr>
            </w:pPr>
            <w:r>
              <w:rPr>
                <w:b/>
                <w:noProof/>
                <w:sz w:val="20"/>
              </w:rPr>
              <w:t>ÖSSZESEN</w:t>
            </w:r>
          </w:p>
        </w:tc>
      </w:tr>
      <w:tr>
        <w:trPr>
          <w:gridAfter w:val="10"/>
          <w:wAfter w:w="9947" w:type="dxa"/>
        </w:trPr>
        <w:tc>
          <w:tcPr>
            <w:tcW w:w="3960" w:type="dxa"/>
            <w:vAlign w:val="center"/>
          </w:tcPr>
          <w:p>
            <w:pPr>
              <w:spacing w:before="60" w:after="60"/>
              <w:jc w:val="center"/>
              <w:rPr>
                <w:noProof/>
                <w:sz w:val="22"/>
              </w:rPr>
            </w:pPr>
            <w:r>
              <w:rPr>
                <w:noProof/>
                <w:sz w:val="22"/>
              </w:rPr>
              <w:t>FŐIGAZGATÓSÁG: Migrációügyi és Uniós Belügyi Főigazgatóság (DG HOME)</w:t>
            </w:r>
          </w:p>
        </w:tc>
      </w:tr>
      <w:tr>
        <w:trPr>
          <w:trHeight w:val="313"/>
        </w:trPr>
        <w:tc>
          <w:tcPr>
            <w:tcW w:w="6054" w:type="dxa"/>
            <w:gridSpan w:val="3"/>
            <w:vAlign w:val="center"/>
          </w:tcPr>
          <w:p>
            <w:pPr>
              <w:spacing w:before="20" w:after="20"/>
              <w:rPr>
                <w:noProof/>
                <w:sz w:val="22"/>
              </w:rPr>
            </w:pPr>
            <w:r>
              <w:rPr>
                <w:noProof/>
                <w:sz w:val="22"/>
              </w:rPr>
              <w:sym w:font="Wingdings" w:char="F09F"/>
            </w:r>
            <w:r>
              <w:rPr>
                <w:noProof/>
                <w:sz w:val="22"/>
              </w:rPr>
              <w:t xml:space="preserve"> Humánerőforrás </w:t>
            </w:r>
          </w:p>
        </w:tc>
        <w:tc>
          <w:tcPr>
            <w:tcW w:w="868" w:type="dxa"/>
            <w:vAlign w:val="center"/>
          </w:tcPr>
          <w:p>
            <w:pPr>
              <w:spacing w:before="20" w:after="20"/>
              <w:jc w:val="right"/>
              <w:rPr>
                <w:noProof/>
                <w:sz w:val="20"/>
              </w:rPr>
            </w:pPr>
            <w:r>
              <w:rPr>
                <w:noProof/>
                <w:sz w:val="20"/>
              </w:rPr>
              <w:t>0 402</w:t>
            </w:r>
          </w:p>
        </w:tc>
        <w:tc>
          <w:tcPr>
            <w:tcW w:w="868" w:type="dxa"/>
            <w:vAlign w:val="center"/>
          </w:tcPr>
          <w:p>
            <w:pPr>
              <w:spacing w:before="20" w:after="20"/>
              <w:jc w:val="right"/>
              <w:rPr>
                <w:noProof/>
                <w:sz w:val="20"/>
              </w:rPr>
            </w:pPr>
            <w:r>
              <w:rPr>
                <w:noProof/>
                <w:sz w:val="20"/>
              </w:rPr>
              <w:t>0 402</w:t>
            </w:r>
          </w:p>
        </w:tc>
        <w:tc>
          <w:tcPr>
            <w:tcW w:w="868" w:type="dxa"/>
            <w:vAlign w:val="center"/>
          </w:tcPr>
          <w:p>
            <w:pPr>
              <w:spacing w:before="20" w:after="20"/>
              <w:jc w:val="right"/>
              <w:rPr>
                <w:noProof/>
                <w:sz w:val="20"/>
              </w:rPr>
            </w:pPr>
            <w:r>
              <w:rPr>
                <w:noProof/>
                <w:sz w:val="20"/>
              </w:rPr>
              <w:t>0 402</w:t>
            </w:r>
          </w:p>
        </w:tc>
        <w:tc>
          <w:tcPr>
            <w:tcW w:w="868" w:type="dxa"/>
            <w:vAlign w:val="center"/>
          </w:tcPr>
          <w:p>
            <w:pPr>
              <w:spacing w:before="20" w:after="20"/>
              <w:jc w:val="right"/>
              <w:rPr>
                <w:noProof/>
                <w:sz w:val="20"/>
              </w:rPr>
            </w:pPr>
            <w:r>
              <w:rPr>
                <w:noProof/>
                <w:sz w:val="20"/>
              </w:rPr>
              <w:t>0 402</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r>
              <w:rPr>
                <w:b/>
                <w:noProof/>
                <w:sz w:val="20"/>
              </w:rPr>
              <w:t>1,6080</w:t>
            </w:r>
          </w:p>
        </w:tc>
      </w:tr>
      <w:tr>
        <w:trPr>
          <w:trHeight w:val="351"/>
        </w:trPr>
        <w:tc>
          <w:tcPr>
            <w:tcW w:w="6054" w:type="dxa"/>
            <w:gridSpan w:val="3"/>
            <w:vAlign w:val="center"/>
          </w:tcPr>
          <w:p>
            <w:pPr>
              <w:spacing w:before="20" w:after="20"/>
              <w:rPr>
                <w:noProof/>
                <w:sz w:val="22"/>
              </w:rPr>
            </w:pPr>
            <w:r>
              <w:rPr>
                <w:noProof/>
                <w:sz w:val="22"/>
              </w:rPr>
              <w:sym w:font="Wingdings" w:char="F09F"/>
            </w:r>
            <w:r>
              <w:rPr>
                <w:noProof/>
                <w:sz w:val="22"/>
              </w:rPr>
              <w:t xml:space="preserve"> Egyéb igazgatási kiadások</w:t>
            </w: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p>
        </w:tc>
      </w:tr>
      <w:tr>
        <w:tc>
          <w:tcPr>
            <w:tcW w:w="3960" w:type="dxa"/>
            <w:vAlign w:val="center"/>
          </w:tcPr>
          <w:p>
            <w:pPr>
              <w:jc w:val="center"/>
              <w:rPr>
                <w:b/>
                <w:noProof/>
                <w:sz w:val="22"/>
              </w:rPr>
            </w:pPr>
            <w:r>
              <w:rPr>
                <w:noProof/>
              </w:rPr>
              <w:t xml:space="preserve">Migrációügyi és Uniós Belügyi </w:t>
            </w:r>
            <w:r>
              <w:rPr>
                <w:b/>
                <w:noProof/>
                <w:sz w:val="22"/>
              </w:rPr>
              <w:t>Főigazgatóság ÖSSZESEN</w:t>
            </w:r>
          </w:p>
        </w:tc>
        <w:tc>
          <w:tcPr>
            <w:tcW w:w="2094" w:type="dxa"/>
            <w:gridSpan w:val="2"/>
            <w:vAlign w:val="center"/>
          </w:tcPr>
          <w:p>
            <w:pPr>
              <w:rPr>
                <w:noProof/>
                <w:sz w:val="14"/>
              </w:rPr>
            </w:pPr>
            <w:r>
              <w:rPr>
                <w:noProof/>
                <w:sz w:val="18"/>
              </w:rPr>
              <w:t xml:space="preserve">Előirányzatok </w:t>
            </w:r>
          </w:p>
        </w:tc>
        <w:tc>
          <w:tcPr>
            <w:tcW w:w="868" w:type="dxa"/>
            <w:vAlign w:val="center"/>
          </w:tcPr>
          <w:p>
            <w:pPr>
              <w:spacing w:before="60" w:after="60"/>
              <w:jc w:val="right"/>
              <w:rPr>
                <w:noProof/>
                <w:sz w:val="20"/>
              </w:rPr>
            </w:pPr>
            <w:r>
              <w:rPr>
                <w:noProof/>
                <w:sz w:val="20"/>
              </w:rPr>
              <w:t>0 402</w:t>
            </w:r>
          </w:p>
        </w:tc>
        <w:tc>
          <w:tcPr>
            <w:tcW w:w="868" w:type="dxa"/>
            <w:vAlign w:val="center"/>
          </w:tcPr>
          <w:p>
            <w:pPr>
              <w:spacing w:before="20" w:after="20"/>
              <w:jc w:val="right"/>
              <w:rPr>
                <w:noProof/>
                <w:sz w:val="20"/>
              </w:rPr>
            </w:pPr>
            <w:r>
              <w:rPr>
                <w:noProof/>
                <w:sz w:val="20"/>
              </w:rPr>
              <w:t>0 402</w:t>
            </w:r>
          </w:p>
        </w:tc>
        <w:tc>
          <w:tcPr>
            <w:tcW w:w="868" w:type="dxa"/>
            <w:vAlign w:val="center"/>
          </w:tcPr>
          <w:p>
            <w:pPr>
              <w:spacing w:before="20" w:after="20"/>
              <w:jc w:val="right"/>
              <w:rPr>
                <w:noProof/>
                <w:sz w:val="20"/>
              </w:rPr>
            </w:pPr>
            <w:r>
              <w:rPr>
                <w:noProof/>
                <w:sz w:val="20"/>
              </w:rPr>
              <w:t>0 402</w:t>
            </w:r>
          </w:p>
        </w:tc>
        <w:tc>
          <w:tcPr>
            <w:tcW w:w="868" w:type="dxa"/>
            <w:vAlign w:val="center"/>
          </w:tcPr>
          <w:p>
            <w:pPr>
              <w:spacing w:before="20" w:after="20"/>
              <w:jc w:val="right"/>
              <w:rPr>
                <w:noProof/>
                <w:sz w:val="20"/>
              </w:rPr>
            </w:pPr>
            <w:r>
              <w:rPr>
                <w:noProof/>
                <w:sz w:val="20"/>
              </w:rPr>
              <w:t>0 402</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r>
              <w:rPr>
                <w:b/>
                <w:noProof/>
                <w:sz w:val="20"/>
              </w:rPr>
              <w:t>1,6080</w:t>
            </w:r>
          </w:p>
        </w:tc>
      </w:tr>
    </w:tbl>
    <w:p>
      <w:pPr>
        <w:rPr>
          <w:noProof/>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2094"/>
        <w:gridCol w:w="868"/>
        <w:gridCol w:w="868"/>
        <w:gridCol w:w="868"/>
        <w:gridCol w:w="868"/>
        <w:gridCol w:w="868"/>
        <w:gridCol w:w="868"/>
        <w:gridCol w:w="868"/>
        <w:gridCol w:w="1777"/>
      </w:tblGrid>
      <w:tr>
        <w:tc>
          <w:tcPr>
            <w:tcW w:w="3960" w:type="dxa"/>
            <w:shd w:val="thinDiagStripe" w:color="C0C0C0" w:fill="auto"/>
            <w:vAlign w:val="center"/>
          </w:tcPr>
          <w:p>
            <w:pPr>
              <w:jc w:val="center"/>
              <w:rPr>
                <w:b/>
                <w:noProof/>
                <w:sz w:val="22"/>
              </w:rPr>
            </w:pPr>
            <w:r>
              <w:rPr>
                <w:noProof/>
              </w:rPr>
              <w:t>A többéves pénzügyi keret</w:t>
            </w:r>
            <w:r>
              <w:rPr>
                <w:noProof/>
                <w:sz w:val="22"/>
              </w:rPr>
              <w:br/>
            </w:r>
            <w:r>
              <w:rPr>
                <w:b/>
                <w:noProof/>
                <w:sz w:val="22"/>
              </w:rPr>
              <w:t>5. FEJETETÉHEZ tartozó előirányzatok ÖSSZESEN</w:t>
            </w:r>
            <w:r>
              <w:rPr>
                <w:noProof/>
                <w:sz w:val="22"/>
              </w:rPr>
              <w:br/>
            </w:r>
            <w:r>
              <w:rPr>
                <w:b/>
                <w:noProof/>
                <w:sz w:val="22"/>
              </w:rPr>
              <w:t xml:space="preserve"> </w:t>
            </w:r>
          </w:p>
        </w:tc>
        <w:tc>
          <w:tcPr>
            <w:tcW w:w="2094" w:type="dxa"/>
            <w:vAlign w:val="center"/>
          </w:tcPr>
          <w:p>
            <w:pPr>
              <w:spacing w:before="40" w:after="40"/>
              <w:rPr>
                <w:noProof/>
                <w:sz w:val="22"/>
              </w:rPr>
            </w:pPr>
            <w:r>
              <w:rPr>
                <w:noProof/>
                <w:sz w:val="18"/>
              </w:rPr>
              <w:t>(Összes kötelezettségvállalási előirányzat = Összes kifizetési előirányzat)</w:t>
            </w:r>
          </w:p>
        </w:tc>
        <w:tc>
          <w:tcPr>
            <w:tcW w:w="868" w:type="dxa"/>
            <w:vAlign w:val="center"/>
          </w:tcPr>
          <w:p>
            <w:pPr>
              <w:spacing w:before="20" w:after="20"/>
              <w:jc w:val="right"/>
              <w:rPr>
                <w:noProof/>
                <w:sz w:val="20"/>
              </w:rPr>
            </w:pPr>
            <w:r>
              <w:rPr>
                <w:noProof/>
                <w:sz w:val="20"/>
              </w:rPr>
              <w:t>0 402</w:t>
            </w:r>
          </w:p>
        </w:tc>
        <w:tc>
          <w:tcPr>
            <w:tcW w:w="868" w:type="dxa"/>
            <w:vAlign w:val="center"/>
          </w:tcPr>
          <w:p>
            <w:pPr>
              <w:spacing w:before="20" w:after="20"/>
              <w:jc w:val="right"/>
              <w:rPr>
                <w:noProof/>
                <w:sz w:val="20"/>
              </w:rPr>
            </w:pPr>
            <w:r>
              <w:rPr>
                <w:noProof/>
                <w:sz w:val="20"/>
              </w:rPr>
              <w:t>0 402</w:t>
            </w:r>
          </w:p>
        </w:tc>
        <w:tc>
          <w:tcPr>
            <w:tcW w:w="868" w:type="dxa"/>
            <w:vAlign w:val="center"/>
          </w:tcPr>
          <w:p>
            <w:pPr>
              <w:spacing w:before="20" w:after="20"/>
              <w:jc w:val="right"/>
              <w:rPr>
                <w:noProof/>
                <w:sz w:val="20"/>
              </w:rPr>
            </w:pPr>
            <w:r>
              <w:rPr>
                <w:noProof/>
                <w:sz w:val="20"/>
              </w:rPr>
              <w:t>0 402</w:t>
            </w:r>
          </w:p>
        </w:tc>
        <w:tc>
          <w:tcPr>
            <w:tcW w:w="868" w:type="dxa"/>
            <w:vAlign w:val="center"/>
          </w:tcPr>
          <w:p>
            <w:pPr>
              <w:spacing w:before="20" w:after="20"/>
              <w:jc w:val="right"/>
              <w:rPr>
                <w:noProof/>
                <w:sz w:val="20"/>
              </w:rPr>
            </w:pPr>
            <w:r>
              <w:rPr>
                <w:noProof/>
                <w:sz w:val="20"/>
              </w:rPr>
              <w:t>0 402</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r>
              <w:rPr>
                <w:b/>
                <w:noProof/>
                <w:sz w:val="20"/>
              </w:rPr>
              <w:t>1,6080</w:t>
            </w:r>
          </w:p>
        </w:tc>
      </w:tr>
    </w:tbl>
    <w:p>
      <w:pPr>
        <w:jc w:val="right"/>
        <w:rPr>
          <w:noProof/>
          <w:sz w:val="20"/>
        </w:rPr>
      </w:pPr>
      <w:r>
        <w:rPr>
          <w:noProof/>
          <w:sz w:val="20"/>
        </w:rPr>
        <w:t>millió EUR (három tizedesjegyig)</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60"/>
        <w:gridCol w:w="534"/>
        <w:gridCol w:w="868"/>
        <w:gridCol w:w="868"/>
        <w:gridCol w:w="868"/>
        <w:gridCol w:w="822"/>
        <w:gridCol w:w="914"/>
        <w:gridCol w:w="868"/>
        <w:gridCol w:w="868"/>
        <w:gridCol w:w="1777"/>
      </w:tblGrid>
      <w:tr>
        <w:tc>
          <w:tcPr>
            <w:tcW w:w="3960" w:type="dxa"/>
            <w:tcBorders>
              <w:top w:val="nil"/>
              <w:left w:val="nil"/>
              <w:right w:val="nil"/>
            </w:tcBorders>
            <w:vAlign w:val="center"/>
          </w:tcPr>
          <w:p>
            <w:pPr>
              <w:jc w:val="center"/>
              <w:rPr>
                <w:noProof/>
                <w:sz w:val="22"/>
              </w:rPr>
            </w:pPr>
          </w:p>
        </w:tc>
        <w:tc>
          <w:tcPr>
            <w:tcW w:w="1560" w:type="dxa"/>
            <w:tcBorders>
              <w:top w:val="nil"/>
              <w:left w:val="nil"/>
              <w:right w:val="nil"/>
            </w:tcBorders>
          </w:tcPr>
          <w:p>
            <w:pPr>
              <w:rPr>
                <w:noProof/>
                <w:sz w:val="20"/>
              </w:rPr>
            </w:pPr>
          </w:p>
        </w:tc>
        <w:tc>
          <w:tcPr>
            <w:tcW w:w="534" w:type="dxa"/>
            <w:tcBorders>
              <w:top w:val="nil"/>
              <w:left w:val="nil"/>
            </w:tcBorders>
          </w:tcPr>
          <w:p>
            <w:pPr>
              <w:jc w:val="center"/>
              <w:rPr>
                <w:noProof/>
                <w:sz w:val="20"/>
              </w:rPr>
            </w:pPr>
          </w:p>
        </w:tc>
        <w:tc>
          <w:tcPr>
            <w:tcW w:w="868" w:type="dxa"/>
            <w:vAlign w:val="center"/>
          </w:tcPr>
          <w:p>
            <w:pPr>
              <w:jc w:val="center"/>
              <w:rPr>
                <w:noProof/>
                <w:sz w:val="20"/>
              </w:rPr>
            </w:pPr>
            <w:r>
              <w:rPr>
                <w:noProof/>
                <w:sz w:val="20"/>
              </w:rPr>
              <w:br/>
            </w:r>
            <w:r>
              <w:rPr>
                <w:b/>
                <w:noProof/>
                <w:sz w:val="20"/>
              </w:rPr>
              <w:t>2017</w:t>
            </w:r>
            <w:r>
              <w:rPr>
                <w:noProof/>
                <w:sz w:val="20"/>
              </w:rPr>
              <w:t>. év</w:t>
            </w:r>
            <w:r>
              <w:rPr>
                <w:rStyle w:val="FootnoteReference"/>
                <w:noProof/>
                <w:sz w:val="20"/>
              </w:rPr>
              <w:footnoteReference w:id="29"/>
            </w:r>
          </w:p>
        </w:tc>
        <w:tc>
          <w:tcPr>
            <w:tcW w:w="868" w:type="dxa"/>
            <w:vAlign w:val="center"/>
          </w:tcPr>
          <w:p>
            <w:pPr>
              <w:jc w:val="center"/>
              <w:rPr>
                <w:noProof/>
                <w:sz w:val="20"/>
              </w:rPr>
            </w:pPr>
            <w:r>
              <w:rPr>
                <w:noProof/>
                <w:sz w:val="22"/>
              </w:rPr>
              <w:br/>
            </w:r>
            <w:r>
              <w:rPr>
                <w:b/>
                <w:noProof/>
                <w:sz w:val="20"/>
              </w:rPr>
              <w:t>2018</w:t>
            </w:r>
            <w:r>
              <w:rPr>
                <w:noProof/>
              </w:rPr>
              <w:t>. év</w:t>
            </w:r>
          </w:p>
        </w:tc>
        <w:tc>
          <w:tcPr>
            <w:tcW w:w="868" w:type="dxa"/>
            <w:vAlign w:val="center"/>
          </w:tcPr>
          <w:p>
            <w:pPr>
              <w:jc w:val="center"/>
              <w:rPr>
                <w:noProof/>
                <w:sz w:val="20"/>
              </w:rPr>
            </w:pPr>
            <w:r>
              <w:rPr>
                <w:noProof/>
                <w:sz w:val="22"/>
              </w:rPr>
              <w:br/>
            </w:r>
            <w:r>
              <w:rPr>
                <w:b/>
                <w:noProof/>
                <w:sz w:val="20"/>
              </w:rPr>
              <w:t>2019</w:t>
            </w:r>
            <w:r>
              <w:rPr>
                <w:noProof/>
              </w:rPr>
              <w:t>. év</w:t>
            </w:r>
          </w:p>
        </w:tc>
        <w:tc>
          <w:tcPr>
            <w:tcW w:w="822" w:type="dxa"/>
            <w:vAlign w:val="center"/>
          </w:tcPr>
          <w:p>
            <w:pPr>
              <w:jc w:val="center"/>
              <w:rPr>
                <w:noProof/>
                <w:sz w:val="20"/>
              </w:rPr>
            </w:pPr>
            <w:r>
              <w:rPr>
                <w:noProof/>
                <w:sz w:val="22"/>
              </w:rPr>
              <w:br/>
            </w:r>
            <w:r>
              <w:rPr>
                <w:b/>
                <w:noProof/>
                <w:sz w:val="20"/>
              </w:rPr>
              <w:t>2020</w:t>
            </w:r>
            <w:r>
              <w:rPr>
                <w:noProof/>
              </w:rPr>
              <w:t>. év</w:t>
            </w:r>
          </w:p>
        </w:tc>
        <w:tc>
          <w:tcPr>
            <w:tcW w:w="2650" w:type="dxa"/>
            <w:gridSpan w:val="3"/>
            <w:vAlign w:val="center"/>
          </w:tcPr>
          <w:p>
            <w:pPr>
              <w:jc w:val="center"/>
              <w:rPr>
                <w:b/>
                <w:noProof/>
                <w:sz w:val="18"/>
              </w:rPr>
            </w:pPr>
            <w:r>
              <w:rPr>
                <w:noProof/>
                <w:sz w:val="18"/>
              </w:rPr>
              <w:t>A táblázat a hatás időtartamának megfelelően (vö. 1.6. pont) további évekkel bővíthető</w:t>
            </w:r>
          </w:p>
        </w:tc>
        <w:tc>
          <w:tcPr>
            <w:tcW w:w="1777" w:type="dxa"/>
            <w:vAlign w:val="center"/>
          </w:tcPr>
          <w:p>
            <w:pPr>
              <w:jc w:val="center"/>
              <w:rPr>
                <w:b/>
                <w:noProof/>
                <w:sz w:val="20"/>
              </w:rPr>
            </w:pPr>
            <w:r>
              <w:rPr>
                <w:b/>
                <w:noProof/>
                <w:sz w:val="20"/>
              </w:rPr>
              <w:t>ÖSSZESEN</w:t>
            </w:r>
          </w:p>
        </w:tc>
      </w:tr>
      <w:tr>
        <w:tc>
          <w:tcPr>
            <w:tcW w:w="3960" w:type="dxa"/>
            <w:vMerge w:val="restart"/>
            <w:shd w:val="clear" w:color="auto" w:fill="C0C0C0"/>
            <w:vAlign w:val="center"/>
          </w:tcPr>
          <w:p>
            <w:pPr>
              <w:jc w:val="center"/>
              <w:rPr>
                <w:b/>
                <w:noProof/>
                <w:sz w:val="22"/>
              </w:rPr>
            </w:pPr>
            <w:r>
              <w:rPr>
                <w:noProof/>
              </w:rPr>
              <w:t>A többéves pénzügyi keret</w:t>
            </w:r>
            <w:r>
              <w:rPr>
                <w:noProof/>
                <w:sz w:val="22"/>
              </w:rPr>
              <w:br/>
            </w:r>
            <w:r>
              <w:rPr>
                <w:b/>
                <w:noProof/>
                <w:sz w:val="22"/>
              </w:rPr>
              <w:t>1–5. FEJEZETÉHEZ tartozó előirányzatok ÖSSZESEN</w:t>
            </w:r>
            <w:r>
              <w:rPr>
                <w:noProof/>
                <w:sz w:val="22"/>
              </w:rPr>
              <w:br/>
            </w:r>
            <w:r>
              <w:rPr>
                <w:b/>
                <w:noProof/>
                <w:sz w:val="22"/>
              </w:rPr>
              <w:t xml:space="preserve"> </w:t>
            </w:r>
          </w:p>
        </w:tc>
        <w:tc>
          <w:tcPr>
            <w:tcW w:w="2094" w:type="dxa"/>
            <w:gridSpan w:val="2"/>
            <w:vAlign w:val="center"/>
          </w:tcPr>
          <w:p>
            <w:pPr>
              <w:rPr>
                <w:noProof/>
                <w:sz w:val="14"/>
              </w:rPr>
            </w:pPr>
            <w:r>
              <w:rPr>
                <w:noProof/>
                <w:sz w:val="18"/>
              </w:rPr>
              <w:t>Kötelezettségvállalási előirányzatok</w:t>
            </w:r>
          </w:p>
        </w:tc>
        <w:tc>
          <w:tcPr>
            <w:tcW w:w="868" w:type="dxa"/>
            <w:vAlign w:val="center"/>
          </w:tcPr>
          <w:p>
            <w:pPr>
              <w:spacing w:before="60" w:after="60"/>
              <w:jc w:val="right"/>
              <w:rPr>
                <w:noProof/>
                <w:sz w:val="20"/>
              </w:rPr>
            </w:pPr>
            <w:r>
              <w:rPr>
                <w:noProof/>
                <w:sz w:val="20"/>
              </w:rPr>
              <w:t>15,5376</w:t>
            </w:r>
          </w:p>
        </w:tc>
        <w:tc>
          <w:tcPr>
            <w:tcW w:w="868" w:type="dxa"/>
            <w:vAlign w:val="center"/>
          </w:tcPr>
          <w:p>
            <w:pPr>
              <w:spacing w:before="60" w:after="60"/>
              <w:jc w:val="right"/>
              <w:rPr>
                <w:noProof/>
                <w:sz w:val="20"/>
              </w:rPr>
            </w:pPr>
            <w:r>
              <w:rPr>
                <w:noProof/>
                <w:sz w:val="20"/>
              </w:rPr>
              <w:t>15,5376</w:t>
            </w:r>
          </w:p>
        </w:tc>
        <w:tc>
          <w:tcPr>
            <w:tcW w:w="868" w:type="dxa"/>
            <w:vAlign w:val="center"/>
          </w:tcPr>
          <w:p>
            <w:pPr>
              <w:spacing w:before="60" w:after="60"/>
              <w:jc w:val="right"/>
              <w:rPr>
                <w:noProof/>
                <w:sz w:val="20"/>
              </w:rPr>
            </w:pPr>
            <w:r>
              <w:rPr>
                <w:noProof/>
                <w:sz w:val="20"/>
              </w:rPr>
              <w:t>15,6886</w:t>
            </w:r>
          </w:p>
        </w:tc>
        <w:tc>
          <w:tcPr>
            <w:tcW w:w="822" w:type="dxa"/>
            <w:vAlign w:val="center"/>
          </w:tcPr>
          <w:p>
            <w:pPr>
              <w:spacing w:before="60" w:after="60"/>
              <w:jc w:val="right"/>
              <w:rPr>
                <w:noProof/>
                <w:sz w:val="20"/>
              </w:rPr>
            </w:pPr>
            <w:r>
              <w:rPr>
                <w:noProof/>
                <w:sz w:val="20"/>
              </w:rPr>
              <w:t>15,9906</w:t>
            </w:r>
          </w:p>
        </w:tc>
        <w:tc>
          <w:tcPr>
            <w:tcW w:w="914" w:type="dxa"/>
            <w:vAlign w:val="center"/>
          </w:tcPr>
          <w:p>
            <w:pPr>
              <w:spacing w:before="60" w:after="60"/>
              <w:jc w:val="right"/>
              <w:rPr>
                <w:noProof/>
                <w:sz w:val="20"/>
              </w:rPr>
            </w:pPr>
          </w:p>
        </w:tc>
        <w:tc>
          <w:tcPr>
            <w:tcW w:w="868" w:type="dxa"/>
            <w:vAlign w:val="center"/>
          </w:tcPr>
          <w:p>
            <w:pPr>
              <w:spacing w:before="60" w:after="60"/>
              <w:jc w:val="right"/>
              <w:rPr>
                <w:noProof/>
                <w:sz w:val="20"/>
              </w:rPr>
            </w:pPr>
          </w:p>
        </w:tc>
        <w:tc>
          <w:tcPr>
            <w:tcW w:w="868" w:type="dxa"/>
            <w:vAlign w:val="center"/>
          </w:tcPr>
          <w:p>
            <w:pPr>
              <w:spacing w:before="60" w:after="60"/>
              <w:jc w:val="right"/>
              <w:rPr>
                <w:b/>
                <w:noProof/>
                <w:sz w:val="20"/>
              </w:rPr>
            </w:pPr>
          </w:p>
        </w:tc>
        <w:tc>
          <w:tcPr>
            <w:tcW w:w="1777" w:type="dxa"/>
            <w:vAlign w:val="center"/>
          </w:tcPr>
          <w:p>
            <w:pPr>
              <w:spacing w:before="60" w:after="60"/>
              <w:jc w:val="right"/>
              <w:rPr>
                <w:b/>
                <w:noProof/>
                <w:sz w:val="20"/>
              </w:rPr>
            </w:pPr>
            <w:r>
              <w:rPr>
                <w:b/>
                <w:noProof/>
                <w:sz w:val="20"/>
              </w:rPr>
              <w:t>62,7544</w:t>
            </w:r>
          </w:p>
        </w:tc>
      </w:tr>
      <w:tr>
        <w:tc>
          <w:tcPr>
            <w:tcW w:w="3960" w:type="dxa"/>
            <w:vMerge/>
            <w:shd w:val="clear" w:color="auto" w:fill="C0C0C0"/>
          </w:tcPr>
          <w:p>
            <w:pPr>
              <w:rPr>
                <w:noProof/>
                <w:sz w:val="20"/>
                <w:highlight w:val="yellow"/>
              </w:rPr>
            </w:pPr>
          </w:p>
        </w:tc>
        <w:tc>
          <w:tcPr>
            <w:tcW w:w="2094" w:type="dxa"/>
            <w:gridSpan w:val="2"/>
            <w:shd w:val="clear" w:color="auto" w:fill="FFFFFF" w:themeFill="background1"/>
            <w:vAlign w:val="center"/>
          </w:tcPr>
          <w:p>
            <w:pPr>
              <w:rPr>
                <w:noProof/>
                <w:sz w:val="14"/>
              </w:rPr>
            </w:pPr>
            <w:r>
              <w:rPr>
                <w:noProof/>
                <w:sz w:val="18"/>
              </w:rPr>
              <w:t xml:space="preserve">Kifizetési előirányzatok </w:t>
            </w:r>
          </w:p>
        </w:tc>
        <w:tc>
          <w:tcPr>
            <w:tcW w:w="868" w:type="dxa"/>
            <w:vAlign w:val="center"/>
          </w:tcPr>
          <w:p>
            <w:pPr>
              <w:spacing w:before="60" w:after="60"/>
              <w:jc w:val="right"/>
              <w:rPr>
                <w:noProof/>
                <w:sz w:val="20"/>
              </w:rPr>
            </w:pPr>
            <w:r>
              <w:rPr>
                <w:noProof/>
                <w:sz w:val="20"/>
              </w:rPr>
              <w:t>15,5376</w:t>
            </w:r>
          </w:p>
        </w:tc>
        <w:tc>
          <w:tcPr>
            <w:tcW w:w="868" w:type="dxa"/>
            <w:vAlign w:val="center"/>
          </w:tcPr>
          <w:p>
            <w:pPr>
              <w:spacing w:before="60" w:after="60"/>
              <w:jc w:val="right"/>
              <w:rPr>
                <w:noProof/>
                <w:sz w:val="20"/>
              </w:rPr>
            </w:pPr>
            <w:r>
              <w:rPr>
                <w:noProof/>
                <w:sz w:val="20"/>
              </w:rPr>
              <w:t>15,5376</w:t>
            </w:r>
          </w:p>
        </w:tc>
        <w:tc>
          <w:tcPr>
            <w:tcW w:w="868" w:type="dxa"/>
            <w:vAlign w:val="center"/>
          </w:tcPr>
          <w:p>
            <w:pPr>
              <w:spacing w:before="60" w:after="60"/>
              <w:jc w:val="right"/>
              <w:rPr>
                <w:noProof/>
                <w:sz w:val="20"/>
              </w:rPr>
            </w:pPr>
            <w:r>
              <w:rPr>
                <w:noProof/>
                <w:sz w:val="20"/>
              </w:rPr>
              <w:t>15,6886</w:t>
            </w:r>
          </w:p>
        </w:tc>
        <w:tc>
          <w:tcPr>
            <w:tcW w:w="822" w:type="dxa"/>
            <w:vAlign w:val="center"/>
          </w:tcPr>
          <w:p>
            <w:pPr>
              <w:spacing w:before="60" w:after="60"/>
              <w:jc w:val="right"/>
              <w:rPr>
                <w:noProof/>
                <w:sz w:val="20"/>
              </w:rPr>
            </w:pPr>
            <w:r>
              <w:rPr>
                <w:noProof/>
                <w:sz w:val="20"/>
              </w:rPr>
              <w:t>15,9906</w:t>
            </w:r>
          </w:p>
        </w:tc>
        <w:tc>
          <w:tcPr>
            <w:tcW w:w="914" w:type="dxa"/>
            <w:vAlign w:val="center"/>
          </w:tcPr>
          <w:p>
            <w:pPr>
              <w:spacing w:before="60" w:after="60"/>
              <w:jc w:val="right"/>
              <w:rPr>
                <w:noProof/>
                <w:sz w:val="20"/>
              </w:rPr>
            </w:pPr>
          </w:p>
        </w:tc>
        <w:tc>
          <w:tcPr>
            <w:tcW w:w="868" w:type="dxa"/>
            <w:vAlign w:val="center"/>
          </w:tcPr>
          <w:p>
            <w:pPr>
              <w:spacing w:before="60" w:after="60"/>
              <w:jc w:val="right"/>
              <w:rPr>
                <w:noProof/>
                <w:sz w:val="20"/>
              </w:rPr>
            </w:pPr>
          </w:p>
        </w:tc>
        <w:tc>
          <w:tcPr>
            <w:tcW w:w="868" w:type="dxa"/>
            <w:vAlign w:val="center"/>
          </w:tcPr>
          <w:p>
            <w:pPr>
              <w:spacing w:before="60" w:after="60"/>
              <w:jc w:val="right"/>
              <w:rPr>
                <w:b/>
                <w:noProof/>
                <w:sz w:val="20"/>
              </w:rPr>
            </w:pPr>
          </w:p>
        </w:tc>
        <w:tc>
          <w:tcPr>
            <w:tcW w:w="1777" w:type="dxa"/>
            <w:vAlign w:val="center"/>
          </w:tcPr>
          <w:p>
            <w:pPr>
              <w:spacing w:before="60" w:after="60"/>
              <w:jc w:val="right"/>
              <w:rPr>
                <w:b/>
                <w:noProof/>
                <w:sz w:val="20"/>
              </w:rPr>
            </w:pPr>
            <w:r>
              <w:rPr>
                <w:b/>
                <w:noProof/>
                <w:sz w:val="20"/>
              </w:rPr>
              <w:t>62,7544</w:t>
            </w:r>
          </w:p>
        </w:tc>
      </w:tr>
    </w:tbl>
    <w:p>
      <w:pPr>
        <w:rPr>
          <w:noProof/>
        </w:rPr>
        <w:sectPr>
          <w:headerReference w:type="default" r:id="rId13"/>
          <w:footerReference w:type="default" r:id="rId14"/>
          <w:headerReference w:type="first" r:id="rId15"/>
          <w:footerReference w:type="first" r:id="rId16"/>
          <w:pgSz w:w="16840" w:h="11907" w:orient="landscape" w:code="9"/>
          <w:pgMar w:top="1134" w:right="1418" w:bottom="1134" w:left="1418" w:header="709" w:footer="709" w:gutter="0"/>
          <w:cols w:space="708"/>
          <w:docGrid w:linePitch="360"/>
        </w:sectPr>
      </w:pPr>
    </w:p>
    <w:p>
      <w:pPr>
        <w:pStyle w:val="ManualNumPar3"/>
        <w:rPr>
          <w:noProof/>
        </w:rPr>
      </w:pPr>
      <w:r>
        <w:t>3.2.2.</w:t>
      </w:r>
      <w:r>
        <w:tab/>
      </w:r>
      <w:r>
        <w:rPr>
          <w:noProof/>
        </w:rPr>
        <w:t xml:space="preserve">Az operatív előirányzatokra gyakorolt becsült hatás </w:t>
      </w:r>
    </w:p>
    <w:p>
      <w:pPr>
        <w:pStyle w:val="Tiret1"/>
        <w:numPr>
          <w:ilvl w:val="0"/>
          <w:numId w:val="15"/>
        </w:numPr>
        <w:tabs>
          <w:tab w:val="clear" w:pos="1417"/>
          <w:tab w:val="num" w:pos="1276"/>
          <w:tab w:val="left" w:pos="1701"/>
        </w:tabs>
        <w:rPr>
          <w:noProof/>
        </w:rPr>
      </w:pPr>
      <w:r>
        <w:rPr>
          <w:noProof/>
        </w:rPr>
        <w:sym w:font="Wingdings" w:char="F0A8"/>
      </w:r>
      <w:r>
        <w:rPr>
          <w:noProof/>
        </w:rPr>
        <w:tab/>
        <w:t xml:space="preserve">A javaslat/kezdeményezés nem vonja maga után operatív előirányzatok felhasználását </w:t>
      </w:r>
    </w:p>
    <w:p>
      <w:pPr>
        <w:pStyle w:val="Tiret1"/>
        <w:tabs>
          <w:tab w:val="clear" w:pos="1417"/>
          <w:tab w:val="num" w:pos="1276"/>
          <w:tab w:val="left" w:pos="1701"/>
        </w:tabs>
        <w:rPr>
          <w:noProof/>
        </w:rPr>
      </w:pPr>
      <w:r>
        <w:rPr>
          <w:noProof/>
        </w:rPr>
        <w:sym w:font="Wingdings" w:char="F0FD"/>
      </w:r>
      <w:r>
        <w:rPr>
          <w:noProof/>
        </w:rPr>
        <w:tab/>
        <w:t>A javaslat/kezdeményezés az alábbi operatív előirányzatok felhasználását vonja maga után:</w:t>
      </w:r>
    </w:p>
    <w:p>
      <w:pPr>
        <w:jc w:val="right"/>
        <w:rPr>
          <w:noProof/>
          <w:sz w:val="20"/>
        </w:rPr>
      </w:pPr>
      <w:r>
        <w:rPr>
          <w:noProof/>
          <w:sz w:val="20"/>
        </w:rPr>
        <w:t>Kötelezettségvállalási előirányzatok, millió EUR (három tizedesjegyig)</w:t>
      </w: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79"/>
        <w:gridCol w:w="642"/>
        <w:gridCol w:w="504"/>
        <w:gridCol w:w="720"/>
        <w:gridCol w:w="540"/>
        <w:gridCol w:w="720"/>
        <w:gridCol w:w="720"/>
        <w:gridCol w:w="720"/>
        <w:gridCol w:w="900"/>
        <w:gridCol w:w="720"/>
        <w:gridCol w:w="540"/>
        <w:gridCol w:w="648"/>
        <w:gridCol w:w="432"/>
        <w:gridCol w:w="720"/>
        <w:gridCol w:w="540"/>
        <w:gridCol w:w="720"/>
        <w:gridCol w:w="720"/>
        <w:gridCol w:w="900"/>
      </w:tblGrid>
      <w:tr>
        <w:trPr>
          <w:jc w:val="center"/>
        </w:trPr>
        <w:tc>
          <w:tcPr>
            <w:tcW w:w="1423" w:type="dxa"/>
            <w:vMerge w:val="restart"/>
            <w:vAlign w:val="center"/>
          </w:tcPr>
          <w:p>
            <w:pPr>
              <w:ind w:right="-29"/>
              <w:jc w:val="center"/>
              <w:rPr>
                <w:b/>
                <w:noProof/>
                <w:sz w:val="18"/>
                <w:szCs w:val="18"/>
              </w:rPr>
            </w:pPr>
            <w:r>
              <w:rPr>
                <w:b/>
                <w:noProof/>
                <w:sz w:val="18"/>
              </w:rPr>
              <w:t xml:space="preserve">Tüntesse fel a célkitűzéseket és a teljesítéseket* </w:t>
            </w:r>
          </w:p>
          <w:p>
            <w:pPr>
              <w:ind w:right="-29"/>
              <w:jc w:val="center"/>
              <w:rPr>
                <w:b/>
                <w:noProof/>
                <w:sz w:val="18"/>
                <w:szCs w:val="18"/>
              </w:rPr>
            </w:pPr>
          </w:p>
          <w:p>
            <w:pPr>
              <w:ind w:right="-29"/>
              <w:jc w:val="center"/>
              <w:rPr>
                <w:noProof/>
                <w:sz w:val="18"/>
                <w:szCs w:val="18"/>
              </w:rPr>
            </w:pPr>
            <w:r>
              <w:rPr>
                <w:noProof/>
                <w:sz w:val="18"/>
              </w:rPr>
              <w:sym w:font="Wingdings" w:char="F0F2"/>
            </w:r>
          </w:p>
        </w:tc>
        <w:tc>
          <w:tcPr>
            <w:tcW w:w="779" w:type="dxa"/>
            <w:vAlign w:val="center"/>
          </w:tcPr>
          <w:p>
            <w:pPr>
              <w:ind w:right="-29"/>
              <w:jc w:val="center"/>
              <w:rPr>
                <w:noProof/>
                <w:sz w:val="18"/>
                <w:szCs w:val="18"/>
              </w:rPr>
            </w:pPr>
          </w:p>
        </w:tc>
        <w:tc>
          <w:tcPr>
            <w:tcW w:w="642" w:type="dxa"/>
            <w:vAlign w:val="center"/>
          </w:tcPr>
          <w:p>
            <w:pPr>
              <w:ind w:right="-29"/>
              <w:jc w:val="center"/>
              <w:rPr>
                <w:noProof/>
                <w:sz w:val="18"/>
                <w:szCs w:val="18"/>
              </w:rPr>
            </w:pPr>
          </w:p>
        </w:tc>
        <w:tc>
          <w:tcPr>
            <w:tcW w:w="1224" w:type="dxa"/>
            <w:gridSpan w:val="2"/>
            <w:tcBorders>
              <w:left w:val="nil"/>
            </w:tcBorders>
            <w:vAlign w:val="center"/>
          </w:tcPr>
          <w:p>
            <w:pPr>
              <w:ind w:right="-29"/>
              <w:jc w:val="center"/>
              <w:rPr>
                <w:noProof/>
                <w:sz w:val="18"/>
                <w:szCs w:val="18"/>
              </w:rPr>
            </w:pPr>
            <w:r>
              <w:rPr>
                <w:noProof/>
                <w:sz w:val="22"/>
              </w:rPr>
              <w:br/>
            </w:r>
            <w:r>
              <w:rPr>
                <w:b/>
                <w:noProof/>
                <w:sz w:val="18"/>
              </w:rPr>
              <w:t>2017</w:t>
            </w:r>
            <w:r>
              <w:rPr>
                <w:noProof/>
              </w:rPr>
              <w:t>. év</w:t>
            </w:r>
          </w:p>
        </w:tc>
        <w:tc>
          <w:tcPr>
            <w:tcW w:w="1260" w:type="dxa"/>
            <w:gridSpan w:val="2"/>
            <w:vAlign w:val="center"/>
          </w:tcPr>
          <w:p>
            <w:pPr>
              <w:ind w:right="-29"/>
              <w:jc w:val="center"/>
              <w:rPr>
                <w:noProof/>
                <w:sz w:val="18"/>
                <w:szCs w:val="18"/>
              </w:rPr>
            </w:pPr>
            <w:r>
              <w:rPr>
                <w:noProof/>
                <w:sz w:val="22"/>
              </w:rPr>
              <w:br/>
            </w:r>
            <w:r>
              <w:rPr>
                <w:b/>
                <w:noProof/>
                <w:sz w:val="18"/>
              </w:rPr>
              <w:t>2018</w:t>
            </w:r>
            <w:r>
              <w:rPr>
                <w:noProof/>
              </w:rPr>
              <w:t>. év</w:t>
            </w:r>
          </w:p>
        </w:tc>
        <w:tc>
          <w:tcPr>
            <w:tcW w:w="1440" w:type="dxa"/>
            <w:gridSpan w:val="2"/>
            <w:vAlign w:val="center"/>
          </w:tcPr>
          <w:p>
            <w:pPr>
              <w:ind w:right="-29"/>
              <w:jc w:val="center"/>
              <w:rPr>
                <w:noProof/>
                <w:sz w:val="18"/>
                <w:szCs w:val="18"/>
              </w:rPr>
            </w:pPr>
            <w:r>
              <w:rPr>
                <w:noProof/>
                <w:sz w:val="22"/>
              </w:rPr>
              <w:br/>
            </w:r>
            <w:r>
              <w:rPr>
                <w:b/>
                <w:noProof/>
                <w:sz w:val="18"/>
              </w:rPr>
              <w:t>2019</w:t>
            </w:r>
            <w:r>
              <w:rPr>
                <w:noProof/>
              </w:rPr>
              <w:t>. év</w:t>
            </w:r>
          </w:p>
        </w:tc>
        <w:tc>
          <w:tcPr>
            <w:tcW w:w="1620" w:type="dxa"/>
            <w:gridSpan w:val="2"/>
            <w:vAlign w:val="center"/>
          </w:tcPr>
          <w:p>
            <w:pPr>
              <w:ind w:right="-29"/>
              <w:jc w:val="center"/>
              <w:rPr>
                <w:noProof/>
                <w:sz w:val="18"/>
                <w:szCs w:val="18"/>
              </w:rPr>
            </w:pPr>
            <w:r>
              <w:rPr>
                <w:noProof/>
                <w:sz w:val="22"/>
              </w:rPr>
              <w:br/>
            </w:r>
            <w:r>
              <w:rPr>
                <w:b/>
                <w:noProof/>
                <w:sz w:val="18"/>
              </w:rPr>
              <w:t>2020</w:t>
            </w:r>
            <w:r>
              <w:rPr>
                <w:noProof/>
              </w:rPr>
              <w:t>. év</w:t>
            </w:r>
          </w:p>
        </w:tc>
        <w:tc>
          <w:tcPr>
            <w:tcW w:w="3600" w:type="dxa"/>
            <w:gridSpan w:val="6"/>
            <w:vAlign w:val="center"/>
          </w:tcPr>
          <w:p>
            <w:pPr>
              <w:jc w:val="center"/>
              <w:rPr>
                <w:noProof/>
                <w:sz w:val="18"/>
                <w:szCs w:val="18"/>
              </w:rPr>
            </w:pPr>
            <w:r>
              <w:rPr>
                <w:noProof/>
                <w:sz w:val="18"/>
              </w:rPr>
              <w:t>A táblázat a hatás időtartamának megfelelően (vö. 1.6. pont) további évekkel bővíthető</w:t>
            </w:r>
          </w:p>
        </w:tc>
        <w:tc>
          <w:tcPr>
            <w:tcW w:w="1620" w:type="dxa"/>
            <w:gridSpan w:val="2"/>
            <w:tcBorders>
              <w:left w:val="nil"/>
              <w:bottom w:val="nil"/>
            </w:tcBorders>
            <w:vAlign w:val="center"/>
          </w:tcPr>
          <w:p>
            <w:pPr>
              <w:ind w:right="-29"/>
              <w:jc w:val="center"/>
              <w:rPr>
                <w:noProof/>
                <w:sz w:val="18"/>
                <w:szCs w:val="18"/>
              </w:rPr>
            </w:pPr>
            <w:r>
              <w:rPr>
                <w:b/>
                <w:noProof/>
                <w:sz w:val="18"/>
              </w:rPr>
              <w:t>ÖSSZESEN</w:t>
            </w:r>
          </w:p>
        </w:tc>
      </w:tr>
      <w:tr>
        <w:trPr>
          <w:jc w:val="center"/>
        </w:trPr>
        <w:tc>
          <w:tcPr>
            <w:tcW w:w="1423" w:type="dxa"/>
            <w:vMerge/>
            <w:vAlign w:val="center"/>
          </w:tcPr>
          <w:p>
            <w:pPr>
              <w:ind w:right="-29"/>
              <w:jc w:val="center"/>
              <w:rPr>
                <w:noProof/>
                <w:sz w:val="18"/>
                <w:szCs w:val="18"/>
              </w:rPr>
            </w:pPr>
          </w:p>
        </w:tc>
        <w:tc>
          <w:tcPr>
            <w:tcW w:w="12185" w:type="dxa"/>
            <w:gridSpan w:val="18"/>
            <w:vAlign w:val="center"/>
          </w:tcPr>
          <w:p>
            <w:pPr>
              <w:spacing w:before="60" w:after="60"/>
              <w:ind w:right="-29"/>
              <w:jc w:val="center"/>
              <w:rPr>
                <w:noProof/>
                <w:sz w:val="18"/>
                <w:szCs w:val="18"/>
              </w:rPr>
            </w:pPr>
            <w:r>
              <w:rPr>
                <w:b/>
                <w:noProof/>
                <w:sz w:val="18"/>
              </w:rPr>
              <w:t>TELJESÍTÉSEK</w:t>
            </w:r>
          </w:p>
        </w:tc>
      </w:tr>
      <w:tr>
        <w:trPr>
          <w:cantSplit/>
          <w:trHeight w:val="1134"/>
          <w:jc w:val="center"/>
        </w:trPr>
        <w:tc>
          <w:tcPr>
            <w:tcW w:w="1423" w:type="dxa"/>
            <w:vMerge/>
            <w:vAlign w:val="center"/>
          </w:tcPr>
          <w:p>
            <w:pPr>
              <w:rPr>
                <w:noProof/>
                <w:sz w:val="18"/>
                <w:szCs w:val="18"/>
              </w:rPr>
            </w:pPr>
          </w:p>
        </w:tc>
        <w:tc>
          <w:tcPr>
            <w:tcW w:w="779" w:type="dxa"/>
            <w:vAlign w:val="center"/>
          </w:tcPr>
          <w:p>
            <w:pPr>
              <w:jc w:val="center"/>
              <w:rPr>
                <w:noProof/>
                <w:sz w:val="18"/>
                <w:szCs w:val="18"/>
              </w:rPr>
            </w:pPr>
            <w:r>
              <w:rPr>
                <w:noProof/>
                <w:sz w:val="18"/>
              </w:rPr>
              <w:t>Típus</w:t>
            </w:r>
            <w:r>
              <w:rPr>
                <w:rStyle w:val="FootnoteReference"/>
                <w:noProof/>
              </w:rPr>
              <w:footnoteReference w:id="30"/>
            </w:r>
          </w:p>
          <w:p>
            <w:pPr>
              <w:spacing w:before="0" w:after="0"/>
              <w:jc w:val="center"/>
              <w:rPr>
                <w:noProof/>
                <w:sz w:val="18"/>
                <w:szCs w:val="18"/>
              </w:rPr>
            </w:pPr>
          </w:p>
        </w:tc>
        <w:tc>
          <w:tcPr>
            <w:tcW w:w="642" w:type="dxa"/>
            <w:vAlign w:val="center"/>
          </w:tcPr>
          <w:p>
            <w:pPr>
              <w:jc w:val="center"/>
              <w:rPr>
                <w:noProof/>
                <w:sz w:val="18"/>
                <w:szCs w:val="18"/>
              </w:rPr>
            </w:pPr>
            <w:r>
              <w:rPr>
                <w:noProof/>
                <w:sz w:val="18"/>
              </w:rPr>
              <w:t>Átlagos költség</w:t>
            </w:r>
          </w:p>
        </w:tc>
        <w:tc>
          <w:tcPr>
            <w:tcW w:w="504" w:type="dxa"/>
            <w:tcBorders>
              <w:left w:val="nil"/>
              <w:right w:val="dashSmallGap" w:sz="4" w:space="0" w:color="auto"/>
            </w:tcBorders>
            <w:shd w:val="pct10" w:color="auto" w:fill="auto"/>
            <w:textDirection w:val="btLr"/>
            <w:vAlign w:val="center"/>
          </w:tcPr>
          <w:p>
            <w:pPr>
              <w:ind w:left="113" w:right="113"/>
              <w:jc w:val="center"/>
              <w:rPr>
                <w:noProof/>
                <w:sz w:val="18"/>
                <w:szCs w:val="18"/>
              </w:rPr>
            </w:pPr>
            <w:r>
              <w:rPr>
                <w:noProof/>
                <w:sz w:val="18"/>
              </w:rPr>
              <w:t>Szám</w:t>
            </w:r>
          </w:p>
        </w:tc>
        <w:tc>
          <w:tcPr>
            <w:tcW w:w="720" w:type="dxa"/>
            <w:tcBorders>
              <w:left w:val="dashSmallGap" w:sz="4" w:space="0" w:color="auto"/>
            </w:tcBorders>
            <w:shd w:val="pct10" w:color="auto" w:fill="auto"/>
            <w:vAlign w:val="center"/>
          </w:tcPr>
          <w:p>
            <w:pPr>
              <w:jc w:val="center"/>
              <w:rPr>
                <w:noProof/>
                <w:sz w:val="18"/>
                <w:szCs w:val="18"/>
              </w:rPr>
            </w:pPr>
            <w:r>
              <w:rPr>
                <w:noProof/>
                <w:sz w:val="18"/>
              </w:rPr>
              <w:t>Költség</w:t>
            </w:r>
          </w:p>
        </w:tc>
        <w:tc>
          <w:tcPr>
            <w:tcW w:w="54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Szám</w:t>
            </w:r>
          </w:p>
        </w:tc>
        <w:tc>
          <w:tcPr>
            <w:tcW w:w="720" w:type="dxa"/>
            <w:tcBorders>
              <w:left w:val="dashSmallGap" w:sz="4" w:space="0" w:color="auto"/>
            </w:tcBorders>
            <w:shd w:val="pct10" w:color="auto" w:fill="auto"/>
            <w:vAlign w:val="center"/>
          </w:tcPr>
          <w:p>
            <w:pPr>
              <w:jc w:val="center"/>
              <w:rPr>
                <w:noProof/>
                <w:sz w:val="18"/>
                <w:szCs w:val="18"/>
              </w:rPr>
            </w:pPr>
            <w:r>
              <w:rPr>
                <w:noProof/>
                <w:sz w:val="18"/>
              </w:rPr>
              <w:t>Költség</w:t>
            </w:r>
          </w:p>
        </w:tc>
        <w:tc>
          <w:tcPr>
            <w:tcW w:w="72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Szám</w:t>
            </w:r>
          </w:p>
        </w:tc>
        <w:tc>
          <w:tcPr>
            <w:tcW w:w="720" w:type="dxa"/>
            <w:tcBorders>
              <w:left w:val="dashSmallGap" w:sz="4" w:space="0" w:color="auto"/>
            </w:tcBorders>
            <w:shd w:val="pct10" w:color="auto" w:fill="auto"/>
            <w:vAlign w:val="center"/>
          </w:tcPr>
          <w:p>
            <w:pPr>
              <w:jc w:val="center"/>
              <w:rPr>
                <w:noProof/>
                <w:sz w:val="18"/>
                <w:szCs w:val="18"/>
              </w:rPr>
            </w:pPr>
            <w:r>
              <w:rPr>
                <w:noProof/>
                <w:sz w:val="18"/>
              </w:rPr>
              <w:t>Költség</w:t>
            </w:r>
          </w:p>
        </w:tc>
        <w:tc>
          <w:tcPr>
            <w:tcW w:w="90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Szám</w:t>
            </w:r>
          </w:p>
        </w:tc>
        <w:tc>
          <w:tcPr>
            <w:tcW w:w="720" w:type="dxa"/>
            <w:tcBorders>
              <w:left w:val="dashSmallGap" w:sz="4" w:space="0" w:color="auto"/>
            </w:tcBorders>
            <w:shd w:val="pct10" w:color="auto" w:fill="auto"/>
            <w:vAlign w:val="center"/>
          </w:tcPr>
          <w:p>
            <w:pPr>
              <w:jc w:val="center"/>
              <w:rPr>
                <w:noProof/>
                <w:sz w:val="18"/>
                <w:szCs w:val="18"/>
              </w:rPr>
            </w:pPr>
            <w:r>
              <w:rPr>
                <w:noProof/>
                <w:sz w:val="18"/>
              </w:rPr>
              <w:t>Költség</w:t>
            </w:r>
          </w:p>
        </w:tc>
        <w:tc>
          <w:tcPr>
            <w:tcW w:w="54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Szám</w:t>
            </w:r>
          </w:p>
        </w:tc>
        <w:tc>
          <w:tcPr>
            <w:tcW w:w="648" w:type="dxa"/>
            <w:tcBorders>
              <w:left w:val="dashSmallGap" w:sz="4" w:space="0" w:color="auto"/>
            </w:tcBorders>
            <w:shd w:val="pct10" w:color="auto" w:fill="auto"/>
            <w:vAlign w:val="center"/>
          </w:tcPr>
          <w:p>
            <w:pPr>
              <w:jc w:val="center"/>
              <w:rPr>
                <w:noProof/>
                <w:sz w:val="18"/>
                <w:szCs w:val="18"/>
              </w:rPr>
            </w:pPr>
            <w:r>
              <w:rPr>
                <w:noProof/>
                <w:sz w:val="18"/>
              </w:rPr>
              <w:t>Költség</w:t>
            </w:r>
          </w:p>
        </w:tc>
        <w:tc>
          <w:tcPr>
            <w:tcW w:w="432"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Szám</w:t>
            </w:r>
          </w:p>
        </w:tc>
        <w:tc>
          <w:tcPr>
            <w:tcW w:w="720" w:type="dxa"/>
            <w:tcBorders>
              <w:left w:val="dashSmallGap" w:sz="4" w:space="0" w:color="auto"/>
            </w:tcBorders>
            <w:shd w:val="pct10" w:color="auto" w:fill="auto"/>
            <w:vAlign w:val="center"/>
          </w:tcPr>
          <w:p>
            <w:pPr>
              <w:jc w:val="center"/>
              <w:rPr>
                <w:noProof/>
                <w:sz w:val="18"/>
                <w:szCs w:val="18"/>
              </w:rPr>
            </w:pPr>
            <w:r>
              <w:rPr>
                <w:noProof/>
                <w:sz w:val="18"/>
              </w:rPr>
              <w:t>Költség</w:t>
            </w:r>
          </w:p>
        </w:tc>
        <w:tc>
          <w:tcPr>
            <w:tcW w:w="54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Szám</w:t>
            </w:r>
          </w:p>
        </w:tc>
        <w:tc>
          <w:tcPr>
            <w:tcW w:w="720" w:type="dxa"/>
            <w:tcBorders>
              <w:left w:val="dashSmallGap" w:sz="4" w:space="0" w:color="auto"/>
            </w:tcBorders>
            <w:shd w:val="pct10" w:color="auto" w:fill="auto"/>
            <w:vAlign w:val="center"/>
          </w:tcPr>
          <w:p>
            <w:pPr>
              <w:jc w:val="center"/>
              <w:rPr>
                <w:noProof/>
                <w:sz w:val="18"/>
                <w:szCs w:val="18"/>
              </w:rPr>
            </w:pPr>
            <w:r>
              <w:rPr>
                <w:noProof/>
                <w:sz w:val="18"/>
              </w:rPr>
              <w:t>Költség</w:t>
            </w:r>
          </w:p>
        </w:tc>
        <w:tc>
          <w:tcPr>
            <w:tcW w:w="720" w:type="dxa"/>
            <w:tcBorders>
              <w:right w:val="dashSmallGap" w:sz="4" w:space="0" w:color="auto"/>
            </w:tcBorders>
            <w:shd w:val="pct10" w:color="auto" w:fill="auto"/>
            <w:vAlign w:val="center"/>
          </w:tcPr>
          <w:p>
            <w:pPr>
              <w:jc w:val="center"/>
              <w:rPr>
                <w:noProof/>
                <w:sz w:val="18"/>
                <w:szCs w:val="18"/>
              </w:rPr>
            </w:pPr>
            <w:r>
              <w:rPr>
                <w:noProof/>
                <w:sz w:val="18"/>
              </w:rPr>
              <w:t>Összesített szám</w:t>
            </w:r>
          </w:p>
        </w:tc>
        <w:tc>
          <w:tcPr>
            <w:tcW w:w="900" w:type="dxa"/>
            <w:tcBorders>
              <w:left w:val="dashSmallGap" w:sz="4" w:space="0" w:color="auto"/>
            </w:tcBorders>
            <w:shd w:val="pct10" w:color="auto" w:fill="auto"/>
            <w:vAlign w:val="center"/>
          </w:tcPr>
          <w:p>
            <w:pPr>
              <w:jc w:val="center"/>
              <w:rPr>
                <w:noProof/>
                <w:sz w:val="18"/>
                <w:szCs w:val="18"/>
              </w:rPr>
            </w:pPr>
            <w:r>
              <w:rPr>
                <w:noProof/>
                <w:sz w:val="18"/>
              </w:rPr>
              <w:t>Összköltség</w:t>
            </w:r>
          </w:p>
        </w:tc>
      </w:tr>
      <w:tr>
        <w:trPr>
          <w:jc w:val="center"/>
        </w:trPr>
        <w:tc>
          <w:tcPr>
            <w:tcW w:w="2844" w:type="dxa"/>
            <w:gridSpan w:val="3"/>
            <w:vAlign w:val="center"/>
          </w:tcPr>
          <w:p>
            <w:pPr>
              <w:spacing w:before="60" w:after="60"/>
              <w:ind w:right="-29"/>
              <w:jc w:val="center"/>
              <w:rPr>
                <w:noProof/>
                <w:sz w:val="16"/>
                <w:szCs w:val="16"/>
              </w:rPr>
            </w:pPr>
            <w:r>
              <w:rPr>
                <w:noProof/>
                <w:sz w:val="16"/>
              </w:rPr>
              <w:t>6. és 7. KONKRÉT CÉLKITŰZÉS</w:t>
            </w:r>
            <w:r>
              <w:rPr>
                <w:rStyle w:val="FootnoteReference"/>
                <w:noProof/>
              </w:rPr>
              <w:footnoteReference w:id="31"/>
            </w:r>
          </w:p>
        </w:tc>
        <w:tc>
          <w:tcPr>
            <w:tcW w:w="504"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90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648" w:type="dxa"/>
            <w:tcBorders>
              <w:top w:val="nil"/>
              <w:left w:val="nil"/>
              <w:bottom w:val="nil"/>
              <w:right w:val="nil"/>
            </w:tcBorders>
          </w:tcPr>
          <w:p>
            <w:pPr>
              <w:spacing w:before="60" w:after="60"/>
              <w:ind w:right="-29"/>
              <w:jc w:val="center"/>
              <w:rPr>
                <w:noProof/>
                <w:sz w:val="18"/>
                <w:szCs w:val="18"/>
              </w:rPr>
            </w:pPr>
          </w:p>
        </w:tc>
        <w:tc>
          <w:tcPr>
            <w:tcW w:w="432"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900" w:type="dxa"/>
            <w:tcBorders>
              <w:top w:val="nil"/>
              <w:left w:val="nil"/>
              <w:bottom w:val="nil"/>
              <w:right w:val="nil"/>
            </w:tcBorders>
          </w:tcPr>
          <w:p>
            <w:pPr>
              <w:spacing w:before="60" w:after="60"/>
              <w:ind w:right="-29"/>
              <w:jc w:val="center"/>
              <w:rPr>
                <w:noProof/>
                <w:sz w:val="18"/>
                <w:szCs w:val="18"/>
              </w:rPr>
            </w:pPr>
          </w:p>
        </w:tc>
      </w:tr>
      <w:tr>
        <w:trPr>
          <w:trHeight w:hRule="exact" w:val="664"/>
          <w:jc w:val="center"/>
        </w:trPr>
        <w:tc>
          <w:tcPr>
            <w:tcW w:w="1423" w:type="dxa"/>
          </w:tcPr>
          <w:p>
            <w:pPr>
              <w:ind w:right="-29"/>
              <w:jc w:val="center"/>
              <w:rPr>
                <w:noProof/>
                <w:sz w:val="18"/>
                <w:szCs w:val="18"/>
              </w:rPr>
            </w:pPr>
            <w:r>
              <w:rPr>
                <w:noProof/>
                <w:sz w:val="18"/>
              </w:rPr>
              <w:t>– Teljesítés</w:t>
            </w:r>
          </w:p>
        </w:tc>
        <w:tc>
          <w:tcPr>
            <w:tcW w:w="779" w:type="dxa"/>
          </w:tcPr>
          <w:p>
            <w:pPr>
              <w:ind w:right="-29"/>
              <w:jc w:val="center"/>
              <w:rPr>
                <w:noProof/>
                <w:sz w:val="16"/>
                <w:szCs w:val="16"/>
              </w:rPr>
            </w:pPr>
            <w:r>
              <w:rPr>
                <w:noProof/>
                <w:sz w:val="16"/>
              </w:rPr>
              <w:t>Rendszerfejlesztés</w:t>
            </w:r>
          </w:p>
          <w:p>
            <w:pPr>
              <w:ind w:right="-29"/>
              <w:jc w:val="center"/>
              <w:rPr>
                <w:noProof/>
                <w:sz w:val="16"/>
                <w:szCs w:val="16"/>
              </w:rPr>
            </w:pPr>
            <w:r>
              <w:rPr>
                <w:noProof/>
                <w:sz w:val="16"/>
              </w:rPr>
              <w:t xml:space="preserve"> fejlesztés</w:t>
            </w:r>
          </w:p>
        </w:tc>
        <w:tc>
          <w:tcPr>
            <w:tcW w:w="642" w:type="dxa"/>
          </w:tcPr>
          <w:p>
            <w:pPr>
              <w:ind w:right="-29"/>
              <w:jc w:val="center"/>
              <w:rPr>
                <w:noProof/>
                <w:sz w:val="18"/>
                <w:szCs w:val="18"/>
              </w:rPr>
            </w:pPr>
          </w:p>
        </w:tc>
        <w:tc>
          <w:tcPr>
            <w:tcW w:w="504" w:type="dxa"/>
            <w:tcBorders>
              <w:right w:val="dashSmallGap" w:sz="4" w:space="0" w:color="auto"/>
            </w:tcBorders>
          </w:tcPr>
          <w:p>
            <w:pPr>
              <w:ind w:right="-29"/>
              <w:jc w:val="center"/>
              <w:rPr>
                <w:noProof/>
                <w:sz w:val="18"/>
                <w:szCs w:val="18"/>
              </w:rPr>
            </w:pPr>
            <w:r>
              <w:rPr>
                <w:noProof/>
                <w:sz w:val="18"/>
              </w:rPr>
              <w:t>1</w:t>
            </w:r>
          </w:p>
        </w:tc>
        <w:tc>
          <w:tcPr>
            <w:tcW w:w="720" w:type="dxa"/>
            <w:tcBorders>
              <w:left w:val="dashSmallGap" w:sz="4" w:space="0" w:color="auto"/>
            </w:tcBorders>
          </w:tcPr>
          <w:p>
            <w:pPr>
              <w:ind w:right="-29"/>
              <w:jc w:val="center"/>
              <w:rPr>
                <w:noProof/>
                <w:sz w:val="18"/>
                <w:szCs w:val="18"/>
              </w:rPr>
            </w:pPr>
            <w:r>
              <w:rPr>
                <w:noProof/>
                <w:sz w:val="18"/>
              </w:rPr>
              <w:t>0,2416</w:t>
            </w:r>
          </w:p>
        </w:tc>
        <w:tc>
          <w:tcPr>
            <w:tcW w:w="540" w:type="dxa"/>
            <w:tcBorders>
              <w:right w:val="dashSmallGap" w:sz="4" w:space="0" w:color="auto"/>
            </w:tcBorders>
          </w:tcPr>
          <w:p>
            <w:pPr>
              <w:ind w:right="-29"/>
              <w:jc w:val="center"/>
              <w:rPr>
                <w:noProof/>
                <w:sz w:val="18"/>
                <w:szCs w:val="18"/>
              </w:rPr>
            </w:pPr>
            <w:r>
              <w:rPr>
                <w:noProof/>
                <w:sz w:val="18"/>
              </w:rPr>
              <w:t>1</w:t>
            </w:r>
          </w:p>
        </w:tc>
        <w:tc>
          <w:tcPr>
            <w:tcW w:w="720" w:type="dxa"/>
            <w:tcBorders>
              <w:left w:val="dashSmallGap" w:sz="4" w:space="0" w:color="auto"/>
            </w:tcBorders>
          </w:tcPr>
          <w:p>
            <w:pPr>
              <w:ind w:right="-29"/>
              <w:jc w:val="center"/>
              <w:rPr>
                <w:noProof/>
                <w:sz w:val="18"/>
                <w:szCs w:val="18"/>
              </w:rPr>
            </w:pPr>
            <w:r>
              <w:rPr>
                <w:noProof/>
                <w:sz w:val="18"/>
              </w:rPr>
              <w:t>0,2416</w:t>
            </w:r>
          </w:p>
        </w:tc>
        <w:tc>
          <w:tcPr>
            <w:tcW w:w="720" w:type="dxa"/>
            <w:tcBorders>
              <w:right w:val="dashSmallGap" w:sz="4" w:space="0" w:color="auto"/>
            </w:tcBorders>
          </w:tcPr>
          <w:p>
            <w:pPr>
              <w:ind w:right="-29"/>
              <w:jc w:val="center"/>
              <w:rPr>
                <w:noProof/>
                <w:sz w:val="18"/>
                <w:szCs w:val="18"/>
              </w:rPr>
            </w:pPr>
            <w:r>
              <w:rPr>
                <w:noProof/>
                <w:sz w:val="18"/>
              </w:rPr>
              <w:t>1</w:t>
            </w:r>
          </w:p>
        </w:tc>
        <w:tc>
          <w:tcPr>
            <w:tcW w:w="720" w:type="dxa"/>
            <w:tcBorders>
              <w:left w:val="dashSmallGap" w:sz="4" w:space="0" w:color="auto"/>
            </w:tcBorders>
          </w:tcPr>
          <w:p>
            <w:pPr>
              <w:ind w:right="-29"/>
              <w:jc w:val="center"/>
              <w:rPr>
                <w:noProof/>
                <w:sz w:val="18"/>
                <w:szCs w:val="18"/>
              </w:rPr>
            </w:pPr>
            <w:r>
              <w:rPr>
                <w:noProof/>
                <w:sz w:val="18"/>
              </w:rPr>
              <w:t>0,0966</w:t>
            </w:r>
          </w:p>
        </w:tc>
        <w:tc>
          <w:tcPr>
            <w:tcW w:w="900" w:type="dxa"/>
            <w:tcBorders>
              <w:right w:val="dashSmallGap" w:sz="4" w:space="0" w:color="auto"/>
            </w:tcBorders>
          </w:tcPr>
          <w:p>
            <w:pPr>
              <w:ind w:right="-29"/>
              <w:jc w:val="center"/>
              <w:rPr>
                <w:noProof/>
                <w:sz w:val="18"/>
                <w:szCs w:val="18"/>
              </w:rPr>
            </w:pPr>
            <w:r>
              <w:rPr>
                <w:noProof/>
                <w:sz w:val="18"/>
              </w:rPr>
              <w:t>1</w:t>
            </w:r>
          </w:p>
        </w:tc>
        <w:tc>
          <w:tcPr>
            <w:tcW w:w="720" w:type="dxa"/>
            <w:tcBorders>
              <w:left w:val="dashSmallGap" w:sz="4" w:space="0" w:color="auto"/>
            </w:tcBorders>
          </w:tcPr>
          <w:p>
            <w:pPr>
              <w:ind w:right="-29"/>
              <w:jc w:val="center"/>
              <w:rPr>
                <w:noProof/>
                <w:sz w:val="18"/>
                <w:szCs w:val="18"/>
              </w:rPr>
            </w:pPr>
            <w:r>
              <w:rPr>
                <w:noProof/>
                <w:sz w:val="18"/>
              </w:rPr>
              <w:t>0,0966</w:t>
            </w:r>
          </w:p>
        </w:tc>
        <w:tc>
          <w:tcPr>
            <w:tcW w:w="540" w:type="dxa"/>
            <w:tcBorders>
              <w:right w:val="dashSmallGap" w:sz="4" w:space="0" w:color="auto"/>
            </w:tcBorders>
          </w:tcPr>
          <w:p>
            <w:pPr>
              <w:ind w:right="-29"/>
              <w:jc w:val="center"/>
              <w:rPr>
                <w:noProof/>
                <w:sz w:val="18"/>
                <w:szCs w:val="18"/>
              </w:rPr>
            </w:pPr>
          </w:p>
        </w:tc>
        <w:tc>
          <w:tcPr>
            <w:tcW w:w="648" w:type="dxa"/>
            <w:tcBorders>
              <w:left w:val="dashSmallGap" w:sz="4" w:space="0" w:color="auto"/>
            </w:tcBorders>
          </w:tcPr>
          <w:p>
            <w:pPr>
              <w:ind w:right="-29"/>
              <w:jc w:val="center"/>
              <w:rPr>
                <w:noProof/>
                <w:sz w:val="18"/>
                <w:szCs w:val="18"/>
              </w:rPr>
            </w:pPr>
          </w:p>
        </w:tc>
        <w:tc>
          <w:tcPr>
            <w:tcW w:w="432"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r>
              <w:rPr>
                <w:noProof/>
                <w:sz w:val="18"/>
              </w:rPr>
              <w:t>0,676</w:t>
            </w:r>
          </w:p>
        </w:tc>
      </w:tr>
      <w:tr>
        <w:trPr>
          <w:trHeight w:hRule="exact" w:val="664"/>
          <w:jc w:val="center"/>
        </w:trPr>
        <w:tc>
          <w:tcPr>
            <w:tcW w:w="1423" w:type="dxa"/>
          </w:tcPr>
          <w:p>
            <w:pPr>
              <w:ind w:right="-29"/>
              <w:jc w:val="center"/>
              <w:rPr>
                <w:noProof/>
                <w:sz w:val="18"/>
              </w:rPr>
            </w:pPr>
            <w:r>
              <w:rPr>
                <w:noProof/>
                <w:sz w:val="18"/>
              </w:rPr>
              <w:t>– Teljesítés</w:t>
            </w:r>
          </w:p>
        </w:tc>
        <w:tc>
          <w:tcPr>
            <w:tcW w:w="779" w:type="dxa"/>
          </w:tcPr>
          <w:p>
            <w:pPr>
              <w:ind w:right="-29"/>
              <w:jc w:val="center"/>
              <w:rPr>
                <w:noProof/>
                <w:sz w:val="16"/>
                <w:szCs w:val="16"/>
              </w:rPr>
            </w:pPr>
          </w:p>
        </w:tc>
        <w:tc>
          <w:tcPr>
            <w:tcW w:w="642" w:type="dxa"/>
          </w:tcPr>
          <w:p>
            <w:pPr>
              <w:ind w:right="-29"/>
              <w:jc w:val="center"/>
              <w:rPr>
                <w:noProof/>
                <w:sz w:val="18"/>
                <w:szCs w:val="18"/>
              </w:rPr>
            </w:pPr>
          </w:p>
        </w:tc>
        <w:tc>
          <w:tcPr>
            <w:tcW w:w="504"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72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90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648" w:type="dxa"/>
            <w:tcBorders>
              <w:left w:val="dashSmallGap" w:sz="4" w:space="0" w:color="auto"/>
            </w:tcBorders>
          </w:tcPr>
          <w:p>
            <w:pPr>
              <w:ind w:right="-29"/>
              <w:jc w:val="center"/>
              <w:rPr>
                <w:noProof/>
                <w:sz w:val="18"/>
                <w:szCs w:val="18"/>
              </w:rPr>
            </w:pPr>
          </w:p>
        </w:tc>
        <w:tc>
          <w:tcPr>
            <w:tcW w:w="432"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r>
      <w:tr>
        <w:trPr>
          <w:jc w:val="center"/>
        </w:trPr>
        <w:tc>
          <w:tcPr>
            <w:tcW w:w="2844" w:type="dxa"/>
            <w:gridSpan w:val="3"/>
            <w:tcBorders>
              <w:bottom w:val="single" w:sz="12" w:space="0" w:color="auto"/>
            </w:tcBorders>
            <w:vAlign w:val="center"/>
          </w:tcPr>
          <w:p>
            <w:pPr>
              <w:ind w:right="-29"/>
              <w:jc w:val="center"/>
              <w:rPr>
                <w:noProof/>
                <w:sz w:val="16"/>
                <w:szCs w:val="16"/>
              </w:rPr>
            </w:pPr>
            <w:r>
              <w:rPr>
                <w:noProof/>
                <w:sz w:val="16"/>
              </w:rPr>
              <w:t>A 6. és 7. konkrét célkitűzés részösszege</w:t>
            </w:r>
          </w:p>
        </w:tc>
        <w:tc>
          <w:tcPr>
            <w:tcW w:w="504" w:type="dxa"/>
            <w:tcBorders>
              <w:bottom w:val="single" w:sz="12" w:space="0" w:color="auto"/>
            </w:tcBorders>
          </w:tcPr>
          <w:p>
            <w:pPr>
              <w:ind w:right="-29"/>
              <w:jc w:val="center"/>
              <w:rPr>
                <w:noProof/>
                <w:sz w:val="18"/>
                <w:szCs w:val="18"/>
              </w:rPr>
            </w:pPr>
            <w:r>
              <w:rPr>
                <w:noProof/>
                <w:sz w:val="18"/>
              </w:rPr>
              <w:t>1</w:t>
            </w:r>
          </w:p>
        </w:tc>
        <w:tc>
          <w:tcPr>
            <w:tcW w:w="720" w:type="dxa"/>
            <w:tcBorders>
              <w:bottom w:val="single" w:sz="12" w:space="0" w:color="auto"/>
            </w:tcBorders>
          </w:tcPr>
          <w:p>
            <w:pPr>
              <w:ind w:right="-29"/>
              <w:jc w:val="center"/>
              <w:rPr>
                <w:noProof/>
                <w:sz w:val="18"/>
                <w:szCs w:val="18"/>
              </w:rPr>
            </w:pPr>
            <w:r>
              <w:rPr>
                <w:noProof/>
                <w:sz w:val="18"/>
              </w:rPr>
              <w:t>0,2416</w:t>
            </w:r>
          </w:p>
        </w:tc>
        <w:tc>
          <w:tcPr>
            <w:tcW w:w="540" w:type="dxa"/>
            <w:tcBorders>
              <w:bottom w:val="single" w:sz="12" w:space="0" w:color="auto"/>
            </w:tcBorders>
          </w:tcPr>
          <w:p>
            <w:pPr>
              <w:ind w:right="-29"/>
              <w:jc w:val="center"/>
              <w:rPr>
                <w:noProof/>
                <w:sz w:val="18"/>
                <w:szCs w:val="18"/>
              </w:rPr>
            </w:pPr>
            <w:r>
              <w:rPr>
                <w:noProof/>
                <w:sz w:val="18"/>
              </w:rPr>
              <w:t>1</w:t>
            </w:r>
          </w:p>
        </w:tc>
        <w:tc>
          <w:tcPr>
            <w:tcW w:w="720" w:type="dxa"/>
            <w:tcBorders>
              <w:bottom w:val="single" w:sz="12" w:space="0" w:color="auto"/>
            </w:tcBorders>
          </w:tcPr>
          <w:p>
            <w:pPr>
              <w:ind w:right="-29"/>
              <w:jc w:val="center"/>
              <w:rPr>
                <w:noProof/>
                <w:sz w:val="18"/>
                <w:szCs w:val="18"/>
              </w:rPr>
            </w:pPr>
            <w:r>
              <w:rPr>
                <w:noProof/>
                <w:sz w:val="18"/>
              </w:rPr>
              <w:t>0,2416</w:t>
            </w:r>
          </w:p>
        </w:tc>
        <w:tc>
          <w:tcPr>
            <w:tcW w:w="720" w:type="dxa"/>
            <w:tcBorders>
              <w:bottom w:val="single" w:sz="12" w:space="0" w:color="auto"/>
            </w:tcBorders>
          </w:tcPr>
          <w:p>
            <w:pPr>
              <w:ind w:right="-29"/>
              <w:jc w:val="center"/>
              <w:rPr>
                <w:noProof/>
                <w:sz w:val="18"/>
                <w:szCs w:val="18"/>
              </w:rPr>
            </w:pPr>
            <w:r>
              <w:rPr>
                <w:noProof/>
                <w:sz w:val="18"/>
              </w:rPr>
              <w:t>1</w:t>
            </w:r>
          </w:p>
        </w:tc>
        <w:tc>
          <w:tcPr>
            <w:tcW w:w="720" w:type="dxa"/>
            <w:tcBorders>
              <w:bottom w:val="single" w:sz="12" w:space="0" w:color="auto"/>
            </w:tcBorders>
          </w:tcPr>
          <w:p>
            <w:pPr>
              <w:ind w:right="-29"/>
              <w:jc w:val="center"/>
              <w:rPr>
                <w:noProof/>
                <w:sz w:val="18"/>
                <w:szCs w:val="18"/>
              </w:rPr>
            </w:pPr>
            <w:r>
              <w:rPr>
                <w:noProof/>
                <w:sz w:val="18"/>
              </w:rPr>
              <w:t>0,0966</w:t>
            </w:r>
          </w:p>
        </w:tc>
        <w:tc>
          <w:tcPr>
            <w:tcW w:w="900" w:type="dxa"/>
            <w:tcBorders>
              <w:bottom w:val="single" w:sz="12" w:space="0" w:color="auto"/>
            </w:tcBorders>
          </w:tcPr>
          <w:p>
            <w:pPr>
              <w:ind w:right="-29"/>
              <w:jc w:val="center"/>
              <w:rPr>
                <w:noProof/>
                <w:sz w:val="18"/>
                <w:szCs w:val="18"/>
              </w:rPr>
            </w:pPr>
            <w:r>
              <w:rPr>
                <w:noProof/>
                <w:sz w:val="18"/>
              </w:rPr>
              <w:t>1</w:t>
            </w:r>
          </w:p>
        </w:tc>
        <w:tc>
          <w:tcPr>
            <w:tcW w:w="720" w:type="dxa"/>
            <w:tcBorders>
              <w:bottom w:val="single" w:sz="12" w:space="0" w:color="auto"/>
            </w:tcBorders>
          </w:tcPr>
          <w:p>
            <w:pPr>
              <w:ind w:right="-29"/>
              <w:jc w:val="center"/>
              <w:rPr>
                <w:noProof/>
                <w:sz w:val="18"/>
                <w:szCs w:val="18"/>
              </w:rPr>
            </w:pPr>
            <w:r>
              <w:rPr>
                <w:noProof/>
                <w:sz w:val="18"/>
              </w:rPr>
              <w:t>0,0966</w:t>
            </w:r>
          </w:p>
        </w:tc>
        <w:tc>
          <w:tcPr>
            <w:tcW w:w="540" w:type="dxa"/>
            <w:tcBorders>
              <w:bottom w:val="single" w:sz="12" w:space="0" w:color="auto"/>
            </w:tcBorders>
          </w:tcPr>
          <w:p>
            <w:pPr>
              <w:ind w:right="-29"/>
              <w:jc w:val="center"/>
              <w:rPr>
                <w:noProof/>
                <w:sz w:val="18"/>
                <w:szCs w:val="18"/>
              </w:rPr>
            </w:pPr>
          </w:p>
        </w:tc>
        <w:tc>
          <w:tcPr>
            <w:tcW w:w="648" w:type="dxa"/>
            <w:tcBorders>
              <w:bottom w:val="single" w:sz="12" w:space="0" w:color="auto"/>
            </w:tcBorders>
          </w:tcPr>
          <w:p>
            <w:pPr>
              <w:ind w:right="-29"/>
              <w:jc w:val="center"/>
              <w:rPr>
                <w:noProof/>
                <w:sz w:val="18"/>
                <w:szCs w:val="18"/>
              </w:rPr>
            </w:pPr>
          </w:p>
        </w:tc>
        <w:tc>
          <w:tcPr>
            <w:tcW w:w="432"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54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720" w:type="dxa"/>
            <w:tcBorders>
              <w:bottom w:val="single" w:sz="12" w:space="0" w:color="auto"/>
            </w:tcBorders>
          </w:tcPr>
          <w:p>
            <w:pPr>
              <w:ind w:right="-29"/>
              <w:jc w:val="center"/>
              <w:rPr>
                <w:noProof/>
                <w:sz w:val="18"/>
                <w:szCs w:val="18"/>
              </w:rPr>
            </w:pPr>
          </w:p>
        </w:tc>
        <w:tc>
          <w:tcPr>
            <w:tcW w:w="900" w:type="dxa"/>
            <w:tcBorders>
              <w:bottom w:val="single" w:sz="12" w:space="0" w:color="auto"/>
            </w:tcBorders>
          </w:tcPr>
          <w:p>
            <w:pPr>
              <w:ind w:right="-29"/>
              <w:jc w:val="center"/>
              <w:rPr>
                <w:noProof/>
                <w:sz w:val="18"/>
                <w:szCs w:val="18"/>
              </w:rPr>
            </w:pPr>
            <w:r>
              <w:rPr>
                <w:noProof/>
                <w:sz w:val="18"/>
              </w:rPr>
              <w:t>0,676</w:t>
            </w:r>
          </w:p>
        </w:tc>
      </w:tr>
      <w:tr>
        <w:trPr>
          <w:jc w:val="center"/>
        </w:trPr>
        <w:tc>
          <w:tcPr>
            <w:tcW w:w="2844" w:type="dxa"/>
            <w:gridSpan w:val="3"/>
            <w:tcBorders>
              <w:top w:val="single" w:sz="12" w:space="0" w:color="auto"/>
              <w:left w:val="single" w:sz="12" w:space="0" w:color="auto"/>
              <w:bottom w:val="single" w:sz="12" w:space="0" w:color="auto"/>
            </w:tcBorders>
            <w:vAlign w:val="center"/>
          </w:tcPr>
          <w:p>
            <w:pPr>
              <w:ind w:right="-29"/>
              <w:jc w:val="center"/>
              <w:rPr>
                <w:noProof/>
                <w:sz w:val="18"/>
                <w:szCs w:val="18"/>
              </w:rPr>
            </w:pPr>
            <w:r>
              <w:rPr>
                <w:b/>
                <w:noProof/>
                <w:sz w:val="18"/>
              </w:rPr>
              <w:t>ÖSSZKÖLTSÉG</w:t>
            </w:r>
          </w:p>
        </w:tc>
        <w:tc>
          <w:tcPr>
            <w:tcW w:w="504" w:type="dxa"/>
            <w:tcBorders>
              <w:top w:val="single" w:sz="12" w:space="0" w:color="auto"/>
              <w:bottom w:val="single" w:sz="12" w:space="0" w:color="auto"/>
            </w:tcBorders>
          </w:tcPr>
          <w:p>
            <w:pPr>
              <w:spacing w:before="180" w:after="180"/>
              <w:ind w:right="-29"/>
              <w:jc w:val="center"/>
              <w:rPr>
                <w:noProof/>
                <w:sz w:val="18"/>
                <w:szCs w:val="18"/>
              </w:rPr>
            </w:pPr>
            <w:r>
              <w:rPr>
                <w:noProof/>
                <w:sz w:val="18"/>
              </w:rPr>
              <w:t>1</w:t>
            </w:r>
          </w:p>
        </w:tc>
        <w:tc>
          <w:tcPr>
            <w:tcW w:w="720" w:type="dxa"/>
            <w:tcBorders>
              <w:top w:val="single" w:sz="12" w:space="0" w:color="auto"/>
              <w:bottom w:val="single" w:sz="12" w:space="0" w:color="auto"/>
            </w:tcBorders>
          </w:tcPr>
          <w:p>
            <w:pPr>
              <w:spacing w:before="180" w:after="180"/>
              <w:ind w:right="-29"/>
              <w:jc w:val="center"/>
              <w:rPr>
                <w:noProof/>
                <w:sz w:val="18"/>
                <w:szCs w:val="18"/>
              </w:rPr>
            </w:pPr>
            <w:r>
              <w:rPr>
                <w:noProof/>
                <w:sz w:val="18"/>
              </w:rPr>
              <w:t>0,2416</w:t>
            </w:r>
          </w:p>
        </w:tc>
        <w:tc>
          <w:tcPr>
            <w:tcW w:w="540" w:type="dxa"/>
            <w:tcBorders>
              <w:top w:val="single" w:sz="12" w:space="0" w:color="auto"/>
              <w:bottom w:val="single" w:sz="12" w:space="0" w:color="auto"/>
            </w:tcBorders>
          </w:tcPr>
          <w:p>
            <w:pPr>
              <w:spacing w:before="180" w:after="180"/>
              <w:ind w:right="-29"/>
              <w:jc w:val="center"/>
              <w:rPr>
                <w:noProof/>
                <w:sz w:val="18"/>
                <w:szCs w:val="18"/>
              </w:rPr>
            </w:pPr>
            <w:r>
              <w:rPr>
                <w:noProof/>
                <w:sz w:val="18"/>
              </w:rPr>
              <w:t>1</w:t>
            </w:r>
          </w:p>
        </w:tc>
        <w:tc>
          <w:tcPr>
            <w:tcW w:w="720" w:type="dxa"/>
            <w:tcBorders>
              <w:top w:val="single" w:sz="12" w:space="0" w:color="auto"/>
              <w:bottom w:val="single" w:sz="12" w:space="0" w:color="auto"/>
            </w:tcBorders>
          </w:tcPr>
          <w:p>
            <w:pPr>
              <w:spacing w:before="180" w:after="180"/>
              <w:ind w:right="-29"/>
              <w:jc w:val="center"/>
              <w:rPr>
                <w:noProof/>
                <w:sz w:val="18"/>
                <w:szCs w:val="18"/>
              </w:rPr>
            </w:pPr>
            <w:r>
              <w:rPr>
                <w:noProof/>
                <w:sz w:val="18"/>
              </w:rPr>
              <w:t>0,2416</w:t>
            </w:r>
          </w:p>
        </w:tc>
        <w:tc>
          <w:tcPr>
            <w:tcW w:w="720" w:type="dxa"/>
            <w:tcBorders>
              <w:top w:val="single" w:sz="12" w:space="0" w:color="auto"/>
              <w:bottom w:val="single" w:sz="12" w:space="0" w:color="auto"/>
            </w:tcBorders>
          </w:tcPr>
          <w:p>
            <w:pPr>
              <w:spacing w:before="180" w:after="180"/>
              <w:ind w:right="-29"/>
              <w:jc w:val="center"/>
              <w:rPr>
                <w:noProof/>
                <w:sz w:val="18"/>
                <w:szCs w:val="18"/>
              </w:rPr>
            </w:pPr>
            <w:r>
              <w:rPr>
                <w:noProof/>
                <w:sz w:val="18"/>
              </w:rPr>
              <w:t>1</w:t>
            </w:r>
          </w:p>
        </w:tc>
        <w:tc>
          <w:tcPr>
            <w:tcW w:w="720" w:type="dxa"/>
            <w:tcBorders>
              <w:top w:val="single" w:sz="12" w:space="0" w:color="auto"/>
              <w:bottom w:val="single" w:sz="12" w:space="0" w:color="auto"/>
            </w:tcBorders>
          </w:tcPr>
          <w:p>
            <w:pPr>
              <w:spacing w:before="180" w:after="180"/>
              <w:ind w:right="-29"/>
              <w:jc w:val="center"/>
              <w:rPr>
                <w:noProof/>
                <w:sz w:val="18"/>
                <w:szCs w:val="18"/>
              </w:rPr>
            </w:pPr>
            <w:r>
              <w:rPr>
                <w:noProof/>
                <w:sz w:val="18"/>
              </w:rPr>
              <w:t>0,0966</w:t>
            </w:r>
          </w:p>
        </w:tc>
        <w:tc>
          <w:tcPr>
            <w:tcW w:w="900" w:type="dxa"/>
            <w:tcBorders>
              <w:top w:val="single" w:sz="12" w:space="0" w:color="auto"/>
              <w:bottom w:val="single" w:sz="12" w:space="0" w:color="auto"/>
            </w:tcBorders>
          </w:tcPr>
          <w:p>
            <w:pPr>
              <w:spacing w:before="180" w:after="180"/>
              <w:ind w:right="-29"/>
              <w:jc w:val="center"/>
              <w:rPr>
                <w:noProof/>
                <w:sz w:val="18"/>
                <w:szCs w:val="18"/>
              </w:rPr>
            </w:pPr>
            <w:r>
              <w:rPr>
                <w:noProof/>
                <w:sz w:val="18"/>
              </w:rPr>
              <w:t>1</w:t>
            </w:r>
          </w:p>
        </w:tc>
        <w:tc>
          <w:tcPr>
            <w:tcW w:w="720" w:type="dxa"/>
            <w:tcBorders>
              <w:top w:val="single" w:sz="12" w:space="0" w:color="auto"/>
              <w:bottom w:val="single" w:sz="12" w:space="0" w:color="auto"/>
            </w:tcBorders>
          </w:tcPr>
          <w:p>
            <w:pPr>
              <w:spacing w:before="180" w:after="180"/>
              <w:ind w:right="-29"/>
              <w:jc w:val="center"/>
              <w:rPr>
                <w:noProof/>
                <w:sz w:val="18"/>
                <w:szCs w:val="18"/>
              </w:rPr>
            </w:pPr>
            <w:r>
              <w:rPr>
                <w:noProof/>
                <w:sz w:val="18"/>
              </w:rPr>
              <w:t>0,0966</w:t>
            </w:r>
          </w:p>
        </w:tc>
        <w:tc>
          <w:tcPr>
            <w:tcW w:w="540" w:type="dxa"/>
            <w:tcBorders>
              <w:top w:val="single" w:sz="12" w:space="0" w:color="auto"/>
              <w:bottom w:val="single" w:sz="12" w:space="0" w:color="auto"/>
            </w:tcBorders>
          </w:tcPr>
          <w:p>
            <w:pPr>
              <w:spacing w:before="180" w:after="180"/>
              <w:ind w:right="-29"/>
              <w:jc w:val="center"/>
              <w:rPr>
                <w:noProof/>
                <w:sz w:val="18"/>
                <w:szCs w:val="18"/>
              </w:rPr>
            </w:pPr>
          </w:p>
        </w:tc>
        <w:tc>
          <w:tcPr>
            <w:tcW w:w="648" w:type="dxa"/>
            <w:tcBorders>
              <w:top w:val="single" w:sz="12" w:space="0" w:color="auto"/>
              <w:bottom w:val="single" w:sz="12" w:space="0" w:color="auto"/>
            </w:tcBorders>
          </w:tcPr>
          <w:p>
            <w:pPr>
              <w:spacing w:before="180" w:after="180"/>
              <w:ind w:right="-29"/>
              <w:jc w:val="center"/>
              <w:rPr>
                <w:noProof/>
                <w:sz w:val="18"/>
                <w:szCs w:val="18"/>
              </w:rPr>
            </w:pPr>
          </w:p>
        </w:tc>
        <w:tc>
          <w:tcPr>
            <w:tcW w:w="432"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540"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900" w:type="dxa"/>
            <w:tcBorders>
              <w:top w:val="single" w:sz="12" w:space="0" w:color="auto"/>
              <w:bottom w:val="single" w:sz="12" w:space="0" w:color="auto"/>
              <w:right w:val="single" w:sz="12" w:space="0" w:color="auto"/>
            </w:tcBorders>
          </w:tcPr>
          <w:p>
            <w:pPr>
              <w:spacing w:before="180" w:after="180"/>
              <w:ind w:right="-29"/>
              <w:jc w:val="center"/>
              <w:rPr>
                <w:noProof/>
                <w:sz w:val="18"/>
                <w:szCs w:val="18"/>
              </w:rPr>
            </w:pPr>
            <w:r>
              <w:rPr>
                <w:noProof/>
                <w:sz w:val="18"/>
              </w:rPr>
              <w:t>0,676</w:t>
            </w:r>
          </w:p>
        </w:tc>
      </w:tr>
    </w:tbl>
    <w:p>
      <w:pPr>
        <w:rPr>
          <w:noProof/>
        </w:rPr>
        <w:sectPr>
          <w:pgSz w:w="16840" w:h="11907" w:orient="landscape" w:code="9"/>
          <w:pgMar w:top="1134" w:right="1418" w:bottom="567" w:left="1418" w:header="709" w:footer="709" w:gutter="0"/>
          <w:cols w:space="708"/>
          <w:docGrid w:linePitch="360"/>
        </w:sectPr>
      </w:pPr>
      <w:r>
        <w:rPr>
          <w:noProof/>
        </w:rPr>
        <w:t>* A bemutatott teljesítés csak az új pszichoaktív anyagokhoz kapcsolódó új feladatokra vonatkozik.</w:t>
      </w:r>
      <w:r>
        <w:rPr>
          <w:noProof/>
        </w:rPr>
        <w:tab/>
      </w:r>
    </w:p>
    <w:p>
      <w:pPr>
        <w:pStyle w:val="ManualNumPar3"/>
        <w:rPr>
          <w:noProof/>
        </w:rPr>
      </w:pPr>
      <w:r>
        <w:t>3.2.3.</w:t>
      </w:r>
      <w:r>
        <w:tab/>
      </w:r>
      <w:r>
        <w:rPr>
          <w:noProof/>
        </w:rPr>
        <w:t>Az igazgatási előirányzatokra gyakorolt becsült hatás</w:t>
      </w:r>
    </w:p>
    <w:p>
      <w:pPr>
        <w:pStyle w:val="ManualNumPar4"/>
        <w:rPr>
          <w:noProof/>
        </w:rPr>
      </w:pPr>
      <w:r>
        <w:t>3.2.3.1.</w:t>
      </w:r>
      <w:r>
        <w:tab/>
      </w:r>
      <w:r>
        <w:rPr>
          <w:noProof/>
        </w:rPr>
        <w:t>Összegzés</w:t>
      </w:r>
    </w:p>
    <w:p>
      <w:pPr>
        <w:pStyle w:val="Tiret0"/>
        <w:numPr>
          <w:ilvl w:val="0"/>
          <w:numId w:val="16"/>
        </w:numPr>
        <w:tabs>
          <w:tab w:val="left" w:pos="1134"/>
        </w:tabs>
        <w:ind w:firstLine="1"/>
        <w:rPr>
          <w:noProof/>
        </w:rPr>
      </w:pPr>
      <w:r>
        <w:rPr>
          <w:noProof/>
        </w:rPr>
        <w:sym w:font="Wingdings" w:char="F0A8"/>
      </w:r>
      <w:r>
        <w:rPr>
          <w:noProof/>
        </w:rPr>
        <w:tab/>
      </w:r>
      <w:r>
        <w:rPr>
          <w:noProof/>
        </w:rPr>
        <w:sym w:font="Wingdings" w:char="F0A8"/>
      </w:r>
      <w:r>
        <w:rPr>
          <w:noProof/>
        </w:rPr>
        <w:t>A javaslat/kezdeményezés nem vonja maga után igazgatási előirányzatok felhasználását.</w:t>
      </w:r>
    </w:p>
    <w:p>
      <w:pPr>
        <w:pStyle w:val="Tiret0"/>
        <w:tabs>
          <w:tab w:val="left" w:pos="1134"/>
        </w:tabs>
        <w:ind w:firstLine="1"/>
        <w:rPr>
          <w:noProof/>
        </w:rPr>
      </w:pPr>
      <w:r>
        <w:rPr>
          <w:noProof/>
        </w:rPr>
        <w:sym w:font="Wingdings" w:char="F0FD"/>
      </w:r>
      <w:r>
        <w:rPr>
          <w:noProof/>
        </w:rPr>
        <w:tab/>
      </w:r>
      <w:r>
        <w:rPr>
          <w:noProof/>
        </w:rPr>
        <w:sym w:font="Wingdings" w:char="F0FD"/>
      </w:r>
      <w:r>
        <w:rPr>
          <w:noProof/>
        </w:rPr>
        <w:t>A javaslat/kezdeményezés az alábbi igazgatási előirányzatok felhasználását vonja maga után:</w:t>
      </w:r>
    </w:p>
    <w:p>
      <w:pPr>
        <w:rPr>
          <w:noProof/>
          <w:sz w:val="20"/>
        </w:rPr>
      </w:pPr>
      <w:r>
        <w:rPr>
          <w:noProof/>
          <w:sz w:val="20"/>
        </w:rPr>
        <w:t>millió EUR (három tizedesjegyig)</w:t>
      </w: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3240"/>
        <w:gridCol w:w="1080"/>
      </w:tblGrid>
      <w:tr>
        <w:trPr>
          <w:trHeight w:val="585"/>
        </w:trPr>
        <w:tc>
          <w:tcPr>
            <w:tcW w:w="1980" w:type="dxa"/>
          </w:tcPr>
          <w:p>
            <w:pPr>
              <w:spacing w:before="60" w:after="60" w:line="200" w:lineRule="exact"/>
              <w:rPr>
                <w:noProof/>
                <w:sz w:val="16"/>
                <w:szCs w:val="16"/>
              </w:rPr>
            </w:pPr>
          </w:p>
        </w:tc>
        <w:tc>
          <w:tcPr>
            <w:tcW w:w="1080" w:type="dxa"/>
            <w:vAlign w:val="center"/>
          </w:tcPr>
          <w:p>
            <w:pPr>
              <w:spacing w:before="60" w:after="60" w:line="200" w:lineRule="exact"/>
              <w:jc w:val="center"/>
              <w:rPr>
                <w:noProof/>
                <w:sz w:val="16"/>
                <w:szCs w:val="16"/>
              </w:rPr>
            </w:pPr>
            <w:r>
              <w:rPr>
                <w:noProof/>
                <w:sz w:val="16"/>
              </w:rPr>
              <w:t>2017</w:t>
            </w:r>
            <w:r>
              <w:rPr>
                <w:b/>
                <w:noProof/>
                <w:sz w:val="16"/>
              </w:rPr>
              <w:t xml:space="preserve"> </w:t>
            </w:r>
            <w:r>
              <w:rPr>
                <w:rStyle w:val="FootnoteReference"/>
                <w:b/>
                <w:noProof/>
                <w:sz w:val="16"/>
              </w:rPr>
              <w:footnoteReference w:id="32"/>
            </w:r>
          </w:p>
        </w:tc>
        <w:tc>
          <w:tcPr>
            <w:tcW w:w="1080" w:type="dxa"/>
            <w:vAlign w:val="center"/>
          </w:tcPr>
          <w:p>
            <w:pPr>
              <w:spacing w:before="60" w:after="60" w:line="200" w:lineRule="exact"/>
              <w:jc w:val="center"/>
              <w:rPr>
                <w:noProof/>
                <w:sz w:val="16"/>
                <w:szCs w:val="16"/>
              </w:rPr>
            </w:pPr>
            <w:r>
              <w:rPr>
                <w:noProof/>
                <w:sz w:val="16"/>
              </w:rPr>
              <w:t>2018</w:t>
            </w:r>
          </w:p>
        </w:tc>
        <w:tc>
          <w:tcPr>
            <w:tcW w:w="1080" w:type="dxa"/>
            <w:vAlign w:val="center"/>
          </w:tcPr>
          <w:p>
            <w:pPr>
              <w:spacing w:before="60" w:after="60" w:line="200" w:lineRule="exact"/>
              <w:jc w:val="center"/>
              <w:rPr>
                <w:noProof/>
                <w:sz w:val="16"/>
                <w:szCs w:val="16"/>
              </w:rPr>
            </w:pPr>
            <w:r>
              <w:rPr>
                <w:noProof/>
                <w:sz w:val="16"/>
              </w:rPr>
              <w:t>2019</w:t>
            </w:r>
          </w:p>
        </w:tc>
        <w:tc>
          <w:tcPr>
            <w:tcW w:w="1080" w:type="dxa"/>
            <w:vAlign w:val="center"/>
          </w:tcPr>
          <w:p>
            <w:pPr>
              <w:spacing w:before="60" w:after="60" w:line="200" w:lineRule="exact"/>
              <w:jc w:val="center"/>
              <w:rPr>
                <w:noProof/>
                <w:sz w:val="16"/>
                <w:szCs w:val="16"/>
              </w:rPr>
            </w:pPr>
            <w:r>
              <w:rPr>
                <w:noProof/>
                <w:sz w:val="16"/>
              </w:rPr>
              <w:t>2020</w:t>
            </w:r>
          </w:p>
        </w:tc>
        <w:tc>
          <w:tcPr>
            <w:tcW w:w="3240" w:type="dxa"/>
            <w:vAlign w:val="center"/>
          </w:tcPr>
          <w:p>
            <w:pPr>
              <w:spacing w:line="200" w:lineRule="exact"/>
              <w:jc w:val="center"/>
              <w:rPr>
                <w:b/>
                <w:noProof/>
                <w:sz w:val="16"/>
                <w:szCs w:val="16"/>
              </w:rPr>
            </w:pPr>
            <w:r>
              <w:rPr>
                <w:noProof/>
                <w:sz w:val="16"/>
              </w:rPr>
              <w:t>A táblázat a hatás időtartamának megfelelően (vö. 1.6. pont) további évekkel bővíthető</w:t>
            </w:r>
          </w:p>
        </w:tc>
        <w:tc>
          <w:tcPr>
            <w:tcW w:w="1080" w:type="dxa"/>
            <w:vAlign w:val="center"/>
          </w:tcPr>
          <w:p>
            <w:pPr>
              <w:spacing w:before="60" w:after="60" w:line="200" w:lineRule="exact"/>
              <w:jc w:val="center"/>
              <w:rPr>
                <w:b/>
                <w:noProof/>
                <w:sz w:val="16"/>
                <w:szCs w:val="16"/>
              </w:rPr>
            </w:pPr>
            <w:r>
              <w:rPr>
                <w:b/>
                <w:noProof/>
                <w:sz w:val="16"/>
              </w:rPr>
              <w:t>ÖSSZESEN</w:t>
            </w:r>
          </w:p>
        </w:tc>
      </w:tr>
    </w:tbl>
    <w:p>
      <w:pPr>
        <w:spacing w:line="200" w:lineRule="exact"/>
        <w:rPr>
          <w:noProof/>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shd w:val="clear" w:color="auto" w:fill="CCCCCC"/>
            <w:vAlign w:val="center"/>
          </w:tcPr>
          <w:p>
            <w:pPr>
              <w:spacing w:before="60" w:after="60" w:line="200" w:lineRule="exact"/>
              <w:jc w:val="center"/>
              <w:rPr>
                <w:b/>
                <w:noProof/>
                <w:sz w:val="16"/>
                <w:szCs w:val="16"/>
              </w:rPr>
            </w:pPr>
            <w:r>
              <w:rPr>
                <w:b/>
                <w:noProof/>
                <w:sz w:val="16"/>
              </w:rPr>
              <w:t xml:space="preserve">A többéves pénzügyi keret </w:t>
            </w:r>
            <w:r>
              <w:rPr>
                <w:b/>
                <w:noProof/>
                <w:sz w:val="16"/>
              </w:rPr>
              <w:br/>
              <w:t xml:space="preserve"> 5. FEJEZETE</w:t>
            </w:r>
          </w:p>
        </w:tc>
        <w:tc>
          <w:tcPr>
            <w:tcW w:w="1080" w:type="dxa"/>
            <w:vAlign w:val="center"/>
          </w:tcPr>
          <w:p>
            <w:pPr>
              <w:spacing w:before="60" w:after="60" w:line="200" w:lineRule="exact"/>
              <w:jc w:val="right"/>
              <w:rPr>
                <w:noProof/>
                <w:sz w:val="16"/>
                <w:szCs w:val="16"/>
              </w:rPr>
            </w:pPr>
            <w:r>
              <w:rPr>
                <w:noProof/>
                <w:sz w:val="16"/>
              </w:rPr>
              <w:t>2017</w:t>
            </w:r>
          </w:p>
        </w:tc>
        <w:tc>
          <w:tcPr>
            <w:tcW w:w="1080" w:type="dxa"/>
            <w:vAlign w:val="center"/>
          </w:tcPr>
          <w:p>
            <w:pPr>
              <w:spacing w:before="60" w:after="60" w:line="200" w:lineRule="exact"/>
              <w:jc w:val="right"/>
              <w:rPr>
                <w:noProof/>
                <w:sz w:val="16"/>
                <w:szCs w:val="16"/>
              </w:rPr>
            </w:pPr>
            <w:r>
              <w:rPr>
                <w:noProof/>
                <w:sz w:val="16"/>
              </w:rPr>
              <w:t>2018</w:t>
            </w:r>
          </w:p>
        </w:tc>
        <w:tc>
          <w:tcPr>
            <w:tcW w:w="1080" w:type="dxa"/>
            <w:vAlign w:val="center"/>
          </w:tcPr>
          <w:p>
            <w:pPr>
              <w:spacing w:before="60" w:after="60" w:line="200" w:lineRule="exact"/>
              <w:jc w:val="right"/>
              <w:rPr>
                <w:noProof/>
                <w:sz w:val="16"/>
                <w:szCs w:val="16"/>
              </w:rPr>
            </w:pPr>
            <w:r>
              <w:rPr>
                <w:noProof/>
                <w:sz w:val="16"/>
              </w:rPr>
              <w:t>2019</w:t>
            </w:r>
          </w:p>
        </w:tc>
        <w:tc>
          <w:tcPr>
            <w:tcW w:w="1080" w:type="dxa"/>
            <w:vAlign w:val="center"/>
          </w:tcPr>
          <w:p>
            <w:pPr>
              <w:spacing w:before="60" w:after="60" w:line="200" w:lineRule="exact"/>
              <w:jc w:val="right"/>
              <w:rPr>
                <w:noProof/>
                <w:sz w:val="16"/>
                <w:szCs w:val="16"/>
              </w:rPr>
            </w:pPr>
            <w:r>
              <w:rPr>
                <w:noProof/>
                <w:sz w:val="16"/>
              </w:rPr>
              <w:t>2020</w:t>
            </w: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b/>
                <w:noProof/>
                <w:sz w:val="16"/>
                <w:szCs w:val="16"/>
              </w:rPr>
            </w:pPr>
          </w:p>
        </w:tc>
        <w:tc>
          <w:tcPr>
            <w:tcW w:w="1080" w:type="dxa"/>
            <w:vAlign w:val="center"/>
          </w:tcPr>
          <w:p>
            <w:pPr>
              <w:spacing w:before="60" w:after="60" w:line="200" w:lineRule="exact"/>
              <w:jc w:val="right"/>
              <w:rPr>
                <w:b/>
                <w:noProof/>
                <w:sz w:val="16"/>
                <w:szCs w:val="16"/>
              </w:rPr>
            </w:pPr>
          </w:p>
        </w:tc>
      </w:tr>
      <w:tr>
        <w:trPr>
          <w:trHeight w:val="585"/>
        </w:trPr>
        <w:tc>
          <w:tcPr>
            <w:tcW w:w="1980" w:type="dxa"/>
            <w:vAlign w:val="center"/>
          </w:tcPr>
          <w:p>
            <w:pPr>
              <w:spacing w:before="60" w:after="60" w:line="200" w:lineRule="exact"/>
              <w:ind w:left="72"/>
              <w:jc w:val="left"/>
              <w:rPr>
                <w:noProof/>
                <w:sz w:val="16"/>
                <w:szCs w:val="16"/>
              </w:rPr>
            </w:pPr>
            <w:r>
              <w:rPr>
                <w:noProof/>
                <w:sz w:val="16"/>
              </w:rPr>
              <w:t>Humánerőforrás – Migrációügyi és Uniós Belügyi Főigazgatóság, teljes munkaidős egyenérték</w:t>
            </w:r>
          </w:p>
        </w:tc>
        <w:tc>
          <w:tcPr>
            <w:tcW w:w="1080" w:type="dxa"/>
            <w:vAlign w:val="center"/>
          </w:tcPr>
          <w:p>
            <w:pPr>
              <w:spacing w:before="60" w:after="60" w:line="200" w:lineRule="exact"/>
              <w:jc w:val="right"/>
              <w:rPr>
                <w:noProof/>
                <w:sz w:val="16"/>
                <w:szCs w:val="16"/>
              </w:rPr>
            </w:pPr>
            <w:r>
              <w:rPr>
                <w:noProof/>
                <w:sz w:val="16"/>
              </w:rPr>
              <w:t>0,402</w:t>
            </w:r>
          </w:p>
        </w:tc>
        <w:tc>
          <w:tcPr>
            <w:tcW w:w="1080" w:type="dxa"/>
            <w:vAlign w:val="center"/>
          </w:tcPr>
          <w:p>
            <w:pPr>
              <w:spacing w:before="60" w:after="60" w:line="200" w:lineRule="exact"/>
              <w:jc w:val="right"/>
              <w:rPr>
                <w:noProof/>
                <w:sz w:val="16"/>
                <w:szCs w:val="16"/>
              </w:rPr>
            </w:pPr>
            <w:r>
              <w:rPr>
                <w:noProof/>
                <w:sz w:val="16"/>
              </w:rPr>
              <w:t>0,402</w:t>
            </w:r>
          </w:p>
        </w:tc>
        <w:tc>
          <w:tcPr>
            <w:tcW w:w="1080" w:type="dxa"/>
            <w:vAlign w:val="center"/>
          </w:tcPr>
          <w:p>
            <w:pPr>
              <w:spacing w:before="60" w:after="60" w:line="200" w:lineRule="exact"/>
              <w:jc w:val="right"/>
              <w:rPr>
                <w:noProof/>
                <w:sz w:val="16"/>
                <w:szCs w:val="16"/>
              </w:rPr>
            </w:pPr>
            <w:r>
              <w:rPr>
                <w:noProof/>
                <w:sz w:val="16"/>
              </w:rPr>
              <w:t>0,402</w:t>
            </w:r>
          </w:p>
        </w:tc>
        <w:tc>
          <w:tcPr>
            <w:tcW w:w="1080" w:type="dxa"/>
            <w:vAlign w:val="center"/>
          </w:tcPr>
          <w:p>
            <w:pPr>
              <w:spacing w:before="60" w:after="60" w:line="200" w:lineRule="exact"/>
              <w:jc w:val="right"/>
              <w:rPr>
                <w:noProof/>
                <w:sz w:val="16"/>
                <w:szCs w:val="16"/>
              </w:rPr>
            </w:pPr>
            <w:r>
              <w:rPr>
                <w:noProof/>
                <w:sz w:val="16"/>
              </w:rPr>
              <w:t>0,402</w:t>
            </w: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b/>
                <w:noProof/>
                <w:sz w:val="16"/>
                <w:szCs w:val="16"/>
              </w:rPr>
            </w:pPr>
          </w:p>
        </w:tc>
        <w:tc>
          <w:tcPr>
            <w:tcW w:w="1080" w:type="dxa"/>
            <w:vAlign w:val="center"/>
          </w:tcPr>
          <w:p>
            <w:pPr>
              <w:spacing w:before="60" w:after="60" w:line="200" w:lineRule="exact"/>
              <w:jc w:val="right"/>
              <w:rPr>
                <w:b/>
                <w:noProof/>
                <w:sz w:val="16"/>
                <w:szCs w:val="16"/>
              </w:rPr>
            </w:pPr>
            <w:r>
              <w:rPr>
                <w:b/>
                <w:noProof/>
                <w:sz w:val="16"/>
              </w:rPr>
              <w:t>1,6080</w:t>
            </w:r>
          </w:p>
        </w:tc>
      </w:tr>
      <w:tr>
        <w:trPr>
          <w:trHeight w:val="585"/>
        </w:trPr>
        <w:tc>
          <w:tcPr>
            <w:tcW w:w="1980" w:type="dxa"/>
            <w:vAlign w:val="center"/>
          </w:tcPr>
          <w:p>
            <w:pPr>
              <w:spacing w:before="60" w:after="60" w:line="200" w:lineRule="exact"/>
              <w:ind w:left="72"/>
              <w:jc w:val="left"/>
              <w:rPr>
                <w:noProof/>
                <w:sz w:val="16"/>
                <w:szCs w:val="16"/>
              </w:rPr>
            </w:pPr>
            <w:r>
              <w:rPr>
                <w:noProof/>
                <w:sz w:val="16"/>
              </w:rPr>
              <w:t xml:space="preserve">Egyéb igazgatási kiadások </w:t>
            </w: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b/>
                <w:noProof/>
                <w:sz w:val="16"/>
                <w:szCs w:val="16"/>
              </w:rPr>
            </w:pPr>
          </w:p>
        </w:tc>
        <w:tc>
          <w:tcPr>
            <w:tcW w:w="1080" w:type="dxa"/>
            <w:vAlign w:val="center"/>
          </w:tcPr>
          <w:p>
            <w:pPr>
              <w:spacing w:before="60" w:after="60" w:line="200" w:lineRule="exact"/>
              <w:jc w:val="right"/>
              <w:rPr>
                <w:b/>
                <w:noProof/>
                <w:sz w:val="16"/>
                <w:szCs w:val="16"/>
              </w:rPr>
            </w:pPr>
          </w:p>
        </w:tc>
      </w:tr>
      <w:tr>
        <w:trPr>
          <w:trHeight w:val="585"/>
        </w:trPr>
        <w:tc>
          <w:tcPr>
            <w:tcW w:w="1980" w:type="dxa"/>
            <w:shd w:val="clear" w:color="auto" w:fill="CCCCCC"/>
            <w:vAlign w:val="center"/>
          </w:tcPr>
          <w:p>
            <w:pPr>
              <w:spacing w:before="60" w:after="60" w:line="200" w:lineRule="exact"/>
              <w:jc w:val="center"/>
              <w:rPr>
                <w:b/>
                <w:noProof/>
                <w:sz w:val="16"/>
                <w:szCs w:val="16"/>
              </w:rPr>
            </w:pPr>
            <w:r>
              <w:rPr>
                <w:b/>
                <w:noProof/>
                <w:sz w:val="16"/>
              </w:rPr>
              <w:t xml:space="preserve">A többéves pénzügyi keret 5. FEJEZETE ÖSSZESEN </w:t>
            </w:r>
          </w:p>
        </w:tc>
        <w:tc>
          <w:tcPr>
            <w:tcW w:w="1080" w:type="dxa"/>
            <w:vAlign w:val="center"/>
          </w:tcPr>
          <w:p>
            <w:pPr>
              <w:spacing w:before="60" w:after="60" w:line="200" w:lineRule="exact"/>
              <w:jc w:val="right"/>
              <w:rPr>
                <w:noProof/>
                <w:sz w:val="16"/>
                <w:szCs w:val="16"/>
              </w:rPr>
            </w:pPr>
            <w:r>
              <w:rPr>
                <w:noProof/>
                <w:sz w:val="16"/>
              </w:rPr>
              <w:t>0,402</w:t>
            </w:r>
          </w:p>
        </w:tc>
        <w:tc>
          <w:tcPr>
            <w:tcW w:w="1080" w:type="dxa"/>
            <w:vAlign w:val="center"/>
          </w:tcPr>
          <w:p>
            <w:pPr>
              <w:spacing w:before="60" w:after="60" w:line="200" w:lineRule="exact"/>
              <w:jc w:val="right"/>
              <w:rPr>
                <w:noProof/>
                <w:sz w:val="16"/>
                <w:szCs w:val="16"/>
              </w:rPr>
            </w:pPr>
            <w:r>
              <w:rPr>
                <w:noProof/>
                <w:sz w:val="16"/>
              </w:rPr>
              <w:t>0,402</w:t>
            </w:r>
          </w:p>
        </w:tc>
        <w:tc>
          <w:tcPr>
            <w:tcW w:w="1080" w:type="dxa"/>
            <w:vAlign w:val="center"/>
          </w:tcPr>
          <w:p>
            <w:pPr>
              <w:spacing w:before="60" w:after="60" w:line="200" w:lineRule="exact"/>
              <w:jc w:val="right"/>
              <w:rPr>
                <w:noProof/>
                <w:sz w:val="16"/>
                <w:szCs w:val="16"/>
              </w:rPr>
            </w:pPr>
            <w:r>
              <w:rPr>
                <w:noProof/>
                <w:sz w:val="16"/>
              </w:rPr>
              <w:t>0,402</w:t>
            </w:r>
          </w:p>
        </w:tc>
        <w:tc>
          <w:tcPr>
            <w:tcW w:w="1080" w:type="dxa"/>
            <w:vAlign w:val="center"/>
          </w:tcPr>
          <w:p>
            <w:pPr>
              <w:spacing w:before="60" w:after="60" w:line="200" w:lineRule="exact"/>
              <w:jc w:val="right"/>
              <w:rPr>
                <w:noProof/>
                <w:sz w:val="16"/>
                <w:szCs w:val="16"/>
              </w:rPr>
            </w:pPr>
            <w:r>
              <w:rPr>
                <w:noProof/>
                <w:sz w:val="16"/>
              </w:rPr>
              <w:t>0,402</w:t>
            </w: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b/>
                <w:noProof/>
                <w:sz w:val="16"/>
                <w:szCs w:val="16"/>
              </w:rPr>
            </w:pPr>
          </w:p>
        </w:tc>
        <w:tc>
          <w:tcPr>
            <w:tcW w:w="1080" w:type="dxa"/>
            <w:vAlign w:val="center"/>
          </w:tcPr>
          <w:p>
            <w:pPr>
              <w:spacing w:before="60" w:after="60" w:line="200" w:lineRule="exact"/>
              <w:jc w:val="right"/>
              <w:rPr>
                <w:b/>
                <w:noProof/>
                <w:sz w:val="16"/>
                <w:szCs w:val="16"/>
              </w:rPr>
            </w:pPr>
            <w:r>
              <w:rPr>
                <w:b/>
                <w:noProof/>
                <w:sz w:val="16"/>
              </w:rPr>
              <w:t>1,6080</w:t>
            </w:r>
          </w:p>
        </w:tc>
      </w:tr>
    </w:tbl>
    <w:p>
      <w:pPr>
        <w:spacing w:line="200" w:lineRule="exact"/>
        <w:rPr>
          <w:noProof/>
          <w:sz w:val="16"/>
          <w:szCs w:val="16"/>
          <w:highlight w:val="yellow"/>
        </w:rPr>
      </w:pPr>
    </w:p>
    <w:tbl>
      <w:tblPr>
        <w:tblW w:w="10620" w:type="dxa"/>
        <w:tblInd w:w="-612" w:type="dxa"/>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tcBorders>
              <w:top w:val="single" w:sz="12" w:space="0" w:color="auto"/>
              <w:left w:val="single" w:sz="12" w:space="0" w:color="auto"/>
              <w:bottom w:val="single" w:sz="12" w:space="0" w:color="auto"/>
              <w:right w:val="single" w:sz="2" w:space="0" w:color="auto"/>
            </w:tcBorders>
            <w:vAlign w:val="center"/>
          </w:tcPr>
          <w:p>
            <w:pPr>
              <w:spacing w:before="60" w:after="60" w:line="200" w:lineRule="exact"/>
              <w:jc w:val="center"/>
              <w:rPr>
                <w:noProof/>
                <w:sz w:val="16"/>
                <w:szCs w:val="16"/>
              </w:rPr>
            </w:pPr>
            <w:r>
              <w:rPr>
                <w:b/>
                <w:noProof/>
                <w:sz w:val="16"/>
              </w:rPr>
              <w:t>ÖSSZESEN</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b/>
                <w:noProof/>
                <w:sz w:val="16"/>
                <w:szCs w:val="16"/>
              </w:rPr>
            </w:pPr>
            <w:r>
              <w:rPr>
                <w:noProof/>
                <w:sz w:val="16"/>
              </w:rPr>
              <w:t>0,402</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b/>
                <w:noProof/>
                <w:sz w:val="16"/>
                <w:szCs w:val="16"/>
              </w:rPr>
            </w:pPr>
            <w:r>
              <w:rPr>
                <w:noProof/>
                <w:sz w:val="16"/>
              </w:rPr>
              <w:t>0,402</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b/>
                <w:noProof/>
                <w:sz w:val="16"/>
                <w:szCs w:val="16"/>
              </w:rPr>
            </w:pPr>
            <w:r>
              <w:rPr>
                <w:noProof/>
                <w:sz w:val="16"/>
              </w:rPr>
              <w:t>0,402</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b/>
                <w:noProof/>
                <w:sz w:val="16"/>
                <w:szCs w:val="16"/>
              </w:rPr>
            </w:pPr>
            <w:r>
              <w:rPr>
                <w:noProof/>
                <w:sz w:val="16"/>
              </w:rPr>
              <w:t>0,402</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12" w:space="0" w:color="auto"/>
            </w:tcBorders>
            <w:vAlign w:val="center"/>
          </w:tcPr>
          <w:p>
            <w:pPr>
              <w:spacing w:before="60" w:after="60" w:line="200" w:lineRule="exact"/>
              <w:jc w:val="right"/>
              <w:rPr>
                <w:b/>
                <w:noProof/>
                <w:sz w:val="16"/>
                <w:szCs w:val="16"/>
              </w:rPr>
            </w:pPr>
            <w:r>
              <w:rPr>
                <w:b/>
                <w:noProof/>
                <w:sz w:val="16"/>
              </w:rPr>
              <w:t>1,6080</w:t>
            </w:r>
          </w:p>
        </w:tc>
      </w:tr>
    </w:tbl>
    <w:p>
      <w:pPr>
        <w:rPr>
          <w:noProof/>
          <w:sz w:val="18"/>
        </w:rPr>
      </w:pPr>
      <w:r>
        <w:rPr>
          <w:noProof/>
          <w:sz w:val="18"/>
        </w:rPr>
        <w:t>A humánerőforrással és más igazgatási kiadásokkal kapcsolatos előirányzat-igényeket az adott főigazgatóság rendelkezésére álló, az intézkedés irányításához rendelt előirányzatokkal és/vagy az adott főigazgatóságon belüli átcsoportosítással kell teljesíteni. A források adott esetben a költségvetési korlátok betartása mellett kiegészíthetők az éves elosztási eljárás keretében az irányító főigazgatósághoz rendelt további juttatásokkal.</w:t>
      </w:r>
    </w:p>
    <w:p>
      <w:pPr>
        <w:rPr>
          <w:noProof/>
        </w:rPr>
      </w:pPr>
    </w:p>
    <w:p>
      <w:pPr>
        <w:pStyle w:val="ManualNumPar4"/>
        <w:rPr>
          <w:noProof/>
        </w:rPr>
      </w:pPr>
      <w:r>
        <w:t>3.2.3.2.</w:t>
      </w:r>
      <w:r>
        <w:tab/>
      </w:r>
      <w:r>
        <w:rPr>
          <w:noProof/>
        </w:rPr>
        <w:t>Becsült humánerőforrás-szükségletek</w:t>
      </w:r>
    </w:p>
    <w:p>
      <w:pPr>
        <w:pStyle w:val="Tiret0"/>
        <w:numPr>
          <w:ilvl w:val="0"/>
          <w:numId w:val="16"/>
        </w:numPr>
        <w:tabs>
          <w:tab w:val="left" w:pos="1134"/>
        </w:tabs>
        <w:ind w:firstLine="1"/>
        <w:rPr>
          <w:noProof/>
        </w:rPr>
      </w:pPr>
      <w:r>
        <w:rPr>
          <w:noProof/>
        </w:rPr>
        <w:sym w:font="Wingdings" w:char="F0A8"/>
      </w:r>
      <w:r>
        <w:rPr>
          <w:noProof/>
        </w:rPr>
        <w:tab/>
        <w:t>A javaslat/kezdeményezés nem igényel humánerőforrást.</w:t>
      </w:r>
    </w:p>
    <w:p>
      <w:pPr>
        <w:pStyle w:val="Tiret0"/>
        <w:numPr>
          <w:ilvl w:val="0"/>
          <w:numId w:val="16"/>
        </w:numPr>
        <w:tabs>
          <w:tab w:val="left" w:pos="1134"/>
        </w:tabs>
        <w:ind w:firstLine="1"/>
        <w:rPr>
          <w:noProof/>
        </w:rPr>
      </w:pPr>
      <w:r>
        <w:rPr>
          <w:noProof/>
        </w:rPr>
        <w:sym w:font="Wingdings" w:char="F0FD"/>
      </w:r>
      <w:r>
        <w:rPr>
          <w:noProof/>
        </w:rPr>
        <w:tab/>
        <w:t>A javaslat/kezdeményezés az alábbi humánerőforrás-igénnyel jár:</w:t>
      </w:r>
    </w:p>
    <w:p>
      <w:pPr>
        <w:spacing w:after="60"/>
        <w:jc w:val="right"/>
        <w:rPr>
          <w:i/>
          <w:noProof/>
          <w:sz w:val="20"/>
        </w:rPr>
      </w:pPr>
      <w:r>
        <w:rPr>
          <w:i/>
          <w:noProof/>
          <w:sz w:val="20"/>
        </w:rPr>
        <w:t>A becsléseket teljes munkaidős egyenértékben kell kifejezni</w:t>
      </w:r>
    </w:p>
    <w:tbl>
      <w:tblPr>
        <w:tblW w:w="5544" w:type="pct"/>
        <w:jc w:val="center"/>
        <w:tblInd w:w="-226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2"/>
        <w:gridCol w:w="1952"/>
        <w:gridCol w:w="1954"/>
        <w:gridCol w:w="655"/>
        <w:gridCol w:w="655"/>
        <w:gridCol w:w="3894"/>
        <w:gridCol w:w="465"/>
        <w:gridCol w:w="237"/>
        <w:gridCol w:w="237"/>
        <w:gridCol w:w="236"/>
      </w:tblGrid>
      <w:tr>
        <w:trPr>
          <w:gridBefore w:val="1"/>
          <w:wBefore w:w="6" w:type="pct"/>
          <w:trHeight w:val="289"/>
          <w:jc w:val="center"/>
        </w:trPr>
        <w:tc>
          <w:tcPr>
            <w:tcW w:w="1897" w:type="pct"/>
            <w:gridSpan w:val="2"/>
            <w:shd w:val="clear" w:color="auto" w:fill="auto"/>
          </w:tcPr>
          <w:p>
            <w:pPr>
              <w:spacing w:before="40" w:after="40"/>
              <w:jc w:val="center"/>
              <w:rPr>
                <w:i/>
                <w:noProof/>
                <w:sz w:val="16"/>
                <w:szCs w:val="16"/>
              </w:rPr>
            </w:pPr>
          </w:p>
        </w:tc>
        <w:tc>
          <w:tcPr>
            <w:tcW w:w="318" w:type="pct"/>
            <w:shd w:val="clear" w:color="auto" w:fill="auto"/>
            <w:vAlign w:val="center"/>
          </w:tcPr>
          <w:p>
            <w:pPr>
              <w:spacing w:before="20" w:after="20"/>
              <w:jc w:val="center"/>
              <w:rPr>
                <w:noProof/>
                <w:sz w:val="16"/>
                <w:szCs w:val="16"/>
              </w:rPr>
            </w:pPr>
            <w:r>
              <w:rPr>
                <w:noProof/>
                <w:sz w:val="22"/>
              </w:rPr>
              <w:br/>
            </w:r>
            <w:r>
              <w:rPr>
                <w:b/>
                <w:noProof/>
                <w:sz w:val="16"/>
              </w:rPr>
              <w:t>N</w:t>
            </w:r>
            <w:r>
              <w:rPr>
                <w:noProof/>
              </w:rPr>
              <w:t>. év</w:t>
            </w:r>
          </w:p>
        </w:tc>
        <w:tc>
          <w:tcPr>
            <w:tcW w:w="318" w:type="pct"/>
            <w:shd w:val="clear" w:color="auto" w:fill="auto"/>
            <w:vAlign w:val="center"/>
          </w:tcPr>
          <w:p>
            <w:pPr>
              <w:spacing w:before="20" w:after="20"/>
              <w:jc w:val="center"/>
              <w:rPr>
                <w:noProof/>
                <w:sz w:val="16"/>
                <w:szCs w:val="16"/>
              </w:rPr>
            </w:pPr>
            <w:r>
              <w:rPr>
                <w:noProof/>
                <w:sz w:val="22"/>
              </w:rPr>
              <w:br/>
            </w:r>
            <w:r>
              <w:rPr>
                <w:b/>
                <w:noProof/>
                <w:sz w:val="16"/>
              </w:rPr>
              <w:t xml:space="preserve">N+1 </w:t>
            </w:r>
            <w:r>
              <w:rPr>
                <w:noProof/>
              </w:rPr>
              <w:t>. év</w:t>
            </w:r>
          </w:p>
        </w:tc>
        <w:tc>
          <w:tcPr>
            <w:tcW w:w="1891" w:type="pct"/>
            <w:shd w:val="clear" w:color="auto" w:fill="auto"/>
            <w:vAlign w:val="center"/>
          </w:tcPr>
          <w:p>
            <w:pPr>
              <w:spacing w:before="20" w:after="20"/>
              <w:jc w:val="center"/>
              <w:rPr>
                <w:noProof/>
                <w:sz w:val="16"/>
                <w:szCs w:val="16"/>
              </w:rPr>
            </w:pPr>
            <w:r>
              <w:rPr>
                <w:b/>
                <w:noProof/>
                <w:sz w:val="16"/>
              </w:rPr>
              <w:t>N+2</w:t>
            </w:r>
            <w:r>
              <w:rPr>
                <w:noProof/>
                <w:sz w:val="16"/>
              </w:rPr>
              <w:t>. év</w:t>
            </w:r>
          </w:p>
        </w:tc>
        <w:tc>
          <w:tcPr>
            <w:tcW w:w="226" w:type="pct"/>
            <w:shd w:val="clear" w:color="auto" w:fill="auto"/>
            <w:vAlign w:val="center"/>
          </w:tcPr>
          <w:p>
            <w:pPr>
              <w:spacing w:before="20" w:after="20"/>
              <w:jc w:val="center"/>
              <w:rPr>
                <w:noProof/>
                <w:sz w:val="16"/>
                <w:szCs w:val="16"/>
              </w:rPr>
            </w:pPr>
            <w:r>
              <w:rPr>
                <w:b/>
                <w:noProof/>
                <w:sz w:val="16"/>
              </w:rPr>
              <w:t>N+3</w:t>
            </w:r>
            <w:r>
              <w:rPr>
                <w:noProof/>
                <w:sz w:val="16"/>
              </w:rPr>
              <w:t>. év</w:t>
            </w:r>
          </w:p>
        </w:tc>
        <w:tc>
          <w:tcPr>
            <w:tcW w:w="345" w:type="pct"/>
            <w:gridSpan w:val="3"/>
            <w:shd w:val="clear" w:color="auto" w:fill="auto"/>
            <w:vAlign w:val="center"/>
          </w:tcPr>
          <w:p>
            <w:pPr>
              <w:jc w:val="center"/>
              <w:rPr>
                <w:b/>
                <w:noProof/>
                <w:sz w:val="16"/>
                <w:szCs w:val="16"/>
              </w:rPr>
            </w:pPr>
            <w:r>
              <w:rPr>
                <w:noProof/>
                <w:sz w:val="16"/>
              </w:rPr>
              <w:t>A táblázat a hatás időtartamának megfelelően (vö. 1.6. pont) további évekkel bővíthető</w:t>
            </w:r>
          </w:p>
        </w:tc>
      </w:tr>
      <w:tr>
        <w:trPr>
          <w:gridBefore w:val="1"/>
          <w:wBefore w:w="6" w:type="pct"/>
          <w:trHeight w:val="289"/>
          <w:jc w:val="center"/>
        </w:trPr>
        <w:tc>
          <w:tcPr>
            <w:tcW w:w="4424" w:type="pct"/>
            <w:gridSpan w:val="5"/>
            <w:shd w:val="clear" w:color="auto" w:fill="auto"/>
          </w:tcPr>
          <w:p>
            <w:pPr>
              <w:spacing w:before="20" w:after="20"/>
              <w:rPr>
                <w:noProof/>
                <w:sz w:val="16"/>
                <w:szCs w:val="16"/>
              </w:rPr>
            </w:pPr>
            <w:r>
              <w:rPr>
                <w:b/>
                <w:noProof/>
                <w:sz w:val="16"/>
              </w:rPr>
              <w:sym w:font="Wingdings" w:char="F09F"/>
            </w:r>
            <w:r>
              <w:rPr>
                <w:b/>
                <w:noProof/>
                <w:sz w:val="16"/>
              </w:rPr>
              <w:t xml:space="preserve"> A létszámtervben szereplő álláshelyek (tisztviselők és ideiglenes alkalmazottak)</w:t>
            </w:r>
          </w:p>
        </w:tc>
        <w:tc>
          <w:tcPr>
            <w:tcW w:w="226" w:type="pct"/>
            <w:shd w:val="clear" w:color="auto" w:fill="auto"/>
            <w:vAlign w:val="center"/>
          </w:tcPr>
          <w:p>
            <w:pPr>
              <w:spacing w:before="20" w:after="20"/>
              <w:jc w:val="center"/>
              <w:rPr>
                <w:noProof/>
                <w:sz w:val="16"/>
                <w:szCs w:val="16"/>
              </w:rPr>
            </w:pPr>
          </w:p>
        </w:tc>
        <w:tc>
          <w:tcPr>
            <w:tcW w:w="345" w:type="pct"/>
            <w:gridSpan w:val="3"/>
            <w:shd w:val="clear" w:color="auto" w:fill="auto"/>
            <w:vAlign w:val="center"/>
          </w:tcPr>
          <w:p>
            <w:pPr>
              <w:jc w:val="center"/>
              <w:rPr>
                <w:noProof/>
                <w:sz w:val="16"/>
                <w:szCs w:val="16"/>
              </w:rPr>
            </w:pPr>
          </w:p>
        </w:tc>
      </w:tr>
      <w:tr>
        <w:trPr>
          <w:gridBefore w:val="1"/>
          <w:wBefore w:w="6" w:type="pct"/>
          <w:trHeight w:val="289"/>
          <w:jc w:val="center"/>
        </w:trPr>
        <w:tc>
          <w:tcPr>
            <w:tcW w:w="1897" w:type="pct"/>
            <w:gridSpan w:val="2"/>
            <w:shd w:val="clear" w:color="auto" w:fill="auto"/>
            <w:vAlign w:val="center"/>
          </w:tcPr>
          <w:p>
            <w:pPr>
              <w:spacing w:beforeLines="20" w:before="48" w:afterLines="20" w:after="48"/>
              <w:ind w:left="134"/>
              <w:jc w:val="left"/>
              <w:rPr>
                <w:b/>
                <w:noProof/>
                <w:sz w:val="16"/>
                <w:szCs w:val="16"/>
              </w:rPr>
            </w:pPr>
            <w:r>
              <w:rPr>
                <w:noProof/>
                <w:sz w:val="16"/>
              </w:rPr>
              <w:t>18 01 01 01 (a központban és a bizottsági képviseleteken)</w:t>
            </w:r>
          </w:p>
        </w:tc>
        <w:tc>
          <w:tcPr>
            <w:tcW w:w="318" w:type="pct"/>
            <w:shd w:val="clear" w:color="auto" w:fill="auto"/>
            <w:vAlign w:val="center"/>
          </w:tcPr>
          <w:p>
            <w:pPr>
              <w:spacing w:beforeLines="20" w:before="48" w:afterLines="20" w:after="48"/>
              <w:jc w:val="center"/>
              <w:rPr>
                <w:noProof/>
                <w:sz w:val="16"/>
                <w:szCs w:val="16"/>
              </w:rPr>
            </w:pPr>
            <w:r>
              <w:rPr>
                <w:noProof/>
                <w:sz w:val="16"/>
              </w:rPr>
              <w:t>3</w:t>
            </w:r>
          </w:p>
        </w:tc>
        <w:tc>
          <w:tcPr>
            <w:tcW w:w="318" w:type="pct"/>
            <w:shd w:val="clear" w:color="auto" w:fill="auto"/>
            <w:vAlign w:val="center"/>
          </w:tcPr>
          <w:p>
            <w:pPr>
              <w:spacing w:beforeLines="20" w:before="48" w:afterLines="20" w:after="48"/>
              <w:jc w:val="center"/>
              <w:rPr>
                <w:noProof/>
                <w:sz w:val="16"/>
                <w:szCs w:val="16"/>
              </w:rPr>
            </w:pPr>
            <w:r>
              <w:rPr>
                <w:noProof/>
                <w:sz w:val="16"/>
              </w:rPr>
              <w:t>3</w:t>
            </w:r>
          </w:p>
        </w:tc>
        <w:tc>
          <w:tcPr>
            <w:tcW w:w="1891" w:type="pct"/>
            <w:shd w:val="clear" w:color="auto" w:fill="auto"/>
            <w:vAlign w:val="center"/>
          </w:tcPr>
          <w:p>
            <w:pPr>
              <w:spacing w:beforeLines="20" w:before="48" w:afterLines="20" w:after="48"/>
              <w:jc w:val="center"/>
              <w:rPr>
                <w:noProof/>
                <w:sz w:val="16"/>
                <w:szCs w:val="16"/>
              </w:rPr>
            </w:pPr>
            <w:r>
              <w:rPr>
                <w:noProof/>
                <w:sz w:val="16"/>
              </w:rPr>
              <w:t>3</w:t>
            </w:r>
          </w:p>
        </w:tc>
        <w:tc>
          <w:tcPr>
            <w:tcW w:w="226" w:type="pct"/>
            <w:shd w:val="clear" w:color="auto" w:fill="auto"/>
            <w:vAlign w:val="center"/>
          </w:tcPr>
          <w:p>
            <w:pPr>
              <w:spacing w:beforeLines="20" w:before="48" w:afterLines="20" w:after="48"/>
              <w:jc w:val="center"/>
              <w:rPr>
                <w:noProof/>
                <w:sz w:val="16"/>
                <w:szCs w:val="16"/>
              </w:rPr>
            </w:pPr>
            <w:r>
              <w:rPr>
                <w:noProof/>
                <w:sz w:val="16"/>
              </w:rPr>
              <w:t>3</w:t>
            </w: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r>
      <w:tr>
        <w:trPr>
          <w:gridBefore w:val="1"/>
          <w:wBefore w:w="6" w:type="pct"/>
          <w:trHeight w:val="289"/>
          <w:jc w:val="center"/>
        </w:trPr>
        <w:tc>
          <w:tcPr>
            <w:tcW w:w="1897" w:type="pct"/>
            <w:gridSpan w:val="2"/>
            <w:shd w:val="clear" w:color="auto" w:fill="auto"/>
            <w:vAlign w:val="center"/>
          </w:tcPr>
          <w:p>
            <w:pPr>
              <w:spacing w:beforeLines="20" w:before="48" w:afterLines="20" w:after="48"/>
              <w:ind w:left="134"/>
              <w:jc w:val="left"/>
              <w:rPr>
                <w:noProof/>
                <w:sz w:val="16"/>
                <w:szCs w:val="16"/>
              </w:rPr>
            </w:pPr>
            <w:r>
              <w:rPr>
                <w:noProof/>
                <w:sz w:val="16"/>
              </w:rPr>
              <w:t>XX 01 01 02 (a küldöttségeknél)</w:t>
            </w:r>
          </w:p>
        </w:tc>
        <w:tc>
          <w:tcPr>
            <w:tcW w:w="318" w:type="pct"/>
            <w:shd w:val="clear" w:color="auto" w:fill="auto"/>
            <w:vAlign w:val="center"/>
          </w:tcPr>
          <w:p>
            <w:pPr>
              <w:spacing w:beforeLines="20" w:before="48" w:afterLines="20" w:after="48"/>
              <w:jc w:val="center"/>
              <w:rPr>
                <w:noProof/>
                <w:sz w:val="16"/>
                <w:szCs w:val="16"/>
              </w:rPr>
            </w:pPr>
          </w:p>
        </w:tc>
        <w:tc>
          <w:tcPr>
            <w:tcW w:w="318" w:type="pct"/>
            <w:shd w:val="clear" w:color="auto" w:fill="auto"/>
            <w:vAlign w:val="center"/>
          </w:tcPr>
          <w:p>
            <w:pPr>
              <w:spacing w:beforeLines="20" w:before="48" w:afterLines="20" w:after="48"/>
              <w:jc w:val="center"/>
              <w:rPr>
                <w:noProof/>
                <w:sz w:val="16"/>
                <w:szCs w:val="16"/>
              </w:rPr>
            </w:pPr>
          </w:p>
        </w:tc>
        <w:tc>
          <w:tcPr>
            <w:tcW w:w="1891" w:type="pct"/>
            <w:shd w:val="clear" w:color="auto" w:fill="auto"/>
            <w:vAlign w:val="center"/>
          </w:tcPr>
          <w:p>
            <w:pPr>
              <w:spacing w:beforeLines="20" w:before="48" w:afterLines="20" w:after="48"/>
              <w:jc w:val="center"/>
              <w:rPr>
                <w:noProof/>
                <w:sz w:val="16"/>
                <w:szCs w:val="16"/>
              </w:rPr>
            </w:pPr>
          </w:p>
        </w:tc>
        <w:tc>
          <w:tcPr>
            <w:tcW w:w="226"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r>
      <w:tr>
        <w:trPr>
          <w:gridBefore w:val="1"/>
          <w:wBefore w:w="6" w:type="pct"/>
          <w:trHeight w:val="289"/>
          <w:jc w:val="center"/>
        </w:trPr>
        <w:tc>
          <w:tcPr>
            <w:tcW w:w="1897" w:type="pct"/>
            <w:gridSpan w:val="2"/>
            <w:shd w:val="clear" w:color="auto" w:fill="auto"/>
            <w:vAlign w:val="center"/>
          </w:tcPr>
          <w:p>
            <w:pPr>
              <w:spacing w:beforeLines="20" w:before="48" w:afterLines="20" w:after="48"/>
              <w:ind w:left="134"/>
              <w:jc w:val="left"/>
              <w:rPr>
                <w:noProof/>
                <w:sz w:val="16"/>
                <w:szCs w:val="16"/>
              </w:rPr>
            </w:pPr>
            <w:r>
              <w:rPr>
                <w:noProof/>
                <w:sz w:val="16"/>
              </w:rPr>
              <w:t>XX 01 05 01 (közvetett kutatás)</w:t>
            </w:r>
          </w:p>
        </w:tc>
        <w:tc>
          <w:tcPr>
            <w:tcW w:w="318" w:type="pct"/>
            <w:shd w:val="clear" w:color="auto" w:fill="auto"/>
            <w:vAlign w:val="center"/>
          </w:tcPr>
          <w:p>
            <w:pPr>
              <w:spacing w:beforeLines="20" w:before="48" w:afterLines="20" w:after="48"/>
              <w:jc w:val="center"/>
              <w:rPr>
                <w:noProof/>
                <w:sz w:val="16"/>
                <w:szCs w:val="16"/>
              </w:rPr>
            </w:pPr>
          </w:p>
        </w:tc>
        <w:tc>
          <w:tcPr>
            <w:tcW w:w="318" w:type="pct"/>
            <w:shd w:val="clear" w:color="auto" w:fill="auto"/>
            <w:vAlign w:val="center"/>
          </w:tcPr>
          <w:p>
            <w:pPr>
              <w:spacing w:beforeLines="20" w:before="48" w:afterLines="20" w:after="48"/>
              <w:jc w:val="center"/>
              <w:rPr>
                <w:noProof/>
                <w:sz w:val="16"/>
                <w:szCs w:val="16"/>
              </w:rPr>
            </w:pPr>
          </w:p>
        </w:tc>
        <w:tc>
          <w:tcPr>
            <w:tcW w:w="1891" w:type="pct"/>
            <w:shd w:val="clear" w:color="auto" w:fill="auto"/>
            <w:vAlign w:val="center"/>
          </w:tcPr>
          <w:p>
            <w:pPr>
              <w:spacing w:beforeLines="20" w:before="48" w:afterLines="20" w:after="48"/>
              <w:jc w:val="center"/>
              <w:rPr>
                <w:noProof/>
                <w:sz w:val="16"/>
                <w:szCs w:val="16"/>
              </w:rPr>
            </w:pPr>
          </w:p>
        </w:tc>
        <w:tc>
          <w:tcPr>
            <w:tcW w:w="226"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r>
      <w:tr>
        <w:trPr>
          <w:gridBefore w:val="1"/>
          <w:wBefore w:w="6" w:type="pct"/>
          <w:trHeight w:val="289"/>
          <w:jc w:val="center"/>
        </w:trPr>
        <w:tc>
          <w:tcPr>
            <w:tcW w:w="1897" w:type="pct"/>
            <w:gridSpan w:val="2"/>
            <w:shd w:val="clear" w:color="auto" w:fill="auto"/>
            <w:vAlign w:val="center"/>
          </w:tcPr>
          <w:p>
            <w:pPr>
              <w:spacing w:beforeLines="20" w:before="48" w:afterLines="20" w:after="48"/>
              <w:ind w:left="134"/>
              <w:jc w:val="left"/>
              <w:rPr>
                <w:noProof/>
                <w:sz w:val="16"/>
                <w:szCs w:val="16"/>
              </w:rPr>
            </w:pPr>
            <w:r>
              <w:rPr>
                <w:noProof/>
                <w:sz w:val="16"/>
              </w:rPr>
              <w:t>10 01 05 01 (közvetlen kutatás)</w:t>
            </w:r>
          </w:p>
        </w:tc>
        <w:tc>
          <w:tcPr>
            <w:tcW w:w="318" w:type="pct"/>
            <w:shd w:val="clear" w:color="auto" w:fill="auto"/>
            <w:vAlign w:val="center"/>
          </w:tcPr>
          <w:p>
            <w:pPr>
              <w:spacing w:beforeLines="20" w:before="48" w:afterLines="20" w:after="48"/>
              <w:jc w:val="center"/>
              <w:rPr>
                <w:noProof/>
                <w:sz w:val="16"/>
                <w:szCs w:val="16"/>
              </w:rPr>
            </w:pPr>
          </w:p>
        </w:tc>
        <w:tc>
          <w:tcPr>
            <w:tcW w:w="318" w:type="pct"/>
            <w:shd w:val="clear" w:color="auto" w:fill="auto"/>
            <w:vAlign w:val="center"/>
          </w:tcPr>
          <w:p>
            <w:pPr>
              <w:spacing w:beforeLines="20" w:before="48" w:afterLines="20" w:after="48"/>
              <w:jc w:val="center"/>
              <w:rPr>
                <w:noProof/>
                <w:sz w:val="16"/>
                <w:szCs w:val="16"/>
              </w:rPr>
            </w:pPr>
          </w:p>
        </w:tc>
        <w:tc>
          <w:tcPr>
            <w:tcW w:w="1891" w:type="pct"/>
            <w:shd w:val="clear" w:color="auto" w:fill="auto"/>
            <w:vAlign w:val="center"/>
          </w:tcPr>
          <w:p>
            <w:pPr>
              <w:spacing w:beforeLines="20" w:before="48" w:afterLines="20" w:after="48"/>
              <w:jc w:val="center"/>
              <w:rPr>
                <w:noProof/>
                <w:sz w:val="16"/>
                <w:szCs w:val="16"/>
              </w:rPr>
            </w:pPr>
          </w:p>
        </w:tc>
        <w:tc>
          <w:tcPr>
            <w:tcW w:w="226"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r>
      <w:tr>
        <w:trPr>
          <w:gridAfter w:val="4"/>
          <w:wAfter w:w="570" w:type="pct"/>
          <w:trHeight w:val="248"/>
          <w:jc w:val="center"/>
        </w:trPr>
        <w:tc>
          <w:tcPr>
            <w:tcW w:w="4430" w:type="pct"/>
            <w:gridSpan w:val="6"/>
            <w:shd w:val="clear" w:color="auto" w:fill="auto"/>
            <w:vAlign w:val="center"/>
          </w:tcPr>
          <w:p>
            <w:pPr>
              <w:spacing w:before="60" w:after="60"/>
              <w:jc w:val="left"/>
              <w:rPr>
                <w:b/>
                <w:noProof/>
                <w:sz w:val="16"/>
                <w:szCs w:val="16"/>
              </w:rPr>
            </w:pPr>
            <w:r>
              <w:rPr>
                <w:b/>
                <w:noProof/>
                <w:sz w:val="16"/>
              </w:rPr>
              <w:sym w:font="Wingdings" w:char="F09F"/>
            </w:r>
            <w:r>
              <w:rPr>
                <w:b/>
                <w:noProof/>
                <w:sz w:val="16"/>
              </w:rPr>
              <w:t>Külső munkatársak teljes munkaidős egyenértékben (FTE)</w:t>
            </w:r>
            <w:r>
              <w:rPr>
                <w:rStyle w:val="FootnoteReference"/>
                <w:b/>
                <w:noProof/>
                <w:sz w:val="16"/>
              </w:rPr>
              <w:footnoteReference w:id="33"/>
            </w:r>
            <w:r>
              <w:rPr>
                <w:b/>
                <w:noProof/>
                <w:sz w:val="16"/>
              </w:rPr>
              <w:t xml:space="preserve"> kifejezve</w:t>
            </w:r>
            <w:r>
              <w:rPr>
                <w:rStyle w:val="CommentReference"/>
                <w:noProof/>
              </w:rPr>
              <w:t xml:space="preserve"> </w:t>
            </w:r>
          </w:p>
          <w:p>
            <w:pPr>
              <w:spacing w:before="0" w:after="0"/>
              <w:jc w:val="left"/>
              <w:rPr>
                <w:noProof/>
                <w:sz w:val="16"/>
                <w:szCs w:val="16"/>
              </w:rPr>
            </w:pPr>
          </w:p>
        </w:tc>
      </w:tr>
      <w:tr>
        <w:trPr>
          <w:gridBefore w:val="1"/>
          <w:wBefore w:w="6" w:type="pct"/>
          <w:trHeight w:val="289"/>
          <w:jc w:val="center"/>
        </w:trPr>
        <w:tc>
          <w:tcPr>
            <w:tcW w:w="1897" w:type="pct"/>
            <w:gridSpan w:val="2"/>
            <w:shd w:val="clear" w:color="auto" w:fill="auto"/>
            <w:vAlign w:val="center"/>
          </w:tcPr>
          <w:p>
            <w:pPr>
              <w:spacing w:beforeLines="20" w:before="48" w:afterLines="20" w:after="48"/>
              <w:ind w:left="136"/>
              <w:jc w:val="left"/>
              <w:rPr>
                <w:b/>
                <w:noProof/>
                <w:sz w:val="16"/>
                <w:szCs w:val="16"/>
              </w:rPr>
            </w:pPr>
            <w:r>
              <w:rPr>
                <w:noProof/>
                <w:sz w:val="16"/>
              </w:rPr>
              <w:t>XX 01 02 01 (AC, END, INT a teljes keretből)</w:t>
            </w:r>
          </w:p>
        </w:tc>
        <w:tc>
          <w:tcPr>
            <w:tcW w:w="318" w:type="pct"/>
            <w:shd w:val="clear" w:color="auto" w:fill="auto"/>
            <w:vAlign w:val="center"/>
          </w:tcPr>
          <w:p>
            <w:pPr>
              <w:spacing w:beforeLines="20" w:before="48" w:afterLines="20" w:after="48"/>
              <w:jc w:val="center"/>
              <w:rPr>
                <w:noProof/>
                <w:sz w:val="16"/>
                <w:szCs w:val="16"/>
              </w:rPr>
            </w:pPr>
          </w:p>
        </w:tc>
        <w:tc>
          <w:tcPr>
            <w:tcW w:w="318" w:type="pct"/>
            <w:shd w:val="clear" w:color="auto" w:fill="auto"/>
            <w:vAlign w:val="center"/>
          </w:tcPr>
          <w:p>
            <w:pPr>
              <w:spacing w:beforeLines="20" w:before="48" w:afterLines="20" w:after="48"/>
              <w:jc w:val="center"/>
              <w:rPr>
                <w:noProof/>
                <w:sz w:val="16"/>
                <w:szCs w:val="16"/>
              </w:rPr>
            </w:pPr>
          </w:p>
        </w:tc>
        <w:tc>
          <w:tcPr>
            <w:tcW w:w="1891" w:type="pct"/>
            <w:shd w:val="clear" w:color="auto" w:fill="auto"/>
            <w:vAlign w:val="center"/>
          </w:tcPr>
          <w:p>
            <w:pPr>
              <w:spacing w:beforeLines="20" w:before="48" w:afterLines="20" w:after="48"/>
              <w:jc w:val="center"/>
              <w:rPr>
                <w:noProof/>
                <w:sz w:val="16"/>
                <w:szCs w:val="16"/>
              </w:rPr>
            </w:pPr>
          </w:p>
        </w:tc>
        <w:tc>
          <w:tcPr>
            <w:tcW w:w="226"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r>
      <w:tr>
        <w:trPr>
          <w:gridBefore w:val="1"/>
          <w:wBefore w:w="6" w:type="pct"/>
          <w:trHeight w:val="289"/>
          <w:jc w:val="center"/>
        </w:trPr>
        <w:tc>
          <w:tcPr>
            <w:tcW w:w="1897" w:type="pct"/>
            <w:gridSpan w:val="2"/>
            <w:shd w:val="clear" w:color="auto" w:fill="auto"/>
            <w:vAlign w:val="center"/>
          </w:tcPr>
          <w:p>
            <w:pPr>
              <w:spacing w:beforeLines="20" w:before="48" w:afterLines="20" w:after="48"/>
              <w:ind w:left="136"/>
              <w:jc w:val="left"/>
              <w:rPr>
                <w:noProof/>
                <w:sz w:val="16"/>
                <w:szCs w:val="16"/>
              </w:rPr>
            </w:pPr>
            <w:r>
              <w:rPr>
                <w:noProof/>
                <w:sz w:val="16"/>
              </w:rPr>
              <w:t>XX 01 02 02 (AC, AL, END, INT és JED a küldöttségeknél)</w:t>
            </w:r>
          </w:p>
        </w:tc>
        <w:tc>
          <w:tcPr>
            <w:tcW w:w="318" w:type="pct"/>
            <w:shd w:val="clear" w:color="auto" w:fill="auto"/>
            <w:vAlign w:val="center"/>
          </w:tcPr>
          <w:p>
            <w:pPr>
              <w:spacing w:beforeLines="20" w:before="48" w:afterLines="20" w:after="48"/>
              <w:jc w:val="center"/>
              <w:rPr>
                <w:noProof/>
                <w:sz w:val="16"/>
                <w:szCs w:val="16"/>
              </w:rPr>
            </w:pPr>
          </w:p>
        </w:tc>
        <w:tc>
          <w:tcPr>
            <w:tcW w:w="318" w:type="pct"/>
            <w:shd w:val="clear" w:color="auto" w:fill="auto"/>
            <w:vAlign w:val="center"/>
          </w:tcPr>
          <w:p>
            <w:pPr>
              <w:spacing w:beforeLines="20" w:before="48" w:afterLines="20" w:after="48"/>
              <w:jc w:val="center"/>
              <w:rPr>
                <w:noProof/>
                <w:sz w:val="16"/>
                <w:szCs w:val="16"/>
              </w:rPr>
            </w:pPr>
          </w:p>
        </w:tc>
        <w:tc>
          <w:tcPr>
            <w:tcW w:w="1891" w:type="pct"/>
            <w:shd w:val="clear" w:color="auto" w:fill="auto"/>
            <w:vAlign w:val="center"/>
          </w:tcPr>
          <w:p>
            <w:pPr>
              <w:spacing w:beforeLines="20" w:before="48" w:afterLines="20" w:after="48"/>
              <w:jc w:val="center"/>
              <w:rPr>
                <w:noProof/>
                <w:sz w:val="16"/>
                <w:szCs w:val="16"/>
              </w:rPr>
            </w:pPr>
          </w:p>
        </w:tc>
        <w:tc>
          <w:tcPr>
            <w:tcW w:w="226"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r>
      <w:tr>
        <w:trPr>
          <w:gridBefore w:val="1"/>
          <w:wBefore w:w="6" w:type="pct"/>
          <w:trHeight w:val="289"/>
          <w:jc w:val="center"/>
        </w:trPr>
        <w:tc>
          <w:tcPr>
            <w:tcW w:w="948" w:type="pct"/>
            <w:vMerge w:val="restart"/>
            <w:shd w:val="clear" w:color="auto" w:fill="auto"/>
            <w:vAlign w:val="center"/>
          </w:tcPr>
          <w:p>
            <w:pPr>
              <w:spacing w:beforeLines="20" w:before="48" w:afterLines="20" w:after="48"/>
              <w:ind w:left="136"/>
              <w:jc w:val="left"/>
              <w:rPr>
                <w:b/>
                <w:noProof/>
                <w:sz w:val="16"/>
                <w:szCs w:val="16"/>
              </w:rPr>
            </w:pPr>
            <w:r>
              <w:rPr>
                <w:b/>
                <w:noProof/>
                <w:sz w:val="16"/>
              </w:rPr>
              <w:t>XX</w:t>
            </w:r>
            <w:r>
              <w:rPr>
                <w:noProof/>
                <w:sz w:val="16"/>
              </w:rPr>
              <w:t xml:space="preserve"> 01 04 </w:t>
            </w:r>
            <w:r>
              <w:rPr>
                <w:b/>
                <w:noProof/>
                <w:sz w:val="16"/>
              </w:rPr>
              <w:t>yy</w:t>
            </w:r>
            <w:r>
              <w:rPr>
                <w:rStyle w:val="FootnoteReference"/>
                <w:b/>
                <w:noProof/>
                <w:sz w:val="16"/>
              </w:rPr>
              <w:footnoteReference w:id="34"/>
            </w:r>
          </w:p>
          <w:p>
            <w:pPr>
              <w:spacing w:beforeLines="20" w:before="48" w:afterLines="20" w:after="48"/>
              <w:ind w:left="136"/>
              <w:jc w:val="left"/>
              <w:rPr>
                <w:b/>
                <w:noProof/>
                <w:sz w:val="16"/>
                <w:szCs w:val="16"/>
              </w:rPr>
            </w:pPr>
          </w:p>
        </w:tc>
        <w:tc>
          <w:tcPr>
            <w:tcW w:w="949" w:type="pct"/>
            <w:shd w:val="clear" w:color="auto" w:fill="auto"/>
            <w:vAlign w:val="center"/>
          </w:tcPr>
          <w:p>
            <w:pPr>
              <w:spacing w:beforeLines="20" w:before="48" w:afterLines="20" w:after="48"/>
              <w:ind w:left="136"/>
              <w:jc w:val="left"/>
              <w:rPr>
                <w:b/>
                <w:noProof/>
                <w:sz w:val="16"/>
                <w:szCs w:val="16"/>
              </w:rPr>
            </w:pPr>
            <w:r>
              <w:rPr>
                <w:noProof/>
                <w:sz w:val="16"/>
              </w:rPr>
              <w:t>– a központban</w:t>
            </w:r>
          </w:p>
          <w:p>
            <w:pPr>
              <w:spacing w:beforeLines="20" w:before="48" w:afterLines="20" w:after="48"/>
              <w:ind w:left="136"/>
              <w:jc w:val="left"/>
              <w:rPr>
                <w:b/>
                <w:noProof/>
                <w:sz w:val="16"/>
                <w:szCs w:val="16"/>
              </w:rPr>
            </w:pPr>
          </w:p>
        </w:tc>
        <w:tc>
          <w:tcPr>
            <w:tcW w:w="318" w:type="pct"/>
            <w:shd w:val="clear" w:color="auto" w:fill="auto"/>
            <w:vAlign w:val="center"/>
          </w:tcPr>
          <w:p>
            <w:pPr>
              <w:spacing w:beforeLines="20" w:before="48" w:afterLines="20" w:after="48"/>
              <w:rPr>
                <w:noProof/>
                <w:sz w:val="16"/>
                <w:szCs w:val="16"/>
              </w:rPr>
            </w:pPr>
          </w:p>
        </w:tc>
        <w:tc>
          <w:tcPr>
            <w:tcW w:w="318" w:type="pct"/>
            <w:shd w:val="clear" w:color="auto" w:fill="auto"/>
            <w:vAlign w:val="center"/>
          </w:tcPr>
          <w:p>
            <w:pPr>
              <w:spacing w:beforeLines="20" w:before="48" w:afterLines="20" w:after="48"/>
              <w:jc w:val="center"/>
              <w:rPr>
                <w:noProof/>
                <w:sz w:val="16"/>
                <w:szCs w:val="16"/>
              </w:rPr>
            </w:pPr>
          </w:p>
        </w:tc>
        <w:tc>
          <w:tcPr>
            <w:tcW w:w="1891" w:type="pct"/>
            <w:shd w:val="clear" w:color="auto" w:fill="auto"/>
            <w:vAlign w:val="center"/>
          </w:tcPr>
          <w:p>
            <w:pPr>
              <w:spacing w:beforeLines="20" w:before="48" w:afterLines="20" w:after="48"/>
              <w:jc w:val="center"/>
              <w:rPr>
                <w:noProof/>
                <w:sz w:val="16"/>
                <w:szCs w:val="16"/>
              </w:rPr>
            </w:pPr>
          </w:p>
        </w:tc>
        <w:tc>
          <w:tcPr>
            <w:tcW w:w="226"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r>
      <w:tr>
        <w:trPr>
          <w:gridBefore w:val="1"/>
          <w:wBefore w:w="6" w:type="pct"/>
          <w:trHeight w:val="289"/>
          <w:jc w:val="center"/>
        </w:trPr>
        <w:tc>
          <w:tcPr>
            <w:tcW w:w="948" w:type="pct"/>
            <w:vMerge/>
            <w:shd w:val="clear" w:color="auto" w:fill="auto"/>
            <w:vAlign w:val="center"/>
          </w:tcPr>
          <w:p>
            <w:pPr>
              <w:spacing w:beforeLines="20" w:before="48" w:afterLines="20" w:after="48"/>
              <w:ind w:left="136"/>
              <w:jc w:val="left"/>
              <w:rPr>
                <w:b/>
                <w:noProof/>
                <w:sz w:val="16"/>
                <w:szCs w:val="16"/>
              </w:rPr>
            </w:pPr>
          </w:p>
        </w:tc>
        <w:tc>
          <w:tcPr>
            <w:tcW w:w="949" w:type="pct"/>
            <w:shd w:val="clear" w:color="auto" w:fill="auto"/>
            <w:vAlign w:val="center"/>
          </w:tcPr>
          <w:p>
            <w:pPr>
              <w:spacing w:beforeLines="20" w:before="48" w:afterLines="20" w:after="48"/>
              <w:ind w:left="136"/>
              <w:jc w:val="left"/>
              <w:rPr>
                <w:b/>
                <w:noProof/>
                <w:sz w:val="16"/>
                <w:szCs w:val="16"/>
              </w:rPr>
            </w:pPr>
            <w:r>
              <w:rPr>
                <w:noProof/>
                <w:sz w:val="16"/>
              </w:rPr>
              <w:t xml:space="preserve">– a küldöttségeknél </w:t>
            </w:r>
          </w:p>
        </w:tc>
        <w:tc>
          <w:tcPr>
            <w:tcW w:w="318" w:type="pct"/>
            <w:shd w:val="clear" w:color="auto" w:fill="auto"/>
            <w:vAlign w:val="center"/>
          </w:tcPr>
          <w:p>
            <w:pPr>
              <w:spacing w:beforeLines="20" w:before="48" w:afterLines="20" w:after="48"/>
              <w:rPr>
                <w:noProof/>
                <w:sz w:val="16"/>
                <w:szCs w:val="16"/>
              </w:rPr>
            </w:pPr>
          </w:p>
        </w:tc>
        <w:tc>
          <w:tcPr>
            <w:tcW w:w="318" w:type="pct"/>
            <w:shd w:val="clear" w:color="auto" w:fill="auto"/>
            <w:vAlign w:val="center"/>
          </w:tcPr>
          <w:p>
            <w:pPr>
              <w:spacing w:beforeLines="20" w:before="48" w:afterLines="20" w:after="48"/>
              <w:jc w:val="center"/>
              <w:rPr>
                <w:noProof/>
                <w:sz w:val="16"/>
                <w:szCs w:val="16"/>
              </w:rPr>
            </w:pPr>
          </w:p>
        </w:tc>
        <w:tc>
          <w:tcPr>
            <w:tcW w:w="1891" w:type="pct"/>
            <w:shd w:val="clear" w:color="auto" w:fill="auto"/>
            <w:vAlign w:val="center"/>
          </w:tcPr>
          <w:p>
            <w:pPr>
              <w:spacing w:beforeLines="20" w:before="48" w:afterLines="20" w:after="48"/>
              <w:jc w:val="center"/>
              <w:rPr>
                <w:noProof/>
                <w:sz w:val="16"/>
                <w:szCs w:val="16"/>
              </w:rPr>
            </w:pPr>
          </w:p>
        </w:tc>
        <w:tc>
          <w:tcPr>
            <w:tcW w:w="226"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r>
      <w:tr>
        <w:trPr>
          <w:gridBefore w:val="1"/>
          <w:wBefore w:w="6" w:type="pct"/>
          <w:trHeight w:val="289"/>
          <w:jc w:val="center"/>
        </w:trPr>
        <w:tc>
          <w:tcPr>
            <w:tcW w:w="1897" w:type="pct"/>
            <w:gridSpan w:val="2"/>
            <w:shd w:val="clear" w:color="auto" w:fill="auto"/>
            <w:vAlign w:val="center"/>
          </w:tcPr>
          <w:p>
            <w:pPr>
              <w:spacing w:beforeLines="20" w:before="48" w:afterLines="20" w:after="48"/>
              <w:ind w:left="136"/>
              <w:jc w:val="left"/>
              <w:rPr>
                <w:noProof/>
                <w:sz w:val="16"/>
                <w:szCs w:val="16"/>
              </w:rPr>
            </w:pPr>
            <w:r>
              <w:rPr>
                <w:b/>
                <w:noProof/>
                <w:sz w:val="16"/>
              </w:rPr>
              <w:t>XX</w:t>
            </w:r>
            <w:r>
              <w:rPr>
                <w:noProof/>
                <w:sz w:val="16"/>
              </w:rPr>
              <w:t xml:space="preserve"> 01 05 02 (AC, END, INT közvetett kutatásban)</w:t>
            </w:r>
          </w:p>
        </w:tc>
        <w:tc>
          <w:tcPr>
            <w:tcW w:w="318" w:type="pct"/>
            <w:shd w:val="clear" w:color="auto" w:fill="auto"/>
            <w:vAlign w:val="center"/>
          </w:tcPr>
          <w:p>
            <w:pPr>
              <w:spacing w:beforeLines="20" w:before="48" w:afterLines="20" w:after="48"/>
              <w:jc w:val="center"/>
              <w:rPr>
                <w:noProof/>
                <w:sz w:val="16"/>
                <w:szCs w:val="16"/>
              </w:rPr>
            </w:pPr>
          </w:p>
        </w:tc>
        <w:tc>
          <w:tcPr>
            <w:tcW w:w="318" w:type="pct"/>
            <w:shd w:val="clear" w:color="auto" w:fill="auto"/>
            <w:vAlign w:val="center"/>
          </w:tcPr>
          <w:p>
            <w:pPr>
              <w:spacing w:beforeLines="20" w:before="48" w:afterLines="20" w:after="48"/>
              <w:jc w:val="center"/>
              <w:rPr>
                <w:noProof/>
                <w:sz w:val="16"/>
                <w:szCs w:val="16"/>
              </w:rPr>
            </w:pPr>
          </w:p>
        </w:tc>
        <w:tc>
          <w:tcPr>
            <w:tcW w:w="1891" w:type="pct"/>
            <w:shd w:val="clear" w:color="auto" w:fill="auto"/>
            <w:vAlign w:val="center"/>
          </w:tcPr>
          <w:p>
            <w:pPr>
              <w:spacing w:beforeLines="20" w:before="48" w:afterLines="20" w:after="48"/>
              <w:jc w:val="center"/>
              <w:rPr>
                <w:noProof/>
                <w:sz w:val="16"/>
                <w:szCs w:val="16"/>
              </w:rPr>
            </w:pPr>
          </w:p>
        </w:tc>
        <w:tc>
          <w:tcPr>
            <w:tcW w:w="226"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r>
      <w:tr>
        <w:trPr>
          <w:gridBefore w:val="1"/>
          <w:wBefore w:w="6" w:type="pct"/>
          <w:trHeight w:val="289"/>
          <w:jc w:val="center"/>
        </w:trPr>
        <w:tc>
          <w:tcPr>
            <w:tcW w:w="1897" w:type="pct"/>
            <w:gridSpan w:val="2"/>
            <w:shd w:val="clear" w:color="auto" w:fill="auto"/>
            <w:vAlign w:val="center"/>
          </w:tcPr>
          <w:p>
            <w:pPr>
              <w:spacing w:beforeLines="20" w:before="48" w:afterLines="20" w:after="48"/>
              <w:ind w:left="136"/>
              <w:jc w:val="left"/>
              <w:rPr>
                <w:noProof/>
                <w:sz w:val="16"/>
                <w:szCs w:val="16"/>
              </w:rPr>
            </w:pPr>
            <w:r>
              <w:rPr>
                <w:noProof/>
                <w:sz w:val="16"/>
              </w:rPr>
              <w:t>10 01 05 02 (AC, END, INT közvetlen kutatásban)</w:t>
            </w:r>
          </w:p>
        </w:tc>
        <w:tc>
          <w:tcPr>
            <w:tcW w:w="318" w:type="pct"/>
            <w:shd w:val="clear" w:color="auto" w:fill="auto"/>
            <w:vAlign w:val="center"/>
          </w:tcPr>
          <w:p>
            <w:pPr>
              <w:spacing w:beforeLines="20" w:before="48" w:afterLines="20" w:after="48"/>
              <w:jc w:val="center"/>
              <w:rPr>
                <w:noProof/>
                <w:sz w:val="16"/>
                <w:szCs w:val="16"/>
              </w:rPr>
            </w:pPr>
          </w:p>
        </w:tc>
        <w:tc>
          <w:tcPr>
            <w:tcW w:w="318" w:type="pct"/>
            <w:shd w:val="clear" w:color="auto" w:fill="auto"/>
            <w:vAlign w:val="center"/>
          </w:tcPr>
          <w:p>
            <w:pPr>
              <w:spacing w:beforeLines="20" w:before="48" w:afterLines="20" w:after="48"/>
              <w:jc w:val="center"/>
              <w:rPr>
                <w:noProof/>
                <w:sz w:val="16"/>
                <w:szCs w:val="16"/>
              </w:rPr>
            </w:pPr>
          </w:p>
        </w:tc>
        <w:tc>
          <w:tcPr>
            <w:tcW w:w="1891" w:type="pct"/>
            <w:shd w:val="clear" w:color="auto" w:fill="auto"/>
            <w:vAlign w:val="center"/>
          </w:tcPr>
          <w:p>
            <w:pPr>
              <w:spacing w:beforeLines="20" w:before="48" w:afterLines="20" w:after="48"/>
              <w:jc w:val="center"/>
              <w:rPr>
                <w:noProof/>
                <w:sz w:val="16"/>
                <w:szCs w:val="16"/>
              </w:rPr>
            </w:pPr>
          </w:p>
        </w:tc>
        <w:tc>
          <w:tcPr>
            <w:tcW w:w="226"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r>
      <w:tr>
        <w:trPr>
          <w:gridBefore w:val="1"/>
          <w:wBefore w:w="6" w:type="pct"/>
          <w:trHeight w:val="289"/>
          <w:jc w:val="center"/>
        </w:trPr>
        <w:tc>
          <w:tcPr>
            <w:tcW w:w="1897" w:type="pct"/>
            <w:gridSpan w:val="2"/>
            <w:tcBorders>
              <w:bottom w:val="double" w:sz="4" w:space="0" w:color="auto"/>
            </w:tcBorders>
            <w:shd w:val="clear" w:color="auto" w:fill="auto"/>
            <w:vAlign w:val="center"/>
          </w:tcPr>
          <w:p>
            <w:pPr>
              <w:spacing w:beforeLines="20" w:before="48" w:afterLines="20" w:after="48"/>
              <w:ind w:left="134"/>
              <w:jc w:val="left"/>
              <w:rPr>
                <w:noProof/>
                <w:sz w:val="16"/>
                <w:szCs w:val="16"/>
              </w:rPr>
            </w:pPr>
            <w:r>
              <w:rPr>
                <w:noProof/>
                <w:sz w:val="16"/>
              </w:rPr>
              <w:t>Egyéb költségvetési tétel (kérjük megnevezni)</w:t>
            </w:r>
          </w:p>
        </w:tc>
        <w:tc>
          <w:tcPr>
            <w:tcW w:w="318" w:type="pct"/>
            <w:tcBorders>
              <w:bottom w:val="double" w:sz="4" w:space="0" w:color="auto"/>
            </w:tcBorders>
            <w:shd w:val="clear" w:color="auto" w:fill="auto"/>
            <w:vAlign w:val="center"/>
          </w:tcPr>
          <w:p>
            <w:pPr>
              <w:spacing w:beforeLines="20" w:before="48" w:afterLines="20" w:after="48"/>
              <w:jc w:val="center"/>
              <w:rPr>
                <w:noProof/>
                <w:sz w:val="16"/>
                <w:szCs w:val="16"/>
              </w:rPr>
            </w:pPr>
          </w:p>
        </w:tc>
        <w:tc>
          <w:tcPr>
            <w:tcW w:w="318" w:type="pct"/>
            <w:tcBorders>
              <w:bottom w:val="double" w:sz="4" w:space="0" w:color="auto"/>
            </w:tcBorders>
            <w:shd w:val="clear" w:color="auto" w:fill="auto"/>
            <w:vAlign w:val="center"/>
          </w:tcPr>
          <w:p>
            <w:pPr>
              <w:spacing w:beforeLines="20" w:before="48" w:afterLines="20" w:after="48"/>
              <w:jc w:val="center"/>
              <w:rPr>
                <w:noProof/>
                <w:sz w:val="16"/>
                <w:szCs w:val="16"/>
              </w:rPr>
            </w:pPr>
          </w:p>
        </w:tc>
        <w:tc>
          <w:tcPr>
            <w:tcW w:w="1891" w:type="pct"/>
            <w:tcBorders>
              <w:bottom w:val="double" w:sz="4" w:space="0" w:color="auto"/>
            </w:tcBorders>
            <w:shd w:val="clear" w:color="auto" w:fill="auto"/>
            <w:vAlign w:val="center"/>
          </w:tcPr>
          <w:p>
            <w:pPr>
              <w:spacing w:beforeLines="20" w:before="48" w:afterLines="20" w:after="48"/>
              <w:jc w:val="center"/>
              <w:rPr>
                <w:noProof/>
                <w:sz w:val="16"/>
                <w:szCs w:val="16"/>
              </w:rPr>
            </w:pPr>
          </w:p>
        </w:tc>
        <w:tc>
          <w:tcPr>
            <w:tcW w:w="226" w:type="pct"/>
            <w:tcBorders>
              <w:bottom w:val="double" w:sz="4" w:space="0" w:color="auto"/>
            </w:tcBorders>
            <w:shd w:val="clear" w:color="auto" w:fill="auto"/>
            <w:vAlign w:val="center"/>
          </w:tcPr>
          <w:p>
            <w:pPr>
              <w:spacing w:beforeLines="20" w:before="48" w:afterLines="20" w:after="48"/>
              <w:jc w:val="center"/>
              <w:rPr>
                <w:noProof/>
                <w:sz w:val="16"/>
                <w:szCs w:val="16"/>
              </w:rPr>
            </w:pPr>
          </w:p>
        </w:tc>
        <w:tc>
          <w:tcPr>
            <w:tcW w:w="115" w:type="pct"/>
            <w:tcBorders>
              <w:bottom w:val="double" w:sz="4" w:space="0" w:color="auto"/>
            </w:tcBorders>
            <w:shd w:val="clear" w:color="auto" w:fill="auto"/>
            <w:vAlign w:val="center"/>
          </w:tcPr>
          <w:p>
            <w:pPr>
              <w:spacing w:beforeLines="20" w:before="48" w:afterLines="20" w:after="48"/>
              <w:jc w:val="center"/>
              <w:rPr>
                <w:noProof/>
                <w:sz w:val="16"/>
                <w:szCs w:val="16"/>
              </w:rPr>
            </w:pPr>
          </w:p>
        </w:tc>
        <w:tc>
          <w:tcPr>
            <w:tcW w:w="115" w:type="pct"/>
            <w:tcBorders>
              <w:bottom w:val="double" w:sz="4" w:space="0" w:color="auto"/>
            </w:tcBorders>
            <w:shd w:val="clear" w:color="auto" w:fill="auto"/>
            <w:vAlign w:val="center"/>
          </w:tcPr>
          <w:p>
            <w:pPr>
              <w:spacing w:beforeLines="20" w:before="48" w:afterLines="20" w:after="48"/>
              <w:jc w:val="center"/>
              <w:rPr>
                <w:noProof/>
                <w:sz w:val="16"/>
                <w:szCs w:val="16"/>
              </w:rPr>
            </w:pPr>
          </w:p>
        </w:tc>
        <w:tc>
          <w:tcPr>
            <w:tcW w:w="115" w:type="pct"/>
            <w:tcBorders>
              <w:bottom w:val="double" w:sz="4" w:space="0" w:color="auto"/>
            </w:tcBorders>
            <w:shd w:val="clear" w:color="auto" w:fill="auto"/>
            <w:vAlign w:val="center"/>
          </w:tcPr>
          <w:p>
            <w:pPr>
              <w:spacing w:beforeLines="20" w:before="48" w:afterLines="20" w:after="48"/>
              <w:jc w:val="center"/>
              <w:rPr>
                <w:noProof/>
                <w:sz w:val="16"/>
                <w:szCs w:val="16"/>
              </w:rPr>
            </w:pPr>
          </w:p>
        </w:tc>
      </w:tr>
      <w:tr>
        <w:trPr>
          <w:gridBefore w:val="1"/>
          <w:wBefore w:w="6" w:type="pct"/>
          <w:trHeight w:val="289"/>
          <w:jc w:val="center"/>
        </w:trPr>
        <w:tc>
          <w:tcPr>
            <w:tcW w:w="1897" w:type="pct"/>
            <w:gridSpan w:val="2"/>
            <w:tcBorders>
              <w:top w:val="double" w:sz="4" w:space="0" w:color="auto"/>
            </w:tcBorders>
            <w:shd w:val="clear" w:color="auto" w:fill="auto"/>
            <w:vAlign w:val="center"/>
          </w:tcPr>
          <w:p>
            <w:pPr>
              <w:spacing w:beforeLines="20" w:before="48" w:afterLines="20" w:after="48"/>
              <w:ind w:left="136"/>
              <w:jc w:val="left"/>
              <w:rPr>
                <w:noProof/>
                <w:sz w:val="16"/>
                <w:szCs w:val="16"/>
              </w:rPr>
            </w:pPr>
            <w:r>
              <w:rPr>
                <w:b/>
                <w:noProof/>
                <w:sz w:val="16"/>
              </w:rPr>
              <w:t>ÖSSZESEN</w:t>
            </w:r>
          </w:p>
        </w:tc>
        <w:tc>
          <w:tcPr>
            <w:tcW w:w="318" w:type="pct"/>
            <w:tcBorders>
              <w:top w:val="double" w:sz="4" w:space="0" w:color="auto"/>
            </w:tcBorders>
            <w:shd w:val="clear" w:color="auto" w:fill="auto"/>
            <w:vAlign w:val="center"/>
          </w:tcPr>
          <w:p>
            <w:pPr>
              <w:spacing w:beforeLines="20" w:before="48" w:afterLines="20" w:after="48"/>
              <w:jc w:val="center"/>
              <w:rPr>
                <w:b/>
                <w:noProof/>
                <w:sz w:val="16"/>
                <w:szCs w:val="16"/>
              </w:rPr>
            </w:pPr>
            <w:r>
              <w:rPr>
                <w:b/>
                <w:noProof/>
                <w:sz w:val="16"/>
              </w:rPr>
              <w:t>3</w:t>
            </w:r>
          </w:p>
        </w:tc>
        <w:tc>
          <w:tcPr>
            <w:tcW w:w="318" w:type="pct"/>
            <w:tcBorders>
              <w:top w:val="double" w:sz="4" w:space="0" w:color="auto"/>
            </w:tcBorders>
            <w:shd w:val="clear" w:color="auto" w:fill="auto"/>
            <w:vAlign w:val="center"/>
          </w:tcPr>
          <w:p>
            <w:pPr>
              <w:spacing w:beforeLines="20" w:before="48" w:afterLines="20" w:after="48"/>
              <w:jc w:val="center"/>
              <w:rPr>
                <w:b/>
                <w:noProof/>
                <w:sz w:val="16"/>
                <w:szCs w:val="16"/>
              </w:rPr>
            </w:pPr>
            <w:r>
              <w:rPr>
                <w:b/>
                <w:noProof/>
                <w:sz w:val="16"/>
              </w:rPr>
              <w:t>3</w:t>
            </w:r>
          </w:p>
        </w:tc>
        <w:tc>
          <w:tcPr>
            <w:tcW w:w="1891" w:type="pct"/>
            <w:tcBorders>
              <w:top w:val="double" w:sz="4" w:space="0" w:color="auto"/>
            </w:tcBorders>
            <w:shd w:val="clear" w:color="auto" w:fill="auto"/>
            <w:vAlign w:val="center"/>
          </w:tcPr>
          <w:p>
            <w:pPr>
              <w:spacing w:beforeLines="20" w:before="48" w:afterLines="20" w:after="48"/>
              <w:jc w:val="center"/>
              <w:rPr>
                <w:b/>
                <w:noProof/>
                <w:sz w:val="16"/>
                <w:szCs w:val="16"/>
              </w:rPr>
            </w:pPr>
            <w:r>
              <w:rPr>
                <w:b/>
                <w:noProof/>
                <w:sz w:val="16"/>
              </w:rPr>
              <w:t>3</w:t>
            </w:r>
          </w:p>
        </w:tc>
        <w:tc>
          <w:tcPr>
            <w:tcW w:w="226" w:type="pct"/>
            <w:tcBorders>
              <w:top w:val="double" w:sz="4" w:space="0" w:color="auto"/>
            </w:tcBorders>
            <w:shd w:val="clear" w:color="auto" w:fill="auto"/>
            <w:vAlign w:val="center"/>
          </w:tcPr>
          <w:p>
            <w:pPr>
              <w:spacing w:beforeLines="20" w:before="48" w:afterLines="20" w:after="48"/>
              <w:jc w:val="center"/>
              <w:rPr>
                <w:b/>
                <w:noProof/>
                <w:sz w:val="16"/>
                <w:szCs w:val="16"/>
              </w:rPr>
            </w:pPr>
            <w:r>
              <w:rPr>
                <w:b/>
                <w:noProof/>
                <w:sz w:val="16"/>
              </w:rPr>
              <w:t>3</w:t>
            </w:r>
          </w:p>
        </w:tc>
        <w:tc>
          <w:tcPr>
            <w:tcW w:w="115" w:type="pct"/>
            <w:tcBorders>
              <w:top w:val="double" w:sz="4" w:space="0" w:color="auto"/>
            </w:tcBorders>
            <w:shd w:val="clear" w:color="auto" w:fill="auto"/>
            <w:vAlign w:val="center"/>
          </w:tcPr>
          <w:p>
            <w:pPr>
              <w:spacing w:beforeLines="20" w:before="48" w:afterLines="20" w:after="48"/>
              <w:jc w:val="center"/>
              <w:rPr>
                <w:b/>
                <w:noProof/>
                <w:sz w:val="16"/>
                <w:szCs w:val="16"/>
              </w:rPr>
            </w:pPr>
          </w:p>
        </w:tc>
        <w:tc>
          <w:tcPr>
            <w:tcW w:w="115" w:type="pct"/>
            <w:tcBorders>
              <w:top w:val="double" w:sz="4" w:space="0" w:color="auto"/>
            </w:tcBorders>
            <w:shd w:val="clear" w:color="auto" w:fill="auto"/>
            <w:vAlign w:val="center"/>
          </w:tcPr>
          <w:p>
            <w:pPr>
              <w:spacing w:beforeLines="20" w:before="48" w:afterLines="20" w:after="48"/>
              <w:jc w:val="center"/>
              <w:rPr>
                <w:b/>
                <w:noProof/>
                <w:sz w:val="16"/>
                <w:szCs w:val="16"/>
              </w:rPr>
            </w:pPr>
          </w:p>
        </w:tc>
        <w:tc>
          <w:tcPr>
            <w:tcW w:w="115" w:type="pct"/>
            <w:tcBorders>
              <w:top w:val="double" w:sz="4" w:space="0" w:color="auto"/>
            </w:tcBorders>
            <w:shd w:val="clear" w:color="auto" w:fill="auto"/>
            <w:vAlign w:val="center"/>
          </w:tcPr>
          <w:p>
            <w:pPr>
              <w:spacing w:beforeLines="20" w:before="48" w:afterLines="20" w:after="48"/>
              <w:jc w:val="center"/>
              <w:rPr>
                <w:b/>
                <w:noProof/>
                <w:sz w:val="16"/>
                <w:szCs w:val="16"/>
              </w:rPr>
            </w:pPr>
          </w:p>
        </w:tc>
      </w:tr>
    </w:tbl>
    <w:p>
      <w:pPr>
        <w:spacing w:before="60" w:after="60"/>
        <w:ind w:left="851"/>
        <w:rPr>
          <w:noProof/>
          <w:sz w:val="18"/>
          <w:szCs w:val="18"/>
        </w:rPr>
      </w:pPr>
      <w:r>
        <w:rPr>
          <w:b/>
          <w:noProof/>
          <w:sz w:val="18"/>
        </w:rPr>
        <w:t>XX</w:t>
      </w:r>
      <w:r>
        <w:rPr>
          <w:noProof/>
          <w:sz w:val="18"/>
        </w:rPr>
        <w:t xml:space="preserve"> az érintett szakpolitikai terület vagy költségvetési cím.</w:t>
      </w:r>
    </w:p>
    <w:p>
      <w:pPr>
        <w:ind w:left="850"/>
        <w:rPr>
          <w:noProof/>
          <w:sz w:val="18"/>
          <w:szCs w:val="18"/>
        </w:rPr>
      </w:pPr>
      <w:r>
        <w:rPr>
          <w:noProof/>
          <w:sz w:val="18"/>
        </w:rPr>
        <w:t>A humánerőforrás-igényeknek az adott főigazgatóság rendelkezésére álló, az intézkedés irányításához rendelt és/vagy az adott főigazgatóságon belül átcsoportosított személyzettel kell eleget tenni. A források adott esetben a meglévő költségvetési korlátok betartása mellett kiegészíthetők az éves elosztási eljárás keretében az irányító főigazgatósághoz rendelt további juttatásokkal.</w:t>
      </w:r>
    </w:p>
    <w:p>
      <w:pPr>
        <w:rPr>
          <w:noProof/>
          <w:sz w:val="20"/>
        </w:rPr>
      </w:pPr>
      <w:r>
        <w:rPr>
          <w:noProof/>
          <w:sz w:val="20"/>
        </w:rPr>
        <w:t>Az elvégzendő feladatok leírása:</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tc>
          <w:tcPr>
            <w:tcW w:w="3240" w:type="dxa"/>
          </w:tcPr>
          <w:p>
            <w:pPr>
              <w:rPr>
                <w:noProof/>
                <w:sz w:val="20"/>
              </w:rPr>
            </w:pPr>
            <w:r>
              <w:rPr>
                <w:noProof/>
                <w:sz w:val="20"/>
              </w:rPr>
              <w:t>Tisztviselők és ideiglenes alkalmazottak</w:t>
            </w:r>
          </w:p>
        </w:tc>
        <w:tc>
          <w:tcPr>
            <w:tcW w:w="7200" w:type="dxa"/>
          </w:tcPr>
          <w:p>
            <w:pPr>
              <w:rPr>
                <w:noProof/>
                <w:sz w:val="20"/>
              </w:rPr>
            </w:pPr>
            <w:r>
              <w:rPr>
                <w:noProof/>
                <w:sz w:val="20"/>
              </w:rPr>
              <w:t>A Bizottság képviselete az ügynökség igazgatóságában. Az éves munkaprogrammal kapcsolatos bizottsági vélemény elkészítése és végrehajtásának nyomon követése. Az Ügynökség költségvetése elkészítésének felügyelete és a költségvetés végrehajtásának nyomon követése. Az ügynökség támogatása tevékenységeinek uniós szakpolitikáknak megfelelő kialakításában, ideértve a szakértői üléseken való részvételt.</w:t>
            </w:r>
          </w:p>
        </w:tc>
      </w:tr>
      <w:tr>
        <w:tc>
          <w:tcPr>
            <w:tcW w:w="3240" w:type="dxa"/>
          </w:tcPr>
          <w:p>
            <w:pPr>
              <w:spacing w:before="60" w:after="60"/>
              <w:rPr>
                <w:noProof/>
                <w:sz w:val="20"/>
              </w:rPr>
            </w:pPr>
            <w:r>
              <w:rPr>
                <w:noProof/>
                <w:sz w:val="20"/>
              </w:rPr>
              <w:t>Külső munkatársak</w:t>
            </w:r>
          </w:p>
        </w:tc>
        <w:tc>
          <w:tcPr>
            <w:tcW w:w="7200" w:type="dxa"/>
          </w:tcPr>
          <w:p>
            <w:pPr>
              <w:rPr>
                <w:noProof/>
                <w:sz w:val="20"/>
              </w:rPr>
            </w:pPr>
          </w:p>
        </w:tc>
      </w:tr>
    </w:tbl>
    <w:p>
      <w:pPr>
        <w:pStyle w:val="ManualNumPar3"/>
        <w:rPr>
          <w:noProof/>
        </w:rPr>
      </w:pPr>
      <w:r>
        <w:t>3.2.4.</w:t>
      </w:r>
      <w:r>
        <w:tab/>
      </w:r>
      <w:r>
        <w:rPr>
          <w:noProof/>
        </w:rPr>
        <w:t xml:space="preserve">A jelenlegi többéves pénzügyi kerettel való összeegyeztethetőség </w:t>
      </w:r>
    </w:p>
    <w:p>
      <w:pPr>
        <w:pStyle w:val="Tiret0"/>
        <w:numPr>
          <w:ilvl w:val="0"/>
          <w:numId w:val="16"/>
        </w:numPr>
        <w:tabs>
          <w:tab w:val="left" w:pos="1134"/>
        </w:tabs>
        <w:ind w:firstLine="1"/>
        <w:rPr>
          <w:noProof/>
        </w:rPr>
      </w:pPr>
      <w:r>
        <w:rPr>
          <w:noProof/>
        </w:rPr>
        <w:sym w:font="Wingdings" w:char="F0FD"/>
      </w:r>
      <w:r>
        <w:rPr>
          <w:noProof/>
        </w:rPr>
        <w:tab/>
        <w:t>A javaslat/kezdeményezés összeegyeztethető a jelenlegi többéves pénzügyi kerettel.</w:t>
      </w:r>
    </w:p>
    <w:p>
      <w:pPr>
        <w:pStyle w:val="Tiret0"/>
        <w:numPr>
          <w:ilvl w:val="0"/>
          <w:numId w:val="16"/>
        </w:numPr>
        <w:tabs>
          <w:tab w:val="left" w:pos="1134"/>
        </w:tabs>
        <w:ind w:firstLine="1"/>
        <w:rPr>
          <w:noProof/>
        </w:rPr>
      </w:pPr>
      <w:r>
        <w:rPr>
          <w:noProof/>
        </w:rPr>
        <w:sym w:font="Wingdings" w:char="F0A8"/>
      </w:r>
      <w:r>
        <w:rPr>
          <w:noProof/>
        </w:rPr>
        <w:tab/>
        <w:t>A javaslat/kezdeményezés miatt szükséges a többéves pénzügyi keret vonatkozó fejezetének átprogramozása.</w:t>
      </w:r>
    </w:p>
    <w:p>
      <w:pPr>
        <w:pBdr>
          <w:top w:val="single" w:sz="4" w:space="1" w:color="auto"/>
          <w:left w:val="single" w:sz="4" w:space="4" w:color="auto"/>
          <w:bottom w:val="single" w:sz="4" w:space="1" w:color="auto"/>
          <w:right w:val="single" w:sz="4" w:space="4" w:color="auto"/>
        </w:pBdr>
        <w:ind w:left="850"/>
        <w:rPr>
          <w:noProof/>
        </w:rPr>
      </w:pPr>
      <w:r>
        <w:rPr>
          <w:noProof/>
          <w:sz w:val="20"/>
        </w:rPr>
        <w:t>Fejtse ki, miként kell átprogramozni a pénzügyi keretet: tüntesse fel az érintett költségvetési tételeket és a megfelelő összegeket.</w:t>
      </w:r>
    </w:p>
    <w:p>
      <w:pPr>
        <w:pStyle w:val="Tiret0"/>
        <w:numPr>
          <w:ilvl w:val="0"/>
          <w:numId w:val="16"/>
        </w:numPr>
        <w:tabs>
          <w:tab w:val="left" w:pos="1134"/>
        </w:tabs>
        <w:ind w:firstLine="1"/>
        <w:rPr>
          <w:noProof/>
        </w:rPr>
      </w:pPr>
      <w:r>
        <w:rPr>
          <w:noProof/>
        </w:rPr>
        <w:sym w:font="Wingdings" w:char="F0A8"/>
      </w:r>
      <w:r>
        <w:rPr>
          <w:noProof/>
        </w:rPr>
        <w:tab/>
        <w:t>A javaslat/kezdeményezés miatt szükség van a rugalmassági eszköz alkalmazására vagy a többéves pénzügyi keret felülvizsgálatára.</w:t>
      </w:r>
    </w:p>
    <w:p>
      <w:pPr>
        <w:pBdr>
          <w:top w:val="single" w:sz="4" w:space="1" w:color="auto"/>
          <w:left w:val="single" w:sz="4" w:space="4" w:color="auto"/>
          <w:bottom w:val="single" w:sz="4" w:space="1" w:color="auto"/>
          <w:right w:val="single" w:sz="4" w:space="4" w:color="auto"/>
        </w:pBdr>
        <w:ind w:left="850"/>
        <w:rPr>
          <w:noProof/>
        </w:rPr>
      </w:pPr>
      <w:r>
        <w:rPr>
          <w:noProof/>
          <w:sz w:val="20"/>
        </w:rPr>
        <w:t>Fejtse ki a szükségleteket: tüntesse fel az érintett fejezeteket és költségvetési tételeket és a megfelelő összegeket.</w:t>
      </w:r>
    </w:p>
    <w:p>
      <w:pPr>
        <w:pStyle w:val="ManualNumPar3"/>
        <w:rPr>
          <w:noProof/>
        </w:rPr>
      </w:pPr>
      <w:r>
        <w:t>3.2.5.</w:t>
      </w:r>
      <w:r>
        <w:tab/>
      </w:r>
      <w:r>
        <w:rPr>
          <w:noProof/>
        </w:rPr>
        <w:t>Harmadik felek részvétele a finanszírozásban</w:t>
      </w:r>
    </w:p>
    <w:p>
      <w:pPr>
        <w:pStyle w:val="Tiret0"/>
        <w:numPr>
          <w:ilvl w:val="0"/>
          <w:numId w:val="16"/>
        </w:numPr>
        <w:tabs>
          <w:tab w:val="left" w:pos="1134"/>
        </w:tabs>
        <w:ind w:firstLine="1"/>
        <w:rPr>
          <w:noProof/>
        </w:rPr>
      </w:pPr>
      <w:r>
        <w:rPr>
          <w:noProof/>
        </w:rPr>
        <w:sym w:font="Wingdings" w:char="F0FD"/>
      </w:r>
      <w:r>
        <w:rPr>
          <w:noProof/>
        </w:rPr>
        <w:tab/>
        <w:t>A javaslat/kezdeményezés nem irányoz elő harmadik felek általi társfinanszírozást.</w:t>
      </w:r>
    </w:p>
    <w:p>
      <w:pPr>
        <w:pStyle w:val="Tiret0"/>
        <w:numPr>
          <w:ilvl w:val="0"/>
          <w:numId w:val="16"/>
        </w:numPr>
        <w:tabs>
          <w:tab w:val="left" w:pos="1134"/>
        </w:tabs>
        <w:ind w:firstLine="1"/>
        <w:rPr>
          <w:noProof/>
        </w:rPr>
      </w:pPr>
      <w:r>
        <w:rPr>
          <w:noProof/>
        </w:rPr>
        <w:t>A javaslat/kezdeményezés az alábbi becsült társfinanszírozást irányozza elő:</w:t>
      </w:r>
    </w:p>
    <w:p>
      <w:pPr>
        <w:jc w:val="right"/>
        <w:rPr>
          <w:noProof/>
          <w:sz w:val="20"/>
        </w:rPr>
      </w:pPr>
      <w:r>
        <w:rPr>
          <w:noProof/>
          <w:sz w:val="20"/>
        </w:rPr>
        <w:t>előirányzatok, millió EUR (három tizedesjegyig)</w:t>
      </w:r>
    </w:p>
    <w:tbl>
      <w:tblPr>
        <w:tblW w:w="10246" w:type="dxa"/>
        <w:tblInd w:w="-43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340"/>
        <w:gridCol w:w="964"/>
        <w:gridCol w:w="964"/>
        <w:gridCol w:w="964"/>
        <w:gridCol w:w="964"/>
        <w:gridCol w:w="964"/>
        <w:gridCol w:w="964"/>
        <w:gridCol w:w="964"/>
        <w:gridCol w:w="1158"/>
      </w:tblGrid>
      <w:tr>
        <w:trPr>
          <w:cantSplit/>
        </w:trPr>
        <w:tc>
          <w:tcPr>
            <w:tcW w:w="2340" w:type="dxa"/>
          </w:tcPr>
          <w:p>
            <w:pPr>
              <w:spacing w:before="60" w:after="60"/>
              <w:rPr>
                <w:noProof/>
                <w:sz w:val="20"/>
              </w:rPr>
            </w:pPr>
          </w:p>
        </w:tc>
        <w:tc>
          <w:tcPr>
            <w:tcW w:w="964" w:type="dxa"/>
            <w:vAlign w:val="center"/>
          </w:tcPr>
          <w:p>
            <w:pPr>
              <w:jc w:val="center"/>
              <w:rPr>
                <w:noProof/>
                <w:sz w:val="20"/>
              </w:rPr>
            </w:pPr>
            <w:r>
              <w:rPr>
                <w:noProof/>
                <w:sz w:val="22"/>
              </w:rPr>
              <w:br/>
            </w:r>
            <w:r>
              <w:rPr>
                <w:b/>
                <w:noProof/>
                <w:sz w:val="20"/>
              </w:rPr>
              <w:t>N</w:t>
            </w:r>
            <w:r>
              <w:rPr>
                <w:noProof/>
              </w:rPr>
              <w:t>. év</w:t>
            </w:r>
          </w:p>
        </w:tc>
        <w:tc>
          <w:tcPr>
            <w:tcW w:w="964" w:type="dxa"/>
            <w:vAlign w:val="center"/>
          </w:tcPr>
          <w:p>
            <w:pPr>
              <w:jc w:val="center"/>
              <w:rPr>
                <w:noProof/>
                <w:sz w:val="20"/>
              </w:rPr>
            </w:pPr>
            <w:r>
              <w:rPr>
                <w:noProof/>
                <w:sz w:val="22"/>
              </w:rPr>
              <w:br/>
            </w:r>
            <w:r>
              <w:rPr>
                <w:b/>
                <w:noProof/>
                <w:sz w:val="20"/>
              </w:rPr>
              <w:t>N+1</w:t>
            </w:r>
            <w:r>
              <w:rPr>
                <w:noProof/>
              </w:rPr>
              <w:t>. év</w:t>
            </w:r>
          </w:p>
        </w:tc>
        <w:tc>
          <w:tcPr>
            <w:tcW w:w="964" w:type="dxa"/>
            <w:vAlign w:val="center"/>
          </w:tcPr>
          <w:p>
            <w:pPr>
              <w:jc w:val="center"/>
              <w:rPr>
                <w:noProof/>
                <w:sz w:val="20"/>
              </w:rPr>
            </w:pPr>
            <w:r>
              <w:rPr>
                <w:noProof/>
                <w:sz w:val="22"/>
              </w:rPr>
              <w:br/>
            </w:r>
            <w:r>
              <w:rPr>
                <w:b/>
                <w:noProof/>
                <w:sz w:val="20"/>
              </w:rPr>
              <w:t>N+2</w:t>
            </w:r>
            <w:r>
              <w:rPr>
                <w:noProof/>
              </w:rPr>
              <w:t>. év</w:t>
            </w:r>
          </w:p>
        </w:tc>
        <w:tc>
          <w:tcPr>
            <w:tcW w:w="964" w:type="dxa"/>
            <w:vAlign w:val="center"/>
          </w:tcPr>
          <w:p>
            <w:pPr>
              <w:jc w:val="center"/>
              <w:rPr>
                <w:noProof/>
                <w:sz w:val="20"/>
              </w:rPr>
            </w:pPr>
            <w:r>
              <w:rPr>
                <w:noProof/>
                <w:sz w:val="22"/>
              </w:rPr>
              <w:br/>
            </w:r>
            <w:r>
              <w:rPr>
                <w:b/>
                <w:noProof/>
                <w:sz w:val="20"/>
              </w:rPr>
              <w:t>N+3</w:t>
            </w:r>
            <w:r>
              <w:rPr>
                <w:noProof/>
              </w:rPr>
              <w:t>. év</w:t>
            </w:r>
          </w:p>
        </w:tc>
        <w:tc>
          <w:tcPr>
            <w:tcW w:w="2892" w:type="dxa"/>
            <w:gridSpan w:val="3"/>
            <w:vAlign w:val="center"/>
          </w:tcPr>
          <w:p>
            <w:pPr>
              <w:jc w:val="center"/>
              <w:rPr>
                <w:b/>
                <w:noProof/>
                <w:sz w:val="20"/>
              </w:rPr>
            </w:pPr>
            <w:r>
              <w:rPr>
                <w:noProof/>
                <w:sz w:val="20"/>
              </w:rPr>
              <w:t>A táblázat a hatás időtartamának megfelelően (vö. 1.6. pont) további évekkel bővíthető</w:t>
            </w:r>
          </w:p>
        </w:tc>
        <w:tc>
          <w:tcPr>
            <w:tcW w:w="1158" w:type="dxa"/>
            <w:vAlign w:val="center"/>
          </w:tcPr>
          <w:p>
            <w:pPr>
              <w:spacing w:before="60" w:after="60"/>
              <w:jc w:val="center"/>
              <w:rPr>
                <w:noProof/>
                <w:sz w:val="20"/>
              </w:rPr>
            </w:pPr>
            <w:r>
              <w:rPr>
                <w:noProof/>
                <w:sz w:val="20"/>
              </w:rPr>
              <w:t>Összesen</w:t>
            </w:r>
          </w:p>
        </w:tc>
      </w:tr>
      <w:tr>
        <w:trPr>
          <w:cantSplit/>
        </w:trPr>
        <w:tc>
          <w:tcPr>
            <w:tcW w:w="2340" w:type="dxa"/>
          </w:tcPr>
          <w:p>
            <w:pPr>
              <w:rPr>
                <w:noProof/>
                <w:sz w:val="22"/>
              </w:rPr>
            </w:pPr>
            <w:r>
              <w:rPr>
                <w:noProof/>
                <w:sz w:val="20"/>
              </w:rPr>
              <w:t>Tüntesse fel a társfinanszírozó szervet</w:t>
            </w:r>
            <w:r>
              <w:rPr>
                <w:i/>
                <w:noProof/>
                <w:sz w:val="20"/>
              </w:rPr>
              <w:t xml:space="preserve"> </w:t>
            </w: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1158" w:type="dxa"/>
            <w:vAlign w:val="center"/>
          </w:tcPr>
          <w:p>
            <w:pPr>
              <w:spacing w:before="60" w:after="60"/>
              <w:jc w:val="center"/>
              <w:rPr>
                <w:noProof/>
                <w:sz w:val="20"/>
              </w:rPr>
            </w:pPr>
          </w:p>
        </w:tc>
      </w:tr>
      <w:tr>
        <w:trPr>
          <w:cantSplit/>
        </w:trPr>
        <w:tc>
          <w:tcPr>
            <w:tcW w:w="2340" w:type="dxa"/>
          </w:tcPr>
          <w:p>
            <w:pPr>
              <w:spacing w:before="60" w:after="60"/>
              <w:jc w:val="left"/>
              <w:rPr>
                <w:noProof/>
                <w:sz w:val="20"/>
              </w:rPr>
            </w:pPr>
            <w:r>
              <w:rPr>
                <w:noProof/>
                <w:sz w:val="20"/>
              </w:rPr>
              <w:t xml:space="preserve">Társfinanszírozott előirányzatok ÖSSZESEN </w:t>
            </w: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1158" w:type="dxa"/>
            <w:vAlign w:val="center"/>
          </w:tcPr>
          <w:p>
            <w:pPr>
              <w:spacing w:before="60" w:after="60"/>
              <w:jc w:val="center"/>
              <w:rPr>
                <w:noProof/>
                <w:sz w:val="20"/>
              </w:rPr>
            </w:pPr>
          </w:p>
        </w:tc>
      </w:tr>
    </w:tbl>
    <w:p>
      <w:pPr>
        <w:rPr>
          <w:noProof/>
          <w:highlight w:val="yellow"/>
        </w:rPr>
      </w:pPr>
    </w:p>
    <w:p>
      <w:pPr>
        <w:pStyle w:val="ManualNumPar2"/>
        <w:rPr>
          <w:noProof/>
        </w:rPr>
      </w:pPr>
      <w:r>
        <w:t>3.3.</w:t>
      </w:r>
      <w:r>
        <w:tab/>
      </w:r>
      <w:r>
        <w:rPr>
          <w:noProof/>
        </w:rPr>
        <w:t xml:space="preserve">A bevételre gyakorolt becsült pénzügyi hatás </w:t>
      </w:r>
    </w:p>
    <w:p>
      <w:pPr>
        <w:pStyle w:val="Tiret0"/>
        <w:numPr>
          <w:ilvl w:val="0"/>
          <w:numId w:val="16"/>
        </w:numPr>
        <w:tabs>
          <w:tab w:val="left" w:pos="1134"/>
        </w:tabs>
        <w:ind w:firstLine="1"/>
        <w:rPr>
          <w:noProof/>
        </w:rPr>
      </w:pPr>
      <w:r>
        <w:rPr>
          <w:noProof/>
        </w:rPr>
        <w:sym w:font="Wingdings" w:char="F0FD"/>
      </w:r>
      <w:r>
        <w:rPr>
          <w:noProof/>
        </w:rPr>
        <w:tab/>
        <w:t>A javaslatnak/kezdeményezésnek nincs pénzügyi hatása a bevételre.</w:t>
      </w:r>
    </w:p>
    <w:p>
      <w:pPr>
        <w:pStyle w:val="Tiret0"/>
        <w:numPr>
          <w:ilvl w:val="0"/>
          <w:numId w:val="16"/>
        </w:numPr>
        <w:tabs>
          <w:tab w:val="left" w:pos="1134"/>
        </w:tabs>
        <w:ind w:firstLine="1"/>
        <w:rPr>
          <w:noProof/>
        </w:rPr>
      </w:pPr>
      <w:r>
        <w:rPr>
          <w:noProof/>
        </w:rPr>
        <w:sym w:font="Wingdings" w:char="F0A8"/>
      </w:r>
      <w:r>
        <w:rPr>
          <w:noProof/>
        </w:rPr>
        <w:tab/>
        <w:t>A javaslatnak/kezdeményezésnek van pénzügyi hatása – a bevételre gyakorolt hatása a következő:</w:t>
      </w:r>
    </w:p>
    <w:p>
      <w:pPr>
        <w:pStyle w:val="Tiret1"/>
        <w:tabs>
          <w:tab w:val="left" w:pos="1843"/>
        </w:tabs>
        <w:ind w:hanging="283"/>
        <w:rPr>
          <w:noProof/>
        </w:rPr>
      </w:pPr>
      <w:r>
        <w:rPr>
          <w:noProof/>
        </w:rPr>
        <w:sym w:font="Wingdings" w:char="F0A8"/>
      </w:r>
      <w:r>
        <w:rPr>
          <w:noProof/>
        </w:rPr>
        <w:tab/>
        <w:t xml:space="preserve">a javaslat a saját forrásokra gyakorol hatást </w:t>
      </w:r>
    </w:p>
    <w:p>
      <w:pPr>
        <w:pStyle w:val="Tiret1"/>
        <w:tabs>
          <w:tab w:val="left" w:pos="1843"/>
        </w:tabs>
        <w:ind w:hanging="283"/>
        <w:rPr>
          <w:noProof/>
        </w:rPr>
      </w:pPr>
      <w:r>
        <w:rPr>
          <w:noProof/>
        </w:rPr>
        <w:sym w:font="Wingdings" w:char="F0A8"/>
      </w:r>
      <w:r>
        <w:rPr>
          <w:noProof/>
        </w:rPr>
        <w:tab/>
        <w:t xml:space="preserve">a javaslat az egyéb bevételekre gyakorol hatást </w:t>
      </w:r>
    </w:p>
    <w:p>
      <w:pPr>
        <w:jc w:val="right"/>
        <w:rPr>
          <w:i/>
          <w:noProof/>
          <w:sz w:val="20"/>
        </w:rPr>
      </w:pPr>
      <w:r>
        <w:rPr>
          <w:noProof/>
        </w:rPr>
        <w:t>millió EUR (három tizedesjegyig)</w:t>
      </w:r>
    </w:p>
    <w:tbl>
      <w:tblPr>
        <w:tblW w:w="1062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44"/>
        <w:gridCol w:w="1276"/>
        <w:gridCol w:w="1080"/>
        <w:gridCol w:w="900"/>
        <w:gridCol w:w="900"/>
        <w:gridCol w:w="1080"/>
        <w:gridCol w:w="1080"/>
        <w:gridCol w:w="1080"/>
        <w:gridCol w:w="1080"/>
      </w:tblGrid>
      <w:tr>
        <w:trPr>
          <w:trHeight w:val="388"/>
        </w:trPr>
        <w:tc>
          <w:tcPr>
            <w:tcW w:w="2144" w:type="dxa"/>
            <w:vMerge w:val="restart"/>
            <w:vAlign w:val="center"/>
          </w:tcPr>
          <w:p>
            <w:pPr>
              <w:spacing w:before="40" w:after="40"/>
              <w:rPr>
                <w:noProof/>
                <w:sz w:val="18"/>
              </w:rPr>
            </w:pPr>
            <w:r>
              <w:rPr>
                <w:noProof/>
                <w:sz w:val="18"/>
              </w:rPr>
              <w:t>Bevételi költségvetési tétel:</w:t>
            </w:r>
          </w:p>
        </w:tc>
        <w:tc>
          <w:tcPr>
            <w:tcW w:w="1276" w:type="dxa"/>
            <w:vMerge w:val="restart"/>
            <w:vAlign w:val="center"/>
          </w:tcPr>
          <w:p>
            <w:pPr>
              <w:jc w:val="center"/>
              <w:rPr>
                <w:noProof/>
                <w:sz w:val="18"/>
              </w:rPr>
            </w:pPr>
            <w:r>
              <w:rPr>
                <w:noProof/>
                <w:sz w:val="18"/>
              </w:rPr>
              <w:t>Az aktuális költségvetési évben rendelkezésre álló előirányzatok</w:t>
            </w:r>
          </w:p>
        </w:tc>
        <w:tc>
          <w:tcPr>
            <w:tcW w:w="7200" w:type="dxa"/>
            <w:gridSpan w:val="7"/>
            <w:vAlign w:val="center"/>
          </w:tcPr>
          <w:p>
            <w:pPr>
              <w:jc w:val="center"/>
              <w:rPr>
                <w:noProof/>
                <w:sz w:val="18"/>
              </w:rPr>
            </w:pPr>
            <w:r>
              <w:rPr>
                <w:noProof/>
                <w:sz w:val="18"/>
              </w:rPr>
              <w:t>A javaslat/kezdeményezés hatása</w:t>
            </w:r>
            <w:r>
              <w:rPr>
                <w:rStyle w:val="FootnoteReference"/>
                <w:noProof/>
              </w:rPr>
              <w:footnoteReference w:id="35"/>
            </w:r>
          </w:p>
        </w:tc>
      </w:tr>
      <w:tr>
        <w:trPr>
          <w:trHeight w:val="388"/>
        </w:trPr>
        <w:tc>
          <w:tcPr>
            <w:tcW w:w="2144" w:type="dxa"/>
            <w:vMerge/>
          </w:tcPr>
          <w:p>
            <w:pPr>
              <w:spacing w:before="40" w:after="40"/>
              <w:rPr>
                <w:noProof/>
                <w:sz w:val="18"/>
              </w:rPr>
            </w:pPr>
          </w:p>
        </w:tc>
        <w:tc>
          <w:tcPr>
            <w:tcW w:w="1276" w:type="dxa"/>
            <w:vMerge/>
          </w:tcPr>
          <w:p>
            <w:pPr>
              <w:spacing w:beforeLines="40" w:before="96" w:afterLines="40" w:after="96"/>
              <w:rPr>
                <w:i/>
                <w:noProof/>
                <w:sz w:val="18"/>
              </w:rPr>
            </w:pPr>
          </w:p>
        </w:tc>
        <w:tc>
          <w:tcPr>
            <w:tcW w:w="1080" w:type="dxa"/>
            <w:vAlign w:val="center"/>
          </w:tcPr>
          <w:p>
            <w:pPr>
              <w:jc w:val="center"/>
              <w:rPr>
                <w:noProof/>
                <w:sz w:val="18"/>
              </w:rPr>
            </w:pPr>
            <w:r>
              <w:rPr>
                <w:noProof/>
                <w:sz w:val="22"/>
              </w:rPr>
              <w:br/>
            </w:r>
            <w:r>
              <w:rPr>
                <w:b/>
                <w:noProof/>
                <w:sz w:val="18"/>
              </w:rPr>
              <w:t>N</w:t>
            </w:r>
            <w:r>
              <w:rPr>
                <w:noProof/>
              </w:rPr>
              <w:t>. év</w:t>
            </w:r>
          </w:p>
        </w:tc>
        <w:tc>
          <w:tcPr>
            <w:tcW w:w="900" w:type="dxa"/>
            <w:vAlign w:val="center"/>
          </w:tcPr>
          <w:p>
            <w:pPr>
              <w:jc w:val="center"/>
              <w:rPr>
                <w:noProof/>
                <w:sz w:val="18"/>
              </w:rPr>
            </w:pPr>
            <w:r>
              <w:rPr>
                <w:noProof/>
                <w:sz w:val="22"/>
              </w:rPr>
              <w:br/>
            </w:r>
            <w:r>
              <w:rPr>
                <w:b/>
                <w:noProof/>
                <w:sz w:val="18"/>
              </w:rPr>
              <w:t>N+1</w:t>
            </w:r>
            <w:r>
              <w:rPr>
                <w:noProof/>
              </w:rPr>
              <w:t>. év</w:t>
            </w:r>
          </w:p>
        </w:tc>
        <w:tc>
          <w:tcPr>
            <w:tcW w:w="900" w:type="dxa"/>
            <w:vAlign w:val="center"/>
          </w:tcPr>
          <w:p>
            <w:pPr>
              <w:jc w:val="center"/>
              <w:rPr>
                <w:noProof/>
                <w:sz w:val="18"/>
              </w:rPr>
            </w:pPr>
            <w:r>
              <w:rPr>
                <w:noProof/>
                <w:sz w:val="22"/>
              </w:rPr>
              <w:br/>
            </w:r>
            <w:r>
              <w:rPr>
                <w:b/>
                <w:noProof/>
                <w:sz w:val="18"/>
              </w:rPr>
              <w:t>N+2</w:t>
            </w:r>
            <w:r>
              <w:rPr>
                <w:noProof/>
              </w:rPr>
              <w:t>. év</w:t>
            </w:r>
          </w:p>
        </w:tc>
        <w:tc>
          <w:tcPr>
            <w:tcW w:w="1080" w:type="dxa"/>
            <w:vAlign w:val="center"/>
          </w:tcPr>
          <w:p>
            <w:pPr>
              <w:jc w:val="center"/>
              <w:rPr>
                <w:noProof/>
                <w:sz w:val="18"/>
              </w:rPr>
            </w:pPr>
            <w:r>
              <w:rPr>
                <w:noProof/>
                <w:sz w:val="22"/>
              </w:rPr>
              <w:br/>
            </w:r>
            <w:r>
              <w:rPr>
                <w:b/>
                <w:noProof/>
                <w:sz w:val="18"/>
              </w:rPr>
              <w:t>N+3</w:t>
            </w:r>
            <w:r>
              <w:rPr>
                <w:noProof/>
              </w:rPr>
              <w:t>. év</w:t>
            </w:r>
          </w:p>
        </w:tc>
        <w:tc>
          <w:tcPr>
            <w:tcW w:w="3240" w:type="dxa"/>
            <w:gridSpan w:val="3"/>
            <w:vAlign w:val="center"/>
          </w:tcPr>
          <w:p>
            <w:pPr>
              <w:jc w:val="center"/>
              <w:rPr>
                <w:b/>
                <w:noProof/>
                <w:sz w:val="18"/>
              </w:rPr>
            </w:pPr>
            <w:r>
              <w:rPr>
                <w:noProof/>
                <w:sz w:val="18"/>
              </w:rPr>
              <w:t>A táblázat a hatás időtartamának megfelelően (vö. 1.6. pont) további évekkel bővíthető</w:t>
            </w:r>
          </w:p>
        </w:tc>
      </w:tr>
      <w:tr>
        <w:trPr>
          <w:trHeight w:val="388"/>
        </w:trPr>
        <w:tc>
          <w:tcPr>
            <w:tcW w:w="2144" w:type="dxa"/>
            <w:vAlign w:val="center"/>
          </w:tcPr>
          <w:p>
            <w:pPr>
              <w:spacing w:before="40" w:after="40"/>
              <w:rPr>
                <w:noProof/>
                <w:sz w:val="18"/>
              </w:rPr>
            </w:pPr>
            <w:r>
              <w:rPr>
                <w:noProof/>
                <w:sz w:val="18"/>
              </w:rPr>
              <w:t>… jogcímcsoport</w:t>
            </w:r>
          </w:p>
        </w:tc>
        <w:tc>
          <w:tcPr>
            <w:tcW w:w="1276" w:type="dxa"/>
          </w:tcPr>
          <w:p>
            <w:pPr>
              <w:spacing w:beforeLines="40" w:before="96" w:afterLines="40" w:after="96"/>
              <w:jc w:val="center"/>
              <w:rPr>
                <w:i/>
                <w:noProof/>
                <w:sz w:val="18"/>
              </w:rPr>
            </w:pPr>
          </w:p>
        </w:tc>
        <w:tc>
          <w:tcPr>
            <w:tcW w:w="1080" w:type="dxa"/>
          </w:tcPr>
          <w:p>
            <w:pPr>
              <w:spacing w:beforeLines="40" w:before="96" w:afterLines="40" w:after="96"/>
              <w:jc w:val="center"/>
              <w:rPr>
                <w:noProof/>
                <w:sz w:val="18"/>
              </w:rPr>
            </w:pPr>
          </w:p>
        </w:tc>
        <w:tc>
          <w:tcPr>
            <w:tcW w:w="900" w:type="dxa"/>
          </w:tcPr>
          <w:p>
            <w:pPr>
              <w:spacing w:beforeLines="40" w:before="96" w:afterLines="40" w:after="96"/>
              <w:jc w:val="center"/>
              <w:rPr>
                <w:noProof/>
                <w:sz w:val="18"/>
              </w:rPr>
            </w:pPr>
          </w:p>
        </w:tc>
        <w:tc>
          <w:tcPr>
            <w:tcW w:w="900" w:type="dxa"/>
          </w:tcPr>
          <w:p>
            <w:pPr>
              <w:spacing w:beforeLines="40" w:before="96" w:afterLines="40" w:after="96"/>
              <w:jc w:val="center"/>
              <w:rPr>
                <w:noProof/>
                <w:sz w:val="18"/>
              </w:rPr>
            </w:pPr>
          </w:p>
        </w:tc>
        <w:tc>
          <w:tcPr>
            <w:tcW w:w="1080" w:type="dxa"/>
          </w:tcPr>
          <w:p>
            <w:pPr>
              <w:spacing w:beforeLines="40" w:before="96" w:afterLines="40" w:after="96"/>
              <w:jc w:val="center"/>
              <w:rPr>
                <w:noProof/>
                <w:sz w:val="18"/>
              </w:rPr>
            </w:pPr>
          </w:p>
        </w:tc>
        <w:tc>
          <w:tcPr>
            <w:tcW w:w="1080" w:type="dxa"/>
          </w:tcPr>
          <w:p>
            <w:pPr>
              <w:spacing w:beforeLines="40" w:before="96" w:afterLines="40" w:after="96"/>
              <w:jc w:val="center"/>
              <w:rPr>
                <w:noProof/>
                <w:sz w:val="18"/>
              </w:rPr>
            </w:pPr>
          </w:p>
        </w:tc>
        <w:tc>
          <w:tcPr>
            <w:tcW w:w="1080" w:type="dxa"/>
          </w:tcPr>
          <w:p>
            <w:pPr>
              <w:spacing w:beforeLines="40" w:before="96" w:afterLines="40" w:after="96"/>
              <w:jc w:val="center"/>
              <w:rPr>
                <w:noProof/>
                <w:sz w:val="18"/>
              </w:rPr>
            </w:pPr>
          </w:p>
        </w:tc>
        <w:tc>
          <w:tcPr>
            <w:tcW w:w="1080" w:type="dxa"/>
          </w:tcPr>
          <w:p>
            <w:pPr>
              <w:spacing w:beforeLines="40" w:before="96" w:afterLines="40" w:after="96"/>
              <w:jc w:val="center"/>
              <w:rPr>
                <w:noProof/>
                <w:sz w:val="18"/>
              </w:rPr>
            </w:pPr>
          </w:p>
        </w:tc>
      </w:tr>
    </w:tbl>
    <w:p>
      <w:pPr>
        <w:ind w:left="850"/>
        <w:rPr>
          <w:noProof/>
          <w:sz w:val="20"/>
        </w:rPr>
      </w:pPr>
      <w:r>
        <w:rPr>
          <w:noProof/>
          <w:sz w:val="20"/>
        </w:rPr>
        <w:t>Az egyéb címzett bevételek esetében tüntesse fel az érintett kiadáshoz tartozó költségvetési tétel(eke)t.</w:t>
      </w:r>
    </w:p>
    <w:p>
      <w:pPr>
        <w:pBdr>
          <w:top w:val="single" w:sz="4" w:space="1" w:color="auto"/>
          <w:left w:val="single" w:sz="4" w:space="4" w:color="auto"/>
          <w:bottom w:val="single" w:sz="4" w:space="1" w:color="auto"/>
          <w:right w:val="single" w:sz="4" w:space="4" w:color="auto"/>
        </w:pBdr>
        <w:ind w:left="850"/>
        <w:rPr>
          <w:noProof/>
        </w:rPr>
      </w:pPr>
    </w:p>
    <w:p>
      <w:pPr>
        <w:ind w:left="850"/>
        <w:rPr>
          <w:noProof/>
          <w:sz w:val="20"/>
        </w:rPr>
      </w:pPr>
      <w:r>
        <w:rPr>
          <w:noProof/>
          <w:sz w:val="20"/>
        </w:rPr>
        <w:t>Ismertesse a bevételre gyakorolt hatás számításának módszerét.</w:t>
      </w:r>
    </w:p>
    <w:p>
      <w:pPr>
        <w:pStyle w:val="Text1"/>
        <w:pBdr>
          <w:top w:val="single" w:sz="4" w:space="1" w:color="auto"/>
          <w:left w:val="single" w:sz="4" w:space="4" w:color="auto"/>
          <w:bottom w:val="single" w:sz="4" w:space="1" w:color="auto"/>
          <w:right w:val="single" w:sz="4" w:space="4" w:color="auto"/>
        </w:pBdr>
        <w:rPr>
          <w:noProof/>
        </w:rPr>
      </w:pPr>
    </w:p>
    <w:sectPr>
      <w:headerReference w:type="default" r:id="rId17"/>
      <w:footerReference w:type="default" r:id="rId18"/>
      <w:headerReference w:type="first" r:id="rId19"/>
      <w:footerReference w:type="first" r:id="rId20"/>
      <w:pgSz w:w="11907" w:h="16840" w:code="9"/>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HU</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HU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HU</w:t>
    </w:r>
    <w:r>
      <w:rPr>
        <w:rFonts w:ascii="Arial" w:hAnsi="Arial" w:cs="Arial"/>
        <w:b/>
        <w:sz w:val="48"/>
      </w:rPr>
      <w:tab/>
    </w:r>
    <w:r>
      <w:fldChar w:fldCharType="begin"/>
    </w:r>
    <w:r>
      <w:instrText xml:space="preserve"> PAGE  \* MERGEFORMAT </w:instrText>
    </w:r>
    <w:r>
      <w:fldChar w:fldCharType="separate"/>
    </w:r>
    <w:r>
      <w:rPr>
        <w:noProof/>
      </w:rPr>
      <w:t>13</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HU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rPr>
        <w:rFonts w:ascii="Arial" w:hAnsi="Arial" w:cs="Arial"/>
        <w:b/>
        <w:sz w:val="48"/>
      </w:rPr>
    </w:pPr>
    <w:r>
      <w:rPr>
        <w:rFonts w:ascii="Arial" w:hAnsi="Arial" w:cs="Arial"/>
        <w:b/>
        <w:sz w:val="48"/>
      </w:rPr>
      <w:t>HU</w:t>
    </w:r>
    <w:r>
      <w:rPr>
        <w:rFonts w:ascii="Arial" w:hAnsi="Arial" w:cs="Arial"/>
        <w:b/>
        <w:sz w:val="48"/>
      </w:rPr>
      <w:tab/>
    </w:r>
    <w:r>
      <w:fldChar w:fldCharType="begin"/>
    </w:r>
    <w:r>
      <w:instrText xml:space="preserve"> PAGE  \* MERGEFORMAT </w:instrText>
    </w:r>
    <w:r>
      <w:fldChar w:fldCharType="separate"/>
    </w:r>
    <w:r>
      <w:rPr>
        <w:noProof/>
      </w:rPr>
      <w:t>26</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HU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HU</w:t>
    </w:r>
    <w:r>
      <w:rPr>
        <w:rFonts w:ascii="Arial" w:hAnsi="Arial" w:cs="Arial"/>
        <w:b/>
        <w:sz w:val="48"/>
      </w:rPr>
      <w:tab/>
    </w:r>
    <w:r>
      <w:fldChar w:fldCharType="begin"/>
    </w:r>
    <w:r>
      <w:instrText xml:space="preserve"> PAGE  \* MERGEFORMAT </w:instrText>
    </w:r>
    <w:r>
      <w:fldChar w:fldCharType="separate"/>
    </w:r>
    <w:r>
      <w:rPr>
        <w:noProof/>
      </w:rPr>
      <w:t>26</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HU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2016. évi uniós kábítószer-piaci jelentés, 28. o.</w:t>
      </w:r>
    </w:p>
  </w:footnote>
  <w:footnote w:id="2">
    <w:p>
      <w:pPr>
        <w:pStyle w:val="FootnoteText"/>
      </w:pPr>
      <w:r>
        <w:rPr>
          <w:rStyle w:val="FootnoteReference"/>
        </w:rPr>
        <w:footnoteRef/>
      </w:r>
      <w:r>
        <w:tab/>
        <w:t>Az ENSZ-közgyűlés A/RES/S-30/1 határozata.</w:t>
      </w:r>
    </w:p>
  </w:footnote>
  <w:footnote w:id="3">
    <w:p>
      <w:pPr>
        <w:pStyle w:val="FootnoteText"/>
      </w:pPr>
      <w:r>
        <w:rPr>
          <w:rStyle w:val="FootnoteReference"/>
        </w:rPr>
        <w:footnoteRef/>
      </w:r>
      <w:r>
        <w:tab/>
        <w:t>COM(2013) 619 final.</w:t>
      </w:r>
    </w:p>
  </w:footnote>
  <w:footnote w:id="4">
    <w:p>
      <w:pPr>
        <w:pStyle w:val="FootnoteText"/>
      </w:pPr>
      <w:r>
        <w:rPr>
          <w:rStyle w:val="FootnoteReference"/>
        </w:rPr>
        <w:footnoteRef/>
      </w:r>
      <w:r>
        <w:tab/>
        <w:t>COM(2013) 618 final.</w:t>
      </w:r>
    </w:p>
  </w:footnote>
  <w:footnote w:id="5">
    <w:p>
      <w:pPr>
        <w:pStyle w:val="FootnoteText"/>
      </w:pPr>
      <w:r>
        <w:rPr>
          <w:rStyle w:val="FootnoteReference"/>
        </w:rPr>
        <w:footnoteRef/>
      </w:r>
      <w:r>
        <w:tab/>
        <w:t>HL L 127., 2005.5.10., 32. o. A különböző szakpolitikai alternatívákat a javaslatokat kísérő hatásvizsgálatban (SWD(2013) 319 final) vizsgálták meg.</w:t>
      </w:r>
    </w:p>
  </w:footnote>
  <w:footnote w:id="6">
    <w:p>
      <w:pPr>
        <w:pStyle w:val="FootnoteText"/>
      </w:pPr>
      <w:r>
        <w:rPr>
          <w:rStyle w:val="FootnoteReference"/>
        </w:rPr>
        <w:footnoteRef/>
      </w:r>
      <w:r>
        <w:tab/>
        <w:t>A P7_TA(2014)0453 európai parlamenti dokumentum.</w:t>
      </w:r>
    </w:p>
  </w:footnote>
  <w:footnote w:id="7">
    <w:p>
      <w:pPr>
        <w:pStyle w:val="FootnoteText"/>
      </w:pPr>
      <w:r>
        <w:rPr>
          <w:rStyle w:val="FootnoteReference"/>
        </w:rPr>
        <w:footnoteRef/>
      </w:r>
      <w:r>
        <w:tab/>
        <w:t>Összefoglaló jegyzőkönyv, a 2016. május 27-i 7908/1/16 REV 1 tanácsi dokumentum.</w:t>
      </w:r>
    </w:p>
  </w:footnote>
  <w:footnote w:id="8">
    <w:p>
      <w:pPr>
        <w:pStyle w:val="FootnoteText"/>
      </w:pPr>
      <w:r>
        <w:rPr>
          <w:rStyle w:val="FootnoteReference"/>
        </w:rPr>
        <w:footnoteRef/>
      </w:r>
      <w:r>
        <w:tab/>
        <w:t>COM(2015) 185 final.</w:t>
      </w:r>
    </w:p>
  </w:footnote>
  <w:footnote w:id="9">
    <w:p>
      <w:pPr>
        <w:pStyle w:val="FootnoteText"/>
      </w:pPr>
      <w:r>
        <w:rPr>
          <w:rStyle w:val="FootnoteReference"/>
        </w:rPr>
        <w:footnoteRef/>
      </w:r>
      <w:r>
        <w:tab/>
        <w:t>HL L 335., 2004.11.11., 8. o.</w:t>
      </w:r>
    </w:p>
  </w:footnote>
  <w:footnote w:id="10">
    <w:p>
      <w:pPr>
        <w:pStyle w:val="FootnoteText"/>
      </w:pPr>
      <w:r>
        <w:rPr>
          <w:rStyle w:val="FootnoteReference"/>
        </w:rPr>
        <w:footnoteRef/>
      </w:r>
      <w:r>
        <w:tab/>
        <w:t>SWD(2013) 319 final, 46. o.</w:t>
      </w:r>
    </w:p>
  </w:footnote>
  <w:footnote w:id="11">
    <w:p>
      <w:pPr>
        <w:pStyle w:val="FootnoteText"/>
      </w:pPr>
      <w:r>
        <w:rPr>
          <w:rStyle w:val="FootnoteReference"/>
        </w:rPr>
        <w:footnoteRef/>
      </w:r>
      <w:r>
        <w:tab/>
        <w:t>HL C , , . o.</w:t>
      </w:r>
    </w:p>
  </w:footnote>
  <w:footnote w:id="12">
    <w:p>
      <w:pPr>
        <w:pStyle w:val="FootnoteText"/>
      </w:pPr>
      <w:r>
        <w:rPr>
          <w:rStyle w:val="FootnoteReference"/>
        </w:rPr>
        <w:footnoteRef/>
      </w:r>
      <w:r>
        <w:tab/>
        <w:t>HL C , , . o.</w:t>
      </w:r>
    </w:p>
  </w:footnote>
  <w:footnote w:id="13">
    <w:p>
      <w:pPr>
        <w:pStyle w:val="FootnoteText"/>
      </w:pPr>
      <w:r>
        <w:rPr>
          <w:rStyle w:val="FootnoteReference"/>
        </w:rPr>
        <w:footnoteRef/>
      </w:r>
      <w:r>
        <w:tab/>
        <w:t>A Tanács 1997. június 16-i 97/396/IB együttes fellépése az új szintetikus kábítószerekre vonatkozó információcseréről, kockázatértékelésről és ellenőrzésről (HL L 167., 1997.6.25., 1. o.).</w:t>
      </w:r>
    </w:p>
  </w:footnote>
  <w:footnote w:id="14">
    <w:p>
      <w:pPr>
        <w:pStyle w:val="FootnoteText"/>
      </w:pPr>
      <w:r>
        <w:rPr>
          <w:rStyle w:val="FootnoteReference"/>
        </w:rPr>
        <w:footnoteRef/>
      </w:r>
      <w:r>
        <w:tab/>
        <w:t>A Tanács 2005. május 10-i 2005/387/IB határozata az új pszichoaktív anyagokra vonatkozó információcseréről, kockázatértékelésről és ellenőrzésről (HL L 127., 2005.5.20., 32. o.).</w:t>
      </w:r>
    </w:p>
  </w:footnote>
  <w:footnote w:id="15">
    <w:p>
      <w:pPr>
        <w:pStyle w:val="FootnoteText"/>
      </w:pPr>
      <w:r>
        <w:rPr>
          <w:rStyle w:val="FootnoteReference"/>
        </w:rPr>
        <w:footnoteRef/>
      </w:r>
      <w:r>
        <w:tab/>
        <w:t>A Tanács 2004. október 25-i 2004/757/IB kerethatározata a tiltott kábítószer-kereskedelem területén a bűncselekmények tényállási elemeire és a büntetésekre vonatkozó minimumszabályok megállapításáról (HL L 335., 2004.11.11., 8. o.).</w:t>
      </w:r>
    </w:p>
  </w:footnote>
  <w:footnote w:id="16">
    <w:p>
      <w:pPr>
        <w:pStyle w:val="FootnoteText"/>
      </w:pPr>
      <w:r>
        <w:rPr>
          <w:rStyle w:val="FootnoteReference"/>
        </w:rPr>
        <w:footnoteRef/>
      </w:r>
      <w:r>
        <w:tab/>
        <w:t>Az Európai Parlament és a Tanács 2006. december 12-i 1920/2006/EK rendelete a Kábítószer és a Kábítószerfüggőség Európai Megfigyelőközpontjáról (HL L 376., 2006.12.27., 1. o.).</w:t>
      </w:r>
    </w:p>
  </w:footnote>
  <w:footnote w:id="17">
    <w:p>
      <w:pPr>
        <w:pStyle w:val="FootnoteText"/>
      </w:pPr>
      <w:r>
        <w:rPr>
          <w:rStyle w:val="FootnoteReference"/>
        </w:rPr>
        <w:footnoteRef/>
      </w:r>
      <w:r>
        <w:tab/>
        <w:t>Az Európai Parlament és a Tanács 2001. november 6-i 2001/83/EK irányelve az emberi felhasználásra szánt gyógyszerek közösségi kódexéről (HL L 311., 2001.11.28., 67. o.).</w:t>
      </w:r>
    </w:p>
  </w:footnote>
  <w:footnote w:id="18">
    <w:p>
      <w:pPr>
        <w:pStyle w:val="FootnoteText"/>
      </w:pPr>
      <w:r>
        <w:rPr>
          <w:rStyle w:val="FootnoteReference"/>
        </w:rPr>
        <w:footnoteRef/>
      </w:r>
      <w:r>
        <w:tab/>
        <w:t>Az Európai Parlament és a Tanács 2001. november 6-i 2001/82/EK irányelve az állatgyógyászati készítmények közösségi kódexéről (HL L 311., 2001.11.28., 1. o.).</w:t>
      </w:r>
    </w:p>
  </w:footnote>
  <w:footnote w:id="19">
    <w:p>
      <w:pPr>
        <w:pStyle w:val="FootnoteText"/>
      </w:pPr>
      <w:r>
        <w:rPr>
          <w:rStyle w:val="FootnoteReference"/>
        </w:rPr>
        <w:footnoteRef/>
      </w:r>
      <w:r>
        <w:tab/>
        <w:t>Az Európai Parlament és a Tanács 2001. április 4-i 2001/20/EK irányelve az emberi felhasználásra szánt gyógyszerekkel végzett klinikai vizsgálatok során alkalmazandó helyes klinikai gyakorlat bevezetésére vonatkozó tagállami törvényi, rendeleti és közigazgatási rendelkezések közelítéséről (HL L 121., 2001.5.1., 34. o.).</w:t>
      </w:r>
    </w:p>
  </w:footnote>
  <w:footnote w:id="20">
    <w:p>
      <w:pPr>
        <w:pStyle w:val="FootnoteText"/>
      </w:pPr>
      <w:r>
        <w:rPr>
          <w:rStyle w:val="FootnoteReference"/>
        </w:rPr>
        <w:footnoteRef/>
      </w:r>
      <w:r>
        <w:tab/>
        <w:t>Tevékenységalapú irányítás: ABM (Activity Based Management), tevékenységalapú költségvetés-tervezés: ABB (Activity Based Budgeting).</w:t>
      </w:r>
    </w:p>
  </w:footnote>
  <w:footnote w:id="21">
    <w:p>
      <w:pPr>
        <w:pStyle w:val="FootnoteText"/>
        <w:rPr>
          <w:szCs w:val="24"/>
        </w:rPr>
      </w:pPr>
      <w:r>
        <w:rPr>
          <w:rStyle w:val="FootnoteReference"/>
        </w:rPr>
        <w:footnoteRef/>
      </w:r>
      <w:r>
        <w:tab/>
        <w:t>A költségvetési rendelet 54. cikke (2) bekezdésének a) vagy b) pontja szerint.</w:t>
      </w:r>
    </w:p>
  </w:footnote>
  <w:footnote w:id="22">
    <w:p>
      <w:pPr>
        <w:pStyle w:val="FootnoteText"/>
      </w:pPr>
      <w:r>
        <w:rPr>
          <w:rStyle w:val="FootnoteReference"/>
        </w:rPr>
        <w:footnoteRef/>
      </w:r>
      <w:r>
        <w:tab/>
        <w:t>COM(2015) 185 final.</w:t>
      </w:r>
    </w:p>
  </w:footnote>
  <w:footnote w:id="23">
    <w:p>
      <w:pPr>
        <w:pStyle w:val="FootnoteText"/>
      </w:pPr>
      <w:r>
        <w:rPr>
          <w:rStyle w:val="FootnoteReference"/>
        </w:rPr>
        <w:footnoteRef/>
      </w:r>
      <w:r>
        <w:tab/>
        <w:t xml:space="preserve">Az egyes irányítási módszerek ismertetése, valamint a költségvetési rendeletre való megfelelő hivatkozások megtalálhatók a Költségvetési Főigazgatóság honlapján: </w:t>
      </w:r>
      <w:hyperlink r:id="rId1">
        <w:r>
          <w:rPr>
            <w:rStyle w:val="Hyperlink"/>
            <w:sz w:val="18"/>
          </w:rPr>
          <w:t>http://www.cc.cec/budg/man/budgmanag/budgmanag_hu.html</w:t>
        </w:r>
      </w:hyperlink>
    </w:p>
  </w:footnote>
  <w:footnote w:id="24">
    <w:p>
      <w:pPr>
        <w:pStyle w:val="FootnoteText"/>
      </w:pPr>
      <w:r>
        <w:rPr>
          <w:rStyle w:val="FootnoteReference"/>
        </w:rPr>
        <w:footnoteRef/>
      </w:r>
      <w:r>
        <w:tab/>
        <w:t>Diff. = Differenciált előirányzatok / Nem diff. = Nem differenciált előirányzatok.</w:t>
      </w:r>
    </w:p>
  </w:footnote>
  <w:footnote w:id="25">
    <w:p>
      <w:pPr>
        <w:pStyle w:val="FootnoteText"/>
        <w:rPr>
          <w:szCs w:val="24"/>
        </w:rPr>
      </w:pPr>
      <w:r>
        <w:rPr>
          <w:rStyle w:val="FootnoteReference"/>
        </w:rPr>
        <w:footnoteRef/>
      </w:r>
      <w:r>
        <w:tab/>
        <w:t>EFTA: Európai Szabadkereskedelmi Társulás.</w:t>
      </w:r>
    </w:p>
  </w:footnote>
  <w:footnote w:id="26">
    <w:p>
      <w:pPr>
        <w:pStyle w:val="FootnoteText"/>
        <w:rPr>
          <w:szCs w:val="24"/>
        </w:rPr>
      </w:pPr>
      <w:r>
        <w:rPr>
          <w:rStyle w:val="FootnoteReference"/>
        </w:rPr>
        <w:footnoteRef/>
      </w:r>
      <w:r>
        <w:tab/>
        <w:t>Tagjelölt országok és adott esetben a nyugat-balkáni potenciális tagjelölt országok.</w:t>
      </w:r>
    </w:p>
  </w:footnote>
  <w:footnote w:id="27">
    <w:p>
      <w:pPr>
        <w:pStyle w:val="FootnoteText"/>
        <w:rPr>
          <w:szCs w:val="24"/>
        </w:rPr>
      </w:pPr>
      <w:r>
        <w:rPr>
          <w:rStyle w:val="FootnoteReference"/>
        </w:rPr>
        <w:footnoteRef/>
      </w:r>
      <w:r>
        <w:tab/>
        <w:t>Az N. év a javaslat/kezdeményezés végrehajtásának első éve.</w:t>
      </w:r>
    </w:p>
  </w:footnote>
  <w:footnote w:id="28">
    <w:p>
      <w:pPr>
        <w:pStyle w:val="FootnoteText"/>
        <w:rPr>
          <w:szCs w:val="24"/>
        </w:rPr>
      </w:pPr>
      <w:r>
        <w:rPr>
          <w:rStyle w:val="FootnoteReference"/>
        </w:rPr>
        <w:footnoteRef/>
      </w:r>
      <w:r>
        <w:tab/>
        <w:t>Technikai és/vagy igazgatási segítségnyújtás, valamint uniós programok és/vagy intézkedések végrehajtásához biztosított támogatási kiadások (korábban: BA-tételek), közvetett kutatás, közvetlen kutatás.</w:t>
      </w:r>
    </w:p>
  </w:footnote>
  <w:footnote w:id="29">
    <w:p>
      <w:pPr>
        <w:pStyle w:val="FootnoteText"/>
      </w:pPr>
      <w:r>
        <w:rPr>
          <w:rStyle w:val="FootnoteReference"/>
        </w:rPr>
        <w:footnoteRef/>
      </w:r>
      <w:r>
        <w:tab/>
        <w:t>Az N. év a javaslat/kezdeményezés végrehajtásának első éve.</w:t>
      </w:r>
    </w:p>
  </w:footnote>
  <w:footnote w:id="30">
    <w:p>
      <w:pPr>
        <w:pStyle w:val="FootnoteText"/>
        <w:rPr>
          <w:szCs w:val="24"/>
        </w:rPr>
      </w:pPr>
      <w:r>
        <w:rPr>
          <w:rStyle w:val="FootnoteReference"/>
        </w:rPr>
        <w:footnoteRef/>
      </w:r>
      <w:r>
        <w:tab/>
        <w:t>A teljesítés a nyújtandó termékekre és szolgáltatásokra vonatkozik (pl. finanszírozott diákcserék száma, épített utak hossza kilométerben stb.).</w:t>
      </w:r>
    </w:p>
  </w:footnote>
  <w:footnote w:id="31">
    <w:p>
      <w:pPr>
        <w:pStyle w:val="FootnoteText"/>
        <w:rPr>
          <w:szCs w:val="24"/>
        </w:rPr>
      </w:pPr>
      <w:r>
        <w:rPr>
          <w:rStyle w:val="FootnoteReference"/>
        </w:rPr>
        <w:footnoteRef/>
      </w:r>
      <w:r>
        <w:tab/>
        <w:t xml:space="preserve">Az 1.4.2. szakaszban („Konkrét célkitűzések…”) feltüntetett célkitűzés. </w:t>
      </w:r>
    </w:p>
  </w:footnote>
  <w:footnote w:id="32">
    <w:p>
      <w:pPr>
        <w:pStyle w:val="FootnoteText"/>
      </w:pPr>
      <w:r>
        <w:rPr>
          <w:rStyle w:val="FootnoteReference"/>
        </w:rPr>
        <w:footnoteRef/>
      </w:r>
      <w:r>
        <w:tab/>
        <w:t>Az N. év a javaslat/kezdeményezés végrehajtásának első éve.</w:t>
      </w:r>
    </w:p>
  </w:footnote>
  <w:footnote w:id="33">
    <w:p>
      <w:pPr>
        <w:pStyle w:val="FootnoteText"/>
      </w:pPr>
      <w:r>
        <w:rPr>
          <w:rStyle w:val="FootnoteReference"/>
        </w:rPr>
        <w:footnoteRef/>
      </w:r>
      <w:r>
        <w:tab/>
        <w:t>AC=szerződéses alkalmazott; AL=helyi alkalmazott; END=kirendelt nemzeti szakértő; INT=kölcsönmunkaerő (átmeneti alkalmazott); JED=küldöttségi pályakezdő szakértő.</w:t>
      </w:r>
    </w:p>
  </w:footnote>
  <w:footnote w:id="34">
    <w:p>
      <w:pPr>
        <w:pStyle w:val="FootnoteText"/>
      </w:pPr>
      <w:r>
        <w:rPr>
          <w:rStyle w:val="FootnoteReference"/>
        </w:rPr>
        <w:footnoteRef/>
      </w:r>
      <w:r>
        <w:tab/>
        <w:t>Az operatív előirányzatokból finanszírozott külső munkatársakra vonatkozó részleges felső határérték (korábban: BA-tételek).</w:t>
      </w:r>
    </w:p>
  </w:footnote>
  <w:footnote w:id="35">
    <w:p>
      <w:pPr>
        <w:pStyle w:val="FootnoteText"/>
        <w:rPr>
          <w:szCs w:val="24"/>
        </w:rPr>
      </w:pPr>
      <w:r>
        <w:rPr>
          <w:rStyle w:val="FootnoteReference"/>
        </w:rPr>
        <w:footnoteRef/>
      </w:r>
      <w:r>
        <w:tab/>
        <w:t>A tradicionális saját források (vámok, cukorilletékek) tekintetében nettó összegeket, vagyis a 25 %-kal (beszedési költségek) csökkentett bruttó összegeket kell megadni.</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4262F6B6"/>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ACB40BD6"/>
    <w:lvl w:ilvl="0">
      <w:start w:val="1"/>
      <w:numFmt w:val="decimal"/>
      <w:pStyle w:val="ListNumber3"/>
      <w:lvlText w:val="%1."/>
      <w:lvlJc w:val="left"/>
      <w:pPr>
        <w:tabs>
          <w:tab w:val="num" w:pos="926"/>
        </w:tabs>
        <w:ind w:left="926" w:hanging="360"/>
      </w:pPr>
    </w:lvl>
  </w:abstractNum>
  <w:abstractNum w:abstractNumId="2">
    <w:nsid w:val="FFFFFF7F"/>
    <w:multiLevelType w:val="singleLevel"/>
    <w:tmpl w:val="FF96E0FA"/>
    <w:lvl w:ilvl="0">
      <w:start w:val="1"/>
      <w:numFmt w:val="decimal"/>
      <w:pStyle w:val="ListNumber2"/>
      <w:lvlText w:val="%1."/>
      <w:lvlJc w:val="left"/>
      <w:pPr>
        <w:tabs>
          <w:tab w:val="num" w:pos="643"/>
        </w:tabs>
        <w:ind w:left="643" w:hanging="360"/>
      </w:pPr>
    </w:lvl>
  </w:abstractNum>
  <w:abstractNum w:abstractNumId="3">
    <w:nsid w:val="FFFFFF81"/>
    <w:multiLevelType w:val="singleLevel"/>
    <w:tmpl w:val="3210017C"/>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9F8E7D9C"/>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6">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7">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9">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1">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2">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4">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4">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5"/>
  </w:num>
  <w:num w:numId="2">
    <w:abstractNumId w:val="14"/>
  </w:num>
  <w:num w:numId="3">
    <w:abstractNumId w:val="13"/>
  </w:num>
  <w:num w:numId="4">
    <w:abstractNumId w:val="22"/>
  </w:num>
  <w:num w:numId="5">
    <w:abstractNumId w:val="19"/>
  </w:num>
  <w:num w:numId="6">
    <w:abstractNumId w:val="23"/>
  </w:num>
  <w:num w:numId="7">
    <w:abstractNumId w:val="4"/>
  </w:num>
  <w:num w:numId="8">
    <w:abstractNumId w:val="3"/>
  </w:num>
  <w:num w:numId="9">
    <w:abstractNumId w:val="24"/>
    <w:lvlOverride w:ilvl="0">
      <w:startOverride w:val="1"/>
    </w:lvlOverride>
  </w:num>
  <w:num w:numId="10">
    <w:abstractNumId w:val="2"/>
  </w:num>
  <w:num w:numId="11">
    <w:abstractNumId w:val="1"/>
  </w:num>
  <w:num w:numId="12">
    <w:abstractNumId w:val="0"/>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lvlOverride w:ilvl="0">
      <w:startOverride w:val="1"/>
    </w:lvlOverride>
  </w:num>
  <w:num w:numId="15">
    <w:abstractNumId w:val="10"/>
    <w:lvlOverride w:ilvl="0">
      <w:startOverride w:val="1"/>
    </w:lvlOverride>
  </w:num>
  <w:num w:numId="16">
    <w:abstractNumId w:val="18"/>
    <w:lvlOverride w:ilvl="0">
      <w:startOverride w:val="1"/>
    </w:lvlOverride>
  </w:num>
  <w:num w:numId="17">
    <w:abstractNumId w:val="18"/>
    <w:lvlOverride w:ilvl="0">
      <w:startOverride w:val="1"/>
    </w:lvlOverride>
  </w:num>
  <w:num w:numId="18">
    <w:abstractNumId w:val="18"/>
  </w:num>
  <w:num w:numId="19">
    <w:abstractNumId w:val="10"/>
  </w:num>
  <w:num w:numId="20">
    <w:abstractNumId w:val="21"/>
  </w:num>
  <w:num w:numId="21">
    <w:abstractNumId w:val="9"/>
  </w:num>
  <w:num w:numId="22">
    <w:abstractNumId w:val="11"/>
  </w:num>
  <w:num w:numId="23">
    <w:abstractNumId w:val="7"/>
  </w:num>
  <w:num w:numId="24">
    <w:abstractNumId w:val="20"/>
  </w:num>
  <w:num w:numId="25">
    <w:abstractNumId w:val="6"/>
  </w:num>
  <w:num w:numId="26">
    <w:abstractNumId w:val="12"/>
  </w:num>
  <w:num w:numId="27">
    <w:abstractNumId w:val="16"/>
  </w:num>
  <w:num w:numId="28">
    <w:abstractNumId w:val="17"/>
  </w:num>
  <w:num w:numId="29">
    <w:abstractNumId w:val="8"/>
  </w:num>
  <w:num w:numId="30">
    <w:abstractNumId w:val="15"/>
  </w:num>
  <w:num w:numId="31">
    <w:abstractNumId w:val="24"/>
  </w:num>
  <w:num w:numId="32">
    <w:abstractNumId w:val="18"/>
  </w:num>
  <w:num w:numId="33">
    <w:abstractNumId w:val="10"/>
  </w:num>
  <w:num w:numId="34">
    <w:abstractNumId w:val="21"/>
  </w:num>
  <w:num w:numId="35">
    <w:abstractNumId w:val="9"/>
  </w:num>
  <w:num w:numId="36">
    <w:abstractNumId w:val="11"/>
  </w:num>
  <w:num w:numId="37">
    <w:abstractNumId w:val="7"/>
  </w:num>
  <w:num w:numId="38">
    <w:abstractNumId w:val="20"/>
  </w:num>
  <w:num w:numId="39">
    <w:abstractNumId w:val="6"/>
  </w:num>
  <w:num w:numId="40">
    <w:abstractNumId w:val="12"/>
  </w:num>
  <w:num w:numId="41">
    <w:abstractNumId w:val="16"/>
  </w:num>
  <w:num w:numId="42">
    <w:abstractNumId w:val="17"/>
  </w:num>
  <w:num w:numId="43">
    <w:abstractNumId w:val="8"/>
  </w:num>
  <w:num w:numId="44">
    <w:abstractNumId w:val="15"/>
  </w:num>
  <w:num w:numId="45">
    <w:abstractNumId w:val="24"/>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hideSpellingErrors/>
  <w:hideGrammaticalErrors/>
  <w:attachedTemplate r:id="rId1"/>
  <w:revisionView w:markup="0"/>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6-08-25 11:49:39"/>
    <w:docVar w:name="DQCResult_Distribution" w:val="0;1"/>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149"/>
    <w:docVar w:name="DQCResult_ModifiedMarkers" w:val="0;0"/>
    <w:docVar w:name="DQCResult_ModifiedNumbering" w:val="0;0"/>
    <w:docVar w:name="DQCResult_Objects" w:val="0;0"/>
    <w:docVar w:name="DQCResult_Sections" w:val="0;0"/>
    <w:docVar w:name="DQCResult_StructureCheck" w:val="0;0"/>
    <w:docVar w:name="DQCResult_SuperfluousWhitespace" w:val="0;25"/>
    <w:docVar w:name="DQCResult_UnknownFonts" w:val="0;0"/>
    <w:docVar w:name="DQCResult_UnknownStyles" w:val="0;0"/>
    <w:docVar w:name="DQCStatus" w:val="Green"/>
    <w:docVar w:name="DQCVersion" w:val="3"/>
    <w:docVar w:name="DQCWithWarnings" w:val="0"/>
    <w:docVar w:name="LW_CONFIDENCE" w:val=" "/>
    <w:docVar w:name="LW_CONST_RESTREINT_UE" w:val="RESTREINT UE"/>
    <w:docVar w:name="LW_CORRIGENDUM" w:val="&lt;UNUSED&gt;"/>
    <w:docVar w:name="LW_COVERPAGE_GUID" w:val="2204B5E5484341ED9FD5B4D686BF2BCF"/>
    <w:docVar w:name="LW_CROSSREFERENCE" w:val="&lt;UNUSED&gt;"/>
    <w:docVar w:name="LW_DocType" w:val="COM"/>
    <w:docVar w:name="LW_EMISSION" w:val="2016.8.29."/>
    <w:docVar w:name="LW_EMISSION_ISODATE" w:val="2016-08-29"/>
    <w:docVar w:name="LW_EMISSION_LOCATION" w:val="BRX"/>
    <w:docVar w:name="LW_EMISSION_PREFIX" w:val="Brüsszel, "/>
    <w:docVar w:name="LW_EMISSION_SUFFIX" w:val=" "/>
    <w:docVar w:name="LW_ID_DOCMODEL" w:val="SJ-023"/>
    <w:docVar w:name="LW_ID_DOCSIGNATURE" w:val="SJ-023"/>
    <w:docVar w:name="LW_ID_DOCSTRUCTURE" w:val="COM/PL/ORG"/>
    <w:docVar w:name="LW_ID_DOCTYPE" w:val="SJ-023"/>
    <w:docVar w:name="LW_ID_STATUT" w:val="SJ-023"/>
    <w:docVar w:name="LW_INTERETEEE.CP" w:val="&lt;UNUSED&gt;"/>
    <w:docVar w:name="LW_LANGUE" w:val="HU"/>
    <w:docVar w:name="LW_MARKING" w:val="&lt;UNUSED&gt;"/>
    <w:docVar w:name="LW_NOM.INST" w:val="EURÓPAI BIZOTTSÁG"/>
    <w:docVar w:name="LW_NOM.INST_JOINTDOC" w:val="&lt;EMPTY&gt;"/>
    <w:docVar w:name="LW_PART_NBR" w:val="1"/>
    <w:docVar w:name="LW_PART_NBR_TOTAL" w:val="1"/>
    <w:docVar w:name="LW_REF.II.NEW.CP" w:val="COD"/>
    <w:docVar w:name="LW_REF.II.NEW.CP_NUMBER" w:val="0261"/>
    <w:docVar w:name="LW_REF.II.NEW.CP_YEAR" w:val="2016"/>
    <w:docVar w:name="LW_REF.INST.NEW" w:val="COM"/>
    <w:docVar w:name="LW_REF.INST.NEW_ADOPTED" w:val="final"/>
    <w:docVar w:name="LW_REF.INST.NEW_TEXT" w:val="(2016) 547"/>
    <w:docVar w:name="LW_REF.INTERNE" w:val="&lt;UNUSED&gt;"/>
    <w:docVar w:name="LW_SOUS.TITRE.OBJ.CP" w:val="&lt;UNUSED&gt;"/>
    <w:docVar w:name="LW_STATUT.CP" w:val="Javaslat"/>
    <w:docVar w:name="LW_SUPERTITRE" w:val="&lt;UNUSED&gt;"/>
    <w:docVar w:name="LW_TITRE.OBJ.CP" w:val="az 1920/2006/EK rendeletnek az új pszichoaktív anyagokra vonatkozó információcsere, riasztási rendszer és kockázatértékelési eljárás tekintetében történ\u337? módosításáról"/>
    <w:docVar w:name="LW_TYPE.DOC.CP" w:val="AZ EURÓPAI PARLAMENT ÉS A TANÁCS RENDELETE"/>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u-HU" w:eastAsia="hu-HU" w:bidi="hu-HU"/>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List Number" w:uiPriority="0"/>
    <w:lsdException w:name="List Bullet 2"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3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8"/>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pPr>
      <w:numPr>
        <w:numId w:val="4"/>
      </w:numPr>
    </w:pPr>
    <w:rPr>
      <w:rFonts w:eastAsia="Times New Roman"/>
    </w:rPr>
  </w:style>
  <w:style w:type="paragraph" w:customStyle="1" w:styleId="ListBullet1">
    <w:name w:val="List Bullet 1"/>
    <w:basedOn w:val="Normal"/>
    <w:pPr>
      <w:numPr>
        <w:numId w:val="1"/>
      </w:numPr>
    </w:pPr>
    <w:rPr>
      <w:rFonts w:eastAsia="Times New Roman"/>
    </w:rPr>
  </w:style>
  <w:style w:type="paragraph" w:customStyle="1" w:styleId="ListDash1">
    <w:name w:val="List Dash 1"/>
    <w:basedOn w:val="Normal"/>
    <w:pPr>
      <w:numPr>
        <w:numId w:val="2"/>
      </w:numPr>
    </w:pPr>
    <w:rPr>
      <w:rFonts w:eastAsia="Times New Roman"/>
    </w:rPr>
  </w:style>
  <w:style w:type="paragraph" w:customStyle="1" w:styleId="ListDash2">
    <w:name w:val="List Dash 2"/>
    <w:basedOn w:val="Normal"/>
    <w:pPr>
      <w:numPr>
        <w:numId w:val="3"/>
      </w:numPr>
    </w:pPr>
    <w:rPr>
      <w:rFonts w:eastAsia="Times New Roman"/>
    </w:rPr>
  </w:style>
  <w:style w:type="paragraph" w:customStyle="1" w:styleId="ListNumberLevel2">
    <w:name w:val="List Number (Level 2)"/>
    <w:basedOn w:val="Normal"/>
    <w:pPr>
      <w:numPr>
        <w:ilvl w:val="1"/>
        <w:numId w:val="4"/>
      </w:numPr>
    </w:pPr>
    <w:rPr>
      <w:rFonts w:eastAsia="Times New Roman"/>
    </w:rPr>
  </w:style>
  <w:style w:type="paragraph" w:customStyle="1" w:styleId="ListNumberLevel3">
    <w:name w:val="List Number (Level 3)"/>
    <w:basedOn w:val="Normal"/>
    <w:pPr>
      <w:numPr>
        <w:ilvl w:val="2"/>
        <w:numId w:val="4"/>
      </w:numPr>
    </w:pPr>
    <w:rPr>
      <w:rFonts w:eastAsia="Times New Roman"/>
    </w:rPr>
  </w:style>
  <w:style w:type="paragraph" w:customStyle="1" w:styleId="ListNumberLevel4">
    <w:name w:val="List Number (Level 4)"/>
    <w:basedOn w:val="Normal"/>
    <w:pPr>
      <w:numPr>
        <w:ilvl w:val="3"/>
        <w:numId w:val="4"/>
      </w:numPr>
    </w:pPr>
    <w:rPr>
      <w:rFonts w:eastAsia="Times New Roman"/>
    </w:rPr>
  </w:style>
  <w:style w:type="character" w:styleId="Hyperlink">
    <w:name w:val="Hyperlink"/>
    <w:rPr>
      <w:color w:val="0000FF"/>
      <w:u w:val="single"/>
    </w:rPr>
  </w:style>
  <w:style w:type="paragraph" w:styleId="ListBullet">
    <w:name w:val="List Bullet"/>
    <w:basedOn w:val="Normal"/>
    <w:pPr>
      <w:numPr>
        <w:numId w:val="5"/>
      </w:numPr>
    </w:pPr>
    <w:rPr>
      <w:rFonts w:eastAsia="Times New Roman"/>
    </w:rPr>
  </w:style>
  <w:style w:type="paragraph" w:styleId="ListBullet2">
    <w:name w:val="List Bullet 2"/>
    <w:basedOn w:val="Normal"/>
    <w:pPr>
      <w:numPr>
        <w:numId w:val="6"/>
      </w:numPr>
    </w:pPr>
    <w:rPr>
      <w:rFonts w:eastAsia="Times New Roman"/>
    </w:rPr>
  </w:style>
  <w:style w:type="paragraph" w:styleId="ListBullet3">
    <w:name w:val="List Bullet 3"/>
    <w:basedOn w:val="Normal"/>
    <w:uiPriority w:val="99"/>
    <w:semiHidden/>
    <w:unhideWhenUsed/>
    <w:pPr>
      <w:numPr>
        <w:numId w:val="7"/>
      </w:numPr>
      <w:contextualSpacing/>
    </w:pPr>
  </w:style>
  <w:style w:type="paragraph" w:styleId="ListBullet4">
    <w:name w:val="List Bullet 4"/>
    <w:basedOn w:val="Normal"/>
    <w:uiPriority w:val="99"/>
    <w:semiHidden/>
    <w:unhideWhenUsed/>
    <w:pPr>
      <w:numPr>
        <w:numId w:val="8"/>
      </w:numPr>
      <w:contextualSpacing/>
    </w:p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hu-HU"/>
    </w:rPr>
  </w:style>
  <w:style w:type="paragraph" w:styleId="NormalWeb">
    <w:name w:val="Normal (Web)"/>
    <w:basedOn w:val="Normal"/>
    <w:uiPriority w:val="99"/>
    <w:semiHidden/>
    <w:unhideWhenUsed/>
    <w:pPr>
      <w:spacing w:before="100" w:beforeAutospacing="1" w:after="100" w:afterAutospacing="1"/>
      <w:jc w:val="left"/>
    </w:pPr>
    <w:rPr>
      <w:szCs w:val="24"/>
    </w:rPr>
  </w:style>
  <w:style w:type="paragraph" w:styleId="Revision">
    <w:name w:val="Revision"/>
    <w:hidden/>
    <w:uiPriority w:val="99"/>
    <w:semiHidden/>
    <w:pPr>
      <w:spacing w:after="0" w:line="240" w:lineRule="auto"/>
    </w:pPr>
    <w:rPr>
      <w:rFonts w:ascii="Times New Roman" w:hAnsi="Times New Roman" w:cs="Times New Roman"/>
      <w:sz w:val="24"/>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hu-HU"/>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hu-HU"/>
    </w:rPr>
  </w:style>
  <w:style w:type="paragraph" w:customStyle="1" w:styleId="Default">
    <w:name w:val="Default"/>
    <w:pPr>
      <w:autoSpaceDE w:val="0"/>
      <w:autoSpaceDN w:val="0"/>
      <w:adjustRightInd w:val="0"/>
      <w:spacing w:after="0" w:line="240" w:lineRule="auto"/>
    </w:pPr>
    <w:rPr>
      <w:rFonts w:ascii="Arial" w:hAnsi="Arial" w:cs="Arial"/>
      <w:color w:val="000000"/>
      <w:sz w:val="24"/>
      <w:szCs w:val="24"/>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2">
    <w:name w:val="List Number 2"/>
    <w:basedOn w:val="Normal"/>
    <w:uiPriority w:val="99"/>
    <w:semiHidden/>
    <w:unhideWhenUsed/>
    <w:pPr>
      <w:numPr>
        <w:numId w:val="10"/>
      </w:numPr>
      <w:contextualSpacing/>
    </w:pPr>
  </w:style>
  <w:style w:type="paragraph" w:styleId="ListNumber3">
    <w:name w:val="List Number 3"/>
    <w:basedOn w:val="Normal"/>
    <w:uiPriority w:val="99"/>
    <w:semiHidden/>
    <w:unhideWhenUsed/>
    <w:pPr>
      <w:numPr>
        <w:numId w:val="11"/>
      </w:numPr>
      <w:contextualSpacing/>
    </w:pPr>
  </w:style>
  <w:style w:type="paragraph" w:styleId="ListNumber4">
    <w:name w:val="List Number 4"/>
    <w:basedOn w:val="Normal"/>
    <w:uiPriority w:val="99"/>
    <w:semiHidden/>
    <w:unhideWhenUsed/>
    <w:pPr>
      <w:numPr>
        <w:numId w:val="12"/>
      </w:numPr>
      <w:contextualSpacing/>
    </w:pPr>
  </w:style>
  <w:style w:type="paragraph" w:styleId="ListParagraph">
    <w:name w:val="List Paragraph"/>
    <w:basedOn w:val="Normal"/>
    <w:uiPriority w:val="34"/>
    <w:qFormat/>
    <w:pPr>
      <w:ind w:left="720"/>
      <w:contextualSpacing/>
    </w:pPr>
  </w:style>
  <w:style w:type="character" w:styleId="FollowedHyperlink">
    <w:name w:val="FollowedHyperlink"/>
    <w:basedOn w:val="DefaultParagraphFont"/>
    <w:uiPriority w:val="99"/>
    <w:semiHidden/>
    <w:unhideWhenUsed/>
    <w:rPr>
      <w:color w:val="800080" w:themeColor="followedHyperlink"/>
      <w:u w:val="single"/>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32"/>
      </w:numPr>
    </w:pPr>
  </w:style>
  <w:style w:type="paragraph" w:customStyle="1" w:styleId="Tiret1">
    <w:name w:val="Tiret 1"/>
    <w:basedOn w:val="Point1"/>
    <w:pPr>
      <w:numPr>
        <w:numId w:val="33"/>
      </w:numPr>
    </w:pPr>
  </w:style>
  <w:style w:type="paragraph" w:customStyle="1" w:styleId="Tiret2">
    <w:name w:val="Tiret 2"/>
    <w:basedOn w:val="Point2"/>
    <w:pPr>
      <w:numPr>
        <w:numId w:val="34"/>
      </w:numPr>
    </w:pPr>
  </w:style>
  <w:style w:type="paragraph" w:customStyle="1" w:styleId="Tiret3">
    <w:name w:val="Tiret 3"/>
    <w:basedOn w:val="Point3"/>
    <w:pPr>
      <w:numPr>
        <w:numId w:val="35"/>
      </w:numPr>
    </w:pPr>
  </w:style>
  <w:style w:type="paragraph" w:customStyle="1" w:styleId="Tiret4">
    <w:name w:val="Tiret 4"/>
    <w:basedOn w:val="Point4"/>
    <w:pPr>
      <w:numPr>
        <w:numId w:val="3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7"/>
      </w:numPr>
    </w:pPr>
  </w:style>
  <w:style w:type="paragraph" w:customStyle="1" w:styleId="NumPar2">
    <w:name w:val="NumPar 2"/>
    <w:basedOn w:val="Normal"/>
    <w:next w:val="Text1"/>
    <w:pPr>
      <w:numPr>
        <w:ilvl w:val="1"/>
        <w:numId w:val="37"/>
      </w:numPr>
    </w:pPr>
  </w:style>
  <w:style w:type="paragraph" w:customStyle="1" w:styleId="NumPar3">
    <w:name w:val="NumPar 3"/>
    <w:basedOn w:val="Normal"/>
    <w:next w:val="Text1"/>
    <w:pPr>
      <w:numPr>
        <w:ilvl w:val="2"/>
        <w:numId w:val="37"/>
      </w:numPr>
    </w:pPr>
  </w:style>
  <w:style w:type="paragraph" w:customStyle="1" w:styleId="NumPar4">
    <w:name w:val="NumPar 4"/>
    <w:basedOn w:val="Normal"/>
    <w:next w:val="Text1"/>
    <w:pPr>
      <w:numPr>
        <w:ilvl w:val="3"/>
        <w:numId w:val="3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9"/>
      </w:numPr>
    </w:pPr>
  </w:style>
  <w:style w:type="paragraph" w:customStyle="1" w:styleId="Point1number">
    <w:name w:val="Point 1 (number)"/>
    <w:basedOn w:val="Normal"/>
    <w:pPr>
      <w:numPr>
        <w:ilvl w:val="2"/>
        <w:numId w:val="39"/>
      </w:numPr>
    </w:pPr>
  </w:style>
  <w:style w:type="paragraph" w:customStyle="1" w:styleId="Point2number">
    <w:name w:val="Point 2 (number)"/>
    <w:basedOn w:val="Normal"/>
    <w:pPr>
      <w:numPr>
        <w:ilvl w:val="4"/>
        <w:numId w:val="39"/>
      </w:numPr>
    </w:pPr>
  </w:style>
  <w:style w:type="paragraph" w:customStyle="1" w:styleId="Point3number">
    <w:name w:val="Point 3 (number)"/>
    <w:basedOn w:val="Normal"/>
    <w:pPr>
      <w:numPr>
        <w:ilvl w:val="6"/>
        <w:numId w:val="39"/>
      </w:numPr>
    </w:pPr>
  </w:style>
  <w:style w:type="paragraph" w:customStyle="1" w:styleId="Point0letter">
    <w:name w:val="Point 0 (letter)"/>
    <w:basedOn w:val="Normal"/>
    <w:pPr>
      <w:numPr>
        <w:ilvl w:val="1"/>
        <w:numId w:val="39"/>
      </w:numPr>
    </w:pPr>
  </w:style>
  <w:style w:type="paragraph" w:customStyle="1" w:styleId="Point1letter">
    <w:name w:val="Point 1 (letter)"/>
    <w:basedOn w:val="Normal"/>
    <w:pPr>
      <w:numPr>
        <w:ilvl w:val="3"/>
        <w:numId w:val="39"/>
      </w:numPr>
    </w:pPr>
  </w:style>
  <w:style w:type="paragraph" w:customStyle="1" w:styleId="Point2letter">
    <w:name w:val="Point 2 (letter)"/>
    <w:basedOn w:val="Normal"/>
    <w:pPr>
      <w:numPr>
        <w:ilvl w:val="5"/>
        <w:numId w:val="39"/>
      </w:numPr>
    </w:pPr>
  </w:style>
  <w:style w:type="paragraph" w:customStyle="1" w:styleId="Point3letter">
    <w:name w:val="Point 3 (letter)"/>
    <w:basedOn w:val="Normal"/>
    <w:pPr>
      <w:numPr>
        <w:ilvl w:val="7"/>
        <w:numId w:val="39"/>
      </w:numPr>
    </w:pPr>
  </w:style>
  <w:style w:type="paragraph" w:customStyle="1" w:styleId="Point4letter">
    <w:name w:val="Point 4 (letter)"/>
    <w:basedOn w:val="Normal"/>
    <w:pPr>
      <w:numPr>
        <w:ilvl w:val="8"/>
        <w:numId w:val="39"/>
      </w:numPr>
    </w:pPr>
  </w:style>
  <w:style w:type="paragraph" w:customStyle="1" w:styleId="Bullet0">
    <w:name w:val="Bullet 0"/>
    <w:basedOn w:val="Normal"/>
    <w:pPr>
      <w:numPr>
        <w:numId w:val="40"/>
      </w:numPr>
    </w:pPr>
  </w:style>
  <w:style w:type="paragraph" w:customStyle="1" w:styleId="Bullet1">
    <w:name w:val="Bullet 1"/>
    <w:basedOn w:val="Normal"/>
    <w:pPr>
      <w:numPr>
        <w:numId w:val="41"/>
      </w:numPr>
    </w:pPr>
  </w:style>
  <w:style w:type="paragraph" w:customStyle="1" w:styleId="Bullet2">
    <w:name w:val="Bullet 2"/>
    <w:basedOn w:val="Normal"/>
    <w:pPr>
      <w:numPr>
        <w:numId w:val="42"/>
      </w:numPr>
    </w:pPr>
  </w:style>
  <w:style w:type="paragraph" w:customStyle="1" w:styleId="Bullet3">
    <w:name w:val="Bullet 3"/>
    <w:basedOn w:val="Normal"/>
    <w:pPr>
      <w:numPr>
        <w:numId w:val="43"/>
      </w:numPr>
    </w:pPr>
  </w:style>
  <w:style w:type="paragraph" w:customStyle="1" w:styleId="Bullet4">
    <w:name w:val="Bullet 4"/>
    <w:basedOn w:val="Normal"/>
    <w:pPr>
      <w:numPr>
        <w:numId w:val="44"/>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u-HU" w:eastAsia="hu-HU" w:bidi="hu-HU"/>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List Number" w:uiPriority="0"/>
    <w:lsdException w:name="List Bullet 2"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3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8"/>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pPr>
      <w:numPr>
        <w:numId w:val="4"/>
      </w:numPr>
    </w:pPr>
    <w:rPr>
      <w:rFonts w:eastAsia="Times New Roman"/>
    </w:rPr>
  </w:style>
  <w:style w:type="paragraph" w:customStyle="1" w:styleId="ListBullet1">
    <w:name w:val="List Bullet 1"/>
    <w:basedOn w:val="Normal"/>
    <w:pPr>
      <w:numPr>
        <w:numId w:val="1"/>
      </w:numPr>
    </w:pPr>
    <w:rPr>
      <w:rFonts w:eastAsia="Times New Roman"/>
    </w:rPr>
  </w:style>
  <w:style w:type="paragraph" w:customStyle="1" w:styleId="ListDash1">
    <w:name w:val="List Dash 1"/>
    <w:basedOn w:val="Normal"/>
    <w:pPr>
      <w:numPr>
        <w:numId w:val="2"/>
      </w:numPr>
    </w:pPr>
    <w:rPr>
      <w:rFonts w:eastAsia="Times New Roman"/>
    </w:rPr>
  </w:style>
  <w:style w:type="paragraph" w:customStyle="1" w:styleId="ListDash2">
    <w:name w:val="List Dash 2"/>
    <w:basedOn w:val="Normal"/>
    <w:pPr>
      <w:numPr>
        <w:numId w:val="3"/>
      </w:numPr>
    </w:pPr>
    <w:rPr>
      <w:rFonts w:eastAsia="Times New Roman"/>
    </w:rPr>
  </w:style>
  <w:style w:type="paragraph" w:customStyle="1" w:styleId="ListNumberLevel2">
    <w:name w:val="List Number (Level 2)"/>
    <w:basedOn w:val="Normal"/>
    <w:pPr>
      <w:numPr>
        <w:ilvl w:val="1"/>
        <w:numId w:val="4"/>
      </w:numPr>
    </w:pPr>
    <w:rPr>
      <w:rFonts w:eastAsia="Times New Roman"/>
    </w:rPr>
  </w:style>
  <w:style w:type="paragraph" w:customStyle="1" w:styleId="ListNumberLevel3">
    <w:name w:val="List Number (Level 3)"/>
    <w:basedOn w:val="Normal"/>
    <w:pPr>
      <w:numPr>
        <w:ilvl w:val="2"/>
        <w:numId w:val="4"/>
      </w:numPr>
    </w:pPr>
    <w:rPr>
      <w:rFonts w:eastAsia="Times New Roman"/>
    </w:rPr>
  </w:style>
  <w:style w:type="paragraph" w:customStyle="1" w:styleId="ListNumberLevel4">
    <w:name w:val="List Number (Level 4)"/>
    <w:basedOn w:val="Normal"/>
    <w:pPr>
      <w:numPr>
        <w:ilvl w:val="3"/>
        <w:numId w:val="4"/>
      </w:numPr>
    </w:pPr>
    <w:rPr>
      <w:rFonts w:eastAsia="Times New Roman"/>
    </w:rPr>
  </w:style>
  <w:style w:type="character" w:styleId="Hyperlink">
    <w:name w:val="Hyperlink"/>
    <w:rPr>
      <w:color w:val="0000FF"/>
      <w:u w:val="single"/>
    </w:rPr>
  </w:style>
  <w:style w:type="paragraph" w:styleId="ListBullet">
    <w:name w:val="List Bullet"/>
    <w:basedOn w:val="Normal"/>
    <w:pPr>
      <w:numPr>
        <w:numId w:val="5"/>
      </w:numPr>
    </w:pPr>
    <w:rPr>
      <w:rFonts w:eastAsia="Times New Roman"/>
    </w:rPr>
  </w:style>
  <w:style w:type="paragraph" w:styleId="ListBullet2">
    <w:name w:val="List Bullet 2"/>
    <w:basedOn w:val="Normal"/>
    <w:pPr>
      <w:numPr>
        <w:numId w:val="6"/>
      </w:numPr>
    </w:pPr>
    <w:rPr>
      <w:rFonts w:eastAsia="Times New Roman"/>
    </w:rPr>
  </w:style>
  <w:style w:type="paragraph" w:styleId="ListBullet3">
    <w:name w:val="List Bullet 3"/>
    <w:basedOn w:val="Normal"/>
    <w:uiPriority w:val="99"/>
    <w:semiHidden/>
    <w:unhideWhenUsed/>
    <w:pPr>
      <w:numPr>
        <w:numId w:val="7"/>
      </w:numPr>
      <w:contextualSpacing/>
    </w:pPr>
  </w:style>
  <w:style w:type="paragraph" w:styleId="ListBullet4">
    <w:name w:val="List Bullet 4"/>
    <w:basedOn w:val="Normal"/>
    <w:uiPriority w:val="99"/>
    <w:semiHidden/>
    <w:unhideWhenUsed/>
    <w:pPr>
      <w:numPr>
        <w:numId w:val="8"/>
      </w:numPr>
      <w:contextualSpacing/>
    </w:p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hu-HU"/>
    </w:rPr>
  </w:style>
  <w:style w:type="paragraph" w:styleId="NormalWeb">
    <w:name w:val="Normal (Web)"/>
    <w:basedOn w:val="Normal"/>
    <w:uiPriority w:val="99"/>
    <w:semiHidden/>
    <w:unhideWhenUsed/>
    <w:pPr>
      <w:spacing w:before="100" w:beforeAutospacing="1" w:after="100" w:afterAutospacing="1"/>
      <w:jc w:val="left"/>
    </w:pPr>
    <w:rPr>
      <w:szCs w:val="24"/>
    </w:rPr>
  </w:style>
  <w:style w:type="paragraph" w:styleId="Revision">
    <w:name w:val="Revision"/>
    <w:hidden/>
    <w:uiPriority w:val="99"/>
    <w:semiHidden/>
    <w:pPr>
      <w:spacing w:after="0" w:line="240" w:lineRule="auto"/>
    </w:pPr>
    <w:rPr>
      <w:rFonts w:ascii="Times New Roman" w:hAnsi="Times New Roman" w:cs="Times New Roman"/>
      <w:sz w:val="24"/>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hu-HU"/>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hu-HU"/>
    </w:rPr>
  </w:style>
  <w:style w:type="paragraph" w:customStyle="1" w:styleId="Default">
    <w:name w:val="Default"/>
    <w:pPr>
      <w:autoSpaceDE w:val="0"/>
      <w:autoSpaceDN w:val="0"/>
      <w:adjustRightInd w:val="0"/>
      <w:spacing w:after="0" w:line="240" w:lineRule="auto"/>
    </w:pPr>
    <w:rPr>
      <w:rFonts w:ascii="Arial" w:hAnsi="Arial" w:cs="Arial"/>
      <w:color w:val="000000"/>
      <w:sz w:val="24"/>
      <w:szCs w:val="24"/>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2">
    <w:name w:val="List Number 2"/>
    <w:basedOn w:val="Normal"/>
    <w:uiPriority w:val="99"/>
    <w:semiHidden/>
    <w:unhideWhenUsed/>
    <w:pPr>
      <w:numPr>
        <w:numId w:val="10"/>
      </w:numPr>
      <w:contextualSpacing/>
    </w:pPr>
  </w:style>
  <w:style w:type="paragraph" w:styleId="ListNumber3">
    <w:name w:val="List Number 3"/>
    <w:basedOn w:val="Normal"/>
    <w:uiPriority w:val="99"/>
    <w:semiHidden/>
    <w:unhideWhenUsed/>
    <w:pPr>
      <w:numPr>
        <w:numId w:val="11"/>
      </w:numPr>
      <w:contextualSpacing/>
    </w:pPr>
  </w:style>
  <w:style w:type="paragraph" w:styleId="ListNumber4">
    <w:name w:val="List Number 4"/>
    <w:basedOn w:val="Normal"/>
    <w:uiPriority w:val="99"/>
    <w:semiHidden/>
    <w:unhideWhenUsed/>
    <w:pPr>
      <w:numPr>
        <w:numId w:val="12"/>
      </w:numPr>
      <w:contextualSpacing/>
    </w:pPr>
  </w:style>
  <w:style w:type="paragraph" w:styleId="ListParagraph">
    <w:name w:val="List Paragraph"/>
    <w:basedOn w:val="Normal"/>
    <w:uiPriority w:val="34"/>
    <w:qFormat/>
    <w:pPr>
      <w:ind w:left="720"/>
      <w:contextualSpacing/>
    </w:pPr>
  </w:style>
  <w:style w:type="character" w:styleId="FollowedHyperlink">
    <w:name w:val="FollowedHyperlink"/>
    <w:basedOn w:val="DefaultParagraphFont"/>
    <w:uiPriority w:val="99"/>
    <w:semiHidden/>
    <w:unhideWhenUsed/>
    <w:rPr>
      <w:color w:val="800080" w:themeColor="followedHyperlink"/>
      <w:u w:val="single"/>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32"/>
      </w:numPr>
    </w:pPr>
  </w:style>
  <w:style w:type="paragraph" w:customStyle="1" w:styleId="Tiret1">
    <w:name w:val="Tiret 1"/>
    <w:basedOn w:val="Point1"/>
    <w:pPr>
      <w:numPr>
        <w:numId w:val="33"/>
      </w:numPr>
    </w:pPr>
  </w:style>
  <w:style w:type="paragraph" w:customStyle="1" w:styleId="Tiret2">
    <w:name w:val="Tiret 2"/>
    <w:basedOn w:val="Point2"/>
    <w:pPr>
      <w:numPr>
        <w:numId w:val="34"/>
      </w:numPr>
    </w:pPr>
  </w:style>
  <w:style w:type="paragraph" w:customStyle="1" w:styleId="Tiret3">
    <w:name w:val="Tiret 3"/>
    <w:basedOn w:val="Point3"/>
    <w:pPr>
      <w:numPr>
        <w:numId w:val="35"/>
      </w:numPr>
    </w:pPr>
  </w:style>
  <w:style w:type="paragraph" w:customStyle="1" w:styleId="Tiret4">
    <w:name w:val="Tiret 4"/>
    <w:basedOn w:val="Point4"/>
    <w:pPr>
      <w:numPr>
        <w:numId w:val="3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7"/>
      </w:numPr>
    </w:pPr>
  </w:style>
  <w:style w:type="paragraph" w:customStyle="1" w:styleId="NumPar2">
    <w:name w:val="NumPar 2"/>
    <w:basedOn w:val="Normal"/>
    <w:next w:val="Text1"/>
    <w:pPr>
      <w:numPr>
        <w:ilvl w:val="1"/>
        <w:numId w:val="37"/>
      </w:numPr>
    </w:pPr>
  </w:style>
  <w:style w:type="paragraph" w:customStyle="1" w:styleId="NumPar3">
    <w:name w:val="NumPar 3"/>
    <w:basedOn w:val="Normal"/>
    <w:next w:val="Text1"/>
    <w:pPr>
      <w:numPr>
        <w:ilvl w:val="2"/>
        <w:numId w:val="37"/>
      </w:numPr>
    </w:pPr>
  </w:style>
  <w:style w:type="paragraph" w:customStyle="1" w:styleId="NumPar4">
    <w:name w:val="NumPar 4"/>
    <w:basedOn w:val="Normal"/>
    <w:next w:val="Text1"/>
    <w:pPr>
      <w:numPr>
        <w:ilvl w:val="3"/>
        <w:numId w:val="3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9"/>
      </w:numPr>
    </w:pPr>
  </w:style>
  <w:style w:type="paragraph" w:customStyle="1" w:styleId="Point1number">
    <w:name w:val="Point 1 (number)"/>
    <w:basedOn w:val="Normal"/>
    <w:pPr>
      <w:numPr>
        <w:ilvl w:val="2"/>
        <w:numId w:val="39"/>
      </w:numPr>
    </w:pPr>
  </w:style>
  <w:style w:type="paragraph" w:customStyle="1" w:styleId="Point2number">
    <w:name w:val="Point 2 (number)"/>
    <w:basedOn w:val="Normal"/>
    <w:pPr>
      <w:numPr>
        <w:ilvl w:val="4"/>
        <w:numId w:val="39"/>
      </w:numPr>
    </w:pPr>
  </w:style>
  <w:style w:type="paragraph" w:customStyle="1" w:styleId="Point3number">
    <w:name w:val="Point 3 (number)"/>
    <w:basedOn w:val="Normal"/>
    <w:pPr>
      <w:numPr>
        <w:ilvl w:val="6"/>
        <w:numId w:val="39"/>
      </w:numPr>
    </w:pPr>
  </w:style>
  <w:style w:type="paragraph" w:customStyle="1" w:styleId="Point0letter">
    <w:name w:val="Point 0 (letter)"/>
    <w:basedOn w:val="Normal"/>
    <w:pPr>
      <w:numPr>
        <w:ilvl w:val="1"/>
        <w:numId w:val="39"/>
      </w:numPr>
    </w:pPr>
  </w:style>
  <w:style w:type="paragraph" w:customStyle="1" w:styleId="Point1letter">
    <w:name w:val="Point 1 (letter)"/>
    <w:basedOn w:val="Normal"/>
    <w:pPr>
      <w:numPr>
        <w:ilvl w:val="3"/>
        <w:numId w:val="39"/>
      </w:numPr>
    </w:pPr>
  </w:style>
  <w:style w:type="paragraph" w:customStyle="1" w:styleId="Point2letter">
    <w:name w:val="Point 2 (letter)"/>
    <w:basedOn w:val="Normal"/>
    <w:pPr>
      <w:numPr>
        <w:ilvl w:val="5"/>
        <w:numId w:val="39"/>
      </w:numPr>
    </w:pPr>
  </w:style>
  <w:style w:type="paragraph" w:customStyle="1" w:styleId="Point3letter">
    <w:name w:val="Point 3 (letter)"/>
    <w:basedOn w:val="Normal"/>
    <w:pPr>
      <w:numPr>
        <w:ilvl w:val="7"/>
        <w:numId w:val="39"/>
      </w:numPr>
    </w:pPr>
  </w:style>
  <w:style w:type="paragraph" w:customStyle="1" w:styleId="Point4letter">
    <w:name w:val="Point 4 (letter)"/>
    <w:basedOn w:val="Normal"/>
    <w:pPr>
      <w:numPr>
        <w:ilvl w:val="8"/>
        <w:numId w:val="39"/>
      </w:numPr>
    </w:pPr>
  </w:style>
  <w:style w:type="paragraph" w:customStyle="1" w:styleId="Bullet0">
    <w:name w:val="Bullet 0"/>
    <w:basedOn w:val="Normal"/>
    <w:pPr>
      <w:numPr>
        <w:numId w:val="40"/>
      </w:numPr>
    </w:pPr>
  </w:style>
  <w:style w:type="paragraph" w:customStyle="1" w:styleId="Bullet1">
    <w:name w:val="Bullet 1"/>
    <w:basedOn w:val="Normal"/>
    <w:pPr>
      <w:numPr>
        <w:numId w:val="41"/>
      </w:numPr>
    </w:pPr>
  </w:style>
  <w:style w:type="paragraph" w:customStyle="1" w:styleId="Bullet2">
    <w:name w:val="Bullet 2"/>
    <w:basedOn w:val="Normal"/>
    <w:pPr>
      <w:numPr>
        <w:numId w:val="42"/>
      </w:numPr>
    </w:pPr>
  </w:style>
  <w:style w:type="paragraph" w:customStyle="1" w:styleId="Bullet3">
    <w:name w:val="Bullet 3"/>
    <w:basedOn w:val="Normal"/>
    <w:pPr>
      <w:numPr>
        <w:numId w:val="43"/>
      </w:numPr>
    </w:pPr>
  </w:style>
  <w:style w:type="paragraph" w:customStyle="1" w:styleId="Bullet4">
    <w:name w:val="Bullet 4"/>
    <w:basedOn w:val="Normal"/>
    <w:pPr>
      <w:numPr>
        <w:numId w:val="44"/>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7847218">
      <w:bodyDiv w:val="1"/>
      <w:marLeft w:val="0"/>
      <w:marRight w:val="0"/>
      <w:marTop w:val="0"/>
      <w:marBottom w:val="0"/>
      <w:divBdr>
        <w:top w:val="none" w:sz="0" w:space="0" w:color="auto"/>
        <w:left w:val="none" w:sz="0" w:space="0" w:color="auto"/>
        <w:bottom w:val="none" w:sz="0" w:space="0" w:color="auto"/>
        <w:right w:val="none" w:sz="0" w:space="0" w:color="auto"/>
      </w:divBdr>
    </w:div>
    <w:div w:id="1508667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footer" Target="footer1.xml"/><Relationship Id="rId19" Type="http://schemas.openxmlformats.org/officeDocument/2006/relationships/header" Target="header4.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footer" Target="footer4.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www.cc.cec/budg/man/budgmanag/budgmanag_hu.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57855D-6083-4978-8B3D-91320FCE57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29</Pages>
  <Words>5925</Words>
  <Characters>43433</Characters>
  <Application>Microsoft Office Word</Application>
  <DocSecurity>0</DocSecurity>
  <Lines>1608</Lines>
  <Paragraphs>695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48663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18</cp:revision>
  <cp:lastPrinted>2016-07-20T10:33:00Z</cp:lastPrinted>
  <dcterms:created xsi:type="dcterms:W3CDTF">2016-08-24T14:56:00Z</dcterms:created>
  <dcterms:modified xsi:type="dcterms:W3CDTF">2016-08-25T09:49:00Z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5.84.2.0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SJ-023</vt:lpwstr>
  </property>
  <property fmtid="{D5CDD505-2E9C-101B-9397-08002B2CF9AE}" pid="10" name="DQCStatus">
    <vt:lpwstr>Green (DQC version 03)</vt:lpwstr>
  </property>
  <property name="OP_sanitized" fmtid="{D5CDD505-2E9C-101B-9397-08002B2CF9AE}" pid="11">
    <vt:lpwstr>True</vt:lpwstr>
  </property>
</Properties>
</file>