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C069941F8B0B4ECAA042168198966440" style="width:450.5pt;height:423.5pt">
            <v:imagedata r:id="rId9" o:title=""/>
          </v:shape>
        </w:pict>
      </w:r>
    </w:p>
    <w:p>
      <w:pPr>
        <w:rPr>
          <w:noProof/>
        </w:rPr>
        <w:sectPr>
          <w:footerReference w:type="default" r:id="rId10"/>
          <w:pgSz w:w="11907" w:h="16839"/>
          <w:pgMar w:top="1134" w:right="1418" w:bottom="1134" w:left="1418" w:header="709" w:footer="709" w:gutter="0"/>
          <w:pgNumType w:start="1"/>
          <w:cols w:space="720"/>
          <w:docGrid w:linePitch="360"/>
        </w:sectPr>
      </w:pPr>
    </w:p>
    <w:p>
      <w:pPr>
        <w:pStyle w:val="Exposdesmotifstitre"/>
        <w:rPr>
          <w:noProof/>
        </w:rPr>
      </w:pPr>
      <w:bookmarkStart w:id="0" w:name="_GoBack"/>
      <w:bookmarkEnd w:id="0"/>
      <w:r>
        <w:rPr>
          <w:noProof/>
        </w:rPr>
        <w:lastRenderedPageBreak/>
        <w:t>INDOKOLÁS</w:t>
      </w:r>
    </w:p>
    <w:p>
      <w:pPr>
        <w:pStyle w:val="ManualHeading1"/>
        <w:rPr>
          <w:noProof/>
        </w:rPr>
      </w:pPr>
      <w:r>
        <w:rPr>
          <w:noProof/>
        </w:rPr>
        <w:t>1.</w:t>
      </w:r>
      <w:r>
        <w:rPr>
          <w:noProof/>
        </w:rPr>
        <w:tab/>
        <w:t>A JAVASLAT HÁTTERE</w:t>
      </w:r>
    </w:p>
    <w:p>
      <w:pPr>
        <w:pStyle w:val="ManualHeading2"/>
        <w:rPr>
          <w:rFonts w:eastAsia="Arial Unicode MS"/>
          <w:noProof/>
        </w:rPr>
      </w:pPr>
      <w:r>
        <w:rPr>
          <w:noProof/>
          <w:color w:val="000000"/>
          <w:u w:color="000000"/>
          <w:bdr w:val="nil"/>
        </w:rPr>
        <w:t>•</w:t>
      </w:r>
      <w:r>
        <w:rPr>
          <w:noProof/>
        </w:rPr>
        <w:tab/>
        <w:t>A javaslat indokai és céljai</w:t>
      </w:r>
    </w:p>
    <w:p>
      <w:pPr>
        <w:pBdr>
          <w:top w:val="nil"/>
          <w:left w:val="nil"/>
          <w:bottom w:val="nil"/>
          <w:right w:val="nil"/>
          <w:between w:val="nil"/>
          <w:bar w:val="nil"/>
        </w:pBdr>
        <w:spacing w:before="0" w:after="240"/>
        <w:rPr>
          <w:noProof/>
          <w:color w:val="000000"/>
        </w:rPr>
      </w:pPr>
      <w:r>
        <w:rPr>
          <w:noProof/>
          <w:color w:val="000000"/>
        </w:rPr>
        <w:t>Az egészségesen működő egységes piachoz méltányos, hatékony és növekedésbarát társaságiadó-rendszer szükséges, amely azon az elven alapul, hogy a vállalkozásoknak abban az országban kell adózniuk, ahol a nyereségre szert tesznek. Az agresszív adótervezés ellentétes ezzel az alapelvvel. A vállalkozások nagy része nem folytat agresszív adótervezést, és versenyhátrányt szenved el azokhoz képest, amelyek folytatnak. A kis- és középvállalatokat különösen hátrányosan érinti ez a jelenség.</w:t>
      </w:r>
    </w:p>
    <w:p>
      <w:pPr>
        <w:pBdr>
          <w:top w:val="nil"/>
          <w:left w:val="nil"/>
          <w:bottom w:val="nil"/>
          <w:right w:val="nil"/>
          <w:between w:val="nil"/>
          <w:bar w:val="nil"/>
        </w:pBdr>
        <w:spacing w:before="0" w:after="240"/>
        <w:rPr>
          <w:strike/>
          <w:noProof/>
        </w:rPr>
      </w:pPr>
      <w:r>
        <w:rPr>
          <w:noProof/>
        </w:rPr>
        <w:t>Az adókikerülés és az agresszív adótervezés elleni uniós és világszintű küzdelem az Európai Bizottság egyik politikai prioritása. Az Európai Unión belüli méltányos és hatékony társaságiadó-rendszerről szóló tágabb stratégia</w:t>
      </w:r>
      <w:r>
        <w:rPr>
          <w:rStyle w:val="FootnoteReference"/>
          <w:noProof/>
        </w:rPr>
        <w:footnoteReference w:id="1"/>
      </w:r>
      <w:r>
        <w:rPr>
          <w:noProof/>
        </w:rPr>
        <w:t xml:space="preserve"> részeként a nyilvánosság általi ellenőrzés elősegítheti annak biztosítását, hogy a nyereséget ténylegesen ott adóztassák, ahol megtermelik.</w:t>
      </w:r>
      <w:r>
        <w:rPr>
          <w:noProof/>
          <w:color w:val="000000"/>
        </w:rPr>
        <w:t xml:space="preserve"> Azáltal, hogy előmozdítja a tevékenység végzésének országában történő adózást, a nyilvánosság általi ellenőrzés lehetőségének biztosítása növeli a jólétet, hozzájárulhat a bizalom erősítéséhez és a vállalati társadalmi felelősségvállaláshoz, továbbá tárgyilagosabb vitát tesz lehetővé az adótörvények esetleges hiányosságairól.</w:t>
      </w:r>
    </w:p>
    <w:p>
      <w:pPr>
        <w:pBdr>
          <w:top w:val="nil"/>
          <w:left w:val="nil"/>
          <w:bottom w:val="nil"/>
          <w:right w:val="nil"/>
          <w:between w:val="nil"/>
          <w:bar w:val="nil"/>
        </w:pBdr>
        <w:spacing w:before="0" w:after="240"/>
        <w:rPr>
          <w:noProof/>
        </w:rPr>
      </w:pPr>
      <w:r>
        <w:rPr>
          <w:noProof/>
        </w:rPr>
        <w:t>2015 márciusában a Bizottság átfogó intézkedéscsomagot terjesztett elő a méltányosabb társaságiadó-rendszerről szóló cselekvési tervében (COM(2015) 302), majd az adókikerülés elleni későbbi csomag</w:t>
      </w:r>
      <w:r>
        <w:rPr>
          <w:rStyle w:val="FootnoteReference"/>
          <w:noProof/>
        </w:rPr>
        <w:footnoteReference w:id="2"/>
      </w:r>
      <w:r>
        <w:rPr>
          <w:noProof/>
        </w:rPr>
        <w:t xml:space="preserve"> részeként javasolta, hogy az Unió vezesse be az adóalap-erózió és a nyereségátcsoportosítás (BEPS) elleni küzdelem érdekében a G20-ak által elfogadott OECD cselekvési terv 13. fellépését. Ennek eredményeként az adóhatóságok országonkénti jelentést kapnak majd a multinacionális vállalkozásoktól a befizetett nyereségadókról; ez lehetővé fogja tenni az adótörvények eredményesebb betartását.</w:t>
      </w:r>
    </w:p>
    <w:p>
      <w:pPr>
        <w:pBdr>
          <w:top w:val="nil"/>
          <w:left w:val="nil"/>
          <w:bottom w:val="nil"/>
          <w:right w:val="nil"/>
          <w:between w:val="nil"/>
          <w:bar w:val="nil"/>
        </w:pBdr>
        <w:spacing w:before="0" w:after="240"/>
        <w:rPr>
          <w:noProof/>
        </w:rPr>
      </w:pPr>
      <w:r>
        <w:rPr>
          <w:noProof/>
        </w:rPr>
        <w:t xml:space="preserve">A G20-ak felhívásának és az egyéb hasonló kezdeményezéseknek a teljesítése érdekében a vállalkozásoknak lehetővé kell tenniük a nyilvánosság számára annak ellenőrzését, hogy ott adóznak-e, ahol a nyereséget megtermelik. Ez a javaslat előírja a multinacionális vállalkozások számára, hogy külön jelentés keretében hozzák nyilvánosságra az általuk fizetett nyereségadót és az egyéb releváns adójellegű információkat. E kiegészítő átláthatósági követelmények a 750 millió EUR-nál magasabb árbevétellel rendelkező multinacionális vállalkozásokra vonatkoznának, függetlenül attól, hogy székhelyük az Unióban vagy azon kívül található-e. Ezzel első ízben vonatkoznak majd azonos beszámolási követelmények nemcsak az európai vállalkozásokra, hanem az Európában tevékenységet végző nem európai multinacionális vállalkozásokra is. </w:t>
      </w:r>
    </w:p>
    <w:p>
      <w:pPr>
        <w:pBdr>
          <w:top w:val="nil"/>
          <w:left w:val="nil"/>
          <w:bottom w:val="nil"/>
          <w:right w:val="nil"/>
          <w:between w:val="nil"/>
          <w:bar w:val="nil"/>
        </w:pBdr>
        <w:spacing w:before="0" w:after="240"/>
        <w:rPr>
          <w:noProof/>
        </w:rPr>
      </w:pPr>
      <w:r>
        <w:rPr>
          <w:noProof/>
        </w:rPr>
        <w:t xml:space="preserve">A jó adóügyi kormányzás nemzetközi normáinak nem megfelelő harmadik joghatóságok különösen vonzó lehetőséget kínálnak az adókikerülésre és az adócsalásra. Az ilyen joghatóságokban aktív multinacionális vállalkozásokra speciális átláthatósági követelményeknek kell vonatkozniuk. </w:t>
      </w:r>
    </w:p>
    <w:p>
      <w:pPr>
        <w:pBdr>
          <w:top w:val="nil"/>
          <w:left w:val="nil"/>
          <w:bottom w:val="nil"/>
          <w:right w:val="nil"/>
          <w:between w:val="nil"/>
          <w:bar w:val="nil"/>
        </w:pBdr>
        <w:spacing w:before="0" w:after="240"/>
        <w:rPr>
          <w:noProof/>
        </w:rPr>
      </w:pPr>
    </w:p>
    <w:p>
      <w:pPr>
        <w:pBdr>
          <w:top w:val="nil"/>
          <w:left w:val="nil"/>
          <w:bottom w:val="nil"/>
          <w:right w:val="nil"/>
          <w:between w:val="nil"/>
          <w:bar w:val="nil"/>
        </w:pBdr>
        <w:spacing w:before="0" w:after="240"/>
        <w:rPr>
          <w:noProof/>
        </w:rPr>
      </w:pPr>
      <w:r>
        <w:rPr>
          <w:noProof/>
        </w:rPr>
        <w:t>Ez a javaslat az adózási átláthatóságra vonatkozó globális OECD-kezdeményezések hatályával összhangban a 750 millió EUR-nál magasabb világszinten konszolidált nettó árbevétellel rendelkező vállalatcsoportokra összpontosít, és a kis- és középvállalkozásokra semmilyen kötelezettséget nem ró</w:t>
      </w:r>
      <w:bookmarkStart w:id="1" w:name="_Ref447012652"/>
      <w:r>
        <w:rPr>
          <w:rStyle w:val="FootnoteReference"/>
          <w:noProof/>
        </w:rPr>
        <w:footnoteReference w:id="3"/>
      </w:r>
      <w:bookmarkEnd w:id="1"/>
      <w:r>
        <w:rPr>
          <w:noProof/>
        </w:rPr>
        <w:t>. A javaslat mind hatályát, mind a nyilvánosságra hozandó információkat tekintve arányos, annak érdekében, hogy az érintett vállalkozások megfelelési és egyéb költségeit korlátozza, versenyképességüket ne veszélyeztesse, és ne tegye ki őket indokolatlanul a kettős adóztatás veszélyének. A javaslat továbbá megfelel a G20-ak és az OECD által szorgalmazott többoldalú megközelítésnek. A Bizottság minden érintett nemzetközi partnerrel kezdeményező módon tovább dolgozik majd az érintett kérdéseken.</w:t>
      </w:r>
    </w:p>
    <w:p>
      <w:pPr>
        <w:pStyle w:val="ManualHeading2"/>
        <w:rPr>
          <w:rFonts w:eastAsia="Arial Unicode MS"/>
          <w:noProof/>
          <w:color w:val="000000"/>
          <w:u w:color="000000"/>
          <w:bdr w:val="nil"/>
        </w:rPr>
      </w:pPr>
      <w:r>
        <w:rPr>
          <w:noProof/>
          <w:color w:val="000000"/>
          <w:u w:color="000000"/>
          <w:bdr w:val="nil"/>
        </w:rPr>
        <w:t>•</w:t>
      </w:r>
      <w:r>
        <w:rPr>
          <w:noProof/>
        </w:rPr>
        <w:tab/>
        <w:t>A javaslatnak a szabályozási terület jelenlegi rendelkezéseivel való összhangja</w:t>
      </w:r>
    </w:p>
    <w:p>
      <w:pPr>
        <w:pBdr>
          <w:top w:val="nil"/>
          <w:left w:val="nil"/>
          <w:bottom w:val="nil"/>
          <w:right w:val="nil"/>
          <w:between w:val="nil"/>
          <w:bar w:val="nil"/>
        </w:pBdr>
        <w:spacing w:before="0" w:after="240"/>
        <w:rPr>
          <w:noProof/>
        </w:rPr>
      </w:pPr>
      <w:r>
        <w:rPr>
          <w:noProof/>
        </w:rPr>
        <w:t>Ez a javaslat kiegészíti a vállalkozások jelenlegi pénzügyi beszámolási követelményeit, miközben ezeket például a pénzügyi kimutatások vonatkozásában nem érinti.</w:t>
      </w:r>
    </w:p>
    <w:p>
      <w:pPr>
        <w:pBdr>
          <w:top w:val="nil"/>
          <w:left w:val="nil"/>
          <w:bottom w:val="nil"/>
          <w:right w:val="nil"/>
          <w:between w:val="nil"/>
          <w:bar w:val="nil"/>
        </w:pBdr>
        <w:spacing w:before="0" w:after="240"/>
        <w:rPr>
          <w:noProof/>
        </w:rPr>
      </w:pPr>
      <w:r>
        <w:rPr>
          <w:noProof/>
        </w:rPr>
        <w:t>Ez a javaslat nem módosítja a nem pénzügyi beszámolásra és a banki ágazatban</w:t>
      </w:r>
      <w:r>
        <w:rPr>
          <w:rStyle w:val="FootnoteReference"/>
          <w:noProof/>
        </w:rPr>
        <w:footnoteReference w:id="4"/>
      </w:r>
      <w:r>
        <w:rPr>
          <w:noProof/>
        </w:rPr>
        <w:t>, valamint a nyersanyag- és fakitermelő ágazatokban</w:t>
      </w:r>
      <w:r>
        <w:rPr>
          <w:rStyle w:val="FootnoteReference"/>
          <w:noProof/>
        </w:rPr>
        <w:footnoteReference w:id="5"/>
      </w:r>
      <w:r>
        <w:rPr>
          <w:noProof/>
        </w:rPr>
        <w:t xml:space="preserve"> alkalmazott országonkénti jelentéstételre vonatkozó jelenlegi szabályokat. Bevezet mindamellett egy kivételi rendelkezést az uniós banki jogszabályok alapján már most is szigorú nyilvános adatszolgáltatásra kötelezett banki ágazat kettős jelentéstételének elkerülése céljából. </w:t>
      </w:r>
    </w:p>
    <w:p>
      <w:pPr>
        <w:pStyle w:val="ManualHeading2"/>
        <w:rPr>
          <w:rFonts w:eastAsia="Arial Unicode MS"/>
          <w:noProof/>
        </w:rPr>
      </w:pPr>
      <w:r>
        <w:rPr>
          <w:noProof/>
          <w:color w:val="000000"/>
          <w:u w:color="000000"/>
          <w:bdr w:val="nil"/>
        </w:rPr>
        <w:t>•</w:t>
      </w:r>
      <w:r>
        <w:rPr>
          <w:noProof/>
        </w:rPr>
        <w:tab/>
        <w:t>A javaslat egyéb uniós politikákkal való összhangja</w:t>
      </w:r>
    </w:p>
    <w:p>
      <w:pPr>
        <w:pBdr>
          <w:top w:val="nil"/>
          <w:left w:val="nil"/>
          <w:bottom w:val="nil"/>
          <w:right w:val="nil"/>
          <w:between w:val="nil"/>
          <w:bar w:val="nil"/>
        </w:pBdr>
        <w:spacing w:before="0" w:after="240"/>
        <w:rPr>
          <w:noProof/>
        </w:rPr>
      </w:pPr>
      <w:r>
        <w:rPr>
          <w:noProof/>
        </w:rPr>
        <w:t>Az adóalap-erózió és a nyereségátcsoportosítás (BEPS) elleni küzdelem érdekében a G20-ak által elfogadott OECD cselekvési terv nyomán 2016 januárjában előterjesztett adókikerülés elleni csomag</w:t>
      </w:r>
      <w:r>
        <w:rPr>
          <w:rStyle w:val="FootnoteReference"/>
          <w:noProof/>
        </w:rPr>
        <w:footnoteReference w:id="6"/>
      </w:r>
      <w:r>
        <w:rPr>
          <w:noProof/>
        </w:rPr>
        <w:t xml:space="preserve"> előírja a kiemelkedően nagy multinacionális vállalkozások számára, hogy országonkénti adatokat szolgáltassanak az adóhatóságok számára. Ezek az adatok nem nyilvánosak. Az adókikerülés elleni csomag e követelménye az adóhatósági adóellenőrzések orientálását és a megfelelés biztosítását segíti elő.</w:t>
      </w:r>
    </w:p>
    <w:p>
      <w:pPr>
        <w:rPr>
          <w:noProof/>
        </w:rPr>
      </w:pPr>
      <w:r>
        <w:rPr>
          <w:noProof/>
        </w:rPr>
        <w:t xml:space="preserve">A jelen javaslat kiegészíti az adókikerülés elleni csomagban előterjesztett javaslatot, célja azonban más. Ugyanazon multinacionális vállalkozások számára azt írja elő, hogy hozzák nyilvánosságra az adóhatóságoknak benyújtott adatok bizonyos körét. </w:t>
      </w:r>
    </w:p>
    <w:p>
      <w:pPr>
        <w:pBdr>
          <w:top w:val="nil"/>
          <w:left w:val="nil"/>
          <w:bottom w:val="nil"/>
          <w:right w:val="nil"/>
          <w:between w:val="nil"/>
          <w:bar w:val="nil"/>
        </w:pBdr>
        <w:spacing w:before="0" w:after="240"/>
        <w:rPr>
          <w:b/>
          <w:noProof/>
        </w:rPr>
      </w:pPr>
      <w:r>
        <w:rPr>
          <w:noProof/>
        </w:rPr>
        <w:t xml:space="preserve">Ez a javaslat hozzájárul a vállalati társadalmi felelősségvállalásra, a növekedésre és a foglalkoztatásra irányuló uniós szakpolitikákhoz. Ez a javaslat reagál az Európai Parlament társasági adóval kapcsolatos országonkénti jelentéstételre vonatkozó felhívásaira. </w:t>
      </w:r>
    </w:p>
    <w:p>
      <w:pPr>
        <w:pStyle w:val="ManualHeading1"/>
        <w:rPr>
          <w:noProof/>
        </w:rPr>
      </w:pPr>
      <w:r>
        <w:rPr>
          <w:noProof/>
        </w:rPr>
        <w:t>2.</w:t>
      </w:r>
      <w:r>
        <w:rPr>
          <w:noProof/>
        </w:rPr>
        <w:tab/>
        <w:t>JOGALAP, SZUBSZIDIARITÁS ÉS ARÁNYOSSÁG</w:t>
      </w:r>
    </w:p>
    <w:p>
      <w:pPr>
        <w:pStyle w:val="ManualHeading2"/>
        <w:rPr>
          <w:rFonts w:eastAsia="Arial Unicode MS"/>
          <w:noProof/>
          <w:u w:color="000000"/>
          <w:bdr w:val="nil"/>
        </w:rPr>
      </w:pPr>
      <w:r>
        <w:rPr>
          <w:noProof/>
        </w:rPr>
        <w:t>•</w:t>
      </w:r>
      <w:r>
        <w:rPr>
          <w:noProof/>
        </w:rPr>
        <w:tab/>
        <w:t>Jogalap</w:t>
      </w:r>
    </w:p>
    <w:p>
      <w:pPr>
        <w:pBdr>
          <w:top w:val="nil"/>
          <w:left w:val="nil"/>
          <w:bottom w:val="nil"/>
          <w:right w:val="nil"/>
          <w:between w:val="nil"/>
          <w:bar w:val="nil"/>
        </w:pBdr>
        <w:spacing w:before="0" w:after="240"/>
        <w:rPr>
          <w:noProof/>
        </w:rPr>
      </w:pPr>
      <w:r>
        <w:rPr>
          <w:noProof/>
        </w:rPr>
        <w:t>E kezdeményezés megfelelő jogalapja az EUMSZ 50. cikkének (1) bekezdése, tekintettel arra, hogy a kezdeményezés az említett cikken alapuló, meglévő irányelvet módosít.</w:t>
      </w:r>
    </w:p>
    <w:p>
      <w:pPr>
        <w:pStyle w:val="ManualHeading2"/>
        <w:rPr>
          <w:rFonts w:eastAsia="Arial Unicode MS"/>
          <w:noProof/>
          <w:u w:color="000000"/>
          <w:bdr w:val="nil"/>
        </w:rPr>
      </w:pPr>
      <w:r>
        <w:rPr>
          <w:noProof/>
        </w:rPr>
        <w:t>•</w:t>
      </w:r>
      <w:r>
        <w:rPr>
          <w:noProof/>
        </w:rPr>
        <w:tab/>
        <w:t>Szubszidiaritás (nem kizárólagos hatáskör esetén)</w:t>
      </w:r>
    </w:p>
    <w:p>
      <w:pPr>
        <w:rPr>
          <w:noProof/>
        </w:rPr>
      </w:pPr>
      <w:r>
        <w:rPr>
          <w:noProof/>
        </w:rPr>
        <w:t>Egy mindinkább globálissá váló, integrált és digitalizált gazdaságban a vállalkozások és a termelési értékláncok egyre kevésbé tükrözik a nemzeti vagy a regionális határokat. Ezzel szemben az adópolitika és adóigazgatás jórészt nemzeti hatáskörben maradt. Számos adótervezési struktúra és transzferár-megállapodás határokon átnyúló jellege miatt a multinacionális vállalkozások könnyedén áthelyezhetik adóbázisukat az egyik joghatóságból egy másikba, az Unión belül vagy azon kívül. Következésképpen a szubszidiaritás alapján uniós fellépésre van szükség az agresszív adótervezésből vagy a transzferár-megállapodásokból eredő problémák határokon átnyúló dimenziójának kezelésére.</w:t>
      </w:r>
    </w:p>
    <w:p>
      <w:pPr>
        <w:pStyle w:val="ManualHeading2"/>
        <w:rPr>
          <w:rFonts w:eastAsia="Arial Unicode MS"/>
          <w:noProof/>
          <w:u w:color="000000"/>
          <w:bdr w:val="nil"/>
        </w:rPr>
      </w:pPr>
      <w:r>
        <w:rPr>
          <w:noProof/>
        </w:rPr>
        <w:t>•</w:t>
      </w:r>
      <w:r>
        <w:rPr>
          <w:noProof/>
        </w:rPr>
        <w:tab/>
        <w:t>Arányosság</w:t>
      </w:r>
    </w:p>
    <w:p>
      <w:pPr>
        <w:rPr>
          <w:noProof/>
          <w:szCs w:val="24"/>
        </w:rPr>
      </w:pPr>
      <w:r>
        <w:rPr>
          <w:noProof/>
        </w:rPr>
        <w:t>Hatálya és tartalma tekintetében ez a kezdeményezés nagyrészt a G20-ak keretében elért nemzetközi konszenzusra épül. Biztosítja a nyilvános átláthatóságból fakadó előnyök és az erős és stabil uniós gazdaság iránti igény közötti helyes egyensúlyt. A kezdeményezés az érdekelt feleknek az egységes piac torzulásaival kapcsolatban megfogalmazott aggályaira válaszol, éspedig anélkül, hogy veszélyeztetné az Unió versenyképességét. Nem vezet be indokolatlan adminisztratív terheket a vállalkozások számára, nem okoz új adókonfliktusokat, és nem jár a kettős adóztatás kockázatával. Tartalma a nagyobb átláthatóság céljának megvalósításához szükséges elemekre korlátozódik.</w:t>
      </w:r>
    </w:p>
    <w:p>
      <w:pPr>
        <w:pStyle w:val="ManualHeading2"/>
        <w:rPr>
          <w:rFonts w:eastAsia="Arial Unicode MS"/>
          <w:noProof/>
          <w:u w:color="000000"/>
          <w:bdr w:val="nil"/>
        </w:rPr>
      </w:pPr>
      <w:r>
        <w:rPr>
          <w:noProof/>
        </w:rPr>
        <w:t>•</w:t>
      </w:r>
      <w:r>
        <w:rPr>
          <w:noProof/>
        </w:rPr>
        <w:tab/>
        <w:t>A jogi aktus típusának megválasztása</w:t>
      </w:r>
    </w:p>
    <w:p>
      <w:pPr>
        <w:pBdr>
          <w:top w:val="nil"/>
          <w:left w:val="nil"/>
          <w:bottom w:val="nil"/>
          <w:right w:val="nil"/>
          <w:between w:val="nil"/>
          <w:bar w:val="nil"/>
        </w:pBdr>
        <w:spacing w:before="0" w:after="240"/>
        <w:rPr>
          <w:rFonts w:eastAsia="Arial Unicode MS"/>
          <w:noProof/>
        </w:rPr>
      </w:pPr>
      <w:r>
        <w:rPr>
          <w:noProof/>
        </w:rPr>
        <w:t>Tekintettel a jogalapra és a kezdeményezésnek a vállalati beszámolókkal, köztük a nem pénzügyi beszámolókkal való szoros kapcsolatára, a számviteli irányelv módosítását javasoljuk.</w:t>
      </w:r>
    </w:p>
    <w:p>
      <w:pPr>
        <w:pStyle w:val="ManualHeading1"/>
        <w:rPr>
          <w:noProof/>
        </w:rPr>
      </w:pPr>
      <w:r>
        <w:rPr>
          <w:noProof/>
        </w:rPr>
        <w:t>3.</w:t>
      </w:r>
      <w:r>
        <w:rPr>
          <w:noProof/>
        </w:rPr>
        <w:tab/>
        <w:t>AZ UTÓLAGOS ÉRTÉKELÉSEK, AZ ÉRDEKELT FELEKKEL FOLYTATOTT KONZULTÁCIÓK ÉS A HATÁSVIZSGÁLATOK EREDMÉNYEI</w:t>
      </w:r>
    </w:p>
    <w:p>
      <w:pPr>
        <w:pStyle w:val="ManualHeading2"/>
        <w:rPr>
          <w:rFonts w:eastAsia="Arial Unicode MS"/>
          <w:noProof/>
          <w:u w:color="000000"/>
          <w:bdr w:val="nil"/>
        </w:rPr>
      </w:pPr>
      <w:r>
        <w:rPr>
          <w:noProof/>
        </w:rPr>
        <w:t>•</w:t>
      </w:r>
      <w:r>
        <w:rPr>
          <w:noProof/>
        </w:rPr>
        <w:tab/>
        <w:t>A jelenleg hatályban lévő jogszabályok utólagos értékelése / célravezetőségi vizsgálata</w:t>
      </w:r>
    </w:p>
    <w:p>
      <w:pPr>
        <w:pBdr>
          <w:top w:val="nil"/>
          <w:left w:val="nil"/>
          <w:bottom w:val="nil"/>
          <w:right w:val="nil"/>
          <w:between w:val="nil"/>
          <w:bar w:val="nil"/>
        </w:pBdr>
        <w:spacing w:before="0" w:after="240"/>
        <w:rPr>
          <w:noProof/>
        </w:rPr>
      </w:pPr>
      <w:r>
        <w:rPr>
          <w:noProof/>
        </w:rPr>
        <w:t>Ez a javaslat országonkénti jelentéstételt vezet be; ez a legtöbb iparág tekintetében újdonságot jelent. Hasonló jelentéstételi követelmény eddig a banki és a nyersanyag- és fakitermelő ágazatban került bevezetésre. Az országonkénti jelentéstétellel kapcsolatban a követelmény 2015. évi hatálybalépése óta a banki ágazatban szerzett tapasztalatok azt mutatják, hogy az országonkénti jelentéstétel hasznos eszköz annak megállapítására, hogy a vállalkozások ott adóznak-e, ahol a nyereségük keletkezik.</w:t>
      </w:r>
    </w:p>
    <w:p>
      <w:pPr>
        <w:pStyle w:val="ManualHeading2"/>
        <w:rPr>
          <w:rFonts w:eastAsia="Arial Unicode MS"/>
          <w:noProof/>
          <w:u w:color="000000"/>
          <w:bdr w:val="nil"/>
        </w:rPr>
      </w:pPr>
      <w:r>
        <w:rPr>
          <w:noProof/>
        </w:rPr>
        <w:t>•</w:t>
      </w:r>
      <w:r>
        <w:rPr>
          <w:noProof/>
        </w:rPr>
        <w:tab/>
        <w:t>Konzultációk</w:t>
      </w:r>
    </w:p>
    <w:p>
      <w:pPr>
        <w:rPr>
          <w:noProof/>
          <w:szCs w:val="24"/>
        </w:rPr>
      </w:pPr>
      <w:r>
        <w:rPr>
          <w:noProof/>
        </w:rPr>
        <w:t>A bizottsági szolgálatok 2015 júniusa és decembere között széles körű konzultációkat folytattak, melyek során több mint négyszáz – az üzleti szférát, a szakmai szervezeteket, a nem kormányzati szervezeteket, az állampolgárokat és a tudományos műhelyeket képviselő – válaszadó fejtette ki a témával kapcsolatos véleményét. A konzultációt összefoglaló dokumentum elérhető az Európai Bizottság weboldalán</w:t>
      </w:r>
      <w:r>
        <w:rPr>
          <w:rStyle w:val="FootnoteReference"/>
          <w:noProof/>
        </w:rPr>
        <w:footnoteReference w:id="7"/>
      </w:r>
      <w:r>
        <w:rPr>
          <w:noProof/>
        </w:rPr>
        <w:t>. A konzultáció mellett eseti megbeszélésekre, találkozókra és egy magas szintű kerekasztal-konferenciára</w:t>
      </w:r>
      <w:r>
        <w:rPr>
          <w:rStyle w:val="FootnoteReference"/>
          <w:noProof/>
        </w:rPr>
        <w:footnoteReference w:id="8"/>
      </w:r>
      <w:r>
        <w:rPr>
          <w:noProof/>
        </w:rPr>
        <w:t xml:space="preserve"> is sor került, amelyek lehetővé tették a Bizottság számára a szóban forgó kihívások, illetve a társasági adózás nagyobb nyilvánosságából fakadó előnyök és kockázatok alaposabb megértését. A kapott észrevételeket a Bizottság kivétel nélkül gondosan elemezte és figyelembe vette.</w:t>
      </w:r>
    </w:p>
    <w:p>
      <w:pPr>
        <w:rPr>
          <w:noProof/>
          <w:szCs w:val="24"/>
        </w:rPr>
      </w:pPr>
      <w:r>
        <w:rPr>
          <w:noProof/>
        </w:rPr>
        <w:t>A nyilvános konzultációra reagáló legtöbb egyéni válaszadó szorgalmazta, hogy az EU járjon elöl a vitában, és szükség esetén fogalmazzon meg az országonkénti jelentéstételre vonatkozó jelenlegi nemzetközi kezdeményezéseknél akár előremutatóbb javaslatokat is. Ezzel az állásponttal többnyire a nem kormányzati szervezetek és a szakszervezetek is egyetértettek. A legtöbb vállalkozás ellenben azt jelezte, hogy nem tartaná kedvezőnek, ha az EU túlmenne a G20-ak/OECD BEPS cselekvési tervében megfogalmazottakon, azaz a mindössze az adóhatóságok felé teljesítendő országonkénti jelentéstétel uniós szinten történő végrehajtásán.</w:t>
      </w:r>
    </w:p>
    <w:p>
      <w:pPr>
        <w:pStyle w:val="ManualHeading2"/>
        <w:rPr>
          <w:rFonts w:eastAsia="Arial Unicode MS"/>
          <w:noProof/>
          <w:u w:color="000000"/>
          <w:bdr w:val="nil"/>
        </w:rPr>
      </w:pPr>
      <w:r>
        <w:rPr>
          <w:noProof/>
        </w:rPr>
        <w:t>•</w:t>
      </w:r>
      <w:r>
        <w:rPr>
          <w:noProof/>
        </w:rPr>
        <w:tab/>
        <w:t>Szakértői vélemények összegyűjtése és felhasználása</w:t>
      </w:r>
    </w:p>
    <w:p>
      <w:pPr>
        <w:pBdr>
          <w:top w:val="nil"/>
          <w:left w:val="nil"/>
          <w:bottom w:val="nil"/>
          <w:right w:val="nil"/>
          <w:between w:val="nil"/>
          <w:bar w:val="nil"/>
        </w:pBdr>
        <w:spacing w:before="0" w:after="240"/>
        <w:rPr>
          <w:noProof/>
          <w:szCs w:val="24"/>
        </w:rPr>
      </w:pPr>
      <w:r>
        <w:rPr>
          <w:noProof/>
        </w:rPr>
        <w:t>A Bizottság szolgálatai az adózási átláthatóság témájában 2015. szeptember 24-én találkozót tartottak a jó adóügyi kormányzással foglalkozó platform keretében</w:t>
      </w:r>
      <w:r>
        <w:rPr>
          <w:rStyle w:val="FootnoteReference"/>
          <w:noProof/>
        </w:rPr>
        <w:footnoteReference w:id="9"/>
      </w:r>
      <w:r>
        <w:rPr>
          <w:noProof/>
        </w:rPr>
        <w:t>. Egyéb kutatások mellett a Bizottság szolgálatai 2014-ben a PwC-től rendeltek meg tanulmányt</w:t>
      </w:r>
      <w:r>
        <w:rPr>
          <w:rStyle w:val="FootnoteReference"/>
          <w:noProof/>
        </w:rPr>
        <w:footnoteReference w:id="10"/>
      </w:r>
      <w:r>
        <w:rPr>
          <w:noProof/>
        </w:rPr>
        <w:t xml:space="preserve"> az országonkénti jelentéstétel bankokra gyakorolt lehetséges gazdasági hatásairól. Az Európai Bizottság honlapján hozzáférhető a Bizottság által e kezdeményezés támogatása érdekében folytatott valamennyi konzultációs tevékenységet összefoglaló jelentés.</w:t>
      </w:r>
    </w:p>
    <w:p>
      <w:pPr>
        <w:pStyle w:val="ManualHeading2"/>
        <w:rPr>
          <w:rFonts w:eastAsia="Arial Unicode MS"/>
          <w:noProof/>
          <w:u w:color="000000"/>
          <w:bdr w:val="nil"/>
        </w:rPr>
      </w:pPr>
      <w:r>
        <w:rPr>
          <w:noProof/>
        </w:rPr>
        <w:t>•</w:t>
      </w:r>
      <w:r>
        <w:rPr>
          <w:noProof/>
        </w:rPr>
        <w:tab/>
        <w:t>Hatásvizsgálat</w:t>
      </w:r>
    </w:p>
    <w:p>
      <w:pPr>
        <w:pBdr>
          <w:top w:val="nil"/>
          <w:left w:val="nil"/>
          <w:bottom w:val="nil"/>
          <w:right w:val="nil"/>
          <w:between w:val="nil"/>
          <w:bar w:val="nil"/>
        </w:pBdr>
        <w:spacing w:before="0" w:after="240"/>
        <w:rPr>
          <w:noProof/>
          <w:szCs w:val="24"/>
        </w:rPr>
      </w:pPr>
      <w:r>
        <w:rPr>
          <w:noProof/>
        </w:rPr>
        <w:t>A javaslatot hatásvizsgálat támasztja alá, amelyet a Szabályozói Ellenőrzési Testület kedvezően fogadott. A Testület véleményének tükrében a Bizottság a hatásvizsgálat több elemét tökéletesítette. Először is, a hatásvizsgálat jobban elkülöníti egymástól a társaságiadó-kikerülés közvetlen kezelését célzó intézkedéseket azoktól a közvetett előnyöktől, amelyek várhatóan a nagyobb átláthatóságból erednek. Másodszor, a hatásvizsgálat részletesebben foglalkozik az önkéntes közzététel lehetőségével (címkézési rendszer). Harmadszor, a becsült hatások értékelése egyértelműbben elkülönül az alapforgatókönyvbe tartozó egyéb adókikerülés elleni intézkedések hatásától.</w:t>
      </w:r>
    </w:p>
    <w:p>
      <w:pPr>
        <w:pBdr>
          <w:top w:val="nil"/>
          <w:left w:val="nil"/>
          <w:bottom w:val="nil"/>
          <w:right w:val="nil"/>
          <w:between w:val="nil"/>
          <w:bar w:val="nil"/>
        </w:pBdr>
        <w:spacing w:before="0" w:after="240"/>
        <w:rPr>
          <w:noProof/>
          <w:szCs w:val="24"/>
        </w:rPr>
      </w:pPr>
      <w:r>
        <w:rPr>
          <w:noProof/>
        </w:rPr>
        <w:t>A jelen javaslat a hatásvizsgálatban azonosított, előnyben részesített lehetőségen alapul: ez nyilvános, országonkénti jelentéstételt foglal magában a világ minden részén folytatott tevékenységekre vonatkozóan, az uniós tagállamok esetében országos bontásban, a nem uniós gazdasági egységek vonatkozásában pedig aggregáltan. A javaslat minden olyan, legalább 750 millió EUR-s árbevételű uniós és nem uniós multinacionális vállalkozásra vonatkozik, amely az EU-ban legalább egy letelepedett egysége útján tevékenységet folytat. A nyilvánosságra hozandó információk típusai között szerepel a megfizetett és az esedékes nyereségadó, valamint a szükséges kontextuális információk. A javaslat két területen tér el a hatásvizsgálattól: kifinomultabbá vált a nem uniós gazdasági egységekkel kapcsolatos jelentéstétel tekintetében, amelyek közül bizonyos adójogrendszerek esetében az uniós tagállamokéval azonos részletességű értékelésre lesz szükség. A Bizottság javasolja továbbá a felhalmozott nyereség országonkénti alapon történő közzétételét, valamint csoportszinten magyarázat előírását abban az esetben, ha lényeges különbség van az esedékes és a ténylegesen megfizetett nyereségadó összege között.</w:t>
      </w:r>
    </w:p>
    <w:p>
      <w:pPr>
        <w:pBdr>
          <w:top w:val="nil"/>
          <w:left w:val="nil"/>
          <w:bottom w:val="nil"/>
          <w:right w:val="nil"/>
          <w:between w:val="nil"/>
          <w:bar w:val="nil"/>
        </w:pBdr>
        <w:spacing w:before="0" w:after="240"/>
        <w:rPr>
          <w:noProof/>
          <w:szCs w:val="24"/>
        </w:rPr>
      </w:pPr>
      <w:r>
        <w:rPr>
          <w:noProof/>
        </w:rPr>
        <w:t xml:space="preserve">A társadalmi előnyök tekintetében ez a kezdeményezés a multinacionális csoportok adóügyeinek fokozottabb átláthatóságát sürgető mind határozottabb igényekre válaszol. Azáltal, hogy több információt és áttekinthetőbb formában tesz hozzáférhetővé, egyúttal az adórendszer méltányossága iránti közbizalom növekedéséhez is hozzájárul. </w:t>
      </w:r>
    </w:p>
    <w:p>
      <w:pPr>
        <w:pBdr>
          <w:top w:val="nil"/>
          <w:left w:val="nil"/>
          <w:bottom w:val="nil"/>
          <w:right w:val="nil"/>
          <w:between w:val="nil"/>
          <w:bar w:val="nil"/>
        </w:pBdr>
        <w:spacing w:before="0" w:after="240"/>
        <w:rPr>
          <w:noProof/>
          <w:szCs w:val="24"/>
        </w:rPr>
      </w:pPr>
      <w:r>
        <w:rPr>
          <w:noProof/>
        </w:rPr>
        <w:t>Ami a gazdasági hatásokat illeti, a javaslat nem jár jelentős adminisztratív többletterhekkel, mivel a kiemelkedően nagy multinacionális társaságoknak az adókikerülés elleni csomag alkalmazásától kezdve amúgy is átfogóbb országonkénti adatszolgáltatást kell teljesíteniük az adóhatóságok felé. Az Unióban tevékenységet végző minden kiemelkedően nagy multinacionális vállalkozásnak azonos közzétételi követelményt kell betartania, akár az EU-ban, akár harmadik országban honos. Emellett a nyilvános országonkénti jelentés egyetlen dokumentumban olyan információkat foglal össze, amelyek nagyrészt hozzáférhetők az egyes tagállamok céginformációs rendszereiben. Következésképpen a vállalkozások versenyképessége nem szenved kárt. Korlátozott marad továbbá az újabb adókonfliktusok megjelenésének és a kettős adóztatásnak a kockázata is, mivel a nyilvánosan hozzáférhető adózási információkat csak korlátozott számú adójogrendszer vonatkozásában kell országonkénti bontásban közzétenni. A más joghatóságokban működő gazdasági egységek tekintetében az információkat általában aggregált formában kell megjeleníteni.</w:t>
      </w:r>
    </w:p>
    <w:p>
      <w:pPr>
        <w:pStyle w:val="ManualHeading2"/>
        <w:rPr>
          <w:rFonts w:eastAsia="Arial Unicode MS"/>
          <w:noProof/>
          <w:u w:color="000000"/>
          <w:bdr w:val="nil"/>
        </w:rPr>
      </w:pPr>
      <w:r>
        <w:rPr>
          <w:noProof/>
        </w:rPr>
        <w:t>•</w:t>
      </w:r>
      <w:r>
        <w:rPr>
          <w:noProof/>
        </w:rPr>
        <w:tab/>
        <w:t>Célravezető szabályozás és egyszerűsítés</w:t>
      </w:r>
    </w:p>
    <w:p>
      <w:pPr>
        <w:rPr>
          <w:noProof/>
        </w:rPr>
      </w:pPr>
      <w:r>
        <w:rPr>
          <w:noProof/>
        </w:rPr>
        <w:t>Az uniós mikro- és kisvállalkozásokra ez a javaslat nem ró új kötelezettségeket. Az intézkedés kizárólag azokra a multinacionális vállalkozásokra vonatkozik, amelyek a leginkább képesek az adótervezésre – nevezetesen a legalább 750 millió EUR konszolidált árbevétellel rendelkező vállalatokra. A becslések szerint legalább 6000 olyan multinacionális vállalkozás tevékenykedik az EU-ban, amelynek országonkénti jelentéseket kell majd készítenie. Közülük mintegy 2000 rendelkezik az Unió területén székhellyel; ez az összesen 7,5 millió európai vállalkozásnak csupán töredéke. A nem uniós országokban letelepedett multinacionális vállalkozások lefedése érdekében a javaslatban előírt kötelezettség vonatkozik e vállalkozások EU-ban működő közepes és nagyobb méretű leányvállalataira, illetve hasonló méretű fióktelepeire.</w:t>
      </w:r>
    </w:p>
    <w:p>
      <w:pPr>
        <w:pBdr>
          <w:top w:val="nil"/>
          <w:left w:val="nil"/>
          <w:bottom w:val="nil"/>
          <w:right w:val="nil"/>
          <w:between w:val="nil"/>
          <w:bar w:val="nil"/>
        </w:pBdr>
        <w:spacing w:before="0" w:after="240"/>
        <w:rPr>
          <w:rFonts w:eastAsia="Arial Unicode MS"/>
          <w:noProof/>
        </w:rPr>
      </w:pPr>
      <w:r>
        <w:rPr>
          <w:noProof/>
        </w:rPr>
        <w:t>A digitalizált jelentéstétel elősegíti, hogy bármely érdekelt fél (befektető, civilszervezet) hozzáférjen az információkhoz, és feldolgozhassa azokat. Ennek okán az információkat a vállalkozás weboldalán kell közzétenni. A közzététel formátumát vagy nyelvét a javaslat nem határozza meg.</w:t>
      </w:r>
    </w:p>
    <w:p>
      <w:pPr>
        <w:pStyle w:val="ManualHeading2"/>
        <w:rPr>
          <w:rFonts w:eastAsia="Arial Unicode MS"/>
          <w:noProof/>
          <w:u w:color="000000"/>
          <w:bdr w:val="nil"/>
        </w:rPr>
      </w:pPr>
      <w:r>
        <w:rPr>
          <w:noProof/>
        </w:rPr>
        <w:t>•</w:t>
      </w:r>
      <w:r>
        <w:rPr>
          <w:noProof/>
        </w:rPr>
        <w:tab/>
        <w:t>Alapjogok</w:t>
      </w:r>
    </w:p>
    <w:p>
      <w:pPr>
        <w:rPr>
          <w:noProof/>
        </w:rPr>
      </w:pPr>
      <w:r>
        <w:rPr>
          <w:noProof/>
        </w:rPr>
        <w:t>Összességében a közzéteendő információk mértéke arányos az átláthatóság és a nyilvánosság növelésének céljával. A jelentéstétel az Unióban működő multinacionális csoportok legtöbbjének pénzügyi kimutatásaiban általában közzétett információkra épül.</w:t>
      </w:r>
    </w:p>
    <w:p>
      <w:pPr>
        <w:pStyle w:val="ManualHeading1"/>
        <w:rPr>
          <w:noProof/>
        </w:rPr>
      </w:pPr>
      <w:r>
        <w:rPr>
          <w:noProof/>
        </w:rPr>
        <w:t>4.</w:t>
      </w:r>
      <w:r>
        <w:rPr>
          <w:noProof/>
        </w:rPr>
        <w:tab/>
        <w:t>KÖLTSÉGVETÉSI VONZATOK</w:t>
      </w:r>
    </w:p>
    <w:p>
      <w:pPr>
        <w:rPr>
          <w:noProof/>
        </w:rPr>
      </w:pPr>
      <w:r>
        <w:rPr>
          <w:noProof/>
        </w:rPr>
        <w:t>A kezdeményezésnek nincs költségvetési hatása.</w:t>
      </w:r>
    </w:p>
    <w:p>
      <w:pPr>
        <w:pStyle w:val="ManualHeading1"/>
        <w:rPr>
          <w:noProof/>
        </w:rPr>
      </w:pPr>
      <w:r>
        <w:rPr>
          <w:noProof/>
        </w:rPr>
        <w:t>5.</w:t>
      </w:r>
      <w:r>
        <w:rPr>
          <w:noProof/>
        </w:rPr>
        <w:tab/>
        <w:t>EGYÉB ELEMEK</w:t>
      </w:r>
    </w:p>
    <w:p>
      <w:pPr>
        <w:pStyle w:val="ManualHeading2"/>
        <w:rPr>
          <w:rFonts w:eastAsia="Arial Unicode MS"/>
          <w:noProof/>
          <w:u w:color="000000"/>
          <w:bdr w:val="nil"/>
        </w:rPr>
      </w:pPr>
      <w:r>
        <w:rPr>
          <w:noProof/>
        </w:rPr>
        <w:t>•</w:t>
      </w:r>
      <w:r>
        <w:rPr>
          <w:noProof/>
        </w:rPr>
        <w:tab/>
        <w:t>Végrehajtási tervek, valamint a nyomon követés, az értékelés és a jelentéstétel szabályai</w:t>
      </w:r>
    </w:p>
    <w:p>
      <w:pPr>
        <w:rPr>
          <w:noProof/>
        </w:rPr>
      </w:pPr>
      <w:r>
        <w:rPr>
          <w:noProof/>
        </w:rPr>
        <w:t>A Bizottság a tagállamokkal együttműködve fogja nyomon követni a rendelkezések végrehajtását. Az átültetéstől időpontjától számított öt év elteltével a Bizottság értékelést készít az irányelvről.</w:t>
      </w:r>
    </w:p>
    <w:p>
      <w:pPr>
        <w:rPr>
          <w:noProof/>
        </w:rPr>
      </w:pPr>
      <w:r>
        <w:rPr>
          <w:noProof/>
        </w:rPr>
        <w:t>Az értékelésben megvizsgálja a javaslat eredményességét, hatékonyságát, relevanciáját, következetességét és a nyilvánosan elérhető információk tekintetében megvalósított hozzáadott értékét, valamint a vállalkozásokra vagy harmadik országokra gyakorolt esetleges jelentős hatásait. Az értékelés során a Bizottság az új nemzetközi fejleményeket is figyelembe veszi majd.</w:t>
      </w:r>
    </w:p>
    <w:p>
      <w:pPr>
        <w:pStyle w:val="ManualHeading2"/>
        <w:rPr>
          <w:rFonts w:eastAsia="Arial Unicode MS"/>
          <w:noProof/>
          <w:u w:color="000000"/>
          <w:bdr w:val="nil"/>
        </w:rPr>
      </w:pPr>
      <w:r>
        <w:rPr>
          <w:noProof/>
        </w:rPr>
        <w:t>•</w:t>
      </w:r>
      <w:r>
        <w:rPr>
          <w:noProof/>
        </w:rPr>
        <w:tab/>
        <w:t>Magyarázó dokumentumok</w:t>
      </w:r>
    </w:p>
    <w:p>
      <w:pPr>
        <w:rPr>
          <w:noProof/>
        </w:rPr>
      </w:pPr>
      <w:r>
        <w:rPr>
          <w:noProof/>
        </w:rPr>
        <w:t xml:space="preserve">Az országonkénti jelentéstétel viszonylag új elképzelés, amelynek technikailag pontos végrehajtása fontos tényező. E javaslat célkitűzéseinek teljesítése és a nemzeti jog keretében megvalósuló tagállami végrehajtás esetleges kiskapuinak és következetlenségeinek elkerülése érdekében magyarázó dokumentumokra lesz szükség az átültetés támogatására és a hatékony ellenőrzés biztosítására. </w:t>
      </w:r>
    </w:p>
    <w:p>
      <w:pPr>
        <w:rPr>
          <w:noProof/>
        </w:rPr>
      </w:pPr>
      <w:r>
        <w:rPr>
          <w:noProof/>
        </w:rPr>
        <w:t>Ez indokolja annak igényét, hogy a tagállamok az átültető intézkedésekről szóló értesítés mellett magyarázó dokumentumokat is benyújtsanak, például megfelelési táblázat formájában.</w:t>
      </w:r>
    </w:p>
    <w:p>
      <w:pPr>
        <w:pStyle w:val="ManualHeading2"/>
        <w:rPr>
          <w:rFonts w:eastAsia="Arial Unicode MS"/>
          <w:noProof/>
          <w:u w:color="000000"/>
          <w:bdr w:val="nil"/>
        </w:rPr>
      </w:pPr>
      <w:r>
        <w:rPr>
          <w:noProof/>
        </w:rPr>
        <w:t>•</w:t>
      </w:r>
      <w:r>
        <w:rPr>
          <w:noProof/>
        </w:rPr>
        <w:tab/>
        <w:t>A javaslat egyes rendelkezéseinek részletes magyarázata</w:t>
      </w:r>
    </w:p>
    <w:p>
      <w:pPr>
        <w:keepNext/>
        <w:rPr>
          <w:i/>
          <w:noProof/>
        </w:rPr>
      </w:pPr>
      <w:r>
        <w:rPr>
          <w:i/>
          <w:noProof/>
        </w:rPr>
        <w:t>Hatály – kiemelkedően nagy multinacionális csoportok</w:t>
      </w:r>
    </w:p>
    <w:p>
      <w:pPr>
        <w:rPr>
          <w:noProof/>
        </w:rPr>
      </w:pPr>
      <w:r>
        <w:rPr>
          <w:noProof/>
        </w:rPr>
        <w:t>A jelentéstételből fakadó terhek megfelelő egyensúlya érdekében az országonkénti jelentéstétel csak azon multinacionális csoportok számára lesz kötelező, amelyek összesített konszolidált csoportszintű árbevétele meghaladja a 750 millió EUR-t. Ez megegyezik az OECD BEPS-dokumentumában és az adókikerülés elleni csomagban meghatározott küszöbértékkel. Tekintettel a nyilvános adózási átláthatóságra mint specifikus célkitűzésre, és bizonyos tekintetben túlmutatva a banki ágazatban és a kitermelő ágazatokban jelenleg alkalmazott szabályokon, a 750 millió EUR-s küszöbértéket globális alapon kell számítani, és a multinacionális csoportoknak információt kell szolgáltatniuk globális tevékenységükről. Az OECD szerint e küszöbérték alapján csak a multinacionális vállalkozások 10–15%-ának kell majd országonkénti jelentéstételt készítenie, míg a jelentést készítő vállalkozások árbevétele az összes multinacionális vállalkozás teljes árbevételének 90%-át képviseli majd. A jelen javaslat nem érinti a kis- és középvállalkozásokat</w:t>
      </w:r>
      <w:r>
        <w:rPr>
          <w:rStyle w:val="FootnoteReference"/>
          <w:noProof/>
        </w:rPr>
        <w:footnoteReference w:id="11"/>
      </w:r>
      <w:r>
        <w:rPr>
          <w:noProof/>
        </w:rPr>
        <w:t xml:space="preserve">. </w:t>
      </w:r>
    </w:p>
    <w:p>
      <w:pPr>
        <w:rPr>
          <w:noProof/>
        </w:rPr>
      </w:pPr>
      <w:r>
        <w:rPr>
          <w:noProof/>
        </w:rPr>
        <w:t>A harmadik országokban székhellyel rendelkező multinacionális vállalkozások esetében a kötelezettség alanyai az illető vállalkozás EU-ban letelepedett valamennyi leányvállalata és fióktelepe, kivéve azt az esetet, amikor a nem uniós multinacionális vállalkozás nyilvánosan hozzáférhetővé teszi a csoportra vonatkozó országonkénti jelentést, és azonosítja azt az EU-ban letelepedett egyetlen leányvállalatát vagy fióktelepét, amely az anyavállalat nevében felelős a jelentés közzétételéért.</w:t>
      </w:r>
    </w:p>
    <w:p>
      <w:pPr>
        <w:rPr>
          <w:noProof/>
        </w:rPr>
      </w:pPr>
      <w:r>
        <w:rPr>
          <w:noProof/>
        </w:rPr>
        <w:t>Ez összhangban van a közigazgatási együttműködésről szóló irányelvvel</w:t>
      </w:r>
      <w:r>
        <w:rPr>
          <w:rStyle w:val="FootnoteReference"/>
          <w:noProof/>
        </w:rPr>
        <w:footnoteReference w:id="12"/>
      </w:r>
      <w:r>
        <w:rPr>
          <w:noProof/>
        </w:rPr>
        <w:t>, amelynek megfelelően az EU-ban letelepedett leányvállalatoknak vagy fióktelepeknek anyavállalatuk országonkénti jelentését be kell nyújtaniuk az adóhatóságnak. Ennek célja, hogy minden olyan információ az adóhatóság rendelkezésére álljon, amelynek alapján a hatóság felismerheti az esetleges káros adózási gyakorlatokat, de nem célja általános országonkénti adatok közzététele az átláthatóság javítása jegyében.</w:t>
      </w:r>
    </w:p>
    <w:p>
      <w:pPr>
        <w:rPr>
          <w:noProof/>
        </w:rPr>
      </w:pPr>
      <w:r>
        <w:rPr>
          <w:noProof/>
        </w:rPr>
        <w:t>Tekintettel a jelen kezdeményezés hatálya alá tartozó multinacionális vállalkozások meghatározása céljából javasolt határértékre és a jelenlegi uniós beszámolási kötelezettségekre, arányos és hatékony megoldás a beszámolási kötelezettséget az EU-ban letelepedett közepes és nagyobb méretű leányvállalatokra korlátozni. Így az összes EU-s vállalkozás 95%-át képviselő kisvállalkozásokra nem vonatkozik majd új kötelezettség.</w:t>
      </w:r>
    </w:p>
    <w:p>
      <w:pPr>
        <w:keepNext/>
        <w:rPr>
          <w:i/>
          <w:noProof/>
        </w:rPr>
      </w:pPr>
      <w:r>
        <w:rPr>
          <w:i/>
          <w:noProof/>
        </w:rPr>
        <w:t>Bankcsoportok</w:t>
      </w:r>
    </w:p>
    <w:p>
      <w:pPr>
        <w:rPr>
          <w:noProof/>
          <w:szCs w:val="24"/>
        </w:rPr>
      </w:pPr>
      <w:r>
        <w:rPr>
          <w:noProof/>
        </w:rPr>
        <w:t>A 2013/36/EU európai parlamenti és tanácsi irányelv 89. cikke értelmében az EU-ban letelepedett bankcsoportok esetében már jelenleg is alkalmazandó az országonkénti adatszolgáltatás. Amennyiben e bankcsoportok a jelen kezdeményezés hatálya alá tartozó multinacionális vállalkozások, mentesülnek a társaságiadó-információk közzétételének kötelezettsége alól, ha a 2013/36/EU irányelv 89. cikke alapján közzétett információk kiterjednek az EU-ban működő legfelső szintű anyavállalat és annak minden kapcsolódó vállalkozása tevékenységére</w:t>
      </w:r>
      <w:r>
        <w:rPr>
          <w:rStyle w:val="FootnoteReference"/>
          <w:noProof/>
        </w:rPr>
        <w:footnoteReference w:id="13"/>
      </w:r>
      <w:r>
        <w:rPr>
          <w:noProof/>
        </w:rPr>
        <w:t>.</w:t>
      </w:r>
    </w:p>
    <w:p>
      <w:pPr>
        <w:keepNext/>
        <w:rPr>
          <w:i/>
          <w:noProof/>
        </w:rPr>
      </w:pPr>
      <w:r>
        <w:rPr>
          <w:i/>
          <w:noProof/>
        </w:rPr>
        <w:t>Tartalom</w:t>
      </w:r>
    </w:p>
    <w:p>
      <w:pPr>
        <w:rPr>
          <w:noProof/>
        </w:rPr>
      </w:pPr>
      <w:r>
        <w:rPr>
          <w:noProof/>
        </w:rPr>
        <w:t>Kizárólag azokat az információkat kell közzétenni, amelyek szükségesek és elégségesek e kezdeményezés kitűzött céljainak eléréséhez. Ezek a következő információk: a tevékenységek jellege, a foglalkoztatottak száma, a nettó árbevétel (ideértve a kapcsolt felekkel bonyolított ügyleteket is), az adózás előtti eredmény, a folyó évben elért eredmény után az adott országban fizetendő társasági adó összege, az adott évben az adott országban teljesített társaságiadó-befizetések összege és a felhalmozott nyereség összege.</w:t>
      </w:r>
    </w:p>
    <w:p>
      <w:pPr>
        <w:rPr>
          <w:noProof/>
        </w:rPr>
      </w:pPr>
      <w:r>
        <w:rPr>
          <w:noProof/>
        </w:rPr>
        <w:t>Az adatokat tagállamok szerinti bontásban kell közzétenni annak érdekében, hogy a polgárok pontosabban tájékozódhassanak afelől, hogyan járulnak hozzá a multinacionális vállalkozások az egyes tagállamok jólétéhez. Ezenfelül, mivel egyes harmadik országok nem tartják tiszteletben a jó adóügyi kormányzás normáit, és sajátos adóügyi kihívásokat jelentenek, ezek tekintetében is magas szinten részletezett információkat kell nyújtani a multinacionális vállalkozások gazdasági egységeiről. E tekintetben az EU elkötelezte magát amellett, hogy a 2016. január 28-i bizottsági közleményben</w:t>
      </w:r>
      <w:r>
        <w:rPr>
          <w:rStyle w:val="FootnoteReference"/>
          <w:noProof/>
        </w:rPr>
        <w:footnoteReference w:id="14"/>
      </w:r>
      <w:r>
        <w:rPr>
          <w:noProof/>
        </w:rPr>
        <w:t xml:space="preserve"> meghatározott megközelítésmóddal és kritériumokkal összhangban összeállítja ezen adójogrendszerek közös listáját.</w:t>
      </w:r>
    </w:p>
    <w:p>
      <w:pPr>
        <w:rPr>
          <w:noProof/>
        </w:rPr>
      </w:pPr>
      <w:r>
        <w:rPr>
          <w:noProof/>
        </w:rPr>
        <w:t>A közleményben foglaltaknak megfelelően a közös uniós listának az irányelvben meghatározott nemzetközileg elfogadott követelményeken nyugvó egyértelmű és nemzetközileg megindokolható kritériumokon és megbízható átvilágítási folyamaton kell alapulnia. Ezt a listát a Bizottság és a tagállamok állítják össze. A Bizottság azt javasolja, hogy az adójogrendszerek közös uniós listára történő felvételéről szóló végső döntést a Tanács és a Parlament számára is beleszólást biztosító felhatalmazáson alapuló jogi aktus keretében hozzák meg.</w:t>
      </w:r>
    </w:p>
    <w:p>
      <w:pPr>
        <w:rPr>
          <w:noProof/>
        </w:rPr>
      </w:pPr>
      <w:r>
        <w:rPr>
          <w:noProof/>
        </w:rPr>
        <w:t>A különös kihívást jelentő egyes harmadik országbeli joghatóságokra vonatkozó, említett kivételtől eltekintve a csoport más adójogrendszerekben folytatott tevékenységével kapcsolatos, változatlan tartalmú információkat aggregált alapon kell közzétenni. Amennyiben egy adott országban valamely csoport több jogalanyt működtet, az országonkénti jelentéstételben ezek összesített adatait kell feltüntetni.</w:t>
      </w:r>
    </w:p>
    <w:p>
      <w:pPr>
        <w:keepNext/>
        <w:rPr>
          <w:i/>
          <w:noProof/>
        </w:rPr>
      </w:pPr>
      <w:r>
        <w:rPr>
          <w:i/>
          <w:noProof/>
        </w:rPr>
        <w:t>Közzététel</w:t>
      </w:r>
    </w:p>
    <w:p>
      <w:pPr>
        <w:rPr>
          <w:noProof/>
        </w:rPr>
      </w:pPr>
      <w:r>
        <w:rPr>
          <w:noProof/>
        </w:rPr>
        <w:t>A társaságiadó-információkat tartalmazó konszolidált jelentést a megbízhatóság és a tartós elérhetőség érdekében cégnyilvántartásban kell közzétenni. Emellett – tekintve, hogy e kezdeményezés célja a nyilvánosság általi ellenőrzés lehetőségének biztosítása – a jelentést a vállalkozások honlapján is közzé kell tenni. Az időbeli összehasonlítás érdekében a jelentéseket legalább öt egymást követő évig hozzáférhetővé kell tenni a honlapon.</w:t>
      </w:r>
    </w:p>
    <w:p>
      <w:pPr>
        <w:keepNext/>
        <w:rPr>
          <w:i/>
          <w:noProof/>
        </w:rPr>
      </w:pPr>
      <w:r>
        <w:rPr>
          <w:i/>
          <w:noProof/>
        </w:rPr>
        <w:t>Végrehajtás</w:t>
      </w:r>
    </w:p>
    <w:p>
      <w:pPr>
        <w:spacing w:before="0" w:after="0"/>
        <w:rPr>
          <w:noProof/>
        </w:rPr>
      </w:pPr>
      <w:r>
        <w:rPr>
          <w:noProof/>
        </w:rPr>
        <w:t>E kezdeményezés végrehajtását több rendelkezés fogja együttesen biztosítani. A tagállamoknak gondoskodniuk kell arról, hogy a vállalkozások ügyviteli, ügyvezető és felügyelő testületei kollektív felelősséggel tartozzanak e jelentésekért. Az országonkénti jelentések elkészültét és internetes közzétételét az érintett leányvállalatok jog szerinti könyvvizsgálójának kell ellenőriznie. A harmadik országbeli multinacionális vállalkozások fióktelepei esetében ez az adatközlésre vonatkozóan meghatározott formai követelmények teljesítéséért felelős személyek feladata. Alkalmazni kell végül a 2013/34/EU irányelv 51. cikkét, biztosítva, hogy a rendelkezések megszegése esetén a multinacionális vállalkozások, azok leányvállalatai vagy fióktelepei hatékony, arányos és visszatartó erejű szankciókkal legyenek sújthatók.</w:t>
      </w:r>
    </w:p>
    <w:p>
      <w:pPr>
        <w:spacing w:before="0" w:after="0"/>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2016/0107 (COD)</w:t>
      </w:r>
    </w:p>
    <w:p>
      <w:pPr>
        <w:pStyle w:val="Statut"/>
        <w:rPr>
          <w:noProof/>
        </w:rPr>
      </w:pPr>
      <w:r>
        <w:rPr>
          <w:noProof/>
        </w:rPr>
        <w:t>Javaslat</w:t>
      </w:r>
    </w:p>
    <w:p>
      <w:pPr>
        <w:pStyle w:val="Typedudocument"/>
        <w:rPr>
          <w:noProof/>
        </w:rPr>
      </w:pPr>
      <w:r>
        <w:rPr>
          <w:noProof/>
        </w:rPr>
        <w:t>AZ EURÓPAI PARLAMENT ÉS A TANÁCS IRÁNYELVE</w:t>
      </w:r>
    </w:p>
    <w:p>
      <w:pPr>
        <w:pStyle w:val="Titreobjet"/>
        <w:rPr>
          <w:noProof/>
        </w:rPr>
      </w:pPr>
      <w:r>
        <w:rPr>
          <w:noProof/>
        </w:rPr>
        <w:t>a 2013/34/EU irányelvnek a társaságiadó-információk egyes vállalkozások és fióktelepek általi közzététele tekintetében történő módosításáról</w:t>
      </w:r>
    </w:p>
    <w:p>
      <w:pPr>
        <w:pStyle w:val="IntrtEEE"/>
        <w:rPr>
          <w:noProof/>
        </w:rPr>
      </w:pPr>
      <w:r>
        <w:rPr>
          <w:noProof/>
        </w:rPr>
        <w:t>(EGT-vonatkozású szöveg)</w:t>
      </w:r>
    </w:p>
    <w:p>
      <w:pPr>
        <w:pStyle w:val="Institutionquiagit"/>
        <w:rPr>
          <w:noProof/>
        </w:rPr>
      </w:pPr>
      <w:r>
        <w:rPr>
          <w:noProof/>
        </w:rPr>
        <w:t>AZ EURÓPAI PARLAMENT ÉS AZ EURÓPAI UNIÓ TANÁCSA,</w:t>
      </w:r>
    </w:p>
    <w:p>
      <w:pPr>
        <w:rPr>
          <w:noProof/>
        </w:rPr>
      </w:pPr>
      <w:r>
        <w:rPr>
          <w:noProof/>
        </w:rPr>
        <w:t>tekintettel az Európai Unió működéséről szóló szerződésre és különösen annak 50. cikke (1) bekezdésére,</w:t>
      </w:r>
    </w:p>
    <w:p>
      <w:pPr>
        <w:rPr>
          <w:noProof/>
        </w:rPr>
      </w:pPr>
      <w:r>
        <w:rPr>
          <w:noProof/>
        </w:rPr>
        <w:t>tekintettel az Európai Bizottság javaslatára,</w:t>
      </w:r>
    </w:p>
    <w:p>
      <w:pPr>
        <w:rPr>
          <w:noProof/>
        </w:rPr>
      </w:pPr>
      <w:r>
        <w:rPr>
          <w:noProof/>
        </w:rPr>
        <w:t>a jogalkotási aktus tervezete nemzeti parlamenteknek való megküldését követően,</w:t>
      </w:r>
    </w:p>
    <w:p>
      <w:pPr>
        <w:rPr>
          <w:noProof/>
        </w:rPr>
      </w:pPr>
      <w:r>
        <w:rPr>
          <w:noProof/>
        </w:rPr>
        <w:t>tekintettel az Európai Gazdasági és Szociális Bizottság véleményére</w:t>
      </w:r>
      <w:r>
        <w:rPr>
          <w:rStyle w:val="FootnoteReference"/>
          <w:noProof/>
        </w:rPr>
        <w:footnoteReference w:id="15"/>
      </w:r>
      <w:r>
        <w:rPr>
          <w:noProof/>
        </w:rPr>
        <w:t>,</w:t>
      </w:r>
    </w:p>
    <w:p>
      <w:pPr>
        <w:rPr>
          <w:noProof/>
        </w:rPr>
      </w:pPr>
      <w:r>
        <w:rPr>
          <w:noProof/>
        </w:rPr>
        <w:t>rendes jogalkotási eljárás keretében,</w:t>
      </w:r>
    </w:p>
    <w:p>
      <w:pPr>
        <w:rPr>
          <w:noProof/>
        </w:rPr>
      </w:pPr>
      <w:r>
        <w:rPr>
          <w:noProof/>
        </w:rPr>
        <w:t>mivel:</w:t>
      </w:r>
    </w:p>
    <w:p>
      <w:pPr>
        <w:pStyle w:val="ManualConsidrant"/>
        <w:rPr>
          <w:noProof/>
        </w:rPr>
      </w:pPr>
      <w:r>
        <w:t>(1)</w:t>
      </w:r>
      <w:r>
        <w:tab/>
      </w:r>
      <w:r>
        <w:rPr>
          <w:noProof/>
        </w:rPr>
        <w:t>Az elmúlt években a társaságiadó-kikerülés jelentette kihívás számottevő mértékben növekedett, és fontos problémává vált az Unióban csakúgy, mint világszinten. 2014. december 18-i következtetéseiben az Európai Tanács megállapította, hogy sürgős szükség van az adókikerülés elleni küzdelem fokozására globálisan és az Unióban egyaránt. „A Bizottság 2016. évi munkaprogramja – Lejárt a szokványos megoldások ideje”</w:t>
      </w:r>
      <w:r>
        <w:rPr>
          <w:rStyle w:val="FootnoteReference"/>
          <w:noProof/>
        </w:rPr>
        <w:footnoteReference w:id="16"/>
      </w:r>
      <w:r>
        <w:rPr>
          <w:noProof/>
        </w:rPr>
        <w:t xml:space="preserve"> és „A Bizottság 2015. évi munkaprogramja – Új kezdet”</w:t>
      </w:r>
      <w:r>
        <w:rPr>
          <w:rStyle w:val="FootnoteReference"/>
          <w:noProof/>
        </w:rPr>
        <w:footnoteReference w:id="17"/>
      </w:r>
      <w:r>
        <w:rPr>
          <w:noProof/>
        </w:rPr>
        <w:t xml:space="preserve"> című közleményében az Európai Bizottság prioritásként jelölte meg egy olyan rendszerre való átállást, ahol ugyanabban az országban kell befizetni a társasági adót, ahol a nyereséget megtermelik. A Bizottság emellett a méltányosság és az adózási átláthatóság iránti társadalmi igényekre való reagálást is prioritásként azonosította.</w:t>
      </w:r>
    </w:p>
    <w:p>
      <w:pPr>
        <w:pStyle w:val="ManualConsidrant"/>
        <w:rPr>
          <w:bCs/>
          <w:noProof/>
          <w:szCs w:val="24"/>
        </w:rPr>
      </w:pPr>
      <w:r>
        <w:t>(2)</w:t>
      </w:r>
      <w:r>
        <w:tab/>
      </w:r>
      <w:r>
        <w:rPr>
          <w:noProof/>
        </w:rPr>
        <w:t>„A társaságiadó-politikák Európai Unión belüli átláthatóvá tétele, összehangolása és közelítése” című 2015. december 16-i állásfoglalásában</w:t>
      </w:r>
      <w:r>
        <w:rPr>
          <w:rStyle w:val="FootnoteReference"/>
          <w:noProof/>
        </w:rPr>
        <w:footnoteReference w:id="18"/>
      </w:r>
      <w:r>
        <w:rPr>
          <w:noProof/>
        </w:rPr>
        <w:t xml:space="preserve"> az Európai Parlament megállapította, hogy a nagyobb átláthatóság a társasági adózás területén javíthatja az adóbehajtást, hatékonyabbá teheti az adóhatóságok munkáját, és alapvető a közvélemény adórendszerekbe és a közigazgatásba vetett bizalmának növeléséhez.</w:t>
      </w:r>
    </w:p>
    <w:p>
      <w:pPr>
        <w:pStyle w:val="ManualConsidrant"/>
        <w:rPr>
          <w:noProof/>
          <w:szCs w:val="24"/>
        </w:rPr>
      </w:pPr>
      <w:r>
        <w:t>(3)</w:t>
      </w:r>
      <w:r>
        <w:tab/>
      </w:r>
      <w:r>
        <w:rPr>
          <w:noProof/>
        </w:rPr>
        <w:t>Az Európai Tanács 2013. május 22-i következtetései nyomán felülvizsgálatra vonatkozó rendelkezés került be a 2013/34/EU európai parlamenti és tanácsi irányelvbe</w:t>
      </w:r>
      <w:r>
        <w:rPr>
          <w:rStyle w:val="FootnoteReference"/>
          <w:noProof/>
        </w:rPr>
        <w:footnoteReference w:id="19"/>
      </w:r>
      <w:r>
        <w:rPr>
          <w:noProof/>
        </w:rPr>
        <w:t>, amely szerint a Bizottság – figyelembe véve az OECD-n belüli fejleményeket és a kapcsolódó európai kezdeményezések eredményeit – megfontolja annak lehetőségét, hogy kötelezővé tegyék a nagyvállalkozások számára, hogy évente országonkénti jelentést készítsenek.</w:t>
      </w:r>
    </w:p>
    <w:p>
      <w:pPr>
        <w:pStyle w:val="ManualConsidrant"/>
        <w:rPr>
          <w:noProof/>
        </w:rPr>
      </w:pPr>
      <w:r>
        <w:t>(4)</w:t>
      </w:r>
      <w:r>
        <w:tab/>
      </w:r>
      <w:r>
        <w:rPr>
          <w:noProof/>
        </w:rPr>
        <w:t>Egy világszinten méltányos és korszerű nemzetközi adórendszer kialakítása érdekében a G20-ak 2015 novemberében elfogadták az OECD adóalap-erózióval és nyereségátcsoportosítással (BEPS) kapcsolatos cselekvési tervét, amely egyértelmű nemzetközi megoldásokat kíván kínálni a kormányzatok számára a meglévő szabályok azon hiányosságainak és következetlenségeinek orvoslása érdekében, amelyek lehetővé teszik a vállalati profit alacsony adóterhet alkalmazó vagy adómentességet kínáló olyan adójogrendszerekbe való átcsoportosítását, ahol esetleg a vállalat nem is végez értékteremtő tevékenységet. A BEPS 13. fellépése bizalmas alapon, a nemzeti adóhatóságok számára benyújtandó országonkénti jelentéstételt vezet be egyes multinacionális vállalkozások vonatkozásában. 2016. január 27-én a Bizottság elfogadta az adókikerülés elleni csomagot. A csomag egyik célja a BEPS 13. fellépésének uniós jogba való átültetése a 2011/16/EU tanácsi irányelv</w:t>
      </w:r>
      <w:r>
        <w:rPr>
          <w:rStyle w:val="FootnoteReference"/>
          <w:noProof/>
        </w:rPr>
        <w:footnoteReference w:id="20"/>
      </w:r>
      <w:r>
        <w:rPr>
          <w:noProof/>
        </w:rPr>
        <w:t xml:space="preserve"> módosításával.</w:t>
      </w:r>
    </w:p>
    <w:p>
      <w:pPr>
        <w:pStyle w:val="ManualConsidrant"/>
        <w:rPr>
          <w:noProof/>
          <w:szCs w:val="24"/>
        </w:rPr>
      </w:pPr>
      <w:r>
        <w:t>(5)</w:t>
      </w:r>
      <w:r>
        <w:tab/>
      </w:r>
      <w:r>
        <w:rPr>
          <w:noProof/>
        </w:rPr>
        <w:t>Az Unióban tevékenységet végző multinacionális vállalkozások társasági adózásának nyilvánosság általi ellenőrzése lényeges eleme a vállalati társadalmi felelősségvállalás további előmozdításának, az adózáson keresztül a jóléthez való hozzájárulásnak, a méltányosabb uniós adóverseny jobban informált felek között zajló nyilvános vitán keresztül történő kialakításának és a nemzeti adórendszerek méltányosságába vetett bizalom helyreállításának. A nyilvánosság általi ellenőrzés társaságiadó-információkat tartalmazó jelentés közzétételére vonatkozó olyan kötelezettség előírásával valósítható meg, amely attól függetlenül vonatkozik a vállalkozásokra, hogy a multinacionális csoport legfelső szintű anyavállalata hol telepedett le.</w:t>
      </w:r>
    </w:p>
    <w:p>
      <w:pPr>
        <w:pStyle w:val="ManualConsidrant"/>
        <w:rPr>
          <w:noProof/>
        </w:rPr>
      </w:pPr>
      <w:r>
        <w:t>(6)</w:t>
      </w:r>
      <w:r>
        <w:tab/>
      </w:r>
      <w:r>
        <w:rPr>
          <w:noProof/>
        </w:rPr>
        <w:t>A nyilvánosság számára biztosítani kell az Unióban gazdasági egységeket működtető csoportok összes tevékenysége ellenőrzésének lehetőségét. Azon csoportok esetében, amelyek csupán leányvállalatok vagy fióktelepek útján végeznek tevékenységet az Unióban, a leányvállalatoknak és a fióktelepeknek közzé és hozzáférhetővé kell tenniük a legfelső szintű anyavállalat jelentését. Az arányosság és a hatékonyság érdekében azonban a közzé- és hozzáférhetővé tételi kötelezettséget az Unióban letelepedett közepes vagy nagy méretű leányvállalatokra, vagy a tagállamokban nyitott hasonló méretű fióktelepekre kell korlátozni. A 2013/34/EU irányelv hatályát ezért ennek megfelelően ki kell terjeszteni az Unión kívül letelepedett vállalkozások által a tagállamokban nyitott fióktelepekre.</w:t>
      </w:r>
    </w:p>
    <w:p>
      <w:pPr>
        <w:pStyle w:val="ManualConsidrant"/>
        <w:rPr>
          <w:noProof/>
          <w:szCs w:val="24"/>
        </w:rPr>
      </w:pPr>
      <w:r>
        <w:t>(7)</w:t>
      </w:r>
      <w:r>
        <w:tab/>
      </w:r>
      <w:r>
        <w:rPr>
          <w:noProof/>
        </w:rPr>
        <w:t>A banki ágazat kettős jelentéstételének elkerülése érdekében mentesíteni kell az ezen irányelvben meghatározott jelentéstételi kötelezettség alól azokat a legfelső szintű anyavállalatokat, amelyek a 2013/36/EU európai parlamenti és tanácsi irányelv</w:t>
      </w:r>
      <w:r>
        <w:rPr>
          <w:rStyle w:val="FootnoteReference"/>
          <w:noProof/>
        </w:rPr>
        <w:footnoteReference w:id="21"/>
      </w:r>
      <w:r>
        <w:rPr>
          <w:noProof/>
        </w:rPr>
        <w:t xml:space="preserve"> hatálya alá tartoznak, és amelyek a 2013/36/EU irányelv 89. cikke szerinti jelentésükben beszámolnak saját maguk és az összevont (konszolidált) pénzügyi kimutatásokban szereplő kapcsolódó vállalkozásaik minden tevékenységéről, köztük azokról is, amelyek nem tartoznak az 575/2013/EU európai parlamenti és tanácsi rendelet</w:t>
      </w:r>
      <w:r>
        <w:rPr>
          <w:rStyle w:val="FootnoteReference"/>
          <w:noProof/>
        </w:rPr>
        <w:footnoteReference w:id="22"/>
      </w:r>
      <w:r>
        <w:rPr>
          <w:noProof/>
        </w:rPr>
        <w:t xml:space="preserve"> harmadik része, 1. címe, 2. fejezete rendelkezéseinek hatálya alá.</w:t>
      </w:r>
    </w:p>
    <w:p>
      <w:pPr>
        <w:pStyle w:val="ManualConsidrant"/>
        <w:rPr>
          <w:noProof/>
          <w:szCs w:val="24"/>
        </w:rPr>
      </w:pPr>
      <w:r>
        <w:t>(8)</w:t>
      </w:r>
      <w:r>
        <w:tab/>
      </w:r>
      <w:r>
        <w:rPr>
          <w:noProof/>
        </w:rPr>
        <w:t>A társaságiadó-információkat tartalmazó jelentésnek ki kell terjednie a vállalkozás összes tevékenységére vagy egy legfelső szintű anyavállalat által ellenőrzött csoport minden kapcsolódó vállalkozásának összes tevékenységére. Az információkat a BEPS 13. fellépése vonatkozásában meghatározott előírásoknak megfelelően kell megadni, és azoknak a nyilvánosság általi hatékony ellenőrzéshez szükséges mértékre kell korlátozódniuk annak érdekében, hogy a közzététel ne járjon aránytalan kockázattal vagy hátránnyal. A jelentésben röviden ismertetni kell a tevékenységek jellegét is. Az ismertetés alapulhat az OECD „Transfer Pricing Guidelines on Documentation” című dokumentuma V. fejezete III. mellékletének 2. táblázatában szereplő osztályozáson. A jelentésben áttekintő jelleggel ismertetni kell az esedékes adók és a megfizetett adók összege közötti esetleges jelentős csoportszintű eltérés okait, figyelembe véve az előző pénzügyi évek megfelelő összegeit.</w:t>
      </w:r>
    </w:p>
    <w:p>
      <w:pPr>
        <w:pStyle w:val="ManualConsidrant"/>
        <w:rPr>
          <w:noProof/>
        </w:rPr>
      </w:pPr>
      <w:r>
        <w:t>(9)</w:t>
      </w:r>
      <w:r>
        <w:tab/>
      </w:r>
      <w:r>
        <w:rPr>
          <w:noProof/>
        </w:rPr>
        <w:t xml:space="preserve">Az adatokat tagállamok szerinti bontásban kell közzétenni annak érdekében, hogy a polgárok pontosabban tájékozódhassanak afelől, hogyan járulnak hozzá a multinacionális vállalkozások az egyes tagállamok jólétéhez. Emellett a különös kihívásokat jelentő adójogrendszerek vonatkozásában a multinacionális vállalkozások gazdasági egységeire vonatkozó információkat ugyancsak magas szintű részletességgel kell megjeleníteni. Az adatokat minden egyéb harmadik országbeli gazdasági egység vonatkozásában aggregált formában kell megadni. </w:t>
      </w:r>
    </w:p>
    <w:p>
      <w:pPr>
        <w:pStyle w:val="ManualConsidrant"/>
        <w:rPr>
          <w:noProof/>
          <w:szCs w:val="24"/>
        </w:rPr>
      </w:pPr>
      <w:r>
        <w:t>(10)</w:t>
      </w:r>
      <w:r>
        <w:tab/>
      </w:r>
      <w:r>
        <w:rPr>
          <w:noProof/>
        </w:rPr>
        <w:t>A harmadik felekkel szembeni felelősség megerősítése és a megfelelő kormányzás érdekében az Unióban letelepedett és a társaságiadó-információkat tartalmazó jelentés összeállítására, közzé- és hozzáférhetővé tételére kötelezett legfelső szintű anyavállalat ügyviteli, ügyvezető és felügyelő testületei tagjainak kollektív felelősséggel kell tartozniuk a szóban forgó beszámolási kötelezettségek betartásáért. Tekintettel arra, hogy az Unión kívül letelepedett legfelső szintű anyavállalat irányítása alá tartozó, Unióban letelepedett leányvállalatok ügyviteli, ügyvezető és felügyelő testületei tagjai vagy fióktelep esetében az adatközlésre vonatkozóan meghatározott formai követelmények teljesítéséért felelős személy(ek) esetlegesen korlátozott ismeretekkel rendelkeznek a legfelső szintű anyavállalat által készített, társaságiadó-információkat tartalmazó jelentésről, a társaságiadó-információkat tartalmazó jelentés közzé- és elérhetővé tétele tekintetében viselt felelősségüket korlátozni kell.</w:t>
      </w:r>
    </w:p>
    <w:p>
      <w:pPr>
        <w:pStyle w:val="ManualConsidrant"/>
        <w:rPr>
          <w:noProof/>
          <w:szCs w:val="24"/>
        </w:rPr>
      </w:pPr>
      <w:r>
        <w:t>(11)</w:t>
      </w:r>
      <w:r>
        <w:tab/>
      </w:r>
      <w:r>
        <w:rPr>
          <w:noProof/>
        </w:rPr>
        <w:t>A meg nem felelés eseteinek közzététele céljából a jog szerinti könyvvizsgálónak vagy könyvvizsgáló cégnek ellenőriznie kell, hogy az a társaságiadó-információkat tartalmazó jelentés elkészült-e, és közzétételre került-e ezen irányelv követelményeinek megfelelően a vonatkozó vállalkozás vagy egy kapcsolódó vállalkozás honlapján.</w:t>
      </w:r>
    </w:p>
    <w:p>
      <w:pPr>
        <w:pStyle w:val="ManualConsidrant"/>
        <w:rPr>
          <w:noProof/>
        </w:rPr>
      </w:pPr>
      <w:r>
        <w:t>(12)</w:t>
      </w:r>
      <w:r>
        <w:tab/>
      </w:r>
      <w:r>
        <w:rPr>
          <w:noProof/>
        </w:rPr>
        <w:t xml:space="preserve">Az irányelv az EUMSZ 50. cikke (2) bekezdésének g) pontja értelmében a tagok és harmadik személyek érdekeinek védelme céljából a beszámolók közzététele vonatkozásában a vállalkozásokra rótt kötelezettségekről szóló meglévő jogi keretek kiigazítása révén kívánja megvalósítani célját, a társasági adózással kapcsolatos átláthatóság és nyilvános ellenőrzés megerősítését. Amint azt a Bíróság különösen a C–97/96. sz., </w:t>
      </w:r>
      <w:r>
        <w:rPr>
          <w:i/>
          <w:noProof/>
        </w:rPr>
        <w:t>Verband deutscher Daihatsu-Händler</w:t>
      </w:r>
      <w:r>
        <w:rPr>
          <w:noProof/>
        </w:rPr>
        <w:t xml:space="preserve"> ügyben</w:t>
      </w:r>
      <w:r>
        <w:rPr>
          <w:rStyle w:val="FootnoteReference"/>
          <w:noProof/>
        </w:rPr>
        <w:footnoteReference w:id="23"/>
      </w:r>
      <w:r>
        <w:rPr>
          <w:noProof/>
        </w:rPr>
        <w:t xml:space="preserve"> megállapította, az EUMSZ 50. cikke (2) bekezdésének g) pontja általánosan vonatkozik a „harmadik személyek” érdekei védelmének szükségességére, anélkül, hogy a fogalom körébe tartozó bármely kategóriát megkülönböztetne vagy kizárna. Továbbá, a letelepedési szabadság megvalósításának célkitűzését, amelyet az EUMSZ 50. cikkének (1) bekezdése rendkívül tág terminusokban utal az intézmények hatáskörébe, nem korlátozhatják az EUMSZ 50. cikke (2) bekezdésének rendelkezései. Tekintettel arra, hogy ez az irányelv nem az adók harmonizálásával foglalkozik, hanem mindössze társaságiadó-információkat tartalmazó jelentés közzétételére vonatkozóan állapít meg kötelezettséget, a megfelelő jogalapot az EUMSZ 50. cikkének (1) bekezdése jelenti.</w:t>
      </w:r>
    </w:p>
    <w:p>
      <w:pPr>
        <w:pStyle w:val="ManualConsidrant"/>
        <w:rPr>
          <w:rFonts w:eastAsiaTheme="minorEastAsia"/>
          <w:noProof/>
          <w:szCs w:val="24"/>
        </w:rPr>
      </w:pPr>
      <w:r>
        <w:t>(13)</w:t>
      </w:r>
      <w:r>
        <w:tab/>
      </w:r>
      <w:r>
        <w:rPr>
          <w:noProof/>
        </w:rPr>
        <w:t>Azon adójogrendszerek azonosítása céljából, amelyek tekintetében magas szinten részletezett adatokat kell közölni, fel kell hatalmazni a Bizottságot arra, hogy az EUMSZ 290. cikkének megfelelően jogi aktusokat fogadjon el ezen adójogrendszerek közös uniós listájának megállapításra vonatkozóan. Ezt a listát az eredményes adóztatás külügyi stratégiájáról szóló, az Európai Parlamentnek és a Tanácsnak címzett bizottsági közlemény (COM(2016) 24 final) 1. melléklete alapján azonosított egyes kritériumok alapján kell összeállítani. E tekintetben különösen fontos, hogy a Bizottság megfelelő, többek között szakértői szintű konzultációkat folytasson az előkészítés során, és hogy e konzultációkra a jogalkotás minőségének javításáról szóló, az Európai Parlament, a Tanács és a Bizottság által jóváhagyott, hivatalos aláírásra váró intézményközi megállapodás elveinek megfelelően kerüljön sor. Ennek megfelelően a felhatalmazáson alapuló jogi aktusok előkészítésében való egyenlő részvétel biztosítása érdekében az Európai Parlamentnek és a Tanácsnak minden dokumentumot a tagállami szakértőkkel egy időben kell megkapnia, és szakértőiknek következetesen lehetőséget kell biztosítani a Bizottság szakértői csoportjainak a felhatalmazáson alapuló jogi aktusok előkészítésével foglalkozó ülésein való részvételre.</w:t>
      </w:r>
    </w:p>
    <w:p>
      <w:pPr>
        <w:pStyle w:val="ManualConsidrant"/>
        <w:rPr>
          <w:noProof/>
          <w:szCs w:val="24"/>
        </w:rPr>
      </w:pPr>
      <w:r>
        <w:t>(14)</w:t>
      </w:r>
      <w:r>
        <w:tab/>
      </w:r>
      <w:r>
        <w:rPr>
          <w:noProof/>
        </w:rPr>
        <w:t>Mivel ezen irányelv célját a tagállamok nem tudják kielégítően megvalósítani, ellenben az az irányelv hatása miatt uniós szinten jobban megvalósítható, az Unió intézkedéseket hozhat az Európai Unióról szóló szerződés 5. cikkében foglalt szubszidiaritás elvének megfelelően. Az említett cikkben foglalt arányosság elvének megfelelően ez az irányelv nem lépi túl az e cél eléréséhez szükséges mértéket.</w:t>
      </w:r>
    </w:p>
    <w:p>
      <w:pPr>
        <w:pStyle w:val="ManualConsidrant"/>
        <w:rPr>
          <w:noProof/>
          <w:szCs w:val="24"/>
        </w:rPr>
      </w:pPr>
      <w:r>
        <w:t>(15)</w:t>
      </w:r>
      <w:r>
        <w:tab/>
      </w:r>
      <w:r>
        <w:rPr>
          <w:noProof/>
        </w:rPr>
        <w:t>Ez az irányelv tiszteletben tartja az alapvető jogokat, és szem előtt tartja különösen az Európai Unió Alapjogi Chartájában elismert alapelveket.</w:t>
      </w:r>
    </w:p>
    <w:p>
      <w:pPr>
        <w:pStyle w:val="ManualConsidrant"/>
        <w:rPr>
          <w:noProof/>
          <w:szCs w:val="24"/>
        </w:rPr>
      </w:pPr>
      <w:r>
        <w:t>(16)</w:t>
      </w:r>
      <w:r>
        <w:tab/>
      </w:r>
      <w:r>
        <w:rPr>
          <w:noProof/>
        </w:rPr>
        <w:t>A tagállamok és a Bizottság magyarázó dokumentumokról szóló 2011. szeptember 28-i együttes politikai nyilatkozatának</w:t>
      </w:r>
      <w:r>
        <w:rPr>
          <w:rStyle w:val="FootnoteReference"/>
          <w:noProof/>
        </w:rPr>
        <w:footnoteReference w:id="24"/>
      </w:r>
      <w:r>
        <w:rPr>
          <w:noProof/>
        </w:rPr>
        <w:t xml:space="preserve"> megfelelően a tagállamok vállalták, hogy indokolt esetben az átültető intézkedéseikről szóló értesítéshez az irányelv egyes elemei és az azt átültető nemzeti jogi eszközök megfelelő részei közötti kapcsolatot magyarázó egy vagy több dokumentumot mellékelnek. Ezen irányelv tekintetében a jogalkotó az ilyen dokumentumok benyújtását indokoltnak tekinti.</w:t>
      </w:r>
    </w:p>
    <w:p>
      <w:pPr>
        <w:pStyle w:val="ManualConsidrant"/>
        <w:rPr>
          <w:noProof/>
          <w:szCs w:val="24"/>
        </w:rPr>
      </w:pPr>
      <w:r>
        <w:t>(17)</w:t>
      </w:r>
      <w:r>
        <w:tab/>
      </w:r>
      <w:r>
        <w:rPr>
          <w:noProof/>
        </w:rPr>
        <w:t>A 2013/34/EU irányelvet ezért ennek megfelelően módosítani kell,</w:t>
      </w:r>
    </w:p>
    <w:p>
      <w:pPr>
        <w:pStyle w:val="Formuledadoption"/>
        <w:rPr>
          <w:noProof/>
        </w:rPr>
      </w:pPr>
      <w:r>
        <w:rPr>
          <w:noProof/>
        </w:rPr>
        <w:t>ELFOGADTA EZT AZ IRÁNYELVET:</w:t>
      </w:r>
    </w:p>
    <w:p>
      <w:pPr>
        <w:pStyle w:val="Titrearticle"/>
        <w:rPr>
          <w:noProof/>
        </w:rPr>
      </w:pPr>
      <w:r>
        <w:rPr>
          <w:noProof/>
        </w:rPr>
        <w:t>1. cikk</w:t>
      </w:r>
    </w:p>
    <w:p>
      <w:pPr>
        <w:pStyle w:val="NormalCentered"/>
        <w:rPr>
          <w:noProof/>
        </w:rPr>
      </w:pPr>
      <w:r>
        <w:rPr>
          <w:noProof/>
        </w:rPr>
        <w:t>A 2013/34/EU irányelv módosításai</w:t>
      </w:r>
    </w:p>
    <w:p>
      <w:pPr>
        <w:rPr>
          <w:noProof/>
        </w:rPr>
      </w:pPr>
      <w:r>
        <w:rPr>
          <w:noProof/>
        </w:rPr>
        <w:t>A 2013/34/EU irányelv a következőképpen módosul:</w:t>
      </w:r>
    </w:p>
    <w:p>
      <w:pPr>
        <w:pStyle w:val="Point0"/>
        <w:rPr>
          <w:noProof/>
        </w:rPr>
      </w:pPr>
      <w:r>
        <w:rPr>
          <w:noProof/>
        </w:rPr>
        <w:t>1.</w:t>
      </w:r>
      <w:r>
        <w:rPr>
          <w:noProof/>
        </w:rPr>
        <w:tab/>
        <w:t>Az 1. cikk a következő (1a) bekezdéssel egészül ki:</w:t>
      </w:r>
    </w:p>
    <w:p>
      <w:pPr>
        <w:pStyle w:val="Text1"/>
        <w:rPr>
          <w:noProof/>
        </w:rPr>
      </w:pPr>
      <w:r>
        <w:rPr>
          <w:noProof/>
        </w:rPr>
        <w:t>„(1a) A 2., 48a–48g. és 51. cikkben előírt összehangoló intézkedések a tagállamok azon törvényi, rendeleti és közigazgatási rendelkezéseire is alkalmazandók, amelyek valamely tagállam jogának hatálya alá nem tartozó, de az I. mellékletben felsorolt vállalkozástípusokhoz hasonló jogi formában működő vállalkozás által a tagállamokban nyitott fióktelepekre vonatkoznak.”</w:t>
      </w:r>
    </w:p>
    <w:p>
      <w:pPr>
        <w:pStyle w:val="Point0"/>
        <w:rPr>
          <w:noProof/>
        </w:rPr>
      </w:pPr>
      <w:r>
        <w:rPr>
          <w:noProof/>
        </w:rPr>
        <w:t>2.</w:t>
      </w:r>
      <w:r>
        <w:rPr>
          <w:noProof/>
        </w:rPr>
        <w:tab/>
        <w:t xml:space="preserve"> A szöveg a következő 10a. fejezettel egészül ki:</w:t>
      </w:r>
    </w:p>
    <w:p>
      <w:pPr>
        <w:pStyle w:val="ChapterTitle"/>
        <w:rPr>
          <w:noProof/>
        </w:rPr>
      </w:pPr>
      <w:r>
        <w:rPr>
          <w:noProof/>
        </w:rPr>
        <w:t>„10a. fejezet</w:t>
      </w:r>
    </w:p>
    <w:p>
      <w:pPr>
        <w:pStyle w:val="ChapterTitle"/>
        <w:rPr>
          <w:noProof/>
        </w:rPr>
      </w:pPr>
      <w:r>
        <w:rPr>
          <w:noProof/>
        </w:rPr>
        <w:t>Társaságiadó-információkat tartalmazó jelentés</w:t>
      </w:r>
    </w:p>
    <w:p>
      <w:pPr>
        <w:pStyle w:val="Titrearticle"/>
        <w:rPr>
          <w:noProof/>
        </w:rPr>
      </w:pPr>
      <w:r>
        <w:rPr>
          <w:noProof/>
        </w:rPr>
        <w:t>48a. cikk</w:t>
      </w:r>
    </w:p>
    <w:p>
      <w:pPr>
        <w:pStyle w:val="NormalCentered"/>
        <w:rPr>
          <w:noProof/>
        </w:rPr>
      </w:pPr>
      <w:r>
        <w:rPr>
          <w:noProof/>
        </w:rPr>
        <w:t xml:space="preserve"> A társaságiadó-információkat tartalmazó jelentéssel kapcsolatos fogalommeghatározások</w:t>
      </w:r>
    </w:p>
    <w:p>
      <w:pPr>
        <w:rPr>
          <w:noProof/>
        </w:rPr>
      </w:pPr>
      <w:r>
        <w:rPr>
          <w:noProof/>
        </w:rPr>
        <w:t>E fejezet alkalmazásában:</w:t>
      </w:r>
    </w:p>
    <w:p>
      <w:pPr>
        <w:pStyle w:val="Point0"/>
        <w:rPr>
          <w:noProof/>
        </w:rPr>
      </w:pPr>
      <w:r>
        <w:rPr>
          <w:noProof/>
        </w:rPr>
        <w:t>1.</w:t>
      </w:r>
      <w:r>
        <w:rPr>
          <w:noProof/>
        </w:rPr>
        <w:tab/>
        <w:t>„legfelső szintű anyavállalat”: az a vállalkozás, amely a vállalkozások legnagyobb csoportját magában foglaló összevont (konszolidált) pénzügyi kimutatásokat elkészíti;</w:t>
      </w:r>
    </w:p>
    <w:p>
      <w:pPr>
        <w:pStyle w:val="Point0"/>
        <w:rPr>
          <w:noProof/>
        </w:rPr>
      </w:pPr>
      <w:r>
        <w:rPr>
          <w:noProof/>
        </w:rPr>
        <w:t>2.</w:t>
      </w:r>
      <w:r>
        <w:rPr>
          <w:noProof/>
        </w:rPr>
        <w:tab/>
        <w:t>„összevont (konszolidált) pénzügyi kimutatások”: valamely csoport anyavállalata által elkészített pénzügyi kimutatások, amelyekben az eszközöket, forrásokat, saját tőkét, bevételeket és kiadásokat úgy mutatják ki, mintha azok egyetlen gazdasági szereplőhöz tartoznának;</w:t>
      </w:r>
    </w:p>
    <w:p>
      <w:pPr>
        <w:pStyle w:val="Point0"/>
        <w:rPr>
          <w:noProof/>
        </w:rPr>
      </w:pPr>
      <w:r>
        <w:rPr>
          <w:noProof/>
        </w:rPr>
        <w:t>3.</w:t>
      </w:r>
      <w:r>
        <w:rPr>
          <w:noProof/>
        </w:rPr>
        <w:tab/>
        <w:t>„adójogrendszer”: állam vagy nem állam alkotta joghatóság, amely a társasági adó tekintetében fiskális autonómiával rendelkezik.</w:t>
      </w:r>
    </w:p>
    <w:p>
      <w:pPr>
        <w:pStyle w:val="Titrearticle"/>
        <w:rPr>
          <w:noProof/>
        </w:rPr>
      </w:pPr>
      <w:r>
        <w:rPr>
          <w:noProof/>
        </w:rPr>
        <w:t>48b. cikk</w:t>
      </w:r>
    </w:p>
    <w:p>
      <w:pPr>
        <w:pStyle w:val="NormalCentered"/>
        <w:rPr>
          <w:noProof/>
        </w:rPr>
      </w:pPr>
      <w:r>
        <w:rPr>
          <w:noProof/>
        </w:rPr>
        <w:t xml:space="preserve"> A társaságiadó-információkról való beszámolási kötelezettség hatálya alá tartozó vállalkozások és fióktelepek</w:t>
      </w:r>
    </w:p>
    <w:p>
      <w:pPr>
        <w:pStyle w:val="Point0number"/>
        <w:numPr>
          <w:ilvl w:val="0"/>
          <w:numId w:val="13"/>
        </w:numPr>
        <w:rPr>
          <w:noProof/>
        </w:rPr>
      </w:pPr>
      <w:r>
        <w:rPr>
          <w:noProof/>
        </w:rPr>
        <w:t>A tagállamok előírják a nemzeti joguk hatálya alá tartozó, 750 000 000 EUR-t meghaladó konszolidált nettó árbevétellel rendelkező legfelső szintű anyavállalatok, valamint a nemzeti joguk hatálya alá tartozó, 750 000 000 EUR-t meghaladó nettó árbevétellel rendelkező nem kapcsolódó vállalkozások számára, hogy évente készítsenek és tegyenek közzé társaságiadó-információkat tartalmazó jelentést.</w:t>
      </w:r>
    </w:p>
    <w:p>
      <w:pPr>
        <w:pStyle w:val="Text1"/>
        <w:rPr>
          <w:noProof/>
        </w:rPr>
      </w:pPr>
      <w:r>
        <w:rPr>
          <w:noProof/>
        </w:rPr>
        <w:t>A társaságiadó-információkat tartalmazó jelentést a vállalkozás honlapján, közzététele napján kell nyilvánosan hozzáférhetővé tenni.</w:t>
      </w:r>
    </w:p>
    <w:p>
      <w:pPr>
        <w:pStyle w:val="Point0number"/>
        <w:rPr>
          <w:noProof/>
        </w:rPr>
      </w:pPr>
      <w:r>
        <w:rPr>
          <w:noProof/>
        </w:rPr>
        <w:t>A tagállamok nem alkalmazzák az e cikk (1) bekezdésében meghatározott szabályokat azokra a legfelső szintű anyavállalatokra, amennyiben azok vagy azok kapcsolódó vállalkozásai a 2013/36/EU európai parlamenti és tanácsi irányelv* 89. cikkének hatálya alá tartoznak, és országonkénti adatszolgáltatást nyújtanak az adott legfelső szintű anyavállalat összevont (konszolidált) pénzügyi kimutatásaiban szereplő minden kapcsolódó vállalkozás összes tevékenységéről.</w:t>
      </w:r>
    </w:p>
    <w:p>
      <w:pPr>
        <w:pStyle w:val="Point0number"/>
        <w:rPr>
          <w:noProof/>
        </w:rPr>
      </w:pPr>
      <w:r>
        <w:rPr>
          <w:noProof/>
        </w:rPr>
        <w:t>A tagállamok előírják a nemzeti joguk hatálya alá tartozó, a 3. cikk (3) és (4) bekezdése szerinti középvállalkozások és nagyvállalkozások kategóriájába tartozó azon leányvállalatok számára, amelyek 750 000 000 EUR-t meghaladó konszolidált nettó árbevétellel rendelkező és valamely tagállam nemzeti jogának hatálya alá nem tartozó legfelső szintű anyavállalat ellenőrzése alá tartoznak, hogy évente tegyék közzé a legfelső szintű anyavállalat társaságiadó-információit tartalmazó jelentését.</w:t>
      </w:r>
    </w:p>
    <w:p>
      <w:pPr>
        <w:pStyle w:val="Text1"/>
        <w:rPr>
          <w:noProof/>
        </w:rPr>
      </w:pPr>
      <w:r>
        <w:rPr>
          <w:noProof/>
        </w:rPr>
        <w:t>A társaságiadó-információkat tartalmazó jelentést a leányvállalat vagy egy kapcsolódó vállalkozás honlapján, közzététele napján kell nyilvánosan hozzáférhetővé tenni.</w:t>
      </w:r>
    </w:p>
    <w:p>
      <w:pPr>
        <w:pStyle w:val="Point0number"/>
        <w:rPr>
          <w:noProof/>
        </w:rPr>
      </w:pPr>
      <w:r>
        <w:rPr>
          <w:noProof/>
        </w:rPr>
        <w:t>A tagállamok előírják a területükön valamely tagállam jogának hatálya alá nem tartozó vállalkozás által nyitott fióktelepek számára, hogy évente tegyék közzé az e cikk (5) bekezdésének a) pontjában említett legfelső szintű anyavállalat társaságiadó-információkat tartalmazó jelentését.</w:t>
      </w:r>
    </w:p>
    <w:p>
      <w:pPr>
        <w:pStyle w:val="Text1"/>
        <w:rPr>
          <w:noProof/>
        </w:rPr>
      </w:pPr>
      <w:r>
        <w:rPr>
          <w:noProof/>
        </w:rPr>
        <w:t>A társaságiadó-információkat tartalmazó jelentést a fióktelep vagy egy kapcsolódó vállalkozás honlapján, közzététele napján kell nyilvánosan hozzáférhetővé tenni.</w:t>
      </w:r>
    </w:p>
    <w:p>
      <w:pPr>
        <w:pStyle w:val="Text1"/>
        <w:rPr>
          <w:noProof/>
        </w:rPr>
      </w:pPr>
      <w:r>
        <w:rPr>
          <w:noProof/>
        </w:rPr>
        <w:t>A tagállamok e bekezdés első albekezdését csak azokra a fióktelepekre alkalmazzák, amelyek nettó árbevétele meghaladja a tagállami jogban a 3. cikk (2) bekezdésének megfelelően meghatározott határértékeket.</w:t>
      </w:r>
    </w:p>
    <w:p>
      <w:pPr>
        <w:pStyle w:val="Point0number"/>
        <w:rPr>
          <w:noProof/>
        </w:rPr>
      </w:pPr>
      <w:r>
        <w:rPr>
          <w:noProof/>
        </w:rPr>
        <w:t>A tagállamok a (4) bekezdésben meghatározott szabályokat csak azon fióktelepek esetében alkalmazzák, amelyek vonatkozásában teljesülnek a következő feltételek:</w:t>
      </w:r>
    </w:p>
    <w:p>
      <w:pPr>
        <w:pStyle w:val="Point1"/>
        <w:rPr>
          <w:noProof/>
        </w:rPr>
      </w:pPr>
      <w:r>
        <w:rPr>
          <w:noProof/>
        </w:rPr>
        <w:t>a)</w:t>
      </w:r>
      <w:r>
        <w:rPr>
          <w:noProof/>
        </w:rPr>
        <w:tab/>
        <w:t xml:space="preserve">a fióktelepet nyitó vállalkozás 750 000 000 EUR-t meghaladó konszolidált nettó árbevétellel rendelkező és valamely tagállam nemzeti jogának hatálya alá nem tartozó legfelső szintű anyavállalat által ellenőrzött csoport kapcsolódó vállalkozása vagy 750 000 000 EUR-t meghaladó nettó árbevétellel rendelkező nem kapcsolódó vállalkozás; </w:t>
      </w:r>
    </w:p>
    <w:p>
      <w:pPr>
        <w:pStyle w:val="Point1"/>
        <w:rPr>
          <w:noProof/>
        </w:rPr>
      </w:pPr>
      <w:r>
        <w:rPr>
          <w:noProof/>
        </w:rPr>
        <w:t>b)</w:t>
      </w:r>
      <w:r>
        <w:rPr>
          <w:noProof/>
        </w:rPr>
        <w:tab/>
        <w:t>az a) pontban említett legfelső szintű anyavállalatnak nincs a (3) bekezdésben említett, a középvállalkozások vagy a nagyvállalkozások kategóriájába tartozó leányvállalata.</w:t>
      </w:r>
    </w:p>
    <w:p>
      <w:pPr>
        <w:pStyle w:val="Point0number"/>
        <w:rPr>
          <w:noProof/>
        </w:rPr>
      </w:pPr>
      <w:r>
        <w:rPr>
          <w:noProof/>
        </w:rPr>
        <w:t>A tagállamok nem alkalmazzák a (3) és (4) bekezdésben meghatározott szabályokat, amennyiben a társaságiadó-információkat tartalmazó, a 48c. cikknek megfelelően összeállított jelentést ésszerű, a mérleg keltétől számított 12 hónapos időtartamot nem meghaladó időn belül hozzáférhetővé teszik a nyilvánosság számára a valamely tagállam nemzeti jogának hatálya alá nem tartozó legfelső szintű anyavállalat honlapján, és a jelentésben feltüntetik annak a valamely tagállam jogának hatálya alá tartozó egyetlen leányvállalatnak vagy fióktelepnek a nevét és a székhelyét, amely a 48d. cikk (1) bekezdésének megfelelően közzéteszi a jelentést.</w:t>
      </w:r>
    </w:p>
    <w:p>
      <w:pPr>
        <w:pStyle w:val="Point0number"/>
        <w:rPr>
          <w:noProof/>
        </w:rPr>
      </w:pPr>
      <w:r>
        <w:rPr>
          <w:noProof/>
        </w:rPr>
        <w:t>A tagállamok előírják a (3) és a (4) bekezdés rendelkezéseinek hatálya alá nem tartozó leányvállalatok és fióktelepek számára, hogy tegyék közzé és hozzáférhetővé a társaságiadó-információkat tartalmazó jelentést, amennyiben ezeket a leányvállalatokat vagy fióktelepeket az e fejezetben meghatározott beszámolási követelmények elkerülése céljából hozták létre.</w:t>
      </w:r>
    </w:p>
    <w:p>
      <w:pPr>
        <w:pStyle w:val="Titrearticle"/>
        <w:rPr>
          <w:noProof/>
        </w:rPr>
      </w:pPr>
      <w:r>
        <w:rPr>
          <w:noProof/>
        </w:rPr>
        <w:t>48c. cikk</w:t>
      </w:r>
    </w:p>
    <w:p>
      <w:pPr>
        <w:pStyle w:val="NormalCentered"/>
        <w:rPr>
          <w:noProof/>
        </w:rPr>
      </w:pPr>
      <w:r>
        <w:rPr>
          <w:noProof/>
        </w:rPr>
        <w:t xml:space="preserve"> A társaságiadó-információkat tartalmazó jelentés tartalma</w:t>
      </w:r>
    </w:p>
    <w:p>
      <w:pPr>
        <w:pStyle w:val="Point0"/>
        <w:rPr>
          <w:noProof/>
        </w:rPr>
      </w:pPr>
      <w:r>
        <w:rPr>
          <w:noProof/>
        </w:rPr>
        <w:t>(1)</w:t>
      </w:r>
      <w:r>
        <w:rPr>
          <w:noProof/>
        </w:rPr>
        <w:tab/>
        <w:t>A társaságiadó-információkat tartalmazó jelentésnek tartalmaznia kell a vállalkozás és a legfelső szintű anyavállalat összes tevékenységére vonatkozó információkat, ideértve a releváns pénzügyi évre vonatkozó pénzügyi kimutatásokban konszolidált minden kapcsolódó vállalkozás tevékenységére vonatkozó információkat.</w:t>
      </w:r>
    </w:p>
    <w:p>
      <w:pPr>
        <w:pStyle w:val="Point0"/>
        <w:rPr>
          <w:noProof/>
        </w:rPr>
      </w:pPr>
      <w:r>
        <w:rPr>
          <w:noProof/>
        </w:rPr>
        <w:t>(2)</w:t>
      </w:r>
      <w:r>
        <w:rPr>
          <w:noProof/>
        </w:rPr>
        <w:tab/>
        <w:t>A (1) bekezdésben említett információknak ki kell terjedniük a következőkre:</w:t>
      </w:r>
    </w:p>
    <w:p>
      <w:pPr>
        <w:pStyle w:val="Point1"/>
        <w:rPr>
          <w:noProof/>
        </w:rPr>
      </w:pPr>
      <w:r>
        <w:rPr>
          <w:noProof/>
        </w:rPr>
        <w:t>a)</w:t>
      </w:r>
      <w:r>
        <w:rPr>
          <w:noProof/>
        </w:rPr>
        <w:tab/>
        <w:t>a tevékenységek jellegének rövid ismertetése;</w:t>
      </w:r>
    </w:p>
    <w:p>
      <w:pPr>
        <w:pStyle w:val="Point1"/>
        <w:rPr>
          <w:noProof/>
        </w:rPr>
      </w:pPr>
      <w:r>
        <w:rPr>
          <w:noProof/>
        </w:rPr>
        <w:t>b)</w:t>
      </w:r>
      <w:r>
        <w:rPr>
          <w:noProof/>
        </w:rPr>
        <w:tab/>
        <w:t>az alkalmazottak száma;</w:t>
      </w:r>
    </w:p>
    <w:p>
      <w:pPr>
        <w:pStyle w:val="Point1"/>
        <w:rPr>
          <w:noProof/>
        </w:rPr>
      </w:pPr>
      <w:r>
        <w:rPr>
          <w:noProof/>
        </w:rPr>
        <w:t>c)</w:t>
      </w:r>
      <w:r>
        <w:rPr>
          <w:noProof/>
        </w:rPr>
        <w:tab/>
        <w:t>a nettó árbevétel, a kapcsolt felekkel lebonyolított ügyletekből származó árbevételt is beleértve;</w:t>
      </w:r>
    </w:p>
    <w:p>
      <w:pPr>
        <w:pStyle w:val="Point1"/>
        <w:rPr>
          <w:noProof/>
        </w:rPr>
      </w:pPr>
      <w:r>
        <w:rPr>
          <w:noProof/>
        </w:rPr>
        <w:t>d)</w:t>
      </w:r>
      <w:r>
        <w:rPr>
          <w:noProof/>
        </w:rPr>
        <w:tab/>
        <w:t>az adózás előtti eredmény;</w:t>
      </w:r>
    </w:p>
    <w:p>
      <w:pPr>
        <w:pStyle w:val="Point1"/>
        <w:rPr>
          <w:noProof/>
        </w:rPr>
      </w:pPr>
      <w:r>
        <w:rPr>
          <w:noProof/>
        </w:rPr>
        <w:t>e)</w:t>
      </w:r>
      <w:r>
        <w:rPr>
          <w:noProof/>
        </w:rPr>
        <w:tab/>
        <w:t>az esedékes társasági adó (folyó év), amely a releváns adóigazgatóságban adózási szempontból honos vállalkozás vagy fióktelep pénzügyi évre vonatkozó adóköteles eredménye után megjelenített folyó adóráfordítás;</w:t>
      </w:r>
    </w:p>
    <w:p>
      <w:pPr>
        <w:pStyle w:val="Point1"/>
        <w:rPr>
          <w:noProof/>
        </w:rPr>
      </w:pPr>
      <w:r>
        <w:rPr>
          <w:noProof/>
        </w:rPr>
        <w:t>f)</w:t>
      </w:r>
      <w:r>
        <w:rPr>
          <w:noProof/>
        </w:rPr>
        <w:tab/>
        <w:t>a megfizetett társasági adó, amely a releváns adóigazgatóságban adózási szempontból honos vállalkozás vagy fióktelep által a releváns pénzügyi év során befizetett társasági adó összege; valamint</w:t>
      </w:r>
    </w:p>
    <w:p>
      <w:pPr>
        <w:pStyle w:val="Point1"/>
        <w:rPr>
          <w:noProof/>
        </w:rPr>
      </w:pPr>
      <w:r>
        <w:rPr>
          <w:noProof/>
        </w:rPr>
        <w:t>g)</w:t>
      </w:r>
      <w:r>
        <w:rPr>
          <w:noProof/>
        </w:rPr>
        <w:tab/>
        <w:t>a felhalmozott nyereség.</w:t>
      </w:r>
    </w:p>
    <w:p>
      <w:pPr>
        <w:pStyle w:val="Text1"/>
        <w:rPr>
          <w:noProof/>
        </w:rPr>
      </w:pPr>
      <w:r>
        <w:rPr>
          <w:noProof/>
        </w:rPr>
        <w:t>Az első albekezdés e) pontja alkalmazásában a folyó adóráfordítás csak a vállalkozás folyó pénzügyi évben végzett tevékenységeire vonatkozik, és nem tartalmazhat halasztott adókat vagy bizonytalan adókötelezettségekkel kapcsolatos tartalékokat.</w:t>
      </w:r>
    </w:p>
    <w:p>
      <w:pPr>
        <w:pStyle w:val="Point0"/>
        <w:rPr>
          <w:noProof/>
        </w:rPr>
      </w:pPr>
      <w:r>
        <w:rPr>
          <w:noProof/>
        </w:rPr>
        <w:t>(3)</w:t>
      </w:r>
      <w:r>
        <w:rPr>
          <w:noProof/>
        </w:rPr>
        <w:tab/>
        <w:t xml:space="preserve">A jelentésben minden egyes tagállam vonatkozásában külön kell bemutatni a (2) bekezdésben említett információkat. Amennyiben egy tagállamban több adójogrendszer működik, az információkat tagállami szinten kell összevonni. </w:t>
      </w:r>
    </w:p>
    <w:p>
      <w:pPr>
        <w:pStyle w:val="Point0"/>
        <w:ind w:firstLine="1"/>
        <w:rPr>
          <w:noProof/>
        </w:rPr>
      </w:pPr>
      <w:r>
        <w:rPr>
          <w:noProof/>
        </w:rPr>
        <w:t>A jelentésben ugyancsak külön kell feltüntetni az e cikk (2) bekezdésében említett információkat minden egyes olyan adójogrendszer vonatkozásában, amely a megelőző pénzügyi év végén szerepelt az egyes adójogrendszerek 48g. cikknek megfelelően összeállított közös uniós listáján, kivéve, ha a jelentés a 48e. cikkben említett felelősségre is figyelemmel kifejezetten megerősíti, hogy a csoport ilyen adójogrendszer jogának hatálya alá tartozó kapcsolódó vállalkozásai nem bonyolítanak közvetlenül ügyleteket ugyanazon csoport valamely tagállam jogának hatálya alá tartozó vállalkozással.</w:t>
      </w:r>
    </w:p>
    <w:p>
      <w:pPr>
        <w:pStyle w:val="Point0"/>
        <w:ind w:firstLine="1"/>
        <w:rPr>
          <w:noProof/>
        </w:rPr>
      </w:pPr>
      <w:r>
        <w:rPr>
          <w:noProof/>
        </w:rPr>
        <w:t>A jelentésben minden egyéb adójogrendszer vonatkozásában aggregált formában kell bemutatni a (2) bekezdésben említett információkat.</w:t>
      </w:r>
    </w:p>
    <w:p>
      <w:pPr>
        <w:pStyle w:val="Point0"/>
        <w:ind w:firstLine="1"/>
        <w:rPr>
          <w:noProof/>
        </w:rPr>
      </w:pPr>
      <w:r>
        <w:rPr>
          <w:noProof/>
        </w:rPr>
        <w:t>Az információkat állandó üzletviteli hely megléte vagy olyan állandó üzleti tevékenység alapján kell hozzárendelni az egyes releváns adójogrendszerekhez, amely a csoport tevékenységéhez kapcsolódva társaságiadó-kötelezettség keletkezéséhez vezethet az adott adójogrendszerben.</w:t>
      </w:r>
    </w:p>
    <w:p>
      <w:pPr>
        <w:pStyle w:val="Point0"/>
        <w:ind w:firstLine="1"/>
        <w:rPr>
          <w:noProof/>
        </w:rPr>
      </w:pPr>
      <w:r>
        <w:rPr>
          <w:noProof/>
        </w:rPr>
        <w:t>Ahol egyazon adójogrendszerben több kapcsolódó vállalkozás tevékenysége keletkeztethet adókötelezettséget, az ehhez az adójogrendszerhez hozzárendelt információk az egyes kapcsolódó vállalkozások és azok fióktelepei az adott adójogrendszerben kifejtett ilyen tevékenységére vonatkozó információk összességét tartalmazzák.</w:t>
      </w:r>
    </w:p>
    <w:p>
      <w:pPr>
        <w:pStyle w:val="Point0"/>
        <w:ind w:firstLine="1"/>
        <w:rPr>
          <w:noProof/>
        </w:rPr>
      </w:pPr>
      <w:r>
        <w:rPr>
          <w:noProof/>
        </w:rPr>
        <w:t>Egy adott tevékenységre vonatkozó információ nem rendelhető egyszerre több adójogrendszerhez.</w:t>
      </w:r>
    </w:p>
    <w:p>
      <w:pPr>
        <w:pStyle w:val="Point0"/>
        <w:rPr>
          <w:noProof/>
        </w:rPr>
      </w:pPr>
      <w:r>
        <w:rPr>
          <w:noProof/>
        </w:rPr>
        <w:t>(4)</w:t>
      </w:r>
      <w:r>
        <w:rPr>
          <w:noProof/>
        </w:rPr>
        <w:tab/>
        <w:t>A jelentésben csoportszinten áttekintő jelleggel ismertetni kell az (2) bekezdés e) és f) pontja szerinti összegek közötti esetleges jelentős eltérés okait, adott esetben figyelembe véve az előző pénzügyi évek megfelelő összegeit.</w:t>
      </w:r>
    </w:p>
    <w:p>
      <w:pPr>
        <w:pStyle w:val="Point0"/>
        <w:rPr>
          <w:noProof/>
        </w:rPr>
      </w:pPr>
      <w:r>
        <w:rPr>
          <w:noProof/>
        </w:rPr>
        <w:t>(5)</w:t>
      </w:r>
      <w:r>
        <w:rPr>
          <w:noProof/>
        </w:rPr>
        <w:tab/>
        <w:t>A társaságiadó-információkat legalább az Unió egyik hivatalos nyelvén közzé és hozzáférhetővé kell tenni a honlapon.</w:t>
      </w:r>
    </w:p>
    <w:p>
      <w:pPr>
        <w:pStyle w:val="Point0"/>
        <w:rPr>
          <w:noProof/>
        </w:rPr>
      </w:pPr>
      <w:r>
        <w:rPr>
          <w:noProof/>
        </w:rPr>
        <w:t>(6)</w:t>
      </w:r>
      <w:r>
        <w:rPr>
          <w:noProof/>
        </w:rPr>
        <w:tab/>
        <w:t>A társaságiadó-információkat tartalmazó jelentésben azt a pénznemet kell használni, amelyben az összevont (konszolidált) pénzügyi kimutatásokat kifejezték. A tagállamok a jelentés vonatkozásában nem írhatják elő a pénzügyi kimutatásokban használttól eltérő pénznem alkalmazását.</w:t>
      </w:r>
    </w:p>
    <w:p>
      <w:pPr>
        <w:pStyle w:val="Point0"/>
        <w:rPr>
          <w:noProof/>
        </w:rPr>
      </w:pPr>
      <w:r>
        <w:rPr>
          <w:noProof/>
        </w:rPr>
        <w:t>(7)</w:t>
      </w:r>
      <w:r>
        <w:rPr>
          <w:noProof/>
        </w:rPr>
        <w:tab/>
        <w:t>Azon tagállamok esetében, amelyek fizetőeszköze nem az euró, a 48b. cikk (1) bekezdésében említett küszöbértéket az Európai Unió Hivatalos Lapjában közzétett, [a dátumot a Kiadóhivatal illeszti be = ezen irányelv hatálybalépésekor] érvényes átváltási árfolyamon kell átszámítani a nemzeti fizetőeszközben kifejezett értékre, és a kapott összeget – legfeljebb 5%-kal lefelé vagy felfelé eltérve – kerekíteni kell.</w:t>
      </w:r>
      <w:r>
        <w:rPr>
          <w:noProof/>
        </w:rPr>
        <w:tab/>
      </w:r>
    </w:p>
    <w:p>
      <w:pPr>
        <w:pStyle w:val="Point0"/>
        <w:ind w:firstLine="1"/>
        <w:rPr>
          <w:noProof/>
        </w:rPr>
      </w:pPr>
      <w:r>
        <w:rPr>
          <w:noProof/>
        </w:rPr>
        <w:t>A 48b. cikk (3) és (4) bekezdésében említett küszöbértékeket a [</w:t>
      </w:r>
      <w:r>
        <w:rPr>
          <w:i/>
          <w:noProof/>
        </w:rPr>
        <w:t>a dátumot a Kiadóhivatal illeszti be = ezen irányelv hatálybalépésekor</w:t>
      </w:r>
      <w:r>
        <w:rPr>
          <w:noProof/>
        </w:rPr>
        <w:t xml:space="preserve">] érvényes átváltási árfolyamon kell átszámítani a releváns harmadik országok nemzeti fizetőeszközére, és a kapott összeget a legközelebbi ezresre kell kerekíteni. </w:t>
      </w:r>
    </w:p>
    <w:p>
      <w:pPr>
        <w:pStyle w:val="Titrearticle"/>
        <w:rPr>
          <w:noProof/>
        </w:rPr>
      </w:pPr>
      <w:r>
        <w:rPr>
          <w:noProof/>
        </w:rPr>
        <w:t>48d. cikk</w:t>
      </w:r>
    </w:p>
    <w:p>
      <w:pPr>
        <w:pStyle w:val="NormalCentered"/>
        <w:rPr>
          <w:noProof/>
        </w:rPr>
      </w:pPr>
      <w:r>
        <w:rPr>
          <w:noProof/>
        </w:rPr>
        <w:t xml:space="preserve"> Közzététel és hozzáférhetőség</w:t>
      </w:r>
    </w:p>
    <w:p>
      <w:pPr>
        <w:pStyle w:val="Point0"/>
        <w:rPr>
          <w:noProof/>
        </w:rPr>
      </w:pPr>
      <w:r>
        <w:rPr>
          <w:noProof/>
        </w:rPr>
        <w:t>(1)</w:t>
      </w:r>
      <w:r>
        <w:rPr>
          <w:noProof/>
        </w:rPr>
        <w:tab/>
        <w:t>A társaságiadó-információkat tartalmazó jelentést a 2009/101/EK irányelv 2. fejezete szerint, a tagállamok jogának megfelelően kell közzétenni az ezen irányelv 30. cikke (1) bekezdésében említett dokumentumokkal és releváns esetben a 89/666/EGK tanácsi irányelv** 9. cikkében említett számviteli dokumentumokkal együtt.</w:t>
      </w:r>
    </w:p>
    <w:p>
      <w:pPr>
        <w:pStyle w:val="Point0"/>
        <w:rPr>
          <w:noProof/>
        </w:rPr>
      </w:pPr>
      <w:r>
        <w:rPr>
          <w:noProof/>
        </w:rPr>
        <w:t>(2)</w:t>
      </w:r>
      <w:r>
        <w:rPr>
          <w:noProof/>
        </w:rPr>
        <w:tab/>
        <w:t>A 48b. cikk (1), (3), (4) és (6) bekezdésében említett jelentés a honlapon legalább öt egymást követő éven át hozzáférhetővé kell tenni.</w:t>
      </w:r>
    </w:p>
    <w:p>
      <w:pPr>
        <w:pStyle w:val="Titrearticle"/>
        <w:rPr>
          <w:noProof/>
        </w:rPr>
      </w:pPr>
      <w:r>
        <w:rPr>
          <w:noProof/>
        </w:rPr>
        <w:t>48e. cikk</w:t>
      </w:r>
    </w:p>
    <w:p>
      <w:pPr>
        <w:pStyle w:val="NormalCentered"/>
        <w:rPr>
          <w:noProof/>
        </w:rPr>
      </w:pPr>
      <w:r>
        <w:rPr>
          <w:noProof/>
        </w:rPr>
        <w:t xml:space="preserve"> A társaságiadó-információkat tartalmazó jelentés összeállításáért, közzétételéért és hozzáférhetővé tételéért viselt felelősség</w:t>
      </w:r>
    </w:p>
    <w:p>
      <w:pPr>
        <w:pStyle w:val="Point0"/>
        <w:rPr>
          <w:noProof/>
        </w:rPr>
      </w:pPr>
      <w:r>
        <w:rPr>
          <w:noProof/>
        </w:rPr>
        <w:t>(1)</w:t>
      </w:r>
      <w:r>
        <w:rPr>
          <w:noProof/>
        </w:rPr>
        <w:tab/>
        <w:t>A tagállamok biztosítják, hogy a 48b. cikk (1) bekezdésében említett legfelső szintű anyavállalatok ügyviteli, ügyvezető és felügyelő testületének tagjai a nemzeti jog által rájuk ruházott hatáskörükben eljárva kollektív felelősséget viseljenek annak biztosításáért, hogy a társaságiadó-információkat tartalmazó jelentés összeállítása, közzé- és hozzáférhetővé tétele a 48b., 48c. és 48d. cikknek megfelelően valósul meg.</w:t>
      </w:r>
    </w:p>
    <w:p>
      <w:pPr>
        <w:pStyle w:val="Point0"/>
        <w:rPr>
          <w:noProof/>
        </w:rPr>
      </w:pPr>
      <w:r>
        <w:rPr>
          <w:noProof/>
        </w:rPr>
        <w:t>(2)</w:t>
      </w:r>
      <w:r>
        <w:rPr>
          <w:noProof/>
        </w:rPr>
        <w:tab/>
        <w:t>A tagállamok biztosítják, hogy az ezen irányelv 48b. cikke (3) bekezdésében említett leányvállalatok ügyviteli, ügyvezető és felügyelő testületének tagjai, valamint az ezen irányelv 48b. cikke (4) bekezdésében említett fióktelepek esetében a 89/666/EGK irányelv 13. cikkében az adatközlésre vonatkozóan meghatározott formai követelmények teljesítéséért felelős személy(ek) a nemzeti jog által rájuk ruházott hatáskörükben eljárva kollektív felelősséget viseljenek annak biztosításáért, hogy a társaságiadó-információkat tartalmazó jelentés összeállítása, közzé- és hozzáférhetővé tétele – legjobb tudásuk és képességeik alapján – a 48b., 48c. és 48d. cikk szerint valósul meg.</w:t>
      </w:r>
    </w:p>
    <w:p>
      <w:pPr>
        <w:pStyle w:val="Titrearticle"/>
        <w:rPr>
          <w:noProof/>
        </w:rPr>
      </w:pPr>
      <w:r>
        <w:rPr>
          <w:noProof/>
        </w:rPr>
        <w:t>48f. cikk</w:t>
      </w:r>
    </w:p>
    <w:p>
      <w:pPr>
        <w:pStyle w:val="NormalCentered"/>
        <w:rPr>
          <w:noProof/>
        </w:rPr>
      </w:pPr>
      <w:r>
        <w:rPr>
          <w:noProof/>
        </w:rPr>
        <w:t>Független ellenőrzés</w:t>
      </w:r>
    </w:p>
    <w:p>
      <w:pPr>
        <w:rPr>
          <w:noProof/>
          <w:szCs w:val="24"/>
        </w:rPr>
      </w:pPr>
      <w:r>
        <w:rPr>
          <w:noProof/>
        </w:rPr>
        <w:t>A tagállamok biztosítják, hogy amennyiben egy kapcsolódó vállalkozás pénzügyi kimutatásait a 34. cikk (1) bekezdésének megfelelően egy vagy több jog szerinti könyvvizsgáló vagy könyvvizsgáló cég ellenőrzi, a jog szerinti könyvvizsgáló(k) vagy könyvvizsgáló cég(ek) azt is ellenőrizzék, hogy a társaságiadó-információkat tartalmazó jelentést elkészítették-e és hozzáférhetővé tették-e a 48b., 48c. és 48d. cikknek megfelelően. A jog szerinti könyvvizsgáló(k)nak vagy könyvvizsgáló cég(ek)nek a könyvvizsgálói jelentésben fel kell tüntetniük, ha a társaságiadó-információkat tartalmazó jelentést nem készítették el vagy tették hozzáférhetővé az említett cikkeknek megfelelően.</w:t>
      </w:r>
    </w:p>
    <w:p>
      <w:pPr>
        <w:pStyle w:val="Titrearticle"/>
        <w:rPr>
          <w:noProof/>
        </w:rPr>
      </w:pPr>
      <w:r>
        <w:rPr>
          <w:noProof/>
        </w:rPr>
        <w:t>48g. cikk</w:t>
      </w:r>
    </w:p>
    <w:p>
      <w:pPr>
        <w:pStyle w:val="NormalCentered"/>
        <w:rPr>
          <w:noProof/>
        </w:rPr>
      </w:pPr>
      <w:r>
        <w:rPr>
          <w:noProof/>
        </w:rPr>
        <w:t>Egyes adójogrendszerek közös uniós listája</w:t>
      </w:r>
    </w:p>
    <w:p>
      <w:pPr>
        <w:rPr>
          <w:noProof/>
        </w:rPr>
      </w:pPr>
      <w:r>
        <w:rPr>
          <w:noProof/>
        </w:rPr>
        <w:t>A Bizottság felhatalmazást kap arra, hogy a 49. cikknek megfelelően felhatalmazáson alapuló jogi aktusokat fogadjon el egyes adójogrendszerek közös uniós listájának összeállításával kapcsolatban. A listát azon adójogrendszerek értékelése alapján kell összeállítani, amelyek nem felelnek meg a következő kritériumoknak:</w:t>
      </w:r>
    </w:p>
    <w:p>
      <w:pPr>
        <w:pStyle w:val="Point0"/>
        <w:rPr>
          <w:noProof/>
        </w:rPr>
      </w:pPr>
      <w:r>
        <w:rPr>
          <w:noProof/>
        </w:rPr>
        <w:t>1.</w:t>
      </w:r>
      <w:r>
        <w:rPr>
          <w:noProof/>
        </w:rPr>
        <w:tab/>
        <w:t>átláthatóság és információcsere, ideértve a kérésre történő információcserét és a számlainformációk automatikus cseréjét;</w:t>
      </w:r>
    </w:p>
    <w:p>
      <w:pPr>
        <w:pStyle w:val="Point0"/>
        <w:rPr>
          <w:noProof/>
        </w:rPr>
      </w:pPr>
      <w:r>
        <w:rPr>
          <w:noProof/>
        </w:rPr>
        <w:t>2.</w:t>
      </w:r>
      <w:r>
        <w:rPr>
          <w:noProof/>
        </w:rPr>
        <w:tab/>
        <w:t>méltányos adóverseny;</w:t>
      </w:r>
    </w:p>
    <w:p>
      <w:pPr>
        <w:pStyle w:val="Point0"/>
        <w:rPr>
          <w:noProof/>
        </w:rPr>
      </w:pPr>
      <w:r>
        <w:rPr>
          <w:noProof/>
        </w:rPr>
        <w:t>3.</w:t>
      </w:r>
      <w:r>
        <w:rPr>
          <w:noProof/>
        </w:rPr>
        <w:tab/>
        <w:t xml:space="preserve">a G20-ak és/vagy az OECD standardjai; </w:t>
      </w:r>
    </w:p>
    <w:p>
      <w:pPr>
        <w:pStyle w:val="Point0"/>
        <w:rPr>
          <w:noProof/>
        </w:rPr>
      </w:pPr>
      <w:r>
        <w:rPr>
          <w:noProof/>
        </w:rPr>
        <w:t>4.</w:t>
      </w:r>
      <w:r>
        <w:rPr>
          <w:noProof/>
        </w:rPr>
        <w:tab/>
        <w:t>egyéb releváns standardok, köztük a Pénzügyi Akció Munkacsoport (FATF) által kialakított nemzetközi standardok.</w:t>
      </w:r>
    </w:p>
    <w:p>
      <w:pPr>
        <w:rPr>
          <w:noProof/>
          <w:szCs w:val="24"/>
        </w:rPr>
      </w:pPr>
      <w:r>
        <w:rPr>
          <w:noProof/>
        </w:rPr>
        <w:t>A Bizottság rendszeresen felülvizsgálja a listát, és adott esetben új körülmények figyelembevétele érdekében módosítja azt.</w:t>
      </w:r>
    </w:p>
    <w:p>
      <w:pPr>
        <w:pStyle w:val="Titrearticle"/>
        <w:rPr>
          <w:noProof/>
        </w:rPr>
      </w:pPr>
      <w:r>
        <w:rPr>
          <w:noProof/>
        </w:rPr>
        <w:t>48h. cikk</w:t>
      </w:r>
    </w:p>
    <w:p>
      <w:pPr>
        <w:pStyle w:val="NormalCentered"/>
        <w:rPr>
          <w:noProof/>
        </w:rPr>
      </w:pPr>
      <w:r>
        <w:rPr>
          <w:noProof/>
        </w:rPr>
        <w:t xml:space="preserve"> A társaságiadó-információkra vonatkozó jelentéstétel első időpontja</w:t>
      </w:r>
    </w:p>
    <w:p>
      <w:pPr>
        <w:rPr>
          <w:noProof/>
        </w:rPr>
      </w:pPr>
      <w:r>
        <w:rPr>
          <w:noProof/>
        </w:rPr>
        <w:t>A tagállamok biztosítják, hogy a 48a–48f. cikkeket átültető törvényi, rendeleti és közigazgatási rendelkezések legkésőbb a [</w:t>
      </w:r>
      <w:r>
        <w:rPr>
          <w:i/>
          <w:noProof/>
        </w:rPr>
        <w:t>a dátumot a Kiadóhivatal illeszti be = egy évvel az átültetés határidejét követően</w:t>
      </w:r>
      <w:r>
        <w:rPr>
          <w:noProof/>
        </w:rPr>
        <w:t>]-án/-én vagy azt követően kezdődő első pénzügyi év kezdetétől alkalmazandóak legyenek.</w:t>
      </w:r>
    </w:p>
    <w:p>
      <w:pPr>
        <w:pStyle w:val="Titrearticle"/>
        <w:rPr>
          <w:noProof/>
        </w:rPr>
      </w:pPr>
      <w:r>
        <w:rPr>
          <w:noProof/>
        </w:rPr>
        <w:t>48i. cikk</w:t>
      </w:r>
    </w:p>
    <w:p>
      <w:pPr>
        <w:pStyle w:val="NormalCentered"/>
        <w:rPr>
          <w:noProof/>
        </w:rPr>
      </w:pPr>
      <w:r>
        <w:rPr>
          <w:noProof/>
        </w:rPr>
        <w:t>Jelentés</w:t>
      </w:r>
    </w:p>
    <w:p>
      <w:pPr>
        <w:rPr>
          <w:noProof/>
          <w:szCs w:val="24"/>
        </w:rPr>
      </w:pPr>
      <w:r>
        <w:rPr>
          <w:noProof/>
        </w:rPr>
        <w:t>A Bizottság jelentést készít a 48a–48f. cikkekben meghatározott beszámolási kötelezettség teljesítéséről és hatásáról. A jelentésben értékeli, hogy a társaságiadó-információkat tartalmazó jelentések megfelelő és arányos eredményeket hoznak-e, figyelembe véve az átláthatóság megfelelő szintje és a versenyképes vállalkozási környezet iránti igényt.</w:t>
      </w:r>
    </w:p>
    <w:p>
      <w:pPr>
        <w:rPr>
          <w:noProof/>
          <w:szCs w:val="24"/>
        </w:rPr>
      </w:pPr>
      <w:r>
        <w:rPr>
          <w:noProof/>
        </w:rPr>
        <w:t>A jelentést [</w:t>
      </w:r>
      <w:r>
        <w:rPr>
          <w:i/>
          <w:noProof/>
        </w:rPr>
        <w:t>a dátumot a Kiadóhivatal illeszti be = öt évvel az átültetés határidejét követően</w:t>
      </w:r>
      <w:r>
        <w:rPr>
          <w:noProof/>
        </w:rPr>
        <w:t>]-ig be kell nyújtani az Európai Parlamentnek és a Tanácsnak.”</w:t>
      </w:r>
    </w:p>
    <w:p>
      <w:pPr>
        <w:pStyle w:val="Point0number"/>
        <w:numPr>
          <w:ilvl w:val="0"/>
          <w:numId w:val="12"/>
        </w:numPr>
        <w:rPr>
          <w:noProof/>
        </w:rPr>
      </w:pPr>
      <w:r>
        <w:rPr>
          <w:noProof/>
        </w:rPr>
        <w:t>A 49. cikk a következőképpen módosul:</w:t>
      </w:r>
    </w:p>
    <w:p>
      <w:pPr>
        <w:pStyle w:val="Point0"/>
        <w:rPr>
          <w:noProof/>
        </w:rPr>
      </w:pPr>
      <w:r>
        <w:rPr>
          <w:noProof/>
        </w:rPr>
        <w:t>a)</w:t>
      </w:r>
      <w:r>
        <w:rPr>
          <w:noProof/>
        </w:rPr>
        <w:tab/>
        <w:t>A (2) és (3) bekezdés helyébe a következő szöveg lép:</w:t>
      </w:r>
    </w:p>
    <w:p>
      <w:pPr>
        <w:ind w:left="720"/>
        <w:rPr>
          <w:noProof/>
        </w:rPr>
      </w:pPr>
      <w:r>
        <w:rPr>
          <w:noProof/>
        </w:rPr>
        <w:t>„(2) A Bizottságnak az 1. cikk (2) bekezdésében, a 3. cikk (13) bekezdésében, a 46. cikk (2) bekezdésében és a 48g. cikkben említett, felhatalmazáson alapuló jogi aktus elfogadására vonatkozó felhatalmazása határozatlan időre szól az 54. cikkben említett időponttól kezdődő hatállyal.</w:t>
      </w:r>
    </w:p>
    <w:p>
      <w:pPr>
        <w:ind w:left="720"/>
        <w:rPr>
          <w:noProof/>
        </w:rPr>
      </w:pPr>
      <w:r>
        <w:rPr>
          <w:noProof/>
        </w:rPr>
        <w:t>(3) Az Európai Parlament vagy a Tanács bármikor visszavonhatja az 1. cikk (2) bekezdésében, a 3. cikk (13) bekezdésében, a 46. cikk (2) bekezdésében és a 48g. cikkben említett felhatalmazást. A visszavonásról szóló határozat megszünteti az abban megjelölt felhatalmazást. A határozat az Európai Unió Hivatalos Lapjában való kihirdetését követő napon, vagy a benne megjelölt későbbi időpontban lép hatályba. A határozat nem érinti a már hatályban lévő felhatalmazáson alapuló jogi aktusok érvényességét.”</w:t>
      </w:r>
    </w:p>
    <w:p>
      <w:pPr>
        <w:pStyle w:val="Point0"/>
        <w:rPr>
          <w:noProof/>
        </w:rPr>
      </w:pPr>
      <w:r>
        <w:rPr>
          <w:noProof/>
        </w:rPr>
        <w:t>b)</w:t>
      </w:r>
      <w:r>
        <w:rPr>
          <w:noProof/>
        </w:rPr>
        <w:tab/>
        <w:t>A szöveg a következő (3a) bekezdéssel egészül ki:</w:t>
      </w:r>
    </w:p>
    <w:p>
      <w:pPr>
        <w:ind w:left="720"/>
        <w:rPr>
          <w:noProof/>
        </w:rPr>
      </w:pPr>
      <w:r>
        <w:rPr>
          <w:noProof/>
        </w:rPr>
        <w:t>„(3a) Felhatalmazáson alapuló jogi aktus elfogadása előtt a Bizottság a jogalkotás minőségének javításáról szóló [</w:t>
      </w:r>
      <w:r>
        <w:rPr>
          <w:i/>
          <w:noProof/>
        </w:rPr>
        <w:t>dátum</w:t>
      </w:r>
      <w:r>
        <w:rPr>
          <w:noProof/>
        </w:rPr>
        <w:t>]-i intézményközi megállapodásban meghatározott elveknek megfelelően konzultációt folytat az egyes tagállamok által kijelölt szakértőkkel.”</w:t>
      </w:r>
    </w:p>
    <w:p>
      <w:pPr>
        <w:pStyle w:val="Point0"/>
        <w:rPr>
          <w:noProof/>
        </w:rPr>
      </w:pPr>
      <w:r>
        <w:rPr>
          <w:noProof/>
        </w:rPr>
        <w:t>c)</w:t>
      </w:r>
      <w:r>
        <w:rPr>
          <w:noProof/>
        </w:rPr>
        <w:tab/>
        <w:t>Az (5) bekezdés helyébe a következő szöveg lép:</w:t>
      </w:r>
    </w:p>
    <w:p>
      <w:pPr>
        <w:ind w:left="720"/>
        <w:rPr>
          <w:noProof/>
        </w:rPr>
      </w:pPr>
      <w:r>
        <w:rPr>
          <w:noProof/>
        </w:rPr>
        <w:t>„(5) Az 1. cikk (2) bekezdése, a 3. cikk (13) bekezdése, a 46. cikk (2) bekezdése vagy a 48g. cikk értelmében elfogadott, felhatalmazáson alapuló jogi aktus csak akkor lép hatályba, ha az Európai Parlamentnek és a Tanácsnak a jogi aktusról való értesítését követő két hónapon belül sem az Európai Parlament, sem a Tanács nem emelt ellene kifogást, illetve ha az említett időtartam lejártát megelőzően mind az Európai Parlament, mind a Tanács arról tájékoztatta a Bizottságot, hogy nem fog kifogást emelni. Az Európai Parlament vagy a Tanács kezdeményezésére ez az időtartam két hónappal meghosszabbodik.”</w:t>
      </w:r>
    </w:p>
    <w:p>
      <w:pPr>
        <w:rPr>
          <w:noProof/>
          <w:szCs w:val="24"/>
        </w:rPr>
      </w:pPr>
      <w:r>
        <w:rPr>
          <w:noProof/>
        </w:rPr>
        <w:t>______________________</w:t>
      </w:r>
    </w:p>
    <w:p>
      <w:pPr>
        <w:rPr>
          <w:noProof/>
          <w:szCs w:val="24"/>
        </w:rPr>
      </w:pPr>
      <w:r>
        <w:rPr>
          <w:noProof/>
        </w:rPr>
        <w:t>* Az Európai Parlament és a Tanács 2013. június 26-i 2013/36/EU irányelve a hitelintézetek tevékenységéhez való hozzáférésről és a hitelintézetek és befektetési vállalkozások prudenciális felügyeletéről, a 2002/87/EK irányelv módosításáról, a 2006/48/EK és a 2006/49/EK irányelv hatályon kívül helyezéséről (HL L 176., 2013.6.27., 338. o.).</w:t>
      </w:r>
    </w:p>
    <w:p>
      <w:pPr>
        <w:rPr>
          <w:noProof/>
          <w:szCs w:val="24"/>
        </w:rPr>
      </w:pPr>
      <w:r>
        <w:rPr>
          <w:noProof/>
        </w:rPr>
        <w:t>** A Tanács 1989. december 21-i tizenegyedik irányelve a valamely tagállam jogának hatálya alá tartozó meghatározott jogi formájú társaságoknak egy másik tagállamban létesített fióktelepeire vonatkozó bejelentési és közzétételi követelményeiről (89/666/EGK), HL L 395., 1989.12.30., 36. o.</w:t>
      </w:r>
    </w:p>
    <w:p>
      <w:pPr>
        <w:pStyle w:val="Titrearticle"/>
        <w:keepLines/>
        <w:rPr>
          <w:noProof/>
        </w:rPr>
      </w:pPr>
      <w:r>
        <w:rPr>
          <w:noProof/>
        </w:rPr>
        <w:t>2. cikk</w:t>
      </w:r>
    </w:p>
    <w:p>
      <w:pPr>
        <w:pStyle w:val="NormalCentered"/>
        <w:rPr>
          <w:noProof/>
        </w:rPr>
      </w:pPr>
      <w:r>
        <w:rPr>
          <w:noProof/>
        </w:rPr>
        <w:t xml:space="preserve"> Átültetés</w:t>
      </w:r>
    </w:p>
    <w:p>
      <w:pPr>
        <w:pStyle w:val="Point0"/>
        <w:rPr>
          <w:noProof/>
        </w:rPr>
      </w:pPr>
      <w:r>
        <w:rPr>
          <w:noProof/>
        </w:rPr>
        <w:t>(1)</w:t>
      </w:r>
      <w:r>
        <w:rPr>
          <w:noProof/>
        </w:rPr>
        <w:tab/>
        <w:t>A tagállamok hatályba léptetik azokat a törvényi, rendeleti és közigazgatási rendelkezéseket, amelyek szükségesek ahhoz, hogy ennek az irányelvnek legkésőbb [</w:t>
      </w:r>
      <w:r>
        <w:rPr>
          <w:i/>
          <w:noProof/>
        </w:rPr>
        <w:t>a dátumot a Kiadóhivatal illeszti be = egy évvel a hatálybalépést követően</w:t>
      </w:r>
      <w:r>
        <w:rPr>
          <w:noProof/>
        </w:rPr>
        <w:t>]-ig megfeleljenek. E rendelkezések szövegét haladéktalanul megküldik a Bizottság számára.</w:t>
      </w:r>
    </w:p>
    <w:p>
      <w:pPr>
        <w:pStyle w:val="Point0"/>
        <w:ind w:firstLine="1"/>
        <w:rPr>
          <w:noProof/>
        </w:rPr>
      </w:pPr>
      <w:r>
        <w:rPr>
          <w:noProof/>
        </w:rPr>
        <w:t>A tagállamok által elfogadott, említett rendelkezésekben hivatkozni kell erre az irányelvre, vagy azokhoz hivatalos kihirdetésük alkalmával ilyen hivatkozást kell fűzni. A hivatkozás módját a tagállamok határozzák meg.</w:t>
      </w:r>
    </w:p>
    <w:p>
      <w:pPr>
        <w:pStyle w:val="Point0"/>
        <w:rPr>
          <w:noProof/>
        </w:rPr>
      </w:pPr>
      <w:r>
        <w:rPr>
          <w:noProof/>
        </w:rPr>
        <w:t>(2)</w:t>
      </w:r>
      <w:r>
        <w:rPr>
          <w:noProof/>
        </w:rPr>
        <w:tab/>
        <w:t>A tagállamok közlik a Bizottsággal nemzeti joguk azon főbb rendelkezéseinek szövegét, amelyeket az ezen irányelv által szabályozott területen fogadnak el.</w:t>
      </w:r>
    </w:p>
    <w:p>
      <w:pPr>
        <w:pStyle w:val="Titrearticle"/>
        <w:rPr>
          <w:noProof/>
        </w:rPr>
      </w:pPr>
      <w:r>
        <w:rPr>
          <w:noProof/>
        </w:rPr>
        <w:t>3. cikk</w:t>
      </w:r>
    </w:p>
    <w:p>
      <w:pPr>
        <w:pStyle w:val="NormalCentered"/>
        <w:rPr>
          <w:noProof/>
        </w:rPr>
      </w:pPr>
      <w:r>
        <w:rPr>
          <w:noProof/>
        </w:rPr>
        <w:t xml:space="preserve"> Hatálybalépés</w:t>
      </w:r>
    </w:p>
    <w:p>
      <w:pPr>
        <w:rPr>
          <w:noProof/>
        </w:rPr>
      </w:pPr>
      <w:r>
        <w:rPr>
          <w:noProof/>
        </w:rPr>
        <w:t xml:space="preserve">Ez az irányelv az </w:t>
      </w:r>
      <w:r>
        <w:rPr>
          <w:i/>
          <w:noProof/>
        </w:rPr>
        <w:t>Európai Unió Hivatalos Lapjában</w:t>
      </w:r>
      <w:r>
        <w:rPr>
          <w:noProof/>
        </w:rPr>
        <w:t xml:space="preserve"> való kihirdetését követő huszadik napon lép hatályba.</w:t>
      </w:r>
    </w:p>
    <w:p>
      <w:pPr>
        <w:pStyle w:val="Titrearticle"/>
        <w:rPr>
          <w:noProof/>
        </w:rPr>
      </w:pPr>
      <w:r>
        <w:rPr>
          <w:noProof/>
        </w:rPr>
        <w:t>4. cikk</w:t>
      </w:r>
    </w:p>
    <w:p>
      <w:pPr>
        <w:pStyle w:val="NormalCentered"/>
        <w:rPr>
          <w:noProof/>
        </w:rPr>
      </w:pPr>
      <w:r>
        <w:rPr>
          <w:noProof/>
        </w:rPr>
        <w:t xml:space="preserve"> Címzettek</w:t>
      </w:r>
    </w:p>
    <w:p>
      <w:pPr>
        <w:keepNext/>
        <w:keepLines/>
        <w:rPr>
          <w:noProof/>
        </w:rPr>
      </w:pPr>
      <w:r>
        <w:rPr>
          <w:noProof/>
        </w:rPr>
        <w:t>Ennek az irányelvnek a tagállamok a címzettjei.</w:t>
      </w:r>
    </w:p>
    <w:p>
      <w:pPr>
        <w:pStyle w:val="Fait"/>
        <w:rPr>
          <w:noProof/>
        </w:rPr>
      </w:pPr>
      <w:r>
        <w:rPr>
          <w:noProof/>
        </w:rPr>
        <w:t>Kelt Strasbourgban, -án/-én.</w:t>
      </w:r>
    </w:p>
    <w:p>
      <w:pPr>
        <w:pStyle w:val="Institutionquisigne"/>
        <w:rPr>
          <w:noProof/>
        </w:rPr>
      </w:pPr>
      <w:r>
        <w:rPr>
          <w:noProof/>
        </w:rPr>
        <w:t>az Európai Parlament részéről</w:t>
      </w:r>
      <w:r>
        <w:rPr>
          <w:noProof/>
        </w:rPr>
        <w:tab/>
        <w:t>a Tanács részéről</w:t>
      </w:r>
    </w:p>
    <w:p>
      <w:pPr>
        <w:pStyle w:val="Personnequisigne"/>
        <w:rPr>
          <w:noProof/>
        </w:rPr>
      </w:pPr>
      <w:r>
        <w:rPr>
          <w:noProof/>
        </w:rPr>
        <w:t>az elnök</w:t>
      </w:r>
      <w:r>
        <w:rPr>
          <w:noProof/>
        </w:rPr>
        <w:tab/>
        <w:t>az elnök</w:t>
      </w:r>
    </w:p>
    <w:sectPr>
      <w:pgSz w:w="11907" w:h="16839"/>
      <w:pgMar w:top="1134" w:right="1417" w:bottom="1134" w:left="1417"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26B392C" w15:done="0"/>
  <w15:commentEx w15:paraId="167D3C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20</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 xml:space="preserve">Lásd az Európai Bizottság </w:t>
      </w:r>
      <w:hyperlink r:id="rId1">
        <w:r>
          <w:rPr>
            <w:rStyle w:val="Hyperlink"/>
          </w:rPr>
          <w:t>társasági adózásról szóló 2015. júniusi cselekvési tervét</w:t>
        </w:r>
      </w:hyperlink>
      <w:r>
        <w:t xml:space="preserve"> és az</w:t>
      </w:r>
      <w:r>
        <w:rPr>
          <w:color w:val="000000"/>
        </w:rPr>
        <w:t xml:space="preserve"> </w:t>
      </w:r>
      <w:hyperlink r:id="rId2">
        <w:r>
          <w:rPr>
            <w:rStyle w:val="Hyperlink"/>
          </w:rPr>
          <w:t>adókikerülés elleni 2016. januári csomagját</w:t>
        </w:r>
      </w:hyperlink>
      <w:r>
        <w:t>.</w:t>
      </w:r>
    </w:p>
  </w:footnote>
  <w:footnote w:id="2">
    <w:p>
      <w:pPr>
        <w:pStyle w:val="FootnoteText"/>
      </w:pPr>
      <w:r>
        <w:rPr>
          <w:rStyle w:val="FootnoteReference"/>
        </w:rPr>
        <w:footnoteRef/>
      </w:r>
      <w:r>
        <w:tab/>
        <w:t>A Bizottság javaslata – A Tanács irányelve a 2011/16/EU irányelvnek az adózás területére vonatkozó kötelező automatikus információcsere tekintetében történő módosításáról.</w:t>
      </w:r>
    </w:p>
  </w:footnote>
  <w:footnote w:id="3">
    <w:p>
      <w:pPr>
        <w:pStyle w:val="FootnoteText"/>
      </w:pPr>
      <w:r>
        <w:rPr>
          <w:rStyle w:val="FootnoteReference"/>
        </w:rPr>
        <w:footnoteRef/>
      </w:r>
      <w:r>
        <w:tab/>
        <w:t>Kivételt képeznek ez alól a nem uniós multinacionális csoportok azon közepes méretű leányvállalatai és fióktelepei, amelyek konszolidált árbevétele meghaladja a 750 millió EUR-t. Ezekre vonatkozni fognak a beszámolási követelmények.</w:t>
      </w:r>
    </w:p>
  </w:footnote>
  <w:footnote w:id="4">
    <w:p>
      <w:pPr>
        <w:pStyle w:val="FootnoteText"/>
      </w:pPr>
      <w:r>
        <w:rPr>
          <w:rStyle w:val="FootnoteReference"/>
        </w:rPr>
        <w:footnoteRef/>
      </w:r>
      <w:r>
        <w:tab/>
        <w:t>2013/36/EU irányelv a hitelintézetek tevékenységéhez való hozzáférésről és a hitelintézetek és befektetési vállalkozások prudenciális felügyeletéről (89. cikk).</w:t>
      </w:r>
    </w:p>
  </w:footnote>
  <w:footnote w:id="5">
    <w:p>
      <w:pPr>
        <w:pStyle w:val="FootnoteText"/>
      </w:pPr>
      <w:r>
        <w:rPr>
          <w:rStyle w:val="FootnoteReference"/>
        </w:rPr>
        <w:footnoteRef/>
      </w:r>
      <w:r>
        <w:tab/>
        <w:t>2013/34/EU irányelv (10. fejezet).</w:t>
      </w:r>
    </w:p>
  </w:footnote>
  <w:footnote w:id="6">
    <w:p>
      <w:pPr>
        <w:pStyle w:val="FootnoteText"/>
      </w:pPr>
      <w:r>
        <w:rPr>
          <w:rStyle w:val="FootnoteReference"/>
        </w:rPr>
        <w:footnoteRef/>
      </w:r>
      <w:r>
        <w:tab/>
        <w:t>A Bizottság javaslata – A Tanács irányelve a 2011/16/EU irányelvnek az adózás területére vonatkozó kötelező automatikus információcsere tekintetében történő módosításáról.</w:t>
      </w:r>
    </w:p>
  </w:footnote>
  <w:footnote w:id="7">
    <w:p>
      <w:pPr>
        <w:pStyle w:val="FootnoteText"/>
      </w:pPr>
      <w:r>
        <w:rPr>
          <w:rStyle w:val="FootnoteReference"/>
        </w:rPr>
        <w:footnoteRef/>
      </w:r>
      <w:r>
        <w:tab/>
        <w:t xml:space="preserve">Európai Bizottság: </w:t>
      </w:r>
      <w:hyperlink r:id="rId3">
        <w:r>
          <w:rPr>
            <w:rStyle w:val="Hyperlink"/>
          </w:rPr>
          <w:t>A társasági adózás nagyobb átláthatóságának lehetőségeivel kapcsolatos nyilvános konzultációra adott válaszok összefoglalása (angol nyelven)</w:t>
        </w:r>
      </w:hyperlink>
      <w:r>
        <w:t>, 2016. január.</w:t>
      </w:r>
    </w:p>
  </w:footnote>
  <w:footnote w:id="8">
    <w:p>
      <w:pPr>
        <w:pStyle w:val="FootnoteText"/>
      </w:pPr>
      <w:r>
        <w:rPr>
          <w:rStyle w:val="FootnoteReference"/>
        </w:rPr>
        <w:footnoteRef/>
      </w:r>
      <w:r>
        <w:tab/>
        <w:t>2015. október 1-jén rendezett kerekasztal-konferencia, amelyen Dombrovskis, Hill és Moscovici biztosok jelentős számú érdekelt féllel találkoztak.</w:t>
      </w:r>
    </w:p>
  </w:footnote>
  <w:footnote w:id="9">
    <w:p>
      <w:pPr>
        <w:pStyle w:val="FootnoteText"/>
      </w:pPr>
      <w:r>
        <w:rPr>
          <w:rStyle w:val="FootnoteReference"/>
        </w:rPr>
        <w:footnoteRef/>
      </w:r>
      <w:r>
        <w:tab/>
        <w:t xml:space="preserve">Európai Bizottság – </w:t>
      </w:r>
      <w:hyperlink r:id="rId4" w:anchor="meeting">
        <w:r>
          <w:rPr>
            <w:rStyle w:val="Hyperlink"/>
          </w:rPr>
          <w:t>Jó adóügyi kormányzással foglalkozó platform</w:t>
        </w:r>
      </w:hyperlink>
      <w:r>
        <w:t>.</w:t>
      </w:r>
    </w:p>
  </w:footnote>
  <w:footnote w:id="10">
    <w:p>
      <w:pPr>
        <w:pStyle w:val="FootnoteText"/>
      </w:pPr>
      <w:r>
        <w:rPr>
          <w:rStyle w:val="FootnoteReference"/>
        </w:rPr>
        <w:footnoteRef/>
      </w:r>
      <w:r>
        <w:tab/>
      </w:r>
      <w:hyperlink r:id="rId5">
        <w:r>
          <w:rPr>
            <w:rStyle w:val="Hyperlink"/>
          </w:rPr>
          <w:t>A CRD IV. keretében előírt országonkénti jelentéstétel bankokra gyakorolt lehetséges gazdasági hatásainak általános elemzése (angol nyelven)</w:t>
        </w:r>
      </w:hyperlink>
      <w:r>
        <w:t>, PwC, 2014.</w:t>
      </w:r>
    </w:p>
  </w:footnote>
  <w:footnote w:id="11">
    <w:p>
      <w:pPr>
        <w:pStyle w:val="FootnoteText"/>
      </w:pPr>
      <w:r>
        <w:rPr>
          <w:rStyle w:val="FootnoteReference"/>
        </w:rPr>
        <w:footnoteRef/>
      </w:r>
      <w:r>
        <w:tab/>
        <w:t xml:space="preserve">Uo. </w:t>
      </w:r>
      <w:r>
        <w:fldChar w:fldCharType="begin"/>
      </w:r>
      <w:r>
        <w:instrText xml:space="preserve"> NOTEREF _Ref447012652 \h </w:instrText>
      </w:r>
      <w:r>
        <w:fldChar w:fldCharType="separate"/>
      </w:r>
      <w:r>
        <w:t>3</w:t>
      </w:r>
      <w:r>
        <w:fldChar w:fldCharType="end"/>
      </w:r>
      <w:r>
        <w:t>.</w:t>
      </w:r>
    </w:p>
  </w:footnote>
  <w:footnote w:id="12">
    <w:p>
      <w:pPr>
        <w:pStyle w:val="FootnoteText"/>
      </w:pPr>
      <w:r>
        <w:rPr>
          <w:rStyle w:val="FootnoteReference"/>
        </w:rPr>
        <w:footnoteRef/>
      </w:r>
      <w:r>
        <w:tab/>
        <w:t>Az adózás területére vonatkozó kötelező automatikus információcsere tekintetében módosított 2011/16/EU tanácsi irányelv.</w:t>
      </w:r>
    </w:p>
  </w:footnote>
  <w:footnote w:id="13">
    <w:p>
      <w:pPr>
        <w:pStyle w:val="FootnoteText"/>
      </w:pPr>
      <w:r>
        <w:rPr>
          <w:rStyle w:val="FootnoteReference"/>
        </w:rPr>
        <w:footnoteRef/>
      </w:r>
      <w:r>
        <w:tab/>
        <w:t>Az Európai Parlament és a Tanács 2013. június 26-i 575/2013/EU rendelete a hitelintézetekre és befektetési vállalkozásokra vonatkozó prudenciális követelményekről és a 648/2012/EU rendelet módosításáról (HL L 176., 2013.6.27., 1. o.)</w:t>
      </w:r>
    </w:p>
  </w:footnote>
  <w:footnote w:id="14">
    <w:p>
      <w:pPr>
        <w:pStyle w:val="FootnoteText"/>
      </w:pPr>
      <w:r>
        <w:rPr>
          <w:rStyle w:val="FootnoteReference"/>
        </w:rPr>
        <w:footnoteRef/>
      </w:r>
      <w:r>
        <w:tab/>
        <w:t xml:space="preserve">A Bizottság közleménye az Európai Parlamentnek és a Tanácsnak az eredményes adóztatás külügyi stratégiájáról, COM(2016) 24 final. </w:t>
      </w:r>
    </w:p>
  </w:footnote>
  <w:footnote w:id="15">
    <w:p>
      <w:pPr>
        <w:pStyle w:val="FootnoteText"/>
        <w:rPr>
          <w:lang w:val="pt-PT"/>
        </w:rPr>
      </w:pPr>
      <w:r>
        <w:rPr>
          <w:rStyle w:val="FootnoteReference"/>
        </w:rPr>
        <w:footnoteRef/>
      </w:r>
      <w:r>
        <w:rPr>
          <w:lang w:val="pt-PT"/>
        </w:rPr>
        <w:tab/>
        <w:t>HL C […], […], […]. o.</w:t>
      </w:r>
    </w:p>
  </w:footnote>
  <w:footnote w:id="16">
    <w:p>
      <w:pPr>
        <w:pStyle w:val="FootnoteText"/>
        <w:rPr>
          <w:lang w:val="pt-PT"/>
        </w:rPr>
      </w:pPr>
      <w:r>
        <w:rPr>
          <w:rStyle w:val="FootnoteReference"/>
        </w:rPr>
        <w:footnoteRef/>
      </w:r>
      <w:r>
        <w:rPr>
          <w:lang w:val="pt-PT"/>
        </w:rPr>
        <w:tab/>
        <w:t>COM(2015) 610 final, 2015. október 27.</w:t>
      </w:r>
    </w:p>
  </w:footnote>
  <w:footnote w:id="17">
    <w:p>
      <w:pPr>
        <w:pStyle w:val="FootnoteText"/>
        <w:rPr>
          <w:lang w:val="pt-PT"/>
        </w:rPr>
      </w:pPr>
      <w:r>
        <w:rPr>
          <w:rStyle w:val="FootnoteReference"/>
        </w:rPr>
        <w:footnoteRef/>
      </w:r>
      <w:r>
        <w:rPr>
          <w:lang w:val="pt-PT"/>
        </w:rPr>
        <w:tab/>
        <w:t>COM(2014) 910 final, 2014. december 16.</w:t>
      </w:r>
    </w:p>
  </w:footnote>
  <w:footnote w:id="18">
    <w:p>
      <w:pPr>
        <w:pStyle w:val="FootnoteText"/>
        <w:rPr>
          <w:lang w:val="pt-PT"/>
        </w:rPr>
      </w:pPr>
      <w:r>
        <w:rPr>
          <w:rStyle w:val="FootnoteReference"/>
        </w:rPr>
        <w:footnoteRef/>
      </w:r>
      <w:r>
        <w:rPr>
          <w:lang w:val="pt-PT"/>
        </w:rPr>
        <w:tab/>
        <w:t xml:space="preserve">2015/2010(INL). </w:t>
      </w:r>
    </w:p>
  </w:footnote>
  <w:footnote w:id="19">
    <w:p>
      <w:pPr>
        <w:pStyle w:val="FootnoteText"/>
      </w:pPr>
      <w:r>
        <w:rPr>
          <w:rStyle w:val="FootnoteReference"/>
        </w:rPr>
        <w:footnoteRef/>
      </w:r>
      <w:r>
        <w:rPr>
          <w:lang w:val="pt-PT"/>
        </w:rPr>
        <w:tab/>
      </w:r>
      <w:r>
        <w:t>Az Európai Parlament és a Tanács 2013/34/EU irányelve (2013. június 26.) a meghatározott típusú vállalkozások éves pénzügyi kimutatásairól, összevont (konszolidált) éves pénzügyi kimutatásairól és a kapcsolódó beszámolókról, a 2006/43/EK európai parlamenti és tanácsi irányelv módosításáról,</w:t>
      </w:r>
      <w:r>
        <w:rPr>
          <w:lang w:val="pt-PT"/>
        </w:rPr>
        <w:t xml:space="preserve"> </w:t>
      </w:r>
      <w:r>
        <w:t>valamint a 78/660/EGK és a 83/349/EGK tanácsi irányelv hatályon kívül helyezéséről (HL L 182., 2013.6.29., 19. o.).</w:t>
      </w:r>
    </w:p>
  </w:footnote>
  <w:footnote w:id="20">
    <w:p>
      <w:pPr>
        <w:pStyle w:val="FootnoteText"/>
      </w:pPr>
      <w:r>
        <w:rPr>
          <w:rStyle w:val="FootnoteReference"/>
        </w:rPr>
        <w:footnoteRef/>
      </w:r>
      <w:r>
        <w:tab/>
        <w:t>A Tanács 2011. február 15-i 2011/16/EU irányelve az adózás területén történő közigazgatási együttműködésről és a 77/799/EGK irányelv hatályon kívül helyezéséről (HL L 64., 2011.3.11., 1. o.).</w:t>
      </w:r>
    </w:p>
  </w:footnote>
  <w:footnote w:id="21">
    <w:p>
      <w:pPr>
        <w:pStyle w:val="FootnoteText"/>
      </w:pPr>
      <w:r>
        <w:rPr>
          <w:rStyle w:val="FootnoteReference"/>
        </w:rPr>
        <w:footnoteRef/>
      </w:r>
      <w:r>
        <w:tab/>
        <w:t>Az Európai Parlament és a Tanács 2013. június 26-i 2013/36/EU irányelve a hitelintézetek tevékenységéhez való hozzáférésről és a hitelintézetek és befektetési vállalkozások prudenciális felügyeletéről, a 2002/87/EK irányelv módosításáról, a 2006/48/EK és a 2006/49/EK irányelv hatályon kívül helyezéséről (HL L 176., 2013.6.27., 338. o.).</w:t>
      </w:r>
    </w:p>
  </w:footnote>
  <w:footnote w:id="22">
    <w:p>
      <w:pPr>
        <w:pStyle w:val="FootnoteText"/>
      </w:pPr>
      <w:r>
        <w:rPr>
          <w:rStyle w:val="FootnoteReference"/>
        </w:rPr>
        <w:footnoteRef/>
      </w:r>
      <w:r>
        <w:tab/>
        <w:t>Az Európai Parlament és a Tanács 2013. június 26-i 575/2013/EU rendelete a hitelintézetekre és befektetési vállalkozásokra vonatkozó prudenciális követelményekről és a 648/2012/EU rendelet módosításáról (HL L 176., 2013.6.27., 1. o.)</w:t>
      </w:r>
    </w:p>
  </w:footnote>
  <w:footnote w:id="23">
    <w:p>
      <w:pPr>
        <w:pStyle w:val="FootnoteText"/>
      </w:pPr>
      <w:r>
        <w:rPr>
          <w:rStyle w:val="FootnoteReference"/>
        </w:rPr>
        <w:footnoteRef/>
      </w:r>
      <w:r>
        <w:tab/>
        <w:t xml:space="preserve">A Bíróság C–97/96. sz., </w:t>
      </w:r>
      <w:r>
        <w:rPr>
          <w:i/>
        </w:rPr>
        <w:t>Verband deutscher Daihatsu-Händler</w:t>
      </w:r>
      <w:r>
        <w:t xml:space="preserve"> ügyben 1997. december 4-én hozott ítélete (ECLI:EU:C:1997:581).</w:t>
      </w:r>
    </w:p>
  </w:footnote>
  <w:footnote w:id="24">
    <w:p>
      <w:pPr>
        <w:pStyle w:val="FootnoteText"/>
      </w:pPr>
      <w:r>
        <w:rPr>
          <w:rStyle w:val="FootnoteReference"/>
        </w:rPr>
        <w:footnoteRef/>
      </w:r>
      <w:r>
        <w:tab/>
        <w:t>HL C 369., 2011.12.17., 14. 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A461D2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09F8AD14"/>
    <w:lvl w:ilvl="0">
      <w:start w:val="1"/>
      <w:numFmt w:val="decimal"/>
      <w:pStyle w:val="ListNumber3"/>
      <w:lvlText w:val="%1."/>
      <w:lvlJc w:val="left"/>
      <w:pPr>
        <w:tabs>
          <w:tab w:val="num" w:pos="926"/>
        </w:tabs>
        <w:ind w:left="926" w:hanging="360"/>
      </w:pPr>
    </w:lvl>
  </w:abstractNum>
  <w:abstractNum w:abstractNumId="2">
    <w:nsid w:val="FFFFFF7F"/>
    <w:multiLevelType w:val="singleLevel"/>
    <w:tmpl w:val="14207C5C"/>
    <w:lvl w:ilvl="0">
      <w:start w:val="1"/>
      <w:numFmt w:val="decimal"/>
      <w:pStyle w:val="ListNumber2"/>
      <w:lvlText w:val="%1."/>
      <w:lvlJc w:val="left"/>
      <w:pPr>
        <w:tabs>
          <w:tab w:val="num" w:pos="643"/>
        </w:tabs>
        <w:ind w:left="643" w:hanging="360"/>
      </w:pPr>
    </w:lvl>
  </w:abstractNum>
  <w:abstractNum w:abstractNumId="3">
    <w:nsid w:val="FFFFFF81"/>
    <w:multiLevelType w:val="singleLevel"/>
    <w:tmpl w:val="6450DEF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3E0012D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1FD8094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BCA1266"/>
    <w:lvl w:ilvl="0">
      <w:start w:val="1"/>
      <w:numFmt w:val="decimal"/>
      <w:pStyle w:val="ListNumber"/>
      <w:lvlText w:val="%1."/>
      <w:lvlJc w:val="left"/>
      <w:pPr>
        <w:tabs>
          <w:tab w:val="num" w:pos="360"/>
        </w:tabs>
        <w:ind w:left="360" w:hanging="360"/>
      </w:pPr>
    </w:lvl>
  </w:abstractNum>
  <w:abstractNum w:abstractNumId="7">
    <w:nsid w:val="FFFFFF89"/>
    <w:multiLevelType w:val="singleLevel"/>
    <w:tmpl w:val="DC648F6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8E853A6"/>
    <w:multiLevelType w:val="multilevel"/>
    <w:tmpl w:val="8236B13A"/>
    <w:styleLink w:val="ImportedStyle2"/>
    <w:lvl w:ilvl="0">
      <w:start w:val="1"/>
      <w:numFmt w:val="decimal"/>
      <w:lvlText w:val="(%1)"/>
      <w:lvlJc w:val="left"/>
      <w:rPr>
        <w:position w:val="0"/>
        <w:rtl w:val="0"/>
      </w:rPr>
    </w:lvl>
    <w:lvl w:ilvl="1">
      <w:start w:val="1"/>
      <w:numFmt w:val="decimal"/>
      <w:lvlText w:val="(%1)(%2)"/>
      <w:lvlJc w:val="left"/>
      <w:rPr>
        <w:position w:val="0"/>
        <w:rtl w:val="0"/>
      </w:rPr>
    </w:lvl>
    <w:lvl w:ilvl="2">
      <w:start w:val="1"/>
      <w:numFmt w:val="decimal"/>
      <w:lvlText w:val="(%3)"/>
      <w:lvlJc w:val="left"/>
      <w:rPr>
        <w:position w:val="0"/>
        <w:rtl w:val="0"/>
      </w:rPr>
    </w:lvl>
    <w:lvl w:ilvl="3">
      <w:start w:val="1"/>
      <w:numFmt w:val="decimal"/>
      <w:lvlText w:val="(%4)"/>
      <w:lvlJc w:val="left"/>
      <w:rPr>
        <w:position w:val="0"/>
        <w:rtl w:val="0"/>
      </w:rPr>
    </w:lvl>
    <w:lvl w:ilvl="4">
      <w:start w:val="1"/>
      <w:numFmt w:val="decimal"/>
      <w:lvlText w:val="(%5)"/>
      <w:lvlJc w:val="left"/>
      <w:rPr>
        <w:position w:val="0"/>
        <w:rtl w:val="0"/>
      </w:rPr>
    </w:lvl>
    <w:lvl w:ilvl="5">
      <w:start w:val="1"/>
      <w:numFmt w:val="decimal"/>
      <w:lvlText w:val="(%6)"/>
      <w:lvlJc w:val="left"/>
      <w:rPr>
        <w:position w:val="0"/>
        <w:rtl w:val="0"/>
      </w:rPr>
    </w:lvl>
    <w:lvl w:ilvl="6">
      <w:start w:val="1"/>
      <w:numFmt w:val="decimal"/>
      <w:lvlText w:val="(%7)"/>
      <w:lvlJc w:val="left"/>
      <w:rPr>
        <w:position w:val="0"/>
        <w:rtl w:val="0"/>
      </w:rPr>
    </w:lvl>
    <w:lvl w:ilvl="7">
      <w:start w:val="1"/>
      <w:numFmt w:val="decimal"/>
      <w:lvlText w:val="(%8)"/>
      <w:lvlJc w:val="left"/>
      <w:rPr>
        <w:position w:val="0"/>
        <w:rtl w:val="0"/>
      </w:rPr>
    </w:lvl>
    <w:lvl w:ilvl="8">
      <w:start w:val="1"/>
      <w:numFmt w:val="decimal"/>
      <w:lvlText w:val="(%9)"/>
      <w:lvlJc w:val="left"/>
      <w:rPr>
        <w:position w:val="0"/>
        <w:rtl w:val="0"/>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05C2336"/>
    <w:multiLevelType w:val="hybridMultilevel"/>
    <w:tmpl w:val="1D7EEB74"/>
    <w:lvl w:ilvl="0" w:tplc="65224F3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3"/>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10"/>
  </w:num>
  <w:num w:numId="11">
    <w:abstractNumId w:val="8"/>
  </w:num>
  <w:num w:numId="12">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4"/>
  </w:num>
  <w:num w:numId="16">
    <w:abstractNumId w:val="22"/>
  </w:num>
  <w:num w:numId="17">
    <w:abstractNumId w:val="13"/>
  </w:num>
  <w:num w:numId="18">
    <w:abstractNumId w:val="15"/>
  </w:num>
  <w:num w:numId="19">
    <w:abstractNumId w:val="11"/>
  </w:num>
  <w:num w:numId="20">
    <w:abstractNumId w:val="21"/>
  </w:num>
  <w:num w:numId="21">
    <w:abstractNumId w:val="9"/>
  </w:num>
  <w:num w:numId="22">
    <w:abstractNumId w:val="16"/>
  </w:num>
  <w:num w:numId="23">
    <w:abstractNumId w:val="18"/>
  </w:num>
  <w:num w:numId="24">
    <w:abstractNumId w:val="19"/>
  </w:num>
  <w:num w:numId="25">
    <w:abstractNumId w:val="12"/>
  </w:num>
  <w:num w:numId="26">
    <w:abstractNumId w:val="17"/>
  </w:num>
  <w:num w:numId="27">
    <w:abstractNumId w:val="23"/>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UWE">
    <w15:presenceInfo w15:providerId="None" w15:userId="WOLUW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attachedTemplate r:id="rId1"/>
  <w:revisionView w:markup="0"/>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4-19 10:08:19"/>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1"/>
    <w:docVar w:name="DQCResult_ModifiedMarkers" w:val="0;0"/>
    <w:docVar w:name="DQCResult_ModifiedNumbering" w:val="0;0"/>
    <w:docVar w:name="DQCResult_Objects" w:val="0;0"/>
    <w:docVar w:name="DQCResult_Sections" w:val="0;0"/>
    <w:docVar w:name="DQCResult_StructureCheck" w:val="0;0"/>
    <w:docVar w:name="DQCResult_SuperfluousWhitespace" w:val="0;11"/>
    <w:docVar w:name="DQCResult_UnknownFonts" w:val="0;0"/>
    <w:docVar w:name="DQCResult_UnknownStyles" w:val="0;0"/>
    <w:docVar w:name="DQCStatus" w:val="Green"/>
    <w:docVar w:name="DQCVersion" w:val="3"/>
    <w:docVar w:name="DQCWithWarnings" w:val="0"/>
    <w:docVar w:name="LW_CONFIDENCE" w:val=" "/>
    <w:docVar w:name="LW_CONST_RESTREINT_UE" w:val="RESTREINT UE"/>
    <w:docVar w:name="LW_CORRIGENDUM" w:val="&lt;UNUSED&gt;"/>
    <w:docVar w:name="LW_COVERPAGE_GUID" w:val="C069941F8B0B4ECAA042168198966440"/>
    <w:docVar w:name="LW_CROSSREFERENCE" w:val="{SWD(2016) 117 final}_x000b_{SWD(2016) 118 final}"/>
    <w:docVar w:name="LW_DocType" w:val="COM"/>
    <w:docVar w:name="LW_EMISSION" w:val="2016.4.12."/>
    <w:docVar w:name="LW_EMISSION_ISODATE" w:val="2016-04-12"/>
    <w:docVar w:name="LW_EMISSION_LOCATION" w:val="STR"/>
    <w:docVar w:name="LW_EMISSION_PREFIX" w:val="Strasbourg, "/>
    <w:docVar w:name="LW_EMISSION_SUFFIX" w:val=" "/>
    <w:docVar w:name="LW_ID_DOCMODEL" w:val="SJ-024"/>
    <w:docVar w:name="LW_ID_DOCSIGNATURE" w:val="SJ-024"/>
    <w:docVar w:name="LW_ID_DOCSTRUCTURE" w:val="COM/PL/ORG"/>
    <w:docVar w:name="LW_ID_DOCTYPE" w:val="SJ-024"/>
    <w:docVar w:name="LW_ID_STATUT" w:val="SJ-024"/>
    <w:docVar w:name="LW_INTERETEEE.CP" w:val="(EGT-vonatkozású szöveg)"/>
    <w:docVar w:name="LW_LANGUE" w:val="HU"/>
    <w:docVar w:name="LW_MARKING" w:val="&lt;UNUSED&gt;"/>
    <w:docVar w:name="LW_NOM.INST" w:val="EURÓPAI BIZOTTSÁG"/>
    <w:docVar w:name="LW_NOM.INST_JOINTDOC" w:val="&lt;EMPTY&gt;"/>
    <w:docVar w:name="LW_PART_NBR" w:val="1"/>
    <w:docVar w:name="LW_PART_NBR_TOTAL" w:val="1"/>
    <w:docVar w:name="LW_REF.II.NEW.CP" w:val="COD"/>
    <w:docVar w:name="LW_REF.II.NEW.CP_NUMBER" w:val="0107"/>
    <w:docVar w:name="LW_REF.II.NEW.CP_YEAR" w:val="2016"/>
    <w:docVar w:name="LW_REF.INST.NEW" w:val="COM"/>
    <w:docVar w:name="LW_REF.INST.NEW_ADOPTED" w:val="final"/>
    <w:docVar w:name="LW_REF.INST.NEW_TEXT" w:val="(2016) 198"/>
    <w:docVar w:name="LW_REF.INTERNE" w:val="&lt;UNUSED&gt;"/>
    <w:docVar w:name="LW_SOUS.TITRE.OBJ.CP" w:val="&lt;UNUSED&gt;"/>
    <w:docVar w:name="LW_STATUT.CP" w:val="Javaslat"/>
    <w:docVar w:name="LW_SUPERTITRE" w:val="&lt;UNUSED&gt;"/>
    <w:docVar w:name="LW_TITRE.OBJ.CP" w:val="a 2013/34/EU irányelvnek a társaságiadó-információk egyes vállalkozások és fióktelepek általi közzététele tekintetében történ\u337? módosításáról"/>
    <w:docVar w:name="LW_TYPE.DOC.CP" w:val="AZ EURÓPAI PARLAMENT ÉS A TANÁCS IRÁNYELV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numPr>
        <w:numId w:val="10"/>
      </w:numPr>
      <w:contextualSpacing/>
    </w:pPr>
    <w:rPr>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tabs>
        <w:tab w:val="clear" w:pos="643"/>
      </w:tabs>
      <w:ind w:left="720"/>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numbering" w:customStyle="1" w:styleId="ImportedStyle2">
    <w:name w:val="Imported Style 2"/>
    <w:pPr>
      <w:numPr>
        <w:numId w:val="11"/>
      </w:numPr>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2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numPr>
        <w:numId w:val="10"/>
      </w:numPr>
      <w:contextualSpacing/>
    </w:pPr>
    <w:rPr>
      <w:szCs w:val="24"/>
    </w:r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2"/>
      </w:numPr>
      <w:contextualSpacing/>
    </w:pPr>
  </w:style>
  <w:style w:type="paragraph" w:styleId="ListBullet2">
    <w:name w:val="List Bullet 2"/>
    <w:basedOn w:val="Normal"/>
    <w:uiPriority w:val="99"/>
    <w:semiHidden/>
    <w:unhideWhenUsed/>
    <w:pPr>
      <w:numPr>
        <w:numId w:val="3"/>
      </w:numPr>
      <w:tabs>
        <w:tab w:val="clear" w:pos="643"/>
      </w:tabs>
      <w:ind w:left="720"/>
      <w:contextualSpacing/>
    </w:pPr>
  </w:style>
  <w:style w:type="paragraph" w:styleId="ListBullet3">
    <w:name w:val="List Bullet 3"/>
    <w:basedOn w:val="Normal"/>
    <w:uiPriority w:val="99"/>
    <w:semiHidden/>
    <w:unhideWhenUsed/>
    <w:pPr>
      <w:numPr>
        <w:numId w:val="4"/>
      </w:numPr>
      <w:contextualSpacing/>
    </w:pPr>
  </w:style>
  <w:style w:type="paragraph" w:styleId="ListBullet4">
    <w:name w:val="List Bullet 4"/>
    <w:basedOn w:val="Normal"/>
    <w:uiPriority w:val="99"/>
    <w:semiHidden/>
    <w:unhideWhenUsed/>
    <w:pPr>
      <w:numPr>
        <w:numId w:val="5"/>
      </w:numPr>
      <w:contextualSpacing/>
    </w:pPr>
  </w:style>
  <w:style w:type="paragraph" w:styleId="ListNumber">
    <w:name w:val="List Number"/>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3">
    <w:name w:val="List Number 3"/>
    <w:basedOn w:val="Normal"/>
    <w:uiPriority w:val="99"/>
    <w:semiHidden/>
    <w:unhideWhenUsed/>
    <w:pPr>
      <w:numPr>
        <w:numId w:val="8"/>
      </w:numPr>
      <w:contextualSpacing/>
    </w:pPr>
  </w:style>
  <w:style w:type="paragraph" w:styleId="ListNumber4">
    <w:name w:val="List Number 4"/>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hu-HU"/>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numbering" w:customStyle="1" w:styleId="ImportedStyle2">
    <w:name w:val="Imported Style 2"/>
    <w:pPr>
      <w:numPr>
        <w:numId w:val="11"/>
      </w:numPr>
    </w:pPr>
  </w:style>
  <w:style w:type="paragraph" w:styleId="Header">
    <w:name w:val="header"/>
    <w:basedOn w:val="Normal"/>
    <w:link w:val="HeaderChar"/>
    <w:uiPriority w:val="99"/>
    <w:unhideWhenUsed/>
    <w:pPr>
      <w:tabs>
        <w:tab w:val="center" w:pos="4535"/>
        <w:tab w:val="right" w:pos="9071"/>
      </w:tabs>
      <w:spacing w:before="0"/>
    </w:pPr>
    <w:rPr>
      <w:lang w:eastAsia="en-US" w:bidi="ar-SA"/>
    </w:rPr>
  </w:style>
  <w:style w:type="character" w:customStyle="1" w:styleId="HeaderChar">
    <w:name w:val="Header Char"/>
    <w:basedOn w:val="DefaultParagraphFont"/>
    <w:link w:val="Header"/>
    <w:uiPriority w:val="99"/>
    <w:rPr>
      <w:rFonts w:ascii="Times New Roman" w:hAnsi="Times New Roman" w:cs="Times New Roman"/>
      <w:sz w:val="24"/>
      <w:lang w:eastAsia="en-US" w:bidi="ar-SA"/>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bidi="ar-SA"/>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4"/>
      </w:numPr>
    </w:pPr>
  </w:style>
  <w:style w:type="paragraph" w:customStyle="1" w:styleId="Tiret1">
    <w:name w:val="Tiret 1"/>
    <w:basedOn w:val="Point1"/>
    <w:pPr>
      <w:numPr>
        <w:numId w:val="15"/>
      </w:numPr>
    </w:pPr>
  </w:style>
  <w:style w:type="paragraph" w:customStyle="1" w:styleId="Tiret2">
    <w:name w:val="Tiret 2"/>
    <w:basedOn w:val="Point2"/>
    <w:pPr>
      <w:numPr>
        <w:numId w:val="16"/>
      </w:numPr>
    </w:pPr>
  </w:style>
  <w:style w:type="paragraph" w:customStyle="1" w:styleId="Tiret3">
    <w:name w:val="Tiret 3"/>
    <w:basedOn w:val="Point3"/>
    <w:pPr>
      <w:numPr>
        <w:numId w:val="17"/>
      </w:numPr>
    </w:pPr>
  </w:style>
  <w:style w:type="paragraph" w:customStyle="1" w:styleId="Tiret4">
    <w:name w:val="Tiret 4"/>
    <w:basedOn w:val="Point4"/>
    <w:pPr>
      <w:numPr>
        <w:numId w:val="1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9"/>
      </w:numPr>
    </w:pPr>
  </w:style>
  <w:style w:type="paragraph" w:customStyle="1" w:styleId="NumPar2">
    <w:name w:val="NumPar 2"/>
    <w:basedOn w:val="Normal"/>
    <w:next w:val="Text1"/>
    <w:pPr>
      <w:numPr>
        <w:ilvl w:val="1"/>
        <w:numId w:val="19"/>
      </w:numPr>
    </w:pPr>
  </w:style>
  <w:style w:type="paragraph" w:customStyle="1" w:styleId="NumPar3">
    <w:name w:val="NumPar 3"/>
    <w:basedOn w:val="Normal"/>
    <w:next w:val="Text1"/>
    <w:pPr>
      <w:numPr>
        <w:ilvl w:val="2"/>
        <w:numId w:val="19"/>
      </w:numPr>
    </w:pPr>
  </w:style>
  <w:style w:type="paragraph" w:customStyle="1" w:styleId="NumPar4">
    <w:name w:val="NumPar 4"/>
    <w:basedOn w:val="Normal"/>
    <w:next w:val="Text1"/>
    <w:pPr>
      <w:numPr>
        <w:ilvl w:val="3"/>
        <w:numId w:val="1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1"/>
      </w:numPr>
    </w:pPr>
  </w:style>
  <w:style w:type="paragraph" w:customStyle="1" w:styleId="Point1number">
    <w:name w:val="Point 1 (number)"/>
    <w:basedOn w:val="Normal"/>
    <w:pPr>
      <w:numPr>
        <w:ilvl w:val="2"/>
        <w:numId w:val="21"/>
      </w:numPr>
    </w:pPr>
  </w:style>
  <w:style w:type="paragraph" w:customStyle="1" w:styleId="Point2number">
    <w:name w:val="Point 2 (number)"/>
    <w:basedOn w:val="Normal"/>
    <w:pPr>
      <w:numPr>
        <w:ilvl w:val="4"/>
        <w:numId w:val="21"/>
      </w:numPr>
    </w:pPr>
  </w:style>
  <w:style w:type="paragraph" w:customStyle="1" w:styleId="Point3number">
    <w:name w:val="Point 3 (number)"/>
    <w:basedOn w:val="Normal"/>
    <w:pPr>
      <w:numPr>
        <w:ilvl w:val="6"/>
        <w:numId w:val="21"/>
      </w:numPr>
    </w:pPr>
  </w:style>
  <w:style w:type="paragraph" w:customStyle="1" w:styleId="Point0letter">
    <w:name w:val="Point 0 (letter)"/>
    <w:basedOn w:val="Normal"/>
    <w:pPr>
      <w:numPr>
        <w:ilvl w:val="1"/>
        <w:numId w:val="21"/>
      </w:numPr>
    </w:pPr>
  </w:style>
  <w:style w:type="paragraph" w:customStyle="1" w:styleId="Point1letter">
    <w:name w:val="Point 1 (letter)"/>
    <w:basedOn w:val="Normal"/>
    <w:pPr>
      <w:numPr>
        <w:ilvl w:val="3"/>
        <w:numId w:val="21"/>
      </w:numPr>
    </w:pPr>
  </w:style>
  <w:style w:type="paragraph" w:customStyle="1" w:styleId="Point2letter">
    <w:name w:val="Point 2 (letter)"/>
    <w:basedOn w:val="Normal"/>
    <w:pPr>
      <w:numPr>
        <w:ilvl w:val="5"/>
        <w:numId w:val="21"/>
      </w:numPr>
    </w:pPr>
  </w:style>
  <w:style w:type="paragraph" w:customStyle="1" w:styleId="Point3letter">
    <w:name w:val="Point 3 (letter)"/>
    <w:basedOn w:val="Normal"/>
    <w:pPr>
      <w:numPr>
        <w:ilvl w:val="7"/>
        <w:numId w:val="21"/>
      </w:numPr>
    </w:pPr>
  </w:style>
  <w:style w:type="paragraph" w:customStyle="1" w:styleId="Point4letter">
    <w:name w:val="Point 4 (letter)"/>
    <w:basedOn w:val="Normal"/>
    <w:pPr>
      <w:numPr>
        <w:ilvl w:val="8"/>
        <w:numId w:val="21"/>
      </w:numPr>
    </w:pPr>
  </w:style>
  <w:style w:type="paragraph" w:customStyle="1" w:styleId="Bullet0">
    <w:name w:val="Bullet 0"/>
    <w:basedOn w:val="Normal"/>
    <w:pPr>
      <w:numPr>
        <w:numId w:val="22"/>
      </w:numPr>
    </w:pPr>
  </w:style>
  <w:style w:type="paragraph" w:customStyle="1" w:styleId="Bullet1">
    <w:name w:val="Bullet 1"/>
    <w:basedOn w:val="Normal"/>
    <w:pPr>
      <w:numPr>
        <w:numId w:val="23"/>
      </w:numPr>
    </w:pPr>
  </w:style>
  <w:style w:type="paragraph" w:customStyle="1" w:styleId="Bullet2">
    <w:name w:val="Bullet 2"/>
    <w:basedOn w:val="Normal"/>
    <w:pPr>
      <w:numPr>
        <w:numId w:val="24"/>
      </w:numPr>
    </w:pPr>
  </w:style>
  <w:style w:type="paragraph" w:customStyle="1" w:styleId="Bullet3">
    <w:name w:val="Bullet 3"/>
    <w:basedOn w:val="Normal"/>
    <w:pPr>
      <w:numPr>
        <w:numId w:val="25"/>
      </w:numPr>
    </w:pPr>
  </w:style>
  <w:style w:type="paragraph" w:customStyle="1" w:styleId="Bullet4">
    <w:name w:val="Bullet 4"/>
    <w:basedOn w:val="Normal"/>
    <w:pPr>
      <w:numPr>
        <w:numId w:val="2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137636">
      <w:bodyDiv w:val="1"/>
      <w:marLeft w:val="0"/>
      <w:marRight w:val="0"/>
      <w:marTop w:val="0"/>
      <w:marBottom w:val="0"/>
      <w:divBdr>
        <w:top w:val="none" w:sz="0" w:space="0" w:color="auto"/>
        <w:left w:val="none" w:sz="0" w:space="0" w:color="auto"/>
        <w:bottom w:val="none" w:sz="0" w:space="0" w:color="auto"/>
        <w:right w:val="none" w:sz="0" w:space="0" w:color="auto"/>
      </w:divBdr>
    </w:div>
    <w:div w:id="680398763">
      <w:bodyDiv w:val="1"/>
      <w:marLeft w:val="0"/>
      <w:marRight w:val="0"/>
      <w:marTop w:val="0"/>
      <w:marBottom w:val="0"/>
      <w:divBdr>
        <w:top w:val="none" w:sz="0" w:space="0" w:color="auto"/>
        <w:left w:val="none" w:sz="0" w:space="0" w:color="auto"/>
        <w:bottom w:val="none" w:sz="0" w:space="0" w:color="auto"/>
        <w:right w:val="none" w:sz="0" w:space="0" w:color="auto"/>
      </w:divBdr>
    </w:div>
    <w:div w:id="791172101">
      <w:bodyDiv w:val="1"/>
      <w:marLeft w:val="0"/>
      <w:marRight w:val="0"/>
      <w:marTop w:val="0"/>
      <w:marBottom w:val="0"/>
      <w:divBdr>
        <w:top w:val="none" w:sz="0" w:space="0" w:color="auto"/>
        <w:left w:val="none" w:sz="0" w:space="0" w:color="auto"/>
        <w:bottom w:val="none" w:sz="0" w:space="0" w:color="auto"/>
        <w:right w:val="none" w:sz="0" w:space="0" w:color="auto"/>
      </w:divBdr>
    </w:div>
    <w:div w:id="948272930">
      <w:bodyDiv w:val="1"/>
      <w:marLeft w:val="0"/>
      <w:marRight w:val="0"/>
      <w:marTop w:val="0"/>
      <w:marBottom w:val="0"/>
      <w:divBdr>
        <w:top w:val="none" w:sz="0" w:space="0" w:color="auto"/>
        <w:left w:val="none" w:sz="0" w:space="0" w:color="auto"/>
        <w:bottom w:val="none" w:sz="0" w:space="0" w:color="auto"/>
        <w:right w:val="none" w:sz="0" w:space="0" w:color="auto"/>
      </w:divBdr>
    </w:div>
    <w:div w:id="1222327549">
      <w:bodyDiv w:val="1"/>
      <w:marLeft w:val="0"/>
      <w:marRight w:val="0"/>
      <w:marTop w:val="0"/>
      <w:marBottom w:val="0"/>
      <w:divBdr>
        <w:top w:val="none" w:sz="0" w:space="0" w:color="auto"/>
        <w:left w:val="none" w:sz="0" w:space="0" w:color="auto"/>
        <w:bottom w:val="none" w:sz="0" w:space="0" w:color="auto"/>
        <w:right w:val="none" w:sz="0" w:space="0" w:color="auto"/>
      </w:divBdr>
    </w:div>
    <w:div w:id="1329407113">
      <w:bodyDiv w:val="1"/>
      <w:marLeft w:val="0"/>
      <w:marRight w:val="0"/>
      <w:marTop w:val="0"/>
      <w:marBottom w:val="0"/>
      <w:divBdr>
        <w:top w:val="none" w:sz="0" w:space="0" w:color="auto"/>
        <w:left w:val="none" w:sz="0" w:space="0" w:color="auto"/>
        <w:bottom w:val="none" w:sz="0" w:space="0" w:color="auto"/>
        <w:right w:val="none" w:sz="0" w:space="0" w:color="auto"/>
      </w:divBdr>
    </w:div>
    <w:div w:id="1459177809">
      <w:bodyDiv w:val="1"/>
      <w:marLeft w:val="0"/>
      <w:marRight w:val="0"/>
      <w:marTop w:val="0"/>
      <w:marBottom w:val="0"/>
      <w:divBdr>
        <w:top w:val="none" w:sz="0" w:space="0" w:color="auto"/>
        <w:left w:val="none" w:sz="0" w:space="0" w:color="auto"/>
        <w:bottom w:val="none" w:sz="0" w:space="0" w:color="auto"/>
        <w:right w:val="none" w:sz="0" w:space="0" w:color="auto"/>
      </w:divBdr>
    </w:div>
    <w:div w:id="165144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finance/consultations/2015/further-corporate-tax-transparency/docs/summary-of-responses_en.pdf" TargetMode="External"/><Relationship Id="rId2" Type="http://schemas.openxmlformats.org/officeDocument/2006/relationships/hyperlink" Target="http://ec.europa.eu/taxation_customs/taxation/company_tax/anti_tax_avoidance/index_en.htm" TargetMode="External"/><Relationship Id="rId1" Type="http://schemas.openxmlformats.org/officeDocument/2006/relationships/hyperlink" Target="http://ec.europa.eu/taxation_customs/taxation/company_tax/fairer_corporate_taxation/index_en.htm" TargetMode="External"/><Relationship Id="rId5" Type="http://schemas.openxmlformats.org/officeDocument/2006/relationships/hyperlink" Target="http://ec.europa.eu/internal_market/company/modern/corporate_governance_in_financial_institutions_en.htm" TargetMode="External"/><Relationship Id="rId4" Type="http://schemas.openxmlformats.org/officeDocument/2006/relationships/hyperlink" Target="http://ec.europa.eu/taxation_customs/taxation/gen_info/good_governance_matters/platform/index_en.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21FE3-8C7F-4401-9D7E-F65149678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20</Pages>
  <Words>6227</Words>
  <Characters>45713</Characters>
  <Application>Microsoft Office Word</Application>
  <DocSecurity>0</DocSecurity>
  <Lines>725</Lines>
  <Paragraphs>228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19</cp:revision>
  <cp:lastPrinted>2016-04-09T21:33:00Z</cp:lastPrinted>
  <dcterms:created xsi:type="dcterms:W3CDTF">2016-04-18T15:54:00Z</dcterms:created>
  <dcterms:modified xsi:type="dcterms:W3CDTF">2016-04-19T08:08:00Z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DQCStatus">
    <vt:lpwstr>Green (DQC version 03)</vt:lpwstr>
  </property>
  <property name="OP_sanitized" fmtid="{D5CDD505-2E9C-101B-9397-08002B2CF9AE}" pid="11">
    <vt:lpwstr>True</vt:lpwstr>
  </property>
</Properties>
</file>