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CC" w:rsidRDefault="009F60F6">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94BA1976EC24432ABDFA0FEDE05E0AC" style="width:451pt;height:334.65pt">
            <v:imagedata r:id="rId9" o:title=""/>
          </v:shape>
        </w:pict>
      </w:r>
    </w:p>
    <w:bookmarkEnd w:id="0"/>
    <w:p w:rsidR="00D54ECC" w:rsidRDefault="00D54ECC">
      <w:pPr>
        <w:rPr>
          <w:noProof/>
        </w:rPr>
        <w:sectPr w:rsidR="00D54EC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D54ECC" w:rsidRDefault="009F60F6">
      <w:pPr>
        <w:pStyle w:val="Heading"/>
        <w:spacing w:after="120"/>
        <w:rPr>
          <w:noProof/>
        </w:rPr>
      </w:pPr>
      <w:r>
        <w:rPr>
          <w:noProof/>
        </w:rPr>
        <w:lastRenderedPageBreak/>
        <w:t>1.</w:t>
      </w:r>
      <w:r>
        <w:rPr>
          <w:noProof/>
        </w:rPr>
        <w:tab/>
        <w:t>Az óceánok mint globális kihívás és prioritás</w:t>
      </w:r>
    </w:p>
    <w:p w:rsidR="00D54ECC" w:rsidRDefault="00D54ECC">
      <w:pPr>
        <w:pStyle w:val="Body"/>
        <w:spacing w:after="120"/>
        <w:rPr>
          <w:noProof/>
        </w:rPr>
      </w:pPr>
    </w:p>
    <w:p w:rsidR="00D54ECC" w:rsidRDefault="009F60F6">
      <w:pPr>
        <w:pStyle w:val="Body"/>
        <w:spacing w:after="120"/>
        <w:rPr>
          <w:noProof/>
        </w:rPr>
      </w:pPr>
      <w:r>
        <w:rPr>
          <w:noProof/>
        </w:rPr>
        <w:t xml:space="preserve">Az óceánok az Európai Unió és világszerte </w:t>
      </w:r>
      <w:r>
        <w:rPr>
          <w:noProof/>
        </w:rPr>
        <w:t>számos nemzet számára kulcsfontosságúak a jövő szempontjából. Óriási lehetőség rejlik bennük a növekedés, a munkahelyteremtés és az innováció fellendítésére. A globális óceángazdaság hozamát 1,3 trillió EUR-ra becsülik, és ez 2030-ra akár több mint kétszer</w:t>
      </w:r>
      <w:r>
        <w:rPr>
          <w:noProof/>
        </w:rPr>
        <w:t>esére nőhet</w:t>
      </w:r>
      <w:r>
        <w:rPr>
          <w:rStyle w:val="FootnoteReference"/>
          <w:noProof/>
        </w:rPr>
        <w:footnoteReference w:id="1"/>
      </w:r>
      <w:r>
        <w:rPr>
          <w:noProof/>
        </w:rPr>
        <w:t>.</w:t>
      </w:r>
    </w:p>
    <w:p w:rsidR="00D54ECC" w:rsidRDefault="009F60F6">
      <w:pPr>
        <w:pStyle w:val="Body"/>
        <w:spacing w:after="120"/>
        <w:rPr>
          <w:noProof/>
        </w:rPr>
      </w:pPr>
      <w:r>
        <w:rPr>
          <w:noProof/>
        </w:rPr>
        <w:t>Az óceánok kulcsfontosságú szerepet játszanak az éghajlati rendszer szabályozásában. Az általunk használt oxigén felét az óceánok termelik, emellett a világ hőtöbbletének legnagyobb részét és a szén-dioxid-kibocsátás mintegy 25 %-át is az óce</w:t>
      </w:r>
      <w:r>
        <w:rPr>
          <w:noProof/>
        </w:rPr>
        <w:t>ánok nyelik el</w:t>
      </w:r>
      <w:r>
        <w:rPr>
          <w:rStyle w:val="FootnoteReference"/>
          <w:noProof/>
        </w:rPr>
        <w:footnoteReference w:id="2"/>
      </w:r>
      <w:r>
        <w:rPr>
          <w:noProof/>
        </w:rPr>
        <w:t>. Számos sziget- (a fejlődő kis szigetállamokat is ideértve) és parti ország függ a tengeri erőforrásoktól, és ki van téve az emberi tevékenységek megőrzésre és fenntartható hasznosításra gyakorolt lehetséges hatásainak. Döntő fontosságú, ho</w:t>
      </w:r>
      <w:r>
        <w:rPr>
          <w:noProof/>
        </w:rPr>
        <w:t>gyan bánunk az óceánokkal. A legsürgetőbb globális kihívások közül néhány – köztük az éghajlatváltozás, a szegénység, a biztonság, a 2050-re várhatóan kilenc milliárdos népesség tápláló és elegendő élelmiszerrel való ellátása – csak úgy kezelhető eredménye</w:t>
      </w:r>
      <w:r>
        <w:rPr>
          <w:noProof/>
        </w:rPr>
        <w:t>sen, ha az óceánok biztonságosak, védettek, tiszták, és fenntarthatóan gazdálkodunk velük.</w:t>
      </w:r>
    </w:p>
    <w:p w:rsidR="00D54ECC" w:rsidRDefault="009F60F6">
      <w:pPr>
        <w:pStyle w:val="Body"/>
        <w:spacing w:after="120"/>
        <w:rPr>
          <w:noProof/>
        </w:rPr>
      </w:pPr>
      <w:r>
        <w:rPr>
          <w:noProof/>
        </w:rPr>
        <w:t>Óceánjainkat a túlhalászás, az éghajlatváltozás, a savasodás, a szennyezés és a biodiverzitás csökkenése fenyegeti. A tengeri és a parti gazdaságok világszerte fejlő</w:t>
      </w:r>
      <w:r>
        <w:rPr>
          <w:noProof/>
        </w:rPr>
        <w:t>dnek, de sikerük a fenntarthatóság javításától függ. A tengeri útvonalakhoz való hozzáférést olykor a jogellenes magatartás, a fokozódó kalóztevékenység, a fegyveres rablások és más tengeri bűncselekmények is rontják. Azok a kísérletek, amelyek arra irányu</w:t>
      </w:r>
      <w:r>
        <w:rPr>
          <w:noProof/>
        </w:rPr>
        <w:t>lnak, hogy területi és tengeri igényeket az ENSZ Tengerjogi Egyezménye által létrehozott keretrendszeren kívül – megfélemlítéssel, kényszerrel vagy erőszakkal – érvényesítsenek, nemcsak a regionális stabilitást, hanem a globális gazdaságot is érinthetik. A</w:t>
      </w:r>
      <w:r>
        <w:rPr>
          <w:noProof/>
        </w:rPr>
        <w:t xml:space="preserve"> tengerhasznosítás területét érintő jogellenes tevékenységek ismerete döntő fontosságú tényező a fenntartható, szabályokon alapuló irányítás szempontjából.</w:t>
      </w:r>
    </w:p>
    <w:p w:rsidR="00D54ECC" w:rsidRDefault="009F60F6">
      <w:pPr>
        <w:pStyle w:val="Body"/>
        <w:spacing w:after="120"/>
        <w:rPr>
          <w:noProof/>
        </w:rPr>
      </w:pPr>
      <w:r>
        <w:rPr>
          <w:noProof/>
        </w:rPr>
        <w:t>A pontos és gyors tájékoztatás a tengeri erőforrások és ökoszisztémák állapotáról továbbra is kihívá</w:t>
      </w:r>
      <w:r>
        <w:rPr>
          <w:noProof/>
        </w:rPr>
        <w:t>st jelent. A tengeri tevékenységek fenntartható fejlesztéséhez szükséges technológiai fejlődés a fokozottabb kutatási tevékenységtől függ.</w:t>
      </w:r>
    </w:p>
    <w:p w:rsidR="00D54ECC" w:rsidRDefault="009F60F6">
      <w:pPr>
        <w:pStyle w:val="Body"/>
        <w:spacing w:after="120"/>
        <w:rPr>
          <w:noProof/>
        </w:rPr>
      </w:pPr>
      <w:r>
        <w:rPr>
          <w:noProof/>
        </w:rPr>
        <w:t>Mindezeket a kihívásokat globális szinten is felismerték. A Rio+20 konferencián állam- és kormányfők vállalták az óce</w:t>
      </w:r>
      <w:r>
        <w:rPr>
          <w:noProof/>
        </w:rPr>
        <w:t>ánok és tengeri ökoszisztémák védelmét és helyreállítását, valamint az óceánban található erőforrásokkal való fenntartható, a nemzetközi jog szabályainak megfelelő gazdálkodást, a fenntartható fejlődés mindhárom dimenziójának teljesítését. Az Unió elkötele</w:t>
      </w:r>
      <w:r>
        <w:rPr>
          <w:noProof/>
        </w:rPr>
        <w:t>zett ezen integrált megközelítés iránt.</w:t>
      </w:r>
    </w:p>
    <w:p w:rsidR="00D54ECC" w:rsidRDefault="009F60F6">
      <w:pPr>
        <w:pStyle w:val="Body"/>
        <w:spacing w:after="120"/>
        <w:rPr>
          <w:noProof/>
        </w:rPr>
      </w:pPr>
      <w:r>
        <w:rPr>
          <w:noProof/>
        </w:rPr>
        <w:t>Az óceánok megőrzése és fenntartható hasznosítása az ENSZ 2030-ig tartó időszakra vonatkozó fenntartható fejlődési menetrendjében szereplő 17 fenntartható fejlesztési cél (SDG 14) egyike, valamint igen szorosan illes</w:t>
      </w:r>
      <w:r>
        <w:rPr>
          <w:noProof/>
        </w:rPr>
        <w:t>zkedik a politikai menetrendbe. Az óceánok megőrzését és fenntartható hasznosítását most először kezelik a világ többi sürgető fenntarthatósági kihívásával együtt, egyetlen átfogó globális szakpolitikai menetrend keretében, és most először fejezik ki számo</w:t>
      </w:r>
      <w:r>
        <w:rPr>
          <w:noProof/>
        </w:rPr>
        <w:t>s fenntartható fejlesztési célban és célértékben</w:t>
      </w:r>
      <w:r>
        <w:rPr>
          <w:rStyle w:val="FootnoteReference"/>
          <w:noProof/>
        </w:rPr>
        <w:footnoteReference w:id="3"/>
      </w:r>
      <w:r>
        <w:rPr>
          <w:noProof/>
        </w:rPr>
        <w:t xml:space="preserve">. A globális közösségnek most tettekre kell váltania ezeket a vállalásokat. Az </w:t>
      </w:r>
      <w:r>
        <w:rPr>
          <w:noProof/>
        </w:rPr>
        <w:lastRenderedPageBreak/>
        <w:t>Unió teljes mértékben elkötelezett e cél és annak megvalósítása iránt. Az e közös közleményben meghatározott cselekvések a 2030-</w:t>
      </w:r>
      <w:r>
        <w:rPr>
          <w:noProof/>
        </w:rPr>
        <w:t>ig tartó időszakra vonatkozó menetrendre adandó uniós válasz szerves részét képezik. Ez egyúttal a kül- és biztonságpolitikára vonatkozó globális stratégia</w:t>
      </w:r>
      <w:r>
        <w:rPr>
          <w:rStyle w:val="FootnoteReference"/>
          <w:noProof/>
        </w:rPr>
        <w:footnoteReference w:id="4"/>
      </w:r>
      <w:r>
        <w:rPr>
          <w:noProof/>
        </w:rPr>
        <w:t xml:space="preserve"> prioritása is.</w:t>
      </w:r>
    </w:p>
    <w:p w:rsidR="00D54ECC" w:rsidRDefault="00D54ECC">
      <w:pPr>
        <w:pStyle w:val="Heading"/>
        <w:spacing w:after="120"/>
        <w:rPr>
          <w:noProof/>
        </w:rPr>
      </w:pPr>
    </w:p>
    <w:p w:rsidR="00D54ECC" w:rsidRDefault="009F60F6">
      <w:pPr>
        <w:pStyle w:val="Heading"/>
        <w:spacing w:after="120"/>
        <w:rPr>
          <w:noProof/>
        </w:rPr>
      </w:pPr>
      <w:r>
        <w:rPr>
          <w:noProof/>
        </w:rPr>
        <w:t xml:space="preserve">1.1. </w:t>
      </w:r>
      <w:r>
        <w:rPr>
          <w:noProof/>
        </w:rPr>
        <w:tab/>
        <w:t>Jobb óceánpolitikai irányításra van szükség</w:t>
      </w:r>
    </w:p>
    <w:p w:rsidR="00D54ECC" w:rsidRDefault="00D54ECC">
      <w:pPr>
        <w:pStyle w:val="Body"/>
        <w:spacing w:after="120"/>
        <w:rPr>
          <w:noProof/>
        </w:rPr>
      </w:pPr>
    </w:p>
    <w:p w:rsidR="00D54ECC" w:rsidRDefault="009F60F6">
      <w:pPr>
        <w:pStyle w:val="Body"/>
        <w:spacing w:after="120"/>
        <w:rPr>
          <w:noProof/>
        </w:rPr>
      </w:pPr>
      <w:r>
        <w:rPr>
          <w:noProof/>
        </w:rPr>
        <w:t>Az ENSZ Tengerjogi Egyezménye az</w:t>
      </w:r>
      <w:r>
        <w:rPr>
          <w:noProof/>
        </w:rPr>
        <w:t xml:space="preserve"> óceánok és erőforrásaik hasznosítását szabályozza. Az Egyezmény mögött a tengeren zajló ágazati tevékenységek további szabályozásáért felelős regionális és nemzetközi intézmények és fórumok keretrendszere áll</w:t>
      </w:r>
      <w:r>
        <w:rPr>
          <w:rStyle w:val="FootnoteReference"/>
          <w:noProof/>
        </w:rPr>
        <w:footnoteReference w:id="5"/>
      </w:r>
      <w:r>
        <w:rPr>
          <w:noProof/>
        </w:rPr>
        <w:t>. Ez a keretrendszer szabályok és elvek széles</w:t>
      </w:r>
      <w:r>
        <w:rPr>
          <w:noProof/>
        </w:rPr>
        <w:t xml:space="preserve"> skáláját tartalmazza, mindazonáltal kissé heterogén és koordinálatlan. Globális egyetértés kezd kibontakozni azzal kapcsolatban, hogy az óceánok egyre nagyobb terhelésének kezelése érdekében a tengeri környezettel és a tengeren végzett emberi tevékenysége</w:t>
      </w:r>
      <w:r>
        <w:rPr>
          <w:noProof/>
        </w:rPr>
        <w:t>ket – köztük az óceánokra hatással lévő szárazföldi tevékenységeket is – hatékonyabban kell irányítani.</w:t>
      </w:r>
    </w:p>
    <w:p w:rsidR="00D54ECC" w:rsidRDefault="009F60F6">
      <w:pPr>
        <w:pStyle w:val="Body"/>
        <w:spacing w:after="120"/>
        <w:rPr>
          <w:noProof/>
        </w:rPr>
      </w:pPr>
      <w:r>
        <w:rPr>
          <w:noProof/>
        </w:rPr>
        <w:t>A 2015-ben lezajlott bizottsági konzultáció</w:t>
      </w:r>
      <w:r>
        <w:rPr>
          <w:rStyle w:val="FootnoteReference"/>
          <w:noProof/>
        </w:rPr>
        <w:footnoteReference w:id="6"/>
      </w:r>
      <w:r>
        <w:rPr>
          <w:noProof/>
        </w:rPr>
        <w:t xml:space="preserve"> megerősítette, hogy a jelenlegi keret nem biztosítja az óceánokkal való fenntartható gazdálkodást:</w:t>
      </w:r>
    </w:p>
    <w:p w:rsidR="00D54ECC" w:rsidRDefault="009F60F6">
      <w:pPr>
        <w:pStyle w:val="Text2"/>
        <w:numPr>
          <w:ilvl w:val="0"/>
          <w:numId w:val="32"/>
        </w:numPr>
        <w:spacing w:after="120"/>
        <w:rPr>
          <w:noProof/>
        </w:rPr>
      </w:pPr>
      <w:r>
        <w:rPr>
          <w:noProof/>
        </w:rPr>
        <w:t xml:space="preserve">A keret </w:t>
      </w:r>
      <w:r>
        <w:rPr>
          <w:noProof/>
        </w:rPr>
        <w:t>hiányos és továbbfejlesztésre szorul. Továbbra is jelentős joghézagok állnak fenn, különösen a nemzeti joghatóságon kívül eső területeken a tengeri biológiai sokféleség megőrzése és fenntartható hasznosítása tekintetében. A Nemzetközi Tengerfenék Hatóság (</w:t>
      </w:r>
      <w:r>
        <w:rPr>
          <w:noProof/>
        </w:rPr>
        <w:t>ISA) még nem fejezte be a tengerfenék-bányászati kódexét, amely a tengerfenék-bányászatra vonatkozó szükséges szabályokat és eljárásokat állapítja meg.</w:t>
      </w:r>
    </w:p>
    <w:p w:rsidR="00D54ECC" w:rsidRDefault="009F60F6">
      <w:pPr>
        <w:pStyle w:val="ListParagraph"/>
        <w:numPr>
          <w:ilvl w:val="0"/>
          <w:numId w:val="32"/>
        </w:numPr>
        <w:spacing w:after="120"/>
        <w:rPr>
          <w:noProof/>
          <w:color w:val="auto"/>
        </w:rPr>
      </w:pPr>
      <w:r>
        <w:rPr>
          <w:noProof/>
        </w:rPr>
        <w:t xml:space="preserve">A kölcsönösen elfogadott szabályok és rendelkezések végrehajtása sokszor nem hatékony, illetve érvényre </w:t>
      </w:r>
      <w:r>
        <w:rPr>
          <w:noProof/>
        </w:rPr>
        <w:t>juttatásuk gyakran nem egységes. Még messze vagyunk az olyan globális célkitűzések elérésétől, mint például a halászat terén a maximális fenntartható hozam elérése 2015-ig, vagy a parti és tengeri területek 10 %-ának megőrzése – különösen védett tengeri te</w:t>
      </w:r>
      <w:r>
        <w:rPr>
          <w:noProof/>
        </w:rPr>
        <w:t>rületek létrehozásával – 2020-ig</w:t>
      </w:r>
      <w:r>
        <w:rPr>
          <w:rStyle w:val="FootnoteReference"/>
          <w:noProof/>
        </w:rPr>
        <w:footnoteReference w:id="7"/>
      </w:r>
      <w:r>
        <w:rPr>
          <w:noProof/>
        </w:rPr>
        <w:t xml:space="preserve">. A gyors ratifikálás hiánya fontos tengeri egyezmények – köztük a </w:t>
      </w:r>
      <w:r>
        <w:rPr>
          <w:noProof/>
          <w:color w:val="auto"/>
        </w:rPr>
        <w:lastRenderedPageBreak/>
        <w:t>Nemzetközi Munkaügyi Szervezet (ILO)</w:t>
      </w:r>
      <w:r>
        <w:rPr>
          <w:noProof/>
        </w:rPr>
        <w:t xml:space="preserve"> a halászati ágazat munkafeltételeiről szóló egyezménye – hatálybalépését veszélyezteti.</w:t>
      </w:r>
    </w:p>
    <w:p w:rsidR="00D54ECC" w:rsidRDefault="009F60F6">
      <w:pPr>
        <w:pStyle w:val="Body"/>
        <w:numPr>
          <w:ilvl w:val="0"/>
          <w:numId w:val="32"/>
        </w:numPr>
        <w:spacing w:after="120"/>
        <w:rPr>
          <w:noProof/>
        </w:rPr>
      </w:pPr>
      <w:r>
        <w:rPr>
          <w:noProof/>
        </w:rPr>
        <w:t>Az óceánokért felelős nemzetköz</w:t>
      </w:r>
      <w:r>
        <w:rPr>
          <w:noProof/>
        </w:rPr>
        <w:t>i szervezetek között túl kevés a koordináció. Bár a tengeri tevékenységek egymással összefüggnek, szabályozásuk mégis többnyire ágazatonként történik. A különböző ágazatokhoz tartozó nemzetközi testületek közötti koordináció sokszor alkalmi vagy nem is lét</w:t>
      </w:r>
      <w:r>
        <w:rPr>
          <w:noProof/>
        </w:rPr>
        <w:t>ezik</w:t>
      </w:r>
      <w:r>
        <w:rPr>
          <w:rStyle w:val="FootnoteReference"/>
          <w:noProof/>
        </w:rPr>
        <w:footnoteReference w:id="8"/>
      </w:r>
      <w:r>
        <w:rPr>
          <w:noProof/>
        </w:rPr>
        <w:t>. Azon szervezetek és mechanizmusok felhatalmazása, amelyek kulcsfontosságú szerepet játszhatnának az általános keret megerősítésében – ilyen például az ENSZ „UN Oceans” vagy a Kormányközi Oceanográfiai Bizottság (IOC) –, sokszor igen gyenge.</w:t>
      </w:r>
    </w:p>
    <w:p w:rsidR="00D54ECC" w:rsidRDefault="009F60F6">
      <w:pPr>
        <w:pStyle w:val="Text2"/>
        <w:numPr>
          <w:ilvl w:val="0"/>
          <w:numId w:val="32"/>
        </w:numPr>
        <w:spacing w:after="120"/>
        <w:rPr>
          <w:noProof/>
          <w:color w:val="000000" w:themeColor="text1"/>
        </w:rPr>
      </w:pPr>
      <w:r>
        <w:rPr>
          <w:noProof/>
          <w:color w:val="000000" w:themeColor="text1"/>
        </w:rPr>
        <w:t>A jogell</w:t>
      </w:r>
      <w:r>
        <w:rPr>
          <w:noProof/>
          <w:color w:val="000000" w:themeColor="text1"/>
        </w:rPr>
        <w:t>enes és bűnözői tevékenységek jelentős hatással vannak a gazdasági szereplőkre, a tengeri környezetre és a tengeri ágazatban dolgozó személyekre. Az EU javította saját biztonsági keretét, és előmozdította a nemzetközi és regionális biztonsági együttműködés</w:t>
      </w:r>
      <w:r>
        <w:rPr>
          <w:noProof/>
          <w:color w:val="000000" w:themeColor="text1"/>
        </w:rPr>
        <w:t>t, de még többet kell tenni a tengeren elkövetett jogellenes cselekmények megszüntetése érdekében. Néhány óceánhoz kapcsolódó tevékenység esetében az emberhez méltó munka hiánya továbbra is aggodalomra ad okot. A jogellenes tevékenységet folytató hajókon a</w:t>
      </w:r>
      <w:r>
        <w:rPr>
          <w:noProof/>
          <w:color w:val="000000" w:themeColor="text1"/>
        </w:rPr>
        <w:t xml:space="preserve"> munkakörülmények messze elmaradnak a nemzetközi normáktól, sőt akár jogellenesek is, ami nemcsak az érintett dolgozókra van közvetlen hatással, hanem az ágazat azon képességére is, hogy fenntartható módon járjon el.</w:t>
      </w:r>
    </w:p>
    <w:p w:rsidR="00D54ECC" w:rsidRDefault="009F60F6">
      <w:pPr>
        <w:pStyle w:val="Text2"/>
        <w:numPr>
          <w:ilvl w:val="0"/>
          <w:numId w:val="32"/>
        </w:numPr>
        <w:spacing w:after="120"/>
        <w:rPr>
          <w:noProof/>
          <w:color w:val="000000" w:themeColor="text1"/>
        </w:rPr>
      </w:pPr>
      <w:r>
        <w:rPr>
          <w:noProof/>
          <w:color w:val="000000" w:themeColor="text1"/>
        </w:rPr>
        <w:t xml:space="preserve">Az EU külső és belső politikáit – köztük a balti-tengeri stratégiát, a fekete-tengeri szinergiát, az adriai- és jón-tengeri régióra vonatkozó uniós stratégiát, az Uniót a Mediterrán Térségért és az Északi Dimenziót – is jobban össze kell hangolni. </w:t>
      </w:r>
    </w:p>
    <w:p w:rsidR="00D54ECC" w:rsidRDefault="009F60F6">
      <w:pPr>
        <w:pStyle w:val="Text2"/>
        <w:numPr>
          <w:ilvl w:val="0"/>
          <w:numId w:val="32"/>
        </w:numPr>
        <w:spacing w:after="120"/>
        <w:rPr>
          <w:noProof/>
        </w:rPr>
      </w:pPr>
      <w:r>
        <w:rPr>
          <w:noProof/>
        </w:rPr>
        <w:t>Az érde</w:t>
      </w:r>
      <w:r>
        <w:rPr>
          <w:noProof/>
        </w:rPr>
        <w:t xml:space="preserve">kelt feleket (köztük a vállalkozásokat, a kutatókat és a civil szervezeteket) jobban be kell vonni a nemzetközi szabályozási keret kidolgozásába és végrehajtásába. Ennek eredményeként jobban be fogják tartani a szabályokat, és jobban szorgalmazni fogják a </w:t>
      </w:r>
      <w:r>
        <w:rPr>
          <w:noProof/>
        </w:rPr>
        <w:t>kiegészítő irányítási intézkedéseket, például az önkéntes vállalásokat és a bevált gyakorlatok megosztását. Az óceángazdálkodásnak alapos tudományos kutatáson és megbízható ismereteken kell alapulnia.</w:t>
      </w:r>
    </w:p>
    <w:p w:rsidR="00D54ECC" w:rsidRDefault="00D54ECC">
      <w:pPr>
        <w:pStyle w:val="Heading"/>
        <w:spacing w:after="120"/>
        <w:rPr>
          <w:noProof/>
        </w:rPr>
      </w:pPr>
    </w:p>
    <w:p w:rsidR="00D54ECC" w:rsidRDefault="009F60F6">
      <w:pPr>
        <w:pStyle w:val="Heading"/>
        <w:spacing w:after="120"/>
        <w:rPr>
          <w:noProof/>
        </w:rPr>
      </w:pPr>
      <w:r>
        <w:rPr>
          <w:noProof/>
        </w:rPr>
        <w:t xml:space="preserve">1.2. </w:t>
      </w:r>
      <w:r>
        <w:rPr>
          <w:noProof/>
        </w:rPr>
        <w:tab/>
        <w:t>Az EU szerepe</w:t>
      </w:r>
    </w:p>
    <w:p w:rsidR="00D54ECC" w:rsidRDefault="00D54ECC">
      <w:pPr>
        <w:pStyle w:val="Text1"/>
        <w:spacing w:after="120"/>
        <w:ind w:left="0"/>
        <w:rPr>
          <w:noProof/>
        </w:rPr>
      </w:pPr>
    </w:p>
    <w:p w:rsidR="00D54ECC" w:rsidRDefault="009F60F6">
      <w:pPr>
        <w:pStyle w:val="Text1"/>
        <w:spacing w:after="120"/>
        <w:ind w:left="0"/>
        <w:rPr>
          <w:noProof/>
          <w:color w:val="000000" w:themeColor="text1"/>
        </w:rPr>
      </w:pPr>
      <w:r>
        <w:rPr>
          <w:noProof/>
        </w:rPr>
        <w:t>Koherens, ágazatokon átívelő, sza</w:t>
      </w:r>
      <w:r>
        <w:rPr>
          <w:noProof/>
        </w:rPr>
        <w:t xml:space="preserve">bályokon alapuló nemzetközi megközelítésre van szükség annak biztosításához, hogy a tengerek biztonságosak, védettek, tiszták legyenek, és fenntarthatóan gazdálkodjanak velük. </w:t>
      </w:r>
      <w:r>
        <w:rPr>
          <w:noProof/>
          <w:color w:val="000000" w:themeColor="text1"/>
        </w:rPr>
        <w:t>Egy ilyen megközelítés ahhoz is hozzájárul, hogy az uniós polgároknak eredmények</w:t>
      </w:r>
      <w:r>
        <w:rPr>
          <w:noProof/>
          <w:color w:val="000000" w:themeColor="text1"/>
        </w:rPr>
        <w:t xml:space="preserve"> legyenek felmutathatók olyan prioritásokkal kapcsolatban, mint a munkahelyteremtés, a növekedés, a versenyképesség, a fenntarthatóság, az éghajlatváltozás hatásaival szembeni reziliencia, valamint a béke és a biztonság. A tengereken a szabályok betartásáv</w:t>
      </w:r>
      <w:r>
        <w:rPr>
          <w:noProof/>
          <w:color w:val="000000" w:themeColor="text1"/>
        </w:rPr>
        <w:t>al érvényesülő jó irányítás előmozdítása világszerte segíti az emberi jogok, a szabadság és a demokrácia fokozottabb érvényesülését, egyenlő versenyfeltételeket teremt a vállalkozások számára, valamint javítja a munkakörülményeket. Ez összhangban áll az EU</w:t>
      </w:r>
      <w:r>
        <w:rPr>
          <w:noProof/>
          <w:color w:val="000000" w:themeColor="text1"/>
        </w:rPr>
        <w:t xml:space="preserve"> mint meghatározó globális szereplő szerepével.</w:t>
      </w:r>
    </w:p>
    <w:p w:rsidR="00D54ECC" w:rsidRDefault="009F60F6">
      <w:pPr>
        <w:spacing w:after="120"/>
        <w:jc w:val="both"/>
        <w:rPr>
          <w:noProof/>
          <w:color w:val="000000" w:themeColor="text1"/>
        </w:rPr>
      </w:pPr>
      <w:r>
        <w:rPr>
          <w:noProof/>
          <w:color w:val="000000" w:themeColor="text1"/>
        </w:rPr>
        <w:t>Az EU jó helyzetben van ahhoz, hogy az óceángazdálkodás fenntartható megközelítésének kialakítása terén szerzett tapasztalatai – nevezetesen környezetvédelmi politikája (különösen a tengervédelmi stratégiáról</w:t>
      </w:r>
      <w:r>
        <w:rPr>
          <w:noProof/>
          <w:color w:val="000000" w:themeColor="text1"/>
        </w:rPr>
        <w:t xml:space="preserve"> szóló keretirányelve), integrált tengerpolitikája (különösen a tengeri területrendezési irányelve), a megreformált közös halászati politika, a jogellenes, be nem jelentett és szabályozatlan halászat elleni fellépése, valamint tengeri szállítási politikája</w:t>
      </w:r>
      <w:r>
        <w:rPr>
          <w:noProof/>
          <w:color w:val="000000" w:themeColor="text1"/>
        </w:rPr>
        <w:t xml:space="preserve"> – alapján a nemzetközi óceánpolitikai irányítást is formálja.</w:t>
      </w:r>
    </w:p>
    <w:p w:rsidR="00D54ECC" w:rsidRDefault="009F60F6">
      <w:pPr>
        <w:spacing w:after="120"/>
        <w:jc w:val="both"/>
        <w:rPr>
          <w:noProof/>
        </w:rPr>
      </w:pPr>
      <w:r>
        <w:rPr>
          <w:noProof/>
        </w:rPr>
        <w:t>Az EU emellett egy sor biztonsági eszközt is kidolgozott a külső és belső biztonsági dimenziók közötti kapcsolat kezelésére. Kül- és biztonságpolitikára vonatkozó globális stratégiája megerősít</w:t>
      </w:r>
      <w:r>
        <w:rPr>
          <w:noProof/>
        </w:rPr>
        <w:t>i, hogy egységesebb megközelítésre van szükség a politikák külső és belső vonatkozásai között, a külső politikákban, továbbá a tagállamok és az uniós intézmények között is. Szinergiákat kell kialakítani más politikákkal (például a kiberbiztonságra, a kiber</w:t>
      </w:r>
      <w:r>
        <w:rPr>
          <w:noProof/>
        </w:rPr>
        <w:t>védelemre és a körforgásos gazdaságra vonatkozó politikákkal) és stratégiákkal (például az EU tengerhajózási biztonsági stratégiájával (EUMSS)</w:t>
      </w:r>
      <w:r>
        <w:rPr>
          <w:rStyle w:val="FootnoteReference"/>
          <w:noProof/>
        </w:rPr>
        <w:footnoteReference w:id="9"/>
      </w:r>
      <w:r>
        <w:rPr>
          <w:noProof/>
        </w:rPr>
        <w:t xml:space="preserve"> és a vonatkozó regionális stratégiákkal</w:t>
      </w:r>
      <w:r>
        <w:rPr>
          <w:rStyle w:val="FootnoteReference"/>
          <w:noProof/>
        </w:rPr>
        <w:footnoteReference w:id="10"/>
      </w:r>
      <w:r>
        <w:rPr>
          <w:noProof/>
        </w:rPr>
        <w:t>). Ilyen módon az Uniónak az óceánpolitikai irányítás megszilárdításához</w:t>
      </w:r>
      <w:r>
        <w:rPr>
          <w:noProof/>
        </w:rPr>
        <w:t xml:space="preserve"> nyújtott hozzájárulása elősegíti a globális tengergazdasági növekedés és biztonság megteremtésére vonatkozó cél elérését.</w:t>
      </w:r>
    </w:p>
    <w:p w:rsidR="00D54ECC" w:rsidRDefault="009F60F6">
      <w:pPr>
        <w:spacing w:after="120"/>
        <w:jc w:val="both"/>
        <w:rPr>
          <w:noProof/>
        </w:rPr>
      </w:pPr>
      <w:r>
        <w:rPr>
          <w:noProof/>
          <w:color w:val="000000" w:themeColor="text1"/>
        </w:rPr>
        <w:t>Az EU kidolgozta az Európai Unió tengerhajózási biztonsági stratégiáját, amely a tengerhajózás biztonságával és védelmével kapcsolato</w:t>
      </w:r>
      <w:r>
        <w:rPr>
          <w:noProof/>
          <w:color w:val="000000" w:themeColor="text1"/>
        </w:rPr>
        <w:t>s kihívások – vonatkozó nemzetközi, uniós és nemzeti jogi eszközökkel történő – hatékony és átfogó jellegű kezelésével foglalkozik. Az ágazatközi együttműködés előmozdítása és a növekedési potenciál fokozása érdekében a stratégiát e közleménnyel összhangba</w:t>
      </w:r>
      <w:r>
        <w:rPr>
          <w:noProof/>
          <w:color w:val="000000" w:themeColor="text1"/>
        </w:rPr>
        <w:t>n kell alkalmazni. Az EU továbbra is tevékenyen hozzájárul a globális tengerhajózási biztonsághoz, építve a kalóztevékenység elleni küzdelemben az Indiai-óceán nyugati részén, a csempészet és az emberkereskedelem terén pedig a Földközi-tengeren, a Fekete-t</w:t>
      </w:r>
      <w:r>
        <w:rPr>
          <w:noProof/>
          <w:color w:val="000000" w:themeColor="text1"/>
        </w:rPr>
        <w:t>engeren és a Balti-tengeren szerzett tapasztalataira, felderítve továbbá a lehetőségeket a Guineai-öbölben</w:t>
      </w:r>
      <w:r>
        <w:rPr>
          <w:rStyle w:val="FootnoteReference"/>
          <w:noProof/>
          <w:color w:val="000000" w:themeColor="text1"/>
        </w:rPr>
        <w:footnoteReference w:id="11"/>
      </w:r>
      <w:r>
        <w:rPr>
          <w:noProof/>
          <w:color w:val="000000" w:themeColor="text1"/>
        </w:rPr>
        <w:t>, a Dél-kínai-tengeren és a Malaka-szorosban.</w:t>
      </w:r>
    </w:p>
    <w:p w:rsidR="00D54ECC" w:rsidRDefault="009F60F6">
      <w:pPr>
        <w:pStyle w:val="Body"/>
        <w:spacing w:after="120"/>
        <w:rPr>
          <w:noProof/>
        </w:rPr>
      </w:pPr>
      <w:r>
        <w:rPr>
          <w:noProof/>
        </w:rPr>
        <w:t>Az EU világszerte bilaterális, regionális és multilaterális partnerekkel működik együtt az óceánpolitik</w:t>
      </w:r>
      <w:r>
        <w:rPr>
          <w:noProof/>
        </w:rPr>
        <w:t>ai irányítással kapcsolatban, melynek fő jogi eszköze az ENSZ Tengerjogi Egyezménye. Az Unió a kulcsfontosságú nemzetközi szereplőkkel és partnerekkel stratégiai partnerséget és megállapodásokat kötött. Különböző feltörekvő hatalmak is a szövetségesei közé</w:t>
      </w:r>
      <w:r>
        <w:rPr>
          <w:noProof/>
        </w:rPr>
        <w:t xml:space="preserve"> tartoznak. Számos megállapodásnak és egyezménynek részese. Az EU és tagállamai együttesen a világ legnagyobb adományozói.</w:t>
      </w:r>
    </w:p>
    <w:p w:rsidR="00D54ECC" w:rsidRDefault="009F60F6">
      <w:pPr>
        <w:pStyle w:val="Body"/>
        <w:spacing w:after="120"/>
        <w:rPr>
          <w:noProof/>
        </w:rPr>
      </w:pPr>
      <w:r>
        <w:rPr>
          <w:noProof/>
        </w:rPr>
        <w:t>Az óceánpolitikai irányítás javítása, valamint a nemzetközi és regionális fórumokkal való koordináció erősítése érdekében az EU-nak a</w:t>
      </w:r>
      <w:r>
        <w:rPr>
          <w:noProof/>
        </w:rPr>
        <w:t xml:space="preserve"> meglévő megállapodásokra kellene építenie. Az EU – az európai szomszédságpolitika alapján is – tevékenyen törekszik a szomszédaival való együttműködés fejlesztésére a tengerpolitika és az óceángazdaság terén a keleti és a déli dimenzióban egyaránt. Emelle</w:t>
      </w:r>
      <w:r>
        <w:rPr>
          <w:noProof/>
        </w:rPr>
        <w:t>tt kulcsfontosságú hozzájárulást nyújt a tengeri szállítás területén a munkavállalás globális irányításához, valamint a kényszermunka és az emberkereskedelem elleni globális küzdelemhez.</w:t>
      </w:r>
    </w:p>
    <w:p w:rsidR="00D54ECC" w:rsidRDefault="009F60F6">
      <w:pPr>
        <w:pStyle w:val="Text2"/>
        <w:spacing w:after="120"/>
        <w:ind w:left="0"/>
        <w:rPr>
          <w:rFonts w:cs="Times New Roman"/>
          <w:noProof/>
          <w:color w:val="000000" w:themeColor="text1"/>
        </w:rPr>
      </w:pPr>
      <w:r>
        <w:rPr>
          <w:noProof/>
          <w:color w:val="000000" w:themeColor="text1"/>
        </w:rPr>
        <w:t>Az EU és tagállamai fellépésének egységesebbnek kell lennie a külső é</w:t>
      </w:r>
      <w:r>
        <w:rPr>
          <w:noProof/>
          <w:color w:val="000000" w:themeColor="text1"/>
        </w:rPr>
        <w:t>s belső politikák tekintetében. Együttes súlyuk jelentősen növeli a pozitív változás esélyét. Az EU-nak belső és külső politikáiban is következetes fellépést kell biztosítania – a fenntartható fejlődés érdekében a szakpolitikai koherencia növelése iránti e</w:t>
      </w:r>
      <w:r>
        <w:rPr>
          <w:noProof/>
          <w:color w:val="000000" w:themeColor="text1"/>
        </w:rPr>
        <w:t>lkötelezettségének megfelelően</w:t>
      </w:r>
      <w:r>
        <w:rPr>
          <w:noProof/>
          <w:color w:val="auto"/>
        </w:rPr>
        <w:t>. Az EU-nak</w:t>
      </w:r>
      <w:r>
        <w:rPr>
          <w:noProof/>
        </w:rPr>
        <w:t xml:space="preserve"> elő kell mozdítania a szinergiák kialakítását más uniós politikákkal, többek között a fejlesztéspolitikával és az EUMSS-hez fogható stratégiákkal.</w:t>
      </w:r>
    </w:p>
    <w:p w:rsidR="00D54ECC" w:rsidRDefault="009F60F6">
      <w:pPr>
        <w:pStyle w:val="ListParagraph"/>
        <w:spacing w:after="120"/>
        <w:ind w:left="0"/>
        <w:rPr>
          <w:noProof/>
          <w:color w:val="000000" w:themeColor="text1"/>
        </w:rPr>
      </w:pPr>
      <w:r>
        <w:rPr>
          <w:noProof/>
          <w:color w:val="000000" w:themeColor="text1"/>
        </w:rPr>
        <w:t>Ezenkívül</w:t>
      </w:r>
      <w:r>
        <w:rPr>
          <w:noProof/>
        </w:rPr>
        <w:t xml:space="preserve"> az EU kilenc legkülső régiót tart számon. Ezek a régiók –</w:t>
      </w:r>
      <w:r>
        <w:rPr>
          <w:noProof/>
        </w:rPr>
        <w:t xml:space="preserve"> az Unió tengeri dimenziójához való hozzájárulásuknak, valamint atlanti- és indiai-óceáni elhelyezkedésüknek köszönhetően – fontos szereplők, amelyek tevékenyen hozzájárulhatnak az óceánpolitikai irányítás javításához.</w:t>
      </w:r>
    </w:p>
    <w:p w:rsidR="00D54ECC" w:rsidRDefault="009F60F6">
      <w:pPr>
        <w:pStyle w:val="Text2"/>
        <w:spacing w:after="120"/>
        <w:ind w:left="0"/>
        <w:rPr>
          <w:rFonts w:cs="Times New Roman"/>
          <w:noProof/>
          <w:color w:val="000000" w:themeColor="text1"/>
        </w:rPr>
      </w:pPr>
      <w:r>
        <w:rPr>
          <w:noProof/>
        </w:rPr>
        <w:t>A biztonságos, védett, tiszta és fenn</w:t>
      </w:r>
      <w:r>
        <w:rPr>
          <w:noProof/>
        </w:rPr>
        <w:t>tartható módon kezelt óceánok érdekében a Bizottság és a főképviselő 14 intézkedésből álló csomagot javasol három kiemelt területen:</w:t>
      </w:r>
    </w:p>
    <w:p w:rsidR="00D54ECC" w:rsidRDefault="009F60F6">
      <w:pPr>
        <w:pStyle w:val="Text2"/>
        <w:numPr>
          <w:ilvl w:val="0"/>
          <w:numId w:val="15"/>
        </w:numPr>
        <w:spacing w:after="120"/>
        <w:rPr>
          <w:rFonts w:cs="Times New Roman"/>
          <w:noProof/>
          <w:color w:val="000000" w:themeColor="text1"/>
        </w:rPr>
      </w:pPr>
      <w:r>
        <w:rPr>
          <w:noProof/>
          <w:color w:val="000000" w:themeColor="text1"/>
        </w:rPr>
        <w:t>a nemzetközi óceánpolitikai irányítási keret javítása;</w:t>
      </w:r>
    </w:p>
    <w:p w:rsidR="00D54ECC" w:rsidRDefault="009F60F6">
      <w:pPr>
        <w:pStyle w:val="Text2"/>
        <w:numPr>
          <w:ilvl w:val="0"/>
          <w:numId w:val="15"/>
        </w:numPr>
        <w:spacing w:after="120"/>
        <w:rPr>
          <w:rFonts w:cs="Times New Roman"/>
          <w:noProof/>
          <w:color w:val="000000" w:themeColor="text1"/>
        </w:rPr>
      </w:pPr>
      <w:r>
        <w:rPr>
          <w:noProof/>
          <w:color w:val="000000" w:themeColor="text1"/>
        </w:rPr>
        <w:t xml:space="preserve">az óceánok és tengerek terhelésének csökkentése, és a fenntartható </w:t>
      </w:r>
      <w:r>
        <w:rPr>
          <w:noProof/>
          <w:color w:val="000000" w:themeColor="text1"/>
        </w:rPr>
        <w:t>kék gazdaság feltételeinek megteremtése; és</w:t>
      </w:r>
    </w:p>
    <w:p w:rsidR="00D54ECC" w:rsidRDefault="009F60F6">
      <w:pPr>
        <w:pStyle w:val="Text2"/>
        <w:numPr>
          <w:ilvl w:val="0"/>
          <w:numId w:val="15"/>
        </w:numPr>
        <w:spacing w:after="120"/>
        <w:rPr>
          <w:rFonts w:cs="Times New Roman"/>
          <w:noProof/>
          <w:color w:val="000000" w:themeColor="text1"/>
        </w:rPr>
      </w:pPr>
      <w:r>
        <w:rPr>
          <w:noProof/>
          <w:color w:val="000000" w:themeColor="text1"/>
        </w:rPr>
        <w:t>a nemzetközi óceánkutatás és adatgyűjtés erősítése.</w:t>
      </w:r>
    </w:p>
    <w:p w:rsidR="00D54ECC" w:rsidRDefault="00D54ECC">
      <w:pPr>
        <w:pStyle w:val="Heading"/>
        <w:spacing w:after="120"/>
        <w:rPr>
          <w:noProof/>
        </w:rPr>
      </w:pPr>
    </w:p>
    <w:p w:rsidR="00D54ECC" w:rsidRDefault="009F60F6">
      <w:pPr>
        <w:pStyle w:val="Heading"/>
        <w:spacing w:after="120"/>
        <w:rPr>
          <w:rStyle w:val="None"/>
          <w:rFonts w:cs="Times New Roman"/>
          <w:b w:val="0"/>
          <w:bCs w:val="0"/>
          <w:smallCaps w:val="0"/>
          <w:noProof/>
          <w:color w:val="auto"/>
        </w:rPr>
      </w:pPr>
      <w:r>
        <w:rPr>
          <w:noProof/>
        </w:rPr>
        <w:t xml:space="preserve">2. </w:t>
      </w:r>
      <w:r>
        <w:rPr>
          <w:noProof/>
        </w:rPr>
        <w:tab/>
        <w:t>A nemzetközi óceánpolitikai irányítási keret javítása</w:t>
      </w:r>
    </w:p>
    <w:p w:rsidR="00D54ECC" w:rsidRDefault="00D54ECC">
      <w:pPr>
        <w:pStyle w:val="NoSpacing"/>
        <w:spacing w:after="120"/>
        <w:rPr>
          <w:noProof/>
        </w:rPr>
      </w:pPr>
    </w:p>
    <w:p w:rsidR="00D54ECC" w:rsidRDefault="009F60F6">
      <w:pPr>
        <w:pStyle w:val="NoSpacing"/>
        <w:spacing w:after="120"/>
        <w:rPr>
          <w:noProof/>
        </w:rPr>
      </w:pPr>
      <w:r>
        <w:rPr>
          <w:noProof/>
        </w:rPr>
        <w:t>Nemzetközi konszenzus áll fenn arra nézve, hogy az óceánpolitikai irányítási keretet meg kell erősít</w:t>
      </w:r>
      <w:r>
        <w:rPr>
          <w:noProof/>
        </w:rPr>
        <w:t>eni, ennek alapján a Bizottság és a főképviselő a következő intézkedéseket tervezi:</w:t>
      </w:r>
    </w:p>
    <w:p w:rsidR="00D54ECC" w:rsidRDefault="00D54ECC">
      <w:pPr>
        <w:rPr>
          <w:rStyle w:val="None"/>
          <w:rFonts w:eastAsia="Arial Unicode MS" w:cs="Arial Unicode MS"/>
          <w:b/>
          <w:noProof/>
          <w:color w:val="000000" w:themeColor="text1"/>
          <w:u w:color="FF0000"/>
        </w:rPr>
      </w:pPr>
    </w:p>
    <w:p w:rsidR="00D54ECC" w:rsidRDefault="009F60F6">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1.</w:t>
      </w:r>
      <w:r>
        <w:rPr>
          <w:rStyle w:val="None"/>
          <w:b/>
          <w:noProof/>
          <w:color w:val="000000" w:themeColor="text1"/>
        </w:rPr>
        <w:t xml:space="preserve"> intézkedés: </w:t>
      </w:r>
      <w:r>
        <w:rPr>
          <w:noProof/>
        </w:rPr>
        <w:tab/>
      </w:r>
      <w:r>
        <w:rPr>
          <w:rStyle w:val="None"/>
          <w:b/>
          <w:noProof/>
          <w:color w:val="000000" w:themeColor="text1"/>
        </w:rPr>
        <w:t>A nemzetközi óceánpolitikai irányítási keretben meglévő hézagok megszüntetése</w:t>
      </w:r>
    </w:p>
    <w:p w:rsidR="00D54ECC" w:rsidRDefault="00D54ECC">
      <w:pPr>
        <w:pStyle w:val="ListBullet1"/>
        <w:tabs>
          <w:tab w:val="clear" w:pos="765"/>
          <w:tab w:val="left" w:pos="1134"/>
        </w:tabs>
        <w:spacing w:after="120"/>
        <w:ind w:left="1134" w:hanging="1134"/>
        <w:rPr>
          <w:rStyle w:val="None"/>
          <w:rFonts w:cs="Times New Roman"/>
          <w:noProof/>
          <w:color w:val="auto"/>
        </w:rPr>
      </w:pPr>
    </w:p>
    <w:p w:rsidR="00D54ECC" w:rsidRDefault="009F60F6">
      <w:pPr>
        <w:pStyle w:val="ListDash"/>
        <w:spacing w:after="120"/>
        <w:rPr>
          <w:rStyle w:val="None"/>
          <w:rFonts w:cs="Times New Roman"/>
          <w:noProof/>
          <w:color w:val="000000" w:themeColor="text1"/>
        </w:rPr>
      </w:pPr>
      <w:r>
        <w:rPr>
          <w:rStyle w:val="None"/>
          <w:noProof/>
          <w:color w:val="000000" w:themeColor="text1"/>
        </w:rPr>
        <w:t xml:space="preserve">A Bizottság és a </w:t>
      </w:r>
      <w:r>
        <w:rPr>
          <w:noProof/>
        </w:rPr>
        <w:t>főképviselő</w:t>
      </w:r>
      <w:r>
        <w:rPr>
          <w:noProof/>
          <w:color w:val="000000" w:themeColor="text1"/>
        </w:rPr>
        <w:t xml:space="preserve"> </w:t>
      </w:r>
      <w:r>
        <w:rPr>
          <w:rStyle w:val="None"/>
          <w:noProof/>
          <w:color w:val="000000" w:themeColor="text1"/>
        </w:rPr>
        <w:t xml:space="preserve">folytatja a kölcsönösen elfogadott, de még nem hatályos multilaterális jogi eszközök végrehajtásának előmozdítására irányuló munkát a tagállamokkal és a nemzetközi partnerekkel. A Bizottság és a </w:t>
      </w:r>
      <w:r>
        <w:rPr>
          <w:noProof/>
          <w:color w:val="000000" w:themeColor="text1"/>
        </w:rPr>
        <w:t>főképviselő</w:t>
      </w:r>
      <w:r>
        <w:rPr>
          <w:rStyle w:val="None"/>
          <w:noProof/>
          <w:color w:val="000000" w:themeColor="text1"/>
        </w:rPr>
        <w:t xml:space="preserve"> meggyorsítják az óceánpolitikai irányítással kapc</w:t>
      </w:r>
      <w:r>
        <w:rPr>
          <w:rStyle w:val="None"/>
          <w:noProof/>
          <w:color w:val="000000" w:themeColor="text1"/>
        </w:rPr>
        <w:t>solatos kulcsfontosságú globális jogi aktusok, mint például az ENSZ Tengerjogi Egyezménye és annak meglévő végrehajtási megállapodásai aláírására, ratifikálására, átültetésére és hatékony végrehajtására irányuló erőfeszítéseiket.</w:t>
      </w:r>
    </w:p>
    <w:p w:rsidR="00D54ECC" w:rsidRDefault="009F60F6">
      <w:pPr>
        <w:pStyle w:val="ListDash"/>
        <w:spacing w:after="120"/>
        <w:rPr>
          <w:noProof/>
          <w:color w:val="000000" w:themeColor="text1"/>
        </w:rPr>
      </w:pPr>
      <w:r>
        <w:rPr>
          <w:rStyle w:val="None"/>
          <w:noProof/>
          <w:color w:val="000000" w:themeColor="text1"/>
        </w:rPr>
        <w:t>A Bizottság továbbra is te</w:t>
      </w:r>
      <w:r>
        <w:rPr>
          <w:rStyle w:val="None"/>
          <w:noProof/>
          <w:color w:val="000000" w:themeColor="text1"/>
        </w:rPr>
        <w:t xml:space="preserve">vékenyen vesz részt az ENSZ Tengerjogi Egyezményének égisze alatt </w:t>
      </w:r>
      <w:r>
        <w:rPr>
          <w:noProof/>
        </w:rPr>
        <w:t>egy, a nemzeti joghatóságon kívül eső területeken a tengeri biológiai sokféleség megőrzésére és fenntartható hasznosítására vonatkozó, jogilag kötelező erejű okmány kidolgozásában</w:t>
      </w:r>
      <w:r>
        <w:rPr>
          <w:noProof/>
          <w:color w:val="000000" w:themeColor="text1"/>
        </w:rPr>
        <w:t>. Más relev</w:t>
      </w:r>
      <w:r>
        <w:rPr>
          <w:noProof/>
          <w:color w:val="000000" w:themeColor="text1"/>
        </w:rPr>
        <w:t>áns nemzetközi fórumok – köztük a Biológiai Sokféleség Egyezmény és a veszélyeztetett vadon élő állat- és növényfajok nemzetközi kereskedelméről szóló egyezmény – keretében továbbra is támogatja a tengeri biodiverzitás védelmére irányuló nemzetközi törekvé</w:t>
      </w:r>
      <w:r>
        <w:rPr>
          <w:noProof/>
          <w:color w:val="000000" w:themeColor="text1"/>
        </w:rPr>
        <w:t>seket.</w:t>
      </w:r>
    </w:p>
    <w:p w:rsidR="00D54ECC" w:rsidRDefault="009F60F6">
      <w:pPr>
        <w:pStyle w:val="ListDash"/>
        <w:spacing w:after="120"/>
        <w:rPr>
          <w:noProof/>
          <w:color w:val="000000" w:themeColor="text1"/>
        </w:rPr>
      </w:pPr>
      <w:r>
        <w:rPr>
          <w:noProof/>
          <w:color w:val="000000" w:themeColor="text1"/>
        </w:rPr>
        <w:t xml:space="preserve">A Bizottság </w:t>
      </w:r>
      <w:r>
        <w:rPr>
          <w:rStyle w:val="None"/>
          <w:noProof/>
          <w:color w:val="000000" w:themeColor="text1"/>
        </w:rPr>
        <w:t xml:space="preserve">és a </w:t>
      </w:r>
      <w:r>
        <w:rPr>
          <w:noProof/>
          <w:color w:val="000000" w:themeColor="text1"/>
        </w:rPr>
        <w:t>főképviselő a tagállamokkal és más felekkel, köztük nemzetközi partnerekkel, ágazati és civil szervezetekkel együtt feltárja, milyen önkéntes, nem jogalkotási és kiegészítő intézkedéseket lehet tenni az óceánpolitikai irányítás támo</w:t>
      </w:r>
      <w:r>
        <w:rPr>
          <w:noProof/>
          <w:color w:val="000000" w:themeColor="text1"/>
        </w:rPr>
        <w:t xml:space="preserve">gatása érdekében. </w:t>
      </w:r>
    </w:p>
    <w:p w:rsidR="00D54ECC" w:rsidRDefault="009F60F6">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A Bizottság és a főképviselő a tagállamokkal és a nemzetközi partnerekkel együtt dolgozik azon, hogy biztosítsák kulcsfontosságú globális óceánpolitikai irányítási jogi aktusok – mint például a nemzeti joghatóságon kívül eső területeken </w:t>
      </w:r>
      <w:r>
        <w:rPr>
          <w:i/>
          <w:noProof/>
          <w:color w:val="000000" w:themeColor="text1"/>
        </w:rPr>
        <w:t>az ENSZ Tengerjogi Egyezményének tervezett végrehajtási megállapodása, valamint a halászati ágazat munkafeltételeiről szóló ILO-egyezmény – elfogadását, ratifikálását és végrehajtását.</w:t>
      </w:r>
    </w:p>
    <w:p w:rsidR="00D54ECC" w:rsidRDefault="009F60F6">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A Bizottság és a főképviselő minden releváns nemzetközi intézményben tá</w:t>
      </w:r>
      <w:r>
        <w:rPr>
          <w:i/>
          <w:noProof/>
          <w:color w:val="000000" w:themeColor="text1"/>
        </w:rPr>
        <w:t>mogatják a tengeri biodiverzitás védelmére irányuló nemzetközi törekvéseket.</w:t>
      </w:r>
    </w:p>
    <w:p w:rsidR="00D54ECC" w:rsidRDefault="009F60F6">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Annak érdekében, hogy segítse a parti tagállamokat az ENSZ Tengerjogi Egyezménye szerinti kötelezettségük – a tengeri környezet megvédése és megőrzése – teljesítésében, a Bizottsá</w:t>
      </w:r>
      <w:r>
        <w:rPr>
          <w:i/>
          <w:noProof/>
          <w:color w:val="000000" w:themeColor="text1"/>
        </w:rPr>
        <w:t>g 2018-ig iránymutatást készít a nemzeti joghatóság alá tartozó területeken lévő tengerfenéki természeti erőforrások feltárására és kiaknázására vonatkozóan.</w:t>
      </w:r>
    </w:p>
    <w:p w:rsidR="00D54ECC" w:rsidRDefault="009F60F6">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A Bizottság és a főképviselő a releváns regionális és nemzetközi szervezetekkel együttműködve </w:t>
      </w:r>
      <w:r>
        <w:rPr>
          <w:i/>
          <w:noProof/>
          <w:color w:val="000000" w:themeColor="text1"/>
        </w:rPr>
        <w:t>folytatják a tengeri medencék fenntartható fejlődésével kapcsolatos regionális kezdeményezéseiket az Unión kívül, alkalmazzák továbbá mindazon stratégiákat – köztük az Afrika szarvára és a Guineai-öbölre vonatkozó stratégiát –, amelyek a tengeri és tengeré</w:t>
      </w:r>
      <w:r>
        <w:rPr>
          <w:i/>
          <w:noProof/>
          <w:color w:val="000000" w:themeColor="text1"/>
        </w:rPr>
        <w:t>szeti együttműködést elismerik a biztonság megőrzése és a fenntartható fejlődés biztosítása eszközének.</w:t>
      </w:r>
    </w:p>
    <w:p w:rsidR="00D54ECC" w:rsidRDefault="00D54ECC">
      <w:pPr>
        <w:pStyle w:val="ListBullet1"/>
        <w:spacing w:after="120"/>
        <w:ind w:left="1134" w:hanging="1134"/>
        <w:rPr>
          <w:rStyle w:val="None"/>
          <w:rFonts w:cs="Times New Roman"/>
          <w:b/>
          <w:bCs/>
          <w:noProof/>
          <w:color w:val="000000" w:themeColor="text1"/>
        </w:rPr>
      </w:pPr>
    </w:p>
    <w:p w:rsidR="00D54ECC" w:rsidRDefault="009F60F6">
      <w:pPr>
        <w:pStyle w:val="ListBullet1"/>
        <w:spacing w:after="120"/>
        <w:ind w:left="1134" w:hanging="1134"/>
        <w:rPr>
          <w:noProof/>
          <w:color w:val="000000" w:themeColor="text1"/>
        </w:rPr>
      </w:pPr>
      <w:r>
        <w:rPr>
          <w:rStyle w:val="None"/>
          <w:b/>
          <w:noProof/>
          <w:color w:val="000000" w:themeColor="text1"/>
        </w:rPr>
        <w:t xml:space="preserve">2. intézkedés: </w:t>
      </w:r>
      <w:r>
        <w:rPr>
          <w:noProof/>
        </w:rPr>
        <w:tab/>
      </w:r>
      <w:r>
        <w:rPr>
          <w:rStyle w:val="None"/>
          <w:b/>
          <w:noProof/>
          <w:color w:val="000000" w:themeColor="text1"/>
        </w:rPr>
        <w:t>A regionális halászati gazdálkodás és együttműködés előmozdítása a kulcsfontosságú óceáni területeken a regionális irányítási hiányossá</w:t>
      </w:r>
      <w:r>
        <w:rPr>
          <w:rStyle w:val="None"/>
          <w:b/>
          <w:noProof/>
          <w:color w:val="000000" w:themeColor="text1"/>
        </w:rPr>
        <w:t>gok pótlása céljából</w:t>
      </w:r>
      <w:r>
        <w:rPr>
          <w:noProof/>
          <w:color w:val="000000" w:themeColor="text1"/>
        </w:rPr>
        <w:t xml:space="preserve"> </w:t>
      </w:r>
    </w:p>
    <w:p w:rsidR="00D54ECC" w:rsidRDefault="00D54ECC">
      <w:pPr>
        <w:pStyle w:val="ListBullet1"/>
        <w:spacing w:after="120"/>
        <w:ind w:left="1134" w:hanging="1134"/>
        <w:rPr>
          <w:noProof/>
          <w:color w:val="000000" w:themeColor="text1"/>
        </w:rPr>
      </w:pPr>
    </w:p>
    <w:p w:rsidR="00D54ECC" w:rsidRDefault="009F60F6">
      <w:pPr>
        <w:pStyle w:val="Text2"/>
        <w:spacing w:after="120"/>
        <w:ind w:left="0"/>
        <w:rPr>
          <w:noProof/>
        </w:rPr>
      </w:pPr>
      <w:r>
        <w:rPr>
          <w:noProof/>
        </w:rPr>
        <w:t>A regionális halászati gazdálkodási szervezetek a kizárólagos gazdasági övezeteken túlnyúló és hosszú távon vándorló halállományok megőrzése és fenntartható hasznosítása szempontjából kulcsfontosságú nemzetközi szervezetek. Teljesítm</w:t>
      </w:r>
      <w:r>
        <w:rPr>
          <w:noProof/>
        </w:rPr>
        <w:t>ényük javítása és rendszeres felülvizsgálata (például tudományos vonatkozásban, az átláthatóság és a döntéshozatal szempontjából) az EU fellépésének középpontjában áll ezeken a fórumokon.</w:t>
      </w:r>
    </w:p>
    <w:p w:rsidR="00D54ECC" w:rsidRDefault="009F60F6">
      <w:pPr>
        <w:pStyle w:val="Text2"/>
        <w:spacing w:after="120"/>
        <w:ind w:left="0"/>
        <w:rPr>
          <w:noProof/>
        </w:rPr>
      </w:pPr>
      <w:r>
        <w:rPr>
          <w:noProof/>
        </w:rPr>
        <w:t>A Jeges-tenger – a föld egyik leginkább sérülékeny tengeri régiója –</w:t>
      </w:r>
      <w:r>
        <w:rPr>
          <w:noProof/>
        </w:rPr>
        <w:t xml:space="preserve"> legnagyobb része nem tartozik az erőforrások védelmére vagy kezelésére irányuló nemzetközi rendszer hatálya alá. Az EU-nak a közelmúltban javaslatként napvilágot látott integrált északi-sarkvidéki politikájával</w:t>
      </w:r>
      <w:r>
        <w:rPr>
          <w:rStyle w:val="FootnoteReference"/>
          <w:noProof/>
          <w:color w:val="000000" w:themeColor="text1"/>
        </w:rPr>
        <w:footnoteReference w:id="12"/>
      </w:r>
      <w:r>
        <w:rPr>
          <w:noProof/>
        </w:rPr>
        <w:t xml:space="preserve"> összhangban</w:t>
      </w:r>
      <w:r>
        <w:rPr>
          <w:rStyle w:val="CommentReference"/>
          <w:noProof/>
          <w:color w:val="auto"/>
          <w:sz w:val="20"/>
        </w:rPr>
        <w:t> </w:t>
      </w:r>
      <w:r>
        <w:rPr>
          <w:noProof/>
        </w:rPr>
        <w:t xml:space="preserve">törekednie kellene arra, hogy </w:t>
      </w:r>
      <w:r>
        <w:rPr>
          <w:noProof/>
        </w:rPr>
        <w:t>nemzetközi együttműködés alapján biztosítsa a fenntartható fejlődést a régióban és a környező területeken. Konkrétan támogatja egy északi-sarkvidéki regionális halászati gazdálkodási szervezet/megállapodás létrejöttét, és védett tengeri területek létrehozá</w:t>
      </w:r>
      <w:r>
        <w:rPr>
          <w:noProof/>
        </w:rPr>
        <w:t>sán keresztül előmozdítja a biodiverzitás védelmét.</w:t>
      </w:r>
    </w:p>
    <w:p w:rsidR="00D54ECC" w:rsidRDefault="009F60F6">
      <w:pPr>
        <w:pStyle w:val="Text2"/>
        <w:spacing w:after="120"/>
        <w:ind w:left="0"/>
        <w:rPr>
          <w:noProof/>
        </w:rPr>
      </w:pPr>
      <w:r>
        <w:rPr>
          <w:noProof/>
        </w:rPr>
        <w:t>A többi uniós regionális stratégiának (például a Guineai-öbölre és Afrika szarvára vonatkozó stratégiának) is közre kell működnie a halállományok védelme és a velük való gazdálkodás javításában, és kerete</w:t>
      </w:r>
      <w:r>
        <w:rPr>
          <w:noProof/>
        </w:rPr>
        <w:t>t kell biztosítania a jogellenes, be nem jelentett és szabályozatlan halászat kezeléséhez.</w:t>
      </w:r>
    </w:p>
    <w:p w:rsidR="00D54ECC" w:rsidRDefault="009F60F6">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A Bizottság nemzetközi partnerekkel együttműködve dolgozik azon, hogy regionális halászati gazdálkodási szervezeteket vagy megállapodásokat hozzon létre az eddig sza</w:t>
      </w:r>
      <w:r>
        <w:rPr>
          <w:i/>
          <w:noProof/>
        </w:rPr>
        <w:t xml:space="preserve">bályozás alá nem vont fajokra és területekre vonatkozóan. </w:t>
      </w:r>
      <w:r>
        <w:rPr>
          <w:i/>
          <w:noProof/>
          <w:color w:val="auto"/>
        </w:rPr>
        <w:t>Az EU különösen</w:t>
      </w:r>
      <w:r>
        <w:rPr>
          <w:rStyle w:val="CommentReference"/>
          <w:noProof/>
          <w:color w:val="auto"/>
          <w:sz w:val="20"/>
        </w:rPr>
        <w:t> </w:t>
      </w:r>
      <w:r>
        <w:rPr>
          <w:i/>
          <w:noProof/>
        </w:rPr>
        <w:t>olyan multilaterális megállapodást támogat, amely egy regionális halászati gazdálkodási szervezet/megállapodás létrejöttéig tiltja a szabályozatlan nyílt tengeri halászatot a Jeges-t</w:t>
      </w:r>
      <w:r>
        <w:rPr>
          <w:i/>
          <w:noProof/>
        </w:rPr>
        <w:t>engeren</w:t>
      </w:r>
      <w:r>
        <w:rPr>
          <w:i/>
          <w:noProof/>
          <w:color w:val="auto"/>
        </w:rPr>
        <w:t xml:space="preserve">. </w:t>
      </w:r>
    </w:p>
    <w:p w:rsidR="00D54ECC" w:rsidRDefault="009F60F6">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A Bizottság támogatja a Kelet-közép-atlanti Halászati Bizottság és a Nyugat-közép-atlanti Halászati Bizottság 2020-ig történő megújítását. Támogatja ezenfelül, hogy a regionális halászati testületek és kezdeményezések javítsák az országok közötti</w:t>
      </w:r>
      <w:r>
        <w:rPr>
          <w:i/>
          <w:noProof/>
        </w:rPr>
        <w:t xml:space="preserve"> együttműködést az olyan kérdésekben, mint például a jogellenes, be nem jelentett és szabályozatlan halászat.</w:t>
      </w:r>
    </w:p>
    <w:p w:rsidR="00D54ECC" w:rsidRDefault="009F60F6">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A Bizottság előmozdítja a meglévő regionális halászati gazdálkodási testületek működésének fejlesztését – különösen azzal, hogy támogatja a rendsz</w:t>
      </w:r>
      <w:r>
        <w:rPr>
          <w:i/>
          <w:noProof/>
        </w:rPr>
        <w:t>eres teljesítmény-felülvizsgálatokat.</w:t>
      </w:r>
    </w:p>
    <w:p w:rsidR="00D54ECC" w:rsidRDefault="00D54ECC">
      <w:pPr>
        <w:pStyle w:val="ListBullet1"/>
        <w:spacing w:after="120"/>
        <w:ind w:left="1134" w:hanging="1134"/>
        <w:rPr>
          <w:rStyle w:val="None"/>
          <w:rFonts w:cs="Times New Roman"/>
          <w:b/>
          <w:bCs/>
          <w:noProof/>
          <w:color w:val="000000" w:themeColor="text1"/>
        </w:rPr>
      </w:pPr>
    </w:p>
    <w:p w:rsidR="00D54ECC" w:rsidRDefault="009F60F6">
      <w:pPr>
        <w:pStyle w:val="ListBullet1"/>
        <w:spacing w:after="120"/>
        <w:ind w:left="1134" w:hanging="1134"/>
        <w:rPr>
          <w:b/>
          <w:noProof/>
          <w:color w:val="000000" w:themeColor="text1"/>
        </w:rPr>
      </w:pPr>
      <w:r>
        <w:rPr>
          <w:rStyle w:val="None"/>
          <w:b/>
          <w:noProof/>
          <w:color w:val="000000" w:themeColor="text1"/>
        </w:rPr>
        <w:t>3. intézkedés:</w:t>
      </w:r>
      <w:r>
        <w:rPr>
          <w:noProof/>
          <w:color w:val="000000" w:themeColor="text1"/>
        </w:rPr>
        <w:t xml:space="preserve"> </w:t>
      </w:r>
      <w:r>
        <w:rPr>
          <w:noProof/>
        </w:rPr>
        <w:tab/>
      </w:r>
      <w:r>
        <w:rPr>
          <w:rStyle w:val="None"/>
          <w:b/>
          <w:noProof/>
          <w:color w:val="000000" w:themeColor="text1"/>
        </w:rPr>
        <w:t xml:space="preserve">A nemzetközi szervezetek közötti koordináció és együttműködés javítása </w:t>
      </w:r>
      <w:r>
        <w:rPr>
          <w:b/>
          <w:noProof/>
          <w:color w:val="000000" w:themeColor="text1"/>
        </w:rPr>
        <w:t>és óceáni partnerségek indítása az óceángazdálkodás érdekében</w:t>
      </w:r>
    </w:p>
    <w:p w:rsidR="00D54ECC" w:rsidRDefault="00D54ECC">
      <w:pPr>
        <w:pStyle w:val="ListBullet1"/>
        <w:spacing w:after="120"/>
        <w:ind w:left="1134" w:hanging="1134"/>
        <w:rPr>
          <w:b/>
          <w:noProof/>
          <w:color w:val="000000" w:themeColor="text1"/>
        </w:rPr>
      </w:pPr>
    </w:p>
    <w:p w:rsidR="00D54ECC" w:rsidRDefault="009F60F6">
      <w:pPr>
        <w:pStyle w:val="ListBullet1"/>
        <w:spacing w:after="120"/>
        <w:rPr>
          <w:noProof/>
          <w:color w:val="000000" w:themeColor="text1"/>
        </w:rPr>
      </w:pPr>
      <w:r>
        <w:rPr>
          <w:noProof/>
          <w:color w:val="000000" w:themeColor="text1"/>
        </w:rPr>
        <w:t>Az EU-nak hozzá kell járulnia az óceánok tekintetében felhatalmazás</w:t>
      </w:r>
      <w:r>
        <w:rPr>
          <w:noProof/>
          <w:color w:val="000000" w:themeColor="text1"/>
        </w:rPr>
        <w:t>sal rendelkező nemzetközi szervezetek közötti koordináció és együttműködés javításához. Ez történhet egyetértési megállapodásokon és együttműködési szerződéseken keresztül, amelyek fokozzák az azonos vagy egymást kiegészítő célkitűzésekkel rendelkező testü</w:t>
      </w:r>
      <w:r>
        <w:rPr>
          <w:noProof/>
          <w:color w:val="000000" w:themeColor="text1"/>
        </w:rPr>
        <w:t>letek közötti koordinációt. A Bizottság mérlegeli a tonhalágazati regionális halászati gazdálkodási szervezetek tekintetében az ún. kobei folyamat felújítását, és a regionális halászati gazdálkodási szervezetekre való kiterjesztését. Az EU emellett erősíti</w:t>
      </w:r>
      <w:r>
        <w:rPr>
          <w:noProof/>
          <w:color w:val="000000" w:themeColor="text1"/>
        </w:rPr>
        <w:t xml:space="preserve"> a multilaterális együttműködési mechanizmusok – így például az ENSZ „UN Oceans” (különösen mandátumának 2017-ben történő felülvizsgálatával összefüggésben), a Kormányközi Oceanográfiai Bizottság, a Nemzetközi Tengerfenék Hatóság –, valamint az olyan konti</w:t>
      </w:r>
      <w:r>
        <w:rPr>
          <w:noProof/>
          <w:color w:val="000000" w:themeColor="text1"/>
        </w:rPr>
        <w:t>nentális és regionális szervezetek szerepét, amelyek stratégiákat dolgoztak ki a tengerek védelmére és értékelésére.</w:t>
      </w:r>
    </w:p>
    <w:p w:rsidR="00D54ECC" w:rsidRDefault="009F60F6">
      <w:pPr>
        <w:pStyle w:val="ListBullet1"/>
        <w:spacing w:after="120"/>
        <w:rPr>
          <w:noProof/>
          <w:color w:val="000000" w:themeColor="text1"/>
        </w:rPr>
      </w:pPr>
      <w:r>
        <w:rPr>
          <w:noProof/>
          <w:color w:val="000000" w:themeColor="text1"/>
        </w:rPr>
        <w:t>A Bizottság kétoldalú párbeszédet folytat a tengerrel kapcsolatos kérdésekről és a halászatról a legfontosabb óceáni szereplőkkel, köztük A</w:t>
      </w:r>
      <w:r>
        <w:rPr>
          <w:noProof/>
          <w:color w:val="000000" w:themeColor="text1"/>
        </w:rPr>
        <w:t>usztráliával, Kanadával, Kínával, Japánnal, Új-Zélanddal és az Amerikai Egyesült Államokkal. A következő öt év során fokozatosan óceáni partnerségeket kíván kialakítani e párbeszédek nyomán. Mindez erősíteni fogja az együttműködést az óceánpolitikai irányí</w:t>
      </w:r>
      <w:r>
        <w:rPr>
          <w:noProof/>
          <w:color w:val="000000" w:themeColor="text1"/>
        </w:rPr>
        <w:t>tás kulcsterületein, így az óceánokkal kapcsolatos fenntartható fejlesztési célok végrehajtása, a kapacitásépítés, a megőrzés és a fenntartható „kék növekedés” előmozdítása, a tengerhasznosítási célú kutatás, a nemzetközi halászati gazdálkodás, az emberhez</w:t>
      </w:r>
      <w:r>
        <w:rPr>
          <w:noProof/>
          <w:color w:val="000000" w:themeColor="text1"/>
        </w:rPr>
        <w:t xml:space="preserve"> méltó munkakörülmények, a jogellenes, be nem jelentett és szabályozatlan halászat elleni küzdelem és a tengerhajózási biztonság terén.</w:t>
      </w:r>
    </w:p>
    <w:p w:rsidR="00D54ECC" w:rsidRDefault="009F60F6">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Bizottság és a főképviselő – többek között az új vagy meglévő kereteken keresztül – támogatják az óceánok tekintetében</w:t>
      </w:r>
      <w:r>
        <w:rPr>
          <w:i/>
          <w:noProof/>
        </w:rPr>
        <w:t xml:space="preserve"> felhatalmazással rendelkező globális és regionális szervezetek közötti jobb együttműködést és koordinációt.</w:t>
      </w:r>
    </w:p>
    <w:p w:rsidR="00D54ECC" w:rsidRDefault="009F60F6">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Bizottság támogatja a regionális halászati gazdálkodási szervezetek és a regionális tengeri egyezmények közötti jobb koordinációt, valamint a glo</w:t>
      </w:r>
      <w:r>
        <w:rPr>
          <w:i/>
          <w:noProof/>
        </w:rPr>
        <w:t>bális szervezetekkel való együttműködést</w:t>
      </w:r>
      <w:r>
        <w:rPr>
          <w:rStyle w:val="FootnoteReference"/>
          <w:noProof/>
        </w:rPr>
        <w:footnoteReference w:id="13"/>
      </w:r>
      <w:r>
        <w:rPr>
          <w:noProof/>
        </w:rPr>
        <w:t>.</w:t>
      </w:r>
    </w:p>
    <w:p w:rsidR="00D54ECC" w:rsidRDefault="009F60F6">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 xml:space="preserve">A Bizottság minden releváns nemzetközi intézményben támogatja a tengeri biodiverzitás védelmére irányuló globális törekvéseket, köztük a </w:t>
      </w:r>
      <w:r>
        <w:rPr>
          <w:rStyle w:val="st1"/>
          <w:i/>
          <w:noProof/>
          <w:color w:val="auto"/>
        </w:rPr>
        <w:t xml:space="preserve">tengeri és parti biodiverzitásról szóló Biológiai Sokféleség Egyezmény </w:t>
      </w:r>
      <w:r>
        <w:rPr>
          <w:rStyle w:val="st1"/>
          <w:i/>
          <w:noProof/>
          <w:color w:val="auto"/>
        </w:rPr>
        <w:t>részes feleinek 12. konferenciája</w:t>
      </w:r>
      <w:r>
        <w:rPr>
          <w:rStyle w:val="FootnoteReference"/>
          <w:i/>
          <w:noProof/>
          <w:color w:val="auto"/>
        </w:rPr>
        <w:footnoteReference w:id="14"/>
      </w:r>
      <w:r>
        <w:rPr>
          <w:i/>
          <w:noProof/>
          <w:color w:val="auto"/>
        </w:rPr>
        <w:t xml:space="preserve"> által elfogadott kiemelt intézkedéseket, és az ökológiai vagy biológiai szempontból jelentős tengeri területek azonosításával kapcsolatos egyéb határozatokat.  </w:t>
      </w:r>
    </w:p>
    <w:p w:rsidR="00D54ECC" w:rsidRDefault="009F60F6">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Bizottság biztosítja a veszélyeztetett vadon élő állat- és</w:t>
      </w:r>
      <w:r>
        <w:rPr>
          <w:i/>
          <w:noProof/>
        </w:rPr>
        <w:t xml:space="preserve"> növényfajok nemzetközi kereskedelméről szóló egyezmény (CITES)</w:t>
      </w:r>
      <w:r>
        <w:rPr>
          <w:rStyle w:val="FootnoteReference"/>
          <w:i/>
          <w:noProof/>
        </w:rPr>
        <w:footnoteReference w:id="15"/>
      </w:r>
      <w:r>
        <w:rPr>
          <w:noProof/>
        </w:rPr>
        <w:t xml:space="preserve"> </w:t>
      </w:r>
      <w:r>
        <w:rPr>
          <w:i/>
          <w:noProof/>
        </w:rPr>
        <w:t>részes feleinek 16. és 17. konferenciáján a tengeri fajok védelmében hozott határozatok hatékony végrehajtását.</w:t>
      </w:r>
    </w:p>
    <w:p w:rsidR="00D54ECC" w:rsidRDefault="009F60F6">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noProof/>
        </w:rPr>
        <w:t>A Bizottság és a főképviselő – a megbízatásának közelgő felülvizsgálatával össz</w:t>
      </w:r>
      <w:r>
        <w:rPr>
          <w:noProof/>
        </w:rPr>
        <w:t>efüggésben, továbbá koordináló szerepének erősítését célozva – támogatja az olyan multilaterális együttműködési mechanizmusokat, mint például az „UN-Oceans”.</w:t>
      </w:r>
    </w:p>
    <w:p w:rsidR="00D54ECC" w:rsidRDefault="009F60F6">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A Bizottság javasolja óceáni partnerségek létrehozását a legfontosabb óceáni szereplőkkel.</w:t>
      </w:r>
    </w:p>
    <w:p w:rsidR="00D54ECC" w:rsidRDefault="00D54ECC">
      <w:pPr>
        <w:pStyle w:val="ListBullet1"/>
        <w:keepNext/>
        <w:spacing w:after="120"/>
        <w:rPr>
          <w:rStyle w:val="None"/>
          <w:rFonts w:cs="Times New Roman"/>
          <w:b/>
          <w:bCs/>
          <w:noProof/>
          <w:color w:val="000000" w:themeColor="text1"/>
        </w:rPr>
      </w:pPr>
    </w:p>
    <w:p w:rsidR="00D54ECC" w:rsidRDefault="009F60F6">
      <w:pPr>
        <w:pStyle w:val="ListBullet1"/>
        <w:keepNext/>
        <w:spacing w:after="120"/>
        <w:rPr>
          <w:noProof/>
          <w:color w:val="000000" w:themeColor="text1"/>
        </w:rPr>
      </w:pPr>
      <w:r>
        <w:rPr>
          <w:rStyle w:val="None"/>
          <w:b/>
          <w:noProof/>
          <w:color w:val="000000" w:themeColor="text1"/>
        </w:rPr>
        <w:t>4. int</w:t>
      </w:r>
      <w:r>
        <w:rPr>
          <w:rStyle w:val="None"/>
          <w:b/>
          <w:noProof/>
          <w:color w:val="000000" w:themeColor="text1"/>
        </w:rPr>
        <w:t>ézkedés: Kapacitásépítés</w:t>
      </w:r>
    </w:p>
    <w:p w:rsidR="00D54ECC" w:rsidRDefault="00D54ECC">
      <w:pPr>
        <w:pStyle w:val="ListBullet1"/>
        <w:spacing w:after="120"/>
        <w:rPr>
          <w:rStyle w:val="None"/>
          <w:rFonts w:cs="Times New Roman"/>
          <w:noProof/>
          <w:color w:val="000000" w:themeColor="text1"/>
          <w:u w:color="FF0000"/>
        </w:rPr>
      </w:pPr>
    </w:p>
    <w:p w:rsidR="00D54ECC" w:rsidRDefault="009F60F6">
      <w:pPr>
        <w:pStyle w:val="ListBullet1"/>
        <w:spacing w:after="120"/>
        <w:rPr>
          <w:rStyle w:val="None"/>
          <w:rFonts w:cs="Times New Roman"/>
          <w:noProof/>
          <w:color w:val="000000" w:themeColor="text1"/>
          <w:u w:color="FF0000"/>
        </w:rPr>
      </w:pPr>
      <w:r>
        <w:rPr>
          <w:rStyle w:val="None"/>
          <w:noProof/>
          <w:color w:val="000000" w:themeColor="text1"/>
          <w:u w:color="FF0000"/>
        </w:rPr>
        <w:t xml:space="preserve">A </w:t>
      </w:r>
      <w:r>
        <w:rPr>
          <w:noProof/>
        </w:rPr>
        <w:t xml:space="preserve">Bizottság és a főképviselő </w:t>
      </w:r>
      <w:r>
        <w:rPr>
          <w:rStyle w:val="None"/>
          <w:noProof/>
          <w:color w:val="000000" w:themeColor="text1"/>
          <w:u w:color="FF0000"/>
        </w:rPr>
        <w:t xml:space="preserve">a külső politikai keretet – a fejlesztési együttműködést is beleértve – a jobb óceánpolitikai irányítás, a biodiverzitás megőrzése és helyreállítása, valamint a partnereivel, </w:t>
      </w:r>
      <w:r>
        <w:rPr>
          <w:rStyle w:val="None"/>
          <w:noProof/>
          <w:color w:val="000000" w:themeColor="text1"/>
        </w:rPr>
        <w:t>köztük nemzetközi szerveze</w:t>
      </w:r>
      <w:r>
        <w:rPr>
          <w:rStyle w:val="None"/>
          <w:noProof/>
          <w:color w:val="000000" w:themeColor="text1"/>
        </w:rPr>
        <w:t>tekkel létrehozandó fenntartható kék gazdaságok előmozdítására és kapacitásépítésére használja fel.</w:t>
      </w:r>
    </w:p>
    <w:p w:rsidR="00D54ECC" w:rsidRDefault="009F60F6">
      <w:pPr>
        <w:pStyle w:val="Default"/>
        <w:spacing w:after="120"/>
        <w:rPr>
          <w:rStyle w:val="None"/>
          <w:noProof/>
          <w:color w:val="auto"/>
        </w:rPr>
      </w:pPr>
      <w:r>
        <w:rPr>
          <w:rStyle w:val="None"/>
          <w:noProof/>
        </w:rPr>
        <w:t>A tengeri és parti fejlesztéseknek környezetvédelmi szempontból fenntarthatónak, társadalmi szempontból pedig inkluzívnak kell lenniük. Az ágazatok és befek</w:t>
      </w:r>
      <w:r>
        <w:rPr>
          <w:rStyle w:val="None"/>
          <w:noProof/>
        </w:rPr>
        <w:t>tetések közötti kölcsönhatásokat és kompromisszumokat egyértelműen meg kell határozni és ki kell fejezni.</w:t>
      </w:r>
    </w:p>
    <w:p w:rsidR="00D54ECC" w:rsidRDefault="009F60F6">
      <w:pPr>
        <w:pStyle w:val="Body"/>
        <w:spacing w:after="120"/>
        <w:rPr>
          <w:noProof/>
        </w:rPr>
      </w:pPr>
      <w:r>
        <w:rPr>
          <w:noProof/>
        </w:rPr>
        <w:t>Az Unió különféle kétoldalú együttműködési, partnerségi és kereskedelmi megállapodást – köztük fenntartható halászati partnerségi megállapodásokat – t</w:t>
      </w:r>
      <w:r>
        <w:rPr>
          <w:noProof/>
        </w:rPr>
        <w:t>art fenn, amelyek alapján erősítheti az együttműködést olyan tengerügyi kérdésekben, mint például a kék növekedés, a tenger- és partiövezet-gazdálkodás, a munkavállalói jogok és képesítések</w:t>
      </w:r>
      <w:r>
        <w:rPr>
          <w:rStyle w:val="FootnoteReference"/>
          <w:noProof/>
        </w:rPr>
        <w:footnoteReference w:id="16"/>
      </w:r>
      <w:r>
        <w:rPr>
          <w:noProof/>
        </w:rPr>
        <w:t xml:space="preserve">, az éghajlatváltozásnak az óceánokra gyakorolt hatásai, valamint </w:t>
      </w:r>
      <w:r>
        <w:rPr>
          <w:noProof/>
        </w:rPr>
        <w:t>a nemzetközi kötelezettségvállalások végrehajtásának támogatása.</w:t>
      </w:r>
    </w:p>
    <w:p w:rsidR="00D54ECC" w:rsidRDefault="009F60F6">
      <w:pPr>
        <w:pStyle w:val="ListBullet1"/>
        <w:spacing w:after="120"/>
        <w:rPr>
          <w:noProof/>
          <w:color w:val="000000" w:themeColor="text1"/>
        </w:rPr>
      </w:pPr>
      <w:r>
        <w:rPr>
          <w:noProof/>
        </w:rPr>
        <w:t xml:space="preserve">A kapacitásépítési lehetőségek erősítése a kiemelt területeken, mint például a Guineai-öbölben, az Atlanti-óceán déli részén, Dél-Kelet-Ázsiában és </w:t>
      </w:r>
      <w:r>
        <w:rPr>
          <w:noProof/>
          <w:color w:val="000000" w:themeColor="text1"/>
        </w:rPr>
        <w:t xml:space="preserve">a </w:t>
      </w:r>
      <w:r>
        <w:rPr>
          <w:rStyle w:val="None"/>
          <w:noProof/>
        </w:rPr>
        <w:t>fejlődő kis szigetállamokban</w:t>
      </w:r>
      <w:r>
        <w:rPr>
          <w:noProof/>
        </w:rPr>
        <w:t>, szintén e m</w:t>
      </w:r>
      <w:r>
        <w:rPr>
          <w:noProof/>
        </w:rPr>
        <w:t>egközelítés részét képezi</w:t>
      </w:r>
      <w:r>
        <w:rPr>
          <w:noProof/>
          <w:color w:val="000000" w:themeColor="text1"/>
        </w:rPr>
        <w:t>.</w:t>
      </w:r>
    </w:p>
    <w:p w:rsidR="00D54ECC" w:rsidRDefault="009F60F6">
      <w:pPr>
        <w:pStyle w:val="ListBullet1"/>
        <w:spacing w:after="120"/>
        <w:rPr>
          <w:noProof/>
          <w:color w:val="000000" w:themeColor="text1"/>
        </w:rPr>
      </w:pPr>
      <w:r>
        <w:rPr>
          <w:rStyle w:val="None"/>
          <w:noProof/>
          <w:color w:val="000000" w:themeColor="text1"/>
          <w:u w:color="FF0000"/>
        </w:rPr>
        <w:t xml:space="preserve">A </w:t>
      </w:r>
      <w:r>
        <w:rPr>
          <w:noProof/>
        </w:rPr>
        <w:t>Bizottság és a főképviselő erőforrásokat fog mozgósítani a fenntartható kék gazdaság megfelelőbb tervezésének támogatására, különösen az Unió a Mediterrán Térségért és a barcelonai egyezmény keretében.</w:t>
      </w:r>
      <w:r>
        <w:rPr>
          <w:noProof/>
          <w:color w:val="000000" w:themeColor="text1"/>
        </w:rPr>
        <w:t xml:space="preserve"> A Bizottság és a főképvis</w:t>
      </w:r>
      <w:r>
        <w:rPr>
          <w:noProof/>
          <w:color w:val="000000" w:themeColor="text1"/>
        </w:rPr>
        <w:t>elő az Unió a Mediterrán Térségért fórumán keresztül előmozdítja a regionális párbeszédet a kék gazdaságról, és támogatja az ennek keretében kölcsönösen elfogadott cselekvéseket, köztük a BlueMED kezdeményezésen keresztül a fokozottabb együttműködést a ten</w:t>
      </w:r>
      <w:r>
        <w:rPr>
          <w:noProof/>
          <w:color w:val="000000" w:themeColor="text1"/>
        </w:rPr>
        <w:t>gerkutatás és innováció tárgyában.</w:t>
      </w:r>
      <w:r>
        <w:rPr>
          <w:rStyle w:val="FootnoteReference"/>
          <w:i/>
          <w:noProof/>
          <w:color w:val="auto"/>
        </w:rPr>
        <w:t xml:space="preserve"> </w:t>
      </w:r>
    </w:p>
    <w:p w:rsidR="00D54ECC" w:rsidRDefault="009F60F6">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 xml:space="preserve">A </w:t>
      </w:r>
      <w:r>
        <w:rPr>
          <w:i/>
          <w:noProof/>
        </w:rPr>
        <w:t>Bizottság és a főképviselő</w:t>
      </w:r>
      <w:r>
        <w:rPr>
          <w:noProof/>
        </w:rPr>
        <w:t xml:space="preserve"> </w:t>
      </w:r>
      <w:r>
        <w:rPr>
          <w:rStyle w:val="None"/>
          <w:i/>
          <w:noProof/>
          <w:color w:val="auto"/>
          <w:u w:color="FF0000"/>
        </w:rPr>
        <w:t>a külső politikai keretet – a fejlesztési együttműködési kerettel együtt – a jobb óceánpolitikai irányítás és a kulcsfontosságú partnerekkel létrehozandó fenntartható kék gazdaságok előmozdít</w:t>
      </w:r>
      <w:r>
        <w:rPr>
          <w:rStyle w:val="None"/>
          <w:i/>
          <w:noProof/>
          <w:color w:val="auto"/>
          <w:u w:color="FF0000"/>
        </w:rPr>
        <w:t>ására és kapacitásépítésére használja fel – különösen a Csendes-óceánon, az Indiai-óceánon és Nyugat-Afrikában.</w:t>
      </w:r>
    </w:p>
    <w:p w:rsidR="00D54ECC" w:rsidRDefault="009F60F6">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 xml:space="preserve">A meglévő uniós fejlesztési együttműködésre építve a </w:t>
      </w:r>
      <w:r>
        <w:rPr>
          <w:i/>
          <w:noProof/>
        </w:rPr>
        <w:t xml:space="preserve">Bizottság és a főképviselő </w:t>
      </w:r>
      <w:r>
        <w:rPr>
          <w:rStyle w:val="None"/>
          <w:i/>
          <w:noProof/>
          <w:color w:val="auto"/>
          <w:u w:color="FF0000"/>
        </w:rPr>
        <w:t>megkezdi a tengerhajózási biztonság kapacitásépítését más ország</w:t>
      </w:r>
      <w:r>
        <w:rPr>
          <w:rStyle w:val="None"/>
          <w:i/>
          <w:noProof/>
          <w:color w:val="auto"/>
          <w:u w:color="FF0000"/>
        </w:rPr>
        <w:t>okkal és regionális szervezetekkel – különösen a Guineai-öbölben és az Indiai-óceánon.</w:t>
      </w:r>
    </w:p>
    <w:p w:rsidR="00D54ECC" w:rsidRDefault="009F60F6">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2017-ben a Bizottság és a főképviselő támogatja egy, a kék gazdaság fejlesztésére vonatkozó, tényadatokon alapuló, szilárd keret (Blue Econo</w:t>
      </w:r>
      <w:r>
        <w:rPr>
          <w:rStyle w:val="None"/>
          <w:i/>
          <w:noProof/>
        </w:rPr>
        <w:t>my Development Framework) kid</w:t>
      </w:r>
      <w:r>
        <w:rPr>
          <w:rStyle w:val="None"/>
          <w:i/>
          <w:noProof/>
        </w:rPr>
        <w:t>olgozását.</w:t>
      </w:r>
    </w:p>
    <w:p w:rsidR="00D54ECC" w:rsidRDefault="009F60F6">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A Bizottság és a főképviselő feltárja, hogyan lehetne – a fenntartható fejlesztési célok végrehajtásán keresztül – javítani az óceánpolitikai irányítást. Ide tartozik például a kapacitásépítési lehetőségek erősítése a kiemelt területeken, példáu</w:t>
      </w:r>
      <w:r>
        <w:rPr>
          <w:rStyle w:val="None"/>
          <w:i/>
          <w:noProof/>
          <w:color w:val="auto"/>
        </w:rPr>
        <w:t xml:space="preserve">l a Guineai-öbölben és Dél-Kelet-Ázsiában. </w:t>
      </w:r>
    </w:p>
    <w:p w:rsidR="00D54ECC" w:rsidRDefault="009F60F6">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rPr>
        <w:t>A Bizottság technikai együttműködést fog kialakítani a Nemzetközi Tengerészeti Szervezettel (IMO) az IMO jogi eszközeinek végrehajtása és érvényesítése érdekében.</w:t>
      </w:r>
    </w:p>
    <w:p w:rsidR="00D54ECC" w:rsidRDefault="009F60F6">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A Bizottság az Unió a Mediterrán Térségért és más</w:t>
      </w:r>
      <w:r>
        <w:rPr>
          <w:rStyle w:val="None"/>
          <w:i/>
          <w:noProof/>
          <w:color w:val="auto"/>
        </w:rPr>
        <w:t xml:space="preserve"> szervezetek, például a barcelonai egyezmény keretében erőforrásokat fog mozgósítani a Földközi-tenger térségében a fenntartható kék gazdaság fejlesztésével kapcsolatos kapacitásépítés támogatása érdekében</w:t>
      </w:r>
      <w:r>
        <w:rPr>
          <w:i/>
          <w:noProof/>
          <w:color w:val="000000" w:themeColor="text1"/>
        </w:rPr>
        <w:t>.</w:t>
      </w:r>
    </w:p>
    <w:p w:rsidR="00D54ECC" w:rsidRDefault="00D54ECC">
      <w:pPr>
        <w:pStyle w:val="Text2"/>
        <w:spacing w:after="120"/>
        <w:ind w:left="1134" w:hanging="1134"/>
        <w:rPr>
          <w:b/>
          <w:bCs/>
          <w:noProof/>
          <w:color w:val="000000" w:themeColor="text1"/>
        </w:rPr>
      </w:pPr>
    </w:p>
    <w:p w:rsidR="00D54ECC" w:rsidRDefault="009F60F6">
      <w:pPr>
        <w:pStyle w:val="Text2"/>
        <w:spacing w:after="120"/>
        <w:ind w:left="1134" w:hanging="1134"/>
        <w:rPr>
          <w:noProof/>
          <w:color w:val="000000" w:themeColor="text1"/>
        </w:rPr>
      </w:pPr>
      <w:r>
        <w:rPr>
          <w:b/>
          <w:noProof/>
          <w:color w:val="000000" w:themeColor="text1"/>
        </w:rPr>
        <w:t xml:space="preserve">5. intézkedés: </w:t>
      </w:r>
      <w:r>
        <w:rPr>
          <w:noProof/>
        </w:rPr>
        <w:tab/>
      </w:r>
      <w:r>
        <w:rPr>
          <w:b/>
          <w:noProof/>
          <w:color w:val="000000" w:themeColor="text1"/>
        </w:rPr>
        <w:t xml:space="preserve">A tengerek és óceánok </w:t>
      </w:r>
      <w:r>
        <w:rPr>
          <w:b/>
          <w:noProof/>
          <w:color w:val="000000" w:themeColor="text1"/>
        </w:rPr>
        <w:t>biztonságának és védelmének biztosítása</w:t>
      </w:r>
    </w:p>
    <w:p w:rsidR="00D54ECC" w:rsidRDefault="00D54ECC">
      <w:pPr>
        <w:pStyle w:val="Body"/>
        <w:spacing w:after="120"/>
        <w:rPr>
          <w:noProof/>
        </w:rPr>
      </w:pPr>
    </w:p>
    <w:p w:rsidR="00D54ECC" w:rsidRDefault="009F60F6">
      <w:pPr>
        <w:pStyle w:val="Body"/>
        <w:spacing w:after="120"/>
        <w:rPr>
          <w:rFonts w:eastAsia="Times New Roman" w:cs="Times New Roman"/>
          <w:noProof/>
        </w:rPr>
      </w:pPr>
      <w:r>
        <w:rPr>
          <w:noProof/>
        </w:rPr>
        <w:t>Az Európai Unió tengerhajózási biztonsági stratégiája meghatározza a biztonsági kihívásokat, közéjük sorolva a kalóztevékenységet, az emberkereskedelmet és az ember-, fegyver- és kábítószer-csempészetet, és hangsúly</w:t>
      </w:r>
      <w:r>
        <w:rPr>
          <w:noProof/>
        </w:rPr>
        <w:t>ozza, hogy elő kell mozdítani a polgári és katonai hatóságok közötti együttműködést és információ-megosztást. A globális megoldások keresése közepette szélesebb körű nemzetközi vitára van szükség olyan fórumokon, mint az ENSZ, a G7 és a G20, és testre szab</w:t>
      </w:r>
      <w:r>
        <w:rPr>
          <w:noProof/>
        </w:rPr>
        <w:t xml:space="preserve">ott partnerségek szükségesek más országok és regionális testületek (pl. az Afrikai Unió és az ASEAN) részvételével. </w:t>
      </w:r>
    </w:p>
    <w:p w:rsidR="00D54ECC" w:rsidRDefault="009F60F6">
      <w:pPr>
        <w:pStyle w:val="Body"/>
        <w:spacing w:after="120"/>
        <w:rPr>
          <w:noProof/>
        </w:rPr>
      </w:pPr>
      <w:r>
        <w:rPr>
          <w:noProof/>
        </w:rPr>
        <w:t>A Bizottság és a főképviselő a tagállamokkal együttműködve dolgozik – az Európai Unión kívüli országokkal és regionális szervezetekkel két-</w:t>
      </w:r>
      <w:r>
        <w:rPr>
          <w:noProof/>
        </w:rPr>
        <w:t xml:space="preserve"> és többoldalú alapon – a tengerhajózási biztonságot érő fenyegetések és kockázatok mérséklésén és felszámolásán az Európai Unió tengerhajózási biztonsági stratégiája és regionális stratégiák (pl. a Guineai-öbölre, Afrika szarvára vonatkozó stratégiák) ker</w:t>
      </w:r>
      <w:r>
        <w:rPr>
          <w:noProof/>
        </w:rPr>
        <w:t>etében, elsősorban a kiemelt területekkel kapcsolatos munka felgyorsításával</w:t>
      </w:r>
      <w:r>
        <w:rPr>
          <w:rStyle w:val="FootnoteReference"/>
          <w:noProof/>
        </w:rPr>
        <w:footnoteReference w:id="17"/>
      </w:r>
      <w:r>
        <w:rPr>
          <w:noProof/>
        </w:rPr>
        <w:t>.</w:t>
      </w:r>
    </w:p>
    <w:p w:rsidR="00D54ECC" w:rsidRDefault="009F60F6">
      <w:pPr>
        <w:pStyle w:val="Body"/>
        <w:spacing w:after="120"/>
        <w:rPr>
          <w:noProof/>
        </w:rPr>
      </w:pPr>
      <w:r>
        <w:rPr>
          <w:noProof/>
        </w:rPr>
        <w:t>Az új Európai Határ- és Parti Őrségről szóló rendelet</w:t>
      </w:r>
      <w:r>
        <w:rPr>
          <w:rStyle w:val="FootnoteReference"/>
          <w:noProof/>
        </w:rPr>
        <w:footnoteReference w:id="18"/>
      </w:r>
      <w:r>
        <w:rPr>
          <w:noProof/>
        </w:rPr>
        <w:t>, valamint az Európai Tengerészeti Biztonsági Ügynökségre (EMSA) és az Európai Halászati Ellenőrző Hivatalra (EFCA) vonatko</w:t>
      </w:r>
      <w:r>
        <w:rPr>
          <w:noProof/>
        </w:rPr>
        <w:t>zó rendeletek biztosítják a parti őrség feladatát ellátó tagállami hatóságokat támogató uniós ügynökségek közötti, valamint az európai tengeri medencékkel határos nem uniós országokkal való fokozottabb együttműködés alapját. Ez a munka a nemzeti parti őrsé</w:t>
      </w:r>
      <w:r>
        <w:rPr>
          <w:noProof/>
        </w:rPr>
        <w:t>gek közötti jobb együttműködésre is hangsúlyt fektet, többcélú kampányokat folytatva például a MARPOL-egyezmény alapján a jogellenes kibocsátás felderítése tárgyában</w:t>
      </w:r>
      <w:r>
        <w:rPr>
          <w:rStyle w:val="FootnoteReference"/>
          <w:noProof/>
        </w:rPr>
        <w:footnoteReference w:id="19"/>
      </w:r>
      <w:r>
        <w:rPr>
          <w:noProof/>
        </w:rPr>
        <w:t>. Az együttműködés részeként a Frontex, az EMSA és az EFCA többcélú műveleteket végeznek –</w:t>
      </w:r>
      <w:r>
        <w:rPr>
          <w:noProof/>
        </w:rPr>
        <w:t xml:space="preserve"> többek között halászati, határ- és migráció-ellenőrzési műveleteket – a Földközi-tenger középső részén.</w:t>
      </w:r>
      <w:r>
        <w:rPr>
          <w:noProof/>
          <w:color w:val="1F497D"/>
        </w:rPr>
        <w:t xml:space="preserve"> </w:t>
      </w:r>
      <w:r>
        <w:rPr>
          <w:noProof/>
        </w:rPr>
        <w:t>E tevékenységek kiegészítéseként az uniós katonai erők az embercsempészet elleni küzdelemben, a hajók védelmezésében, a kalóztevékenység elleni küzdele</w:t>
      </w:r>
      <w:r>
        <w:rPr>
          <w:noProof/>
        </w:rPr>
        <w:t>mben és a halászati tevékenység nyomon követésében is részt vesznek a SOPHIA és ATALANTA műveleten keresztül, a NATO-val is együttműködve feladataik teljesítésében.</w:t>
      </w:r>
    </w:p>
    <w:p w:rsidR="00D54ECC" w:rsidRDefault="009F60F6">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 xml:space="preserve">A Bizottság és a főképviselő a tagállamokkal együttműködve, az Európai Unió tengerhajózási </w:t>
      </w:r>
      <w:r>
        <w:rPr>
          <w:i/>
          <w:noProof/>
        </w:rPr>
        <w:t>biztonsági stratégiájára építve dolgozik más országokkal együtt a tengerhajózási biztonságot érő fenyegetések és kockázatok mérséklésén és felszámolásán.</w:t>
      </w:r>
    </w:p>
    <w:p w:rsidR="00D54ECC" w:rsidRDefault="009F60F6">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A Bizottság és a főképviselő munkája arra irányul, hogy az EMSA bevonásával fokozza az ágazatközi teng</w:t>
      </w:r>
      <w:r>
        <w:rPr>
          <w:i/>
          <w:noProof/>
        </w:rPr>
        <w:t xml:space="preserve">erfelügyeleti információk tagállamok közötti és a nem uniós országokkal való cseréjét, támogatva többek között a közös tengerfelügyeleti információmegosztási környezet (CESA) végrehajtását, ily módon megkönnyítve a nemzetközi beavatkozást. </w:t>
      </w:r>
    </w:p>
    <w:p w:rsidR="00D54ECC" w:rsidRDefault="009F60F6">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A Bizottság fel</w:t>
      </w:r>
      <w:r>
        <w:rPr>
          <w:i/>
          <w:noProof/>
        </w:rPr>
        <w:t>méri, hogyan kellene előmozdítani a tengerfelügyeleti környezet – mint például a CISE – interoperabilitását.</w:t>
      </w:r>
    </w:p>
    <w:p w:rsidR="00D54ECC" w:rsidRDefault="009F60F6">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A műholdas kommunikáció és adatelemzés terén történt technológiai fejlesztések,valamint a tengeri tevékenységek nyomon követését szolgáló meglévő r</w:t>
      </w:r>
      <w:r>
        <w:rPr>
          <w:i/>
          <w:noProof/>
        </w:rPr>
        <w:t>endszerek alapján a Bizottság – a főképviselővel együtt – kísérleti projektet indít a jogellenes halászat világszerte történő nyomon követésére; e munka középpontjában a tengeri helyzetismeret szélesítése és a többi ágazatba való betekintés bővítésére irán</w:t>
      </w:r>
      <w:r>
        <w:rPr>
          <w:i/>
          <w:noProof/>
        </w:rPr>
        <w:t xml:space="preserve">yuló lehetőségek állnak.  </w:t>
      </w:r>
    </w:p>
    <w:p w:rsidR="00D54ECC" w:rsidRDefault="009F60F6">
      <w:pPr>
        <w:pStyle w:val="NoSpacing"/>
        <w:tabs>
          <w:tab w:val="clear" w:pos="4678"/>
          <w:tab w:val="left" w:pos="1421"/>
        </w:tabs>
        <w:spacing w:after="120"/>
        <w:rPr>
          <w:rStyle w:val="None"/>
          <w:rFonts w:cs="Times New Roman"/>
          <w:noProof/>
          <w:color w:val="000000" w:themeColor="text1"/>
        </w:rPr>
      </w:pPr>
      <w:r>
        <w:rPr>
          <w:noProof/>
        </w:rPr>
        <w:tab/>
      </w:r>
    </w:p>
    <w:p w:rsidR="00D54ECC" w:rsidRDefault="009F60F6">
      <w:pPr>
        <w:pStyle w:val="Heading"/>
        <w:spacing w:after="120"/>
        <w:rPr>
          <w:noProof/>
        </w:rPr>
      </w:pPr>
      <w:r>
        <w:rPr>
          <w:rStyle w:val="None"/>
          <w:noProof/>
          <w:color w:val="000000" w:themeColor="text1"/>
        </w:rPr>
        <w:t>3.</w:t>
      </w:r>
      <w:r>
        <w:rPr>
          <w:noProof/>
        </w:rPr>
        <w:tab/>
        <w:t xml:space="preserve">Az óceánok és tengerek terhelésének csökkentése, és a fenntartható kék gazdaság feltételeinek megteremtése </w:t>
      </w:r>
    </w:p>
    <w:p w:rsidR="00D54ECC" w:rsidRDefault="00D54ECC">
      <w:pPr>
        <w:pStyle w:val="Text2"/>
        <w:spacing w:after="120"/>
        <w:ind w:left="0"/>
        <w:rPr>
          <w:noProof/>
          <w:color w:val="000000" w:themeColor="text1"/>
        </w:rPr>
      </w:pPr>
    </w:p>
    <w:p w:rsidR="00D54ECC" w:rsidRDefault="009F60F6">
      <w:pPr>
        <w:pStyle w:val="Text2"/>
        <w:spacing w:after="120"/>
        <w:ind w:left="0"/>
        <w:rPr>
          <w:noProof/>
          <w:color w:val="000000" w:themeColor="text1"/>
        </w:rPr>
      </w:pPr>
      <w:r>
        <w:rPr>
          <w:noProof/>
          <w:color w:val="000000" w:themeColor="text1"/>
        </w:rPr>
        <w:t>Ahhoz, hogy az egészséges óceánokat mint a Föld egyik életfenntartó rendszerét és erőforrását megóvhassuk, az óceánpolitikai irányításnak hatékonyabbá kell válnia. Az uniós fellépés középpontjába az éghajlatváltozást és annak hatását, a tengeri szennyezést</w:t>
      </w:r>
      <w:r>
        <w:rPr>
          <w:noProof/>
          <w:color w:val="000000" w:themeColor="text1"/>
        </w:rPr>
        <w:t xml:space="preserve"> és eutrofizációt, a tengeri ökoszisztémák és a biológiai sokféleség megóvását, megőrzését és helyreállítását, valamint a tengeri erőforrások fenntartható hasznosítását kell állítani. </w:t>
      </w:r>
    </w:p>
    <w:p w:rsidR="00D54ECC" w:rsidRDefault="00D54ECC">
      <w:pPr>
        <w:pStyle w:val="Text2"/>
        <w:keepNext/>
        <w:spacing w:after="120"/>
        <w:ind w:left="1134" w:hanging="1134"/>
        <w:rPr>
          <w:rStyle w:val="None"/>
          <w:rFonts w:cs="Times New Roman"/>
          <w:b/>
          <w:bCs/>
          <w:noProof/>
          <w:color w:val="000000" w:themeColor="text1"/>
        </w:rPr>
      </w:pPr>
    </w:p>
    <w:p w:rsidR="00D54ECC" w:rsidRDefault="009F60F6">
      <w:pPr>
        <w:pStyle w:val="Text2"/>
        <w:keepNext/>
        <w:spacing w:after="120"/>
        <w:ind w:left="1134" w:hanging="1134"/>
        <w:rPr>
          <w:strike/>
          <w:noProof/>
          <w:color w:val="000000" w:themeColor="text1"/>
        </w:rPr>
      </w:pPr>
      <w:r>
        <w:rPr>
          <w:rStyle w:val="None"/>
          <w:b/>
          <w:noProof/>
          <w:color w:val="000000" w:themeColor="text1"/>
        </w:rPr>
        <w:t xml:space="preserve">6. intézkedés: </w:t>
      </w:r>
      <w:r>
        <w:rPr>
          <w:noProof/>
        </w:rPr>
        <w:tab/>
      </w:r>
      <w:r>
        <w:rPr>
          <w:rStyle w:val="None"/>
          <w:b/>
          <w:noProof/>
          <w:color w:val="000000" w:themeColor="text1"/>
        </w:rPr>
        <w:t xml:space="preserve">A COP21-megállapodás végrehajtása és az </w:t>
      </w:r>
      <w:r>
        <w:rPr>
          <w:rStyle w:val="None"/>
          <w:b/>
          <w:noProof/>
          <w:color w:val="000000" w:themeColor="text1"/>
        </w:rPr>
        <w:t>éghajlatváltozás óceánokra, tengerpartokra és ökoszisztémákra gyakorolt káros hatásának enyhítése</w:t>
      </w:r>
    </w:p>
    <w:p w:rsidR="00D54ECC" w:rsidRDefault="00D54ECC">
      <w:pPr>
        <w:pStyle w:val="Text2"/>
        <w:spacing w:after="120"/>
        <w:ind w:left="0"/>
        <w:rPr>
          <w:noProof/>
          <w:color w:val="000000" w:themeColor="text1"/>
        </w:rPr>
      </w:pPr>
    </w:p>
    <w:p w:rsidR="00D54ECC" w:rsidRDefault="009F60F6">
      <w:pPr>
        <w:pStyle w:val="Text2"/>
        <w:spacing w:after="120"/>
        <w:ind w:left="0"/>
        <w:rPr>
          <w:noProof/>
          <w:color w:val="000000" w:themeColor="text1"/>
        </w:rPr>
      </w:pPr>
      <w:r>
        <w:rPr>
          <w:noProof/>
          <w:color w:val="000000" w:themeColor="text1"/>
        </w:rPr>
        <w:t>A Bizottság arra törekszik, hogy megvédje a tengeri és parti ökoszisztémák szerepét az éghajlatváltozás hatásainak enyhítésében. A főképviselővel együtt szél</w:t>
      </w:r>
      <w:r>
        <w:rPr>
          <w:noProof/>
          <w:color w:val="000000" w:themeColor="text1"/>
        </w:rPr>
        <w:t>es körű politikai konszenzust kíván elérni azzal kapcsolatban, hogy – az éghajlatváltozással kapcsolatos tárgyalások és a vonatkozó környezetvédelmi nemzetközi szerződések keretében uniós és nemzetközi politikai szereplőkkel együttműködve – az óceánok term</w:t>
      </w:r>
      <w:r>
        <w:rPr>
          <w:noProof/>
          <w:color w:val="000000" w:themeColor="text1"/>
        </w:rPr>
        <w:t>észetes „kék karbon” funkcióját meg kell őrizni.</w:t>
      </w:r>
    </w:p>
    <w:p w:rsidR="00D54ECC" w:rsidRDefault="009F60F6">
      <w:pPr>
        <w:pStyle w:val="Text2"/>
        <w:spacing w:after="120"/>
        <w:ind w:left="0"/>
        <w:rPr>
          <w:rStyle w:val="None"/>
          <w:rFonts w:cs="Times New Roman"/>
          <w:iCs/>
          <w:noProof/>
          <w:color w:val="000000" w:themeColor="text1"/>
        </w:rPr>
      </w:pPr>
      <w:r>
        <w:rPr>
          <w:noProof/>
          <w:color w:val="000000" w:themeColor="text1"/>
        </w:rPr>
        <w:t>A Bizottság törekszik az óceánokkal kapcsolatos uniós szintű fellépés erősítésére, amely az éghajlatváltozásra vonatkozó Párizsi Megállapodás végrehajtására – például a hajózási ágazat kibocsátásának csökken</w:t>
      </w:r>
      <w:r>
        <w:rPr>
          <w:noProof/>
          <w:color w:val="000000" w:themeColor="text1"/>
        </w:rPr>
        <w:t>tésére, a megújuló energiaforrások jövőbeli fejlesztésére – irányul. A főképviselő részvétele mellett a tagállamokkal és a nemzetközi partnerekkel együtt törekszik arra, hogy előmozdítsa, hogy a szóban forgó fellépés bekerüljön a Párizsi Megállapodás szeri</w:t>
      </w:r>
      <w:r>
        <w:rPr>
          <w:noProof/>
          <w:color w:val="000000" w:themeColor="text1"/>
        </w:rPr>
        <w:t>nti kötelezettségvállalásokat nyomon követő nemzeti eljárásokba. Ezenfelül a Bizottság támogatja nemzetközileg elfogadott cselekvési terv készítését, amely többek között az óceán felmelegedése, a tengerszint-emelkedés és a savasodás következményeivel fogla</w:t>
      </w:r>
      <w:r>
        <w:rPr>
          <w:noProof/>
          <w:color w:val="000000" w:themeColor="text1"/>
        </w:rPr>
        <w:t>lkozik</w:t>
      </w:r>
      <w:r>
        <w:rPr>
          <w:rStyle w:val="None"/>
          <w:noProof/>
          <w:color w:val="000000" w:themeColor="text1"/>
        </w:rPr>
        <w:t xml:space="preserve">. Ez a munka az </w:t>
      </w:r>
      <w:r>
        <w:rPr>
          <w:noProof/>
          <w:color w:val="000000" w:themeColor="text1"/>
        </w:rPr>
        <w:t>Éghajlat-változási Kormányközi Testület</w:t>
      </w:r>
      <w:r>
        <w:rPr>
          <w:noProof/>
        </w:rPr>
        <w:t xml:space="preserve"> ötödik</w:t>
      </w:r>
      <w:r>
        <w:rPr>
          <w:rStyle w:val="None"/>
          <w:noProof/>
          <w:color w:val="000000" w:themeColor="text1"/>
        </w:rPr>
        <w:t xml:space="preserve"> értékelő jelentésére és az éghajlatváltozásra, az óceánokra és a krioszférára vonatkozó jövőbeli különjelentésére épül.</w:t>
      </w:r>
    </w:p>
    <w:p w:rsidR="00D54ECC" w:rsidRDefault="009F60F6">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Bizottság felgyorsítja a nemzetközi partnerekkel folytatott, a te</w:t>
      </w:r>
      <w:r>
        <w:rPr>
          <w:i/>
          <w:noProof/>
          <w:color w:val="000000" w:themeColor="text1"/>
        </w:rPr>
        <w:t xml:space="preserve">ngeri és parti ökoszisztémák védelmét és helyreállítását célzó együttes fellépésről való megállapodásra irányuló munkát. </w:t>
      </w:r>
    </w:p>
    <w:p w:rsidR="00D54ECC" w:rsidRDefault="009F60F6">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2020-ra a Bizottság a köz- és magánszféra közötti nemzetközi partnerségeket indít, amelyek célja a „zöld/kék infrastruktúra” helyreáll</w:t>
      </w:r>
      <w:r>
        <w:rPr>
          <w:i/>
          <w:noProof/>
          <w:color w:val="000000" w:themeColor="text1"/>
        </w:rPr>
        <w:t>ítása, kiigazítása vagy kialakítása.</w:t>
      </w:r>
    </w:p>
    <w:p w:rsidR="00D54ECC" w:rsidRDefault="009F60F6">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Bizottság a főképviselő részvétele mellett a tagállamokkal és a nemzetközi partnerekkel együtt törekszik arra, hogy előmozdítsa, hogy az óceánokkal kapcsolatos fellépés bekerüljön a Párizsi Megállapodás keretében tett</w:t>
      </w:r>
      <w:r>
        <w:rPr>
          <w:i/>
          <w:noProof/>
          <w:color w:val="000000" w:themeColor="text1"/>
        </w:rPr>
        <w:t xml:space="preserve"> kötelezettségvállalásokat nyomon követő nemzeti eljárásokba. Az aktuális állás bemutatható a Párizsi Megállapodásban meghatározott globális helyzetfelmérésben. </w:t>
      </w:r>
    </w:p>
    <w:p w:rsidR="00D54ECC" w:rsidRDefault="009F60F6">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rPr>
        <w:t>A Bizottság nemzetközi fellépést javasol, amely többek között az óceánok felmelegedése, a teng</w:t>
      </w:r>
      <w:r>
        <w:rPr>
          <w:i/>
          <w:noProof/>
        </w:rPr>
        <w:t>erszint-emelkedés és a savasodás következményeinek nyomon követésére irányul.</w:t>
      </w:r>
      <w:r>
        <w:rPr>
          <w:i/>
          <w:noProof/>
          <w:color w:val="auto"/>
        </w:rPr>
        <w:t xml:space="preserve"> A nemzetközi partnerekkel való kapcsolattartáshoz a zöld diplomáciai hálózatot használják majd.</w:t>
      </w:r>
    </w:p>
    <w:p w:rsidR="00D54ECC" w:rsidRDefault="00D54ECC">
      <w:pPr>
        <w:pStyle w:val="Text2"/>
        <w:keepNext/>
        <w:spacing w:after="120"/>
        <w:ind w:left="1134" w:hanging="1134"/>
        <w:rPr>
          <w:rStyle w:val="None"/>
          <w:rFonts w:cs="Times New Roman"/>
          <w:b/>
          <w:bCs/>
          <w:noProof/>
          <w:color w:val="000000" w:themeColor="text1"/>
        </w:rPr>
      </w:pPr>
    </w:p>
    <w:p w:rsidR="00D54ECC" w:rsidRDefault="009F60F6">
      <w:pPr>
        <w:pStyle w:val="Text2"/>
        <w:keepNext/>
        <w:spacing w:after="120"/>
        <w:ind w:left="1134" w:hanging="1134"/>
        <w:rPr>
          <w:rStyle w:val="None"/>
          <w:rFonts w:cs="Times New Roman"/>
          <w:noProof/>
          <w:color w:val="auto"/>
        </w:rPr>
      </w:pPr>
      <w:r>
        <w:rPr>
          <w:rStyle w:val="None"/>
          <w:b/>
          <w:noProof/>
          <w:color w:val="000000" w:themeColor="text1"/>
        </w:rPr>
        <w:t xml:space="preserve">7. intézkedés: </w:t>
      </w:r>
      <w:r>
        <w:rPr>
          <w:noProof/>
        </w:rPr>
        <w:tab/>
      </w:r>
      <w:r>
        <w:rPr>
          <w:rStyle w:val="None"/>
          <w:b/>
          <w:noProof/>
          <w:color w:val="000000" w:themeColor="text1"/>
        </w:rPr>
        <w:t>A jogellenes halászat elleni küzdelem és az óceánban található él</w:t>
      </w:r>
      <w:r>
        <w:rPr>
          <w:rStyle w:val="None"/>
          <w:b/>
          <w:noProof/>
          <w:color w:val="000000" w:themeColor="text1"/>
        </w:rPr>
        <w:t xml:space="preserve">elmiszer-forrásokkal való fenntartható gazdálkodás erősítése világszerte </w:t>
      </w:r>
    </w:p>
    <w:p w:rsidR="00D54ECC" w:rsidRDefault="00D54ECC">
      <w:pPr>
        <w:pStyle w:val="ListDash"/>
        <w:spacing w:after="120"/>
        <w:rPr>
          <w:rStyle w:val="None"/>
          <w:rFonts w:cs="Times New Roman"/>
          <w:noProof/>
          <w:color w:val="000000" w:themeColor="text1"/>
        </w:rPr>
      </w:pPr>
    </w:p>
    <w:p w:rsidR="00D54ECC" w:rsidRDefault="009F60F6">
      <w:pPr>
        <w:pStyle w:val="ListDash"/>
        <w:spacing w:after="120"/>
        <w:rPr>
          <w:rStyle w:val="None"/>
          <w:rFonts w:cs="Times New Roman"/>
          <w:noProof/>
          <w:color w:val="000000" w:themeColor="text1"/>
        </w:rPr>
      </w:pPr>
      <w:r>
        <w:rPr>
          <w:rStyle w:val="None"/>
          <w:noProof/>
          <w:color w:val="000000" w:themeColor="text1"/>
        </w:rPr>
        <w:t>A jogellenes, be nem jelentett és szabályozatlan halászat elleni világméretű küzdelem az EU egyik prioritása.</w:t>
      </w:r>
      <w:r>
        <w:rPr>
          <w:rStyle w:val="FootnoteReference"/>
          <w:noProof/>
          <w:color w:val="000000" w:themeColor="text1"/>
        </w:rPr>
        <w:t xml:space="preserve"> </w:t>
      </w:r>
      <w:r>
        <w:rPr>
          <w:noProof/>
          <w:color w:val="000000" w:themeColor="text1"/>
        </w:rPr>
        <w:t xml:space="preserve">Világszerte a halfogások legalább 15 %-a, ami évente 8–19 milliárd EUR </w:t>
      </w:r>
      <w:r>
        <w:rPr>
          <w:noProof/>
          <w:color w:val="000000" w:themeColor="text1"/>
        </w:rPr>
        <w:t xml:space="preserve">értéket képvisel, jogellenes. </w:t>
      </w:r>
      <w:r>
        <w:rPr>
          <w:rStyle w:val="None"/>
          <w:noProof/>
          <w:color w:val="000000" w:themeColor="text1"/>
        </w:rPr>
        <w:t>Az EU együttműködik más országokkal annak érdekében, hogy kezdeményezzék halászati gazdálkodási rendszereik strukturális reformját. A cél e fellépés megerősítése a következő 5 évben. A Bizottság különösen a multilaterális fell</w:t>
      </w:r>
      <w:r>
        <w:rPr>
          <w:rStyle w:val="None"/>
          <w:noProof/>
          <w:color w:val="000000" w:themeColor="text1"/>
        </w:rPr>
        <w:t xml:space="preserve">épés erősítésére törekszik a jogellenes, be nem jelentett és szabályozatlan halászat megfékezésével kapcsolatban, amit a jogellenes gyakorlatot folytató hajók és személyek nyomon követését és azonosítását lehetővé tevő eszközök megerősítésével, valamint a </w:t>
      </w:r>
      <w:r>
        <w:rPr>
          <w:rStyle w:val="None"/>
          <w:noProof/>
          <w:color w:val="000000" w:themeColor="text1"/>
        </w:rPr>
        <w:t>legfontosabb nemzetközi ügynökségek, mint például az Interpol szerepének növelésével kíván elérni.</w:t>
      </w:r>
    </w:p>
    <w:p w:rsidR="00D54ECC" w:rsidRDefault="009F60F6">
      <w:pPr>
        <w:pStyle w:val="ListDash"/>
        <w:spacing w:after="120"/>
        <w:rPr>
          <w:rStyle w:val="None"/>
          <w:rFonts w:cs="Times New Roman"/>
          <w:noProof/>
          <w:color w:val="auto"/>
        </w:rPr>
      </w:pPr>
      <w:r>
        <w:rPr>
          <w:rStyle w:val="None"/>
          <w:noProof/>
          <w:color w:val="000000" w:themeColor="text1"/>
        </w:rPr>
        <w:t xml:space="preserve">Az EU a nemzetközi partnerekkel együtt törekszik arra, hogy támogassa a jogellenes, be nem jelentett és szabályozatlan halászat kezelését szolgáló technikai </w:t>
      </w:r>
      <w:r>
        <w:rPr>
          <w:rStyle w:val="None"/>
          <w:noProof/>
          <w:color w:val="000000" w:themeColor="text1"/>
        </w:rPr>
        <w:t>és igazgatási kapacitás kiépítését, előmozdítsa az ügynökségek közötti együttműködést és felmérje e gyakorlatok negatív társadalmi következményeit.</w:t>
      </w:r>
    </w:p>
    <w:p w:rsidR="00D54ECC" w:rsidRDefault="009F60F6">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A Bizottság a jelenlegi rendszerek javításával és azzal erősíti a jogellenes, be nem jelentett és </w:t>
      </w:r>
      <w:r>
        <w:rPr>
          <w:i/>
          <w:noProof/>
          <w:color w:val="auto"/>
        </w:rPr>
        <w:t>szabályozatlan halászattal kapcsolatos fellépést, hogy támogatja a tagállamokat – elektronikus eszközök fejlesztése révén – hatékony kontrollok biztosításában.</w:t>
      </w:r>
    </w:p>
    <w:p w:rsidR="00D54ECC" w:rsidRDefault="009F60F6">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A Bizottság a főképviselő részvétele mellett együttműködik harmadik országokkal többek között a </w:t>
      </w:r>
      <w:r>
        <w:rPr>
          <w:i/>
          <w:noProof/>
          <w:color w:val="auto"/>
        </w:rPr>
        <w:t xml:space="preserve">kapacitásépítéssel és az Európai Halászati Ellenőrző Hivatallal való partnerséggel kapcsolatban, a kikötő szerinti államok intézkedéseiről szóló megállapodás végrehajtását is beleértve. </w:t>
      </w:r>
    </w:p>
    <w:p w:rsidR="00D54ECC" w:rsidRDefault="009F60F6">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Bizottság és a főképviselő a rendelkezésre álló uniós fejlesztési f</w:t>
      </w:r>
      <w:r>
        <w:rPr>
          <w:i/>
          <w:noProof/>
          <w:color w:val="auto"/>
        </w:rPr>
        <w:t>orrások felhasználásával támogatja azokat a fellépéseket, amelyek hozzájárulnak a jogellenes, be nem jelentett és szabályozatlan halászat elleni küzdelemhez.</w:t>
      </w:r>
    </w:p>
    <w:p w:rsidR="00D54ECC" w:rsidRDefault="009F60F6">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Bizottság kétoldalú párbeszédeken és a jogellenes, be nem jelentett és szabályozatlan halászatró</w:t>
      </w:r>
      <w:r>
        <w:rPr>
          <w:i/>
          <w:noProof/>
          <w:color w:val="auto"/>
        </w:rPr>
        <w:t xml:space="preserve">l szóló rendelet szerinti hivatalos eljárásokon (előzetes azonosítási, azonosítási és listára vételi eljárás) keresztül együttműködik a nem uniós országokkal. </w:t>
      </w:r>
    </w:p>
    <w:p w:rsidR="00D54ECC" w:rsidRDefault="009F60F6">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Bizottság és a főképviselő kétoldalú párbeszédek során, valamint regionális és nemzetközi fóru</w:t>
      </w:r>
      <w:r>
        <w:rPr>
          <w:i/>
          <w:noProof/>
          <w:color w:val="auto"/>
        </w:rPr>
        <w:t>mokon foglalkozik a jogellenes, be nem jelentett és szabályozatlan halászattal kapcsolatos kihívásokkal, köztük a kényszermunkával és más, emberi jogokat sértő munkavállalási formákkal.</w:t>
      </w:r>
    </w:p>
    <w:p w:rsidR="00D54ECC" w:rsidRDefault="009F60F6">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Az EU előmozdítja a multilaterális fellépést, beleértve a következőket</w:t>
      </w:r>
      <w:r>
        <w:rPr>
          <w:i/>
          <w:noProof/>
          <w:color w:val="auto"/>
        </w:rPr>
        <w:t>:</w:t>
      </w:r>
    </w:p>
    <w:p w:rsidR="00D54ECC" w:rsidRDefault="009F60F6">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globális flottanyilvántartás létrehozása;</w:t>
      </w:r>
    </w:p>
    <w:p w:rsidR="00D54ECC" w:rsidRDefault="009F60F6">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egyedi hajóazonosító (IMO-szám) kiosztása a kereskedelmi célú halászhajóknak;</w:t>
      </w:r>
    </w:p>
    <w:p w:rsidR="00D54ECC" w:rsidRDefault="009F60F6">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 xml:space="preserve">iránymutatás elfogadása a fogási dokumentációs rendszerek kialakítására és megvalósítására vonatkozóan (globális fogási tanúsítvány); </w:t>
      </w:r>
      <w:r>
        <w:rPr>
          <w:i/>
          <w:noProof/>
          <w:color w:val="auto"/>
        </w:rPr>
        <w:t>és</w:t>
      </w:r>
    </w:p>
    <w:p w:rsidR="00D54ECC" w:rsidRDefault="009F60F6">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az Interpol szerepének erősítése a jogellenes, be nem jelentett és szabályozatlan halászat elleni küzdelem terén.</w:t>
      </w:r>
    </w:p>
    <w:p w:rsidR="00D54ECC" w:rsidRDefault="009F60F6">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A Bizottság a külső vizeken halászó flották fenntartható kezeléséről szóló rendeletjavaslattal</w:t>
      </w:r>
      <w:r>
        <w:rPr>
          <w:rStyle w:val="FootnoteReference"/>
          <w:i/>
          <w:noProof/>
          <w:color w:val="auto"/>
        </w:rPr>
        <w:footnoteReference w:id="20"/>
      </w:r>
      <w:r>
        <w:rPr>
          <w:i/>
          <w:noProof/>
          <w:color w:val="auto"/>
        </w:rPr>
        <w:t>összhangban megerősíti az EU külső halászflo</w:t>
      </w:r>
      <w:r>
        <w:rPr>
          <w:i/>
          <w:noProof/>
          <w:color w:val="auto"/>
        </w:rPr>
        <w:t>ttájának felügyeletét a flotta tevékenységi területén</w:t>
      </w:r>
      <w:r>
        <w:rPr>
          <w:noProof/>
        </w:rPr>
        <w:t>.</w:t>
      </w:r>
    </w:p>
    <w:p w:rsidR="00D54ECC" w:rsidRDefault="00D54ECC">
      <w:pPr>
        <w:pStyle w:val="Text2"/>
        <w:keepNext/>
        <w:spacing w:after="120"/>
        <w:ind w:left="1134" w:hanging="1134"/>
        <w:rPr>
          <w:b/>
          <w:noProof/>
          <w:color w:val="000000" w:themeColor="text1"/>
        </w:rPr>
      </w:pPr>
    </w:p>
    <w:p w:rsidR="00D54ECC" w:rsidRDefault="009F60F6">
      <w:pPr>
        <w:pStyle w:val="Text2"/>
        <w:keepNext/>
        <w:spacing w:after="120"/>
        <w:ind w:left="1134" w:hanging="1134"/>
        <w:rPr>
          <w:noProof/>
          <w:color w:val="000000" w:themeColor="text1"/>
        </w:rPr>
      </w:pPr>
      <w:r>
        <w:rPr>
          <w:b/>
          <w:noProof/>
          <w:color w:val="000000" w:themeColor="text1"/>
        </w:rPr>
        <w:t xml:space="preserve">8. intézkedés: </w:t>
      </w:r>
      <w:r>
        <w:rPr>
          <w:noProof/>
        </w:rPr>
        <w:tab/>
      </w:r>
      <w:r>
        <w:rPr>
          <w:rStyle w:val="None"/>
          <w:b/>
          <w:noProof/>
        </w:rPr>
        <w:t>A káros</w:t>
      </w:r>
      <w:r>
        <w:rPr>
          <w:b/>
          <w:noProof/>
          <w:color w:val="000000" w:themeColor="text1"/>
        </w:rPr>
        <w:t xml:space="preserve"> halászati támogatások tiltása </w:t>
      </w:r>
    </w:p>
    <w:p w:rsidR="00D54ECC" w:rsidRDefault="00D54ECC">
      <w:pPr>
        <w:pStyle w:val="ListDash"/>
        <w:spacing w:after="120"/>
        <w:rPr>
          <w:rStyle w:val="None"/>
          <w:rFonts w:cs="Times New Roman"/>
          <w:noProof/>
          <w:color w:val="auto"/>
        </w:rPr>
      </w:pPr>
    </w:p>
    <w:p w:rsidR="00D54ECC" w:rsidRDefault="009F60F6">
      <w:pPr>
        <w:pStyle w:val="ListDash"/>
        <w:spacing w:after="120"/>
        <w:rPr>
          <w:noProof/>
          <w:color w:val="000000" w:themeColor="text1"/>
        </w:rPr>
      </w:pPr>
      <w:r>
        <w:rPr>
          <w:rStyle w:val="None"/>
          <w:noProof/>
        </w:rPr>
        <w:t>A túlhalászáshoz, túlzott kapacitáshoz és jogellenes, be nem jelentett és szabályozatlan halászathoz hozzájáruló halászati támogatások már régót</w:t>
      </w:r>
      <w:r>
        <w:rPr>
          <w:rStyle w:val="None"/>
          <w:noProof/>
        </w:rPr>
        <w:t>a nemzetközi aggodalomra adnak okot. A fenntartható fejlődéssel foglalkozó 2002. és 2012. évi csúcstalálkozók is felhívták az országokat arra, hogy vessenek véget az ilyen támogatások nyújtásának. A 2030-ig tartó időszakra vonatkozó fenntartható fejlesztés</w:t>
      </w:r>
      <w:r>
        <w:rPr>
          <w:rStyle w:val="None"/>
          <w:noProof/>
        </w:rPr>
        <w:t>i menetrend már kijelölt egy határidőt (2020) a szóban forgó támogatások leállítására.</w:t>
      </w:r>
    </w:p>
    <w:p w:rsidR="00D54ECC" w:rsidRDefault="009F60F6">
      <w:pPr>
        <w:pStyle w:val="ListDash"/>
        <w:spacing w:after="120"/>
        <w:rPr>
          <w:noProof/>
        </w:rPr>
      </w:pPr>
      <w:r>
        <w:rPr>
          <w:noProof/>
        </w:rPr>
        <w:t>Támogatjuk a világ halászflottái túlzott kapacitásának megfékezésére és a halászflották általi túlhalászás megszüntetésére, valamint a káros támogatások betiltására irán</w:t>
      </w:r>
      <w:r>
        <w:rPr>
          <w:noProof/>
        </w:rPr>
        <w:t>yuló nemzetközi erőfeszítéseket. Ez a túlzott kapacitáshoz, túlhalászáshoz és a jogellenes, be nem jelentett és szabályozatlan halászathoz hozzájáruló támogatások tiltásával kapcsolatos WTO-tárgyalásokat is segíteni fogja.</w:t>
      </w:r>
    </w:p>
    <w:p w:rsidR="00D54ECC" w:rsidRDefault="009F60F6">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Az EU aktívan bekapcsolódik a túlzott kapacitáshoz, a túlhalászáshoz és a jogellenes, be nem jelentett és szabályozatlan halászathoz hozzájáruló támogatások 2020-ig történő betiltását célzó, a WTO-ban folyó többoldalú tárgyalásokba. </w:t>
      </w:r>
    </w:p>
    <w:p w:rsidR="00D54ECC" w:rsidRDefault="00D54ECC">
      <w:pPr>
        <w:pStyle w:val="Text2"/>
        <w:keepNext/>
        <w:spacing w:after="120"/>
        <w:ind w:left="1134" w:hanging="1134"/>
        <w:rPr>
          <w:b/>
          <w:noProof/>
          <w:color w:val="000000" w:themeColor="text1"/>
        </w:rPr>
      </w:pPr>
    </w:p>
    <w:p w:rsidR="00D54ECC" w:rsidRDefault="009F60F6">
      <w:pPr>
        <w:pStyle w:val="Text2"/>
        <w:keepNext/>
        <w:spacing w:after="120"/>
        <w:ind w:left="1134" w:hanging="1134"/>
        <w:rPr>
          <w:noProof/>
          <w:color w:val="000000" w:themeColor="text1"/>
        </w:rPr>
      </w:pPr>
      <w:r>
        <w:rPr>
          <w:b/>
          <w:noProof/>
          <w:color w:val="000000" w:themeColor="text1"/>
        </w:rPr>
        <w:t xml:space="preserve">9. intézkedés: </w:t>
      </w:r>
      <w:r>
        <w:rPr>
          <w:noProof/>
        </w:rPr>
        <w:tab/>
      </w:r>
      <w:r>
        <w:rPr>
          <w:b/>
          <w:noProof/>
          <w:color w:val="000000" w:themeColor="text1"/>
        </w:rPr>
        <w:t>A ten</w:t>
      </w:r>
      <w:r>
        <w:rPr>
          <w:b/>
          <w:noProof/>
          <w:color w:val="000000" w:themeColor="text1"/>
        </w:rPr>
        <w:t>geri hulladék és a „műanyagtenger” elleni küzdelem</w:t>
      </w:r>
    </w:p>
    <w:p w:rsidR="00D54ECC" w:rsidRDefault="00D54ECC">
      <w:pPr>
        <w:pStyle w:val="ListDash"/>
        <w:spacing w:after="120"/>
        <w:rPr>
          <w:noProof/>
          <w:color w:val="000000" w:themeColor="text1"/>
        </w:rPr>
      </w:pPr>
    </w:p>
    <w:p w:rsidR="00D54ECC" w:rsidRDefault="009F60F6">
      <w:pPr>
        <w:pStyle w:val="ListDash"/>
        <w:spacing w:after="120"/>
        <w:rPr>
          <w:noProof/>
          <w:color w:val="000000" w:themeColor="text1"/>
        </w:rPr>
      </w:pPr>
      <w:r>
        <w:rPr>
          <w:noProof/>
          <w:color w:val="000000" w:themeColor="text1"/>
        </w:rPr>
        <w:t>A tengeri hulladék súlyos fenyegetést jelent óceánjainkra nézve. A Bizottság már lépéseket tett annak érdekében, hogy ezt a veszélyt a forrásánál kezelje, és jelentősen meg fogja erősíteni ezt a fellépést</w:t>
      </w:r>
      <w:r>
        <w:rPr>
          <w:noProof/>
          <w:color w:val="000000" w:themeColor="text1"/>
        </w:rPr>
        <w:t>.</w:t>
      </w:r>
    </w:p>
    <w:p w:rsidR="00D54ECC" w:rsidRDefault="009F60F6">
      <w:pPr>
        <w:spacing w:after="120"/>
        <w:jc w:val="both"/>
        <w:rPr>
          <w:noProof/>
        </w:rPr>
      </w:pPr>
      <w:r>
        <w:rPr>
          <w:noProof/>
        </w:rPr>
        <w:t>Intézkedéseket javasol a termékéletciklusban a hulladék keletkezésének minimalizálására – az anyag kiválasztásától, a terméktervezéstől, a gyártástól a fogyasztáson és az újrafeldolgozáson át egészen az ártalmatlanításig.</w:t>
      </w:r>
    </w:p>
    <w:p w:rsidR="00D54ECC" w:rsidRDefault="009F60F6">
      <w:pPr>
        <w:spacing w:after="120"/>
        <w:jc w:val="both"/>
        <w:rPr>
          <w:noProof/>
        </w:rPr>
      </w:pPr>
      <w:r>
        <w:rPr>
          <w:noProof/>
        </w:rPr>
        <w:t>A körforgásos gazdaságra vonatko</w:t>
      </w:r>
      <w:r>
        <w:rPr>
          <w:noProof/>
        </w:rPr>
        <w:t xml:space="preserve">zó cselekvési terv keretében az EU 2017-ig a műanyagokkal kapcsolatos stratégiára tesz javaslatot, amelyben olyan kérdésekkel foglalkozik, mint például az újrafeldolgozhatóság, a biológiai lebonthatóság, a veszélyes anyagok jelenléte egyes műanyagokban és </w:t>
      </w:r>
      <w:r>
        <w:rPr>
          <w:noProof/>
        </w:rPr>
        <w:t>a tengeri hulladék – mely jelenségeknek a műanyag környezetbe való beszivárgása elleni küzdelem egyértelműen a nemzetközi elemét alkotja. Mindez hozzájárul ahhoz, hogy 2020-ig a partokon előforduló hulladék és az elhagyott halászeszközök mennyisége legaláb</w:t>
      </w:r>
      <w:r>
        <w:rPr>
          <w:noProof/>
        </w:rPr>
        <w:t>b 30 %-kal csökkenjen. Emellett segíti a tengeri környezetbe bekerült mikroműanyagok mennyiségének visszaszorítását, szükség esetén a termékekben való felhasználásuk korlátozását is ideértve.</w:t>
      </w:r>
    </w:p>
    <w:p w:rsidR="00D54ECC" w:rsidRDefault="009F60F6">
      <w:pPr>
        <w:spacing w:after="120"/>
        <w:jc w:val="both"/>
        <w:rPr>
          <w:strike/>
          <w:noProof/>
          <w:color w:val="000000" w:themeColor="text1"/>
        </w:rPr>
      </w:pPr>
      <w:r>
        <w:rPr>
          <w:noProof/>
        </w:rPr>
        <w:t xml:space="preserve">Másfelől ez hozzájárul a 2030-ig tartó időszakra vonatkozó </w:t>
      </w:r>
      <w:r>
        <w:rPr>
          <w:noProof/>
        </w:rPr>
        <w:t>menetrend végrehajtásához. A stratégia elismeri a probléma globális jellegét és a kollektív fellépés szükségességét – a többoldalú környezetvédelmi megállapodások összefüggésében is. Mérlegeli az EU külső tevékenységének keretében a tengeri hulladék elleni</w:t>
      </w:r>
      <w:r>
        <w:rPr>
          <w:noProof/>
        </w:rPr>
        <w:t xml:space="preserve"> küzdelem és a fejlesztési támogatás racionalizálásának lehetőségeit annak érdekében, hogy megfékezze a műanyag hulladék beömlését a világ óceánjaiba, és – amennyiben környezetvédelmi szempontból indokolt és technikailag megvalósítható – részt vegyen jól ö</w:t>
      </w:r>
      <w:r>
        <w:rPr>
          <w:noProof/>
        </w:rPr>
        <w:t>sszehangolt hulladék-eltávolítási akciókban.</w:t>
      </w:r>
    </w:p>
    <w:p w:rsidR="00D54ECC" w:rsidRDefault="009F60F6">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A Bizottság a körforgásos gazdaságra vonatkozó stratégiája részeként 2017-ben a műanyagokkal kapcsolatos stratégiára tesz javaslatot, amelyben a tengeri hulladék mellett olyan kérdésekkel foglalkozik, mint példá</w:t>
      </w:r>
      <w:r>
        <w:rPr>
          <w:i/>
          <w:noProof/>
        </w:rPr>
        <w:t>ul az újrafeldolgozhatóság és a biológiai lebonthatóság.</w:t>
      </w:r>
    </w:p>
    <w:p w:rsidR="00D54ECC" w:rsidRDefault="009F60F6">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A Bizottság a kikötői befogadólétesítményekre vonatkozó irányelv</w:t>
      </w:r>
      <w:r>
        <w:rPr>
          <w:rStyle w:val="FootnoteReference"/>
          <w:noProof/>
          <w:color w:val="000000" w:themeColor="text1"/>
        </w:rPr>
        <w:footnoteReference w:id="21"/>
      </w:r>
      <w:r>
        <w:rPr>
          <w:i/>
          <w:noProof/>
        </w:rPr>
        <w:t xml:space="preserve"> felülvizsgálatán, valamint szükség esetén a halászati tevékenységgel és az akvakultúrával kapcsolatos kiegészítő fellépésen keresztül</w:t>
      </w:r>
      <w:r>
        <w:rPr>
          <w:i/>
          <w:noProof/>
        </w:rPr>
        <w:t xml:space="preserve"> a tengeri hulladék tengeri forrásaival, köztük a szállítási és halászati tevékenységgel foglalkozik.</w:t>
      </w:r>
    </w:p>
    <w:p w:rsidR="00D54ECC" w:rsidRDefault="009F60F6">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A Bizottság az ENSZ Környezetvédelmi Közgyűlése kérésének megfelelően közreműködik a tengeri műanyag hulladék és mikroműanyagok elleni küzdelemre irányuló</w:t>
      </w:r>
      <w:r>
        <w:rPr>
          <w:i/>
          <w:noProof/>
        </w:rPr>
        <w:t xml:space="preserve"> nemzetközi, regionális és szubregionális irányítási stratégiák és megközelítések értékelésében.</w:t>
      </w:r>
    </w:p>
    <w:p w:rsidR="00D54ECC" w:rsidRDefault="009F60F6">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A Bizottság az Európai Tengerügyi és Halászati Alapból pénzügyi támogatást nyújt a tengeri hulladék gyűjtésére és az Uniót körülvevő tengereken a hulladék konc</w:t>
      </w:r>
      <w:r>
        <w:rPr>
          <w:i/>
          <w:noProof/>
          <w:color w:val="auto"/>
        </w:rPr>
        <w:t>entrációjával kapcsolatos adatokra vonatkozó kapacitás javításához.</w:t>
      </w:r>
    </w:p>
    <w:p w:rsidR="00D54ECC" w:rsidRDefault="009F60F6">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A Bizottság javasolja a tengeri hulladékkal foglalkozó intézményi keret erősítéséhez, például a nemzetközi erőfeszítések megfelelőbb koordinálásán, a G7 tengeri hulladék elleni küzdelemmel</w:t>
      </w:r>
      <w:r>
        <w:rPr>
          <w:i/>
          <w:noProof/>
        </w:rPr>
        <w:t xml:space="preserve"> foglalkozó tervén és a tengeri hulladékkal kapcsolatos globális partnerségen keresztül.</w:t>
      </w:r>
    </w:p>
    <w:p w:rsidR="00D54ECC" w:rsidRDefault="009F60F6">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A Bizottság a tengeri hulladékkal kapcsolatos cselekvési tervek előmozdításával – amelyek középpontjában az Európát körülvevő tengereket érintő regionális tengeri egye</w:t>
      </w:r>
      <w:r>
        <w:rPr>
          <w:i/>
          <w:noProof/>
        </w:rPr>
        <w:t>zmények állnak – nyomon követi a globális és regionális kötelezettségvállalásokat.</w:t>
      </w:r>
    </w:p>
    <w:p w:rsidR="00D54ECC" w:rsidRDefault="00D54ECC">
      <w:pPr>
        <w:pStyle w:val="Text2"/>
        <w:keepNext/>
        <w:spacing w:after="120"/>
        <w:ind w:left="1134" w:hanging="1134"/>
        <w:rPr>
          <w:rStyle w:val="None"/>
          <w:rFonts w:cs="Times New Roman"/>
          <w:b/>
          <w:bCs/>
          <w:noProof/>
          <w:color w:val="000000" w:themeColor="text1"/>
        </w:rPr>
      </w:pPr>
    </w:p>
    <w:p w:rsidR="00D54ECC" w:rsidRDefault="009F60F6">
      <w:pPr>
        <w:pStyle w:val="Text2"/>
        <w:keepNext/>
        <w:spacing w:after="120"/>
        <w:ind w:left="1134" w:hanging="1134"/>
        <w:rPr>
          <w:noProof/>
          <w:color w:val="000000" w:themeColor="text1"/>
        </w:rPr>
      </w:pPr>
      <w:r>
        <w:rPr>
          <w:rStyle w:val="None"/>
          <w:b/>
          <w:noProof/>
          <w:color w:val="000000" w:themeColor="text1"/>
        </w:rPr>
        <w:t xml:space="preserve">10. intézkedés: </w:t>
      </w:r>
      <w:r>
        <w:rPr>
          <w:noProof/>
        </w:rPr>
        <w:tab/>
      </w:r>
      <w:r>
        <w:rPr>
          <w:rStyle w:val="None"/>
          <w:b/>
          <w:noProof/>
          <w:color w:val="000000" w:themeColor="text1"/>
        </w:rPr>
        <w:t>A tengeri területrendezés</w:t>
      </w:r>
      <w:r>
        <w:rPr>
          <w:b/>
          <w:noProof/>
          <w:color w:val="000000" w:themeColor="text1"/>
        </w:rPr>
        <w:t xml:space="preserve"> előmozdítása globális szinten</w:t>
      </w:r>
    </w:p>
    <w:p w:rsidR="00D54ECC" w:rsidRDefault="00D54ECC">
      <w:pPr>
        <w:pStyle w:val="ListDash"/>
        <w:spacing w:after="120"/>
        <w:rPr>
          <w:noProof/>
          <w:color w:val="000000" w:themeColor="text1"/>
        </w:rPr>
      </w:pPr>
    </w:p>
    <w:p w:rsidR="00D54ECC" w:rsidRDefault="009F60F6">
      <w:pPr>
        <w:pStyle w:val="ListDash"/>
        <w:spacing w:after="120"/>
        <w:rPr>
          <w:noProof/>
          <w:color w:val="000000" w:themeColor="text1"/>
        </w:rPr>
      </w:pPr>
      <w:r>
        <w:rPr>
          <w:noProof/>
          <w:color w:val="000000" w:themeColor="text1"/>
        </w:rPr>
        <w:t>Az óceánok fenntartható hasznosítása és biodiverzitásuk, a vonatkozó fenntartható fejlesztési célok elérését is beleértve, az emberi felhasználás megfelelő tervezésétől és irányításától függ – a nemzeti joghatóságon belül és kívül eső területeken egyaránt.</w:t>
      </w:r>
      <w:r>
        <w:rPr>
          <w:noProof/>
          <w:color w:val="000000" w:themeColor="text1"/>
        </w:rPr>
        <w:t xml:space="preserve"> </w:t>
      </w:r>
      <w:r>
        <w:rPr>
          <w:noProof/>
        </w:rPr>
        <w:t>A tengeri területrendezés biztosíthatja a tengerhasználat hatékony szervezését a tengeri területen belül, a védett tengeri területek kijelölését, irányítását és hálózatának létrehozását is beleértve</w:t>
      </w:r>
      <w:r>
        <w:rPr>
          <w:rStyle w:val="FootnoteReference"/>
          <w:noProof/>
          <w:color w:val="000000" w:themeColor="text1"/>
        </w:rPr>
        <w:footnoteReference w:id="22"/>
      </w:r>
      <w:r>
        <w:rPr>
          <w:noProof/>
        </w:rPr>
        <w:t>.</w:t>
      </w:r>
      <w:r>
        <w:rPr>
          <w:noProof/>
          <w:color w:val="000000" w:themeColor="text1"/>
        </w:rPr>
        <w:t xml:space="preserve"> A tengeri területrendezés megkezdése világszerte egyre</w:t>
      </w:r>
      <w:r>
        <w:rPr>
          <w:noProof/>
          <w:color w:val="000000" w:themeColor="text1"/>
        </w:rPr>
        <w:t xml:space="preserve"> inkább terjed, és az elmúlt évtizedben jelentős mennyiségű tapasztalat és bevált gyakorlat halmozódott fel ezen a területen.</w:t>
      </w:r>
    </w:p>
    <w:p w:rsidR="00D54ECC" w:rsidRDefault="009F60F6">
      <w:pPr>
        <w:pStyle w:val="ListDash"/>
        <w:spacing w:after="120"/>
        <w:rPr>
          <w:noProof/>
          <w:color w:val="000000" w:themeColor="text1"/>
        </w:rPr>
      </w:pPr>
      <w:r>
        <w:rPr>
          <w:noProof/>
          <w:color w:val="000000" w:themeColor="text1"/>
        </w:rPr>
        <w:t>2017-ben a Bizottság az összes érintett szereplővel együtt megkezdi nemzetközileg elfogadott iránymutatásokra vonatkozó javaslatok</w:t>
      </w:r>
      <w:r>
        <w:rPr>
          <w:noProof/>
          <w:color w:val="000000" w:themeColor="text1"/>
        </w:rPr>
        <w:t xml:space="preserve"> kidolgozását a tengeri területrendezés és a kapcsolódó eljárások partnerországok általi és nemzetközi szinten – különösen az ENSZ-ben – történő hasznosításának előmozdítása érdekében.</w:t>
      </w:r>
    </w:p>
    <w:p w:rsidR="00D54ECC" w:rsidRDefault="009F60F6">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 xml:space="preserve">A Bizottság 2017-ben megkezdi a tengeri területrendezéssel kapcsolatos </w:t>
      </w:r>
      <w:r>
        <w:rPr>
          <w:i/>
          <w:noProof/>
          <w:color w:val="000000" w:themeColor="text1"/>
        </w:rPr>
        <w:t>nemzetközi iránymutatás javaslatainak kidolgozását.</w:t>
      </w:r>
    </w:p>
    <w:p w:rsidR="00D54ECC" w:rsidRDefault="00D54ECC">
      <w:pPr>
        <w:spacing w:after="120"/>
        <w:jc w:val="both"/>
        <w:rPr>
          <w:b/>
          <w:noProof/>
          <w:color w:val="000000" w:themeColor="text1"/>
        </w:rPr>
      </w:pPr>
    </w:p>
    <w:p w:rsidR="00D54ECC" w:rsidRDefault="009F60F6">
      <w:pPr>
        <w:spacing w:after="120"/>
        <w:jc w:val="both"/>
        <w:rPr>
          <w:noProof/>
          <w:color w:val="000000" w:themeColor="text1"/>
        </w:rPr>
      </w:pPr>
      <w:r>
        <w:rPr>
          <w:b/>
          <w:noProof/>
          <w:color w:val="000000" w:themeColor="text1"/>
        </w:rPr>
        <w:t>11. intézkedés: A tengeri és parti területek 10 %-ának megőrzésére és a védett tengeri területekkel való hatékony gazdálkodás előmozdítására vonatkozó globális cél elérése</w:t>
      </w:r>
    </w:p>
    <w:p w:rsidR="00D54ECC" w:rsidRDefault="00D54ECC">
      <w:pPr>
        <w:spacing w:after="120"/>
        <w:rPr>
          <w:noProof/>
          <w:color w:val="000000" w:themeColor="text1"/>
        </w:rPr>
      </w:pPr>
    </w:p>
    <w:p w:rsidR="00D54ECC" w:rsidRDefault="009F60F6">
      <w:pPr>
        <w:spacing w:after="120"/>
        <w:jc w:val="both"/>
        <w:rPr>
          <w:noProof/>
          <w:color w:val="000000" w:themeColor="text1"/>
        </w:rPr>
      </w:pPr>
      <w:r>
        <w:rPr>
          <w:noProof/>
          <w:color w:val="000000" w:themeColor="text1"/>
        </w:rPr>
        <w:t>A tengeri biológiai sokféleség</w:t>
      </w:r>
      <w:r>
        <w:rPr>
          <w:noProof/>
          <w:color w:val="000000" w:themeColor="text1"/>
        </w:rPr>
        <w:t xml:space="preserve"> jelenleg riasztó helyzetben van. Az elmúlt 30 évben a trópusi zátonyokról a zátonyt felépítő korallok több mint fele lemállott. Jelenleg a tengerek és óceánok csupán 3,4 %-a védett tengeri terület, ami jelentősen alatta marad a 2020-ra globálisan elfogado</w:t>
      </w:r>
      <w:r>
        <w:rPr>
          <w:noProof/>
          <w:color w:val="000000" w:themeColor="text1"/>
        </w:rPr>
        <w:t xml:space="preserve">tt 10 %-os megőrzési célnak. A tengeri ökoszisztémák helyreállítása és védelme környezetvédelmi és gazdasági előnyökkel is járna. </w:t>
      </w:r>
      <w:r>
        <w:rPr>
          <w:noProof/>
        </w:rPr>
        <w:t xml:space="preserve">A védett tengeri területek nagyságának 30 %-ra való növelése 2015 és 2050 között </w:t>
      </w:r>
      <w:r>
        <w:rPr>
          <w:noProof/>
          <w:color w:val="000000" w:themeColor="text1"/>
        </w:rPr>
        <w:t>920 milliárd USD hasznot termelhetne</w:t>
      </w:r>
      <w:r>
        <w:rPr>
          <w:rStyle w:val="FootnoteReference"/>
          <w:noProof/>
          <w:color w:val="000000" w:themeColor="text1"/>
        </w:rPr>
        <w:footnoteReference w:id="23"/>
      </w:r>
      <w:r>
        <w:rPr>
          <w:noProof/>
        </w:rPr>
        <w:t>.</w:t>
      </w:r>
    </w:p>
    <w:p w:rsidR="00D54ECC" w:rsidRDefault="009F60F6">
      <w:pPr>
        <w:spacing w:after="120"/>
        <w:jc w:val="both"/>
        <w:rPr>
          <w:noProof/>
          <w:color w:val="000000" w:themeColor="text1"/>
        </w:rPr>
      </w:pPr>
      <w:r>
        <w:rPr>
          <w:noProof/>
          <w:color w:val="000000" w:themeColor="text1"/>
        </w:rPr>
        <w:t>Különböző szervezetek és fórumok dolgoznak – saját hatáskörük szerint – különféle területalapú gazdálkodási eszközök kialakításán</w:t>
      </w:r>
      <w:r>
        <w:rPr>
          <w:rStyle w:val="FootnoteReference"/>
          <w:noProof/>
          <w:color w:val="000000" w:themeColor="text1"/>
        </w:rPr>
        <w:footnoteReference w:id="24"/>
      </w:r>
      <w:r>
        <w:rPr>
          <w:noProof/>
        </w:rPr>
        <w:t>.</w:t>
      </w:r>
      <w:r>
        <w:rPr>
          <w:noProof/>
          <w:color w:val="000000" w:themeColor="text1"/>
        </w:rPr>
        <w:t xml:space="preserve"> A védett tengeri területek azonban csak akkor hatékonyak, ha jól gazdálkodnak velük, és ökológiailag koherens hálózatot alko</w:t>
      </w:r>
      <w:r>
        <w:rPr>
          <w:noProof/>
          <w:color w:val="000000" w:themeColor="text1"/>
        </w:rPr>
        <w:t>tnak. A velük való gazdálkodáshoz megfelelő tervezés, valamint humán és pénzügyi erőforrások szükségesek.</w:t>
      </w:r>
    </w:p>
    <w:p w:rsidR="00D54ECC" w:rsidRDefault="009F60F6">
      <w:pPr>
        <w:pStyle w:val="NoSpacing"/>
        <w:spacing w:after="120"/>
        <w:rPr>
          <w:strike/>
          <w:noProof/>
          <w:color w:val="000000" w:themeColor="text1"/>
        </w:rPr>
      </w:pPr>
      <w:r>
        <w:rPr>
          <w:noProof/>
          <w:color w:val="000000" w:themeColor="text1"/>
        </w:rPr>
        <w:t>A Bizottság a bevált gyakorlatok cseréjének előmozdításával és a koherens hálózatok érdekében tett erőfeszítések támogatásával hozzájárul a védett ten</w:t>
      </w:r>
      <w:r>
        <w:rPr>
          <w:noProof/>
          <w:color w:val="000000" w:themeColor="text1"/>
        </w:rPr>
        <w:t xml:space="preserve">geri területek hatékonyságához az egész világon. </w:t>
      </w:r>
      <w:r>
        <w:rPr>
          <w:noProof/>
        </w:rPr>
        <w:t>A Bizottság emellett ösztönzi a regionális és nemzetközi együttműködést a védett tengeri területekre vonatkozó hosszú távú, fenntartható finanszírozási mechanizmusok kialakítása érdekében</w:t>
      </w:r>
      <w:r>
        <w:rPr>
          <w:rStyle w:val="FootnoteReference"/>
          <w:noProof/>
          <w:color w:val="000000" w:themeColor="text1"/>
        </w:rPr>
        <w:footnoteReference w:id="25"/>
      </w:r>
      <w:r>
        <w:rPr>
          <w:noProof/>
        </w:rPr>
        <w:t>.</w:t>
      </w:r>
    </w:p>
    <w:p w:rsidR="00D54ECC" w:rsidRDefault="009F60F6">
      <w:pPr>
        <w:pStyle w:val="NoSpacing"/>
        <w:spacing w:after="120"/>
        <w:rPr>
          <w:noProof/>
          <w:color w:val="000000" w:themeColor="text1"/>
        </w:rPr>
      </w:pPr>
      <w:r>
        <w:rPr>
          <w:noProof/>
          <w:color w:val="000000" w:themeColor="text1"/>
        </w:rPr>
        <w:t>Az ENSZ Tengerjog</w:t>
      </w:r>
      <w:r>
        <w:rPr>
          <w:noProof/>
          <w:color w:val="000000" w:themeColor="text1"/>
        </w:rPr>
        <w:t>i Egyezményének keretében a nemzeti joghatóságon kívül eső területek megőrzésére és fenntartható hasznosítására vonatkozó új végrehajtási megállapodás segítené a globális 10 %-os megőrzési cél elérését, és a nyílt tengereken a védett tengeri területek nagy</w:t>
      </w:r>
      <w:r>
        <w:rPr>
          <w:noProof/>
          <w:color w:val="000000" w:themeColor="text1"/>
        </w:rPr>
        <w:t>ságának jelentős növelését.</w:t>
      </w:r>
    </w:p>
    <w:p w:rsidR="00D54ECC" w:rsidRDefault="009F60F6">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Bizottság a bevált gyakorlatok cseréjének előmozdításával és a koherens hálózatok érdekében tett erőfeszítések támogatásával hozzájárul a védett tengeri területek hatékonyságához és bővítéséhez az egész világon.</w:t>
      </w:r>
    </w:p>
    <w:p w:rsidR="00D54ECC" w:rsidRDefault="009F60F6">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Bizottság em</w:t>
      </w:r>
      <w:r>
        <w:rPr>
          <w:i/>
          <w:noProof/>
          <w:color w:val="000000" w:themeColor="text1"/>
        </w:rPr>
        <w:t>ellett ösztönzi a regionális és nemzetközi együttműködést a védett tengeri területekre vonatkozó hosszú távú, fenntartható finanszírozási mechanizmusok kialakítása érdekében.</w:t>
      </w:r>
    </w:p>
    <w:p w:rsidR="00D54ECC" w:rsidRDefault="009F60F6">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Bizottság a védett tengeri területekre vonatkozó ikerintézményi projektet valós</w:t>
      </w:r>
      <w:r>
        <w:rPr>
          <w:i/>
          <w:noProof/>
          <w:color w:val="000000" w:themeColor="text1"/>
        </w:rPr>
        <w:t>ít meg, amely megkönnyíti a bevált gyakorlatok cseréjét az európai, afrikai, észak- és dél-amerikai atlanti-óceáni védett tengeri területek között, és a kapacitásépítést ezeken a területeken.</w:t>
      </w:r>
    </w:p>
    <w:p w:rsidR="00D54ECC" w:rsidRDefault="009F60F6">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Bizottság finanszírozási lehetőségeket nyújt a Horizont 2020 é</w:t>
      </w:r>
      <w:r>
        <w:rPr>
          <w:i/>
          <w:noProof/>
          <w:color w:val="000000" w:themeColor="text1"/>
        </w:rPr>
        <w:t>s a LIFE programok keretében a védett tengeri területek létrehozásához elengedhetetlen tengerkutatáshoz, és felveszi a kapcsolatot a nemzetközi partnerekkel.</w:t>
      </w:r>
    </w:p>
    <w:p w:rsidR="00D54ECC" w:rsidRDefault="00D54ECC">
      <w:pPr>
        <w:pStyle w:val="Text2"/>
        <w:spacing w:after="120"/>
        <w:ind w:left="567" w:hanging="567"/>
        <w:rPr>
          <w:rStyle w:val="None"/>
          <w:rFonts w:cs="Times New Roman"/>
          <w:b/>
          <w:bCs/>
          <w:smallCaps/>
          <w:noProof/>
          <w:color w:val="000000" w:themeColor="text1"/>
        </w:rPr>
      </w:pPr>
    </w:p>
    <w:p w:rsidR="00D54ECC" w:rsidRDefault="009F60F6">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A nemzetközi óceánkutatás és adatgyűjtés erősítése </w:t>
      </w:r>
    </w:p>
    <w:p w:rsidR="00D54ECC" w:rsidRDefault="00D54ECC">
      <w:pPr>
        <w:pStyle w:val="Text1"/>
        <w:spacing w:after="120"/>
        <w:ind w:left="0"/>
        <w:rPr>
          <w:noProof/>
          <w:color w:val="000000" w:themeColor="text1"/>
        </w:rPr>
      </w:pPr>
    </w:p>
    <w:p w:rsidR="00D54ECC" w:rsidRDefault="009F60F6">
      <w:pPr>
        <w:pStyle w:val="Text1"/>
        <w:spacing w:after="120"/>
        <w:ind w:left="0"/>
        <w:rPr>
          <w:noProof/>
          <w:color w:val="000000" w:themeColor="text1"/>
        </w:rPr>
      </w:pPr>
      <w:r>
        <w:rPr>
          <w:noProof/>
          <w:color w:val="000000" w:themeColor="text1"/>
        </w:rPr>
        <w:t xml:space="preserve">Az óceánokkal kapcsolatos alapos </w:t>
      </w:r>
      <w:r>
        <w:rPr>
          <w:noProof/>
          <w:color w:val="000000" w:themeColor="text1"/>
        </w:rPr>
        <w:t>tudományos ismeretek döntő fontosságúak a legtöbb felsorolt intézkedés sikeres megvalósításához, és az erőforrások fenntartható módon való felhasználásának biztosításához. Ehhez viszont jelentős befektetésre van szükség eszközök és felszerelés tekintetében</w:t>
      </w:r>
      <w:r>
        <w:rPr>
          <w:noProof/>
          <w:color w:val="000000" w:themeColor="text1"/>
        </w:rPr>
        <w:t>. A társadalom számára a befektetés akkor a leghasznosabb, ha az ismereteket és az adatokat meg is osztják.</w:t>
      </w:r>
    </w:p>
    <w:p w:rsidR="00D54ECC" w:rsidRDefault="009F60F6">
      <w:pPr>
        <w:pStyle w:val="Text1"/>
        <w:spacing w:after="120"/>
        <w:ind w:left="0"/>
        <w:rPr>
          <w:noProof/>
          <w:color w:val="000000" w:themeColor="text1"/>
        </w:rPr>
      </w:pPr>
      <w:r>
        <w:rPr>
          <w:noProof/>
          <w:color w:val="000000" w:themeColor="text1"/>
        </w:rPr>
        <w:t>Az EU és tagállamai komoly tapasztalattal rendelkeznek a tengerkutatás és tengerhasznosítási célú kutatás finanszírozásában, valamint az adatok elér</w:t>
      </w:r>
      <w:r>
        <w:rPr>
          <w:noProof/>
          <w:color w:val="000000" w:themeColor="text1"/>
        </w:rPr>
        <w:t>hetőségének és interoperabilitásának javításában. A nemzetközi partnerekkel való együttműködés, az erőforrások együttes hasznosítását is beleértve, az óceánokkal való hatékony gazdálkodáshoz szükséges tudásbázis biztosításához szükséges következő lépés.</w:t>
      </w:r>
    </w:p>
    <w:p w:rsidR="00D54ECC" w:rsidRDefault="00D54ECC">
      <w:pPr>
        <w:pStyle w:val="ListDash"/>
        <w:spacing w:after="120"/>
        <w:ind w:left="1134" w:hanging="1134"/>
        <w:rPr>
          <w:rStyle w:val="None"/>
          <w:rFonts w:cs="Times New Roman"/>
          <w:b/>
          <w:bCs/>
          <w:noProof/>
          <w:color w:val="000000" w:themeColor="text1"/>
        </w:rPr>
      </w:pPr>
    </w:p>
    <w:p w:rsidR="00D54ECC" w:rsidRDefault="009F60F6">
      <w:pPr>
        <w:pStyle w:val="ListDash"/>
        <w:spacing w:after="120"/>
        <w:ind w:left="1134" w:hanging="1134"/>
        <w:rPr>
          <w:rStyle w:val="None"/>
          <w:rFonts w:cs="Times New Roman"/>
          <w:noProof/>
          <w:color w:val="auto"/>
        </w:rPr>
      </w:pPr>
      <w:r>
        <w:rPr>
          <w:rStyle w:val="None"/>
          <w:b/>
          <w:noProof/>
          <w:color w:val="000000" w:themeColor="text1"/>
        </w:rPr>
        <w:t>1</w:t>
      </w:r>
      <w:r>
        <w:rPr>
          <w:rStyle w:val="None"/>
          <w:b/>
          <w:noProof/>
          <w:color w:val="000000" w:themeColor="text1"/>
        </w:rPr>
        <w:t xml:space="preserve">2. intézkedés: </w:t>
      </w:r>
      <w:r>
        <w:rPr>
          <w:noProof/>
        </w:rPr>
        <w:tab/>
      </w:r>
      <w:r>
        <w:rPr>
          <w:rStyle w:val="None"/>
          <w:b/>
          <w:noProof/>
          <w:color w:val="000000" w:themeColor="text1"/>
        </w:rPr>
        <w:t>Az óceánok megfigyelésére, az óceánokkal kapcsolatos adatok és beszámolók felhasználására vonatkozó koherens uniós stratégia</w:t>
      </w:r>
    </w:p>
    <w:p w:rsidR="00D54ECC" w:rsidRDefault="00D54ECC">
      <w:pPr>
        <w:pStyle w:val="Body"/>
        <w:spacing w:after="120"/>
        <w:rPr>
          <w:noProof/>
        </w:rPr>
      </w:pPr>
    </w:p>
    <w:p w:rsidR="00D54ECC" w:rsidRDefault="009F60F6">
      <w:pPr>
        <w:pStyle w:val="Body"/>
        <w:spacing w:after="120"/>
        <w:rPr>
          <w:noProof/>
        </w:rPr>
      </w:pPr>
      <w:r>
        <w:rPr>
          <w:noProof/>
        </w:rPr>
        <w:t xml:space="preserve">Az európai tengeri megfigyelési és adathálózat (EMODnet) segítségével a kutatók, a hatóságok, az üzleti szféra és </w:t>
      </w:r>
      <w:r>
        <w:rPr>
          <w:noProof/>
        </w:rPr>
        <w:t>a civil társadalom több mint 100 tengerkutatási szerv adatait és adattermékeit keresheti, tekintheti meg, töltheti le és használhatja fel az Európát övező tengerek batimetriájáról, geológiájáról, élőhelyeiről, fizikájáról, kémiájáról és élővilágáról.</w:t>
      </w:r>
    </w:p>
    <w:p w:rsidR="00D54ECC" w:rsidRDefault="009F60F6">
      <w:pPr>
        <w:pStyle w:val="Text2"/>
        <w:spacing w:after="120"/>
        <w:ind w:left="0"/>
        <w:rPr>
          <w:noProof/>
          <w:color w:val="000000" w:themeColor="text1"/>
        </w:rPr>
      </w:pPr>
      <w:r>
        <w:rPr>
          <w:noProof/>
          <w:color w:val="000000" w:themeColor="text1"/>
        </w:rPr>
        <w:t>Az EU</w:t>
      </w:r>
      <w:r>
        <w:rPr>
          <w:noProof/>
          <w:color w:val="000000" w:themeColor="text1"/>
        </w:rPr>
        <w:t xml:space="preserve"> és a nemzetközi partnerek munkájának összehangolása számottevően erősítené az óceánpolitikai irányítás alapját képező ismereteket, például azzal, hogy jelentősen megerősíti a természeti tőke és az ökoszisztéma-szolgáltatások integrált számlarendszerét, am</w:t>
      </w:r>
      <w:r>
        <w:rPr>
          <w:noProof/>
          <w:color w:val="000000" w:themeColor="text1"/>
        </w:rPr>
        <w:t>ely – az Európai Környezetvédelmi Ügynökséggel és nemzetközi partnerekkel együttműködve – jelenleg fejlesztés alatt áll.</w:t>
      </w:r>
    </w:p>
    <w:p w:rsidR="00D54ECC" w:rsidRDefault="009F60F6">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rPr>
        <w:t>A Bizottság az</w:t>
      </w:r>
      <w:r>
        <w:rPr>
          <w:i/>
          <w:noProof/>
          <w:color w:val="000000" w:themeColor="text1"/>
        </w:rPr>
        <w:t xml:space="preserve"> EMODnetre építve – a G7 cukubai kommünikéjével</w:t>
      </w:r>
      <w:r>
        <w:rPr>
          <w:rStyle w:val="FootnoteReference"/>
          <w:i/>
          <w:noProof/>
          <w:color w:val="000000" w:themeColor="text1"/>
        </w:rPr>
        <w:footnoteReference w:id="26"/>
      </w:r>
      <w:r>
        <w:rPr>
          <w:i/>
          <w:noProof/>
        </w:rPr>
        <w:t xml:space="preserve"> összhangban – 2018-ban javaslatot tesz egy koherens óceánmegfigyelési st</w:t>
      </w:r>
      <w:r>
        <w:rPr>
          <w:i/>
          <w:noProof/>
        </w:rPr>
        <w:t>ratégiára.</w:t>
      </w:r>
      <w:r>
        <w:rPr>
          <w:i/>
          <w:noProof/>
          <w:color w:val="000000" w:themeColor="text1"/>
        </w:rPr>
        <w:t xml:space="preserve"> Értékeli, hogy az óceánmegfigyelési hálózatok megfelelnek-e a kitűzött céloknak, és elemzi fejlesztésük gazdasági, környezetvédelmi és társadalmi hasznát.</w:t>
      </w:r>
    </w:p>
    <w:p w:rsidR="00D54ECC" w:rsidRDefault="009F60F6">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E 2018-ra tervezett jelentés keretében a Bizottság javaslatot tesz arra, hogyan lehetne ös</w:t>
      </w:r>
      <w:r>
        <w:rPr>
          <w:i/>
          <w:noProof/>
          <w:color w:val="000000" w:themeColor="text1"/>
        </w:rPr>
        <w:t>szehangolni az EMODnetet más nemzeti vagy regionális tengeriadat-gyűjtési törekvésekkel annak érdekében, hogy létrehozzanak egy nemzetközi tengeriadat-hálózatot, és nyílt hozzáférést biztosítsanak ezekhez az adatokhoz.</w:t>
      </w:r>
    </w:p>
    <w:p w:rsidR="00D54ECC" w:rsidRDefault="00D54ECC">
      <w:pPr>
        <w:pStyle w:val="ListDash"/>
        <w:keepNext/>
        <w:spacing w:after="120"/>
        <w:ind w:left="1134" w:hanging="1134"/>
        <w:rPr>
          <w:rStyle w:val="None"/>
          <w:rFonts w:cs="Times New Roman"/>
          <w:b/>
          <w:bCs/>
          <w:noProof/>
          <w:color w:val="000000" w:themeColor="text1"/>
        </w:rPr>
      </w:pPr>
    </w:p>
    <w:p w:rsidR="00D54ECC" w:rsidRDefault="009F60F6">
      <w:pPr>
        <w:pStyle w:val="ListDash"/>
        <w:keepNext/>
        <w:spacing w:after="120"/>
        <w:ind w:left="1134" w:hanging="1134"/>
        <w:rPr>
          <w:noProof/>
          <w:color w:val="000000" w:themeColor="text1"/>
        </w:rPr>
      </w:pPr>
      <w:r>
        <w:rPr>
          <w:rStyle w:val="None"/>
          <w:b/>
          <w:noProof/>
          <w:color w:val="000000" w:themeColor="text1"/>
        </w:rPr>
        <w:t xml:space="preserve">13. intézkedés: </w:t>
      </w:r>
      <w:r>
        <w:rPr>
          <w:noProof/>
        </w:rPr>
        <w:tab/>
      </w:r>
      <w:r>
        <w:rPr>
          <w:rStyle w:val="None"/>
          <w:b/>
          <w:noProof/>
          <w:color w:val="000000" w:themeColor="text1"/>
        </w:rPr>
        <w:t xml:space="preserve">A „kék” tudományba </w:t>
      </w:r>
      <w:r>
        <w:rPr>
          <w:rStyle w:val="None"/>
          <w:b/>
          <w:noProof/>
          <w:color w:val="000000" w:themeColor="text1"/>
        </w:rPr>
        <w:t>való befektetés és az innováció erősítése</w:t>
      </w:r>
    </w:p>
    <w:p w:rsidR="00D54ECC" w:rsidRDefault="00D54ECC">
      <w:pPr>
        <w:pStyle w:val="Text2"/>
        <w:spacing w:after="120"/>
        <w:ind w:left="0"/>
        <w:rPr>
          <w:noProof/>
          <w:color w:val="000000" w:themeColor="text1"/>
        </w:rPr>
      </w:pPr>
    </w:p>
    <w:p w:rsidR="00D54ECC" w:rsidRDefault="009F60F6">
      <w:pPr>
        <w:pStyle w:val="Text2"/>
        <w:spacing w:after="120"/>
        <w:ind w:left="0"/>
        <w:rPr>
          <w:noProof/>
          <w:color w:val="000000" w:themeColor="text1"/>
        </w:rPr>
      </w:pPr>
      <w:r>
        <w:rPr>
          <w:noProof/>
          <w:color w:val="000000" w:themeColor="text1"/>
        </w:rPr>
        <w:t>Az EU és tagállamai évente mintegy 2 milliárd EUR-t költenek tengerkutatásra. Több mint 260 millió EUR forrása a Horizont 2020 kutatási és innovációs program. Fontosnak tartjuk, hogy továbbra is ilyen ambiciózus c</w:t>
      </w:r>
      <w:r>
        <w:rPr>
          <w:noProof/>
          <w:color w:val="000000" w:themeColor="text1"/>
        </w:rPr>
        <w:t>élokat tartsunk fenn. Az egyik „kék növekedésre” összpontosító terület az ágazatokon átívelő tengerkutatásra és tengerhasznosítási célú kutatásra irányul, valamint támogatja az óceánokkal összefüggő politikákat, ideértve a halászatot, a tengeri energiát és</w:t>
      </w:r>
      <w:r>
        <w:rPr>
          <w:noProof/>
          <w:color w:val="000000" w:themeColor="text1"/>
        </w:rPr>
        <w:t xml:space="preserve"> a tengeri szállítást is.</w:t>
      </w:r>
    </w:p>
    <w:p w:rsidR="00D54ECC" w:rsidRDefault="009F60F6">
      <w:pPr>
        <w:pStyle w:val="Text2"/>
        <w:spacing w:after="120"/>
        <w:ind w:left="0"/>
        <w:rPr>
          <w:noProof/>
          <w:color w:val="000000" w:themeColor="text1"/>
        </w:rPr>
      </w:pPr>
      <w:r>
        <w:rPr>
          <w:noProof/>
          <w:color w:val="000000" w:themeColor="text1"/>
        </w:rPr>
        <w:t>A tagállamok egyre fokozottabban összehangolják vagy integrálják kutatási programjaikat annak érdekében, hogy a közös problémákat uniós szinten (például az „Egészséges és termékeny tengerek és óceánok” közös programozási kezdemény</w:t>
      </w:r>
      <w:r>
        <w:rPr>
          <w:noProof/>
          <w:color w:val="000000" w:themeColor="text1"/>
        </w:rPr>
        <w:t>ezésen, a fekete-tengeri horizont és az EMBLAS projekteken keresztül) és a tengermedence szintjén (például a balti-tengeri BONUS és a földközi-tengeri BLUEMED kezdeményezéseken keresztül) kezeljék.</w:t>
      </w:r>
    </w:p>
    <w:p w:rsidR="00D54ECC" w:rsidRDefault="009F60F6">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Az európai tudományosadat-felhő kezdeményezés</w:t>
      </w:r>
      <w:r>
        <w:rPr>
          <w:rStyle w:val="FootnoteReference"/>
          <w:i/>
          <w:noProof/>
          <w:color w:val="000000" w:themeColor="text1"/>
        </w:rPr>
        <w:footnoteReference w:id="27"/>
      </w:r>
      <w:r>
        <w:rPr>
          <w:i/>
          <w:noProof/>
          <w:color w:val="000000" w:themeColor="text1"/>
        </w:rPr>
        <w:t xml:space="preserve"> keretében a Bizottság „kék tudományosadat-felhő kísérleti programot” indít, és továbbra is beruház a tengerkutatásba és az innovációba.</w:t>
      </w:r>
    </w:p>
    <w:p w:rsidR="00D54ECC" w:rsidRDefault="009F60F6">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A Bizottság a G7 partnerekkel együtt törekszik arra, hogy előmozdítsa a G7 „Az óceánok jövője” elnevezésű új kezdeménye</w:t>
      </w:r>
      <w:r>
        <w:rPr>
          <w:i/>
          <w:noProof/>
          <w:color w:val="000000" w:themeColor="text1"/>
        </w:rPr>
        <w:t>zését, amely az óceánok és tengerek kutatásának és megfigyelésének javítását célozza.</w:t>
      </w:r>
    </w:p>
    <w:p w:rsidR="00D54ECC" w:rsidRDefault="00D54ECC">
      <w:pPr>
        <w:pStyle w:val="Text2"/>
        <w:spacing w:after="120"/>
        <w:ind w:left="1134" w:hanging="1134"/>
        <w:rPr>
          <w:rStyle w:val="None"/>
          <w:rFonts w:cs="Times New Roman"/>
          <w:b/>
          <w:bCs/>
          <w:noProof/>
          <w:color w:val="000000" w:themeColor="text1"/>
        </w:rPr>
      </w:pPr>
    </w:p>
    <w:p w:rsidR="00D54ECC" w:rsidRDefault="009F60F6">
      <w:pPr>
        <w:pStyle w:val="Text2"/>
        <w:spacing w:after="120"/>
        <w:ind w:left="1134" w:hanging="1134"/>
        <w:rPr>
          <w:noProof/>
          <w:color w:val="000000" w:themeColor="text1"/>
        </w:rPr>
      </w:pPr>
      <w:r>
        <w:rPr>
          <w:rStyle w:val="None"/>
          <w:b/>
          <w:noProof/>
          <w:color w:val="000000" w:themeColor="text1"/>
        </w:rPr>
        <w:t>14. intézkedés:</w:t>
      </w:r>
      <w:r>
        <w:rPr>
          <w:noProof/>
        </w:rPr>
        <w:tab/>
      </w:r>
      <w:r>
        <w:rPr>
          <w:rStyle w:val="None"/>
          <w:b/>
          <w:noProof/>
          <w:color w:val="000000" w:themeColor="text1"/>
        </w:rPr>
        <w:t>Nemzetközi óceánkutatás, innovációs és tudományos partnerségek</w:t>
      </w:r>
    </w:p>
    <w:p w:rsidR="00D54ECC" w:rsidRDefault="00D54ECC">
      <w:pPr>
        <w:pStyle w:val="Text2"/>
        <w:spacing w:after="120"/>
        <w:ind w:left="0"/>
        <w:rPr>
          <w:noProof/>
          <w:color w:val="000000" w:themeColor="text1"/>
        </w:rPr>
      </w:pPr>
    </w:p>
    <w:p w:rsidR="00D54ECC" w:rsidRDefault="009F60F6">
      <w:pPr>
        <w:pStyle w:val="Text2"/>
        <w:spacing w:after="120"/>
        <w:ind w:left="0"/>
        <w:rPr>
          <w:strike/>
          <w:noProof/>
          <w:color w:val="000000" w:themeColor="text1"/>
        </w:rPr>
      </w:pPr>
      <w:r>
        <w:rPr>
          <w:noProof/>
          <w:color w:val="000000" w:themeColor="text1"/>
        </w:rPr>
        <w:t>Az EU-ban zajló óceánkutatásnak és az óceánokkal kapcsolatos tudományos munkának jelentős</w:t>
      </w:r>
      <w:r>
        <w:rPr>
          <w:noProof/>
          <w:color w:val="000000" w:themeColor="text1"/>
        </w:rPr>
        <w:t xml:space="preserve"> előnye származhat az Unión kívüli intézményekkel folytatott együttműködésből. Az EU, az USA és Kanada között az atlanti-óceáni kutatási együttműködésre vonatkozóan 2013-ban létrejött galwayi nyilatkozat döntő előrelépés volt e tekintetben. A Bizottság fol</w:t>
      </w:r>
      <w:r>
        <w:rPr>
          <w:noProof/>
          <w:color w:val="000000" w:themeColor="text1"/>
        </w:rPr>
        <w:t>ytatja a galwayi nyilatkozat végrehajtását.</w:t>
      </w:r>
    </w:p>
    <w:p w:rsidR="00D54ECC" w:rsidRDefault="009F60F6">
      <w:pPr>
        <w:spacing w:after="120"/>
        <w:jc w:val="both"/>
        <w:rPr>
          <w:rFonts w:eastAsia="Arial Unicode MS" w:cs="Arial Unicode MS"/>
          <w:noProof/>
          <w:color w:val="000000" w:themeColor="text1"/>
          <w:u w:color="000000"/>
        </w:rPr>
      </w:pPr>
      <w:r>
        <w:rPr>
          <w:noProof/>
          <w:color w:val="000000" w:themeColor="text1"/>
          <w:u w:color="000000"/>
        </w:rPr>
        <w:t>Az innovációhoz és a versenyképességhez szükséges képességek fejlesztése érdekében a Bizottság továbbra is támogatja a tengeri technológiára vonatkozó, az ágazat által irányított partnerséget</w:t>
      </w:r>
      <w:r>
        <w:rPr>
          <w:noProof/>
        </w:rPr>
        <w:t xml:space="preserve"> – a készségekkel kap</w:t>
      </w:r>
      <w:r>
        <w:rPr>
          <w:noProof/>
        </w:rPr>
        <w:t>csolatos ágazati együttműködésre vonatkozó tervezettel összefüggésben</w:t>
      </w:r>
      <w:r>
        <w:rPr>
          <w:noProof/>
          <w:color w:val="000000" w:themeColor="text1"/>
          <w:u w:color="000000"/>
        </w:rPr>
        <w:t>.</w:t>
      </w:r>
    </w:p>
    <w:p w:rsidR="00D54ECC" w:rsidRDefault="009F60F6">
      <w:pPr>
        <w:spacing w:after="120"/>
        <w:jc w:val="both"/>
        <w:rPr>
          <w:noProof/>
          <w:color w:val="000000" w:themeColor="text1"/>
        </w:rPr>
      </w:pPr>
      <w:r>
        <w:rPr>
          <w:noProof/>
          <w:color w:val="000000" w:themeColor="text1"/>
        </w:rPr>
        <w:t>A tengerekkel kapcsolatos tudomány és technológia területén megvalósuló fokozottabb nemzetközi együttműködés elősegítésére vonatkozó OECD-ajánlást követve a Bizottság feltárja olyan nem</w:t>
      </w:r>
      <w:r>
        <w:rPr>
          <w:noProof/>
          <w:color w:val="000000" w:themeColor="text1"/>
        </w:rPr>
        <w:t>zetközi hálózatok létrehozásának lehetőségeit, amelyek célja a meglévő eszközökhöz illeszkedő innovatív tengerhasznosítási technológiákkal kapcsolatos tapasztalatok cseréje.</w:t>
      </w:r>
    </w:p>
    <w:p w:rsidR="00D54ECC" w:rsidRDefault="009F60F6">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noProof/>
        </w:rPr>
        <w:t xml:space="preserve">A Bizottság a meglévő tudományos és technológiai megállapodások alapján </w:t>
      </w:r>
      <w:r>
        <w:rPr>
          <w:noProof/>
        </w:rPr>
        <w:t>tengerkutatási és tudományos partnerségeket alakít ki a kiemelt partnerekkel, köztük adott esetben óceáni partnerségeket és világméretű szövetségeket, amelyekben a Bizottság tag (ilyen például a Belmonti Fórum vagy a Földmegfigyelési Csoport).</w:t>
      </w:r>
    </w:p>
    <w:p w:rsidR="00D54ECC" w:rsidRDefault="009F60F6">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A Bizottság </w:t>
      </w:r>
      <w:r>
        <w:rPr>
          <w:i/>
          <w:noProof/>
          <w:color w:val="000000" w:themeColor="text1"/>
        </w:rPr>
        <w:t>az Atlanti-óceán déli részén a kiemelt szereplőkkel való fokozott tengeri együttműködési keret elősegítésével megerősíti az atlanti-óceáni kutatási szövetséggel kapcsolatos munkáját.</w:t>
      </w:r>
    </w:p>
    <w:p w:rsidR="00D54ECC" w:rsidRDefault="009F60F6">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A Bizottság továbbra is törekszik arra, hogy a dél-mediterrán országokat </w:t>
      </w:r>
      <w:r>
        <w:rPr>
          <w:i/>
          <w:noProof/>
          <w:color w:val="000000" w:themeColor="text1"/>
        </w:rPr>
        <w:t xml:space="preserve">bevonja a BLUEMED kezdeményezésbe. </w:t>
      </w:r>
      <w:r>
        <w:rPr>
          <w:noProof/>
        </w:rPr>
        <w:t>Emellett – a fekete-tengeri szinergia keretében – megerősíti a Fekete-tengerrel kapcsolatos tudományos, kutatási és innovációs részvételét.</w:t>
      </w:r>
    </w:p>
    <w:p w:rsidR="00D54ECC" w:rsidRDefault="00D54ECC">
      <w:pPr>
        <w:pStyle w:val="Heading"/>
        <w:spacing w:after="120"/>
        <w:rPr>
          <w:rStyle w:val="None"/>
          <w:rFonts w:cs="Times New Roman"/>
          <w:b w:val="0"/>
          <w:bCs w:val="0"/>
          <w:smallCaps w:val="0"/>
          <w:noProof/>
          <w:color w:val="000000" w:themeColor="text1"/>
        </w:rPr>
      </w:pPr>
    </w:p>
    <w:p w:rsidR="00D54ECC" w:rsidRDefault="009F60F6">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Következtetés</w:t>
      </w:r>
    </w:p>
    <w:p w:rsidR="00D54ECC" w:rsidRDefault="00D54ECC">
      <w:pPr>
        <w:pStyle w:val="Body"/>
        <w:spacing w:after="120"/>
        <w:rPr>
          <w:rFonts w:cs="Times New Roman"/>
          <w:noProof/>
        </w:rPr>
      </w:pPr>
    </w:p>
    <w:p w:rsidR="00D54ECC" w:rsidRDefault="009F60F6">
      <w:pPr>
        <w:pStyle w:val="Body"/>
        <w:spacing w:after="120"/>
        <w:rPr>
          <w:rFonts w:cs="Times New Roman"/>
          <w:noProof/>
        </w:rPr>
      </w:pPr>
      <w:r>
        <w:rPr>
          <w:noProof/>
        </w:rPr>
        <w:t>Az EU-nak jelentős felelőssége van az óceánokért és tengerekér</w:t>
      </w:r>
      <w:r>
        <w:rPr>
          <w:noProof/>
        </w:rPr>
        <w:t>t. Fontos szerepet tölt be mint a fenntartható fejlődés védelmezője, az óceánpolitikai irányítási keret globális szereplője és az óceáni erőforrások felhasználója. Az EU-nak fel kell gyorsítania erőfeszítéseit annak biztosítása érdekében, hogy az óceánok b</w:t>
      </w:r>
      <w:r>
        <w:rPr>
          <w:noProof/>
        </w:rPr>
        <w:t>iztonságosak, védettek, tiszták legyenek, és fenntarthatóan gazdálkodjanak velük – a jelen és a jövő generációk javára.</w:t>
      </w:r>
    </w:p>
    <w:p w:rsidR="00D54ECC" w:rsidRDefault="009F60F6">
      <w:pPr>
        <w:pStyle w:val="Text2"/>
        <w:spacing w:after="120"/>
        <w:ind w:left="0"/>
        <w:rPr>
          <w:rFonts w:cs="Times New Roman"/>
          <w:noProof/>
          <w:color w:val="000000" w:themeColor="text1"/>
        </w:rPr>
      </w:pPr>
      <w:r>
        <w:rPr>
          <w:noProof/>
          <w:color w:val="000000" w:themeColor="text1"/>
        </w:rPr>
        <w:t xml:space="preserve">A Bizottság és a főképviselő elkötelezettek az óceánpolitikai irányítás tökéletesítése iránt, a fenti kiemelt területeket a középpontba </w:t>
      </w:r>
      <w:r>
        <w:rPr>
          <w:noProof/>
          <w:color w:val="000000" w:themeColor="text1"/>
        </w:rPr>
        <w:t>állítva. Ennek során előmozdítják azon uniós politikák és stratégiák közötti szinergiákat, amelyek – például a tengerhajózási biztonság növelése és a fenntartható fejlődés előnyben részesítése útján – segíthetik a megfelelőbb óceánpolitikai irányítást.</w:t>
      </w:r>
    </w:p>
    <w:p w:rsidR="00D54ECC" w:rsidRDefault="009F60F6">
      <w:pPr>
        <w:pStyle w:val="Text2"/>
        <w:spacing w:after="120"/>
        <w:ind w:left="0"/>
        <w:rPr>
          <w:rFonts w:cs="Times New Roman"/>
          <w:strike/>
          <w:noProof/>
          <w:color w:val="000000" w:themeColor="text1"/>
        </w:rPr>
      </w:pPr>
      <w:r>
        <w:rPr>
          <w:noProof/>
          <w:color w:val="000000" w:themeColor="text1"/>
        </w:rPr>
        <w:t>Kap</w:t>
      </w:r>
      <w:r>
        <w:rPr>
          <w:noProof/>
          <w:color w:val="000000" w:themeColor="text1"/>
        </w:rPr>
        <w:t xml:space="preserve">csolatot alakítanak ki a tagállamokkal, nemzetközi szervezetekkel és partnerekkel, regionális szervezetekkel és érdekelt felekkel a tervezett fellépések előmozdítása, valamint a nemzetközi óceánpolitikai irányítás erősítése mikéntjének feltárása céljából. </w:t>
      </w:r>
      <w:r>
        <w:rPr>
          <w:noProof/>
          <w:color w:val="000000" w:themeColor="text1"/>
        </w:rPr>
        <w:t>A Bizottság a főképviselő részvétele mellett létrehozza az érdekelt felek uniós fórumát, amely a világ óceánjaival és tengereivel foglalkozik. Támogatja a jelen kezdeményezés nyomon követését, és rendszeres párbeszédet alakít ki az Uniónak a nemzetközi óce</w:t>
      </w:r>
      <w:r>
        <w:rPr>
          <w:noProof/>
          <w:color w:val="000000" w:themeColor="text1"/>
        </w:rPr>
        <w:t>ánpolitikai irányítás javítására irányuló erőfeszítéseivel kapcsolatban. A fórum 2017-ben tartja első ülését.</w:t>
      </w:r>
    </w:p>
    <w:p w:rsidR="00D54ECC" w:rsidRDefault="009F60F6">
      <w:pPr>
        <w:pStyle w:val="Text2"/>
        <w:spacing w:after="120"/>
        <w:ind w:left="0"/>
        <w:rPr>
          <w:rFonts w:cs="Times New Roman"/>
          <w:noProof/>
          <w:color w:val="000000" w:themeColor="text1"/>
        </w:rPr>
      </w:pPr>
      <w:r>
        <w:rPr>
          <w:noProof/>
          <w:color w:val="000000" w:themeColor="text1"/>
        </w:rPr>
        <w:t xml:space="preserve">A Bizottság és a főképviselő rendszeres időközönként, először e közlemény elfogadásától számított két éven belül beszámol a fenti intézkedésekkel </w:t>
      </w:r>
      <w:r>
        <w:rPr>
          <w:noProof/>
          <w:color w:val="000000" w:themeColor="text1"/>
        </w:rPr>
        <w:t>kapcsolatos előrehaladásról.</w:t>
      </w:r>
    </w:p>
    <w:sectPr w:rsidR="00D54ECC">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ECC" w:rsidRDefault="009F60F6">
      <w:r>
        <w:separator/>
      </w:r>
    </w:p>
  </w:endnote>
  <w:endnote w:type="continuationSeparator" w:id="0">
    <w:p w:rsidR="00D54ECC" w:rsidRDefault="009F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F6" w:rsidRDefault="009F6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ECC" w:rsidRDefault="009F60F6" w:rsidP="009F60F6">
    <w:pPr>
      <w:pStyle w:val="FooterCoverPage"/>
      <w:numPr>
        <w:ilvl w:val="0"/>
        <w:numId w:val="0"/>
      </w:numPr>
      <w:ind w:left="-850"/>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F6" w:rsidRDefault="009F60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ECC" w:rsidRDefault="00D54E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ECC" w:rsidRDefault="009F60F6">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D54ECC" w:rsidRDefault="009F60F6">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D54ECC" w:rsidRDefault="00D54ECC">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ECC" w:rsidRDefault="009F60F6">
      <w:r>
        <w:separator/>
      </w:r>
    </w:p>
  </w:footnote>
  <w:footnote w:type="continuationSeparator" w:id="0">
    <w:p w:rsidR="00D54ECC" w:rsidRDefault="009F60F6">
      <w:r>
        <w:continuationSeparator/>
      </w:r>
    </w:p>
  </w:footnote>
  <w:footnote w:id="1">
    <w:p w:rsidR="00D54ECC" w:rsidRDefault="009F60F6">
      <w:pPr>
        <w:pStyle w:val="FootnoteText"/>
        <w:spacing w:after="0"/>
        <w:ind w:left="142" w:hanging="142"/>
      </w:pPr>
      <w:r>
        <w:rPr>
          <w:vertAlign w:val="superscript"/>
        </w:rPr>
        <w:footnoteRef/>
      </w:r>
      <w:r>
        <w:t xml:space="preserve"> </w:t>
      </w:r>
      <w:r>
        <w:tab/>
      </w:r>
      <w:r>
        <w:rPr>
          <w:i/>
        </w:rPr>
        <w:t>The ocean economy in 2030</w:t>
      </w:r>
      <w:r>
        <w:t>, OECD Publishing, Párizs (2016).</w:t>
      </w:r>
    </w:p>
  </w:footnote>
  <w:footnote w:id="2">
    <w:p w:rsidR="00D54ECC" w:rsidRDefault="009F60F6">
      <w:pPr>
        <w:pStyle w:val="FootnoteText"/>
        <w:spacing w:after="0"/>
        <w:ind w:left="142" w:hanging="142"/>
        <w:rPr>
          <w:lang w:val="en-US"/>
        </w:rPr>
      </w:pPr>
      <w:r>
        <w:rPr>
          <w:rStyle w:val="FootnoteReference"/>
        </w:rPr>
        <w:footnoteRef/>
      </w:r>
      <w:r>
        <w:t xml:space="preserve"> </w:t>
      </w:r>
      <w:r>
        <w:rPr>
          <w:i/>
        </w:rPr>
        <w:t>Climate change 2014 – Impacts, adaptation and vulnerability,</w:t>
      </w:r>
      <w:r>
        <w:t xml:space="preserve"> IPCC Fifth Assessment Report WGII, 6. fejezet. </w:t>
      </w:r>
    </w:p>
  </w:footnote>
  <w:footnote w:id="3">
    <w:p w:rsidR="00D54ECC" w:rsidRDefault="009F60F6">
      <w:pPr>
        <w:pStyle w:val="FootnoteText"/>
        <w:ind w:left="142" w:hanging="142"/>
      </w:pPr>
      <w:r>
        <w:rPr>
          <w:rStyle w:val="FootnoteReference"/>
        </w:rPr>
        <w:footnoteRef/>
      </w:r>
      <w:r>
        <w:t xml:space="preserve"> </w:t>
      </w:r>
      <w:r>
        <w:tab/>
      </w:r>
      <w:r>
        <w:t>Az óceánok és a partok az SDG14-en (óceánok) kívül számos fenntartható fejlesztési célhoz kapcsolódnak, köztük a szegénység felszámolásához (1. fenntartható fejlesztési cél), az élelmezésbiztonsághoz és a fenntartható mezőgazdasághoz (2. fenntartható fejle</w:t>
      </w:r>
      <w:r>
        <w:t>sztési cél), az egészséges élethez (3. fenntartható fejlesztési cél), a tiszta vízhez és a megfelelő higiénés körülményekhez (6. fenntartható fejlesztési cél), a modern energiához (7. fenntartható fejlesztési cél), a növekedéshez és a foglalkoztatáshoz (8.</w:t>
      </w:r>
      <w:r>
        <w:t xml:space="preserve"> fenntartható fejlesztési cél), az éghajlatváltozáshoz (13. fenntartható fejlesztési cél), az ökoszisztémákhoz és a biodiverzitáshoz (15. fenntartható fejlesztési cél) és a partnerségekhez (17. fenntartható fejlesztési cél).</w:t>
      </w:r>
    </w:p>
  </w:footnote>
  <w:footnote w:id="4">
    <w:p w:rsidR="00D54ECC" w:rsidRDefault="009F60F6">
      <w:pPr>
        <w:pStyle w:val="FootnoteText"/>
        <w:spacing w:after="0"/>
        <w:ind w:left="240" w:hanging="240"/>
      </w:pPr>
      <w:r>
        <w:rPr>
          <w:rStyle w:val="FootnoteReference"/>
        </w:rPr>
        <w:footnoteRef/>
      </w:r>
      <w:r>
        <w:t xml:space="preserve"> </w:t>
      </w:r>
      <w:r>
        <w:tab/>
      </w:r>
      <w:r>
        <w:rPr>
          <w:i/>
        </w:rPr>
        <w:t>Közös jövőkép, közös fellépé</w:t>
      </w:r>
      <w:r>
        <w:rPr>
          <w:i/>
        </w:rPr>
        <w:t>s, erősebb Európa: Globális stratégia az Európai Unió kül- és biztonságpolitikájára vonatkozóan</w:t>
      </w:r>
      <w:r>
        <w:t xml:space="preserve"> (</w:t>
      </w:r>
      <w:r>
        <w:rPr>
          <w:i/>
        </w:rPr>
        <w:t>Shared Vision, Common Action: A Stronger Europe – A Global Strategy for the European Union’s Foreign and Security Policy)</w:t>
      </w:r>
      <w:r>
        <w:t xml:space="preserve"> (2016. június 28.).</w:t>
      </w:r>
    </w:p>
  </w:footnote>
  <w:footnote w:id="5">
    <w:p w:rsidR="00D54ECC" w:rsidRDefault="009F60F6">
      <w:pPr>
        <w:pStyle w:val="FootnoteText"/>
        <w:spacing w:after="0"/>
        <w:ind w:left="240" w:hanging="240"/>
      </w:pPr>
      <w:r>
        <w:rPr>
          <w:rStyle w:val="FootnoteReference"/>
        </w:rPr>
        <w:footnoteRef/>
      </w:r>
      <w:r>
        <w:t xml:space="preserve"> </w:t>
      </w:r>
      <w:r>
        <w:tab/>
        <w:t>Ezek közé tart</w:t>
      </w:r>
      <w:r>
        <w:t>ozik a Nemzetközi Tengerészeti Szervezet (IMO) a tengeri fuvarozás területén, a Nemzetközi Tengerfenék Hatóság (ISA) a tengerfenék-bányászat terén, a FAO és a regionális halászati gazdálkodási szervezetek a halászat terén, az UNEP, a multilaterális környez</w:t>
      </w:r>
      <w:r>
        <w:t xml:space="preserve">etvédelmi megállapodások, a regionális tengeri egyezmények és más multilaterális környezetvédelmi megállapodások a tengeri környezet megóvása és fenntartható hasznosítása tárgyában, valamint az UNESCO-IOC (az UNESCO Kormányközi Oceanográfiai Bizottsága) a </w:t>
      </w:r>
      <w:r>
        <w:t>tudományos célú tengerkutatás területén. Az ENSZ Tengerjogi Egyezménye döntéshozatali mechanizmust is előír az Egyezmény értelmezésével vagy alkalmazásával kapcsolatos viták kötelező peren kívüli rendezésére: a Nemzetközi Tengerjogi Bíróság intézményét.</w:t>
      </w:r>
    </w:p>
  </w:footnote>
  <w:footnote w:id="6">
    <w:p w:rsidR="00D54ECC" w:rsidRDefault="009F60F6">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http://ec.europa.eu/dgs/maritimeaffairs_fisheries/consultations/ocean-governance/doc/ocean-governance-summary_en.pdf</w:t>
      </w:r>
    </w:p>
  </w:footnote>
  <w:footnote w:id="7">
    <w:p w:rsidR="00D54ECC" w:rsidRDefault="009F60F6">
      <w:pPr>
        <w:pStyle w:val="FootnoteText"/>
        <w:spacing w:after="0"/>
        <w:ind w:left="240" w:hanging="240"/>
      </w:pPr>
      <w:r>
        <w:rPr>
          <w:rStyle w:val="FootnoteReference"/>
        </w:rPr>
        <w:footnoteRef/>
      </w:r>
      <w:r>
        <w:t xml:space="preserve"> </w:t>
      </w:r>
      <w:r>
        <w:tab/>
      </w:r>
      <w:r>
        <w:rPr>
          <w:i/>
        </w:rPr>
        <w:t xml:space="preserve">Az ENSZ 2030-ig tartó időszakra vonatkozó fenntartható fejlesztési menetrendje, </w:t>
      </w:r>
      <w:r>
        <w:t xml:space="preserve">14.5. fenntartható fejlesztési cél és a </w:t>
      </w:r>
      <w:r>
        <w:rPr>
          <w:i/>
        </w:rPr>
        <w:t>2011–2020-ig ta</w:t>
      </w:r>
      <w:r>
        <w:rPr>
          <w:i/>
        </w:rPr>
        <w:t>rtó időszakra vonatkozó stratégiai terv</w:t>
      </w:r>
      <w:r>
        <w:t>, a biológiai sokféleségre vonatkozó 11. aichi cél.</w:t>
      </w:r>
    </w:p>
  </w:footnote>
  <w:footnote w:id="8">
    <w:p w:rsidR="00D54ECC" w:rsidRDefault="009F60F6">
      <w:pPr>
        <w:pStyle w:val="FootnoteText"/>
        <w:spacing w:after="0"/>
        <w:ind w:left="240" w:hanging="240"/>
      </w:pPr>
      <w:r>
        <w:rPr>
          <w:rStyle w:val="FootnoteReference"/>
        </w:rPr>
        <w:footnoteRef/>
      </w:r>
      <w:r>
        <w:t xml:space="preserve"> </w:t>
      </w:r>
      <w:r>
        <w:tab/>
        <w:t>P</w:t>
      </w:r>
      <w:r>
        <w:rPr>
          <w:rStyle w:val="None"/>
        </w:rPr>
        <w:t>l. Biológiai Sokféleség Egyezmény/Nemzetközi Tengerészeti Szervezet, Élelmezési és Mezőgazdasági Szervezet/regionális halászati gazdálkodási szervezetek/</w:t>
      </w:r>
      <w:r>
        <w:rPr>
          <w:rStyle w:val="st"/>
        </w:rPr>
        <w:t>Egyezmény a veszélyeztetett vadon élő állat- és növényfajok nemzetközi kereskedelméről</w:t>
      </w:r>
      <w:r>
        <w:rPr>
          <w:rStyle w:val="None"/>
        </w:rPr>
        <w:t>/ Biológiai Sokféleség Egyezmény.</w:t>
      </w:r>
    </w:p>
  </w:footnote>
  <w:footnote w:id="9">
    <w:p w:rsidR="00D54ECC" w:rsidRDefault="009F60F6">
      <w:pPr>
        <w:autoSpaceDE w:val="0"/>
        <w:autoSpaceDN w:val="0"/>
        <w:adjustRightInd w:val="0"/>
        <w:ind w:left="284" w:hanging="284"/>
        <w:rPr>
          <w:sz w:val="20"/>
          <w:szCs w:val="20"/>
        </w:rPr>
      </w:pPr>
      <w:r>
        <w:rPr>
          <w:rStyle w:val="FootnoteReference"/>
        </w:rPr>
        <w:footnoteRef/>
      </w:r>
      <w:r>
        <w:t xml:space="preserve"> </w:t>
      </w:r>
      <w:r>
        <w:tab/>
      </w:r>
      <w:r>
        <w:rPr>
          <w:i/>
          <w:sz w:val="20"/>
        </w:rPr>
        <w:t>Az Európai Unió tengerhajózási biztonsági stratégiája</w:t>
      </w:r>
      <w:r>
        <w:rPr>
          <w:sz w:val="20"/>
        </w:rPr>
        <w:t xml:space="preserve"> (11205/14), amelyet az Általános Ügyek Tanácsa 2014. június 24-én fogadott el.</w:t>
      </w:r>
    </w:p>
  </w:footnote>
  <w:footnote w:id="10">
    <w:p w:rsidR="00D54ECC" w:rsidRDefault="009F60F6">
      <w:pPr>
        <w:pStyle w:val="FootnoteText"/>
        <w:spacing w:after="0"/>
        <w:ind w:left="284" w:hanging="284"/>
      </w:pPr>
      <w:r>
        <w:rPr>
          <w:rStyle w:val="FootnoteReference"/>
        </w:rPr>
        <w:footnoteRef/>
      </w:r>
      <w:r>
        <w:t xml:space="preserve"> </w:t>
      </w:r>
      <w:r>
        <w:tab/>
      </w:r>
      <w:r>
        <w:rPr>
          <w:i/>
        </w:rPr>
        <w:t>Az Európai Unió Guineai-öbölre vonatkozó stratégiája</w:t>
      </w:r>
      <w:r>
        <w:t xml:space="preserve">, amelyet a Külügyek Tanácsa 2014. március 17-én fogadott el; </w:t>
      </w:r>
      <w:r>
        <w:rPr>
          <w:i/>
        </w:rPr>
        <w:t>Az Afrika szarva térségre vonatkozó uniós stratégiai keret</w:t>
      </w:r>
      <w:r>
        <w:t>, amelyet a Külügyek Tanácsa 2011. november 14-én fogadott el.</w:t>
      </w:r>
    </w:p>
  </w:footnote>
  <w:footnote w:id="11">
    <w:p w:rsidR="00D54ECC" w:rsidRDefault="009F60F6">
      <w:pPr>
        <w:pStyle w:val="FootnoteText"/>
        <w:spacing w:after="0"/>
        <w:ind w:left="284" w:hanging="284"/>
      </w:pPr>
      <w:r>
        <w:rPr>
          <w:rStyle w:val="FootnoteReference"/>
        </w:rPr>
        <w:footnoteRef/>
      </w:r>
      <w:r>
        <w:t xml:space="preserve"> </w:t>
      </w:r>
      <w:r>
        <w:tab/>
        <w:t>A Guineai-öbölb</w:t>
      </w:r>
      <w:r>
        <w:t xml:space="preserve">en (Szenegáltól Angoláig) az EU stratégiát dolgozott ki 2014-ben, majd cselekvési tervet 2015-ben, amelyek „átfogó megközelítést” követve támogatják a yaoundéi folyamat afrikai vezetésű, nyugat- és közép-afrikai államfők által 2013 júniusában elhatározott </w:t>
      </w:r>
      <w:r>
        <w:t>kezdeményezését.</w:t>
      </w:r>
    </w:p>
  </w:footnote>
  <w:footnote w:id="12">
    <w:p w:rsidR="00D54ECC" w:rsidRDefault="009F60F6">
      <w:pPr>
        <w:pStyle w:val="FootnoteText"/>
        <w:ind w:left="426" w:hanging="426"/>
      </w:pPr>
      <w:r>
        <w:rPr>
          <w:rStyle w:val="FootnoteReference"/>
        </w:rPr>
        <w:footnoteRef/>
      </w:r>
      <w:r>
        <w:t xml:space="preserve"> Közös közlemény: </w:t>
      </w:r>
      <w:r>
        <w:rPr>
          <w:i/>
        </w:rPr>
        <w:t>Az Európai Unió Északi-sarkvidékre vonatkozó integrált politikája</w:t>
      </w:r>
      <w:r>
        <w:t>, JOIN(2016) 21 final.</w:t>
      </w:r>
    </w:p>
  </w:footnote>
  <w:footnote w:id="13">
    <w:p w:rsidR="00D54ECC" w:rsidRDefault="009F60F6">
      <w:pPr>
        <w:pStyle w:val="FootnoteText"/>
        <w:spacing w:after="0"/>
        <w:ind w:left="240" w:hanging="240"/>
      </w:pPr>
      <w:r>
        <w:rPr>
          <w:rStyle w:val="FootnoteReference"/>
        </w:rPr>
        <w:footnoteRef/>
      </w:r>
      <w:r>
        <w:t xml:space="preserve"> Például a Nemzetközi Tengerfenék Hatóság; az Egyezmény a veszélyeztetett vadon élő állat- és növényfajok nemzetközi kereskedelmérő</w:t>
      </w:r>
      <w:r>
        <w:t>l, az ENSZ Környezetvédelmi Programja, a Gazdasági Együttműködési és Fejlesztési Szervezet, valamint a Kereskedelmi Világszervezet.</w:t>
      </w:r>
    </w:p>
  </w:footnote>
  <w:footnote w:id="14">
    <w:p w:rsidR="00D54ECC" w:rsidRDefault="009F60F6">
      <w:pPr>
        <w:pStyle w:val="Text2"/>
        <w:tabs>
          <w:tab w:val="clear" w:pos="2302"/>
        </w:tabs>
        <w:spacing w:after="0"/>
        <w:ind w:left="240" w:hanging="240"/>
        <w:rPr>
          <w:i/>
          <w:color w:val="auto"/>
          <w:sz w:val="20"/>
          <w:szCs w:val="20"/>
        </w:rPr>
      </w:pPr>
      <w:r>
        <w:rPr>
          <w:rStyle w:val="FootnoteReference"/>
          <w:sz w:val="20"/>
        </w:rPr>
        <w:footnoteRef/>
      </w:r>
      <w:r>
        <w:rPr>
          <w:sz w:val="20"/>
        </w:rPr>
        <w:t xml:space="preserve"> </w:t>
      </w:r>
      <w:r>
        <w:tab/>
      </w:r>
      <w:r>
        <w:rPr>
          <w:i/>
          <w:color w:val="auto"/>
          <w:sz w:val="20"/>
        </w:rPr>
        <w:t>CBD COP XII/23;</w:t>
      </w:r>
    </w:p>
    <w:p w:rsidR="00D54ECC" w:rsidRDefault="009F60F6">
      <w:pPr>
        <w:pStyle w:val="Text2"/>
        <w:tabs>
          <w:tab w:val="clear" w:pos="2302"/>
          <w:tab w:val="left" w:pos="284"/>
        </w:tabs>
        <w:spacing w:after="0"/>
        <w:ind w:left="284"/>
        <w:rPr>
          <w:sz w:val="20"/>
          <w:szCs w:val="20"/>
        </w:rPr>
      </w:pPr>
      <w:hyperlink r:id="rId1">
        <w:r>
          <w:rPr>
            <w:rStyle w:val="Hyperlink"/>
            <w:sz w:val="20"/>
          </w:rPr>
          <w:t>https://www.cbd.int/decision/c</w:t>
        </w:r>
        <w:r>
          <w:rPr>
            <w:rStyle w:val="Hyperlink"/>
            <w:sz w:val="20"/>
          </w:rPr>
          <w:t>op/default.shtml?id=13386</w:t>
        </w:r>
      </w:hyperlink>
    </w:p>
  </w:footnote>
  <w:footnote w:id="15">
    <w:p w:rsidR="00D54ECC" w:rsidRDefault="009F60F6">
      <w:pPr>
        <w:pStyle w:val="FootnoteText"/>
        <w:spacing w:after="0"/>
        <w:ind w:left="240" w:hanging="240"/>
      </w:pPr>
      <w:r>
        <w:rPr>
          <w:rStyle w:val="FootnoteReference"/>
        </w:rPr>
        <w:footnoteRef/>
      </w:r>
      <w:r>
        <w:t xml:space="preserve"> </w:t>
      </w:r>
      <w:r>
        <w:tab/>
        <w:t>https://cites.org/eng/res/index.php</w:t>
      </w:r>
    </w:p>
  </w:footnote>
  <w:footnote w:id="16">
    <w:p w:rsidR="00D54ECC" w:rsidRDefault="009F60F6">
      <w:pPr>
        <w:pStyle w:val="FootnoteText"/>
        <w:spacing w:after="0"/>
        <w:ind w:left="240" w:hanging="240"/>
      </w:pPr>
      <w:r>
        <w:rPr>
          <w:rStyle w:val="FootnoteReference"/>
        </w:rPr>
        <w:footnoteRef/>
      </w:r>
      <w:r>
        <w:t xml:space="preserve"> Többek között a Nemzetközi Tengerészeti Szervezetnek a tengerészek képzéséről, képesítéséről és az őrszolgálat ellátásáról szóló nemzetközi egyezményén (1995) keresztül (STCW-F).</w:t>
      </w:r>
    </w:p>
  </w:footnote>
  <w:footnote w:id="17">
    <w:p w:rsidR="00D54ECC" w:rsidRDefault="009F60F6">
      <w:pPr>
        <w:pStyle w:val="FootnoteText"/>
        <w:spacing w:after="0"/>
        <w:ind w:left="240" w:hanging="240"/>
      </w:pPr>
      <w:r>
        <w:rPr>
          <w:rStyle w:val="FootnoteReference"/>
        </w:rPr>
        <w:footnoteRef/>
      </w:r>
      <w:r>
        <w:t xml:space="preserve"> Ide tart</w:t>
      </w:r>
      <w:r>
        <w:t>oznak: koordinált megközelítés kialakítása a tengerhajózási biztonsággal kapcsolatos kérdésekben nemzetközi fórumokon (pl. ENSZ, G7 és G20) és magas szintű párbeszédeken keresztül; a tengeri területen az uniós regionális válaszok (például az Indiai-óceánon</w:t>
      </w:r>
      <w:r>
        <w:t xml:space="preserve"> a kalóztámadások visszaszorítása céljából folytatott Atalanta művelet és a Földközi-tengeren a csempész- és emberkereskedő hálózatok ellen folytatott EUNAVFOR MED Sophia művelet) erősítése és támogatása; és tengerhajózási biztonsági kapacitásépítés nem un</w:t>
      </w:r>
      <w:r>
        <w:t>iós országokkal és regionális szervezetekkel.</w:t>
      </w:r>
    </w:p>
  </w:footnote>
  <w:footnote w:id="18">
    <w:p w:rsidR="00D54ECC" w:rsidRDefault="009F60F6">
      <w:pPr>
        <w:pStyle w:val="FootnoteText"/>
        <w:spacing w:after="0"/>
        <w:ind w:left="284" w:hanging="284"/>
      </w:pPr>
      <w:r>
        <w:rPr>
          <w:rStyle w:val="FootnoteReference"/>
        </w:rPr>
        <w:footnoteRef/>
      </w:r>
      <w:r>
        <w:t xml:space="preserve"> </w:t>
      </w:r>
      <w:r>
        <w:tab/>
      </w:r>
      <w:r>
        <w:rPr>
          <w:color w:val="000000"/>
        </w:rPr>
        <w:t>2016/1624/EU rendelet az Európai Határ- és Parti Őrségről és az (EU) 2016/399 európai parlamenti és tanácsi rendelet módosításáról, valamint a 863/2007/EK európai parlamenti és tanácsi rendelet, a 2007/2004/</w:t>
      </w:r>
      <w:r>
        <w:rPr>
          <w:color w:val="000000"/>
        </w:rPr>
        <w:t>EK tanácsi rendelet és a 2005/267/EK tanácsi határozat hatályon kívül helyezéséről.</w:t>
      </w:r>
    </w:p>
  </w:footnote>
  <w:footnote w:id="19">
    <w:p w:rsidR="00D54ECC" w:rsidRDefault="009F60F6">
      <w:pPr>
        <w:pStyle w:val="FootnoteText"/>
      </w:pPr>
      <w:r>
        <w:rPr>
          <w:rStyle w:val="FootnoteReference"/>
        </w:rPr>
        <w:footnoteRef/>
      </w:r>
      <w:r>
        <w:t xml:space="preserve"> Nemzetközi egyezmény a hajókról történő szennyezés megelőzéséről; MARPOL 73/78.</w:t>
      </w:r>
    </w:p>
  </w:footnote>
  <w:footnote w:id="20">
    <w:p w:rsidR="00D54ECC" w:rsidRDefault="009F60F6">
      <w:pPr>
        <w:pStyle w:val="FootnoteText"/>
      </w:pPr>
      <w:r>
        <w:rPr>
          <w:rStyle w:val="FootnoteReference"/>
        </w:rPr>
        <w:footnoteRef/>
      </w:r>
      <w:r>
        <w:t xml:space="preserve"> COM(2015) 636 final.</w:t>
      </w:r>
    </w:p>
  </w:footnote>
  <w:footnote w:id="21">
    <w:p w:rsidR="00D54ECC" w:rsidRDefault="009F60F6">
      <w:pPr>
        <w:pStyle w:val="FootnoteText"/>
        <w:tabs>
          <w:tab w:val="left" w:pos="284"/>
        </w:tabs>
        <w:spacing w:after="0"/>
        <w:ind w:left="284" w:hanging="284"/>
      </w:pPr>
      <w:r>
        <w:rPr>
          <w:rStyle w:val="FootnoteReference"/>
        </w:rPr>
        <w:footnoteRef/>
      </w:r>
      <w:r>
        <w:t xml:space="preserve"> A hajókon keletkező hulladék és a rakománymaradványok fogadására </w:t>
      </w:r>
      <w:r>
        <w:t>alkalmas kikötői létesítményekről szóló, 2000. november 27-i 2000/59/EK európai parlamenti és tanácsi irányelv.</w:t>
      </w:r>
    </w:p>
  </w:footnote>
  <w:footnote w:id="22">
    <w:p w:rsidR="00D54ECC" w:rsidRDefault="009F60F6">
      <w:pPr>
        <w:pStyle w:val="FootnoteText"/>
        <w:spacing w:after="0"/>
        <w:ind w:left="284" w:hanging="284"/>
      </w:pPr>
      <w:r>
        <w:rPr>
          <w:rStyle w:val="FootnoteReference"/>
        </w:rPr>
        <w:footnoteRef/>
      </w:r>
      <w:r>
        <w:t xml:space="preserve"> </w:t>
      </w:r>
      <w:r>
        <w:tab/>
        <w:t>Az EU tengeri területrendezésre vonatkozó 2014. évi irányelve, a tengeri területrendezéssel kapcsolatos uniós megközelítésről szóló 2008-as k</w:t>
      </w:r>
      <w:r>
        <w:t>özlemény és a tengeri területrendezésre vonatkozó UNESCO iránymutatás számos olyan elemet meghatározott, amelyek a tengeri területrendezés fejlődését támogatják.</w:t>
      </w:r>
    </w:p>
  </w:footnote>
  <w:footnote w:id="23">
    <w:p w:rsidR="00D54ECC" w:rsidRDefault="009F60F6">
      <w:pPr>
        <w:pStyle w:val="FootnoteText"/>
        <w:spacing w:after="0"/>
      </w:pPr>
      <w:r>
        <w:rPr>
          <w:rStyle w:val="FootnoteReference"/>
        </w:rPr>
        <w:footnoteRef/>
      </w:r>
      <w:r>
        <w:t xml:space="preserve"> O</w:t>
      </w:r>
      <w:r>
        <w:rPr>
          <w:rStyle w:val="Link1"/>
          <w:color w:val="000000"/>
          <w:u w:val="none" w:color="000000"/>
        </w:rPr>
        <w:t>ECD.  (2016), The Ocean Economy in 2030, OECD Publishing, Párizs.</w:t>
      </w:r>
    </w:p>
  </w:footnote>
  <w:footnote w:id="24">
    <w:p w:rsidR="00D54ECC" w:rsidRDefault="009F60F6">
      <w:pPr>
        <w:pStyle w:val="FootnoteText"/>
        <w:spacing w:after="0"/>
        <w:ind w:left="240" w:hanging="240"/>
      </w:pPr>
      <w:r>
        <w:rPr>
          <w:rStyle w:val="FootnoteReference"/>
        </w:rPr>
        <w:footnoteRef/>
      </w:r>
      <w:r>
        <w:t xml:space="preserve"> A regionális halászati gazdálkodási szervezetek, a védett tengeri területekre vonatkozó regionális tengeri egyezmények (Egyezmény az Atlanti-óceán északkeleti körzete tengeri környezetének védelméről – OSPAR-egyezmény), a Nemzetközi Tengerészeti Szervezet</w:t>
      </w:r>
      <w:r>
        <w:t xml:space="preserve"> a különösen érzékeny tengeri területekkel kapcsolatban; a nemzeti joghatóságon kívül eső területeken a védett tengeri területekkel kapcsolatos megbeszélések a BBNJ-tárgyalások (azaz a nemzeti joghatóságon kívüli területeken a tengeri biológiai sokféleség </w:t>
      </w:r>
      <w:r>
        <w:t>megőrzésével kapcsolatos tárgyalások) részét képezik.</w:t>
      </w:r>
    </w:p>
  </w:footnote>
  <w:footnote w:id="25">
    <w:p w:rsidR="00D54ECC" w:rsidRDefault="009F60F6">
      <w:pPr>
        <w:pStyle w:val="FootnoteText"/>
        <w:spacing w:after="0"/>
        <w:ind w:left="426" w:hanging="426"/>
      </w:pPr>
      <w:r>
        <w:rPr>
          <w:rStyle w:val="FootnoteReference"/>
        </w:rPr>
        <w:footnoteRef/>
      </w:r>
      <w:r>
        <w:t xml:space="preserve"> Például uniós finanszírozású projekteken, köztük a védett tengeri területekkel kapcsolatos transzatlanti együttműködésre vonatkozó kísérleti EP-projekten keresztül</w:t>
      </w:r>
      <w:r>
        <w:rPr>
          <w:rStyle w:val="Hyperlink"/>
        </w:rPr>
        <w:t>.</w:t>
      </w:r>
      <w:r>
        <w:t xml:space="preserve"> </w:t>
      </w:r>
    </w:p>
  </w:footnote>
  <w:footnote w:id="26">
    <w:p w:rsidR="00D54ECC" w:rsidRDefault="009F60F6">
      <w:pPr>
        <w:pStyle w:val="FootnoteText"/>
        <w:spacing w:after="0"/>
        <w:ind w:left="426" w:hanging="426"/>
      </w:pPr>
      <w:r>
        <w:rPr>
          <w:rStyle w:val="FootnoteReference"/>
        </w:rPr>
        <w:footnoteRef/>
      </w:r>
      <w:r>
        <w:t xml:space="preserve"> </w:t>
      </w:r>
      <w:hyperlink r:id="rId2">
        <w:r>
          <w:rPr>
            <w:rStyle w:val="Hyperlink"/>
          </w:rPr>
          <w:t>http://www.japan.go.jp/g7/_userdata/common/data/20160517communique.pdf</w:t>
        </w:r>
      </w:hyperlink>
      <w:r>
        <w:rPr>
          <w:rStyle w:val="Hyperlink"/>
        </w:rPr>
        <w:t xml:space="preserve"> </w:t>
      </w:r>
    </w:p>
  </w:footnote>
  <w:footnote w:id="27">
    <w:p w:rsidR="00D54ECC" w:rsidRDefault="009F60F6">
      <w:pPr>
        <w:pStyle w:val="FootnoteText"/>
        <w:ind w:left="426" w:hanging="426"/>
      </w:pPr>
      <w:r>
        <w:rPr>
          <w:rStyle w:val="FootnoteReference"/>
        </w:rPr>
        <w:footnoteRef/>
      </w:r>
      <w:r>
        <w:t xml:space="preserve"> Az </w:t>
      </w:r>
      <w:r>
        <w:rPr>
          <w:i/>
        </w:rPr>
        <w:t>„Európai digitális egységes piaci stratégia”</w:t>
      </w:r>
      <w:r>
        <w:t xml:space="preserve"> című közlemény (COM(2015) 192, 2015.5.6.).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F6" w:rsidRDefault="009F6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F6" w:rsidRDefault="009F60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F6" w:rsidRDefault="009F60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ECC" w:rsidRDefault="00D54EC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ECC" w:rsidRDefault="00D54E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ECC" w:rsidRDefault="00D54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94BA1976EC24432ABDFA0FEDE05E0AC"/>
    <w:docVar w:name="LW_CROSSREFERENCE" w:val="{SWD(2016) 352 final}"/>
    <w:docVar w:name="LW_DocType" w:val="NORMAL"/>
    <w:docVar w:name="LW_EMISSION" w:val="2016.11.10."/>
    <w:docVar w:name="LW_EMISSION_ISODATE" w:val="2016-11-10"/>
    <w:docVar w:name="LW_EMISSION_LOCATION" w:val="BRX"/>
    <w:docVar w:name="LW_EMISSION_PREFIX" w:val="Brüsszel, "/>
    <w:docVar w:name="LW_EMISSION_SUFFIX" w:val=" "/>
    <w:docVar w:name="LW_ID_DOCTYPE_NONLW" w:val="CP-016"/>
    <w:docVar w:name="LW_LANGUE" w:val="HU"/>
    <w:docVar w:name="LW_MARKING" w:val="&lt;UNUSED&gt;"/>
    <w:docVar w:name="LW_NOM.INST" w:val="EURÓPAI BIZOTTSÁG"/>
    <w:docVar w:name="LW_NOM.INST_JOINTDOC" w:val="AZ UNIÓ KÜLÜGYI ÉS_x000b_BIZTONSÁGPOLITIKAI_x000b_F\u336?KÉPVISEL\u336?JE"/>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Nemzetközi óceánpolitikai irányítás: az óceánjaink jöv\u337?jét biztosító menetrend"/>
    <w:docVar w:name="LW_TYPE.DOC.CP" w:val="KÖZÖS KÖZLEMÉNY AZ EURÓPAI PARLAMENTNEK, A TANÁCSNAK, AZ EURÓPAI GAZDASÁGI ÉS SZOCIÁLIS BIZOTTSÁGNAK ÉS A RÉGIÓK BIZOTTSÁGÁNAK"/>
    <w:docVar w:name="LW_TYPE.DOC.CP.USERTEXT" w:val="&lt;EMPTY&gt;"/>
  </w:docVars>
  <w:rsids>
    <w:rsidRoot w:val="00D54ECC"/>
    <w:rsid w:val="009F60F6"/>
    <w:rsid w:val="00D54EC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hu-HU" w:eastAsia="hu-HU" w:bidi="hu-HU"/>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hu-HU" w:eastAsia="hu-HU"/>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hu-HU" w:eastAsia="hu-HU"/>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hu-HU" w:eastAsia="hu-HU"/>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hu-HU" w:eastAsia="hu-HU"/>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hu-HU"/>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hu-HU" w:eastAsia="hu-HU"/>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hu-HU" w:eastAsia="hu-HU"/>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hu-HU"/>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hu-HU"/>
    </w:rPr>
  </w:style>
  <w:style w:type="character" w:customStyle="1" w:styleId="Heading2Char">
    <w:name w:val="Heading 2 Char"/>
    <w:link w:val="Heading2"/>
    <w:semiHidden/>
    <w:rPr>
      <w:b/>
      <w:szCs w:val="20"/>
      <w:lang w:eastAsia="hu-HU"/>
    </w:rPr>
  </w:style>
  <w:style w:type="character" w:customStyle="1" w:styleId="Heading3Char">
    <w:name w:val="Heading 3 Char"/>
    <w:link w:val="Heading3"/>
    <w:semiHidden/>
    <w:rPr>
      <w:i/>
      <w:szCs w:val="20"/>
      <w:lang w:eastAsia="hu-HU"/>
    </w:rPr>
  </w:style>
  <w:style w:type="character" w:customStyle="1" w:styleId="Heading4Char">
    <w:name w:val="Heading 4 Char"/>
    <w:link w:val="Heading4"/>
    <w:semiHidden/>
    <w:rPr>
      <w:szCs w:val="20"/>
      <w:lang w:eastAsia="hu-HU"/>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hu-HU" w:eastAsia="hu-HU"/>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hu-HU"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hu-HU"/>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hu-HU" w:eastAsia="hu-HU" w:bidi="hu-HU"/>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hu-HU" w:eastAsia="hu-HU"/>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hu-HU" w:eastAsia="hu-HU"/>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hu-HU" w:eastAsia="hu-HU"/>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hu-HU" w:eastAsia="hu-HU"/>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hu-HU"/>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hu-HU" w:eastAsia="hu-HU"/>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hu-HU" w:eastAsia="hu-HU"/>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hu-HU"/>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hu-HU"/>
    </w:rPr>
  </w:style>
  <w:style w:type="character" w:customStyle="1" w:styleId="Heading2Char">
    <w:name w:val="Heading 2 Char"/>
    <w:link w:val="Heading2"/>
    <w:semiHidden/>
    <w:rPr>
      <w:b/>
      <w:szCs w:val="20"/>
      <w:lang w:eastAsia="hu-HU"/>
    </w:rPr>
  </w:style>
  <w:style w:type="character" w:customStyle="1" w:styleId="Heading3Char">
    <w:name w:val="Heading 3 Char"/>
    <w:link w:val="Heading3"/>
    <w:semiHidden/>
    <w:rPr>
      <w:i/>
      <w:szCs w:val="20"/>
      <w:lang w:eastAsia="hu-HU"/>
    </w:rPr>
  </w:style>
  <w:style w:type="character" w:customStyle="1" w:styleId="Heading4Char">
    <w:name w:val="Heading 4 Char"/>
    <w:link w:val="Heading4"/>
    <w:semiHidden/>
    <w:rPr>
      <w:szCs w:val="20"/>
      <w:lang w:eastAsia="hu-HU"/>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hu-HU" w:eastAsia="hu-HU"/>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hu-HU"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hu-HU"/>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DBBA-D06F-440A-A60B-FC5EA8C3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7483</Words>
  <Characters>42655</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50038</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25</cp:revision>
  <cp:lastPrinted>2016-10-27T13:22:00Z</cp:lastPrinted>
  <dcterms:created xsi:type="dcterms:W3CDTF">2016-10-27T13:20:00Z</dcterms:created>
  <dcterms:modified xsi:type="dcterms:W3CDTF">2016-11-10T10:13:00Z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