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D5" w:rsidRDefault="00A013AE">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3155AFE6AD64EC795E043785F90500E" style="width:451pt;height:334pt">
            <v:imagedata r:id="rId9" o:title=""/>
          </v:shape>
        </w:pict>
      </w:r>
    </w:p>
    <w:bookmarkEnd w:id="0"/>
    <w:p w:rsidR="007B47D5" w:rsidRDefault="007B47D5">
      <w:pPr>
        <w:rPr>
          <w:noProof/>
        </w:rPr>
        <w:sectPr w:rsidR="007B47D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299"/>
        </w:sectPr>
      </w:pPr>
    </w:p>
    <w:p w:rsidR="007B47D5" w:rsidRDefault="00A013AE">
      <w:pPr>
        <w:pStyle w:val="Heading1"/>
        <w:rPr>
          <w:noProof/>
        </w:rPr>
      </w:pPr>
      <w:r>
        <w:rPr>
          <w:noProof/>
        </w:rPr>
        <w:lastRenderedPageBreak/>
        <w:t>Bevezetés és háttér</w:t>
      </w:r>
    </w:p>
    <w:p w:rsidR="007B47D5" w:rsidRDefault="00A013AE">
      <w:pPr>
        <w:jc w:val="both"/>
        <w:rPr>
          <w:noProof/>
        </w:rPr>
      </w:pPr>
      <w:r>
        <w:rPr>
          <w:noProof/>
        </w:rPr>
        <w:t xml:space="preserve">A Tanács felkérte a Bizottságot, hogy háromévente készítsen jelentést az </w:t>
      </w:r>
      <w:r>
        <w:rPr>
          <w:i/>
          <w:noProof/>
        </w:rPr>
        <w:t>egészségvédő testmozgás ágazatközi előmozdításáról</w:t>
      </w:r>
      <w:r>
        <w:rPr>
          <w:noProof/>
        </w:rPr>
        <w:t xml:space="preserve"> szóló, 2013. novemberben elfogadott tanácsi ajánlás</w:t>
      </w:r>
      <w:r>
        <w:rPr>
          <w:rStyle w:val="FootnoteReference"/>
          <w:noProof/>
        </w:rPr>
        <w:footnoteReference w:id="1"/>
      </w:r>
      <w:r>
        <w:rPr>
          <w:noProof/>
        </w:rPr>
        <w:t xml:space="preserve"> (a továbbiakban: tanácsi ajánlás) végrehajtásában elért eredményekről, valamint annak hozzáadott értékéről. Az eredményekről szóló jelentés a 2014–2016 </w:t>
      </w:r>
      <w:r>
        <w:rPr>
          <w:noProof/>
        </w:rPr>
        <w:t>közötti időszakra vonatkozik.</w:t>
      </w:r>
    </w:p>
    <w:p w:rsidR="007B47D5" w:rsidRDefault="00A013AE">
      <w:pPr>
        <w:jc w:val="both"/>
        <w:rPr>
          <w:noProof/>
        </w:rPr>
      </w:pPr>
      <w:r>
        <w:rPr>
          <w:noProof/>
        </w:rPr>
        <w:t>Európában a legtöbb ember nem teljesíti az Egészségügyi Világszervezet (WHO) által ajánlott minimális fizikai aktivitási szintet.</w:t>
      </w:r>
      <w:r>
        <w:rPr>
          <w:rStyle w:val="FootnoteReference"/>
          <w:noProof/>
        </w:rPr>
        <w:footnoteReference w:id="2"/>
      </w:r>
      <w:r>
        <w:rPr>
          <w:noProof/>
        </w:rPr>
        <w:t xml:space="preserve"> Különösen az alacsony társadalmi-gazdasági háttérrel rendelkezők, a kisebbségi etnikai csoporto</w:t>
      </w:r>
      <w:r>
        <w:rPr>
          <w:noProof/>
        </w:rPr>
        <w:t xml:space="preserve">k tagjai, valamint a fogyatékkal élők nem eléggé aktívak fizikailag. Az uniós tagállamok elfogadták, hogy szükség van az egészségvédő testmozgásra irányuló nemzeti szakpolitikák fejlesztésére és elismerték az uniós szintű fellépés előnyeit, ami 2013-ban a </w:t>
      </w:r>
      <w:r>
        <w:rPr>
          <w:noProof/>
        </w:rPr>
        <w:t xml:space="preserve">Bizottság javaslata alapján az egészségvédő testmozgásról szóló tanácsi ajánlás elfogadásához vezetett. A közelmúltban a Tanács elfogadta a </w:t>
      </w:r>
      <w:r>
        <w:rPr>
          <w:i/>
          <w:noProof/>
        </w:rPr>
        <w:t>gyermekek motoros készségeinek, testmozgásának és sporttevékenységeinek előmozdításáról</w:t>
      </w:r>
      <w:r>
        <w:rPr>
          <w:noProof/>
        </w:rPr>
        <w:t xml:space="preserve"> szóló következtetéseket.</w:t>
      </w:r>
      <w:r>
        <w:rPr>
          <w:rStyle w:val="FootnoteReference"/>
          <w:noProof/>
        </w:rPr>
        <w:footnoteReference w:id="3"/>
      </w:r>
      <w:r>
        <w:rPr>
          <w:noProof/>
        </w:rPr>
        <w:t xml:space="preserve"> Fe</w:t>
      </w:r>
      <w:r>
        <w:rPr>
          <w:noProof/>
        </w:rPr>
        <w:t>lkérte a tagállamokat, hogy hívják fel a figyelmet a kora gyermekkortól kezdve folytatott rendszeres testmozgás előnyeire, valamint, hogy például az oktatási, ifjúsági és egészségügyi területeken ágazatközi szakpolitikák végrehajtása révén ösztönözzék foko</w:t>
      </w:r>
      <w:r>
        <w:rPr>
          <w:noProof/>
        </w:rPr>
        <w:t>zott aktivitásra a gyermekeket.</w:t>
      </w:r>
    </w:p>
    <w:p w:rsidR="007B47D5" w:rsidRDefault="00A013AE">
      <w:pPr>
        <w:jc w:val="both"/>
        <w:rPr>
          <w:rFonts w:ascii="Times New Roman" w:eastAsia="Times New Roman" w:hAnsi="Times New Roman"/>
          <w:noProof/>
          <w:sz w:val="24"/>
          <w:szCs w:val="24"/>
        </w:rPr>
      </w:pPr>
      <w:r>
        <w:rPr>
          <w:noProof/>
        </w:rPr>
        <w:t>A tanácsi ajánlás arra ösztönzi az EU tagállamait, hogy nemzeti stratégiáikban és cselekvési terveikben ágazatokon átívelően lépjenek fel, bevonva többek között a sport, az egészségügy, az oktatás, a környezetvédelem és a kö</w:t>
      </w:r>
      <w:r>
        <w:rPr>
          <w:noProof/>
        </w:rPr>
        <w:t>zlekedés szakterületét. Arra is felhívja a tagállamokat, hogy szorosan működjenek együtt egymással és a Bizottsággal, rendszeresen kicserélve egymással az információkat és bevált gyakorlatokat. Ezenfelül a Tanács elismerte, hogy az Unióban fennálló helyzet</w:t>
      </w:r>
      <w:r>
        <w:rPr>
          <w:noProof/>
        </w:rPr>
        <w:t>re vonatkozó megbízhatóbb és naprakészebb információk lényegesek a nemzeti és a regionális politikaformálás támogatása érdekében, ezért az EU testmozgásra vonatkozó iránymutatásain</w:t>
      </w:r>
      <w:r>
        <w:rPr>
          <w:rStyle w:val="FootnoteReference"/>
          <w:noProof/>
        </w:rPr>
        <w:footnoteReference w:id="4"/>
      </w:r>
      <w:r>
        <w:rPr>
          <w:rStyle w:val="FootnoteReference"/>
          <w:noProof/>
        </w:rPr>
        <w:t xml:space="preserve"> </w:t>
      </w:r>
      <w:r>
        <w:rPr>
          <w:noProof/>
        </w:rPr>
        <w:t>alapuló nyomonkövetési keretrendszerre tett javaslatot (a továbbiakban: az</w:t>
      </w:r>
      <w:r>
        <w:rPr>
          <w:noProof/>
        </w:rPr>
        <w:t xml:space="preserve"> egészségvédő testmozgás nyomonkövetési keretrendszere).</w:t>
      </w:r>
    </w:p>
    <w:p w:rsidR="007B47D5" w:rsidRDefault="00A013AE">
      <w:pPr>
        <w:pStyle w:val="Heading1"/>
        <w:rPr>
          <w:noProof/>
        </w:rPr>
      </w:pPr>
      <w:r>
        <w:rPr>
          <w:noProof/>
        </w:rPr>
        <w:t>Módszertan</w:t>
      </w:r>
    </w:p>
    <w:p w:rsidR="007B47D5" w:rsidRDefault="00A013AE">
      <w:pPr>
        <w:jc w:val="both"/>
        <w:rPr>
          <w:noProof/>
        </w:rPr>
      </w:pPr>
      <w:r>
        <w:rPr>
          <w:noProof/>
        </w:rPr>
        <w:t>Az egészségvédő testmozgás nyomonkövetési keretrendszere 23 indikátorból áll, amelyek különböző, az egészségvédő testmozgás szempontjából jelentős területeket fednek le: a testmozgással ka</w:t>
      </w:r>
      <w:r>
        <w:rPr>
          <w:noProof/>
        </w:rPr>
        <w:t xml:space="preserve">pcsolatos nemzetközi ajánlások és iránymutatások, az ágazatközi megközelítés, </w:t>
      </w:r>
      <w:r>
        <w:rPr>
          <w:noProof/>
        </w:rPr>
        <w:lastRenderedPageBreak/>
        <w:t>a sport, az egészségügy, az oktatás, a környezetvédelem (beleértve a várostervezést és a közbiztonságot is), a munkahelyi környezet, az idős polgárok, az értékelés és a lakossági</w:t>
      </w:r>
      <w:r>
        <w:rPr>
          <w:noProof/>
        </w:rPr>
        <w:t xml:space="preserve"> szemléletformálás.</w:t>
      </w:r>
    </w:p>
    <w:p w:rsidR="007B47D5" w:rsidRDefault="00A013AE">
      <w:pPr>
        <w:jc w:val="both"/>
        <w:rPr>
          <w:noProof/>
        </w:rPr>
      </w:pPr>
      <w:r>
        <w:rPr>
          <w:noProof/>
        </w:rPr>
        <w:t>A tanácsi ajánlás felhívta az uniós tagállamokat, hogy jelöljenek ki a testmozgással foglalkozó nemzeti kapcsolattartó pontokat, hogy nemzeti szinten koordinálják az egészségvédő testmozgás nyomonkövetési keretrendszerének céljait szolg</w:t>
      </w:r>
      <w:r>
        <w:rPr>
          <w:noProof/>
        </w:rPr>
        <w:t>áló információgyűjtést. 2014 közepére mind a 28 EU tagállam kijelölte kapcsolattartó pontját, és a testmozgással foglalkozó kapcsolattartó pontok hálózata 2014 októberében, Rómában megkezdte működését. Az egészségvédő testmozgás nyomonkövetési keretrendsze</w:t>
      </w:r>
      <w:r>
        <w:rPr>
          <w:noProof/>
        </w:rPr>
        <w:t>rével összefüggésben felhasználandó adatok gyűjtésére 2015-ben került sor, a WHO-val együttműködésben. A Bizottság támogatásával a hálózat 2015 januárjában és 2015 júniusában találkozott, annak érdekében, hogy megosszák és megvitassák a felmerült nehézsége</w:t>
      </w:r>
      <w:r>
        <w:rPr>
          <w:noProof/>
        </w:rPr>
        <w:t>ket, 2016 áprilisában és 2016 szeptemberében pedig azért, hogy megtárgyalják a megtanultakat és az adatgyűjtés jövőbeli fordulóit.</w:t>
      </w:r>
    </w:p>
    <w:p w:rsidR="007B47D5" w:rsidRDefault="00A013AE">
      <w:pPr>
        <w:jc w:val="both"/>
        <w:rPr>
          <w:rFonts w:ascii="Times New Roman" w:eastAsia="Times New Roman" w:hAnsi="Times New Roman"/>
          <w:noProof/>
          <w:sz w:val="24"/>
          <w:szCs w:val="24"/>
        </w:rPr>
      </w:pPr>
      <w:r>
        <w:rPr>
          <w:noProof/>
        </w:rPr>
        <w:t>Ezenfelül a Bizottság együttműködött az erlangen-nürnbergi egyetem (Németország) által vezetett kutatói konzorciummal annak é</w:t>
      </w:r>
      <w:r>
        <w:rPr>
          <w:noProof/>
        </w:rPr>
        <w:t>rdekében, hogy támogatást nyújtsanak a kapcsolattartó pontoknak az egészségvédő testmozgás nyomonkövetési keretrendszerével összefüggésben.</w:t>
      </w:r>
      <w:r>
        <w:rPr>
          <w:rStyle w:val="FootnoteReference"/>
          <w:noProof/>
        </w:rPr>
        <w:footnoteReference w:id="5"/>
      </w:r>
      <w:r>
        <w:rPr>
          <w:noProof/>
        </w:rPr>
        <w:t xml:space="preserve"> A konzorcium továbbá független értékelést készített a nyomonkövetési keretrendszerrel és a folyamattal kapcsolatban</w:t>
      </w:r>
      <w:r>
        <w:rPr>
          <w:noProof/>
        </w:rPr>
        <w:t xml:space="preserve"> (a továbbiakban: HEPA tanulmány).</w:t>
      </w:r>
      <w:r>
        <w:rPr>
          <w:rStyle w:val="FootnoteReference"/>
          <w:noProof/>
        </w:rPr>
        <w:footnoteReference w:id="6"/>
      </w:r>
      <w:r>
        <w:rPr>
          <w:noProof/>
        </w:rPr>
        <w:t xml:space="preserve"> E tanulmány részeként néhány országban konkrét helyzetértékelést végeztek, annak érdekében, hogy összegyűjtsék az egészségvédő testmozgás nyomonkövetési keretrendszerének végrehajtásával kapcsolatos visszajelzéseket, meg</w:t>
      </w:r>
      <w:r>
        <w:rPr>
          <w:noProof/>
        </w:rPr>
        <w:t>tanult elemeket és javaslatokat, valamint, hogy ajánlásokat szolgáltassanak a Bizottság részére a nyomonkövetési keretrendszer és a tagállamok részére nyújtott támogatás különböző elemeivel kapcsolatban.</w:t>
      </w:r>
    </w:p>
    <w:p w:rsidR="007B47D5" w:rsidRDefault="00A013AE">
      <w:pPr>
        <w:jc w:val="both"/>
        <w:rPr>
          <w:rFonts w:ascii="Times New Roman" w:hAnsi="Times New Roman"/>
          <w:noProof/>
          <w:sz w:val="24"/>
          <w:szCs w:val="24"/>
        </w:rPr>
      </w:pPr>
      <w:r>
        <w:rPr>
          <w:noProof/>
        </w:rPr>
        <w:t>Ez az eredményekről szóló jelentés a tagállamokból s</w:t>
      </w:r>
      <w:r>
        <w:rPr>
          <w:noProof/>
        </w:rPr>
        <w:t>zármazó adatokon alapul, amelyeket főként a testmozgással foglalkozó kapcsolattartó pontok hálózata révén, illetve a WHO-tól szereztek be. A jelentés a fent hivatkozott HEPA tanulmányra épít.</w:t>
      </w:r>
    </w:p>
    <w:p w:rsidR="007B47D5" w:rsidRDefault="00A013AE">
      <w:pPr>
        <w:pStyle w:val="Heading1"/>
        <w:rPr>
          <w:noProof/>
        </w:rPr>
      </w:pPr>
      <w:r>
        <w:rPr>
          <w:noProof/>
        </w:rPr>
        <w:t>A WHO táplálkozásra, elhízásra és testmozgásra vonatkozó adatbáz</w:t>
      </w:r>
      <w:r>
        <w:rPr>
          <w:noProof/>
        </w:rPr>
        <w:t>isa (NOPA) és az egészségvédő testmozgás-val kapcsolatos országadatlapok</w:t>
      </w:r>
    </w:p>
    <w:p w:rsidR="007B47D5" w:rsidRDefault="00A013AE">
      <w:pPr>
        <w:jc w:val="both"/>
        <w:rPr>
          <w:noProof/>
        </w:rPr>
      </w:pPr>
      <w:r>
        <w:rPr>
          <w:noProof/>
        </w:rPr>
        <w:t xml:space="preserve">Az egészségvédő testmozgás nyomonkövetési keretrendszere révén gyűjtött valamennyi adatot betáplálják a WHO már meglévő, a táplálkozásra, az elhízásra és testmozgásra vonatkozó </w:t>
      </w:r>
      <w:r>
        <w:rPr>
          <w:noProof/>
        </w:rPr>
        <w:t>európai adatbázisába (NOPA).</w:t>
      </w:r>
      <w:r>
        <w:rPr>
          <w:rStyle w:val="FootnoteReference"/>
          <w:noProof/>
        </w:rPr>
        <w:footnoteReference w:id="7"/>
      </w:r>
      <w:r>
        <w:rPr>
          <w:noProof/>
        </w:rPr>
        <w:t xml:space="preserve"> A NOPA fő összetevői epidemiológiai és előfordulási adatok, illetve a táplálkozással, elhízással és testmozgással kapcsolatos szakpolitikai fellépésekre és bevált gyakorlatokra vonatkozó adatok. A Bizottság támogatta az adatbá</w:t>
      </w:r>
      <w:r>
        <w:rPr>
          <w:noProof/>
        </w:rPr>
        <w:t xml:space="preserve">zis testmozgásra </w:t>
      </w:r>
      <w:r>
        <w:rPr>
          <w:noProof/>
        </w:rPr>
        <w:lastRenderedPageBreak/>
        <w:t>vonatkozó adatainak WHO általi továbbfejlesztését, annak érdekében, hogy azt az egészségvédő testmozgás nyomonkövetési keretrendszerhez igazítsák, és javítsák a felhasználói felületet.</w:t>
      </w:r>
    </w:p>
    <w:p w:rsidR="007B47D5" w:rsidRDefault="00A013AE">
      <w:pPr>
        <w:jc w:val="both"/>
        <w:rPr>
          <w:noProof/>
        </w:rPr>
      </w:pPr>
      <w:r>
        <w:rPr>
          <w:noProof/>
        </w:rPr>
        <w:t>A Bizottság támogatta a WHO európai regionális irodájá</w:t>
      </w:r>
      <w:r>
        <w:rPr>
          <w:noProof/>
        </w:rPr>
        <w:t>t abban, hogy a tagállamok által szolgáltatott adatokból az egészségvédő testmozgás-val kapcsolatos országadatlapokat állítsanak elő, és ennek érdekében szorosan együttműködött azzal.</w:t>
      </w:r>
      <w:r>
        <w:rPr>
          <w:rStyle w:val="FootnoteReference"/>
          <w:noProof/>
        </w:rPr>
        <w:footnoteReference w:id="8"/>
      </w:r>
      <w:r>
        <w:rPr>
          <w:noProof/>
        </w:rPr>
        <w:t xml:space="preserve"> Ezeket az országadatlapokat 2015 szeptemberében a Sport Európai Hete al</w:t>
      </w:r>
      <w:r>
        <w:rPr>
          <w:noProof/>
        </w:rPr>
        <w:t>kalmával tették közzé. Az adatlapok az egészségvédő testmozgással kapcsolatos országspecifikus áttekintéseket tartalmaznak (a bevált gyakorlatokat is beleértve), és részüket képezi egy az egészségvédő testmozgással kapcsolatos trendekkel és az Unióban fenn</w:t>
      </w:r>
      <w:r>
        <w:rPr>
          <w:noProof/>
        </w:rPr>
        <w:t>álló helyzettel kapcsolatos elemzés is. A WHO európai regionális irodája arról számolt e, hogy 2016. májusban az országadatlapok a WHO weboldalának leglátogatottabb 20 eleme közé tartoztak.</w:t>
      </w:r>
    </w:p>
    <w:p w:rsidR="007B47D5" w:rsidRDefault="00A013AE">
      <w:pPr>
        <w:pStyle w:val="Heading1"/>
        <w:rPr>
          <w:noProof/>
        </w:rPr>
      </w:pPr>
      <w:r>
        <w:rPr>
          <w:noProof/>
        </w:rPr>
        <w:t xml:space="preserve">Az egészségvédő testmozgással kapcsolatos szakpolitika nemzeti </w:t>
      </w:r>
      <w:r>
        <w:rPr>
          <w:noProof/>
        </w:rPr>
        <w:t>szintű fejlődése és végrehajtása</w:t>
      </w:r>
    </w:p>
    <w:p w:rsidR="007B47D5" w:rsidRDefault="00A013AE">
      <w:pPr>
        <w:jc w:val="both"/>
        <w:rPr>
          <w:noProof/>
        </w:rPr>
      </w:pPr>
      <w:r>
        <w:rPr>
          <w:noProof/>
        </w:rPr>
        <w:t>Az egészségvédő testmozgás nyomonkövetési keretrendszerében folytatott adatgyűjtés első fordulójában 28-ból 27 ország</w:t>
      </w:r>
      <w:r>
        <w:rPr>
          <w:rStyle w:val="FootnoteReference"/>
          <w:noProof/>
        </w:rPr>
        <w:footnoteReference w:id="9"/>
      </w:r>
      <w:r>
        <w:rPr>
          <w:noProof/>
        </w:rPr>
        <w:t xml:space="preserve"> vett részt a 23 indikátor végrehajtásával kapcsolatos felmérésben. A gyűjtött adatok jó áttekintést adna</w:t>
      </w:r>
      <w:r>
        <w:rPr>
          <w:noProof/>
        </w:rPr>
        <w:t>k az egészségvédő testmozgás népszerűsítésének alakulásáról az EU-ban. Az adatokat a WHO NOPA adatbázisában lehet tanulmányozni. A WHO európai regionális irodája és a Bizottság által közzétett, testmozgással kapcsolatos országadatlapok pedig áttekintő képe</w:t>
      </w:r>
      <w:r>
        <w:rPr>
          <w:noProof/>
        </w:rPr>
        <w:t>t szolgáltatnak.</w:t>
      </w:r>
    </w:p>
    <w:p w:rsidR="007B47D5" w:rsidRDefault="00A013AE">
      <w:pPr>
        <w:jc w:val="both"/>
        <w:rPr>
          <w:noProof/>
        </w:rPr>
      </w:pPr>
      <w:r>
        <w:rPr>
          <w:noProof/>
        </w:rPr>
        <w:t>A tanácsi ajánlás 2013. novemberi elfogadását követően mind a 27 válaszadó ország nemzeti szakpolitikákat vagy cselekvési terveket alakított ki az egészségvédő testmozgás nyomonkövetési keretrendszere által lefedett egy vagy több ágazatban</w:t>
      </w:r>
      <w:r>
        <w:rPr>
          <w:noProof/>
        </w:rPr>
        <w:t>. A tagállamok nevezetesen új szakpolitikákat fogadtak el a sport (13 tagállam), az egészségügy (10 tagállam), az oktatás (8 tagállam) ágazataiban, a környezetvédelem, várostervezés és közbiztonság ágazatában (beleértve a közlekedést is: 3 tagállam), valam</w:t>
      </w:r>
      <w:r>
        <w:rPr>
          <w:noProof/>
        </w:rPr>
        <w:t>int az idős polgárok ágazatban. Ugyanakkor a 152 bejelentett szakpolitika és cselekvési terv közül számos már a tanácsi ajánlás elfogadását megelőzően megkezdődött.</w:t>
      </w:r>
    </w:p>
    <w:p w:rsidR="007B47D5" w:rsidRDefault="00A013AE">
      <w:pPr>
        <w:jc w:val="both"/>
        <w:rPr>
          <w:noProof/>
        </w:rPr>
      </w:pPr>
      <w:r>
        <w:rPr>
          <w:noProof/>
        </w:rPr>
        <w:t>Az indikátor akkor tekinthető bevezetettnek, ha a tagállam olyan szakpolitikát vagy program</w:t>
      </w:r>
      <w:r>
        <w:rPr>
          <w:noProof/>
        </w:rPr>
        <w:t>ot vezetett be, amelyet az indikátor alkalmazásával követnek nyomon. A nyomonkövetési keretrendszer 23 indikátort tartalmaz: 23 ország legalább 10 indikátort vezetett be, míg öt ország legalább 20 indikátort. Csak egy ország vette át és vezette be a nyomon</w:t>
      </w:r>
      <w:r>
        <w:rPr>
          <w:noProof/>
        </w:rPr>
        <w:t>követési keretrendszer mind a 23 indikátorát. Meg kell jegyezni, hogy csak hét ország hajtott végre a nyomonkövetési keretrendszer valamennyi tematikus területét lefedős szakpolitikákat.</w:t>
      </w:r>
    </w:p>
    <w:p w:rsidR="007B47D5" w:rsidRDefault="00A013AE">
      <w:pPr>
        <w:jc w:val="both"/>
        <w:rPr>
          <w:noProof/>
        </w:rPr>
      </w:pPr>
      <w:r>
        <w:rPr>
          <w:noProof/>
        </w:rPr>
        <w:t>Az alábbi ábra a 27 uniós tagállam által bevezetett indikátorok számá</w:t>
      </w:r>
      <w:r>
        <w:rPr>
          <w:noProof/>
        </w:rPr>
        <w:t>t mutatja.</w:t>
      </w:r>
    </w:p>
    <w:p w:rsidR="007B47D5" w:rsidRDefault="00A013AE">
      <w:pPr>
        <w:rPr>
          <w:rFonts w:ascii="Times New Roman" w:hAnsi="Times New Roman"/>
          <w:noProof/>
          <w:sz w:val="24"/>
          <w:szCs w:val="24"/>
        </w:rPr>
      </w:pPr>
      <w:r>
        <w:rPr>
          <w:noProof/>
          <w:lang w:val="en-GB" w:eastAsia="en-GB" w:bidi="ar-SA"/>
        </w:rPr>
        <w:drawing>
          <wp:inline distT="0" distB="0" distL="0" distR="0">
            <wp:extent cx="5472430" cy="3427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430" cy="3427383"/>
                    </a:xfrm>
                    <a:prstGeom prst="rect">
                      <a:avLst/>
                    </a:prstGeom>
                    <a:noFill/>
                    <a:ln>
                      <a:noFill/>
                    </a:ln>
                  </pic:spPr>
                </pic:pic>
              </a:graphicData>
            </a:graphic>
          </wp:inline>
        </w:drawing>
      </w:r>
    </w:p>
    <w:p w:rsidR="007B47D5" w:rsidRDefault="00A013AE">
      <w:pPr>
        <w:jc w:val="both"/>
        <w:rPr>
          <w:noProof/>
        </w:rPr>
      </w:pPr>
      <w:r>
        <w:rPr>
          <w:noProof/>
        </w:rPr>
        <w:t>Az egészségvédő testmozgás nyomonkövetési keretrendszere eredményeinek tematikus területenkénti áttekintése alább található.</w:t>
      </w:r>
      <w:r>
        <w:rPr>
          <w:rStyle w:val="FootnoteReference"/>
          <w:noProof/>
        </w:rPr>
        <w:footnoteReference w:id="10"/>
      </w:r>
    </w:p>
    <w:p w:rsidR="007B47D5" w:rsidRDefault="00A013AE">
      <w:pPr>
        <w:jc w:val="both"/>
        <w:rPr>
          <w:noProof/>
        </w:rPr>
      </w:pPr>
      <w:r>
        <w:rPr>
          <w:noProof/>
        </w:rPr>
        <w:t xml:space="preserve">19 országban alakítottak ki </w:t>
      </w:r>
      <w:r>
        <w:rPr>
          <w:b/>
          <w:noProof/>
        </w:rPr>
        <w:t>az egészségvédő testmozgással kapcsolatos nemzeti szakpolitikai ajánlásokat.</w:t>
      </w:r>
      <w:r>
        <w:rPr>
          <w:noProof/>
        </w:rPr>
        <w:t xml:space="preserve"> Ezek közül 1</w:t>
      </w:r>
      <w:r>
        <w:rPr>
          <w:noProof/>
        </w:rPr>
        <w:t>8 célozza meg a felnőtteket, 17 a fiatalokat, és 16 irányul az idősebb felnőttekre. 10 országban a nemzeti ajánlások a WHO ajánlásain alapultak. Egy ország ajánlása követte az EU testmozgásra vonatkozó iránymutatásait. Nyolc ország egyéb nemzetközi ajánlás</w:t>
      </w:r>
      <w:r>
        <w:rPr>
          <w:noProof/>
        </w:rPr>
        <w:t>okat, vagy ezek kombinációját követte.</w:t>
      </w:r>
    </w:p>
    <w:p w:rsidR="007B47D5" w:rsidRDefault="00A013AE">
      <w:pPr>
        <w:jc w:val="both"/>
        <w:rPr>
          <w:noProof/>
        </w:rPr>
      </w:pPr>
      <w:r>
        <w:rPr>
          <w:noProof/>
        </w:rPr>
        <w:t xml:space="preserve">Összesen 16 ország számolt be arról, hogy teljes mértékben kialakított és érvényesített konkrét </w:t>
      </w:r>
      <w:r>
        <w:rPr>
          <w:b/>
          <w:noProof/>
        </w:rPr>
        <w:t>nemzeti koordinációs mechanizmussal rendelkezik az egészségvédő testmozgás előmozdítására.</w:t>
      </w:r>
      <w:r>
        <w:rPr>
          <w:noProof/>
        </w:rPr>
        <w:t xml:space="preserve"> Egy ország jelezte, hogy minis</w:t>
      </w:r>
      <w:r>
        <w:rPr>
          <w:noProof/>
        </w:rPr>
        <w:t>ztériumai között olyan erős együttműködés folyik, amelynek hatása megegyezik a koordinációs mechanizmuséval, négy további ország pedig bejelentette, hogy két éven belül tervezi a mechanizmus bevezetését.</w:t>
      </w:r>
    </w:p>
    <w:p w:rsidR="007B47D5" w:rsidRDefault="00A013AE">
      <w:pPr>
        <w:jc w:val="both"/>
        <w:rPr>
          <w:noProof/>
        </w:rPr>
      </w:pPr>
      <w:r>
        <w:rPr>
          <w:b/>
          <w:noProof/>
        </w:rPr>
        <w:t>Tömegsporttal</w:t>
      </w:r>
      <w:r>
        <w:rPr>
          <w:noProof/>
        </w:rPr>
        <w:t xml:space="preserve"> kapcsolatos tagállami szakpolitikát 22</w:t>
      </w:r>
      <w:r>
        <w:rPr>
          <w:noProof/>
        </w:rPr>
        <w:t xml:space="preserve"> országban hajtottak végre. Hét ország olyan szakpolitikákat hajtott végre, amelyek nem kizárólag a tömegsportos érintették, de amelyek témáinak egyike a tömegsport volt.</w:t>
      </w:r>
    </w:p>
    <w:p w:rsidR="007B47D5" w:rsidRDefault="00A013AE">
      <w:pPr>
        <w:jc w:val="both"/>
        <w:rPr>
          <w:noProof/>
        </w:rPr>
      </w:pPr>
      <w:r>
        <w:rPr>
          <w:b/>
          <w:noProof/>
        </w:rPr>
        <w:t>Egészségorientált sportklubokkal kapcsolatos programokat</w:t>
      </w:r>
      <w:r>
        <w:rPr>
          <w:noProof/>
        </w:rPr>
        <w:t xml:space="preserve"> (amelyek arra ösztönzik a sp</w:t>
      </w:r>
      <w:r>
        <w:rPr>
          <w:noProof/>
        </w:rPr>
        <w:t>ortklubokat, hogy fektessenek egészséggel kapcsolatos sporttevékenységekbe, illetve az egészség, mint a sporthoz kapcsolódó körülmény bemutatásába) hét országban hajtottak végre.  További két ország tervezi ilyen programok végrehajtását a közeljövőben.</w:t>
      </w:r>
    </w:p>
    <w:p w:rsidR="007B47D5" w:rsidRDefault="00A013AE">
      <w:pPr>
        <w:jc w:val="both"/>
        <w:rPr>
          <w:noProof/>
        </w:rPr>
      </w:pPr>
      <w:r>
        <w:rPr>
          <w:noProof/>
        </w:rPr>
        <w:t>Egy</w:t>
      </w:r>
      <w:r>
        <w:rPr>
          <w:noProof/>
        </w:rPr>
        <w:t xml:space="preserve">es országok integrált módon egynél több </w:t>
      </w:r>
      <w:r>
        <w:rPr>
          <w:b/>
          <w:noProof/>
        </w:rPr>
        <w:t>célcsoport</w:t>
      </w:r>
      <w:r>
        <w:rPr>
          <w:noProof/>
        </w:rPr>
        <w:t xml:space="preserve"> igényeit célozták meg, míg mások az egészségvédő testmozgás ágazattól függően foglalkoztak az egyes célcsoportokkal. Konkrétan 10 ország számolt be arról, hogy sajátos kereteket alkalmazott annak érdekében</w:t>
      </w:r>
      <w:r>
        <w:rPr>
          <w:noProof/>
        </w:rPr>
        <w:t xml:space="preserve">, hogy támogassa a </w:t>
      </w:r>
      <w:r>
        <w:rPr>
          <w:b/>
          <w:noProof/>
        </w:rPr>
        <w:t>társadalmilag hátrányos helyzetben lévő csoportok</w:t>
      </w:r>
      <w:r>
        <w:rPr>
          <w:noProof/>
        </w:rPr>
        <w:t xml:space="preserve"> (bevándorlók vagy szociálisan kiszolgáltatott emberek) hozzáférését rekreációs vagy edző létesítményekhez. Két tagállam inkább arra koncentrált, hogy a sportot a </w:t>
      </w:r>
      <w:r>
        <w:rPr>
          <w:b/>
          <w:noProof/>
        </w:rPr>
        <w:t>fogyatékkal élők</w:t>
      </w:r>
      <w:r>
        <w:rPr>
          <w:noProof/>
        </w:rPr>
        <w:t xml:space="preserve"> rehabili</w:t>
      </w:r>
      <w:r>
        <w:rPr>
          <w:noProof/>
        </w:rPr>
        <w:t>tációs és reintegrációs programjai szerves részévé tegye.</w:t>
      </w:r>
    </w:p>
    <w:p w:rsidR="007B47D5" w:rsidRDefault="00A013AE">
      <w:pPr>
        <w:jc w:val="both"/>
        <w:rPr>
          <w:noProof/>
        </w:rPr>
      </w:pPr>
      <w:r>
        <w:rPr>
          <w:noProof/>
        </w:rPr>
        <w:t xml:space="preserve">Az egészségvédő testmozgásra irányuló szakpolitikákat 22 ország hajtotta végre az </w:t>
      </w:r>
      <w:r>
        <w:rPr>
          <w:b/>
          <w:noProof/>
        </w:rPr>
        <w:t>egészségügyi ágazatban</w:t>
      </w:r>
      <w:r>
        <w:rPr>
          <w:noProof/>
        </w:rPr>
        <w:t xml:space="preserve">. A testmozgással kapcsolatos képzést 17 országban építették be az </w:t>
      </w:r>
      <w:r>
        <w:rPr>
          <w:b/>
          <w:noProof/>
        </w:rPr>
        <w:t>egészségügyi dolgozók tanan</w:t>
      </w:r>
      <w:r>
        <w:rPr>
          <w:b/>
          <w:noProof/>
        </w:rPr>
        <w:t>yagába.</w:t>
      </w:r>
      <w:r>
        <w:rPr>
          <w:noProof/>
        </w:rPr>
        <w:t xml:space="preserve"> 14 országban a testmozgást beépítették az orvosok és fizioterapeuták tananyagába; nyolc országban az ápolók képzési anyagának részévé tették. Ezenfelül 13 országban programokat alakítottak ki annak érdekében, hogy népszerűsítsék az egészségügyi dol</w:t>
      </w:r>
      <w:r>
        <w:rPr>
          <w:noProof/>
        </w:rPr>
        <w:t xml:space="preserve">gozók által adott testmozgással kapcsolatos tanácsadást. E programok főként a nem fertőző betegségek megelőzésére, és az egészségügyi dolgozók részére nyújtott iránymutatásokra irányultak, időnként ingyenes online képzések formájában. </w:t>
      </w:r>
    </w:p>
    <w:p w:rsidR="007B47D5" w:rsidRDefault="00A013AE">
      <w:pPr>
        <w:jc w:val="both"/>
        <w:rPr>
          <w:noProof/>
        </w:rPr>
      </w:pPr>
      <w:r>
        <w:rPr>
          <w:noProof/>
        </w:rPr>
        <w:t>19 országban hajtott</w:t>
      </w:r>
      <w:r>
        <w:rPr>
          <w:noProof/>
        </w:rPr>
        <w:t xml:space="preserve">ak végre HEPA szakpolitikákat </w:t>
      </w:r>
      <w:r>
        <w:rPr>
          <w:b/>
          <w:noProof/>
        </w:rPr>
        <w:t>a környezettel, a várostervezéssel és a közbiztonsággal</w:t>
      </w:r>
      <w:r>
        <w:rPr>
          <w:noProof/>
        </w:rPr>
        <w:t xml:space="preserve"> (beleértve a közlekedést is) összefüggésben. A gyalogos közlekedés a jelentések szerint 20 országban tartozott a napi tevékenységekhez kapcsolódó három fő közlekedési mód</w:t>
      </w:r>
      <w:r>
        <w:rPr>
          <w:noProof/>
        </w:rPr>
        <w:t xml:space="preserve"> közé; a kerékpározás nyolc országban került a három elsődleges mód közé. Ezenfelül egyes országok olyan intézkedéseket vezettek be, mint az adókedvezmények (például a vásárolt kerékpárokra vonatkozó héa-visszatérítések, a munkába gyaloglással vagy kerékpá</w:t>
      </w:r>
      <w:r>
        <w:rPr>
          <w:noProof/>
        </w:rPr>
        <w:t>rozással kapcsolatos adómentességek és/vagy munkavállalói térítések), magas parkolási díjak és dugódíjak.</w:t>
      </w:r>
    </w:p>
    <w:p w:rsidR="007B47D5" w:rsidRDefault="00A013AE">
      <w:pPr>
        <w:jc w:val="both"/>
        <w:rPr>
          <w:noProof/>
        </w:rPr>
      </w:pPr>
      <w:r>
        <w:rPr>
          <w:noProof/>
        </w:rPr>
        <w:t>14 ország számolt be arról, hogy a munkahelyre való eljutás fizikai aktivitással járó módjait támogató programokat hajtott végre (egy további tervezi,</w:t>
      </w:r>
      <w:r>
        <w:rPr>
          <w:noProof/>
        </w:rPr>
        <w:t xml:space="preserve"> hogy ezt a közeljövőben megteszi), míg 12 ország alakított ki a </w:t>
      </w:r>
      <w:r>
        <w:rPr>
          <w:b/>
          <w:noProof/>
        </w:rPr>
        <w:t>munkahelyi</w:t>
      </w:r>
      <w:r>
        <w:rPr>
          <w:noProof/>
        </w:rPr>
        <w:t xml:space="preserve"> testmozgást támogató programokat (hat további ország tervez ilyet a közeljövőben).</w:t>
      </w:r>
    </w:p>
    <w:p w:rsidR="007B47D5" w:rsidRDefault="00A013AE">
      <w:pPr>
        <w:jc w:val="both"/>
        <w:rPr>
          <w:noProof/>
        </w:rPr>
      </w:pPr>
      <w:r>
        <w:rPr>
          <w:noProof/>
        </w:rPr>
        <w:t>Négy ország jelezte, hogy nemzeti szinten végrehajtotta a</w:t>
      </w:r>
      <w:r>
        <w:rPr>
          <w:b/>
          <w:noProof/>
        </w:rPr>
        <w:t xml:space="preserve"> szabadidős testmozgás</w:t>
      </w:r>
      <w:r>
        <w:rPr>
          <w:noProof/>
        </w:rPr>
        <w:t>t szolgáló infrast</w:t>
      </w:r>
      <w:r>
        <w:rPr>
          <w:noProof/>
        </w:rPr>
        <w:t>ruktúra javításáról szóló európai iránymutatásokat,</w:t>
      </w:r>
      <w:r>
        <w:rPr>
          <w:rStyle w:val="FootnoteReference"/>
          <w:noProof/>
        </w:rPr>
        <w:footnoteReference w:id="11"/>
      </w:r>
      <w:r>
        <w:rPr>
          <w:noProof/>
        </w:rPr>
        <w:t xml:space="preserve"> hat további ország pedig a közeljövőben tervezi ezt.  </w:t>
      </w:r>
    </w:p>
    <w:p w:rsidR="007B47D5" w:rsidRDefault="00A013AE">
      <w:pPr>
        <w:jc w:val="both"/>
        <w:rPr>
          <w:noProof/>
        </w:rPr>
      </w:pPr>
      <w:r>
        <w:rPr>
          <w:noProof/>
        </w:rPr>
        <w:t xml:space="preserve">Az egészségvédő testmozgásra irányuló szakpolitikákat 19 ország hajtotta végre az </w:t>
      </w:r>
      <w:r>
        <w:rPr>
          <w:b/>
          <w:noProof/>
        </w:rPr>
        <w:t>oktatási ágazatban</w:t>
      </w:r>
      <w:r>
        <w:rPr>
          <w:noProof/>
        </w:rPr>
        <w:t>. Míg minden tagállam alkalmazott olyan intézked</w:t>
      </w:r>
      <w:r>
        <w:rPr>
          <w:noProof/>
        </w:rPr>
        <w:t>ést, amely előírja meghatározott (az évfolyamtól és a régiótól/országtól függően egytől majdnem ötig terjedő) számú kötelező testnevelésóra megtartását az iskolákban, hat ország lehetővé tette a kötelező és a választható testnevelésórák kombinációját az ál</w:t>
      </w:r>
      <w:r>
        <w:rPr>
          <w:noProof/>
        </w:rPr>
        <w:t>talános iskolákban, öt pedig a középiskolákban. Néhány ország arról is beszámolt, hogy különböző, az iskolával kapcsolatos HEPA népszerűsítő programokat vezetett be: az órák közötti aktív szüneteket (nyolc ország), aktív szüneteket az iskolai órák alatt (n</w:t>
      </w:r>
      <w:r>
        <w:rPr>
          <w:noProof/>
        </w:rPr>
        <w:t>égy ország), és tanmeneten kívüli tevékenységeket (11 ország). Kilenc ország számolt be arról, hogy az iskolába való aktív eljutás ösztönzése érdekében olyan intézkedéseket tartalmazó programokat hajtott végre, amelyek biztonságosabbá teszik az iskolába va</w:t>
      </w:r>
      <w:r>
        <w:rPr>
          <w:noProof/>
        </w:rPr>
        <w:t xml:space="preserve">ló kerékpározást és gyaloglást. 20 országban építették be az egészségvédő testmozgást a testneveléstanárok képzésébe. </w:t>
      </w:r>
    </w:p>
    <w:p w:rsidR="007B47D5" w:rsidRDefault="00A013AE">
      <w:pPr>
        <w:jc w:val="both"/>
        <w:rPr>
          <w:noProof/>
        </w:rPr>
      </w:pPr>
      <w:r>
        <w:rPr>
          <w:noProof/>
        </w:rPr>
        <w:t xml:space="preserve">A testmozgás </w:t>
      </w:r>
      <w:r>
        <w:rPr>
          <w:b/>
          <w:noProof/>
        </w:rPr>
        <w:t>idős polgárok</w:t>
      </w:r>
      <w:r>
        <w:rPr>
          <w:noProof/>
        </w:rPr>
        <w:t xml:space="preserve"> közötti népszerűsítését célzó közösségi beavatkozásokról 13 ország számolt be, köztük kettő olyan, amely a köz</w:t>
      </w:r>
      <w:r>
        <w:rPr>
          <w:noProof/>
        </w:rPr>
        <w:t>eljövőben szándékozik ilyen projekteket végrehajtani (például az idősebb felnőttek egyensúlyát és koordinációját erősítő programok, beleértve a rossz egészségi állapot és az elesés megelőzését, a testnevelési és testmozgási tanácsadást).</w:t>
      </w:r>
    </w:p>
    <w:p w:rsidR="007B47D5" w:rsidRDefault="00A013AE">
      <w:pPr>
        <w:jc w:val="both"/>
        <w:rPr>
          <w:noProof/>
        </w:rPr>
      </w:pPr>
      <w:r>
        <w:rPr>
          <w:noProof/>
        </w:rPr>
        <w:t xml:space="preserve">A </w:t>
      </w:r>
      <w:r>
        <w:rPr>
          <w:b/>
          <w:noProof/>
        </w:rPr>
        <w:t>testmozgás előny</w:t>
      </w:r>
      <w:r>
        <w:rPr>
          <w:b/>
          <w:noProof/>
        </w:rPr>
        <w:t>eivel kapcsolatos lakossági szemléletformálás erősítését</w:t>
      </w:r>
      <w:r>
        <w:rPr>
          <w:noProof/>
        </w:rPr>
        <w:t xml:space="preserve"> és a fizikailag aktív emberek számának növelését célzó sikeres kommunikációs kampányokról 18 ország számolt be.  Egy ország nem kevesebb, mint 14 különböző kampányt említett. Míg egyes kampányok vala</w:t>
      </w:r>
      <w:r>
        <w:rPr>
          <w:noProof/>
        </w:rPr>
        <w:t>mennyi polgárt célozták, mások kiszolgáltatott csoportokra irányultak, mint a gyermekek vagy az idős polgárok. A kampányok néha országos kiterjedésűek voltak, míg más esetekben adott régióra vagy városra korlátozódtak.</w:t>
      </w:r>
    </w:p>
    <w:p w:rsidR="007B47D5" w:rsidRDefault="00A013AE">
      <w:pPr>
        <w:pStyle w:val="Heading1"/>
        <w:rPr>
          <w:noProof/>
        </w:rPr>
      </w:pPr>
      <w:r>
        <w:rPr>
          <w:noProof/>
        </w:rPr>
        <w:t xml:space="preserve">A testmozgás gyakoriságának mérése </w:t>
      </w:r>
    </w:p>
    <w:p w:rsidR="007B47D5" w:rsidRDefault="00A013AE">
      <w:pPr>
        <w:jc w:val="both"/>
        <w:rPr>
          <w:noProof/>
        </w:rPr>
      </w:pPr>
      <w:r>
        <w:rPr>
          <w:noProof/>
        </w:rPr>
        <w:t>A</w:t>
      </w:r>
      <w:r>
        <w:rPr>
          <w:noProof/>
        </w:rPr>
        <w:t xml:space="preserve"> lakossági fizikai aktivitási szintjeivel kapcsolatos trendek és változások figyelemmel kísérése fontos a testmozgással kapcsolatos nemzeti szakpolitikák fejlesztése, értékelése és javítása érdekében. Az egészségvédő testmozgás nyomonkövetési keretrendszer</w:t>
      </w:r>
      <w:r>
        <w:rPr>
          <w:noProof/>
        </w:rPr>
        <w:t>ében az EU tagállamok fizikai aktivitási szintjeit azon felnőttek, gyermekek és serdülők százalékos arányában jelentik be, akik elérik a WHO által ajánlott minimális fizikai aktivitási szintet.</w:t>
      </w:r>
      <w:r>
        <w:rPr>
          <w:rStyle w:val="FootnoteReference"/>
          <w:noProof/>
        </w:rPr>
        <w:footnoteReference w:id="12"/>
      </w:r>
    </w:p>
    <w:p w:rsidR="007B47D5" w:rsidRDefault="00A013AE">
      <w:pPr>
        <w:jc w:val="both"/>
        <w:rPr>
          <w:noProof/>
        </w:rPr>
      </w:pPr>
      <w:r>
        <w:rPr>
          <w:noProof/>
        </w:rPr>
        <w:t>A lakosság fizikai aktivitási szintjének figyelemmel kísérésé</w:t>
      </w:r>
      <w:r>
        <w:rPr>
          <w:noProof/>
        </w:rPr>
        <w:t xml:space="preserve">t célzó rendszerek meglétéről 17 tagállam számolt be (két éven belül 5 további várható). E rendszerek azonban különböző felmérési eszközökön és kérdőíveken alapultak. Néhány ország emellett egynél több forrásból vagy eszközből beérkezett adatokat nyújtott </w:t>
      </w:r>
      <w:r>
        <w:rPr>
          <w:noProof/>
        </w:rPr>
        <w:t>be a fizikai aktivitási szinteket illetően. 12 ország szolgáltatott független nemzeti tanulmányokból származó adatokat a felnőttek fizikai aktivitási szintjeivel kapcsolatban. Uniós felmérésekből származó adatokról is beszámoltak (a fizikai aktivitási szin</w:t>
      </w:r>
      <w:r>
        <w:rPr>
          <w:noProof/>
        </w:rPr>
        <w:t>tekkel kapcsolatos nemzeti adatokként hat ország Eurobarometer-adatokat nyújtott be,</w:t>
      </w:r>
      <w:r>
        <w:rPr>
          <w:rStyle w:val="FootnoteReference"/>
          <w:noProof/>
        </w:rPr>
        <w:footnoteReference w:id="13"/>
      </w:r>
      <w:r>
        <w:rPr>
          <w:noProof/>
        </w:rPr>
        <w:t xml:space="preserve"> két ország pedig az Európai Egészségfelmérési Rendszer</w:t>
      </w:r>
      <w:r>
        <w:rPr>
          <w:rStyle w:val="FootnoteReference"/>
          <w:noProof/>
        </w:rPr>
        <w:footnoteReference w:id="14"/>
      </w:r>
      <w:r>
        <w:rPr>
          <w:noProof/>
        </w:rPr>
        <w:t xml:space="preserve"> eredményeit). Egy ország a fizikai aktivitás olyan eszközökkel történő objektív méréséből származó adatokat is benyújtott, mint a gyorsulásmérők. A gyermekekre és serdülőkre vonatkozó adatok nagyrészt az iskoláskorú gyermekek egészséggel kapcsolatos magat</w:t>
      </w:r>
      <w:r>
        <w:rPr>
          <w:noProof/>
        </w:rPr>
        <w:t>artásáról szóló felmérésből</w:t>
      </w:r>
      <w:r>
        <w:rPr>
          <w:rStyle w:val="FootnoteReference"/>
          <w:noProof/>
        </w:rPr>
        <w:footnoteReference w:id="15"/>
      </w:r>
      <w:r>
        <w:rPr>
          <w:noProof/>
        </w:rPr>
        <w:t xml:space="preserve"> származnak, amely a nemzetközi összehasonlítások és trendmegfigyelések széles körben elfogadott standardizált adatforrása, illetve a nemzeti szinten reprezentatív tanulmányokból. Amennyiben nemzeti adatok nem voltak elérhetők, </w:t>
      </w:r>
      <w:r>
        <w:rPr>
          <w:noProof/>
        </w:rPr>
        <w:t>a fizikai aktivitási szintekre vonatkozó becslések a WHO Globális Egészségügyi Megfigyeléseiből</w:t>
      </w:r>
      <w:r>
        <w:rPr>
          <w:rStyle w:val="FootnoteReference"/>
          <w:noProof/>
        </w:rPr>
        <w:footnoteReference w:id="16"/>
      </w:r>
      <w:r>
        <w:rPr>
          <w:noProof/>
        </w:rPr>
        <w:t xml:space="preserve"> származnak.</w:t>
      </w:r>
    </w:p>
    <w:p w:rsidR="007B47D5" w:rsidRDefault="00A013AE">
      <w:pPr>
        <w:jc w:val="both"/>
        <w:rPr>
          <w:noProof/>
        </w:rPr>
      </w:pPr>
      <w:r>
        <w:rPr>
          <w:noProof/>
        </w:rPr>
        <w:t>A bejelentett adatok alapján jelentős különbségek állnak fenn az országokon belül és azok között, az alkalmazott felmérési eszközöktől és módszerek</w:t>
      </w:r>
      <w:r>
        <w:rPr>
          <w:noProof/>
        </w:rPr>
        <w:t>től függően. Kiemelendő, hogy jelentős különbségek voltak az egyes nemzeti felmérések, a Eurobarometerhez és az Európai Egészségfelmérési Rendszerhez hasonló uniós felmérések révén kapott adatok és különösen a WHO Globális Egészségügyi Megfigyeléseinek bec</w:t>
      </w:r>
      <w:r>
        <w:rPr>
          <w:noProof/>
        </w:rPr>
        <w:t>slései között. A tagállamok arról számoltak be, hogy ismerik e problémát és az ahhoz kapcsolódó, az EU-ban a fizikai aktivitással kapcsolatos adatok érvényességére és összehasonlíthatóságára vonatkozó nehézségeket. A különböző felmérési eszközökből származ</w:t>
      </w:r>
      <w:r>
        <w:rPr>
          <w:noProof/>
        </w:rPr>
        <w:t xml:space="preserve">ó ellentmondásos adatok közlését a testmozgás előmozdításával kapcsolatos problémaként azonosították, amelyet kezelni kell. </w:t>
      </w:r>
    </w:p>
    <w:p w:rsidR="007B47D5" w:rsidRDefault="00A013AE">
      <w:pPr>
        <w:pStyle w:val="Heading1"/>
        <w:rPr>
          <w:noProof/>
        </w:rPr>
      </w:pPr>
      <w:r>
        <w:rPr>
          <w:noProof/>
        </w:rPr>
        <w:t xml:space="preserve">Az egészségvédő testmozgással kapcsolatos együttműködés a tagállamok között és a Bizottsággal </w:t>
      </w:r>
    </w:p>
    <w:p w:rsidR="007B47D5" w:rsidRDefault="00A013AE">
      <w:pPr>
        <w:jc w:val="both"/>
        <w:rPr>
          <w:noProof/>
        </w:rPr>
      </w:pPr>
      <w:r>
        <w:rPr>
          <w:noProof/>
        </w:rPr>
        <w:t>A tanácsi ajánlás arra ösztönzi a ta</w:t>
      </w:r>
      <w:r>
        <w:rPr>
          <w:noProof/>
        </w:rPr>
        <w:t>gállamokat, hogy az egészségvédő testmozgás népszerűsítése terén szorosan működjenek együtt egymással és a Bizottsággal, rendszeresen kicserélve egymással az információkat és bevált gyakorlatokat. A Bizottságot felhívták arra, hogy segítse elő ezt az infor</w:t>
      </w:r>
      <w:r>
        <w:rPr>
          <w:noProof/>
        </w:rPr>
        <w:t>mációcserét, és hogy támogassa a tagállamok munkáját e területen.</w:t>
      </w:r>
    </w:p>
    <w:p w:rsidR="007B47D5" w:rsidRDefault="00A013AE">
      <w:pPr>
        <w:jc w:val="both"/>
        <w:rPr>
          <w:noProof/>
        </w:rPr>
      </w:pPr>
      <w:r>
        <w:rPr>
          <w:noProof/>
        </w:rPr>
        <w:t>A sportra vonatkozó uniós munkaterv (2014–2017)</w:t>
      </w:r>
      <w:r>
        <w:rPr>
          <w:rStyle w:val="FootnoteReference"/>
          <w:noProof/>
        </w:rPr>
        <w:footnoteReference w:id="17"/>
      </w:r>
      <w:r>
        <w:rPr>
          <w:noProof/>
        </w:rPr>
        <w:t xml:space="preserve"> által létrehozott, az egészségvédő testmozgással foglalkozó szakértői csoport feladata lett a tanácsi ajánlás végrehajtásának koordinálása. A</w:t>
      </w:r>
      <w:r>
        <w:rPr>
          <w:noProof/>
        </w:rPr>
        <w:t>z egészségvédő testmozgás előmozdításával kapcsolatos, a tagállamokból és megfigyelő szervezetektől származó bevált gyakorlatokat (beleértve az EU által finanszírozott kutatásokat</w:t>
      </w:r>
      <w:r>
        <w:rPr>
          <w:rStyle w:val="FootnoteReference"/>
          <w:noProof/>
        </w:rPr>
        <w:footnoteReference w:id="18"/>
      </w:r>
      <w:r>
        <w:rPr>
          <w:noProof/>
        </w:rPr>
        <w:t xml:space="preserve"> is) következetesen szerepeltették e találkozókon,</w:t>
      </w:r>
      <w:r>
        <w:rPr>
          <w:rStyle w:val="FootnoteReference"/>
          <w:noProof/>
        </w:rPr>
        <w:footnoteReference w:id="19"/>
      </w:r>
      <w:r>
        <w:rPr>
          <w:noProof/>
        </w:rPr>
        <w:t xml:space="preserve"> annak érdekében, hogy el</w:t>
      </w:r>
      <w:r>
        <w:rPr>
          <w:noProof/>
        </w:rPr>
        <w:t>ősegítsék a tapasztalatok és a megtanultak kicserélését. Ezenfelül a szakértői csoport kiválasztott egy sor, a tagállamokból és a találkozókon megfigyelőként részt vevő sportszervezetektől származó bevált gyakorlatot.</w:t>
      </w:r>
      <w:r>
        <w:rPr>
          <w:rStyle w:val="FootnoteReference"/>
          <w:noProof/>
        </w:rPr>
        <w:footnoteReference w:id="20"/>
      </w:r>
      <w:r>
        <w:rPr>
          <w:noProof/>
        </w:rPr>
        <w:t xml:space="preserve"> Ennek célja az volt, hogy inspirációt</w:t>
      </w:r>
      <w:r>
        <w:rPr>
          <w:noProof/>
        </w:rPr>
        <w:t xml:space="preserve"> adjanak azon országoknak, amelyek nemzeti stratégiáinak és szakpolitikáinak kialakítása és módosítása folyamatban van.  A kapcsolattartó pontok hálózata szinten lehetőségeket teremtett az információcserére és a partnerektől való tanulásra (a tagállamokból</w:t>
      </w:r>
      <w:r>
        <w:rPr>
          <w:noProof/>
        </w:rPr>
        <w:t xml:space="preserve"> származó különböző prezentációkat szintén következetesen beépítették a találkozók programjába).</w:t>
      </w:r>
    </w:p>
    <w:p w:rsidR="007B47D5" w:rsidRDefault="00A013AE">
      <w:pPr>
        <w:jc w:val="both"/>
        <w:rPr>
          <w:noProof/>
        </w:rPr>
      </w:pPr>
      <w:r>
        <w:rPr>
          <w:noProof/>
        </w:rPr>
        <w:t xml:space="preserve">A Bizottság támogatta a WHO-t abban, hogy technikai segítséget nyújtson több olyan tagállamnak, amelyek testmozgásra vonatkozó nemzeti iránymutatásokat </w:t>
      </w:r>
      <w:r>
        <w:rPr>
          <w:noProof/>
        </w:rPr>
        <w:t>fejlesztettek ki és hajtottak végre. Konkrétabban, támogatta egy olyan eszközkészlet kialakítását és alkalmazását, amelynek célja az egészségvédő testmozgás népszerűsítésének előmozdítása a horvátországi egészségügyi alapintézményekben, illetve a testmozgá</w:t>
      </w:r>
      <w:r>
        <w:rPr>
          <w:noProof/>
        </w:rPr>
        <w:t>ssal kapcsolatos nemzeti stratégia kialakítása Máltán és Portugáliában.</w:t>
      </w:r>
    </w:p>
    <w:p w:rsidR="007B47D5" w:rsidRDefault="00A013AE">
      <w:pPr>
        <w:jc w:val="both"/>
        <w:rPr>
          <w:noProof/>
        </w:rPr>
      </w:pPr>
      <w:r>
        <w:rPr>
          <w:noProof/>
        </w:rPr>
        <w:t>Ezenkívül a 2014-2020 közötti időszakot lefedő Erasmus+ program</w:t>
      </w:r>
      <w:r>
        <w:rPr>
          <w:rStyle w:val="FootnoteReference"/>
          <w:noProof/>
        </w:rPr>
        <w:footnoteReference w:id="21"/>
      </w:r>
      <w:r>
        <w:rPr>
          <w:noProof/>
        </w:rPr>
        <w:t xml:space="preserve"> sportról szóló fejezetének céljai között szerepel az egészségvédő testmozgás jelentőségével kapcsolatos tudatosság előm</w:t>
      </w:r>
      <w:r>
        <w:rPr>
          <w:noProof/>
        </w:rPr>
        <w:t>ozdítása, a sportban való fokozott részvétel és az ahhoz való, mindenki számára egyenlő hozzáférés révén. 2014-ben és 2015-ben az EU összesen 26 olyan együttműködési partnerséget finanszírozott, amelyek célja a sportban és a testmozgásban való részvétel el</w:t>
      </w:r>
      <w:r>
        <w:rPr>
          <w:noProof/>
        </w:rPr>
        <w:t>őmozdítása volt. E projekteket számos tagállamban hajtották végre, ezáltal helyi környezetükben szólítva meg az európai polgárokat, és azok a lakosság különböző csoportjait célozták meg, beleértve a gyermekeket, az időseket és a fogyatékkal élőket is. Az E</w:t>
      </w:r>
      <w:r>
        <w:rPr>
          <w:noProof/>
        </w:rPr>
        <w:t>rasmus+ program támogatta a különböző, az akadémiai közeghez, a hatóságokhoz, a nem kormányzati szervezetekhez és a sportklubokhoz tartozó érintetteknek az EU testmozgásra vonatkozó iránymutatásainak a tagállamokban való végrehajtására irányuló erőfeszítés</w:t>
      </w:r>
      <w:r>
        <w:rPr>
          <w:noProof/>
        </w:rPr>
        <w:t>eit.</w:t>
      </w:r>
    </w:p>
    <w:p w:rsidR="007B47D5" w:rsidRDefault="00A013AE">
      <w:pPr>
        <w:jc w:val="both"/>
        <w:rPr>
          <w:rFonts w:ascii="Times New Roman" w:eastAsia="Times New Roman" w:hAnsi="Times New Roman"/>
          <w:noProof/>
          <w:sz w:val="24"/>
          <w:szCs w:val="24"/>
        </w:rPr>
      </w:pPr>
      <w:r>
        <w:rPr>
          <w:noProof/>
        </w:rPr>
        <w:t>Végül, a tagállamok és a Bizottság együttműködnek a Sport Európai Hetével, egy 2015-ben indult európai szintű kezdeményezéssel összefüggésben is, melynek célja a sport és a testmozgás kortól, háttértől és edzettségi szinttől független előnyeivel kapcs</w:t>
      </w:r>
      <w:r>
        <w:rPr>
          <w:noProof/>
        </w:rPr>
        <w:t>olatos tudatosság fokozása. A Sport Európai Hetével összefüggésben 2015-ben öt, 2016-ben nyolc partnerség társfinanszírozására került sor. A két első alkalom sikeresnek bizonyult. 31 európai ország vett részt, és a kezdeményezést a jelentős sportszervezete</w:t>
      </w:r>
      <w:r>
        <w:rPr>
          <w:noProof/>
        </w:rPr>
        <w:t>kkel és sporttal kapcsolatos szervezetekkel együttműködve szervezték, amelyek kötelezettséget vállaltak rendezvények szervezésére, illetve általánosabban a testmozgás népszerűsítésére. Az Európai Sportfővárosok és Sportvárosok díját évente odaítélő Európai</w:t>
      </w:r>
      <w:r>
        <w:rPr>
          <w:noProof/>
        </w:rPr>
        <w:t xml:space="preserve"> Sportfővárosok és Sportvárosok Szövetsége (European Capitals and Cities of Sport Federation) is e partnerek közé tartozott.</w:t>
      </w:r>
    </w:p>
    <w:p w:rsidR="007B47D5" w:rsidRDefault="00A013AE">
      <w:pPr>
        <w:pStyle w:val="Heading1"/>
        <w:rPr>
          <w:noProof/>
        </w:rPr>
      </w:pPr>
      <w:r>
        <w:rPr>
          <w:noProof/>
        </w:rPr>
        <w:t>A fizikai aktivitásra vonatkozó európai statisztikák</w:t>
      </w:r>
    </w:p>
    <w:p w:rsidR="007B47D5" w:rsidRDefault="00A013AE">
      <w:pPr>
        <w:jc w:val="both"/>
        <w:rPr>
          <w:noProof/>
        </w:rPr>
      </w:pPr>
      <w:r>
        <w:rPr>
          <w:noProof/>
        </w:rPr>
        <w:t>Ahogy a sport fontos szerepre tesz szert az európai stratégiákban és programok</w:t>
      </w:r>
      <w:r>
        <w:rPr>
          <w:noProof/>
        </w:rPr>
        <w:t>ban, egyre nagyobb az igény a harmonizált és összehasonlítható statisztikákra, annak érdekében, hogy alátámasszák e területen a bizonyítékon alapuló szakpolitikákat. A tanácsi ajánlás arra hívta fel a Bizottságot, hogy vizsgálja meg annak lehetőségét, hogy</w:t>
      </w:r>
      <w:r>
        <w:rPr>
          <w:noProof/>
        </w:rPr>
        <w:t xml:space="preserve"> az egészségvédő testmozgás nyomonkövetése keretében gyűjtött adatok esetleg felhasználhatók-e a fizikai aktivitási szintekre vonatkozó uniós statisztikák összeállításához.</w:t>
      </w:r>
    </w:p>
    <w:p w:rsidR="007B47D5" w:rsidRDefault="00A013AE">
      <w:pPr>
        <w:jc w:val="both"/>
        <w:rPr>
          <w:noProof/>
        </w:rPr>
      </w:pPr>
      <w:r>
        <w:rPr>
          <w:noProof/>
        </w:rPr>
        <w:t>2016-ban az Eurostat és a Bizottság közölni kezdték a fizikai aktivitási teljesítmé</w:t>
      </w:r>
      <w:r>
        <w:rPr>
          <w:noProof/>
        </w:rPr>
        <w:t>nnyel kapcsolatos, a már meglevő európai felméréseken alapuló harmonizált statisztikákat.</w:t>
      </w:r>
      <w:r>
        <w:rPr>
          <w:rStyle w:val="FootnoteReference"/>
          <w:noProof/>
        </w:rPr>
        <w:footnoteReference w:id="22"/>
      </w:r>
      <w:r>
        <w:rPr>
          <w:noProof/>
        </w:rPr>
        <w:t xml:space="preserve"> Konkrétan a 2013–2017 közötti időszakra vonatkozó európai statisztikai program</w:t>
      </w:r>
      <w:r>
        <w:rPr>
          <w:rStyle w:val="FootnoteReference"/>
          <w:noProof/>
        </w:rPr>
        <w:footnoteReference w:id="23"/>
      </w:r>
      <w:r>
        <w:rPr>
          <w:noProof/>
        </w:rPr>
        <w:t xml:space="preserve"> rögzíti azokat a rendelkezéseket, amelyek alapján a fizikai aktivitásról szóló statis</w:t>
      </w:r>
      <w:r>
        <w:rPr>
          <w:noProof/>
        </w:rPr>
        <w:t>ztikai adatokat szolgáltatni kell. 2016-ban a fizikai aktivitási szintekre és a sportolásra, edzésre és rekreációs tevékenységekre vonatkozó adatokat az Európai Egészségfelmérési Rendszer</w:t>
      </w:r>
      <w:r>
        <w:rPr>
          <w:rStyle w:val="FootnoteReference"/>
          <w:noProof/>
        </w:rPr>
        <w:footnoteReference w:id="24"/>
      </w:r>
      <w:r>
        <w:rPr>
          <w:noProof/>
        </w:rPr>
        <w:t xml:space="preserve"> (EHIS) második kiadása és az időfelhasználási felmérések közlik.</w:t>
      </w:r>
      <w:r>
        <w:rPr>
          <w:rStyle w:val="FootnoteReference"/>
          <w:noProof/>
        </w:rPr>
        <w:footnoteReference w:id="25"/>
      </w:r>
      <w:r>
        <w:rPr>
          <w:rStyle w:val="FootnoteReference"/>
          <w:noProof/>
        </w:rPr>
        <w:t xml:space="preserve"> </w:t>
      </w:r>
      <w:r>
        <w:rPr>
          <w:noProof/>
        </w:rPr>
        <w:t>A</w:t>
      </w:r>
      <w:r>
        <w:rPr>
          <w:noProof/>
        </w:rPr>
        <w:t xml:space="preserve"> jelenlegi közegészségügyi statisztikai keretszabályozás szerint az EHIS felmérés harmadik kiadását 2019-re tervezik; az ezt követő felméréseket a jövőbeli társadalmi mikroadat-gyűjtési rendelet alapján fogják végezni, amely azok gyakoriságát öt évről hat </w:t>
      </w:r>
      <w:r>
        <w:rPr>
          <w:noProof/>
        </w:rPr>
        <w:t>éve emeli. Az Eurostat, a Bizottság és a tagállamok együttműködnek a felmérési eszközökkel kapcsolatos megállapodás érdekében.</w:t>
      </w:r>
    </w:p>
    <w:p w:rsidR="007B47D5" w:rsidRDefault="00A013AE">
      <w:pPr>
        <w:jc w:val="both"/>
        <w:rPr>
          <w:rFonts w:ascii="Times New Roman" w:eastAsia="Times New Roman" w:hAnsi="Times New Roman"/>
          <w:noProof/>
          <w:sz w:val="24"/>
          <w:szCs w:val="24"/>
        </w:rPr>
      </w:pPr>
      <w:r>
        <w:rPr>
          <w:noProof/>
        </w:rPr>
        <w:t>Az egészségvédő testmozgás nyomonkövetési keretrendszerével összefüggésben csak két tagállam használt fel az EHIS-ből származó ad</w:t>
      </w:r>
      <w:r>
        <w:rPr>
          <w:noProof/>
        </w:rPr>
        <w:t>atokat annak érdekében, hogy beszámoljon a fizikai aktivitási szintekről. E felmérés fő korlátját az jelenti, hogy nem tartalmazza a lassú rekreációs tevékenységeket. Ezenfelül nem értékeli, hogy a WHO testmozgással kapcsolatos ajánlásai milyen mértékben t</w:t>
      </w:r>
      <w:r>
        <w:rPr>
          <w:noProof/>
        </w:rPr>
        <w:t>eljesülnek a lakosságnál, ahogy azt az egészségvédő testmozgás nyomonkövetési keretrendszer előírja. E korlátokat kezelni kell, ha az EHIS felmérést a fizikai aktivitás nyomon követésének egységes eszközeként kívánják használni az EU-ban.</w:t>
      </w:r>
    </w:p>
    <w:p w:rsidR="007B47D5" w:rsidRDefault="00A013AE">
      <w:pPr>
        <w:pStyle w:val="Heading1"/>
        <w:rPr>
          <w:noProof/>
        </w:rPr>
      </w:pPr>
      <w:r>
        <w:rPr>
          <w:noProof/>
        </w:rPr>
        <w:t>A tanácsi ajánlás</w:t>
      </w:r>
      <w:r>
        <w:rPr>
          <w:noProof/>
        </w:rPr>
        <w:t xml:space="preserve"> hozzáadott értékének értékelése</w:t>
      </w:r>
    </w:p>
    <w:p w:rsidR="007B47D5" w:rsidRDefault="00A013AE">
      <w:pPr>
        <w:jc w:val="both"/>
        <w:rPr>
          <w:noProof/>
        </w:rPr>
      </w:pPr>
      <w:r>
        <w:rPr>
          <w:noProof/>
        </w:rPr>
        <w:t>A tanácsi ajánlás lendületet adott a tagállamoknak afelé, hogy a testmozgás hiányát közpolitikák révén kezeljék. A tagállamok által összesen bejelentett, az egészségvédő testmozgás előmozdítása szempontjából releváns valame</w:t>
      </w:r>
      <w:r>
        <w:rPr>
          <w:noProof/>
        </w:rPr>
        <w:t>nnyi ágazaton átívelő 152 szakpolitika és cselekvési terv közül 37 elfogadására került sor 2013 novembere után, amikor az ajánlást elfogadták. Várható, hogy a WHO európai régióra vonatkozó 2016–2025-ös testmozgási stratégiája tovább fokozza a tagállamok ös</w:t>
      </w:r>
      <w:r>
        <w:rPr>
          <w:noProof/>
        </w:rPr>
        <w:t>ztönzését arra, hogy fellépjenek ezen a területen.</w:t>
      </w:r>
      <w:r>
        <w:rPr>
          <w:rStyle w:val="FootnoteReference"/>
          <w:noProof/>
        </w:rPr>
        <w:footnoteReference w:id="26"/>
      </w:r>
    </w:p>
    <w:p w:rsidR="007B47D5" w:rsidRDefault="00A013AE">
      <w:pPr>
        <w:jc w:val="both"/>
        <w:rPr>
          <w:noProof/>
        </w:rPr>
      </w:pPr>
      <w:r>
        <w:rPr>
          <w:noProof/>
        </w:rPr>
        <w:t>A tanácsi ajánlás hozzájárult továbbá az egészségvédő testmozgás figyelemmel kíséréséhez az EU tagállamokban, az epidemiológiai adatoktól a szakpolitikai fejleményekig. Ennek eredményeként több ország kit</w:t>
      </w:r>
      <w:r>
        <w:rPr>
          <w:noProof/>
        </w:rPr>
        <w:t>erjesztette, fokozta, sőt hivatalossá tette nemzeti ágazatközi hálózatait, vagy a közeljövőben tervezi ezt.</w:t>
      </w:r>
    </w:p>
    <w:p w:rsidR="007B47D5" w:rsidRDefault="00A013AE">
      <w:pPr>
        <w:jc w:val="both"/>
        <w:rPr>
          <w:noProof/>
        </w:rPr>
      </w:pPr>
      <w:r>
        <w:rPr>
          <w:noProof/>
        </w:rPr>
        <w:t>Az egészségvédő testmozgás nyomonkövetése keretében gyűjtött adatok első alkalommal nyújtottak áttekintést az egészségvédő testmozgással kapcsolatos</w:t>
      </w:r>
      <w:r>
        <w:rPr>
          <w:noProof/>
        </w:rPr>
        <w:t xml:space="preserve"> szakpolitikák és fellépések végrehajtásáról az egész Unióban. Ez az információ tette lehetővé az egészségvédő testmozgással kapcsolatos szakpolitikák végrehajtása állásának összehasonlítását a tagállamok között, valamint elősegítette a bevált gyakorlatok </w:t>
      </w:r>
      <w:r>
        <w:rPr>
          <w:noProof/>
        </w:rPr>
        <w:t>megosztását, ezáltal inspirációt szolgáltatva azon országoknak, amelyek nemzeti stratégiáik és szakpolitikáik kialakításának és módosításának folyamatán mennek keresztül. Az eredmények hasznosak lesznek a nemzeti hatóságok és az érintettek számára, mivel l</w:t>
      </w:r>
      <w:r>
        <w:rPr>
          <w:noProof/>
        </w:rPr>
        <w:t>ehetővé teszik szakpolitikai szükségletek, illetve az előrehaladás azonosítását. Az egészségvédő testmozgás nyomonkövetése keretében gyűjtött adatok emellett hasznosak a tagállamok gyermekkori elhízás elleni cselekvési terveiben</w:t>
      </w:r>
      <w:r>
        <w:rPr>
          <w:rStyle w:val="FootnoteReference"/>
          <w:noProof/>
        </w:rPr>
        <w:footnoteReference w:id="27"/>
      </w:r>
      <w:r>
        <w:rPr>
          <w:noProof/>
        </w:rPr>
        <w:t xml:space="preserve"> a fizikai aktivitással kap</w:t>
      </w:r>
      <w:r>
        <w:rPr>
          <w:noProof/>
        </w:rPr>
        <w:t>csolatos egyes nyomonkövetési indikátorok szempontjából is. A nyomon követés első fordulója olyan kiindulópontot jelent, amelyhez a fejlődés és haladás mérése céljából a későbbi nyomonkövetési fordulókat viszonyítani fogják.</w:t>
      </w:r>
    </w:p>
    <w:p w:rsidR="007B47D5" w:rsidRDefault="00A013AE">
      <w:pPr>
        <w:jc w:val="both"/>
        <w:rPr>
          <w:noProof/>
        </w:rPr>
      </w:pPr>
      <w:r>
        <w:rPr>
          <w:noProof/>
        </w:rPr>
        <w:t>Kulcsfontosságú az olyan értéke</w:t>
      </w:r>
      <w:r>
        <w:rPr>
          <w:noProof/>
        </w:rPr>
        <w:t>lési tervek alkalmazása, amelyek révén értékelni lehet a nemzeti szintű szakpolitikák és cselekvés hatását és hatékonyságát. A bejelentett 152 szakpolitika és cselekvési terv közül a legtöbb (116) tartalmazott értékelési tervet. Arról ugyanakkor nem érkeze</w:t>
      </w:r>
      <w:r>
        <w:rPr>
          <w:noProof/>
        </w:rPr>
        <w:t xml:space="preserve">tt információ, hogy ezeket az értékeléseket elvégezték-e. </w:t>
      </w:r>
    </w:p>
    <w:p w:rsidR="007B47D5" w:rsidRDefault="00A013AE">
      <w:pPr>
        <w:jc w:val="both"/>
        <w:rPr>
          <w:noProof/>
        </w:rPr>
      </w:pPr>
      <w:r>
        <w:rPr>
          <w:noProof/>
        </w:rPr>
        <w:t>Összességében az egészségvédő testmozgás nyomonkövetési keretrendszere kapcsolattartó pontjainak hozzájárulása nagyon jó volt, amit igen pozitívnak kell tekinteni az első nyomonkövetési forduló ese</w:t>
      </w:r>
      <w:r>
        <w:rPr>
          <w:noProof/>
        </w:rPr>
        <w:t>tében. A jövőbeli adatgyűjtési fordulók szempontjából hasznos lenne néhány indikátor felmérési eszközének módosítása, illetve egyes indikátorok pontosabb meghatározása, annak érdekében, hogy csökkentsék az értelmezési tartomány (például, hogy mely státusz-</w:t>
      </w:r>
      <w:r>
        <w:rPr>
          <w:noProof/>
        </w:rPr>
        <w:t>iránymutatásokat kell bejelenteni). Ez lehetővé tenné az országok közötti jobb adat-összehasonlításokat.</w:t>
      </w:r>
    </w:p>
    <w:p w:rsidR="007B47D5" w:rsidRDefault="00A013AE">
      <w:pPr>
        <w:jc w:val="both"/>
        <w:rPr>
          <w:noProof/>
        </w:rPr>
      </w:pPr>
      <w:r>
        <w:rPr>
          <w:noProof/>
        </w:rPr>
        <w:t>A nyomon követés első körének értékelése olyan sajátos nemzeti összefüggéseket és problémákat tárt fel, amelyek akkor merültek fel, amikor a válaszadók</w:t>
      </w:r>
      <w:r>
        <w:rPr>
          <w:noProof/>
        </w:rPr>
        <w:t xml:space="preserve"> válaszoltak a felmérésre. Először, az egészségvédő testmozgás nyomonkövetési keretrendszerének ágazatközi jellege továbbra is potenciális kihívást jelent. A kapcsolattartó pontoknak nem álltak rendelkezésükre bizonyos nemzeti szintű információk, mivel nem</w:t>
      </w:r>
      <w:r>
        <w:rPr>
          <w:noProof/>
        </w:rPr>
        <w:t xml:space="preserve"> rendelkeztek a releváns hálózati kapcsolatokkal, illetve a saját ágazatukon kívüli erőforrásokkal. Másodszor, egyes programokat és szakpolitikákat nem a nemzeti kormányok hajtanak végre, hanem arra főként regionális, illetve helyi szinten kerül sor (példá</w:t>
      </w:r>
      <w:r>
        <w:rPr>
          <w:noProof/>
        </w:rPr>
        <w:t>ul szövetségi államokban), vagy ezeket a kormányoknak beszámolási kötelezettséggel nem tartozó érintettek hajtják végre. A nyomonkövetési munka nem tárt fel részletesen semmilyen regionális és helyi szintű eredményt. Az egészségvédő testmozgás nyomonköveté</w:t>
      </w:r>
      <w:r>
        <w:rPr>
          <w:noProof/>
        </w:rPr>
        <w:t>si keretrendszerében zajló további nyomonkövetési fordulókat tovább lehetne fejleszteni annak érdekében, hogy jobban rögzítsék az ezen a szinteken kifejtett erőfeszítéseket. Harmadszor, a tagállamok szolgáltattak bizonyos információkat az egészségvédő test</w:t>
      </w:r>
      <w:r>
        <w:rPr>
          <w:noProof/>
        </w:rPr>
        <w:t>mozgás finanszírozásáról, de mivel az egészségvédő testmozgás pénzügyi támogatása nemzeti szinten különböző szakpolitikákból, illetve költségvetési tételekből, illetve több kormányzati szintről származik, az ezzel az indikátorral kapcsolatos alapos beszámo</w:t>
      </w:r>
      <w:r>
        <w:rPr>
          <w:noProof/>
        </w:rPr>
        <w:t>lás nem volt lehetséges ebben a szakaszban.</w:t>
      </w:r>
    </w:p>
    <w:p w:rsidR="007B47D5" w:rsidRDefault="00A013AE">
      <w:pPr>
        <w:jc w:val="both"/>
        <w:rPr>
          <w:noProof/>
        </w:rPr>
      </w:pPr>
      <w:r>
        <w:rPr>
          <w:noProof/>
        </w:rPr>
        <w:t>A WHO-val a tanácsi ajánlással összefüggésben folytatott strukturált együttműködés kölcsönösen előnyösnek bizonyult, valamint magában foglalta a közös tájékoztatási tevékenységeket és a NOPA adatbázis fejlesztésé</w:t>
      </w:r>
      <w:r>
        <w:rPr>
          <w:noProof/>
        </w:rPr>
        <w:t>t. Különösen a kapcsolattartó pontok találták hasznosnak a Bizottság, a WHO és a tudományos szakértők által nyújtott támogatást.</w:t>
      </w:r>
    </w:p>
    <w:p w:rsidR="007B47D5" w:rsidRDefault="00A013AE">
      <w:pPr>
        <w:jc w:val="both"/>
        <w:rPr>
          <w:rFonts w:ascii="Times New Roman" w:hAnsi="Times New Roman"/>
          <w:noProof/>
          <w:sz w:val="24"/>
          <w:szCs w:val="24"/>
        </w:rPr>
      </w:pPr>
      <w:r>
        <w:rPr>
          <w:noProof/>
        </w:rPr>
        <w:t>A Bizottság a kapcsolattartó pontoktól és a Tanács sporttal foglalkozó munkacsoportjától pozitív visszajelzést kapott az ország</w:t>
      </w:r>
      <w:r>
        <w:rPr>
          <w:noProof/>
        </w:rPr>
        <w:t>adatlapokat illetően. Az adatlapok tartalmát és formáját is megfelelőnek ítélték meg. Az a javaslat született, hogy az adatlapokat háromévente vizsgálják felül, mivel ez lehetővé tenné a tervezett programok és szakpolitikák időbeli nyomon követését.</w:t>
      </w:r>
    </w:p>
    <w:p w:rsidR="007B47D5" w:rsidRDefault="00A013AE">
      <w:pPr>
        <w:pStyle w:val="Heading1"/>
        <w:rPr>
          <w:noProof/>
        </w:rPr>
      </w:pPr>
      <w:r>
        <w:rPr>
          <w:noProof/>
        </w:rPr>
        <w:t>Követk</w:t>
      </w:r>
      <w:r>
        <w:rPr>
          <w:noProof/>
        </w:rPr>
        <w:t>eztetések</w:t>
      </w:r>
    </w:p>
    <w:p w:rsidR="007B47D5" w:rsidRDefault="00A013AE">
      <w:pPr>
        <w:jc w:val="both"/>
        <w:rPr>
          <w:noProof/>
        </w:rPr>
      </w:pPr>
      <w:r>
        <w:rPr>
          <w:noProof/>
        </w:rPr>
        <w:t>A tanácsi ajánlás 2014–2016 közötti végrehajtásának vizsgálata több pozitív fejleményt mutat, beleértve a következőket: számos új szakpolitika és cselekvési terv elfogadása nemzeti szinten; az ágazatközi együttműködés erősödése nemzeti szinten; a</w:t>
      </w:r>
      <w:r>
        <w:rPr>
          <w:noProof/>
        </w:rPr>
        <w:t xml:space="preserve"> nyomon követés javulása nemzeti szinten; az Unióban az egészségvédő testmozgással kapcsolatos szakpolitikák és cselekvések áttekintése, amely igen gazdag adatforrást kínál a jövőbeli elemzés számára; valamint a határokon átnyúló együttműködés erősödése a </w:t>
      </w:r>
      <w:r>
        <w:rPr>
          <w:noProof/>
        </w:rPr>
        <w:t>legjobb gyakorlatok cseréje kapcsán.</w:t>
      </w:r>
    </w:p>
    <w:p w:rsidR="007B47D5" w:rsidRDefault="00A013AE">
      <w:pPr>
        <w:jc w:val="both"/>
        <w:rPr>
          <w:noProof/>
        </w:rPr>
      </w:pPr>
      <w:r>
        <w:rPr>
          <w:noProof/>
        </w:rPr>
        <w:t>Végül, az egészségvédő testmozgás előmozdításának sikere nagyban függ a tagállamok arra való képességétől, hogy valamennyi ágazatban hatékonyan végrehajtsák a tanácsi ajánlást, valamint olyan keretet biztosítsanak a pol</w:t>
      </w:r>
      <w:r>
        <w:rPr>
          <w:noProof/>
        </w:rPr>
        <w:t>gárok számára, amely ösztönzi az aktív életmódot. A Tanács ugyanakkor tovább fogja erősíteni együttműködését a meghatározó érdekelt felekkel a tagállamokban.</w:t>
      </w:r>
    </w:p>
    <w:p w:rsidR="007B47D5" w:rsidRDefault="00A013AE">
      <w:pPr>
        <w:jc w:val="both"/>
        <w:rPr>
          <w:noProof/>
        </w:rPr>
      </w:pPr>
      <w:r>
        <w:rPr>
          <w:noProof/>
        </w:rPr>
        <w:t>A gyűjtött adatok lehetővé teszik a nemzeti szintű közpolitikák hiányosságainak azonosítását. Ugya</w:t>
      </w:r>
      <w:r>
        <w:rPr>
          <w:noProof/>
        </w:rPr>
        <w:t>nakkor a meglévő szakpolitikák és cselekvési tervek hatásának és hatékonyságának nemzeti szinten történő értékelése is kulcsfontosságú marad. Ehhez a lakosság fizikai aktivitására vonatkozó megbízható adatok szükségesek. A különböző felmérési eszközökből s</w:t>
      </w:r>
      <w:r>
        <w:rPr>
          <w:noProof/>
        </w:rPr>
        <w:t>zármazó ellentmondásos adatok közlését kezelendő problémaként azonosították.</w:t>
      </w:r>
    </w:p>
    <w:p w:rsidR="007B47D5" w:rsidRDefault="00A013AE">
      <w:pPr>
        <w:jc w:val="both"/>
        <w:rPr>
          <w:noProof/>
        </w:rPr>
      </w:pPr>
      <w:r>
        <w:rPr>
          <w:noProof/>
        </w:rPr>
        <w:t xml:space="preserve">A Bizottság üdvözli, hogy a tagállamok továbbra is befektetnek az egészségvédő testmozgás nyomon követésébe és ellenőrzésébe. A nyomon követés jövőbeli fordulóit az adatgyűjtés </w:t>
      </w:r>
      <w:r>
        <w:rPr>
          <w:noProof/>
        </w:rPr>
        <w:t xml:space="preserve">első fordulójára kell építeni, és azokat könnyebbé kell tenni. Az adatgyűjtés nem önmagában való cél; annak értéke attól függ, hogy az adatok meddig tudják előre jelezni az epidemiológiai trendeket, illetve attól, hogy azonosítani tudják-e a szakpolitikai </w:t>
      </w:r>
      <w:r>
        <w:rPr>
          <w:noProof/>
        </w:rPr>
        <w:t>szükségleteket és hiányosságokat, valamint a megosztható bevált gyakorlatokat.</w:t>
      </w:r>
    </w:p>
    <w:p w:rsidR="007B47D5" w:rsidRDefault="00A013AE">
      <w:pPr>
        <w:jc w:val="both"/>
        <w:rPr>
          <w:noProof/>
        </w:rPr>
      </w:pPr>
      <w:r>
        <w:rPr>
          <w:noProof/>
        </w:rPr>
        <w:t>Az Unió-szerte azonosított bevált gyakorlatokra és létező hálózatokra, struktúrákra és finanszírozási eszközökre támaszkodva a Bizottság továbbra is támogatni fogja a tagállamok</w:t>
      </w:r>
      <w:r>
        <w:rPr>
          <w:noProof/>
        </w:rPr>
        <w:t xml:space="preserve">at. A nyomon követés jövőbeli fordulói során fel fogja tárni a további technikai és tudományos segítségnyújtás lehetőségeit. A Bizottság úgy véli, hogy hasznos lenne tovább erősíteni a WHO-val és a kutatói közösséggel folytatott együttműködését, különösen </w:t>
      </w:r>
      <w:r>
        <w:rPr>
          <w:noProof/>
        </w:rPr>
        <w:t>annak érdekében, hogy javuljon az egész EU-ban gyűjtött adatok összehasonlíthatósága.</w:t>
      </w:r>
    </w:p>
    <w:p w:rsidR="007B47D5" w:rsidRDefault="00A013AE">
      <w:pPr>
        <w:jc w:val="both"/>
        <w:rPr>
          <w:noProof/>
        </w:rPr>
      </w:pPr>
      <w:r>
        <w:rPr>
          <w:noProof/>
        </w:rPr>
        <w:t>A Bizottság a tanácsi ajánlás végrehajtásáról és hozzáadott értékéről szóló következő jelentést három év múlva terjeszti elő. Ezt megelőzően az egészségvédő testmozgás ny</w:t>
      </w:r>
      <w:r>
        <w:rPr>
          <w:noProof/>
        </w:rPr>
        <w:t>omonkövetési keretrendszerében új adatgyűjtési fordulóra kerül sor, és másodszor is közzétételre kerülnek a testmozgással kapcsolatos országadatlapok.</w:t>
      </w:r>
    </w:p>
    <w:sectPr w:rsidR="007B47D5">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D5" w:rsidRDefault="00A013AE">
      <w:pPr>
        <w:spacing w:after="0" w:line="240" w:lineRule="auto"/>
      </w:pPr>
      <w:r>
        <w:separator/>
      </w:r>
    </w:p>
  </w:endnote>
  <w:endnote w:type="continuationSeparator" w:id="0">
    <w:p w:rsidR="007B47D5" w:rsidRDefault="00A0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AE" w:rsidRDefault="00A01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A013AE">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AE" w:rsidRDefault="00A013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7B47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A013AE">
    <w:pPr>
      <w:pStyle w:val="Footer"/>
      <w:jc w:val="center"/>
    </w:pPr>
    <w:r>
      <w:fldChar w:fldCharType="begin"/>
    </w:r>
    <w:r>
      <w:instrText>PAGE</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A013AE">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7B47D5" w:rsidRDefault="007B47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D5" w:rsidRDefault="00A013AE">
      <w:pPr>
        <w:spacing w:after="0" w:line="240" w:lineRule="auto"/>
      </w:pPr>
      <w:r>
        <w:separator/>
      </w:r>
    </w:p>
  </w:footnote>
  <w:footnote w:type="continuationSeparator" w:id="0">
    <w:p w:rsidR="007B47D5" w:rsidRDefault="00A013AE">
      <w:pPr>
        <w:spacing w:after="0" w:line="240" w:lineRule="auto"/>
      </w:pPr>
      <w:r>
        <w:continuationSeparator/>
      </w:r>
    </w:p>
  </w:footnote>
  <w:footnote w:id="1">
    <w:p w:rsidR="007B47D5" w:rsidRDefault="00A013AE">
      <w:pPr>
        <w:pStyle w:val="FootnoteText"/>
        <w:rPr>
          <w:rStyle w:val="FootnoteReference"/>
        </w:rPr>
      </w:pPr>
      <w:r>
        <w:rPr>
          <w:rStyle w:val="FootnoteReference"/>
        </w:rPr>
        <w:footnoteRef/>
      </w:r>
      <w:r>
        <w:rPr>
          <w:rStyle w:val="FootnoteReference"/>
        </w:rPr>
        <w:t xml:space="preserve"> </w:t>
      </w:r>
      <w:r>
        <w:t>HL C 354., 2013.12.4., 1. o.</w:t>
      </w:r>
    </w:p>
  </w:footnote>
  <w:footnote w:id="2">
    <w:p w:rsidR="007B47D5" w:rsidRDefault="00A013AE">
      <w:pPr>
        <w:pStyle w:val="FootnoteText"/>
        <w:rPr>
          <w:rStyle w:val="FootnoteReference"/>
        </w:rPr>
      </w:pPr>
      <w:r>
        <w:rPr>
          <w:rStyle w:val="FootnoteReference"/>
        </w:rPr>
        <w:footnoteRef/>
      </w:r>
      <w:r>
        <w:rPr>
          <w:rStyle w:val="FootnoteReference"/>
        </w:rPr>
        <w:t xml:space="preserve"> </w:t>
      </w:r>
      <w:r>
        <w:t xml:space="preserve">A sportról és a fizikai </w:t>
      </w:r>
      <w:r>
        <w:t>aktivitásról végzett különleges Eurobarometer-felmérés 2014. évi adatai szerint a 15 év feletti korosztályban 10 fő közül 6 csak ritkán vagy soha nem sportol, a megkérdezettek több mint a fele pedig ritkán vagy soha nem végez egyéb fizikai tevékenységet, m</w:t>
      </w:r>
      <w:r>
        <w:t>int például kerékpározás, séta, a háztartási munka vagy kertészkedés. Ehhez hasonlóan, a WHO szerint a 13–15 éveseknek csak 34%-a eléggé aktív ahhoz, hogy megfeleljen a WHO gyermekeknek és fiataloknak szóló ajánlásainak.</w:t>
      </w:r>
    </w:p>
  </w:footnote>
  <w:footnote w:id="3">
    <w:p w:rsidR="007B47D5" w:rsidRDefault="00A013AE">
      <w:pPr>
        <w:pStyle w:val="FootnoteText"/>
      </w:pPr>
      <w:r>
        <w:rPr>
          <w:rStyle w:val="FootnoteReference"/>
        </w:rPr>
        <w:footnoteRef/>
      </w:r>
      <w:r>
        <w:rPr>
          <w:rStyle w:val="FootnoteReference"/>
        </w:rPr>
        <w:t xml:space="preserve"> </w:t>
      </w:r>
      <w:r>
        <w:t>HL C 417., 2015.12.15., 46. o.</w:t>
      </w:r>
    </w:p>
  </w:footnote>
  <w:footnote w:id="4">
    <w:p w:rsidR="007B47D5" w:rsidRDefault="00A013AE">
      <w:pPr>
        <w:pStyle w:val="FootnoteText"/>
        <w:rPr>
          <w:rStyle w:val="FootnoteReference"/>
          <w:sz w:val="22"/>
        </w:rPr>
      </w:pPr>
      <w:r>
        <w:rPr>
          <w:rStyle w:val="FootnoteReference"/>
        </w:rPr>
        <w:footnoteRef/>
      </w:r>
      <w:r>
        <w:rPr>
          <w:rStyle w:val="FootnoteReference"/>
        </w:rPr>
        <w:t xml:space="preserve"> </w:t>
      </w:r>
      <w:r>
        <w:t>Az EU testmozgásra vonatkozó iránymutatásai. Ajánlások az egészségjavító testmozgás támogatására irányuló szakpolitikai intézkedésekre. Brüsszel: Európai Bizottság; 2008.</w:t>
      </w:r>
    </w:p>
  </w:footnote>
  <w:footnote w:id="5">
    <w:p w:rsidR="007B47D5" w:rsidRDefault="00A013AE">
      <w:pPr>
        <w:pStyle w:val="FootnoteText"/>
        <w:rPr>
          <w:rStyle w:val="FootnoteReference"/>
        </w:rPr>
      </w:pPr>
      <w:r>
        <w:rPr>
          <w:rStyle w:val="FootnoteReference"/>
        </w:rPr>
        <w:footnoteRef/>
      </w:r>
      <w:r>
        <w:rPr>
          <w:rStyle w:val="FootnoteReference"/>
        </w:rPr>
        <w:t xml:space="preserve"> </w:t>
      </w:r>
      <w:r>
        <w:t>Webinárium formájában képzéseket, illetve telefonos és e-mailes hotline révén folya</w:t>
      </w:r>
      <w:r>
        <w:t>matos támogatást biztosítottak.</w:t>
      </w:r>
    </w:p>
  </w:footnote>
  <w:footnote w:id="6">
    <w:p w:rsidR="007B47D5" w:rsidRDefault="00A013AE">
      <w:pPr>
        <w:pStyle w:val="FootnoteText"/>
      </w:pPr>
      <w:r>
        <w:rPr>
          <w:rStyle w:val="FootnoteReference"/>
        </w:rPr>
        <w:footnoteRef/>
      </w:r>
      <w:r>
        <w:rPr>
          <w:rStyle w:val="FootnoteReference"/>
        </w:rPr>
        <w:t xml:space="preserve"> </w:t>
      </w:r>
      <w:r>
        <w:t>Az EU testmozgásra vonatkozó iránymutatásainak végrehajtásáról szóló tanulmány — Zárójelentés — Friedrich-Alexander Egyetem, Erlangen-Nürnberg (</w:t>
      </w:r>
      <w:hyperlink r:id="rId1">
        <w:r>
          <w:t>http://bookshop.europa.eu/en/study-on-the-implementation-of-the-eu-physical-activity-guidelines-pbNC0116019/?CatalogCategoryID=CdcKABstHUgAAAEjBJEY4e5L</w:t>
        </w:r>
      </w:hyperlink>
      <w:r>
        <w:t>)</w:t>
      </w:r>
    </w:p>
  </w:footnote>
  <w:footnote w:id="7">
    <w:p w:rsidR="007B47D5" w:rsidRDefault="00A013AE">
      <w:pPr>
        <w:pStyle w:val="FootnoteText"/>
        <w:rPr>
          <w:rStyle w:val="FootnoteReference"/>
          <w:sz w:val="22"/>
        </w:rPr>
      </w:pPr>
      <w:r>
        <w:rPr>
          <w:rStyle w:val="FootnoteReference"/>
        </w:rPr>
        <w:footnoteRef/>
      </w:r>
      <w:r>
        <w:rPr>
          <w:rStyle w:val="FootnoteReference"/>
        </w:rPr>
        <w:t xml:space="preserve"> </w:t>
      </w:r>
      <w:hyperlink r:id="rId2">
        <w:r>
          <w:t>http://www.whonopa.eu/</w:t>
        </w:r>
      </w:hyperlink>
    </w:p>
  </w:footnote>
  <w:footnote w:id="8">
    <w:p w:rsidR="007B47D5" w:rsidRDefault="00A013AE">
      <w:pPr>
        <w:pStyle w:val="FootnoteText"/>
        <w:rPr>
          <w:rStyle w:val="FootnoteReference"/>
          <w:sz w:val="22"/>
        </w:rPr>
      </w:pPr>
      <w:r>
        <w:rPr>
          <w:rStyle w:val="FootnoteReference"/>
        </w:rPr>
        <w:footnoteRef/>
      </w:r>
      <w:r>
        <w:rPr>
          <w:rStyle w:val="FootnoteReference"/>
        </w:rPr>
        <w:t xml:space="preserve"> </w:t>
      </w:r>
      <w:hyperlink r:id="rId3">
        <w:r>
          <w:t>http://www.euro.who.int/en/health-topics/disease-prevention/physical-activity/country-w</w:t>
        </w:r>
        <w:r>
          <w:t>ork</w:t>
        </w:r>
      </w:hyperlink>
    </w:p>
  </w:footnote>
  <w:footnote w:id="9">
    <w:p w:rsidR="007B47D5" w:rsidRDefault="00A013AE">
      <w:pPr>
        <w:pStyle w:val="FootnoteText"/>
        <w:rPr>
          <w:rStyle w:val="FootnoteReference"/>
        </w:rPr>
      </w:pPr>
      <w:r>
        <w:rPr>
          <w:rStyle w:val="FootnoteReference"/>
        </w:rPr>
        <w:footnoteRef/>
      </w:r>
      <w:r>
        <w:rPr>
          <w:rStyle w:val="FootnoteReference"/>
        </w:rPr>
        <w:t xml:space="preserve"> </w:t>
      </w:r>
      <w:r>
        <w:t>Görögország nem vett részt a felmérésben.</w:t>
      </w:r>
    </w:p>
  </w:footnote>
  <w:footnote w:id="10">
    <w:p w:rsidR="007B47D5" w:rsidRDefault="00A013AE">
      <w:pPr>
        <w:pStyle w:val="FootnoteText"/>
        <w:rPr>
          <w:rStyle w:val="FootnoteReference"/>
          <w:sz w:val="22"/>
        </w:rPr>
      </w:pPr>
      <w:r>
        <w:rPr>
          <w:rStyle w:val="FootnoteReference"/>
        </w:rPr>
        <w:footnoteRef/>
      </w:r>
      <w:r>
        <w:rPr>
          <w:rStyle w:val="FootnoteReference"/>
        </w:rPr>
        <w:t xml:space="preserve"> </w:t>
      </w:r>
      <w:r>
        <w:t>Az egészségvédő testmozgás előmozdítása Európában: az ellenőrzés, a politikaformálás és a végrehajtás jelenlegi állása: Jelena Jakovljevic, Joao Breda, Olivier Fontaine, Susanne Hollmann, Alfred Rutten, Gau</w:t>
      </w:r>
      <w:r>
        <w:t>den Galea [még nem került közzétételre].</w:t>
      </w:r>
    </w:p>
  </w:footnote>
  <w:footnote w:id="11">
    <w:p w:rsidR="007B47D5" w:rsidRDefault="00A013AE">
      <w:pPr>
        <w:pStyle w:val="FootnoteText"/>
        <w:rPr>
          <w:rStyle w:val="FootnoteReference"/>
        </w:rPr>
      </w:pPr>
      <w:r>
        <w:rPr>
          <w:rStyle w:val="FootnoteReference"/>
        </w:rPr>
        <w:footnoteRef/>
      </w:r>
      <w:r>
        <w:rPr>
          <w:rStyle w:val="FootnoteReference"/>
        </w:rPr>
        <w:t xml:space="preserve"> </w:t>
      </w:r>
      <w:r>
        <w:t>További információkhoz lásd a Bizottság által finanszírozott „A szabadidős testmozgást szolgáló helyi szintű infrastruktúra javítása” (Improving infrastructure for leisure time physical activity in the local arena</w:t>
      </w:r>
      <w:r>
        <w:t>, IMPALA) projektet, lásd: http://www.impalaeu.org/fileadmin/user_upload/IMPALA_guideline_draft.pdf. Egy nyomon követéses Erasmus-projektet 2015-2017 között hajtanak végre (IMPALA.net).</w:t>
      </w:r>
    </w:p>
  </w:footnote>
  <w:footnote w:id="12">
    <w:p w:rsidR="007B47D5" w:rsidRDefault="00A013AE">
      <w:pPr>
        <w:pStyle w:val="FootnoteText"/>
        <w:rPr>
          <w:rStyle w:val="FootnoteReference"/>
          <w:sz w:val="22"/>
        </w:rPr>
      </w:pPr>
      <w:r>
        <w:rPr>
          <w:rStyle w:val="FootnoteReference"/>
        </w:rPr>
        <w:footnoteRef/>
      </w:r>
      <w:r>
        <w:rPr>
          <w:rStyle w:val="FootnoteReference"/>
        </w:rPr>
        <w:t xml:space="preserve"> </w:t>
      </w:r>
      <w:hyperlink r:id="rId4">
        <w:r>
          <w:t>http://www.who.int/dietphysicalactivity/factsheet_recommendations/en/</w:t>
        </w:r>
      </w:hyperlink>
    </w:p>
  </w:footnote>
  <w:footnote w:id="13">
    <w:p w:rsidR="007B47D5" w:rsidRDefault="00A013AE">
      <w:pPr>
        <w:pStyle w:val="FootnoteText"/>
        <w:rPr>
          <w:rStyle w:val="FootnoteReference"/>
        </w:rPr>
      </w:pPr>
      <w:r>
        <w:rPr>
          <w:rStyle w:val="FootnoteReference"/>
        </w:rPr>
        <w:footnoteRef/>
      </w:r>
      <w:r>
        <w:rPr>
          <w:rStyle w:val="FootnoteReference"/>
        </w:rPr>
        <w:t xml:space="preserve"> </w:t>
      </w:r>
      <w:r>
        <w:t>http://ec.europa.eu/health/nutrition_physical_activity/docs/ebs_412_en.pdf</w:t>
      </w:r>
    </w:p>
  </w:footnote>
  <w:footnote w:id="14">
    <w:p w:rsidR="007B47D5" w:rsidRDefault="00A013AE">
      <w:pPr>
        <w:pStyle w:val="FootnoteText"/>
        <w:rPr>
          <w:rStyle w:val="FootnoteReference"/>
          <w:sz w:val="22"/>
        </w:rPr>
      </w:pPr>
      <w:r>
        <w:rPr>
          <w:rStyle w:val="FootnoteReference"/>
        </w:rPr>
        <w:footnoteRef/>
      </w:r>
      <w:r>
        <w:rPr>
          <w:rStyle w:val="FootnoteReference"/>
        </w:rPr>
        <w:t xml:space="preserve"> </w:t>
      </w:r>
      <w:hyperlink r:id="rId5">
        <w:r>
          <w:t>http://ec.europa.eu/eurostat/statistics-explained/index.php/Glossary:European_health_interview_survey_%28EHIS%29</w:t>
        </w:r>
      </w:hyperlink>
    </w:p>
  </w:footnote>
  <w:footnote w:id="15">
    <w:p w:rsidR="007B47D5" w:rsidRDefault="00A013AE">
      <w:pPr>
        <w:pStyle w:val="FootnoteText"/>
        <w:rPr>
          <w:rStyle w:val="FootnoteReference"/>
          <w:sz w:val="22"/>
        </w:rPr>
      </w:pPr>
      <w:r>
        <w:rPr>
          <w:rStyle w:val="FootnoteReference"/>
        </w:rPr>
        <w:footnoteRef/>
      </w:r>
      <w:r>
        <w:rPr>
          <w:rStyle w:val="FootnoteReference"/>
        </w:rPr>
        <w:t xml:space="preserve"> </w:t>
      </w:r>
      <w:hyperlink r:id="rId6">
        <w:r>
          <w:t>http://www.hbsc.org/</w:t>
        </w:r>
      </w:hyperlink>
    </w:p>
  </w:footnote>
  <w:footnote w:id="16">
    <w:p w:rsidR="007B47D5" w:rsidRDefault="00A013AE">
      <w:pPr>
        <w:pStyle w:val="FootnoteText"/>
        <w:rPr>
          <w:rStyle w:val="FootnoteReference"/>
          <w:sz w:val="22"/>
        </w:rPr>
      </w:pPr>
      <w:r>
        <w:rPr>
          <w:rStyle w:val="FootnoteReference"/>
        </w:rPr>
        <w:footnoteRef/>
      </w:r>
      <w:r>
        <w:rPr>
          <w:rStyle w:val="FootnoteReference"/>
        </w:rPr>
        <w:t xml:space="preserve"> </w:t>
      </w:r>
      <w:hyperlink r:id="rId7">
        <w:r>
          <w:t>http://www.who.int/gho/en/</w:t>
        </w:r>
      </w:hyperlink>
    </w:p>
  </w:footnote>
  <w:footnote w:id="17">
    <w:p w:rsidR="007B47D5" w:rsidRDefault="00A013AE">
      <w:pPr>
        <w:pStyle w:val="FootnoteText"/>
        <w:rPr>
          <w:rStyle w:val="FootnoteReference"/>
          <w:sz w:val="22"/>
        </w:rPr>
      </w:pPr>
      <w:r>
        <w:rPr>
          <w:rStyle w:val="FootnoteReference"/>
        </w:rPr>
        <w:footnoteRef/>
      </w:r>
      <w:r>
        <w:rPr>
          <w:rStyle w:val="FootnoteReference"/>
        </w:rPr>
        <w:t xml:space="preserve"> </w:t>
      </w:r>
      <w:r>
        <w:t xml:space="preserve">(2014/C 183/03) </w:t>
      </w:r>
      <w:hyperlink r:id="rId8">
        <w:r>
          <w:t>http://eur-lex.europa.eu/l</w:t>
        </w:r>
        <w:r>
          <w:t>egal-content/EN/ALL/?uri=CELEX:42014Y0614 %2803 %29</w:t>
        </w:r>
      </w:hyperlink>
      <w:r>
        <w:t>.</w:t>
      </w:r>
    </w:p>
  </w:footnote>
  <w:footnote w:id="18">
    <w:p w:rsidR="007B47D5" w:rsidRDefault="00A013AE">
      <w:pPr>
        <w:pStyle w:val="FootnoteText"/>
      </w:pPr>
      <w:r>
        <w:rPr>
          <w:rStyle w:val="FootnoteReference"/>
        </w:rPr>
        <w:footnoteRef/>
      </w:r>
      <w:r>
        <w:t xml:space="preserve"> 7. keretprogram és Horizont 2020 projektek</w:t>
      </w:r>
    </w:p>
  </w:footnote>
  <w:footnote w:id="19">
    <w:p w:rsidR="007B47D5" w:rsidRDefault="00A013AE">
      <w:pPr>
        <w:pStyle w:val="FootnoteText"/>
        <w:rPr>
          <w:rStyle w:val="FootnoteReference"/>
          <w:sz w:val="22"/>
        </w:rPr>
      </w:pPr>
      <w:r>
        <w:rPr>
          <w:rStyle w:val="FootnoteReference"/>
        </w:rPr>
        <w:footnoteRef/>
      </w:r>
      <w:r>
        <w:rPr>
          <w:rStyle w:val="FootnoteReference"/>
        </w:rPr>
        <w:t xml:space="preserve"> </w:t>
      </w:r>
      <w:r>
        <w:t xml:space="preserve">Lásd a találkozókról szóló beszámolókat: </w:t>
      </w:r>
      <w:hyperlink r:id="rId9">
        <w:r>
          <w:t>http://ec.europa.eu/</w:t>
        </w:r>
        <w:r>
          <w:t>sport/policy/cooperation/expert-groups-2014-2017_en.htm</w:t>
        </w:r>
      </w:hyperlink>
    </w:p>
  </w:footnote>
  <w:footnote w:id="20">
    <w:p w:rsidR="007B47D5" w:rsidRDefault="00A013AE">
      <w:pPr>
        <w:pStyle w:val="FootnoteText"/>
        <w:rPr>
          <w:rStyle w:val="FootnoteReference"/>
          <w:sz w:val="22"/>
        </w:rPr>
      </w:pPr>
      <w:r>
        <w:rPr>
          <w:rStyle w:val="FootnoteReference"/>
        </w:rPr>
        <w:footnoteRef/>
      </w:r>
      <w:r>
        <w:rPr>
          <w:rStyle w:val="FootnoteReference"/>
        </w:rPr>
        <w:t xml:space="preserve"> </w:t>
      </w:r>
      <w:hyperlink r:id="rId10">
        <w:r>
          <w:t>http://ec.europa.eu/sport/policy/cooperation/expert-groups-2014-2017_en.htm</w:t>
        </w:r>
      </w:hyperlink>
    </w:p>
  </w:footnote>
  <w:footnote w:id="21">
    <w:p w:rsidR="007B47D5" w:rsidRDefault="00A013AE">
      <w:pPr>
        <w:pStyle w:val="FootnoteText"/>
      </w:pPr>
      <w:r>
        <w:rPr>
          <w:rStyle w:val="FootnoteReference"/>
        </w:rPr>
        <w:footnoteRef/>
      </w:r>
      <w:r>
        <w:rPr>
          <w:rStyle w:val="FootnoteReference"/>
        </w:rPr>
        <w:t xml:space="preserve"> </w:t>
      </w:r>
      <w:hyperlink r:id="rId11">
        <w:r>
          <w:t>https://ec.europa.eu/programmes/erasmus-plus/node_en</w:t>
        </w:r>
      </w:hyperlink>
    </w:p>
  </w:footnote>
  <w:footnote w:id="22">
    <w:p w:rsidR="007B47D5" w:rsidRDefault="00A013AE">
      <w:pPr>
        <w:pStyle w:val="FootnoteText"/>
        <w:rPr>
          <w:rStyle w:val="FootnoteReference"/>
        </w:rPr>
      </w:pPr>
      <w:r>
        <w:rPr>
          <w:rStyle w:val="FootnoteReference"/>
        </w:rPr>
        <w:footnoteRef/>
      </w:r>
      <w:r>
        <w:rPr>
          <w:rStyle w:val="FootnoteReference"/>
        </w:rPr>
        <w:t xml:space="preserve"> </w:t>
      </w:r>
      <w:r>
        <w:t>http://ec.europa.eu/eurostat/documents/4031688/7203321/KS-04-15-823-EN-N.pdf/b911c74d-c336-421e-bdf7-cfcba4037f94</w:t>
      </w:r>
    </w:p>
  </w:footnote>
  <w:footnote w:id="23">
    <w:p w:rsidR="007B47D5" w:rsidRDefault="00A013AE">
      <w:pPr>
        <w:pStyle w:val="FootnoteText"/>
      </w:pPr>
      <w:r>
        <w:rPr>
          <w:rStyle w:val="FootnoteReference"/>
        </w:rPr>
        <w:footnoteRef/>
      </w:r>
      <w:r>
        <w:rPr>
          <w:rStyle w:val="FootnoteReference"/>
        </w:rPr>
        <w:t xml:space="preserve"> </w:t>
      </w:r>
      <w:r>
        <w:t xml:space="preserve">Az Európai Parlament és a Tanács </w:t>
      </w:r>
      <w:r>
        <w:t>99/2013/EK rendelete (2013. január 15.) az európai statisztikai programról (2013–2017) (HL L 39., 2013.2.9., 12. o.)</w:t>
      </w:r>
    </w:p>
  </w:footnote>
  <w:footnote w:id="24">
    <w:p w:rsidR="007B47D5" w:rsidRDefault="00A013AE">
      <w:pPr>
        <w:pStyle w:val="FootnoteText"/>
        <w:rPr>
          <w:rStyle w:val="FootnoteReference"/>
          <w:sz w:val="22"/>
        </w:rPr>
      </w:pPr>
      <w:r>
        <w:rPr>
          <w:rStyle w:val="FootnoteReference"/>
        </w:rPr>
        <w:footnoteRef/>
      </w:r>
      <w:r>
        <w:rPr>
          <w:rStyle w:val="FootnoteReference"/>
        </w:rPr>
        <w:t xml:space="preserve"> </w:t>
      </w:r>
      <w:r>
        <w:t>Az EHIS olyan általános lakossági felmérés, amely információt szolgáltat az EU-ban fennálló egészségi állapotról, egészség-meghatározó té</w:t>
      </w:r>
      <w:r>
        <w:t>nyezőkről (mint a fizikai aktivitás) és az egészségügyi ellátási tevékenységekről. Ezt a népegészségre és a munkahelyi egészségre és biztonságra vonatkozó közösségi statisztikáról szóló 1338/2008 rendelet alapján jelenleg ötévente végzik el (</w:t>
      </w:r>
      <w:hyperlink r:id="rId12">
        <w:r>
          <w:t>http://ec.europa.eu/eurostat/statistics-explained/index.php/Glossary:European_health_interview_survey_%28EHIS%29</w:t>
        </w:r>
      </w:hyperlink>
      <w:r>
        <w:t xml:space="preserve"> ).</w:t>
      </w:r>
    </w:p>
  </w:footnote>
  <w:footnote w:id="25">
    <w:p w:rsidR="007B47D5" w:rsidRDefault="00A013AE">
      <w:pPr>
        <w:pStyle w:val="FootnoteText"/>
      </w:pPr>
      <w:r>
        <w:rPr>
          <w:rStyle w:val="FootnoteReference"/>
        </w:rPr>
        <w:footnoteRef/>
      </w:r>
      <w:r>
        <w:rPr>
          <w:rStyle w:val="FootnoteReference"/>
        </w:rPr>
        <w:t xml:space="preserve"> </w:t>
      </w:r>
      <w:hyperlink r:id="rId13">
        <w:r>
          <w:t>http://ec.europa.eu/eurostat/en/web/products-manuals-and-guidelines/-/KS-RA-08-014</w:t>
        </w:r>
      </w:hyperlink>
      <w:r>
        <w:t>.</w:t>
      </w:r>
    </w:p>
  </w:footnote>
  <w:footnote w:id="26">
    <w:p w:rsidR="007B47D5" w:rsidRDefault="00A013AE">
      <w:pPr>
        <w:pStyle w:val="FootnoteText"/>
      </w:pPr>
      <w:r>
        <w:rPr>
          <w:rStyle w:val="FootnoteReference"/>
        </w:rPr>
        <w:footnoteRef/>
      </w:r>
      <w:r>
        <w:t xml:space="preserve"> A 2015. szeptemberben elfogadott testmozgási stratégiát a WHO nem fertőző betegségek megelőz</w:t>
      </w:r>
      <w:r>
        <w:t xml:space="preserve">ésére és ellenőrzésére irányuló átfogó stratégiára vonatkozó 2013–2020-as, az Egészségügyi Világszervezet hatvanhatodik, 2013. májusi közgyűlése által is támogatott cselekvési tervében rögzített, fennálló önkéntes globális célok fényében alakították ki. A </w:t>
      </w:r>
      <w:r>
        <w:t>kilenc átfogó cél egyike a kellő testmozgás hiányának 10%-os csökkentése 2025-re.</w:t>
      </w:r>
    </w:p>
  </w:footnote>
  <w:footnote w:id="27">
    <w:p w:rsidR="007B47D5" w:rsidRDefault="00A013AE">
      <w:pPr>
        <w:pStyle w:val="FootnoteText"/>
        <w:rPr>
          <w:rStyle w:val="FootnoteReference"/>
        </w:rPr>
      </w:pPr>
      <w:r>
        <w:rPr>
          <w:rStyle w:val="FootnoteReference"/>
        </w:rPr>
        <w:footnoteRef/>
      </w:r>
      <w:r>
        <w:rPr>
          <w:rStyle w:val="FootnoteReference"/>
        </w:rPr>
        <w:t xml:space="preserve"> </w:t>
      </w:r>
      <w:r>
        <w:t>http://ec.europa.eu/health/nutrition_physical_activity/docs/childhoodobesity_actionplan_2014_2020_en.pdf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AE" w:rsidRDefault="00A01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7B47D5" w:rsidP="00A013AE">
    <w:pPr>
      <w:pStyle w:val="HeaderCoverPage"/>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AE" w:rsidRDefault="00A013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7B47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7B47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D5" w:rsidRDefault="007B47D5">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6D48BFF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5EF6FF6"/>
    <w:multiLevelType w:val="multilevel"/>
    <w:tmpl w:val="DC0C3612"/>
    <w:lvl w:ilvl="0">
      <w:start w:val="1"/>
      <w:numFmt w:val="decimal"/>
      <w:pStyle w:val="HeaderCoverPag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8"/>
  </w:num>
  <w:num w:numId="8">
    <w:abstractNumId w:val="19"/>
  </w:num>
  <w:num w:numId="9">
    <w:abstractNumId w:val="9"/>
  </w:num>
  <w:num w:numId="10">
    <w:abstractNumId w:val="17"/>
  </w:num>
  <w:num w:numId="11">
    <w:abstractNumId w:val="16"/>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20"/>
  </w:num>
  <w:num w:numId="19">
    <w:abstractNumId w:val="8"/>
  </w:num>
  <w:num w:numId="20">
    <w:abstractNumId w:val="21"/>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 w:numId="28">
    <w:abstractNumId w:val="15"/>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3155AFE6AD64EC795E043785F90500E"/>
    <w:docVar w:name="LW_CROSSREFERENCE" w:val="&lt;UNUSED&gt;"/>
    <w:docVar w:name="LW_DocType" w:val="REP"/>
    <w:docVar w:name="LW_EMISSION" w:val="2016.12.5."/>
    <w:docVar w:name="LW_EMISSION_ISODATE" w:val="2016-12-05"/>
    <w:docVar w:name="LW_EMISSION_LOCATION" w:val="BRX"/>
    <w:docVar w:name="LW_EMISSION_PREFIX" w:val="Brüsszel, "/>
    <w:docVar w:name="LW_EMISSION_SUFFIX" w:val=" "/>
    <w:docVar w:name="LW_ID_DOCTYPE_NONLW" w:val="CP-008"/>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6) 768"/>
    <w:docVar w:name="LW_REF.INTERNE" w:val="&lt;UNUSED&gt;"/>
    <w:docVar w:name="LW_SOUS.TITRE.OBJ.CP" w:val="&lt;UNUSED&gt;"/>
    <w:docVar w:name="LW_SUPERTITRE" w:val="&lt;UNUSED&gt;"/>
    <w:docVar w:name="LW_TITRE.OBJ.CP" w:val="az egészségvéd\u337? testmozgás ágazatközi el\u337?mozdításáról szóló tanácsi ajánlás végrehajtásáról"/>
    <w:docVar w:name="LW_TYPE.DOC.CP" w:val="A BIZOTTSÁG JELENTÉSE AZ EURÓPAI PARLAMENTNEK, A TANÁCSNAK, AZ EURÓPAI GAZDASÁGI ÉS SZOCIÁLIS BIZOTTSÁGNAK ÉS A RÉGIÓK BIZOTTSÁGÁNAK"/>
    <w:docVar w:name="Stamp" w:val="\\dossiers.dgt.cec.eu.int\dossiers\EAC\EAC-2016-00145\EAC-2016-00145-00-00-EN-REV-00.DOCX"/>
  </w:docVars>
  <w:rsids>
    <w:rsidRoot w:val="007B47D5"/>
    <w:rsid w:val="007B47D5"/>
    <w:rsid w:val="00A01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ind w:left="952" w:hanging="476"/>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link w:val="Footer"/>
    <w:uiPriority w:val="99"/>
    <w:rPr>
      <w:rFonts w:ascii="Arial" w:hAnsi="Arial"/>
      <w:sz w:val="16"/>
      <w:lang w:eastAsia="hu-HU"/>
    </w:rPr>
  </w:style>
  <w:style w:type="paragraph" w:customStyle="1" w:styleId="ZCom">
    <w:name w:val="Z_Com"/>
    <w:basedOn w:val="Normal"/>
    <w:next w:val="ZDGName"/>
    <w:uiPriority w:val="99"/>
    <w:pPr>
      <w:widowControl w:val="0"/>
      <w:autoSpaceDE w:val="0"/>
      <w:autoSpaceDN w:val="0"/>
      <w:spacing w:after="0"/>
      <w:ind w:right="85"/>
    </w:pPr>
    <w:rPr>
      <w:rFonts w:ascii="Arial" w:eastAsia="Times New Roman" w:hAnsi="Arial" w:cs="Arial"/>
      <w:szCs w:val="24"/>
    </w:rPr>
  </w:style>
  <w:style w:type="paragraph" w:customStyle="1" w:styleId="ZDGName">
    <w:name w:val="Z_DGName"/>
    <w:basedOn w:val="Normal"/>
    <w:uiPriority w:val="99"/>
    <w:pPr>
      <w:widowControl w:val="0"/>
      <w:autoSpaceDE w:val="0"/>
      <w:autoSpaceDN w:val="0"/>
      <w:spacing w:after="0"/>
      <w:ind w:right="85"/>
    </w:pPr>
    <w:rPr>
      <w:rFonts w:ascii="Arial" w:eastAsia="Times New Roman" w:hAnsi="Arial" w:cs="Arial"/>
      <w:sz w:val="16"/>
      <w:szCs w:val="16"/>
    </w:rPr>
  </w:style>
  <w:style w:type="character" w:customStyle="1" w:styleId="HeaderChar">
    <w:name w:val="Header Char"/>
    <w:link w:val="Header"/>
    <w:uiPriority w:val="99"/>
    <w:rPr>
      <w:sz w:val="24"/>
      <w:lang w:eastAsia="hu-HU"/>
    </w:rPr>
  </w:style>
  <w:style w:type="character" w:styleId="FootnoteReference">
    <w:name w:val="footnote reference"/>
    <w:aliases w:val="EN Footnote Reference,-E Fußnotenzeichen, BVI fnr,Footnote,Footnote symbol,Footnote number,Footnote Reference Number,Footnote reference number,Times 10 Point,Exposant 3 Point,Footnote Reference Superscript, Exposant 3 Point,note TESI"/>
    <w:link w:val="BVIfnrCarCarCarCarCharCharCharChar"/>
    <w:uiPriority w:val="99"/>
    <w:qFormat/>
    <w:rPr>
      <w:vertAlign w:val="superscript"/>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Char Char"/>
    <w:uiPriority w:val="99"/>
    <w:rPr>
      <w:lang w:eastAsia="hu-HU"/>
    </w:rPr>
  </w:style>
  <w:style w:type="paragraph" w:customStyle="1" w:styleId="BVIfnrCarCarCarCarCharCharCharChar">
    <w:name w:val="BVI fnr Car Car Car Car Char Char Char Char"/>
    <w:basedOn w:val="Normal"/>
    <w:link w:val="FootnoteReference"/>
    <w:uiPriority w:val="99"/>
    <w:pPr>
      <w:spacing w:after="160" w:line="240" w:lineRule="exact"/>
    </w:pPr>
    <w:rPr>
      <w:rFonts w:ascii="Times New Roman" w:eastAsia="Times New Roman" w:hAnsi="Times New Roman"/>
      <w:sz w:val="20"/>
      <w:szCs w:val="20"/>
      <w:vertAlign w:val="superscript"/>
    </w:rPr>
  </w:style>
  <w:style w:type="paragraph" w:styleId="NoSpacing">
    <w:name w:val="No Spacing"/>
    <w:link w:val="NoSpacingChar"/>
    <w:uiPriority w:val="1"/>
    <w:qFormat/>
    <w:rPr>
      <w:rFonts w:ascii="Calibri" w:eastAsia="Calibri" w:hAnsi="Calibri"/>
      <w:sz w:val="22"/>
      <w:szCs w:val="22"/>
    </w:rPr>
  </w:style>
  <w:style w:type="character" w:customStyle="1" w:styleId="NoSpacingChar">
    <w:name w:val="No Spacing Char"/>
    <w:link w:val="NoSpacing"/>
    <w:uiPriority w:val="1"/>
    <w:locked/>
    <w:rPr>
      <w:rFonts w:ascii="Calibri" w:eastAsia="Calibri" w:hAnsi="Calibri"/>
      <w:sz w:val="22"/>
      <w:szCs w:val="22"/>
      <w:lang w:eastAsia="hu-HU"/>
    </w:rPr>
  </w:style>
  <w:style w:type="character" w:styleId="Hyperlink">
    <w:name w:val="Hyperlink"/>
    <w:uiPriority w:val="99"/>
    <w:unhideWhenUsed/>
    <w:rPr>
      <w:color w:val="0000FF"/>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Calibri" w:hAnsi="Calibri" w:cs="Times New Roman"/>
      <w:sz w:val="22"/>
      <w:szCs w:val="22"/>
      <w:lang w:eastAsia="hu-HU"/>
    </w:rPr>
  </w:style>
  <w:style w:type="paragraph" w:customStyle="1" w:styleId="HeaderCoverPage">
    <w:name w:val="Header Cover Page"/>
    <w:basedOn w:val="Normal"/>
    <w:pPr>
      <w:numPr>
        <w:numId w:val="28"/>
      </w:numPr>
      <w:tabs>
        <w:tab w:val="center" w:pos="4535"/>
        <w:tab w:val="right" w:pos="9071"/>
      </w:tabs>
      <w:spacing w:after="120" w:line="240" w:lineRule="auto"/>
      <w:ind w:left="0"/>
      <w:jc w:val="both"/>
    </w:pPr>
    <w:rPr>
      <w:rFonts w:ascii="Times New Roman" w:hAnsi="Times New Roman"/>
      <w:snapToGrid w:val="0"/>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Heading1Char">
    <w:name w:val="Heading 1 Char"/>
    <w:link w:val="Heading1"/>
    <w:rPr>
      <w:rFonts w:ascii="Calibri" w:eastAsia="Calibri" w:hAnsi="Calibri" w:cs="Times New Roman"/>
      <w:b/>
      <w:smallCaps/>
      <w:sz w:val="22"/>
      <w:szCs w:val="22"/>
      <w:lang w:eastAsia="hu-HU"/>
    </w:rPr>
  </w:style>
  <w:style w:type="character" w:customStyle="1" w:styleId="FooterCoverPageChar">
    <w:name w:val="Footer Cover Page Char"/>
    <w:link w:val="FooterCoverPage"/>
    <w:rPr>
      <w:rFonts w:eastAsia="Calibri"/>
      <w:sz w:val="24"/>
      <w:szCs w:val="22"/>
    </w:rPr>
  </w:style>
  <w:style w:type="character" w:styleId="CommentReference">
    <w:name w:val="annotation reference"/>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TextChar">
    <w:name w:val="Comment Text Char"/>
    <w:link w:val="CommentText"/>
    <w:semiHidden/>
    <w:rPr>
      <w:rFonts w:ascii="Calibri" w:eastAsia="Calibri" w:hAnsi="Calibri" w:cs="Times New Roman"/>
      <w:szCs w:val="22"/>
      <w:lang w:eastAsia="hu-HU"/>
    </w:rPr>
  </w:style>
  <w:style w:type="character" w:customStyle="1" w:styleId="CommentSubjectChar">
    <w:name w:val="Comment Subject Char"/>
    <w:link w:val="CommentSubject"/>
    <w:uiPriority w:val="99"/>
    <w:semiHidden/>
    <w:rPr>
      <w:rFonts w:ascii="Calibri" w:eastAsia="Calibri" w:hAnsi="Calibri" w:cs="Times New Roman"/>
      <w:b/>
      <w:bCs/>
      <w:szCs w:val="22"/>
      <w:lang w:eastAsia="hu-HU"/>
    </w:rPr>
  </w:style>
  <w:style w:type="paragraph" w:styleId="Revision">
    <w:name w:val="Revision"/>
    <w:hidden/>
    <w:uiPriority w:val="99"/>
    <w:semiHidden/>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pPr>
      <w:keepNext/>
      <w:keepLines/>
      <w:tabs>
        <w:tab w:val="left" w:pos="5642"/>
      </w:tabs>
      <w:spacing w:before="480" w:after="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ind w:left="952" w:hanging="476"/>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link w:val="Footer"/>
    <w:uiPriority w:val="99"/>
    <w:rPr>
      <w:rFonts w:ascii="Arial" w:hAnsi="Arial"/>
      <w:sz w:val="16"/>
      <w:lang w:eastAsia="hu-HU"/>
    </w:rPr>
  </w:style>
  <w:style w:type="paragraph" w:customStyle="1" w:styleId="ZCom">
    <w:name w:val="Z_Com"/>
    <w:basedOn w:val="Normal"/>
    <w:next w:val="ZDGName"/>
    <w:uiPriority w:val="99"/>
    <w:pPr>
      <w:widowControl w:val="0"/>
      <w:autoSpaceDE w:val="0"/>
      <w:autoSpaceDN w:val="0"/>
      <w:spacing w:after="0"/>
      <w:ind w:right="85"/>
    </w:pPr>
    <w:rPr>
      <w:rFonts w:ascii="Arial" w:eastAsia="Times New Roman" w:hAnsi="Arial" w:cs="Arial"/>
      <w:szCs w:val="24"/>
    </w:rPr>
  </w:style>
  <w:style w:type="paragraph" w:customStyle="1" w:styleId="ZDGName">
    <w:name w:val="Z_DGName"/>
    <w:basedOn w:val="Normal"/>
    <w:uiPriority w:val="99"/>
    <w:pPr>
      <w:widowControl w:val="0"/>
      <w:autoSpaceDE w:val="0"/>
      <w:autoSpaceDN w:val="0"/>
      <w:spacing w:after="0"/>
      <w:ind w:right="85"/>
    </w:pPr>
    <w:rPr>
      <w:rFonts w:ascii="Arial" w:eastAsia="Times New Roman" w:hAnsi="Arial" w:cs="Arial"/>
      <w:sz w:val="16"/>
      <w:szCs w:val="16"/>
    </w:rPr>
  </w:style>
  <w:style w:type="character" w:customStyle="1" w:styleId="HeaderChar">
    <w:name w:val="Header Char"/>
    <w:link w:val="Header"/>
    <w:uiPriority w:val="99"/>
    <w:rPr>
      <w:sz w:val="24"/>
      <w:lang w:eastAsia="hu-HU"/>
    </w:rPr>
  </w:style>
  <w:style w:type="character" w:styleId="FootnoteReference">
    <w:name w:val="footnote reference"/>
    <w:aliases w:val="EN Footnote Reference,-E Fußnotenzeichen, BVI fnr,Footnote,Footnote symbol,Footnote number,Footnote Reference Number,Footnote reference number,Times 10 Point,Exposant 3 Point,Footnote Reference Superscript, Exposant 3 Point,note TESI"/>
    <w:link w:val="BVIfnrCarCarCarCarCharCharCharChar"/>
    <w:uiPriority w:val="99"/>
    <w:qFormat/>
    <w:rPr>
      <w:vertAlign w:val="superscript"/>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Char Char"/>
    <w:uiPriority w:val="99"/>
    <w:rPr>
      <w:lang w:eastAsia="hu-HU"/>
    </w:rPr>
  </w:style>
  <w:style w:type="paragraph" w:customStyle="1" w:styleId="BVIfnrCarCarCarCarCharCharCharChar">
    <w:name w:val="BVI fnr Car Car Car Car Char Char Char Char"/>
    <w:basedOn w:val="Normal"/>
    <w:link w:val="FootnoteReference"/>
    <w:uiPriority w:val="99"/>
    <w:pPr>
      <w:spacing w:after="160" w:line="240" w:lineRule="exact"/>
    </w:pPr>
    <w:rPr>
      <w:rFonts w:ascii="Times New Roman" w:eastAsia="Times New Roman" w:hAnsi="Times New Roman"/>
      <w:sz w:val="20"/>
      <w:szCs w:val="20"/>
      <w:vertAlign w:val="superscript"/>
    </w:rPr>
  </w:style>
  <w:style w:type="paragraph" w:styleId="NoSpacing">
    <w:name w:val="No Spacing"/>
    <w:link w:val="NoSpacingChar"/>
    <w:uiPriority w:val="1"/>
    <w:qFormat/>
    <w:rPr>
      <w:rFonts w:ascii="Calibri" w:eastAsia="Calibri" w:hAnsi="Calibri"/>
      <w:sz w:val="22"/>
      <w:szCs w:val="22"/>
    </w:rPr>
  </w:style>
  <w:style w:type="character" w:customStyle="1" w:styleId="NoSpacingChar">
    <w:name w:val="No Spacing Char"/>
    <w:link w:val="NoSpacing"/>
    <w:uiPriority w:val="1"/>
    <w:locked/>
    <w:rPr>
      <w:rFonts w:ascii="Calibri" w:eastAsia="Calibri" w:hAnsi="Calibri"/>
      <w:sz w:val="22"/>
      <w:szCs w:val="22"/>
      <w:lang w:eastAsia="hu-HU"/>
    </w:rPr>
  </w:style>
  <w:style w:type="character" w:styleId="Hyperlink">
    <w:name w:val="Hyperlink"/>
    <w:uiPriority w:val="99"/>
    <w:unhideWhenUsed/>
    <w:rPr>
      <w:color w:val="0000FF"/>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Calibri" w:hAnsi="Calibri" w:cs="Times New Roman"/>
      <w:sz w:val="22"/>
      <w:szCs w:val="22"/>
      <w:lang w:eastAsia="hu-HU"/>
    </w:rPr>
  </w:style>
  <w:style w:type="paragraph" w:customStyle="1" w:styleId="HeaderCoverPage">
    <w:name w:val="Header Cover Page"/>
    <w:basedOn w:val="Normal"/>
    <w:pPr>
      <w:numPr>
        <w:numId w:val="28"/>
      </w:numPr>
      <w:tabs>
        <w:tab w:val="center" w:pos="4535"/>
        <w:tab w:val="right" w:pos="9071"/>
      </w:tabs>
      <w:spacing w:after="120" w:line="240" w:lineRule="auto"/>
      <w:ind w:left="0"/>
      <w:jc w:val="both"/>
    </w:pPr>
    <w:rPr>
      <w:rFonts w:ascii="Times New Roman" w:hAnsi="Times New Roman"/>
      <w:snapToGrid w:val="0"/>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Heading1Char">
    <w:name w:val="Heading 1 Char"/>
    <w:link w:val="Heading1"/>
    <w:rPr>
      <w:rFonts w:ascii="Calibri" w:eastAsia="Calibri" w:hAnsi="Calibri" w:cs="Times New Roman"/>
      <w:b/>
      <w:smallCaps/>
      <w:sz w:val="22"/>
      <w:szCs w:val="22"/>
      <w:lang w:eastAsia="hu-HU"/>
    </w:rPr>
  </w:style>
  <w:style w:type="character" w:customStyle="1" w:styleId="FooterCoverPageChar">
    <w:name w:val="Footer Cover Page Char"/>
    <w:link w:val="FooterCoverPage"/>
    <w:rPr>
      <w:rFonts w:eastAsia="Calibri"/>
      <w:sz w:val="24"/>
      <w:szCs w:val="22"/>
    </w:rPr>
  </w:style>
  <w:style w:type="character" w:styleId="CommentReference">
    <w:name w:val="annotation reference"/>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pPr>
      <w:spacing w:line="240" w:lineRule="auto"/>
    </w:pPr>
    <w:rPr>
      <w:b/>
      <w:bCs/>
      <w:szCs w:val="20"/>
    </w:rPr>
  </w:style>
  <w:style w:type="character" w:customStyle="1" w:styleId="CommentTextChar">
    <w:name w:val="Comment Text Char"/>
    <w:link w:val="CommentText"/>
    <w:semiHidden/>
    <w:rPr>
      <w:rFonts w:ascii="Calibri" w:eastAsia="Calibri" w:hAnsi="Calibri" w:cs="Times New Roman"/>
      <w:szCs w:val="22"/>
      <w:lang w:eastAsia="hu-HU"/>
    </w:rPr>
  </w:style>
  <w:style w:type="character" w:customStyle="1" w:styleId="CommentSubjectChar">
    <w:name w:val="Comment Subject Char"/>
    <w:link w:val="CommentSubject"/>
    <w:uiPriority w:val="99"/>
    <w:semiHidden/>
    <w:rPr>
      <w:rFonts w:ascii="Calibri" w:eastAsia="Calibri" w:hAnsi="Calibri" w:cs="Times New Roman"/>
      <w:b/>
      <w:bCs/>
      <w:szCs w:val="22"/>
      <w:lang w:eastAsia="hu-HU"/>
    </w:rPr>
  </w:style>
  <w:style w:type="paragraph" w:styleId="Revision">
    <w:name w:val="Revision"/>
    <w:hidden/>
    <w:uiPriority w:val="99"/>
    <w:semiHidden/>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6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ALL/?uri=CELEX:42014Y0614(03)" TargetMode="External"/><Relationship Id="rId13" Type="http://schemas.openxmlformats.org/officeDocument/2006/relationships/hyperlink" Target="http://ec.europa.eu/eurostat/en/web/products-manuals-and-guidelines/-/KS-RA-08-014" TargetMode="External"/><Relationship Id="rId3" Type="http://schemas.openxmlformats.org/officeDocument/2006/relationships/hyperlink" Target="http://www.euro.who.int/en/health-topics/disease-prevention/physical-activity/country-work" TargetMode="External"/><Relationship Id="rId7" Type="http://schemas.openxmlformats.org/officeDocument/2006/relationships/hyperlink" Target="http://www.who.int/gho/en/" TargetMode="External"/><Relationship Id="rId12" Type="http://schemas.openxmlformats.org/officeDocument/2006/relationships/hyperlink" Target="http://ec.europa.eu/eurostat/statistics-explained/index.php/Glossary:European_health_interview_survey_(EHIS)" TargetMode="External"/><Relationship Id="rId2" Type="http://schemas.openxmlformats.org/officeDocument/2006/relationships/hyperlink" Target="http://www.whonopa.eu/" TargetMode="External"/><Relationship Id="rId1" Type="http://schemas.openxmlformats.org/officeDocument/2006/relationships/hyperlink" Target="http://bookshop.europa.eu/en/study-on-the-implementation-of-the-eu-physical-activity-guidelines-pbNC0116019/?CatalogCategoryID=CdcKABstHUgAAAEjBJEY4e5L" TargetMode="External"/><Relationship Id="rId6" Type="http://schemas.openxmlformats.org/officeDocument/2006/relationships/hyperlink" Target="http://www.hbsc.org/" TargetMode="External"/><Relationship Id="rId11" Type="http://schemas.openxmlformats.org/officeDocument/2006/relationships/hyperlink" Target="https://ec.europa.eu/programmes/erasmus-plus/node_en" TargetMode="External"/><Relationship Id="rId5" Type="http://schemas.openxmlformats.org/officeDocument/2006/relationships/hyperlink" Target="http://ec.europa.eu/eurostat/statistics-explained/index.php/Glossary:European_health_interview_survey_(EHIS)" TargetMode="External"/><Relationship Id="rId10" Type="http://schemas.openxmlformats.org/officeDocument/2006/relationships/hyperlink" Target="http://ec.europa.eu/sport/policy/cooperation/expert-groups-2014-2017_en.htm" TargetMode="External"/><Relationship Id="rId4" Type="http://schemas.openxmlformats.org/officeDocument/2006/relationships/hyperlink" Target="http://www.who.int/dietphysicalactivity/factsheet_recommendations/en/" TargetMode="External"/><Relationship Id="rId9" Type="http://schemas.openxmlformats.org/officeDocument/2006/relationships/hyperlink" Target="http://ec.europa.eu/sport/policy/cooperation/expert-groups-2014-2017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10D74-A937-4FE5-A0AD-83C537EF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3618</Words>
  <Characters>26704</Characters>
  <Application>Microsoft Office Word</Application>
  <DocSecurity>0</DocSecurity>
  <PresentationFormat>Microsoft Word 14.0</PresentationFormat>
  <Lines>370</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30250</CharactersWithSpaces>
  <SharedDoc>false</SharedDoc>
  <HLinks>
    <vt:vector size="78" baseType="variant">
      <vt:variant>
        <vt:i4>3014756</vt:i4>
      </vt:variant>
      <vt:variant>
        <vt:i4>36</vt:i4>
      </vt:variant>
      <vt:variant>
        <vt:i4>0</vt:i4>
      </vt:variant>
      <vt:variant>
        <vt:i4>5</vt:i4>
      </vt:variant>
      <vt:variant>
        <vt:lpwstr>http://ec.europa.eu/eurostat/en/web/products-manuals-and-guidelines/-/KS-RA-08-014</vt:lpwstr>
      </vt:variant>
      <vt:variant>
        <vt:lpwstr/>
      </vt:variant>
      <vt:variant>
        <vt:i4>524311</vt:i4>
      </vt:variant>
      <vt:variant>
        <vt:i4>33</vt:i4>
      </vt:variant>
      <vt:variant>
        <vt:i4>0</vt:i4>
      </vt:variant>
      <vt:variant>
        <vt:i4>5</vt:i4>
      </vt:variant>
      <vt:variant>
        <vt:lpwstr>http://ec.europa.eu/eurostat/statistics-explained/index.php/Glossary:European_health_interview_survey_%28EHIS%29</vt:lpwstr>
      </vt:variant>
      <vt:variant>
        <vt:lpwstr/>
      </vt:variant>
      <vt:variant>
        <vt:i4>7929871</vt:i4>
      </vt:variant>
      <vt:variant>
        <vt:i4>30</vt:i4>
      </vt:variant>
      <vt:variant>
        <vt:i4>0</vt:i4>
      </vt:variant>
      <vt:variant>
        <vt:i4>5</vt:i4>
      </vt:variant>
      <vt:variant>
        <vt:lpwstr>https://ec.europa.eu/programmes/erasmus-plus/node_en</vt:lpwstr>
      </vt:variant>
      <vt:variant>
        <vt:lpwstr/>
      </vt:variant>
      <vt:variant>
        <vt:i4>2359381</vt:i4>
      </vt:variant>
      <vt:variant>
        <vt:i4>27</vt:i4>
      </vt:variant>
      <vt:variant>
        <vt:i4>0</vt:i4>
      </vt:variant>
      <vt:variant>
        <vt:i4>5</vt:i4>
      </vt:variant>
      <vt:variant>
        <vt:lpwstr>http://ec.europa.eu/sport/policy/cooperation/expert-groups-2014-2017_en.htm</vt:lpwstr>
      </vt:variant>
      <vt:variant>
        <vt:lpwstr/>
      </vt:variant>
      <vt:variant>
        <vt:i4>2359381</vt:i4>
      </vt:variant>
      <vt:variant>
        <vt:i4>24</vt:i4>
      </vt:variant>
      <vt:variant>
        <vt:i4>0</vt:i4>
      </vt:variant>
      <vt:variant>
        <vt:i4>5</vt:i4>
      </vt:variant>
      <vt:variant>
        <vt:lpwstr>http://ec.europa.eu/sport/policy/cooperation/expert-groups-2014-2017_en.htm</vt:lpwstr>
      </vt:variant>
      <vt:variant>
        <vt:lpwstr/>
      </vt:variant>
      <vt:variant>
        <vt:i4>2097198</vt:i4>
      </vt:variant>
      <vt:variant>
        <vt:i4>21</vt:i4>
      </vt:variant>
      <vt:variant>
        <vt:i4>0</vt:i4>
      </vt:variant>
      <vt:variant>
        <vt:i4>5</vt:i4>
      </vt:variant>
      <vt:variant>
        <vt:lpwstr>http://eur-lex.europa.eu/legal-content/EN/ALL/?uri=CELEX:42014Y0614%2803%29</vt:lpwstr>
      </vt:variant>
      <vt:variant>
        <vt:lpwstr/>
      </vt:variant>
      <vt:variant>
        <vt:i4>7078014</vt:i4>
      </vt:variant>
      <vt:variant>
        <vt:i4>18</vt:i4>
      </vt:variant>
      <vt:variant>
        <vt:i4>0</vt:i4>
      </vt:variant>
      <vt:variant>
        <vt:i4>5</vt:i4>
      </vt:variant>
      <vt:variant>
        <vt:lpwstr>http://www.who.int/gho/en/</vt:lpwstr>
      </vt:variant>
      <vt:variant>
        <vt:lpwstr/>
      </vt:variant>
      <vt:variant>
        <vt:i4>4391001</vt:i4>
      </vt:variant>
      <vt:variant>
        <vt:i4>15</vt:i4>
      </vt:variant>
      <vt:variant>
        <vt:i4>0</vt:i4>
      </vt:variant>
      <vt:variant>
        <vt:i4>5</vt:i4>
      </vt:variant>
      <vt:variant>
        <vt:lpwstr>http://www.hbsc.org/</vt:lpwstr>
      </vt:variant>
      <vt:variant>
        <vt:lpwstr/>
      </vt:variant>
      <vt:variant>
        <vt:i4>524311</vt:i4>
      </vt:variant>
      <vt:variant>
        <vt:i4>12</vt:i4>
      </vt:variant>
      <vt:variant>
        <vt:i4>0</vt:i4>
      </vt:variant>
      <vt:variant>
        <vt:i4>5</vt:i4>
      </vt:variant>
      <vt:variant>
        <vt:lpwstr>http://ec.europa.eu/eurostat/statistics-explained/index.php/Glossary:European_health_interview_survey_%28EHIS%29</vt:lpwstr>
      </vt:variant>
      <vt:variant>
        <vt:lpwstr/>
      </vt:variant>
      <vt:variant>
        <vt:i4>8323155</vt:i4>
      </vt:variant>
      <vt:variant>
        <vt:i4>9</vt:i4>
      </vt:variant>
      <vt:variant>
        <vt:i4>0</vt:i4>
      </vt:variant>
      <vt:variant>
        <vt:i4>5</vt:i4>
      </vt:variant>
      <vt:variant>
        <vt:lpwstr>http://www.who.int/dietphysicalactivity/factsheet_recommendations/en/</vt:lpwstr>
      </vt:variant>
      <vt:variant>
        <vt:lpwstr/>
      </vt:variant>
      <vt:variant>
        <vt:i4>8323131</vt:i4>
      </vt:variant>
      <vt:variant>
        <vt:i4>6</vt:i4>
      </vt:variant>
      <vt:variant>
        <vt:i4>0</vt:i4>
      </vt:variant>
      <vt:variant>
        <vt:i4>5</vt:i4>
      </vt:variant>
      <vt:variant>
        <vt:lpwstr>http://www.euro.who.int/en/health-topics/disease-prevention/physical-activity/country-work</vt:lpwstr>
      </vt:variant>
      <vt:variant>
        <vt:lpwstr/>
      </vt:variant>
      <vt:variant>
        <vt:i4>7798909</vt:i4>
      </vt:variant>
      <vt:variant>
        <vt:i4>3</vt:i4>
      </vt:variant>
      <vt:variant>
        <vt:i4>0</vt:i4>
      </vt:variant>
      <vt:variant>
        <vt:i4>5</vt:i4>
      </vt:variant>
      <vt:variant>
        <vt:lpwstr>http://www.whonopa.eu/</vt:lpwstr>
      </vt:variant>
      <vt:variant>
        <vt:lpwstr/>
      </vt:variant>
      <vt:variant>
        <vt:i4>3407979</vt:i4>
      </vt:variant>
      <vt:variant>
        <vt:i4>0</vt:i4>
      </vt:variant>
      <vt:variant>
        <vt:i4>0</vt:i4>
      </vt:variant>
      <vt:variant>
        <vt:i4>5</vt:i4>
      </vt:variant>
      <vt:variant>
        <vt:lpwstr>http://bookshop.europa.eu/en/study-on-the-implementation-of-the-eu-physical-activity-guidelines-pbNC0116019/?CatalogCategoryID=CdcKABstHUgAAAEjBJEY4e5L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2016-11-28T04:52:00Z</dcterms:created>
  <dcterms:modified xsi:type="dcterms:W3CDTF">2016-11-30T07:09:00Z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