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_Toc440386882"/>
      <w:bookmarkStart w:id="1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alt="276740A9BDEB4AB2A5B570880995A697" style="width:450.35pt;height:334.2pt">
            <v:imagedata r:id="rId9" o:title=""/>
          </v:shape>
        </w:pict>
      </w:r>
    </w:p>
    <w:bookmarkEnd w:id="1"/>
    <w:p>
      <w:pPr>
        <w:widowControl/>
        <w:autoSpaceDE/>
        <w:autoSpaceDN/>
        <w:adjustRightInd/>
        <w:spacing w:before="120" w:after="120"/>
        <w:jc w:val="both"/>
        <w:rPr>
          <w:noProof/>
          <w:sz w:val="24"/>
          <w:szCs w:val="2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aperSrc w:first="15" w:other="15"/>
          <w:pgNumType w:start="1"/>
          <w:cols w:space="720"/>
          <w:docGrid w:linePitch="326"/>
        </w:sectPr>
      </w:pPr>
    </w:p>
    <w:p>
      <w:pPr>
        <w:rPr>
          <w:b/>
          <w:noProof/>
          <w:sz w:val="28"/>
          <w:szCs w:val="28"/>
        </w:rPr>
      </w:pPr>
      <w:bookmarkStart w:id="2" w:name="_GoBack"/>
      <w:bookmarkEnd w:id="2"/>
    </w:p>
    <w:p>
      <w:pPr>
        <w:widowControl/>
        <w:autoSpaceDE/>
        <w:autoSpaceDN/>
        <w:adjustRightInd/>
        <w:spacing w:before="120" w:after="240"/>
        <w:jc w:val="center"/>
        <w:rPr>
          <w:b/>
          <w:noProof/>
          <w:sz w:val="28"/>
          <w:szCs w:val="24"/>
        </w:rPr>
      </w:pPr>
      <w:r>
        <w:rPr>
          <w:b/>
          <w:noProof/>
          <w:sz w:val="28"/>
        </w:rPr>
        <w:t>Tartalomjegyzék</w:t>
      </w:r>
    </w:p>
    <w:sdt>
      <w:sdtPr>
        <w:rPr>
          <w:noProof/>
        </w:rPr>
        <w:id w:val="-5113804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noProof/>
            </w:rPr>
            <w:fldChar w:fldCharType="separate"/>
          </w:r>
          <w:hyperlink w:anchor="_Toc451785987" w:history="1">
            <w:r>
              <w:rPr>
                <w:rStyle w:val="Hyperlink"/>
                <w:b/>
                <w:bCs/>
                <w:smallCaps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>
              <w:rPr>
                <w:rStyle w:val="Hyperlink"/>
                <w:b/>
                <w:smallCaps/>
                <w:noProof/>
              </w:rPr>
              <w:t>Bevezetés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_Toc451785987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451785988" w:history="1">
            <w:r>
              <w:rPr>
                <w:rStyle w:val="Hyperlink"/>
                <w:b/>
                <w:smallCap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>
              <w:rPr>
                <w:rStyle w:val="Hyperlink"/>
                <w:b/>
                <w:smallCaps/>
                <w:noProof/>
              </w:rPr>
              <w:t>Operatív háttér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_Toc451785988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451785989" w:history="1">
            <w:r>
              <w:rPr>
                <w:rStyle w:val="Hyperlink"/>
                <w:b/>
                <w:bCs/>
                <w:smallCap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>
              <w:rPr>
                <w:rStyle w:val="Hyperlink"/>
                <w:b/>
                <w:smallCaps/>
                <w:noProof/>
              </w:rPr>
              <w:t>Pénzügyi beszámoló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_Toc451785989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451785990" w:history="1">
            <w:r>
              <w:rPr>
                <w:rStyle w:val="Hyperlink"/>
                <w:b/>
                <w:bCs/>
                <w:smallCap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>
              <w:rPr>
                <w:rStyle w:val="Hyperlink"/>
                <w:b/>
                <w:smallCaps/>
                <w:noProof/>
              </w:rPr>
              <w:t xml:space="preserve">Az ESBA-garanciaalap 2015. évi </w:t>
            </w:r>
            <w:r>
              <w:rPr>
                <w:rStyle w:val="Hyperlink"/>
                <w:b/>
                <w:smallCaps/>
                <w:noProof/>
                <w:sz w:val="18"/>
              </w:rPr>
              <w:t>KEZELÉSE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_Toc451785990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451785991" w:history="1">
            <w:r>
              <w:rPr>
                <w:rStyle w:val="Hyperlink"/>
                <w:b/>
                <w:bCs/>
                <w:smallCap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bidi="ar-SA"/>
              </w:rPr>
              <w:tab/>
            </w:r>
            <w:r>
              <w:rPr>
                <w:rStyle w:val="Hyperlink"/>
                <w:b/>
                <w:smallCaps/>
                <w:noProof/>
              </w:rPr>
              <w:t>Az ESBA-alap célösszege és szintje megfelelőségének értékelése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_Toc451785991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rPr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>
      <w:pPr>
        <w:rPr>
          <w:rFonts w:asciiTheme="minorHAnsi" w:eastAsiaTheme="minorEastAsia" w:hAnsiTheme="minorHAnsi" w:cstheme="minorBidi"/>
          <w:b/>
          <w:bCs/>
          <w:noProof/>
          <w:sz w:val="24"/>
          <w:szCs w:val="2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>
      <w:pPr>
        <w:keepNext/>
        <w:widowControl/>
        <w:numPr>
          <w:ilvl w:val="0"/>
          <w:numId w:val="18"/>
        </w:numPr>
        <w:tabs>
          <w:tab w:val="num" w:pos="850"/>
        </w:tabs>
        <w:autoSpaceDE/>
        <w:autoSpaceDN/>
        <w:adjustRightInd/>
        <w:spacing w:before="240" w:after="240"/>
        <w:ind w:left="850" w:hanging="850"/>
        <w:jc w:val="both"/>
        <w:outlineLvl w:val="0"/>
        <w:rPr>
          <w:b/>
          <w:bCs/>
          <w:smallCaps/>
          <w:noProof/>
          <w:sz w:val="24"/>
          <w:szCs w:val="32"/>
        </w:rPr>
      </w:pPr>
      <w:bookmarkStart w:id="3" w:name="_Toc449686519"/>
      <w:bookmarkStart w:id="4" w:name="_Toc449969919"/>
      <w:bookmarkStart w:id="5" w:name="_Toc449969966"/>
      <w:bookmarkStart w:id="6" w:name="_Toc449686550"/>
      <w:bookmarkStart w:id="7" w:name="_Toc449689406"/>
      <w:bookmarkStart w:id="8" w:name="_Toc358640308"/>
      <w:bookmarkStart w:id="9" w:name="_Toc358640576"/>
      <w:bookmarkStart w:id="10" w:name="_Toc358640627"/>
      <w:bookmarkStart w:id="11" w:name="_Toc358640725"/>
      <w:bookmarkStart w:id="12" w:name="_Toc385254771"/>
      <w:bookmarkStart w:id="13" w:name="_Toc415736037"/>
      <w:bookmarkStart w:id="14" w:name="_Toc415748654"/>
      <w:bookmarkStart w:id="15" w:name="_Toc417031771"/>
      <w:bookmarkStart w:id="16" w:name="_Toc449626267"/>
      <w:bookmarkStart w:id="17" w:name="_Toc449626494"/>
      <w:bookmarkStart w:id="18" w:name="_Toc449972638"/>
      <w:bookmarkStart w:id="19" w:name="_Toc451785987"/>
      <w:bookmarkStart w:id="20" w:name="_Toc449689407"/>
      <w:bookmarkEnd w:id="0"/>
      <w:bookmarkEnd w:id="3"/>
      <w:bookmarkEnd w:id="4"/>
      <w:bookmarkEnd w:id="5"/>
      <w:bookmarkEnd w:id="6"/>
      <w:bookmarkEnd w:id="7"/>
      <w:r>
        <w:rPr>
          <w:b/>
          <w:smallCaps/>
          <w:noProof/>
          <w:sz w:val="24"/>
        </w:rPr>
        <w:t>Bevezetés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bookmarkEnd w:id="20"/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E jelentés jogalapját az Európai Stratégiai Beruházási Alapról, az Európai Beruházási Tanácsadó Platformról és a Beruházási Projektek Európai Portáljáról, valamint az 1291/2013/EU és az 1316/2013/EU rendelet módosításáról (az Európai Stratégiai Beruházási Alap) szóló, 2015. június 25-i (EU) 2015/1017 európai parlamenti és tanácsi rendelet</w:t>
      </w:r>
      <w:r>
        <w:rPr>
          <w:rStyle w:val="FootnoteReference"/>
          <w:noProof/>
          <w:sz w:val="24"/>
        </w:rPr>
        <w:footnoteReference w:id="1"/>
      </w:r>
      <w:r>
        <w:rPr>
          <w:noProof/>
          <w:sz w:val="24"/>
        </w:rPr>
        <w:t xml:space="preserve"> (a továbbiakban az ESBA-rendelet) képezi. Az Európai Stratégiai Beruházási Alap (ESBA) irányítására és az uniós garancia biztosítására vonatkozó megállapodást (ESBA-megállapodás) az Európai Bizottság és az Európai Beruházási Bank (a továbbiakban: EBB) 2015. július 22-én írta alá.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ESBA-rendelet 16. cikkének (6) bekezdése előírja, hogy a Bizottság minden év május 31-ig éves jelentést nyújt be az Európai Parlamentnek, a Tanácsnak és az Európai Számvevőszéknek az Európai Stratégiai Beruházási Alap garanciaalapjának (a továbbiakban: ESBA-garanciaalap) előző naptári évi kezeléséről, amely jelentés többek között értékelést tartalmaz a célösszeg és a garancialap szintjének megfelelőségéről, továbbá arról, hogy szükség van-e a garanciaalap feltöltésére. Ez az éves jelentés tartalmazza az ESBA-garanciaalap előző naptári év végi pénzügyi helyzetének, az előző naptári év során végbement pénzügyi mozgásoknak, valamint a jelentős ügyleteknek és a pénzügyi beszámolókkal kapcsolatos releváns információknak a bemutatását. A jelentés továbbá az előző naptári év végére vonatkozóan információkat tartalmaz az ESBA-garanciaalap pénzgazdálkodásáról, teljesítményéről és kockázatáról.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 rendelet 16. cikkének (2) bekezdése előírja azt is, hogy az EBB – adott esetben az Európai Beruházási Alappal (a továbbiakban: EBA) együttműködve – évente külön jelentést nyújt be az Európai Parlamentnek és a Tanácsnak az EBB e rendelet hatálya alá tartozó finanszírozási és beruházási műveleteiről (a továbbiakban: ESBA-műveletek), amely jelentést nyilvánosságra kell hozni.</w:t>
      </w:r>
      <w:bookmarkStart w:id="21" w:name="_Toc449686522"/>
      <w:bookmarkStart w:id="22" w:name="_Toc449686553"/>
      <w:bookmarkStart w:id="23" w:name="_Toc449686523"/>
      <w:bookmarkStart w:id="24" w:name="_Toc449686554"/>
      <w:bookmarkEnd w:id="21"/>
      <w:bookmarkEnd w:id="22"/>
      <w:bookmarkEnd w:id="23"/>
      <w:bookmarkEnd w:id="24"/>
      <w:r>
        <w:rPr>
          <w:noProof/>
          <w:sz w:val="24"/>
        </w:rPr>
        <w:t xml:space="preserve"> Az EBB jelenleg még nem fogadta el 2015-re vonatkozó éves jelentését.</w:t>
      </w:r>
    </w:p>
    <w:p>
      <w:pPr>
        <w:keepNext/>
        <w:widowControl/>
        <w:numPr>
          <w:ilvl w:val="0"/>
          <w:numId w:val="18"/>
        </w:numPr>
        <w:tabs>
          <w:tab w:val="num" w:pos="850"/>
        </w:tabs>
        <w:autoSpaceDE/>
        <w:autoSpaceDN/>
        <w:adjustRightInd/>
        <w:spacing w:before="480" w:after="240"/>
        <w:ind w:left="851" w:hanging="851"/>
        <w:jc w:val="both"/>
        <w:outlineLvl w:val="0"/>
        <w:rPr>
          <w:b/>
          <w:smallCaps/>
          <w:noProof/>
          <w:sz w:val="24"/>
          <w:szCs w:val="32"/>
        </w:rPr>
      </w:pPr>
      <w:bookmarkStart w:id="25" w:name="_Toc449689408"/>
      <w:bookmarkStart w:id="26" w:name="_Toc449972639"/>
      <w:bookmarkStart w:id="27" w:name="_Toc451785988"/>
      <w:r>
        <w:rPr>
          <w:b/>
          <w:smallCaps/>
          <w:noProof/>
          <w:sz w:val="24"/>
        </w:rPr>
        <w:t>Operatív háttér</w:t>
      </w:r>
      <w:bookmarkEnd w:id="25"/>
      <w:bookmarkEnd w:id="26"/>
      <w:bookmarkEnd w:id="27"/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uniós garancia az EBB által az infrastruktúra és innováció ablakhoz kapcsolódóan, illetőleg az EBA által a kkv-ablakhoz kapcsolódóan aláírt finanszírozási és beruházási műveletekre nyújt fedezetet. E műveleteket részben uniós garancia fedezi, részben pedig az EBB-csoport saját kockázatára kerülnek végrehajtásra.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2015-ben az Európai Stratégiai Beruházási Alap által aláírt – 19 tagállamra kiterjedő – műveletek összességében 3 milliárd EUR-t tettek ki, ebből az összegből 1,2 milliárd EUR-t az EBB (10 művelet), 1,8 milliárd EUR-t pedig az EBA (83 művelet) írt alá. E műveletekhez kapcsolódóan 2015 végén 1 553 millió EUR (az EBB részéről 1 155 millió EUR, az EBA részéről 398 millió EUR) összeget fedezett uniós garancia. A kifizetéseket tekintve az uniós garancia által fedezett teljes fennálló kitettség mintegy 202 millió EUR volt.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 xml:space="preserve">Az egyes műveletek kockázatának értékeléséért és nyomon követéséért felelős EBB és EBA az ESBA-rendelet 16. cikke (3) bekezdésének megfelelően 2016 márciusában jelentést tett a Bizottságnak és az Európai Számvevőszéknek. A Bizottság e jelentés alapján felül fogja vizsgálni az ESBA-garanciaalap célösszegének és szintjének megfelelőségét.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ESBA-rendelet 16. cikkének (2) bekezdése szerint az EBB által az Európai Parlamentnek és a Tanácsnak benyújtandó éves jelentésnek konkrét információkat kell tartalmaznia az ESBA keretében végrehajtott finanszírozási és beruházási műveletekhez kapcsolódó összesített kockázatról, valamint a garancia lehívásáról.</w:t>
      </w:r>
    </w:p>
    <w:p>
      <w:pPr>
        <w:spacing w:before="240" w:after="240"/>
        <w:jc w:val="both"/>
        <w:rPr>
          <w:rFonts w:eastAsiaTheme="minorHAnsi"/>
          <w:noProof/>
          <w:sz w:val="24"/>
          <w:szCs w:val="24"/>
        </w:rPr>
      </w:pPr>
      <w:r>
        <w:rPr>
          <w:noProof/>
          <w:sz w:val="24"/>
        </w:rPr>
        <w:t xml:space="preserve">Az ESBA-rendelet 12. cikke szerint az ESBA-garanciaalapnak olyan likviditási puffert kell képeznie, amelyből az uniós garancia lehívása esetén az EBB számára kifizetést kell teljesíteni. Az EU és az EBB között létrejött ESBA-megállapodásnak megfelelően az ESBA-garanciaalapból lehívás esetén akkor teljesíthető kifizetés, ha a lehívás összege meghaladja az ESBA-számlán az EBB rendelkezésére álló pénzeszközöket. Az EBB által kezelt ESBA-számla létrehozásának célja az ESBA-garanciával fedezett műveletekből eredő uniós bevételek, valamint visszafizettetett összegek beszedése, továbbá a rendelkezésre álló egyenleg mértékéig az uniós garancia keretében eszközölt lehívások kifizetése.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ESBA-garanciaalap feltöltése fokozatosan történik, az uniós garancia által viselt kitettség növekedésének figyelembevételével.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 xml:space="preserve">Az ESBA-garanciaalap eszközeit közvetlenül a Bizottság kezeli, és azokat – a megfelelő prudenciális szabályok betartásával – a hatékony és eredményes pénzgazdálkodás elvének megfelelően fekteti be. </w:t>
      </w:r>
    </w:p>
    <w:p>
      <w:pPr>
        <w:keepNext/>
        <w:widowControl/>
        <w:numPr>
          <w:ilvl w:val="0"/>
          <w:numId w:val="18"/>
        </w:numPr>
        <w:tabs>
          <w:tab w:val="num" w:pos="850"/>
        </w:tabs>
        <w:autoSpaceDE/>
        <w:autoSpaceDN/>
        <w:adjustRightInd/>
        <w:spacing w:before="480" w:after="240"/>
        <w:ind w:left="851" w:hanging="851"/>
        <w:jc w:val="both"/>
        <w:outlineLvl w:val="0"/>
        <w:rPr>
          <w:b/>
          <w:bCs/>
          <w:smallCaps/>
          <w:noProof/>
          <w:sz w:val="24"/>
          <w:szCs w:val="32"/>
        </w:rPr>
      </w:pPr>
      <w:bookmarkStart w:id="28" w:name="_Toc449686525"/>
      <w:bookmarkStart w:id="29" w:name="_Toc449686556"/>
      <w:bookmarkStart w:id="30" w:name="_Toc449689409"/>
      <w:bookmarkStart w:id="31" w:name="_Toc449686526"/>
      <w:bookmarkStart w:id="32" w:name="_Toc449686557"/>
      <w:bookmarkStart w:id="33" w:name="_Toc449689410"/>
      <w:bookmarkStart w:id="34" w:name="_Toc449689411"/>
      <w:bookmarkStart w:id="35" w:name="_Toc449972640"/>
      <w:bookmarkStart w:id="36" w:name="_Toc451785989"/>
      <w:bookmarkEnd w:id="28"/>
      <w:bookmarkEnd w:id="29"/>
      <w:bookmarkEnd w:id="30"/>
      <w:bookmarkEnd w:id="31"/>
      <w:bookmarkEnd w:id="32"/>
      <w:bookmarkEnd w:id="33"/>
      <w:r>
        <w:rPr>
          <w:b/>
          <w:smallCaps/>
          <w:noProof/>
          <w:sz w:val="24"/>
        </w:rPr>
        <w:t>Pénzügyi beszámoló</w:t>
      </w:r>
      <w:bookmarkEnd w:id="34"/>
      <w:bookmarkEnd w:id="35"/>
      <w:bookmarkEnd w:id="36"/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ESBA-garanciaalap 2015. december 31-én nem rendelkezett pénzeszközzel. Következésképpen az Európai Unió 2015. évi összevont pénzügyi beszámolója nem tartalmazza az ESBA-garanciaalapot.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rFonts w:eastAsiaTheme="minorHAnsi"/>
          <w:noProof/>
          <w:sz w:val="24"/>
        </w:rPr>
        <w:t xml:space="preserve">Az Európai Unió 2015. évi pénzügyi kimutatása az ESBA garanciával fedezett 2015. évi műveleteiből származó nettó uniós bevételeknek megfelelő, 1 399 423 EUR összegű követelést tartalmazott: ezt az összeget 2016 januárjában írták jóvá az ESBA-számlán.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uniós garancianyújtásra összességében rendelkezésre álló legfeljebb 16 000 000 000 EUR összeghez viszonyítva 2015. december 31-én az Unió garanciából származó kitettsége az ESBA-műveletekhez kapcsolódó folyósított kintlevő összegek tekintetében 201 899 614 EUR-t tett ki (az ESBA-rendelet 11. cikke). Az Európai Unió 2015. évi pénzügyi kimutatásához kapcsolódó megjegyzésekben a 201 899 614 EUR függő kötelezettségként jelenik meg.</w:t>
      </w:r>
    </w:p>
    <w:p>
      <w:pPr>
        <w:rPr>
          <w:b/>
          <w:noProof/>
          <w:sz w:val="24"/>
          <w:szCs w:val="24"/>
        </w:rPr>
      </w:pPr>
      <w:bookmarkStart w:id="37" w:name="_Toc449689412"/>
      <w:r>
        <w:rPr>
          <w:b/>
          <w:noProof/>
          <w:sz w:val="24"/>
        </w:rPr>
        <w:t>Jelentős ügyletek</w:t>
      </w:r>
      <w:bookmarkEnd w:id="37"/>
      <w:r>
        <w:rPr>
          <w:b/>
          <w:noProof/>
          <w:sz w:val="24"/>
        </w:rPr>
        <w:t xml:space="preserve">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 xml:space="preserve">Az ESBA-garanciaalap 2016. és 2017. évi feltöltésére 2015-ben 1,35 milliárd EUR költségvetési előirányzat került lekötésre.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Ezt az Európai Unió 2015. évi pénzügyi kimutatásához kapcsolódó megjegyzések „Még nem érvényesített, fennálló költségvetési kötelezettségvállalások” fejezete tartalmazza.</w:t>
      </w:r>
    </w:p>
    <w:p>
      <w:pPr>
        <w:keepNext/>
        <w:widowControl/>
        <w:numPr>
          <w:ilvl w:val="0"/>
          <w:numId w:val="18"/>
        </w:numPr>
        <w:tabs>
          <w:tab w:val="num" w:pos="850"/>
        </w:tabs>
        <w:autoSpaceDE/>
        <w:autoSpaceDN/>
        <w:adjustRightInd/>
        <w:spacing w:before="480" w:after="240"/>
        <w:ind w:left="851" w:hanging="851"/>
        <w:jc w:val="both"/>
        <w:outlineLvl w:val="0"/>
        <w:rPr>
          <w:b/>
          <w:bCs/>
          <w:smallCaps/>
          <w:noProof/>
          <w:sz w:val="24"/>
          <w:szCs w:val="32"/>
        </w:rPr>
      </w:pPr>
      <w:bookmarkStart w:id="38" w:name="_Toc449689413"/>
      <w:bookmarkStart w:id="39" w:name="_Toc449689414"/>
      <w:bookmarkStart w:id="40" w:name="_Toc449972641"/>
      <w:bookmarkStart w:id="41" w:name="_Toc451785990"/>
      <w:bookmarkEnd w:id="38"/>
      <w:r>
        <w:rPr>
          <w:b/>
          <w:smallCaps/>
          <w:noProof/>
          <w:sz w:val="24"/>
        </w:rPr>
        <w:t xml:space="preserve">Az ESBA-garanciaalap 2015. évi </w:t>
      </w:r>
      <w:r>
        <w:rPr>
          <w:b/>
          <w:smallCaps/>
          <w:noProof/>
          <w:sz w:val="22"/>
        </w:rPr>
        <w:t>KEZELÉSE</w:t>
      </w:r>
      <w:bookmarkEnd w:id="39"/>
      <w:bookmarkEnd w:id="40"/>
      <w:bookmarkEnd w:id="41"/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2016. január 21-én a Bizottság elfogadta az Európai Stratégiai Beruházási Alap garanciaalapjának pénzgazdálkodására vonatkozó iránymutatások jóváhagyásáról szóló C(2016) 165 határozatot.</w:t>
      </w:r>
    </w:p>
    <w:p>
      <w:pPr>
        <w:pStyle w:val="ListParagraph"/>
        <w:spacing w:before="240" w:after="240"/>
        <w:ind w:left="0"/>
        <w:jc w:val="both"/>
        <w:rPr>
          <w:noProof/>
          <w:sz w:val="24"/>
          <w:szCs w:val="24"/>
        </w:rPr>
      </w:pPr>
      <w:r>
        <w:rPr>
          <w:noProof/>
          <w:sz w:val="24"/>
        </w:rPr>
        <w:t>Az ESBA-garanciaalap 2015 folyamán nem rendelkezett pénzeszközzel. Az ESBA-garanciaalap pénzgazdálkodására, teljesítményére és eszközeinek kockázatára vonatkozó első jelentés ezért 2017-ben kerül majd előterjesztésre a 2016. évre vonatkozóan.</w:t>
      </w:r>
    </w:p>
    <w:p>
      <w:pPr>
        <w:keepNext/>
        <w:widowControl/>
        <w:numPr>
          <w:ilvl w:val="0"/>
          <w:numId w:val="18"/>
        </w:numPr>
        <w:tabs>
          <w:tab w:val="num" w:pos="850"/>
        </w:tabs>
        <w:autoSpaceDE/>
        <w:autoSpaceDN/>
        <w:adjustRightInd/>
        <w:spacing w:before="480" w:after="240"/>
        <w:ind w:left="851" w:hanging="851"/>
        <w:jc w:val="both"/>
        <w:outlineLvl w:val="0"/>
        <w:rPr>
          <w:b/>
          <w:bCs/>
          <w:smallCaps/>
          <w:noProof/>
          <w:sz w:val="24"/>
          <w:szCs w:val="32"/>
        </w:rPr>
      </w:pPr>
      <w:bookmarkStart w:id="42" w:name="_Toc449689415"/>
      <w:bookmarkStart w:id="43" w:name="_Toc449972642"/>
      <w:bookmarkStart w:id="44" w:name="_Toc451785991"/>
      <w:r>
        <w:rPr>
          <w:b/>
          <w:smallCaps/>
          <w:noProof/>
          <w:sz w:val="24"/>
        </w:rPr>
        <w:t>Az ESBA-alap célösszege és szintje megfelelőségének értékelése</w:t>
      </w:r>
      <w:bookmarkEnd w:id="42"/>
      <w:bookmarkEnd w:id="43"/>
      <w:bookmarkEnd w:id="44"/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 xml:space="preserve">2015 végéig az EBB tíz ESBA-garancia által fedezett műveletet írt alá összesen 1 155 millió EUR összegben, amelyből addig az időpontig 202 millió EUR-t folyósítottak. Amennyiben ezekkel a műveletekkel összefüggésben veszteség merülne fel, azt az uniós garancia fedezi az ESBA-megállapodásban meghatározott feltételeknek megfelelően. Az infrastruktúra és innováció ablak esetében az uniós garancia biztosítására az EBB hitelműveleteihez kapcsolódó portfólióalapú első veszteségviselő rész formájában kerül sor. A sajáttőke-műveletek vagy sajáttőke-típusú műveletek esetében, amikor az EBB ugyanolyan összegű eszközt azonos feltételek mellett saját kockázatára fektet be, az uniós garancia teljes garanciát jelent.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 2015-ben aláírt, ESBA-garanciával fedezett EBA-műveletek körülbelül 398 millió EUR-t tesznek ki; amennyiben e műveletekkel összefüggésben veszteség merül fel, azt elsősorban az InnovFin kkv-garanciaeszközből és a COSME hitelgarancia-eszközéből származó hozzájárulások fedeznék.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 xml:space="preserve">Az ESBA-rendeletnek megfelelően az ESBA-garanciaalap célösszege az uniós garanciakötelezettségek jelenleg 16 milliárd EUR-t kitevő teljes összegének 50 %-a. Tekintettel arra, hogy 2015 végéig viszonylag kevés aláírásra és folyósításra került sor, nem áll rendelkezésre elegendő információ ahhoz, hogy a célösszeg megfelelőségét a konkrét műveletek alapján lehessen értékelni. Az ESBA-alap célösszege és szintje megfelelőségének értékeléséről szóló első jelentés ezért 2017. május 31-ig kerül előterjesztésre a 2016. évre vonatkozóan. 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Az uniós költségvetésben jelenleg előirányzottak szerint 2016 során mintegy 500 millió EUR kerül befizetésre az ESBA-garanciaalapba.</w:t>
      </w:r>
    </w:p>
    <w:p>
      <w:pPr>
        <w:spacing w:before="240" w:after="240"/>
        <w:jc w:val="both"/>
        <w:rPr>
          <w:noProof/>
          <w:sz w:val="24"/>
          <w:szCs w:val="24"/>
        </w:rPr>
      </w:pPr>
      <w:r>
        <w:rPr>
          <w:noProof/>
          <w:sz w:val="24"/>
        </w:rPr>
        <w:t>Mivel az ESBA-műveletek portfóliója várhatóan idővel jelentősen nőni fog, valamint tekintettel az ESBA programozási időszakában érvényesülő költségvetési korlátozásokra, a Bizottság a későbbiekben részletesebb értékelést fog készíteni.</w:t>
      </w:r>
    </w:p>
    <w:p>
      <w:pPr>
        <w:spacing w:before="240" w:after="240"/>
        <w:jc w:val="both"/>
        <w:rPr>
          <w:noProof/>
        </w:rPr>
      </w:pPr>
    </w:p>
    <w:sectPr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HU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HU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15447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889283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HL L 169., 2015.7.1., 1. 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4F07"/>
    <w:multiLevelType w:val="hybridMultilevel"/>
    <w:tmpl w:val="9B6ABB6A"/>
    <w:lvl w:ilvl="0" w:tplc="1DAC8F6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A6FBE"/>
    <w:multiLevelType w:val="hybridMultilevel"/>
    <w:tmpl w:val="9988660C"/>
    <w:lvl w:ilvl="0" w:tplc="A9EA035E">
      <w:start w:val="1"/>
      <w:numFmt w:val="decimal"/>
      <w:lvlText w:val="(%1)"/>
      <w:lvlJc w:val="left"/>
      <w:pPr>
        <w:ind w:left="1437" w:hanging="8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0B1B1D"/>
    <w:multiLevelType w:val="hybridMultilevel"/>
    <w:tmpl w:val="AA98FB40"/>
    <w:lvl w:ilvl="0" w:tplc="572A3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76AF7"/>
    <w:multiLevelType w:val="hybridMultilevel"/>
    <w:tmpl w:val="A0E60D0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43FD7195"/>
    <w:multiLevelType w:val="hybridMultilevel"/>
    <w:tmpl w:val="7EE216C2"/>
    <w:lvl w:ilvl="0" w:tplc="72F6E5C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C34C2"/>
    <w:multiLevelType w:val="hybridMultilevel"/>
    <w:tmpl w:val="71207D2C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EB24C5E"/>
    <w:multiLevelType w:val="hybridMultilevel"/>
    <w:tmpl w:val="E3805112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5A203610"/>
    <w:multiLevelType w:val="multilevel"/>
    <w:tmpl w:val="35A8E08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61E60656"/>
    <w:multiLevelType w:val="multilevel"/>
    <w:tmpl w:val="B606A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52"/>
        </w:tabs>
        <w:ind w:left="552" w:hanging="432"/>
      </w:pPr>
      <w:rPr>
        <w:rFonts w:ascii="Times New Roman" w:hAnsi="Times New Roman" w:cs="Times New Roman" w:hint="default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669775C8"/>
    <w:multiLevelType w:val="hybridMultilevel"/>
    <w:tmpl w:val="1A6CF2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B1A15"/>
    <w:multiLevelType w:val="hybridMultilevel"/>
    <w:tmpl w:val="160040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E696B"/>
    <w:multiLevelType w:val="hybridMultilevel"/>
    <w:tmpl w:val="7820FFC0"/>
    <w:lvl w:ilvl="0" w:tplc="953A6C7E">
      <w:start w:val="1"/>
      <w:numFmt w:val="decimal"/>
      <w:lvlText w:val="1. %1"/>
      <w:lvlJc w:val="left"/>
      <w:pPr>
        <w:ind w:left="1440" w:hanging="360"/>
      </w:pPr>
      <w:rPr>
        <w:rFonts w:ascii="Times New Roman" w:hAnsi="Times New Roman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A241BD"/>
    <w:multiLevelType w:val="singleLevel"/>
    <w:tmpl w:val="0809000F"/>
    <w:lvl w:ilvl="0">
      <w:start w:val="1"/>
      <w:numFmt w:val="decimal"/>
      <w:lvlText w:val="%1."/>
      <w:lvlJc w:val="left"/>
      <w:pPr>
        <w:ind w:left="1211" w:hanging="36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</w:num>
  <w:num w:numId="14">
    <w:abstractNumId w:val="4"/>
  </w:num>
  <w:num w:numId="15">
    <w:abstractNumId w:val="0"/>
  </w:num>
  <w:num w:numId="16">
    <w:abstractNumId w:val="7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revisionView w:markup="0"/>
  <w:doNotTrackFormatting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CONFIDENCE" w:val=" "/>
    <w:docVar w:name="LW_CONST_RESTREINT_UE" w:val="RESTREINT UE"/>
    <w:docVar w:name="LW_CORRIGENDUM" w:val="&lt;UNUSED&gt;"/>
    <w:docVar w:name="LW_COVERPAGE_GUID" w:val="276740A9BDEB4AB2A5B570880995A697"/>
    <w:docVar w:name="LW_CROSSREFERENCE" w:val="&lt;UNUSED&gt;"/>
    <w:docVar w:name="LW_DocType" w:val="NORMAL"/>
    <w:docVar w:name="LW_EMISSION" w:val="2016.5.31."/>
    <w:docVar w:name="LW_EMISSION_ISODATE" w:val="2016-05-31"/>
    <w:docVar w:name="LW_EMISSION_LOCATION" w:val="BRX"/>
    <w:docVar w:name="LW_EMISSION_PREFIX" w:val="Brüsszel, "/>
    <w:docVar w:name="LW_EMISSION_SUFFIX" w:val=" "/>
    <w:docVar w:name="LW_ID_DOCTYPE_NONLW" w:val="CP-035"/>
    <w:docVar w:name="LW_LANGUE" w:val="HU"/>
    <w:docVar w:name="LW_MARKING" w:val="&lt;UNUSED&gt;"/>
    <w:docVar w:name="LW_NOM.INST" w:val="EURÓPAI BIZOTTSÁG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16"/>
    <w:docVar w:name="LW_REF.INST.NEW" w:val="COM"/>
    <w:docVar w:name="LW_REF.INST.NEW_ADOPTED" w:val="final"/>
    <w:docVar w:name="LW_REF.INST.NEW_TEXT" w:val="(2016) 353"/>
    <w:docVar w:name="LW_REF.INTERNE" w:val="&lt;UNUSED&gt;"/>
    <w:docVar w:name="LW_SOUS.TITRE.OBJ.CP" w:val="&lt;UNUSED&gt;"/>
    <w:docVar w:name="LW_SUPERTITRE" w:val="&lt;UNUSED&gt;"/>
    <w:docVar w:name="LW_TITRE.OBJ.CP" w:val="AZ EURÓPAI STRATÉGIAI BERUHÁZÁSI ALAP GARANCIAALAPJÁNAK 2015. ÉVI KEZELÉSÉR\u336?L"/>
    <w:docVar w:name="LW_TYPE.DOC.CP" w:val="A BIZOTTSÁG JELENTÉSE AZ EURÓPAI PARLAMENTNEK, A TANÁCSNAK ÉS AZ EURÓPAI SZÁMVEV\u336?SZÉKNEK_x000b_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hu-H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pPr>
      <w:keepNext/>
      <w:numPr>
        <w:ilvl w:val="1"/>
        <w:numId w:val="16"/>
      </w:numPr>
      <w:tabs>
        <w:tab w:val="left" w:pos="1134"/>
      </w:tabs>
      <w:spacing w:before="360" w:after="120"/>
      <w:jc w:val="both"/>
      <w:outlineLvl w:val="1"/>
    </w:pPr>
    <w:rPr>
      <w:b/>
      <w:bCs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qFormat/>
    <w:pPr>
      <w:keepNext/>
      <w:numPr>
        <w:ilvl w:val="2"/>
        <w:numId w:val="16"/>
      </w:numPr>
      <w:spacing w:before="240" w:after="60"/>
      <w:outlineLvl w:val="2"/>
    </w:pPr>
    <w:rPr>
      <w:rFonts w:cs="Arial"/>
      <w:bCs/>
      <w:sz w:val="24"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bCs/>
      <w:iCs/>
      <w:sz w:val="24"/>
      <w:szCs w:val="24"/>
      <w:lang w:eastAsia="hu-HU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Arial"/>
      <w:bCs/>
      <w:sz w:val="24"/>
      <w:szCs w:val="26"/>
      <w:u w:val="single"/>
      <w:lang w:eastAsia="hu-HU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Heading5Char">
    <w:name w:val="Heading 5 Char"/>
    <w:basedOn w:val="DefaultParagraphFont"/>
    <w:link w:val="Heading5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Times New Roman" w:hAnsi="Times New Roman" w:cs="Times New Roman"/>
      <w:b/>
      <w:bCs/>
      <w:lang w:eastAsia="hu-H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autoSpaceDE/>
      <w:autoSpaceDN/>
      <w:adjustRightInd/>
      <w:spacing w:before="360"/>
      <w:ind w:left="-850" w:right="-850"/>
    </w:pPr>
    <w:rPr>
      <w:sz w:val="24"/>
      <w:szCs w:val="24"/>
    </w:rPr>
  </w:style>
  <w:style w:type="character" w:customStyle="1" w:styleId="FooterCoverPageChar">
    <w:name w:val="Footer Cover Page Char"/>
    <w:link w:val="FooterCoverPag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autoSpaceDE/>
      <w:autoSpaceDN/>
      <w:adjustRightInd/>
      <w:spacing w:after="120"/>
      <w:jc w:val="both"/>
    </w:pPr>
    <w:rPr>
      <w:sz w:val="24"/>
      <w:szCs w:val="24"/>
    </w:rPr>
  </w:style>
  <w:style w:type="character" w:customStyle="1" w:styleId="HeaderCoverPageChar">
    <w:name w:val="Header Cover Page Char"/>
    <w:link w:val="HeaderCoverPage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widowControl/>
      <w:autoSpaceDE/>
      <w:autoSpaceDN/>
      <w:adjustRightInd/>
      <w:jc w:val="both"/>
    </w:pPr>
    <w:rPr>
      <w:rFonts w:eastAsiaTheme="minorHAnsi"/>
      <w:sz w:val="24"/>
      <w:szCs w:val="22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styleId="TOCHeading">
    <w:name w:val="TOC Heading"/>
    <w:basedOn w:val="Heading1"/>
    <w:next w:val="Normal"/>
    <w:uiPriority w:val="39"/>
    <w:unhideWhenUsed/>
    <w:qFormat/>
    <w:pPr>
      <w:widowControl/>
      <w:autoSpaceDE/>
      <w:autoSpaceDN/>
      <w:adjustRightInd/>
      <w:spacing w:line="276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tabs>
        <w:tab w:val="left" w:pos="720"/>
        <w:tab w:val="right" w:leader="dot" w:pos="9062"/>
      </w:tabs>
      <w:spacing w:after="100"/>
      <w:ind w:left="200"/>
      <w:jc w:val="both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customStyle="1" w:styleId="ListDash3">
    <w:name w:val="List Dash 3"/>
    <w:basedOn w:val="Normal"/>
    <w:pPr>
      <w:widowControl/>
      <w:autoSpaceDE/>
      <w:autoSpaceDN/>
      <w:adjustRightInd/>
      <w:spacing w:before="120" w:after="12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hu-H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pPr>
      <w:keepNext/>
      <w:numPr>
        <w:ilvl w:val="1"/>
        <w:numId w:val="16"/>
      </w:numPr>
      <w:tabs>
        <w:tab w:val="left" w:pos="1134"/>
      </w:tabs>
      <w:spacing w:before="360" w:after="120"/>
      <w:jc w:val="both"/>
      <w:outlineLvl w:val="1"/>
    </w:pPr>
    <w:rPr>
      <w:b/>
      <w:bCs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qFormat/>
    <w:pPr>
      <w:keepNext/>
      <w:numPr>
        <w:ilvl w:val="2"/>
        <w:numId w:val="16"/>
      </w:numPr>
      <w:spacing w:before="240" w:after="60"/>
      <w:outlineLvl w:val="2"/>
    </w:pPr>
    <w:rPr>
      <w:rFonts w:cs="Arial"/>
      <w:bCs/>
      <w:sz w:val="24"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bCs/>
      <w:iCs/>
      <w:sz w:val="24"/>
      <w:szCs w:val="24"/>
      <w:lang w:eastAsia="hu-HU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Arial"/>
      <w:bCs/>
      <w:sz w:val="24"/>
      <w:szCs w:val="26"/>
      <w:u w:val="single"/>
      <w:lang w:eastAsia="hu-HU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Heading5Char">
    <w:name w:val="Heading 5 Char"/>
    <w:basedOn w:val="DefaultParagraphFont"/>
    <w:link w:val="Heading5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Times New Roman" w:hAnsi="Times New Roman" w:cs="Times New Roman"/>
      <w:b/>
      <w:bCs/>
      <w:lang w:eastAsia="hu-H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autoSpaceDE/>
      <w:autoSpaceDN/>
      <w:adjustRightInd/>
      <w:spacing w:before="360"/>
      <w:ind w:left="-850" w:right="-850"/>
    </w:pPr>
    <w:rPr>
      <w:sz w:val="24"/>
      <w:szCs w:val="24"/>
    </w:rPr>
  </w:style>
  <w:style w:type="character" w:customStyle="1" w:styleId="FooterCoverPageChar">
    <w:name w:val="Footer Cover Page Char"/>
    <w:link w:val="FooterCoverPage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autoSpaceDE/>
      <w:autoSpaceDN/>
      <w:adjustRightInd/>
      <w:spacing w:after="120"/>
      <w:jc w:val="both"/>
    </w:pPr>
    <w:rPr>
      <w:sz w:val="24"/>
      <w:szCs w:val="24"/>
    </w:rPr>
  </w:style>
  <w:style w:type="character" w:customStyle="1" w:styleId="HeaderCoverPageChar">
    <w:name w:val="Header Cover Page Char"/>
    <w:link w:val="HeaderCoverPage"/>
    <w:rPr>
      <w:rFonts w:ascii="Times New Roman" w:eastAsia="Times New Roman" w:hAnsi="Times New Roman" w:cs="Times New Roman"/>
      <w:sz w:val="24"/>
      <w:szCs w:val="24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widowControl/>
      <w:autoSpaceDE/>
      <w:autoSpaceDN/>
      <w:adjustRightInd/>
      <w:jc w:val="both"/>
    </w:pPr>
    <w:rPr>
      <w:rFonts w:eastAsiaTheme="minorHAnsi"/>
      <w:sz w:val="24"/>
      <w:szCs w:val="22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styleId="TOCHeading">
    <w:name w:val="TOC Heading"/>
    <w:basedOn w:val="Heading1"/>
    <w:next w:val="Normal"/>
    <w:uiPriority w:val="39"/>
    <w:unhideWhenUsed/>
    <w:qFormat/>
    <w:pPr>
      <w:widowControl/>
      <w:autoSpaceDE/>
      <w:autoSpaceDN/>
      <w:adjustRightInd/>
      <w:spacing w:line="276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tabs>
        <w:tab w:val="left" w:pos="720"/>
        <w:tab w:val="right" w:leader="dot" w:pos="9062"/>
      </w:tabs>
      <w:spacing w:after="100"/>
      <w:ind w:left="200"/>
      <w:jc w:val="both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customStyle="1" w:styleId="ListDash3">
    <w:name w:val="List Dash 3"/>
    <w:basedOn w:val="Normal"/>
    <w:pPr>
      <w:widowControl/>
      <w:autoSpaceDE/>
      <w:autoSpaceDN/>
      <w:adjustRightInd/>
      <w:spacing w:before="120" w:after="12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B45A4-E603-459B-81A8-29DC97AF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1090</Words>
  <Characters>7598</Characters>
  <Application>Microsoft Office Word</Application>
  <DocSecurity>0</DocSecurity>
  <Lines>126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22</cp:revision>
  <cp:lastPrinted>2016-05-02T15:31:00Z</cp:lastPrinted>
  <dcterms:created xsi:type="dcterms:W3CDTF">2016-05-04T10:30:00Z</dcterms:created>
  <dcterms:modified xsi:type="dcterms:W3CDTF">2016-05-30T14:21:00Z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DocStatus">
    <vt:lpwstr>Green</vt:lpwstr>
  </property>
  <property fmtid="{D5CDD505-2E9C-101B-9397-08002B2CF9AE}" pid="5" name="Classification">
    <vt:lpwstr> </vt:lpwstr>
  </property>
  <property name="OP_sanitized" fmtid="{D5CDD505-2E9C-101B-9397-08002B2CF9AE}" pid="6">
    <vt:lpwstr>True</vt:lpwstr>
  </property>
</Properties>
</file>