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E50342FE20F947278C31CCE6C40B6562" style="width:450.7pt;height:600.3pt">
            <v:imagedata r:id="rId9" o:title=""/>
          </v:shape>
        </w:pict>
      </w:r>
    </w:p>
    <w:bookmarkEnd w:id="0"/>
    <w:p>
      <w:pPr>
        <w:spacing w:line="240" w:lineRule="auto"/>
        <w:rPr>
          <w:rFonts w:ascii="Times New Roman" w:hAnsi="Times New Roman"/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tbl>
      <w:tblPr>
        <w:tblStyle w:val="TableGrid3"/>
        <w:tblW w:w="10188" w:type="dxa"/>
        <w:tblLook w:val="01E0" w:firstRow="1" w:lastRow="1" w:firstColumn="1" w:lastColumn="1" w:noHBand="0" w:noVBand="0"/>
      </w:tblPr>
      <w:tblGrid>
        <w:gridCol w:w="10188"/>
      </w:tblGrid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CCCCCC"/>
          </w:tcPr>
          <w:p>
            <w:pPr>
              <w:spacing w:before="60" w:after="60" w:line="240" w:lineRule="auto"/>
              <w:jc w:val="center"/>
              <w:rPr>
                <w:b/>
                <w:noProof/>
                <w:sz w:val="24"/>
                <w:szCs w:val="24"/>
              </w:rPr>
            </w:pPr>
            <w:bookmarkStart w:id="1" w:name="_Toc421891865"/>
            <w:bookmarkStart w:id="2" w:name="_GoBack"/>
            <w:bookmarkEnd w:id="2"/>
            <w:r>
              <w:rPr>
                <w:b/>
                <w:noProof/>
                <w:sz w:val="24"/>
              </w:rPr>
              <w:lastRenderedPageBreak/>
              <w:t>Vezetői összefoglaló</w:t>
            </w:r>
          </w:p>
        </w:tc>
      </w:tr>
      <w:t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color w:val="FFFFFF" w:themeColor="background1"/>
                <w:sz w:val="24"/>
              </w:rPr>
              <w:t>Az értékpapírosításról szóló rendeletre irányuló javaslat hatásvizsgálata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CCCCCC"/>
          </w:tcPr>
          <w:p>
            <w:pPr>
              <w:spacing w:before="60" w:after="60" w:line="240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A. Fellépés szükséges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0E0E0"/>
          </w:tcPr>
          <w:p>
            <w:pPr>
              <w:spacing w:before="60" w:after="6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Miért? Milyen problémát kell megoldani?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 válság előtt az értékpapírosítási piac az európai gazdaság növekvő finanszírozási csatornája volt. E piac a válság alatt jól teljesített, elhanyagolható mértékű veszteségekkel. Válság utáni hírnevét azonban megtépázták a máshol, főként az Egyesült Államokban látható gyakorlatok és események. Ez a stigma tükröződik az uniós értékpapírosítás kockázatosságának befektetők általi megítélésében, valamint szabályozási kezelésében, amelynek során főként az egyesült államokbeli veszteségek voltak mérvadóak. Mivel ezek sokszorosan meghaladták az uniós értékpapírosítási veszteségeket, a szabályozási kezelés hátrányos helyzetbe hozza uniós értékpapírosítási piacot.</w:t>
            </w:r>
          </w:p>
          <w:p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 stigma és a szabályozási kezelés következtében az uniós értékpapírosítási piac leállt, az EU gazdasága pedig elvesztette egyik finanszírozási csatornáját. A bankok eszközértékesítési képessége értékpapírosítás nélkül csak korlátozott. Ennek következtében a bankok a jelenleg szükséges hitelállomány-leépítést csak mérlegük szűkítésével, a hitelnyújtás visszafogásával tudják megoldani. Európában, ahol a pénzügyi közvetítés 80 %-ban bankokon keresztül valósul meg, ez nagyon komoly következményekkel jár a növekedésre nézve. Hitelek nélkül elhúzódik a talpra állás, lassul a növekedés és a munkahelyteremtés.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6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Mi a kezdeményezés várható eredménye?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 kezdeményezés általános célkitűzése, hogy a biztonságos értékpapírosítási piac újjáélesztése révén javítsa az uniós gazdaság finanszírozását, és ezáltal rövid távon gyengítse a kapcsolatot a banki hitelállomány-leépítés és a hitelek szűkülése között, hosszú távon pedig kiegyensúlyozottabb és stabilabb finanszírozási struktúrát adjon az EU gazdaságának. Ez konkrétan azon egyszerű, átlátható és egységesített értékpapírosítási (STS-) termékek megkülönböztetésével érhető el, amelyek a homályos és összetett értékpapírosítási termékekkel szemben fenntartható finanszírozási csatornát jelenthetnek az EU számára. Emellett az értékpapírosítási piacok folyamatainak és gyakorlatainak egységesítésére, valamint a szabályozási következetlenségek kiküszöbölésére kell törekedni. E célkitűzések megvalósításának mértékét az STS- és a nem STS-termékek árkülönbsége, illetve kibocsátás-mennyiségi különbsége mutatja meg.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6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Milyen hozzáadott értéket képvisel az uniós szintű fellépés?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Az értékpapírosított termékek a nyitott és integrált uniós pénzügyi piacok részét képezik. Az értékpapírosítás összekapcsolja a különböző tagállamokból és nem tagállamokból származó különböző pénzügyi intézményeket: gyakran bankok kezdeményezik az értékpapírosított hiteleket, míg a pénzügyi intézmények, például biztosítók vagy befektetési alapok befektetnek e termékekbe, és ezt európai határokon átnyúlóan teszik. Emellett az értékpapírosítás szabályozási kerete lényegében uniós jogszabályokon alapul. AZ STS-termékek megkülönböztetése ezért csak uniós szintű kezdeményezéssel történhet.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CCCCCC"/>
          </w:tcPr>
          <w:p>
            <w:pPr>
              <w:spacing w:before="60" w:after="60" w:line="240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B. Megoldások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Milyen jogalkotási és nem jogalkotási szakpolitikai lehetőségek merültek fel?</w:t>
            </w:r>
            <w:r>
              <w:rPr>
                <w:noProof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Van-e előnyben részesített lehetőség? Miért?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Az STS-kritériumok bevezetése kapcsán számos lehetőség merült fel: a szabályozási keret módosítása az STS-termékek különböző kockázati profiljának tükrözése érdekében és az értékpapírosítási jogszabályok építőköveinek (vagyis a fogalmaknak, továbbá a közzétételre és az előzetes vizsgálatra vonatkozó követelményeknek) az egységesítése. Minden területen megvizsgálták az intézkedés mellőzésének, a nem jogalkotási intézkedésnek és a jogalkotási intézkedésnek a lehetőségét.</w:t>
            </w:r>
          </w:p>
          <w:p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lastRenderedPageBreak/>
              <w:t>Az előnyben részesített lehetőség a jogalkotási intézkedés, amely STS-kritériumok bevezetésével, az STS-termékekre vonatkozó külön szabályozási keret bevezetésével és az értékpapírosítási jogszabályok építőköveinek (vagyis a fogalmaknak, továbbá a közzétételre és az előzetes vizsgálatra vonatkozó követelményeknek) az egységesítésével jár. E lehetőség választásával várhatóan megvalósul az STS-termékek kívánt megkülönböztetése, és a jelenleginél kockázatérzékenyebbé válik e termékek szabályozási kezelése. Emellett várhatóan egységesíti az uniós jogszabályok jelenlegi heterogén rendelkezéseit az értékpapírosítás fogalmának meghatározása, valamint a közzétételre és az előzetes vizsgálatra vonatkozó követelmények terén. Mindezek pedig összességében várhatóan megszüntetnék a stigmát, és előmozdítanák a biztonságos és fenntartható értékpapírosítási piac újjáélesztését.</w:t>
            </w:r>
          </w:p>
        </w:tc>
      </w:tr>
      <w:tr>
        <w:tc>
          <w:tcPr>
            <w:tcW w:w="10188" w:type="dxa"/>
            <w:shd w:val="clear" w:color="auto" w:fill="CCCCCC"/>
          </w:tcPr>
          <w:p>
            <w:pPr>
              <w:spacing w:before="60"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lastRenderedPageBreak/>
              <w:t>Ki melyik lehetőséget támogatja?</w:t>
            </w:r>
          </w:p>
        </w:tc>
      </w:tr>
      <w:tr>
        <w:tc>
          <w:tcPr>
            <w:tcW w:w="10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Az érdekeltek túlnyomó többsége ezt a kezdeményezést támogatja. A válaszadók kategóriái között nincs eltérés: a jogalkotók, központi bankok, szabályozó hatóságok, felügyeleti hatóságok, piaci szereplők és az elemzőközpontok túlnyomó többsége támogatja a kezdeményezést.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tbl>
      <w:tblPr>
        <w:tblStyle w:val="TableGrid3"/>
        <w:tblW w:w="10188" w:type="dxa"/>
        <w:tblLook w:val="01E0" w:firstRow="1" w:lastRow="1" w:firstColumn="1" w:lastColumn="1" w:noHBand="0" w:noVBand="0"/>
      </w:tblPr>
      <w:tblGrid>
        <w:gridCol w:w="10188"/>
      </w:tblGrid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CCCCCC"/>
          </w:tcPr>
          <w:p>
            <w:pPr>
              <w:spacing w:before="60" w:after="60" w:line="240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C. Az előnyben részesített lehetőség hatása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60" w:line="240" w:lineRule="auto"/>
              <w:jc w:val="both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Melyek az előnyben részesített lehetőség (ha nincs ilyen, akkor a főbb lehetőségek) hatásai?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 javasolt szakpolitika új, a bankszektor korlátaitól kevésbé függő finanszírozási csatornát teremt az uniós gazdaság számára, és ezáltal csökkenti a pénzügyi válságok hatását a hitelnyújtásra, vagyis a növekedésre és a foglalkoztatásra. Csökkenti az ilyen válságok társadalmi költségeit is. A javasolt szakpolitika emellett az elemezhető, megismerhető és beárazható kockázattal rendelkező értékpapírosítási struktúrák terjesztésével olyan értékpapírosítási piacot teremt, amely a pénzügyi stabilitás idején is jobban segíti a gazdaság finanszírozását.</w:t>
            </w:r>
          </w:p>
          <w:p>
            <w:pPr>
              <w:spacing w:after="0" w:line="240" w:lineRule="auto"/>
              <w:jc w:val="both"/>
              <w:rPr>
                <w:i/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Arra mutató jelek nincsenek, hogy a javasolt szakpolitika a környezet szempontjából bármely közvetlen vagy közvetett hatást gyakorolna.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6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Melyek az előnyben részesített lehetőség (ha nincs ilyen, akkor a főbb lehetőségek) költségei?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i/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 piaci szereplőknek és a hatóságoknak az új szabályozáshoz való alkalmazkodási költségeit leszámítva várhatóan nem merülnek fel releváns társadalmi vagy gazdasági költségek. Arra mutató jelek nincsenek, hogy a javasolt szakpolitika a környezet szempontjából bármely közvetlen vagy közvetett hatást gyakorolna.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6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Hogyan érinti mindez a vállalkozásokat, a kkv-kat és a mikrovállalkozásokat?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60" w:after="6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 javasolt szakpolitikának várhatóan több pozitív hatása lesz a kkv-k finanszírozására. Először is, a rövid távú értékpapírosítások (pl. ABCP) STS-keretbe való beemelése – és a rájuk vonatkozó tőkekövetelmények ezzel járó enyhülése – várhatóan elősegíti e jelentős kkv-finanszírozási forrás növekedését.</w:t>
            </w:r>
          </w:p>
          <w:p>
            <w:pPr>
              <w:spacing w:before="60" w:after="6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Másodszor, a kezdeményezés olyan eszközzel látja el a bankokat, amellyel ki tudják helyezni mérlegükből a kockázatot. A bankok az így felszabaduló tőkét várhatóan fokozottan a családok és a vállalkozások hitelezésére fordítják majd; az utóbbiak zömét az EU-ban főként kkv-k alkotják.</w:t>
            </w:r>
          </w:p>
          <w:p>
            <w:pPr>
              <w:spacing w:before="60" w:after="60" w:line="240" w:lineRule="auto"/>
              <w:jc w:val="both"/>
              <w:rPr>
                <w:i/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Végül, az egységes és következetes uniós értékpapírosítási keret bevezetésével és a piaci szereplők további egységesítésre való ösztönzésével a kezdeményezés várhatóan csökkenti az értékpapírosítás működési költségeit. Mivel ezek a költségek a kkv-hitelek értékpapírosítása esetében az átlagnál magasabbak, csökkenésük különösen jótékony hatást gyakorolhat a kkv-knak nyújtott hitelek költségeire.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0" w:line="240" w:lineRule="auto"/>
              <w:jc w:val="both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Jelentős lesz-e a tagállami költségvetésekre és közigazgatásokra gyakorolt hatás?</w:t>
            </w:r>
          </w:p>
        </w:tc>
      </w:tr>
      <w:tr>
        <w:tc>
          <w:tcPr>
            <w:tcW w:w="10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Nem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Lesznek-e egyéb jelentős hatások?</w:t>
            </w:r>
            <w:r>
              <w:rPr>
                <w:noProof/>
                <w:sz w:val="24"/>
              </w:rPr>
              <w:t xml:space="preserve"> 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Nem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C0C0C0"/>
          </w:tcPr>
          <w:p>
            <w:pPr>
              <w:spacing w:before="60" w:after="60" w:line="240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D. Nyomon követés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Mikor kerül sor a szakpolitika felülvizsgálatára?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b/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Az elfogadott jogszabály a végrehajtási határidejétől számított 4 év elteltével teljes körű értékelésen fog átesni, többek között annak felmérése érdekében, hogy mennyire volt hatékony és eredményes az e jelentésben bemutatott célkitűzések megvalósításában, illetve annak eldöntése érdekében, hogy szükség van-e új intézkedésekre vagy a jogszabály módosítására.</w:t>
            </w:r>
          </w:p>
        </w:tc>
      </w:tr>
      <w:bookmarkEnd w:id="1"/>
    </w:tbl>
    <w:p>
      <w:pPr>
        <w:spacing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849" w:bottom="1417" w:left="1417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HU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3BB"/>
    <w:multiLevelType w:val="singleLevel"/>
    <w:tmpl w:val="B77A568C"/>
    <w:lvl w:ilvl="0">
      <w:start w:val="1"/>
      <w:numFmt w:val="bullet"/>
      <w:pStyle w:val="ListDash4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1">
    <w:nsid w:val="0CFE274F"/>
    <w:multiLevelType w:val="singleLevel"/>
    <w:tmpl w:val="7F461434"/>
    <w:lvl w:ilvl="0">
      <w:start w:val="1"/>
      <w:numFmt w:val="bullet"/>
      <w:pStyle w:val="ListBullet4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2">
    <w:nsid w:val="18BE6CBF"/>
    <w:multiLevelType w:val="singleLevel"/>
    <w:tmpl w:val="268AE5F4"/>
    <w:lvl w:ilvl="0">
      <w:start w:val="1"/>
      <w:numFmt w:val="bullet"/>
      <w:pStyle w:val="ListBullet8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3">
    <w:nsid w:val="1F734306"/>
    <w:multiLevelType w:val="multilevel"/>
    <w:tmpl w:val="0970566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numFmt w:val="none"/>
      <w:pStyle w:val="Heading3"/>
      <w:lvlText w:val=""/>
      <w:lvlJc w:val="left"/>
      <w:pPr>
        <w:tabs>
          <w:tab w:val="num" w:pos="360"/>
        </w:tabs>
      </w:pPr>
    </w:lvl>
    <w:lvl w:ilvl="3">
      <w:numFmt w:val="decimal"/>
      <w:pStyle w:val="Heading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6C541C"/>
    <w:multiLevelType w:val="singleLevel"/>
    <w:tmpl w:val="5A7CD0F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5">
    <w:nsid w:val="27C72F08"/>
    <w:multiLevelType w:val="multilevel"/>
    <w:tmpl w:val="589CDCAC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7E66849"/>
    <w:multiLevelType w:val="singleLevel"/>
    <w:tmpl w:val="0F5A4A9E"/>
    <w:lvl w:ilvl="0">
      <w:start w:val="1"/>
      <w:numFmt w:val="bullet"/>
      <w:pStyle w:val="ListBullet5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7">
    <w:nsid w:val="2A316646"/>
    <w:multiLevelType w:val="multilevel"/>
    <w:tmpl w:val="E7D2FDB4"/>
    <w:lvl w:ilvl="0">
      <w:start w:val="1"/>
      <w:numFmt w:val="decimal"/>
      <w:pStyle w:val="ListNumber1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F436774"/>
    <w:multiLevelType w:val="singleLevel"/>
    <w:tmpl w:val="CE16C822"/>
    <w:lvl w:ilvl="0">
      <w:start w:val="1"/>
      <w:numFmt w:val="bullet"/>
      <w:pStyle w:val="ListBullet1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9">
    <w:nsid w:val="30A7464F"/>
    <w:multiLevelType w:val="multilevel"/>
    <w:tmpl w:val="0686B1B6"/>
    <w:lvl w:ilvl="0">
      <w:start w:val="1"/>
      <w:numFmt w:val="decimal"/>
      <w:pStyle w:val="ListNumber8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8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8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8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4670ADC"/>
    <w:multiLevelType w:val="multilevel"/>
    <w:tmpl w:val="CBA63D2A"/>
    <w:lvl w:ilvl="0">
      <w:start w:val="1"/>
      <w:numFmt w:val="decimal"/>
      <w:pStyle w:val="ListNumber6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6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6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6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66C7E5E"/>
    <w:multiLevelType w:val="singleLevel"/>
    <w:tmpl w:val="14185DC6"/>
    <w:lvl w:ilvl="0">
      <w:start w:val="1"/>
      <w:numFmt w:val="bullet"/>
      <w:pStyle w:val="ListBullet2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12">
    <w:nsid w:val="366E5DB2"/>
    <w:multiLevelType w:val="multilevel"/>
    <w:tmpl w:val="2388A454"/>
    <w:lvl w:ilvl="0">
      <w:start w:val="1"/>
      <w:numFmt w:val="decimal"/>
      <w:pStyle w:val="ListNumber2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6CD10E0"/>
    <w:multiLevelType w:val="singleLevel"/>
    <w:tmpl w:val="87A8B6B4"/>
    <w:lvl w:ilvl="0">
      <w:start w:val="1"/>
      <w:numFmt w:val="bullet"/>
      <w:pStyle w:val="ListDash7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14">
    <w:nsid w:val="50227369"/>
    <w:multiLevelType w:val="hybridMultilevel"/>
    <w:tmpl w:val="C2D88122"/>
    <w:lvl w:ilvl="0" w:tplc="4A2A8390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B6CA5"/>
    <w:multiLevelType w:val="singleLevel"/>
    <w:tmpl w:val="0EFACC46"/>
    <w:lvl w:ilvl="0">
      <w:start w:val="1"/>
      <w:numFmt w:val="bullet"/>
      <w:pStyle w:val="ListDash8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16">
    <w:nsid w:val="59E74131"/>
    <w:multiLevelType w:val="singleLevel"/>
    <w:tmpl w:val="2B20B78E"/>
    <w:lvl w:ilvl="0">
      <w:start w:val="1"/>
      <w:numFmt w:val="bullet"/>
      <w:pStyle w:val="ListBullet7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17">
    <w:nsid w:val="5A036134"/>
    <w:multiLevelType w:val="multilevel"/>
    <w:tmpl w:val="22EE6080"/>
    <w:lvl w:ilvl="0">
      <w:start w:val="1"/>
      <w:numFmt w:val="decimal"/>
      <w:pStyle w:val="ListNumber5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5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5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5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A2516BD"/>
    <w:multiLevelType w:val="singleLevel"/>
    <w:tmpl w:val="6B9A636E"/>
    <w:lvl w:ilvl="0">
      <w:start w:val="1"/>
      <w:numFmt w:val="bullet"/>
      <w:pStyle w:val="ListDash1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19">
    <w:nsid w:val="5AED7CC1"/>
    <w:multiLevelType w:val="multilevel"/>
    <w:tmpl w:val="3FE20CA8"/>
    <w:lvl w:ilvl="0">
      <w:start w:val="1"/>
      <w:numFmt w:val="decimal"/>
      <w:pStyle w:val="ListNumber3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BCE2673"/>
    <w:multiLevelType w:val="singleLevel"/>
    <w:tmpl w:val="1AE4F9D4"/>
    <w:lvl w:ilvl="0">
      <w:start w:val="1"/>
      <w:numFmt w:val="bullet"/>
      <w:pStyle w:val="ListDash5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21">
    <w:nsid w:val="5FBB6008"/>
    <w:multiLevelType w:val="hybridMultilevel"/>
    <w:tmpl w:val="982C65BC"/>
    <w:lvl w:ilvl="0" w:tplc="B4E0A286">
      <w:start w:val="1"/>
      <w:numFmt w:val="bullet"/>
      <w:pStyle w:val="Bulletpoin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 w:tplc="B602E818">
      <w:start w:val="1"/>
      <w:numFmt w:val="bullet"/>
      <w:lvlText w:val="–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1B7AB5"/>
    <w:multiLevelType w:val="singleLevel"/>
    <w:tmpl w:val="36C0E208"/>
    <w:lvl w:ilvl="0">
      <w:start w:val="1"/>
      <w:numFmt w:val="bullet"/>
      <w:pStyle w:val="ListDash3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23">
    <w:nsid w:val="624241D6"/>
    <w:multiLevelType w:val="singleLevel"/>
    <w:tmpl w:val="ED569D6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>
    <w:nsid w:val="63225EEB"/>
    <w:multiLevelType w:val="multilevel"/>
    <w:tmpl w:val="CD7E0C86"/>
    <w:lvl w:ilvl="0">
      <w:start w:val="1"/>
      <w:numFmt w:val="decimal"/>
      <w:pStyle w:val="ListNumber4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A8F44DF"/>
    <w:multiLevelType w:val="singleLevel"/>
    <w:tmpl w:val="B5D41388"/>
    <w:lvl w:ilvl="0">
      <w:start w:val="1"/>
      <w:numFmt w:val="bullet"/>
      <w:pStyle w:val="ListDash2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26">
    <w:nsid w:val="6D87223D"/>
    <w:multiLevelType w:val="singleLevel"/>
    <w:tmpl w:val="533212EA"/>
    <w:lvl w:ilvl="0">
      <w:start w:val="1"/>
      <w:numFmt w:val="bullet"/>
      <w:pStyle w:val="ListBullet3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27">
    <w:nsid w:val="6F62497F"/>
    <w:multiLevelType w:val="singleLevel"/>
    <w:tmpl w:val="54E2F4D6"/>
    <w:lvl w:ilvl="0">
      <w:start w:val="1"/>
      <w:numFmt w:val="bullet"/>
      <w:pStyle w:val="ListDash6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28">
    <w:nsid w:val="71941C00"/>
    <w:multiLevelType w:val="singleLevel"/>
    <w:tmpl w:val="740C8B34"/>
    <w:lvl w:ilvl="0">
      <w:start w:val="1"/>
      <w:numFmt w:val="bullet"/>
      <w:pStyle w:val="ListBullet6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29">
    <w:nsid w:val="7F4F4A65"/>
    <w:multiLevelType w:val="multilevel"/>
    <w:tmpl w:val="6A20B96E"/>
    <w:lvl w:ilvl="0">
      <w:start w:val="1"/>
      <w:numFmt w:val="decimal"/>
      <w:pStyle w:val="ListNumber7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7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7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7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3"/>
  </w:num>
  <w:num w:numId="3">
    <w:abstractNumId w:val="21"/>
  </w:num>
  <w:num w:numId="4">
    <w:abstractNumId w:val="23"/>
  </w:num>
  <w:num w:numId="5">
    <w:abstractNumId w:val="8"/>
  </w:num>
  <w:num w:numId="6">
    <w:abstractNumId w:val="11"/>
  </w:num>
  <w:num w:numId="7">
    <w:abstractNumId w:val="26"/>
  </w:num>
  <w:num w:numId="8">
    <w:abstractNumId w:val="1"/>
  </w:num>
  <w:num w:numId="9">
    <w:abstractNumId w:val="6"/>
  </w:num>
  <w:num w:numId="10">
    <w:abstractNumId w:val="28"/>
  </w:num>
  <w:num w:numId="11">
    <w:abstractNumId w:val="16"/>
  </w:num>
  <w:num w:numId="12">
    <w:abstractNumId w:val="2"/>
  </w:num>
  <w:num w:numId="13">
    <w:abstractNumId w:val="4"/>
  </w:num>
  <w:num w:numId="14">
    <w:abstractNumId w:val="18"/>
  </w:num>
  <w:num w:numId="15">
    <w:abstractNumId w:val="25"/>
  </w:num>
  <w:num w:numId="16">
    <w:abstractNumId w:val="22"/>
  </w:num>
  <w:num w:numId="17">
    <w:abstractNumId w:val="0"/>
  </w:num>
  <w:num w:numId="18">
    <w:abstractNumId w:val="20"/>
  </w:num>
  <w:num w:numId="19">
    <w:abstractNumId w:val="27"/>
  </w:num>
  <w:num w:numId="20">
    <w:abstractNumId w:val="13"/>
  </w:num>
  <w:num w:numId="21">
    <w:abstractNumId w:val="15"/>
  </w:num>
  <w:num w:numId="22">
    <w:abstractNumId w:val="5"/>
  </w:num>
  <w:num w:numId="23">
    <w:abstractNumId w:val="7"/>
  </w:num>
  <w:num w:numId="24">
    <w:abstractNumId w:val="12"/>
  </w:num>
  <w:num w:numId="25">
    <w:abstractNumId w:val="19"/>
  </w:num>
  <w:num w:numId="26">
    <w:abstractNumId w:val="24"/>
  </w:num>
  <w:num w:numId="27">
    <w:abstractNumId w:val="17"/>
  </w:num>
  <w:num w:numId="28">
    <w:abstractNumId w:val="10"/>
  </w:num>
  <w:num w:numId="29">
    <w:abstractNumId w:val="29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attachedTemplate r:id="rId1"/>
  <w:revisionView w:markup="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VERPAGE_EXISTS" w:val="True"/>
    <w:docVar w:name="DocStatus" w:val="Green"/>
    <w:docVar w:name="LW_ACCOMPAGNANT.CP" w:val="amely a következ\u337? dokumentumot kíséri"/>
    <w:docVar w:name="LW_CONFIDENCE" w:val=" "/>
    <w:docVar w:name="LW_CONST_RESTREINT_UE" w:val="RESTREINT UE"/>
    <w:docVar w:name="LW_CORRIGENDUM" w:val="&lt;UNUSED&gt;"/>
    <w:docVar w:name="LW_COVERPAGE_GUID" w:val="E50342FE20F947278C31CCE6C40B6562"/>
    <w:docVar w:name="LW_CROSSREFERENCE" w:val="{COM(2015) 472 final}_x000b_{SWD(2015) 185 final}"/>
    <w:docVar w:name="LW_DocType" w:val="NORMAL"/>
    <w:docVar w:name="LW_EMISSION" w:val="2015.9.30."/>
    <w:docVar w:name="LW_EMISSION_ISODATE" w:val="2015-09-30"/>
    <w:docVar w:name="LW_EMISSION_LOCATION" w:val="BRX"/>
    <w:docVar w:name="LW_EMISSION_PREFIX" w:val="Brüsszel, "/>
    <w:docVar w:name="LW_EMISSION_SUFFIX" w:val=" "/>
    <w:docVar w:name="LW_ID_DOCTYPE_NONLW" w:val="CP-027"/>
    <w:docVar w:name="LW_LANGUE" w:val="HU"/>
    <w:docVar w:name="LW_MARKING" w:val="&lt;UNUSED&gt;"/>
    <w:docVar w:name="LW_NOM.INST" w:val="EURÓPAI BIZOTTSÁG"/>
    <w:docVar w:name="LW_NOM.INST_JOINTDOC" w:val="&lt;EMPTY&gt;"/>
    <w:docVar w:name="LW_OBJETACTEPRINCIPAL.CP" w:val="az értékpapírosítás közös szabályainak meghatározásáról, az egyszer\u369?, átlátható és egységesített értékpapírosítás európai keretrendszerének létrehozásáról, valamint a 2009/65/EK, a 2009/138/EK és a 2011/61/EU irányelv és az 1060/2009/EK és a 648/2012/EU rendelet módosításáról _x000b__x000b_és_x000b__x000b_Javaslat_x000b__x000b_AZ EURÓPAI PARLAMENT ÉS A TANÁCS RENDELETE_x000b__x000b_a hitelintézetekre és befektetési vállalkozásokra vonatkozó prudenciális követelményekr\u337?l szóló 575/2013/EU rendelet módosításáról"/>
    <w:docVar w:name="LW_PART_NBR" w:val="1"/>
    <w:docVar w:name="LW_PART_NBR_TOTAL" w:val="1"/>
    <w:docVar w:name="LW_REF.INST.NEW" w:val="SWD"/>
    <w:docVar w:name="LW_REF.INST.NEW_ADOPTED" w:val="final"/>
    <w:docVar w:name="LW_REF.INST.NEW_TEXT" w:val="(2015) 186"/>
    <w:docVar w:name="LW_REF.INTERNE" w:val="&lt;UNUSED&gt;"/>
    <w:docVar w:name="LW_SUPERTITRE" w:val="&lt;UNUSED&gt;"/>
    <w:docVar w:name="LW_TITRE.OBJ.CP" w:val="&lt;UNUSED&gt;"/>
    <w:docVar w:name="LW_TYPE.DOC.CP" w:val="BIZOTTSÁGI SZOLGÁLATI MUNKADOKUMENTUM_x000b__x000b_A HATÁSVIZSGÁLAT VEZET\u336?I ÖSSZEFOGLALÓJA_x000b_"/>
    <w:docVar w:name="LW_TYPEACTEPRINCIPAL.CP" w:val="Javaslat_x000b__x000b_AZ EURÓPAI PARLAMENT ÉS A TANÁCS RENDELETE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hu-H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Pr>
      <w:lang w:eastAsia="hu-HU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normal,Fußnotenzeichen3,Normal1,fr,SUPERS,EN Footnote Reference,number,ftref"/>
    <w:uiPriority w:val="99"/>
    <w:unhideWhenUsed/>
    <w:qFormat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hu-H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hu-HU"/>
    </w:rPr>
  </w:style>
  <w:style w:type="paragraph" w:customStyle="1" w:styleId="numberedparagraph">
    <w:name w:val="numbered paragraph"/>
    <w:basedOn w:val="Normal"/>
    <w:qFormat/>
    <w:pPr>
      <w:numPr>
        <w:numId w:val="1"/>
      </w:numPr>
      <w:spacing w:before="240" w:after="120"/>
      <w:jc w:val="both"/>
    </w:pPr>
    <w:rPr>
      <w:rFonts w:eastAsia="MS PGothic"/>
      <w:szCs w:val="24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hu-H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hu-HU"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tandard3520normal">
    <w:name w:val="a_standard__35__20_normal"/>
    <w:basedOn w:val="Normal"/>
    <w:pPr>
      <w:spacing w:after="120" w:line="240" w:lineRule="auto"/>
      <w:ind w:right="57"/>
      <w:jc w:val="both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/>
      <w:i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/>
      <w:sz w:val="24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szCs w:val="28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8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szCs w:val="28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8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TOCHeading">
    <w:name w:val="TOC Heading"/>
    <w:basedOn w:val="Normal"/>
    <w:next w:val="Normal"/>
    <w:qFormat/>
    <w:pPr>
      <w:keepNext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 w:bidi="ar-SA"/>
    </w:rPr>
  </w:style>
  <w:style w:type="paragraph" w:styleId="TOC1">
    <w:name w:val="toc 1"/>
    <w:basedOn w:val="Normal"/>
    <w:next w:val="Normal"/>
    <w:pPr>
      <w:tabs>
        <w:tab w:val="right" w:leader="dot" w:pos="8640"/>
      </w:tabs>
      <w:spacing w:before="120" w:after="120" w:line="240" w:lineRule="auto"/>
      <w:ind w:left="1440" w:right="720" w:hanging="1440"/>
      <w:jc w:val="both"/>
    </w:pPr>
    <w:rPr>
      <w:rFonts w:ascii="Times New Roman" w:eastAsia="Times New Roman" w:hAnsi="Times New Roman"/>
      <w:caps/>
      <w:sz w:val="24"/>
      <w:szCs w:val="20"/>
    </w:rPr>
  </w:style>
  <w:style w:type="paragraph" w:styleId="TOC2">
    <w:name w:val="toc 2"/>
    <w:basedOn w:val="Normal"/>
    <w:next w:val="Normal"/>
    <w:pPr>
      <w:tabs>
        <w:tab w:val="right" w:leader="dot" w:pos="8640"/>
      </w:tabs>
      <w:spacing w:before="60" w:after="60" w:line="240" w:lineRule="auto"/>
      <w:ind w:left="1440" w:right="720" w:hanging="1440"/>
      <w:jc w:val="both"/>
    </w:pPr>
    <w:rPr>
      <w:rFonts w:ascii="Times New Roman" w:eastAsia="Times New Roman" w:hAnsi="Times New Roman"/>
      <w:sz w:val="24"/>
      <w:szCs w:val="20"/>
    </w:rPr>
  </w:style>
  <w:style w:type="paragraph" w:styleId="TOC3">
    <w:name w:val="toc 3"/>
    <w:basedOn w:val="Normal"/>
    <w:next w:val="Normal"/>
    <w:pPr>
      <w:tabs>
        <w:tab w:val="right" w:leader="dot" w:pos="8640"/>
      </w:tabs>
      <w:spacing w:before="60" w:after="60" w:line="240" w:lineRule="auto"/>
      <w:ind w:left="1440" w:right="720" w:hanging="1440"/>
      <w:jc w:val="both"/>
    </w:pPr>
    <w:rPr>
      <w:rFonts w:ascii="Times New Roman" w:eastAsia="Times New Roman" w:hAnsi="Times New Roman"/>
      <w:sz w:val="24"/>
      <w:szCs w:val="20"/>
    </w:rPr>
  </w:style>
  <w:style w:type="table" w:customStyle="1" w:styleId="TableGrid3">
    <w:name w:val="Table Grid3"/>
    <w:basedOn w:val="TableNormal"/>
    <w:next w:val="TableGri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">
    <w:name w:val="Contact"/>
    <w:basedOn w:val="Normal"/>
    <w:next w:val="Normal"/>
    <w:pPr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">
    <w:name w:val="List Bullet"/>
    <w:basedOn w:val="Normal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Bullet1">
    <w:name w:val="List Bullet 1"/>
    <w:basedOn w:val="Normal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2">
    <w:name w:val="List Bullet 2"/>
    <w:basedOn w:val="Normal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3">
    <w:name w:val="List Bullet 3"/>
    <w:basedOn w:val="Normal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4">
    <w:name w:val="List Bullet 4"/>
    <w:basedOn w:val="Normal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5">
    <w:name w:val="List Bullet 5"/>
    <w:basedOn w:val="Normal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Bullet6">
    <w:name w:val="List Bullet 6"/>
    <w:basedOn w:val="Normal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Bullet7">
    <w:name w:val="List Bullet 7"/>
    <w:basedOn w:val="Normal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Bullet8">
    <w:name w:val="List Bullet 8"/>
    <w:basedOn w:val="Normal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">
    <w:name w:val="List Dash"/>
    <w:basedOn w:val="Normal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1">
    <w:name w:val="List Dash 1"/>
    <w:basedOn w:val="Normal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2">
    <w:name w:val="List Dash 2"/>
    <w:basedOn w:val="Normal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3">
    <w:name w:val="List Dash 3"/>
    <w:basedOn w:val="Normal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4">
    <w:name w:val="List Dash 4"/>
    <w:basedOn w:val="Normal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5">
    <w:name w:val="List Dash 5"/>
    <w:basedOn w:val="Normal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6">
    <w:name w:val="List Dash 6"/>
    <w:basedOn w:val="Normal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7">
    <w:name w:val="List Dash 7"/>
    <w:basedOn w:val="Normal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8">
    <w:name w:val="List Dash 8"/>
    <w:basedOn w:val="Normal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">
    <w:name w:val="List Number"/>
    <w:basedOn w:val="Normal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1">
    <w:name w:val="List Number 1"/>
    <w:basedOn w:val="Normal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2">
    <w:name w:val="List Number 2"/>
    <w:basedOn w:val="Normal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3">
    <w:name w:val="List Number 3"/>
    <w:basedOn w:val="Normal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4">
    <w:name w:val="List Number 4"/>
    <w:basedOn w:val="Normal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5">
    <w:name w:val="List Number 5"/>
    <w:basedOn w:val="Normal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6">
    <w:name w:val="List Number 6"/>
    <w:basedOn w:val="Normal"/>
    <w:pPr>
      <w:numPr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7">
    <w:name w:val="List Number 7"/>
    <w:basedOn w:val="Normal"/>
    <w:pPr>
      <w:numPr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8">
    <w:name w:val="List Number 8"/>
    <w:basedOn w:val="Normal"/>
    <w:pPr>
      <w:numPr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Level2">
    <w:name w:val="List Number (Level 2)"/>
    <w:basedOn w:val="Normal"/>
    <w:pPr>
      <w:numPr>
        <w:ilvl w:val="1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1Level2">
    <w:name w:val="List Number 1 (Level 2)"/>
    <w:basedOn w:val="Normal"/>
    <w:pPr>
      <w:numPr>
        <w:ilvl w:val="1"/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2Level2">
    <w:name w:val="List Number 2 (Level 2)"/>
    <w:basedOn w:val="Normal"/>
    <w:pPr>
      <w:numPr>
        <w:ilvl w:val="1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3Level2">
    <w:name w:val="List Number 3 (Level 2)"/>
    <w:basedOn w:val="Normal"/>
    <w:pPr>
      <w:numPr>
        <w:ilvl w:val="1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4Level2">
    <w:name w:val="List Number 4 (Level 2)"/>
    <w:basedOn w:val="Normal"/>
    <w:pPr>
      <w:numPr>
        <w:ilvl w:val="1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5Level2">
    <w:name w:val="List Number 5 (Level 2)"/>
    <w:basedOn w:val="Normal"/>
    <w:pPr>
      <w:numPr>
        <w:ilvl w:val="1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6Level2">
    <w:name w:val="List Number 6 (Level 2)"/>
    <w:basedOn w:val="Normal"/>
    <w:pPr>
      <w:numPr>
        <w:ilvl w:val="1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7Level2">
    <w:name w:val="List Number 7 (Level 2)"/>
    <w:basedOn w:val="Normal"/>
    <w:pPr>
      <w:numPr>
        <w:ilvl w:val="1"/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8Level2">
    <w:name w:val="List Number 8 (Level 2)"/>
    <w:basedOn w:val="Normal"/>
    <w:pPr>
      <w:numPr>
        <w:ilvl w:val="1"/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Level3">
    <w:name w:val="List Number (Level 3)"/>
    <w:basedOn w:val="Normal"/>
    <w:pPr>
      <w:numPr>
        <w:ilvl w:val="2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1Level3">
    <w:name w:val="List Number 1 (Level 3)"/>
    <w:basedOn w:val="Normal"/>
    <w:pPr>
      <w:numPr>
        <w:ilvl w:val="2"/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2Level3">
    <w:name w:val="List Number 2 (Level 3)"/>
    <w:basedOn w:val="Normal"/>
    <w:pPr>
      <w:numPr>
        <w:ilvl w:val="2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3Level3">
    <w:name w:val="List Number 3 (Level 3)"/>
    <w:basedOn w:val="Normal"/>
    <w:pPr>
      <w:numPr>
        <w:ilvl w:val="2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4Level3">
    <w:name w:val="List Number 4 (Level 3)"/>
    <w:basedOn w:val="Normal"/>
    <w:pPr>
      <w:numPr>
        <w:ilvl w:val="2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5Level3">
    <w:name w:val="List Number 5 (Level 3)"/>
    <w:basedOn w:val="Normal"/>
    <w:pPr>
      <w:numPr>
        <w:ilvl w:val="2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6Level3">
    <w:name w:val="List Number 6 (Level 3)"/>
    <w:basedOn w:val="Normal"/>
    <w:pPr>
      <w:numPr>
        <w:ilvl w:val="2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7Level3">
    <w:name w:val="List Number 7 (Level 3)"/>
    <w:basedOn w:val="Normal"/>
    <w:pPr>
      <w:numPr>
        <w:ilvl w:val="2"/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8Level3">
    <w:name w:val="List Number 8 (Level 3)"/>
    <w:basedOn w:val="Normal"/>
    <w:pPr>
      <w:numPr>
        <w:ilvl w:val="2"/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Level4">
    <w:name w:val="List Number (Level 4)"/>
    <w:basedOn w:val="Normal"/>
    <w:pPr>
      <w:numPr>
        <w:ilvl w:val="3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1Level4">
    <w:name w:val="List Number 1 (Level 4)"/>
    <w:basedOn w:val="Normal"/>
    <w:pPr>
      <w:numPr>
        <w:ilvl w:val="3"/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2Level4">
    <w:name w:val="List Number 2 (Level 4)"/>
    <w:basedOn w:val="Normal"/>
    <w:pPr>
      <w:numPr>
        <w:ilvl w:val="3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3Level4">
    <w:name w:val="List Number 3 (Level 4)"/>
    <w:basedOn w:val="Normal"/>
    <w:pPr>
      <w:numPr>
        <w:ilvl w:val="3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4Level4">
    <w:name w:val="List Number 4 (Level 4)"/>
    <w:basedOn w:val="Normal"/>
    <w:pPr>
      <w:numPr>
        <w:ilvl w:val="3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5Level4">
    <w:name w:val="List Number 5 (Level 4)"/>
    <w:basedOn w:val="Normal"/>
    <w:pPr>
      <w:numPr>
        <w:ilvl w:val="3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6Level4">
    <w:name w:val="List Number 6 (Level 4)"/>
    <w:basedOn w:val="Normal"/>
    <w:pPr>
      <w:numPr>
        <w:ilvl w:val="3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7Level4">
    <w:name w:val="List Number 7 (Level 4)"/>
    <w:basedOn w:val="Normal"/>
    <w:pPr>
      <w:numPr>
        <w:ilvl w:val="3"/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8Level4">
    <w:name w:val="List Number 8 (Level 4)"/>
    <w:basedOn w:val="Normal"/>
    <w:pPr>
      <w:numPr>
        <w:ilvl w:val="3"/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/>
      <w:caps/>
      <w:sz w:val="24"/>
      <w:szCs w:val="20"/>
      <w:lang w:eastAsia="en-US" w:bidi="ar-SA"/>
    </w:rPr>
  </w:style>
  <w:style w:type="table" w:styleId="LightShading">
    <w:name w:val="Light Shading"/>
    <w:basedOn w:val="TableNormal"/>
    <w:uiPriority w:val="60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ulletpoint">
    <w:name w:val="Bullet point"/>
    <w:basedOn w:val="Normal"/>
    <w:qFormat/>
    <w:pPr>
      <w:numPr>
        <w:numId w:val="3"/>
      </w:numPr>
      <w:tabs>
        <w:tab w:val="clear" w:pos="851"/>
        <w:tab w:val="num" w:pos="360"/>
        <w:tab w:val="left" w:pos="794"/>
        <w:tab w:val="left" w:pos="1191"/>
      </w:tabs>
      <w:spacing w:after="120" w:line="240" w:lineRule="auto"/>
      <w:ind w:left="0" w:firstLine="794"/>
      <w:jc w:val="both"/>
    </w:pPr>
    <w:rPr>
      <w:rFonts w:ascii="Times New Roman" w:eastAsia="Times New Roman" w:hAnsi="Times New Roman"/>
      <w:noProof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BodyText">
    <w:name w:val="Body Text"/>
    <w:basedOn w:val="Normal"/>
    <w:link w:val="BodyTextChar"/>
    <w:semiHidden/>
    <w:pPr>
      <w:shd w:val="clear" w:color="auto" w:fill="FFFFFF"/>
      <w:spacing w:line="224" w:lineRule="atLeast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hAnsi="Arial" w:cs="Arial"/>
      <w:b/>
      <w:bCs/>
      <w:sz w:val="24"/>
      <w:szCs w:val="24"/>
      <w:shd w:val="clear" w:color="auto" w:fill="FFFFFF"/>
      <w:lang w:eastAsia="hu-H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Theme="minorHAnsi" w:eastAsiaTheme="minorHAnsi" w:hAnsiTheme="minorHAnsi" w:cstheme="minorBidi"/>
      <w:sz w:val="22"/>
      <w:szCs w:val="22"/>
      <w:lang w:eastAsia="hu-HU"/>
    </w:rPr>
  </w:style>
  <w:style w:type="character" w:customStyle="1" w:styleId="tgc">
    <w:name w:val="_tgc"/>
    <w:basedOn w:val="DefaultParagraphFont"/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 w:line="240" w:lineRule="auto"/>
      <w:ind w:left="1440" w:right="720" w:hanging="1440"/>
      <w:jc w:val="both"/>
    </w:pPr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hu-H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Pr>
      <w:lang w:eastAsia="hu-HU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normal,Fußnotenzeichen3,Normal1,fr,SUPERS,EN Footnote Reference,number,ftref"/>
    <w:uiPriority w:val="99"/>
    <w:unhideWhenUsed/>
    <w:qFormat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hu-H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hu-HU"/>
    </w:rPr>
  </w:style>
  <w:style w:type="paragraph" w:customStyle="1" w:styleId="numberedparagraph">
    <w:name w:val="numbered paragraph"/>
    <w:basedOn w:val="Normal"/>
    <w:qFormat/>
    <w:pPr>
      <w:numPr>
        <w:numId w:val="1"/>
      </w:numPr>
      <w:spacing w:before="240" w:after="120"/>
      <w:jc w:val="both"/>
    </w:pPr>
    <w:rPr>
      <w:rFonts w:eastAsia="MS PGothic"/>
      <w:szCs w:val="24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hu-H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hu-HU"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tandard3520normal">
    <w:name w:val="a_standard__35__20_normal"/>
    <w:basedOn w:val="Normal"/>
    <w:pPr>
      <w:spacing w:after="120" w:line="240" w:lineRule="auto"/>
      <w:ind w:right="57"/>
      <w:jc w:val="both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/>
      <w:i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/>
      <w:sz w:val="24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szCs w:val="28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8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szCs w:val="28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8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TOCHeading">
    <w:name w:val="TOC Heading"/>
    <w:basedOn w:val="Normal"/>
    <w:next w:val="Normal"/>
    <w:qFormat/>
    <w:pPr>
      <w:keepNext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 w:bidi="ar-SA"/>
    </w:rPr>
  </w:style>
  <w:style w:type="paragraph" w:styleId="TOC1">
    <w:name w:val="toc 1"/>
    <w:basedOn w:val="Normal"/>
    <w:next w:val="Normal"/>
    <w:pPr>
      <w:tabs>
        <w:tab w:val="right" w:leader="dot" w:pos="8640"/>
      </w:tabs>
      <w:spacing w:before="120" w:after="120" w:line="240" w:lineRule="auto"/>
      <w:ind w:left="1440" w:right="720" w:hanging="1440"/>
      <w:jc w:val="both"/>
    </w:pPr>
    <w:rPr>
      <w:rFonts w:ascii="Times New Roman" w:eastAsia="Times New Roman" w:hAnsi="Times New Roman"/>
      <w:caps/>
      <w:sz w:val="24"/>
      <w:szCs w:val="20"/>
    </w:rPr>
  </w:style>
  <w:style w:type="paragraph" w:styleId="TOC2">
    <w:name w:val="toc 2"/>
    <w:basedOn w:val="Normal"/>
    <w:next w:val="Normal"/>
    <w:pPr>
      <w:tabs>
        <w:tab w:val="right" w:leader="dot" w:pos="8640"/>
      </w:tabs>
      <w:spacing w:before="60" w:after="60" w:line="240" w:lineRule="auto"/>
      <w:ind w:left="1440" w:right="720" w:hanging="1440"/>
      <w:jc w:val="both"/>
    </w:pPr>
    <w:rPr>
      <w:rFonts w:ascii="Times New Roman" w:eastAsia="Times New Roman" w:hAnsi="Times New Roman"/>
      <w:sz w:val="24"/>
      <w:szCs w:val="20"/>
    </w:rPr>
  </w:style>
  <w:style w:type="paragraph" w:styleId="TOC3">
    <w:name w:val="toc 3"/>
    <w:basedOn w:val="Normal"/>
    <w:next w:val="Normal"/>
    <w:pPr>
      <w:tabs>
        <w:tab w:val="right" w:leader="dot" w:pos="8640"/>
      </w:tabs>
      <w:spacing w:before="60" w:after="60" w:line="240" w:lineRule="auto"/>
      <w:ind w:left="1440" w:right="720" w:hanging="1440"/>
      <w:jc w:val="both"/>
    </w:pPr>
    <w:rPr>
      <w:rFonts w:ascii="Times New Roman" w:eastAsia="Times New Roman" w:hAnsi="Times New Roman"/>
      <w:sz w:val="24"/>
      <w:szCs w:val="20"/>
    </w:rPr>
  </w:style>
  <w:style w:type="table" w:customStyle="1" w:styleId="TableGrid3">
    <w:name w:val="Table Grid3"/>
    <w:basedOn w:val="TableNormal"/>
    <w:next w:val="TableGri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">
    <w:name w:val="Contact"/>
    <w:basedOn w:val="Normal"/>
    <w:next w:val="Normal"/>
    <w:pPr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">
    <w:name w:val="List Bullet"/>
    <w:basedOn w:val="Normal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Bullet1">
    <w:name w:val="List Bullet 1"/>
    <w:basedOn w:val="Normal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2">
    <w:name w:val="List Bullet 2"/>
    <w:basedOn w:val="Normal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3">
    <w:name w:val="List Bullet 3"/>
    <w:basedOn w:val="Normal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4">
    <w:name w:val="List Bullet 4"/>
    <w:basedOn w:val="Normal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5">
    <w:name w:val="List Bullet 5"/>
    <w:basedOn w:val="Normal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Bullet6">
    <w:name w:val="List Bullet 6"/>
    <w:basedOn w:val="Normal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Bullet7">
    <w:name w:val="List Bullet 7"/>
    <w:basedOn w:val="Normal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Bullet8">
    <w:name w:val="List Bullet 8"/>
    <w:basedOn w:val="Normal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">
    <w:name w:val="List Dash"/>
    <w:basedOn w:val="Normal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1">
    <w:name w:val="List Dash 1"/>
    <w:basedOn w:val="Normal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2">
    <w:name w:val="List Dash 2"/>
    <w:basedOn w:val="Normal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3">
    <w:name w:val="List Dash 3"/>
    <w:basedOn w:val="Normal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4">
    <w:name w:val="List Dash 4"/>
    <w:basedOn w:val="Normal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5">
    <w:name w:val="List Dash 5"/>
    <w:basedOn w:val="Normal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6">
    <w:name w:val="List Dash 6"/>
    <w:basedOn w:val="Normal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7">
    <w:name w:val="List Dash 7"/>
    <w:basedOn w:val="Normal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8">
    <w:name w:val="List Dash 8"/>
    <w:basedOn w:val="Normal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">
    <w:name w:val="List Number"/>
    <w:basedOn w:val="Normal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1">
    <w:name w:val="List Number 1"/>
    <w:basedOn w:val="Normal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2">
    <w:name w:val="List Number 2"/>
    <w:basedOn w:val="Normal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3">
    <w:name w:val="List Number 3"/>
    <w:basedOn w:val="Normal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4">
    <w:name w:val="List Number 4"/>
    <w:basedOn w:val="Normal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5">
    <w:name w:val="List Number 5"/>
    <w:basedOn w:val="Normal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6">
    <w:name w:val="List Number 6"/>
    <w:basedOn w:val="Normal"/>
    <w:pPr>
      <w:numPr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7">
    <w:name w:val="List Number 7"/>
    <w:basedOn w:val="Normal"/>
    <w:pPr>
      <w:numPr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8">
    <w:name w:val="List Number 8"/>
    <w:basedOn w:val="Normal"/>
    <w:pPr>
      <w:numPr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Level2">
    <w:name w:val="List Number (Level 2)"/>
    <w:basedOn w:val="Normal"/>
    <w:pPr>
      <w:numPr>
        <w:ilvl w:val="1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1Level2">
    <w:name w:val="List Number 1 (Level 2)"/>
    <w:basedOn w:val="Normal"/>
    <w:pPr>
      <w:numPr>
        <w:ilvl w:val="1"/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2Level2">
    <w:name w:val="List Number 2 (Level 2)"/>
    <w:basedOn w:val="Normal"/>
    <w:pPr>
      <w:numPr>
        <w:ilvl w:val="1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3Level2">
    <w:name w:val="List Number 3 (Level 2)"/>
    <w:basedOn w:val="Normal"/>
    <w:pPr>
      <w:numPr>
        <w:ilvl w:val="1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4Level2">
    <w:name w:val="List Number 4 (Level 2)"/>
    <w:basedOn w:val="Normal"/>
    <w:pPr>
      <w:numPr>
        <w:ilvl w:val="1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5Level2">
    <w:name w:val="List Number 5 (Level 2)"/>
    <w:basedOn w:val="Normal"/>
    <w:pPr>
      <w:numPr>
        <w:ilvl w:val="1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6Level2">
    <w:name w:val="List Number 6 (Level 2)"/>
    <w:basedOn w:val="Normal"/>
    <w:pPr>
      <w:numPr>
        <w:ilvl w:val="1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7Level2">
    <w:name w:val="List Number 7 (Level 2)"/>
    <w:basedOn w:val="Normal"/>
    <w:pPr>
      <w:numPr>
        <w:ilvl w:val="1"/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8Level2">
    <w:name w:val="List Number 8 (Level 2)"/>
    <w:basedOn w:val="Normal"/>
    <w:pPr>
      <w:numPr>
        <w:ilvl w:val="1"/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Level3">
    <w:name w:val="List Number (Level 3)"/>
    <w:basedOn w:val="Normal"/>
    <w:pPr>
      <w:numPr>
        <w:ilvl w:val="2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1Level3">
    <w:name w:val="List Number 1 (Level 3)"/>
    <w:basedOn w:val="Normal"/>
    <w:pPr>
      <w:numPr>
        <w:ilvl w:val="2"/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2Level3">
    <w:name w:val="List Number 2 (Level 3)"/>
    <w:basedOn w:val="Normal"/>
    <w:pPr>
      <w:numPr>
        <w:ilvl w:val="2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3Level3">
    <w:name w:val="List Number 3 (Level 3)"/>
    <w:basedOn w:val="Normal"/>
    <w:pPr>
      <w:numPr>
        <w:ilvl w:val="2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4Level3">
    <w:name w:val="List Number 4 (Level 3)"/>
    <w:basedOn w:val="Normal"/>
    <w:pPr>
      <w:numPr>
        <w:ilvl w:val="2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5Level3">
    <w:name w:val="List Number 5 (Level 3)"/>
    <w:basedOn w:val="Normal"/>
    <w:pPr>
      <w:numPr>
        <w:ilvl w:val="2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6Level3">
    <w:name w:val="List Number 6 (Level 3)"/>
    <w:basedOn w:val="Normal"/>
    <w:pPr>
      <w:numPr>
        <w:ilvl w:val="2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7Level3">
    <w:name w:val="List Number 7 (Level 3)"/>
    <w:basedOn w:val="Normal"/>
    <w:pPr>
      <w:numPr>
        <w:ilvl w:val="2"/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8Level3">
    <w:name w:val="List Number 8 (Level 3)"/>
    <w:basedOn w:val="Normal"/>
    <w:pPr>
      <w:numPr>
        <w:ilvl w:val="2"/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Level4">
    <w:name w:val="List Number (Level 4)"/>
    <w:basedOn w:val="Normal"/>
    <w:pPr>
      <w:numPr>
        <w:ilvl w:val="3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1Level4">
    <w:name w:val="List Number 1 (Level 4)"/>
    <w:basedOn w:val="Normal"/>
    <w:pPr>
      <w:numPr>
        <w:ilvl w:val="3"/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2Level4">
    <w:name w:val="List Number 2 (Level 4)"/>
    <w:basedOn w:val="Normal"/>
    <w:pPr>
      <w:numPr>
        <w:ilvl w:val="3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3Level4">
    <w:name w:val="List Number 3 (Level 4)"/>
    <w:basedOn w:val="Normal"/>
    <w:pPr>
      <w:numPr>
        <w:ilvl w:val="3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4Level4">
    <w:name w:val="List Number 4 (Level 4)"/>
    <w:basedOn w:val="Normal"/>
    <w:pPr>
      <w:numPr>
        <w:ilvl w:val="3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5Level4">
    <w:name w:val="List Number 5 (Level 4)"/>
    <w:basedOn w:val="Normal"/>
    <w:pPr>
      <w:numPr>
        <w:ilvl w:val="3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6Level4">
    <w:name w:val="List Number 6 (Level 4)"/>
    <w:basedOn w:val="Normal"/>
    <w:pPr>
      <w:numPr>
        <w:ilvl w:val="3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7Level4">
    <w:name w:val="List Number 7 (Level 4)"/>
    <w:basedOn w:val="Normal"/>
    <w:pPr>
      <w:numPr>
        <w:ilvl w:val="3"/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8Level4">
    <w:name w:val="List Number 8 (Level 4)"/>
    <w:basedOn w:val="Normal"/>
    <w:pPr>
      <w:numPr>
        <w:ilvl w:val="3"/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/>
      <w:caps/>
      <w:sz w:val="24"/>
      <w:szCs w:val="20"/>
      <w:lang w:eastAsia="en-US" w:bidi="ar-SA"/>
    </w:rPr>
  </w:style>
  <w:style w:type="table" w:styleId="LightShading">
    <w:name w:val="Light Shading"/>
    <w:basedOn w:val="TableNormal"/>
    <w:uiPriority w:val="60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ulletpoint">
    <w:name w:val="Bullet point"/>
    <w:basedOn w:val="Normal"/>
    <w:qFormat/>
    <w:pPr>
      <w:numPr>
        <w:numId w:val="3"/>
      </w:numPr>
      <w:tabs>
        <w:tab w:val="clear" w:pos="851"/>
        <w:tab w:val="num" w:pos="360"/>
        <w:tab w:val="left" w:pos="794"/>
        <w:tab w:val="left" w:pos="1191"/>
      </w:tabs>
      <w:spacing w:after="120" w:line="240" w:lineRule="auto"/>
      <w:ind w:left="0" w:firstLine="794"/>
      <w:jc w:val="both"/>
    </w:pPr>
    <w:rPr>
      <w:rFonts w:ascii="Times New Roman" w:eastAsia="Times New Roman" w:hAnsi="Times New Roman"/>
      <w:noProof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BodyText">
    <w:name w:val="Body Text"/>
    <w:basedOn w:val="Normal"/>
    <w:link w:val="BodyTextChar"/>
    <w:semiHidden/>
    <w:pPr>
      <w:shd w:val="clear" w:color="auto" w:fill="FFFFFF"/>
      <w:spacing w:line="224" w:lineRule="atLeast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hAnsi="Arial" w:cs="Arial"/>
      <w:b/>
      <w:bCs/>
      <w:sz w:val="24"/>
      <w:szCs w:val="24"/>
      <w:shd w:val="clear" w:color="auto" w:fill="FFFFFF"/>
      <w:lang w:eastAsia="hu-H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Theme="minorHAnsi" w:eastAsiaTheme="minorHAnsi" w:hAnsiTheme="minorHAnsi" w:cstheme="minorBidi"/>
      <w:sz w:val="22"/>
      <w:szCs w:val="22"/>
      <w:lang w:eastAsia="hu-HU"/>
    </w:rPr>
  </w:style>
  <w:style w:type="character" w:customStyle="1" w:styleId="tgc">
    <w:name w:val="_tgc"/>
    <w:basedOn w:val="DefaultParagraphFont"/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 w:line="240" w:lineRule="auto"/>
      <w:ind w:left="1440" w:right="720" w:hanging="1440"/>
      <w:jc w:val="both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9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6E74-D721-4894-AB91-3ED86BE0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COT.DOTM</Template>
  <TotalTime>25</TotalTime>
  <Pages>4</Pages>
  <Words>913</Words>
  <Characters>6796</Characters>
  <Application>Microsoft Office Word</Application>
  <DocSecurity>0</DocSecurity>
  <Lines>99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7672</CharactersWithSpaces>
  <SharedDoc>false</SharedDoc>
  <HLinks>
    <vt:vector size="330" baseType="variant">
      <vt:variant>
        <vt:i4>7602294</vt:i4>
      </vt:variant>
      <vt:variant>
        <vt:i4>318</vt:i4>
      </vt:variant>
      <vt:variant>
        <vt:i4>0</vt:i4>
      </vt:variant>
      <vt:variant>
        <vt:i4>5</vt:i4>
      </vt:variant>
      <vt:variant>
        <vt:lpwstr>http://www.dutchsecuritisation.nl/documentation</vt:lpwstr>
      </vt:variant>
      <vt:variant>
        <vt:lpwstr/>
      </vt:variant>
      <vt:variant>
        <vt:i4>1507396</vt:i4>
      </vt:variant>
      <vt:variant>
        <vt:i4>315</vt:i4>
      </vt:variant>
      <vt:variant>
        <vt:i4>0</vt:i4>
      </vt:variant>
      <vt:variant>
        <vt:i4>5</vt:i4>
      </vt:variant>
      <vt:variant>
        <vt:lpwstr>http://www.dutchsecuritisation.nl/investor-reporting</vt:lpwstr>
      </vt:variant>
      <vt:variant>
        <vt:lpwstr/>
      </vt:variant>
      <vt:variant>
        <vt:i4>1900597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_Toc421891915</vt:lpwstr>
      </vt:variant>
      <vt:variant>
        <vt:i4>1900597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_Toc421891914</vt:lpwstr>
      </vt:variant>
      <vt:variant>
        <vt:i4>1900597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_Toc421891913</vt:lpwstr>
      </vt:variant>
      <vt:variant>
        <vt:i4>1900597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_Toc421891912</vt:lpwstr>
      </vt:variant>
      <vt:variant>
        <vt:i4>1900597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_Toc421891911</vt:lpwstr>
      </vt:variant>
      <vt:variant>
        <vt:i4>1900597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_Toc421891910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_Toc421891909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_Toc421891908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_Toc421891907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_Toc421891906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_Toc421891905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_Toc421891904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_Toc421891903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_Toc421891902</vt:lpwstr>
      </vt:variant>
      <vt:variant>
        <vt:i4>1835061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_Toc421891901</vt:lpwstr>
      </vt:variant>
      <vt:variant>
        <vt:i4>1835061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_Toc421891900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_Toc421891899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_Toc421891898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_Toc421891897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_Toc421891896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_Toc421891895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_Toc421891894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_Toc421891893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_Toc421891892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_Toc421891891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_Toc421891890</vt:lpwstr>
      </vt:variant>
      <vt:variant>
        <vt:i4>1310772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_Toc421891889</vt:lpwstr>
      </vt:variant>
      <vt:variant>
        <vt:i4>1310772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_Toc421891888</vt:lpwstr>
      </vt:variant>
      <vt:variant>
        <vt:i4>1310772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_Toc421891887</vt:lpwstr>
      </vt:variant>
      <vt:variant>
        <vt:i4>1310772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_Toc421891886</vt:lpwstr>
      </vt:variant>
      <vt:variant>
        <vt:i4>1310772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_Toc421891885</vt:lpwstr>
      </vt:variant>
      <vt:variant>
        <vt:i4>1310772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_Toc421891884</vt:lpwstr>
      </vt:variant>
      <vt:variant>
        <vt:i4>1310772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_Toc421891883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_Toc421891882</vt:lpwstr>
      </vt:variant>
      <vt:variant>
        <vt:i4>1310772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_Toc421891881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_Toc421891880</vt:lpwstr>
      </vt:variant>
      <vt:variant>
        <vt:i4>1769524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_Toc421891879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_Toc421891878</vt:lpwstr>
      </vt:variant>
      <vt:variant>
        <vt:i4>1769524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_Toc421891877</vt:lpwstr>
      </vt:variant>
      <vt:variant>
        <vt:i4>1769524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_Toc421891876</vt:lpwstr>
      </vt:variant>
      <vt:variant>
        <vt:i4>1769524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_Toc421891875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_Toc421891874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_Toc421891873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_Toc421891872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_Toc421891871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_Toc421891870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_Toc421891869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_Toc421891868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_Toc421891867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_Toc421891866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_Toc421891865</vt:lpwstr>
      </vt:variant>
      <vt:variant>
        <vt:i4>3866627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http://ec.europa.eu/finance/insurance/docs/solvency/solvency2/delegated/141010-impact-assessment_en.pdf</vt:lpwstr>
      </vt:variant>
      <vt:variant>
        <vt:lpwstr/>
      </vt:variant>
      <vt:variant>
        <vt:i4>1703952</vt:i4>
      </vt:variant>
      <vt:variant>
        <vt:i4>0</vt:i4>
      </vt:variant>
      <vt:variant>
        <vt:i4>0</vt:i4>
      </vt:variant>
      <vt:variant>
        <vt:i4>5</vt:i4>
      </vt:variant>
      <vt:variant>
        <vt:lpwstr>http://www.bis.org/bcbs/publ/d304.pdf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19</cp:revision>
  <cp:lastPrinted>2015-06-16T13:11:00Z</cp:lastPrinted>
  <dcterms:created xsi:type="dcterms:W3CDTF">2015-09-21T12:18:00Z</dcterms:created>
  <dcterms:modified xsi:type="dcterms:W3CDTF">2015-10-09T12:47:00Z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Classification">
    <vt:lpwstr> </vt:lpwstr>
  </property>
  <property fmtid="{D5CDD505-2E9C-101B-9397-08002B2CF9AE}" pid="6" name="ELDocType">
    <vt:lpwstr>COT.DOT</vt:lpwstr>
  </property>
  <property fmtid="{D5CDD505-2E9C-101B-9397-08002B2CF9AE}" pid="7" name="Created using">
    <vt:lpwstr>3.0</vt:lpwstr>
  </property>
  <property fmtid="{D5CDD505-2E9C-101B-9397-08002B2CF9AE}" pid="8" name="Last edited using">
    <vt:lpwstr>EL </vt:lpwstr>
  </property>
  <property fmtid="{D5CDD505-2E9C-101B-9397-08002B2CF9AE}" pid="9" name="Formatting">
    <vt:lpwstr>4.1</vt:lpwstr>
  </property>
  <property name="OP_sanitized" fmtid="{D5CDD505-2E9C-101B-9397-08002B2CF9AE}" pid="10">
    <vt:lpwstr>True</vt:lpwstr>
  </property>
</Properties>
</file>