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E3AE789F867400788EC90F96123CEF9" style="width:450pt;height:366.2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INDOKOLÁS</w:t>
      </w:r>
    </w:p>
    <w:p>
      <w:pPr>
        <w:pStyle w:val="ManualHeading1"/>
        <w:rPr>
          <w:noProof/>
        </w:rPr>
      </w:pPr>
      <w:r>
        <w:rPr>
          <w:noProof/>
        </w:rPr>
        <w:t>1.</w:t>
      </w:r>
      <w:r>
        <w:rPr>
          <w:noProof/>
        </w:rPr>
        <w:tab/>
        <w:t>A JAVASLAT HÁTTERE</w:t>
      </w:r>
    </w:p>
    <w:p>
      <w:pPr>
        <w:pStyle w:val="ManualHeading2"/>
        <w:rPr>
          <w:rFonts w:eastAsia="Arial Unicode MS"/>
          <w:noProof/>
        </w:rPr>
      </w:pPr>
      <w:r>
        <w:rPr>
          <w:noProof/>
          <w:color w:val="000000"/>
          <w:u w:color="000000"/>
          <w:bdr w:val="nil"/>
        </w:rPr>
        <w:t>•</w:t>
      </w:r>
      <w:r>
        <w:rPr>
          <w:noProof/>
        </w:rPr>
        <w:tab/>
        <w:t>A javaslat indokai és céljai</w:t>
      </w:r>
    </w:p>
    <w:p>
      <w:pPr>
        <w:rPr>
          <w:noProof/>
        </w:rPr>
      </w:pPr>
      <w:r>
        <w:rPr>
          <w:noProof/>
        </w:rPr>
        <w:t>A közös hozzáadottértékadó-rendszerről szóló, 2006. november 28-i 2006/112/EK irányelv</w:t>
      </w:r>
      <w:r>
        <w:rPr>
          <w:rStyle w:val="FootnoteReference"/>
          <w:noProof/>
        </w:rPr>
        <w:footnoteReference w:id="1"/>
      </w:r>
      <w:r>
        <w:rPr>
          <w:noProof/>
        </w:rPr>
        <w:t xml:space="preserve"> 395. cikkének (1) bekezdése értelmében a Tanács a Bizottság javaslata alapján bármely tagállamot egyhangúlag felhatalmazhatja arra, hogy az irányelvben foglaltaktól eltérő különös intézkedéseket alkalmazzon az adókivetésre vonatkozó eljárás egyszerűsítése vagy az adócsalás és -kikerülés egyes típusainak megelőzése érdekében.</w:t>
      </w:r>
    </w:p>
    <w:p>
      <w:pPr>
        <w:rPr>
          <w:noProof/>
        </w:rPr>
      </w:pPr>
      <w:r>
        <w:rPr>
          <w:noProof/>
        </w:rPr>
        <w:t>A Bizottság által 2015. március 19-én, illetve 2015. március 16-án iktatott levélben Ausztria, illetve Németország felhatalmazást kért a 2006/112/EK irányelv 168. és 168a. cikkétől eltérő intézkedés alkalmazásának folytatására. Ezen intézkedés kizárja a héalevonási jogból azokat az árukat és szolgáltatásokat, amelyeket több mint 90 %-ban vállalkozásidegen célokra használnak.</w:t>
      </w:r>
    </w:p>
    <w:p>
      <w:pPr>
        <w:rPr>
          <w:noProof/>
        </w:rPr>
      </w:pPr>
      <w:r>
        <w:rPr>
          <w:noProof/>
        </w:rPr>
        <w:t>A 2006/112/EK irányelv 395. cikke (2) bekezdésének megfelelően a Bizottság 2015. szeptember 15-én kelt levelében tájékoztatta a többi tagállamot Ausztria és Németország kérelméről. A Bizottság 2015. szeptember 17-én kelt levelében értesítette Ausztriát és Németországot arról, hogy kérelem elbírálásához szükséges valamennyi információ a birtokában van.</w:t>
      </w:r>
    </w:p>
    <w:p>
      <w:pPr>
        <w:rPr>
          <w:noProof/>
        </w:rPr>
      </w:pPr>
      <w:r>
        <w:rPr>
          <w:noProof/>
        </w:rPr>
        <w:t xml:space="preserve">A 2006/112/EK irányelv 168. cikke előírja, hogy az adóalany jogosult levonni az adóköteles tevékenységeinek céljából történt beszerzésekre kivetett héát. A 2006/112/EK irányelv 168a. cikkének (1) bekezdése előírja, hogy egy adóalany vállalkozásának vagyonát képező, az adóalany által a vállalkozási tevékenység céljára és attól eltérő célra egyaránt használt ingatlan esetében az ezen ingatlannal kapcsolatos ráfordítások héája csak a vállalkozási tevékenység céljára való használat arányában vonható le. A 2006/112/EK irányelv 168a. cikkének (2) bekezdése értelmében a tagállamok e szabályt olyan egyéb termékekhez kapcsolódó ráfordítások héájára is alkalmazhatják, amelyek meghatározásuk szerint a vállalkozás vagyonának részét képezik. </w:t>
      </w:r>
    </w:p>
    <w:p>
      <w:pPr>
        <w:rPr>
          <w:noProof/>
        </w:rPr>
      </w:pPr>
      <w:r>
        <w:rPr>
          <w:noProof/>
        </w:rPr>
        <w:t>Az Ausztria és Németország által alkalmazott intézkedés azonban eltér ezektől az alapelvektől, mivel teljes egészében kizárja a levonási jogból azon áruk és szolgáltatások héáját, amelyeket az adóalanyok több mint 90 %-ban magáncélra vagy vállalkozásidegen célokra használnak, ideértve a nem gazdasági tevékenységeket is.</w:t>
      </w:r>
    </w:p>
    <w:p>
      <w:pPr>
        <w:rPr>
          <w:noProof/>
        </w:rPr>
      </w:pPr>
      <w:r>
        <w:rPr>
          <w:noProof/>
        </w:rPr>
        <w:t>Ausztriára vonatkozóan az eltérő intézkedést eredetileg a 2004. december 13-i 2004/866/EK tanácsi határozat</w:t>
      </w:r>
      <w:r>
        <w:rPr>
          <w:rStyle w:val="FootnoteReference"/>
          <w:noProof/>
        </w:rPr>
        <w:footnoteReference w:id="2"/>
      </w:r>
      <w:r>
        <w:rPr>
          <w:noProof/>
        </w:rPr>
        <w:t xml:space="preserve"> engedélyezte, 2009. december 31-ig, majd a 2009. december 22-i 2009/1013/EU tanácsi végrehajtási határozat</w:t>
      </w:r>
      <w:r>
        <w:rPr>
          <w:rStyle w:val="FootnoteReference"/>
          <w:noProof/>
        </w:rPr>
        <w:footnoteReference w:id="3"/>
      </w:r>
      <w:r>
        <w:rPr>
          <w:noProof/>
        </w:rPr>
        <w:t xml:space="preserve"> 2012. december 31-ig ismét engedélyezte, mely időbeli hatályt ezt követően a 2012. november 13-i 2012/705/EU tanácsi végrehajtási határozat</w:t>
      </w:r>
      <w:r>
        <w:rPr>
          <w:rStyle w:val="FootnoteReference"/>
          <w:noProof/>
        </w:rPr>
        <w:footnoteReference w:id="4"/>
      </w:r>
      <w:r>
        <w:rPr>
          <w:noProof/>
        </w:rPr>
        <w:t xml:space="preserve"> 2015. december 31-re módosította.</w:t>
      </w:r>
    </w:p>
    <w:p>
      <w:pPr>
        <w:rPr>
          <w:noProof/>
        </w:rPr>
      </w:pPr>
      <w:r>
        <w:rPr>
          <w:noProof/>
        </w:rPr>
        <w:t>Németországra vonatkozóan az eltérő intézkedést eredetileg a 2003. május 13-i 2003/354/EK tanácsi határozat</w:t>
      </w:r>
      <w:r>
        <w:rPr>
          <w:rStyle w:val="FootnoteReference"/>
          <w:noProof/>
        </w:rPr>
        <w:footnoteReference w:id="5"/>
      </w:r>
      <w:r>
        <w:rPr>
          <w:noProof/>
        </w:rPr>
        <w:t xml:space="preserve"> engedélyezte, 2004. június 30-ig, majd a 2004. november 19-i 2004/817/EK </w:t>
      </w:r>
      <w:r>
        <w:rPr>
          <w:noProof/>
        </w:rPr>
        <w:lastRenderedPageBreak/>
        <w:t>tanácsi határozat</w:t>
      </w:r>
      <w:r>
        <w:rPr>
          <w:rStyle w:val="FootnoteReference"/>
          <w:noProof/>
        </w:rPr>
        <w:footnoteReference w:id="6"/>
      </w:r>
      <w:r>
        <w:rPr>
          <w:noProof/>
        </w:rPr>
        <w:t xml:space="preserve"> 2009. december 31-ig ismét engedélyezte, mely időbeli hatályt ezt követően a 2012. november 13-i 2012/705/EU tanácsi végrehajtási határozat</w:t>
      </w:r>
      <w:r>
        <w:rPr>
          <w:rStyle w:val="FootnoteReference"/>
          <w:noProof/>
        </w:rPr>
        <w:footnoteReference w:id="7"/>
      </w:r>
      <w:r>
        <w:rPr>
          <w:noProof/>
        </w:rPr>
        <w:t xml:space="preserve"> 2015. december 31-re módosította.</w:t>
      </w:r>
    </w:p>
    <w:p>
      <w:pPr>
        <w:rPr>
          <w:noProof/>
        </w:rPr>
      </w:pPr>
      <w:r>
        <w:rPr>
          <w:noProof/>
        </w:rPr>
        <w:t>Mostani kérelmeikben Ausztria és Németország arról tájékoztatták a Bizottságot, hogy e különös intézkedés eddigi alkalmazása során azt tapasztalták, hogy az intézkedés igen hasznos a héabeszedés egyszerűsítése és az adócsalás és adókikerülés megelőzése tekintetében.</w:t>
      </w:r>
    </w:p>
    <w:p>
      <w:pPr>
        <w:rPr>
          <w:noProof/>
        </w:rPr>
      </w:pPr>
      <w:r>
        <w:rPr>
          <w:noProof/>
        </w:rPr>
        <w:t xml:space="preserve">Az eltérések engedélyezése – a különös intézkedés megfelelőségének és hatékonyságának megítélése érdekében – általában korlátozott időre szól. E tekintetben a Bizottság – az Ausztriától, illetve Németországtól kapott információk alapján – úgy véli, hogy az üzleti és nem üzleti célú használat közötti, 10 % / 90 %-os megosztás továbbra is szilárd alapot jelent azon ügyletek kiválogatására, amelyek esetében az üzleti célú használat elhanyagolható. </w:t>
      </w:r>
    </w:p>
    <w:p>
      <w:pPr>
        <w:rPr>
          <w:noProof/>
        </w:rPr>
      </w:pPr>
      <w:r>
        <w:rPr>
          <w:noProof/>
        </w:rPr>
        <w:t>Következésképpen a szóban forgó különös intézkedés mind az adóigazgatások, mind pedig a vállalkozások számára egyszerűsítést jelent, mivel nincs szükség azon áruk és szolgáltatások későbbi használatának ellenőrzésére, amelyek esetében a beszerzés idején érvényben volt a levonási jogból való kizárás, különös tekintettel a magáncélú használatnak a 2006/112/EK irányelv 16. vagy 26. cikkéből eredő, lehetséges megadóztatására, valamint a levonásnak az említett irányelv 184–192. cikke által előírt kiigazításaira. A végső fogyasztás szintjén fizetendő adó összegét mindez csak elhanyagolható mértékben befolyásolja. Ennélfogva az eltérő intézkedés hatályát helyénvaló meghosszabbítani.</w:t>
      </w:r>
    </w:p>
    <w:p>
      <w:pPr>
        <w:rPr>
          <w:noProof/>
        </w:rPr>
      </w:pPr>
      <w:r>
        <w:rPr>
          <w:noProof/>
        </w:rPr>
        <w:t>Az időbeli hatály meghosszabbítását ugyanakkor indokolt időben korlátozni, lehetővé téve ezáltal annak értékelését, hogy az eltérés alapjául szolgáló feltételek továbbra is fennállnak-e. Ezért a Bizottság az eltérések 2018 végéig történő meghosszabbítását javasolja, valamint annak előírását, hogy amennyiben Ausztria és Németország egy 2018 utánra vonatkozó, további hosszabbítást tervez, úgy a hosszabbítás iránti kérelemmel együtt legkésőbb 2018. április 1-jéig jelentést kell előterjesztenie, csatolva hozzá többek között az üzleti és a nem üzleti célú használat közötti, a levonási jogból való kizárás alapjául szolgáló felosztás felülvizsgálatát.</w:t>
      </w:r>
    </w:p>
    <w:p>
      <w:pPr>
        <w:pStyle w:val="ManualHeading2"/>
        <w:rPr>
          <w:rFonts w:eastAsia="Arial Unicode MS"/>
          <w:noProof/>
        </w:rPr>
      </w:pPr>
      <w:r>
        <w:rPr>
          <w:noProof/>
          <w:color w:val="000000"/>
          <w:u w:color="000000"/>
          <w:bdr w:val="nil"/>
        </w:rPr>
        <w:t>•</w:t>
      </w:r>
      <w:r>
        <w:rPr>
          <w:noProof/>
        </w:rPr>
        <w:tab/>
        <w:t>A javaslatnak a szabályozási terület jelenlegi rendelkezéseivel való összhangja</w:t>
      </w:r>
    </w:p>
    <w:p>
      <w:pPr>
        <w:rPr>
          <w:noProof/>
        </w:rPr>
      </w:pPr>
      <w:r>
        <w:rPr>
          <w:noProof/>
        </w:rPr>
        <w:t>A 2006/112/EK irányelv 176. cikke értelmében a Tanács állapítja meg, mely kiadások nem jogosítanak a héa levonására. Addig pedig felhatalmazza a tagállamokat az 1979. január 1-jén hatályban lévő kivételek fenntartására. Emiatt számos „standstill” rendelkezés létezik, amely korlátozza a héalevonás jogát.</w:t>
      </w:r>
    </w:p>
    <w:p>
      <w:pPr>
        <w:pStyle w:val="ManualHeading1"/>
        <w:rPr>
          <w:noProof/>
        </w:rPr>
      </w:pPr>
      <w:r>
        <w:rPr>
          <w:noProof/>
        </w:rPr>
        <w:t>2.</w:t>
      </w:r>
      <w:r>
        <w:rPr>
          <w:noProof/>
        </w:rPr>
        <w:tab/>
        <w:t>JOGALAP, SZUBSZIDIARITÁS ÉS ARÁNYOSSÁG</w:t>
      </w:r>
    </w:p>
    <w:p>
      <w:pPr>
        <w:pStyle w:val="ManualHeading2"/>
        <w:rPr>
          <w:rFonts w:eastAsia="Arial Unicode MS"/>
          <w:noProof/>
          <w:u w:color="000000"/>
          <w:bdr w:val="nil"/>
        </w:rPr>
      </w:pPr>
      <w:r>
        <w:rPr>
          <w:noProof/>
        </w:rPr>
        <w:t>•</w:t>
      </w:r>
      <w:r>
        <w:rPr>
          <w:noProof/>
        </w:rPr>
        <w:tab/>
        <w:t>Jogalap</w:t>
      </w:r>
    </w:p>
    <w:p>
      <w:pPr>
        <w:pBdr>
          <w:top w:val="nil"/>
          <w:left w:val="nil"/>
          <w:bottom w:val="nil"/>
          <w:right w:val="nil"/>
          <w:between w:val="nil"/>
          <w:bar w:val="nil"/>
        </w:pBdr>
        <w:spacing w:before="0" w:after="240"/>
        <w:rPr>
          <w:rFonts w:eastAsia="Arial Unicode MS"/>
          <w:noProof/>
        </w:rPr>
      </w:pPr>
      <w:r>
        <w:rPr>
          <w:noProof/>
        </w:rPr>
        <w:t>A közös hozzáadottértékadó-rendszerről szóló, 2006. november 28-i 2006/112/EK tanácsi irányelv 395. cikkének (1) bekezdése.</w:t>
      </w:r>
    </w:p>
    <w:p>
      <w:pPr>
        <w:pStyle w:val="ManualHeading2"/>
        <w:rPr>
          <w:rFonts w:eastAsia="Arial Unicode MS"/>
          <w:noProof/>
          <w:u w:color="000000"/>
          <w:bdr w:val="nil"/>
        </w:rPr>
      </w:pPr>
      <w:r>
        <w:rPr>
          <w:noProof/>
        </w:rPr>
        <w:t>•</w:t>
      </w:r>
      <w:r>
        <w:rPr>
          <w:noProof/>
        </w:rPr>
        <w:tab/>
        <w:t xml:space="preserve">Szubszidiaritás (nem kizárólagos hatáskör esetén) </w:t>
      </w:r>
    </w:p>
    <w:p>
      <w:pPr>
        <w:rPr>
          <w:noProof/>
        </w:rPr>
      </w:pPr>
      <w:r>
        <w:rPr>
          <w:noProof/>
        </w:rPr>
        <w:t>A javaslat az Unió kizárólagos hatáskörébe tartozik, ezért a szubszidiaritás elve nem alkalmazható.</w:t>
      </w:r>
    </w:p>
    <w:p>
      <w:pPr>
        <w:pStyle w:val="ManualHeading2"/>
        <w:rPr>
          <w:rFonts w:eastAsia="Arial Unicode MS"/>
          <w:noProof/>
          <w:u w:color="000000"/>
          <w:bdr w:val="nil"/>
        </w:rPr>
      </w:pPr>
      <w:r>
        <w:rPr>
          <w:noProof/>
        </w:rPr>
        <w:lastRenderedPageBreak/>
        <w:t>•</w:t>
      </w:r>
      <w:r>
        <w:rPr>
          <w:noProof/>
        </w:rPr>
        <w:tab/>
        <w:t>Arányosság</w:t>
      </w:r>
    </w:p>
    <w:p>
      <w:pPr>
        <w:rPr>
          <w:noProof/>
        </w:rPr>
      </w:pPr>
      <w:r>
        <w:rPr>
          <w:noProof/>
        </w:rPr>
        <w:t>A javaslat megfelel az arányosság elvének a következők miatt:</w:t>
      </w:r>
    </w:p>
    <w:p>
      <w:pPr>
        <w:rPr>
          <w:noProof/>
        </w:rPr>
      </w:pPr>
      <w:r>
        <w:rPr>
          <w:noProof/>
        </w:rPr>
        <w:t>E határozat tárgya felhatalmazás nyújtása tagállamok számára azok saját kérelmére, és nem jelent semmilyen kötelezettséget.</w:t>
      </w:r>
    </w:p>
    <w:p>
      <w:pPr>
        <w:rPr>
          <w:noProof/>
        </w:rPr>
      </w:pPr>
      <w:r>
        <w:rPr>
          <w:noProof/>
        </w:rPr>
        <w:t>Tekintettel arra, hogy az eltérés alkalmazási köre korlátozott, a különös intézkedés arányban áll a kitűzött céllal.</w:t>
      </w:r>
    </w:p>
    <w:p>
      <w:pPr>
        <w:pStyle w:val="ManualHeading2"/>
        <w:rPr>
          <w:rFonts w:eastAsia="Arial Unicode MS"/>
          <w:noProof/>
          <w:u w:color="000000"/>
          <w:bdr w:val="nil"/>
        </w:rPr>
      </w:pPr>
      <w:r>
        <w:rPr>
          <w:noProof/>
        </w:rPr>
        <w:t>•</w:t>
      </w:r>
      <w:r>
        <w:rPr>
          <w:noProof/>
        </w:rPr>
        <w:tab/>
        <w:t>A jogi aktus típusának megválasztása</w:t>
      </w:r>
    </w:p>
    <w:p>
      <w:pPr>
        <w:rPr>
          <w:noProof/>
        </w:rPr>
      </w:pPr>
      <w:r>
        <w:rPr>
          <w:noProof/>
        </w:rPr>
        <w:t>Javasolt aktus: tanácsi végrehajtási határozat.</w:t>
      </w:r>
    </w:p>
    <w:p>
      <w:pPr>
        <w:rPr>
          <w:noProof/>
        </w:rPr>
      </w:pPr>
      <w:r>
        <w:rPr>
          <w:noProof/>
        </w:rPr>
        <w:t>Más jogi aktus nem felelne meg a következők miatt:</w:t>
      </w:r>
    </w:p>
    <w:p>
      <w:pPr>
        <w:pBdr>
          <w:top w:val="nil"/>
          <w:left w:val="nil"/>
          <w:bottom w:val="nil"/>
          <w:right w:val="nil"/>
          <w:between w:val="nil"/>
          <w:bar w:val="nil"/>
        </w:pBdr>
        <w:spacing w:before="0" w:after="240"/>
        <w:rPr>
          <w:rFonts w:eastAsia="Arial Unicode MS"/>
          <w:noProof/>
        </w:rPr>
      </w:pPr>
      <w:r>
        <w:rPr>
          <w:noProof/>
        </w:rPr>
        <w:t>A 2006/112/EK irányelv 395. cikke értelmében a hozzáadottérték-adóra vonatkozó közös szabályoktól kizárólag abban az esetben lehet eltérni, ha arra a Tanács a Bizottság javaslata alapján egyhangúlag felhatalmazást ad. A tanácsi végrehajtási határozat az egyetlen megfelelő eszköz, mert az egy-egy tagállamnak is címezhető.</w:t>
      </w:r>
    </w:p>
    <w:p>
      <w:pPr>
        <w:pStyle w:val="ManualHeading1"/>
        <w:rPr>
          <w:noProof/>
        </w:rPr>
      </w:pPr>
      <w:r>
        <w:rPr>
          <w:noProof/>
        </w:rPr>
        <w:t>3.</w:t>
      </w:r>
      <w:r>
        <w:rPr>
          <w:noProof/>
        </w:rPr>
        <w:tab/>
        <w:t>AZ UTÓLAGOS ÉRTÉKELÉSEK, AZ ÉRDEKELT FELEKKEL FOLYTATOTT KONZULTÁCIÓK ÉS A HATÁSVIZSGÁLATOK EREDMÉNYEI</w:t>
      </w:r>
    </w:p>
    <w:p>
      <w:pPr>
        <w:pStyle w:val="ManualHeading2"/>
        <w:rPr>
          <w:rFonts w:eastAsia="Arial Unicode MS"/>
          <w:noProof/>
          <w:u w:color="000000"/>
          <w:bdr w:val="nil"/>
        </w:rPr>
      </w:pPr>
      <w:r>
        <w:rPr>
          <w:noProof/>
        </w:rPr>
        <w:t>•</w:t>
      </w:r>
      <w:r>
        <w:rPr>
          <w:noProof/>
        </w:rPr>
        <w:tab/>
        <w:t>Az érdekelt felekkel folytatott konzultációk</w:t>
      </w:r>
    </w:p>
    <w:p>
      <w:pPr>
        <w:rPr>
          <w:noProof/>
        </w:rPr>
      </w:pPr>
      <w:r>
        <w:rPr>
          <w:noProof/>
        </w:rPr>
        <w:t>Nem releváns.</w:t>
      </w:r>
    </w:p>
    <w:p>
      <w:pPr>
        <w:pStyle w:val="ManualHeading2"/>
        <w:rPr>
          <w:rFonts w:eastAsia="Arial Unicode MS"/>
          <w:noProof/>
          <w:u w:color="000000"/>
          <w:bdr w:val="nil"/>
        </w:rPr>
      </w:pPr>
      <w:r>
        <w:rPr>
          <w:noProof/>
        </w:rPr>
        <w:t>•</w:t>
      </w:r>
      <w:r>
        <w:rPr>
          <w:noProof/>
        </w:rPr>
        <w:tab/>
        <w:t>Szakértői vélemények beszerzése és felhasználása</w:t>
      </w:r>
    </w:p>
    <w:p>
      <w:pPr>
        <w:rPr>
          <w:noProof/>
        </w:rPr>
      </w:pPr>
      <w:r>
        <w:rPr>
          <w:noProof/>
        </w:rPr>
        <w:t>Külső szakértők bevonására nem volt szükség.</w:t>
      </w:r>
    </w:p>
    <w:p>
      <w:pPr>
        <w:pStyle w:val="ManualHeading2"/>
        <w:rPr>
          <w:rFonts w:eastAsia="Arial Unicode MS"/>
          <w:noProof/>
          <w:u w:color="000000"/>
          <w:bdr w:val="nil"/>
        </w:rPr>
      </w:pPr>
      <w:r>
        <w:rPr>
          <w:noProof/>
        </w:rPr>
        <w:t>•</w:t>
      </w:r>
      <w:r>
        <w:rPr>
          <w:noProof/>
        </w:rPr>
        <w:tab/>
        <w:t>Hatásvizsgálat</w:t>
      </w:r>
    </w:p>
    <w:p>
      <w:pPr>
        <w:rPr>
          <w:noProof/>
        </w:rPr>
      </w:pPr>
      <w:r>
        <w:rPr>
          <w:noProof/>
        </w:rPr>
        <w:t>A javaslat célja az adókivetésre vonatkozó eljárás egyszerűsítése, emiatt pedig kedvező hatással lehet mind a vállalkozásokra, mind a közigazgatásra. Ausztria és Németország megfelelő intézkedésnek ítélte ezt a megoldást, mely más múltbeli és jelenlegi eltérésekhez hasonlítható.</w:t>
      </w:r>
    </w:p>
    <w:p>
      <w:pPr>
        <w:pStyle w:val="ManualHeading1"/>
        <w:rPr>
          <w:noProof/>
        </w:rPr>
      </w:pPr>
      <w:r>
        <w:rPr>
          <w:noProof/>
        </w:rPr>
        <w:t>4.</w:t>
      </w:r>
      <w:r>
        <w:rPr>
          <w:noProof/>
        </w:rPr>
        <w:tab/>
        <w:t>KÖLTSÉGVETÉSI VONZATOK</w:t>
      </w:r>
    </w:p>
    <w:p>
      <w:pPr>
        <w:rPr>
          <w:noProof/>
        </w:rPr>
      </w:pPr>
      <w:r>
        <w:rPr>
          <w:noProof/>
        </w:rPr>
        <w:t>A javaslat nem érinti hátrányosan az Unió héából származó saját forrásait.</w:t>
      </w:r>
    </w:p>
    <w:p>
      <w:pPr>
        <w:pStyle w:val="ManualHeading1"/>
        <w:rPr>
          <w:noProof/>
        </w:rPr>
      </w:pPr>
      <w:r>
        <w:rPr>
          <w:noProof/>
        </w:rPr>
        <w:t>5.</w:t>
      </w:r>
      <w:r>
        <w:rPr>
          <w:noProof/>
        </w:rPr>
        <w:tab/>
        <w:t>EGYÉB ELEMEK</w:t>
      </w:r>
    </w:p>
    <w:p>
      <w:pPr>
        <w:pBdr>
          <w:top w:val="nil"/>
          <w:left w:val="nil"/>
          <w:bottom w:val="nil"/>
          <w:right w:val="nil"/>
          <w:between w:val="nil"/>
          <w:bar w:val="nil"/>
        </w:pBdr>
        <w:spacing w:before="0" w:after="240"/>
        <w:rPr>
          <w:noProof/>
        </w:rPr>
      </w:pPr>
      <w:r>
        <w:rPr>
          <w:noProof/>
        </w:rPr>
        <w:t>A javaslat felülvizsgálatra és hatályvesztésre vonatkozó rendelkezést tartalmaz.</w:t>
      </w:r>
    </w:p>
    <w:p>
      <w:pPr>
        <w:pBdr>
          <w:top w:val="nil"/>
          <w:left w:val="nil"/>
          <w:bottom w:val="nil"/>
          <w:right w:val="nil"/>
          <w:between w:val="nil"/>
          <w:bar w:val="nil"/>
        </w:pBdr>
        <w:spacing w:before="0" w:after="240"/>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2015/0242 (NLE)</w:t>
      </w:r>
    </w:p>
    <w:p>
      <w:pPr>
        <w:pStyle w:val="Statut"/>
        <w:rPr>
          <w:noProof/>
        </w:rPr>
      </w:pPr>
      <w:r>
        <w:rPr>
          <w:noProof/>
        </w:rPr>
        <w:t>Javaslat</w:t>
      </w:r>
    </w:p>
    <w:p>
      <w:pPr>
        <w:pStyle w:val="Typedudocument"/>
        <w:rPr>
          <w:noProof/>
        </w:rPr>
      </w:pPr>
      <w:r>
        <w:rPr>
          <w:noProof/>
        </w:rPr>
        <w:t>A TANÁCS VÉGREHAJTÁSI HATÁROZATA</w:t>
      </w:r>
    </w:p>
    <w:p>
      <w:pPr>
        <w:pStyle w:val="Titreobjet"/>
        <w:rPr>
          <w:noProof/>
        </w:rPr>
      </w:pPr>
      <w:r>
        <w:rPr>
          <w:noProof/>
        </w:rPr>
        <w:t>a Németországnak, illetve Ausztriának a közös hozzáadottértékadó-rendszerről szóló 2006/112/EK irányelv 168. és 168a. cikkétől eltérő intézkedés alkalmazására történő felhatalmazásáról szóló 2009/791/EK, illetve 2009/1013/EU határozat módosításáról</w:t>
      </w:r>
    </w:p>
    <w:p>
      <w:pPr>
        <w:pStyle w:val="Institutionquiagit"/>
        <w:rPr>
          <w:noProof/>
        </w:rPr>
      </w:pPr>
      <w:r>
        <w:rPr>
          <w:noProof/>
        </w:rPr>
        <w:t>AZ EURÓPAI UNIÓ TANÁCSA,</w:t>
      </w:r>
    </w:p>
    <w:p>
      <w:pPr>
        <w:rPr>
          <w:noProof/>
        </w:rPr>
      </w:pPr>
      <w:r>
        <w:rPr>
          <w:noProof/>
        </w:rPr>
        <w:t>tekintettel az Európai Unió működéséről szóló szerződésre,</w:t>
      </w:r>
    </w:p>
    <w:p>
      <w:pPr>
        <w:rPr>
          <w:noProof/>
        </w:rPr>
      </w:pPr>
      <w:r>
        <w:rPr>
          <w:noProof/>
        </w:rPr>
        <w:t>tekintettel a közös hozzáadottértékadó-rendszerről szóló, 2006. november 28-i 2006/112/EK tanácsi irányelvre</w:t>
      </w:r>
      <w:r>
        <w:rPr>
          <w:rStyle w:val="FootnoteReference"/>
          <w:noProof/>
        </w:rPr>
        <w:footnoteReference w:id="8"/>
      </w:r>
      <w:r>
        <w:rPr>
          <w:noProof/>
        </w:rPr>
        <w:t xml:space="preserve"> és különösen annak 395. cikke (1) bekezdésére,</w:t>
      </w:r>
    </w:p>
    <w:p>
      <w:pPr>
        <w:rPr>
          <w:noProof/>
        </w:rPr>
      </w:pPr>
      <w:r>
        <w:rPr>
          <w:noProof/>
        </w:rPr>
        <w:t>tekintettel az Európai Bizottság javaslatára,</w:t>
      </w:r>
    </w:p>
    <w:p>
      <w:pPr>
        <w:rPr>
          <w:noProof/>
        </w:rPr>
      </w:pPr>
      <w:r>
        <w:rPr>
          <w:noProof/>
        </w:rPr>
        <w:t>mivel:</w:t>
      </w:r>
    </w:p>
    <w:p>
      <w:pPr>
        <w:pStyle w:val="ManualConsidrant"/>
        <w:rPr>
          <w:noProof/>
        </w:rPr>
      </w:pPr>
      <w:r>
        <w:t>(1)</w:t>
      </w:r>
      <w:r>
        <w:tab/>
      </w:r>
      <w:r>
        <w:rPr>
          <w:noProof/>
        </w:rPr>
        <w:t>A 2009/791/EK</w:t>
      </w:r>
      <w:r>
        <w:rPr>
          <w:rStyle w:val="FootnoteReference"/>
          <w:noProof/>
        </w:rPr>
        <w:footnoteReference w:id="9"/>
      </w:r>
      <w:r>
        <w:rPr>
          <w:noProof/>
        </w:rPr>
        <w:t>, illetve a 2009/1013/EU</w:t>
      </w:r>
      <w:r>
        <w:rPr>
          <w:rStyle w:val="FootnoteReference"/>
          <w:noProof/>
        </w:rPr>
        <w:footnoteReference w:id="10"/>
      </w:r>
      <w:r>
        <w:rPr>
          <w:noProof/>
        </w:rPr>
        <w:t xml:space="preserve"> határozat eltérő intézkedés alkalmazására hatalmazta fel Németországot, illetve Ausztriát. Az intézkedés alkalmazásának időbeli hatályát a 2012/705/EU tanácsi végrehajtási határozat</w:t>
      </w:r>
      <w:r>
        <w:rPr>
          <w:rStyle w:val="FootnoteReference"/>
          <w:noProof/>
        </w:rPr>
        <w:footnoteReference w:id="11"/>
      </w:r>
      <w:r>
        <w:rPr>
          <w:noProof/>
        </w:rPr>
        <w:t xml:space="preserve"> 2015. december 31-ig meghosszabbította.</w:t>
      </w:r>
    </w:p>
    <w:p>
      <w:pPr>
        <w:pStyle w:val="ManualConsidrant"/>
        <w:rPr>
          <w:noProof/>
        </w:rPr>
      </w:pPr>
      <w:r>
        <w:t>(2)</w:t>
      </w:r>
      <w:r>
        <w:tab/>
      </w:r>
      <w:r>
        <w:rPr>
          <w:noProof/>
        </w:rPr>
        <w:t>A különös intézkedés eltér a 2006/112/EK irányelv 168. és 168a. cikkétől, amelyek az adóalany által az adóköteles tevékenységéhez felhasznált áruk és szolgáltatások után felszámított héával kapcsolatos levonási jogot szabályozzák. Az eltérő intézkedés célja az, hogy teljes mértékben kivonja a héalevonási jog hatálya alól azon árukat és szolgáltatásokat, amelyeket az adóalany 90%-ot meghaladó mértékben saját személyes céljaira, alkalmazottai céljaira vagy általában  vállalkozásidegen vagy nem gazdasági tevékenységekre használ fel.</w:t>
      </w:r>
    </w:p>
    <w:p>
      <w:pPr>
        <w:pStyle w:val="ManualConsidrant"/>
        <w:rPr>
          <w:noProof/>
        </w:rPr>
      </w:pPr>
      <w:r>
        <w:t>(3)</w:t>
      </w:r>
      <w:r>
        <w:tab/>
      </w:r>
      <w:r>
        <w:rPr>
          <w:noProof/>
        </w:rPr>
        <w:t>Az Európai Unió Bírósága ítélkezési gyakorlatának figyelembevétele érdekében, amely szerint az adóalany költségeire előzetesen felszámított héa nem jogosíthat adólevonásra, ha olyan tevékenységekhez kapcsolódik, amelyek nem gazdasági jellegüknél fogva nem tartoznak a 2006/112/EK irányelv hatálya alá, indokolt megjegyezni, hogy a különös intézkedések hatálya a nem gazdasági tevékenységeknél használt árukra és szolgáltatásokra is kiterjed.</w:t>
      </w:r>
    </w:p>
    <w:p>
      <w:pPr>
        <w:pStyle w:val="ManualConsidrant"/>
        <w:rPr>
          <w:noProof/>
        </w:rPr>
      </w:pPr>
      <w:r>
        <w:lastRenderedPageBreak/>
        <w:t>(4)</w:t>
      </w:r>
      <w:r>
        <w:tab/>
      </w:r>
      <w:r>
        <w:rPr>
          <w:noProof/>
        </w:rPr>
        <w:t>A különös intézkedés célja a héakivetési és -beszedési eljárás egyszerűsítése. A végső fogyasztás szintjén fizetendő adó összegét mindez csak elhanyagolható mértékben befolyásolja.</w:t>
      </w:r>
    </w:p>
    <w:p>
      <w:pPr>
        <w:pStyle w:val="ManualConsidrant"/>
        <w:rPr>
          <w:noProof/>
        </w:rPr>
      </w:pPr>
      <w:r>
        <w:t>(5)</w:t>
      </w:r>
      <w:r>
        <w:tab/>
      </w:r>
      <w:r>
        <w:rPr>
          <w:noProof/>
        </w:rPr>
        <w:t xml:space="preserve">A Bizottság által 2015. március 16-án, illetve 2015. március 19-én iktatott levélben Németország, illetve Ausztria felhatalmazást kért a különös intézkedés alkalmazásának folytatására. </w:t>
      </w:r>
    </w:p>
    <w:p>
      <w:pPr>
        <w:pStyle w:val="ManualConsidrant"/>
        <w:rPr>
          <w:noProof/>
        </w:rPr>
      </w:pPr>
      <w:r>
        <w:t>(6)</w:t>
      </w:r>
      <w:r>
        <w:tab/>
      </w:r>
      <w:r>
        <w:rPr>
          <w:noProof/>
        </w:rPr>
        <w:t>A 2006/112/EK irányelv 395. cikke (2) bekezdése második albekezdésének megfelelően a Bizottság 2015. szeptember 15-én kelt levelében tájékoztatta a többi tagállamot Ausztria és Németország kérelméről. A Bizottság 2015. szeptember 17-én kelt levelében értesítette Ausztriát és Németországot, hogy a kérelem elbírálásához szükséges valamennyi információ a birtokában van.</w:t>
      </w:r>
    </w:p>
    <w:p>
      <w:pPr>
        <w:pStyle w:val="ManualConsidrant"/>
        <w:rPr>
          <w:noProof/>
        </w:rPr>
      </w:pPr>
      <w:r>
        <w:t>(7)</w:t>
      </w:r>
      <w:r>
        <w:tab/>
      </w:r>
      <w:r>
        <w:rPr>
          <w:noProof/>
        </w:rPr>
        <w:t>Az Ausztria és Németország által szolgáltatott információk alapján a szóban forgó különös intézkedés jelenlegi alkalmazását indokoló jogi helyzet és tényállás nem változott, és továbbra is fennáll. Ezért Németországot és Ausztriát fel kell hatalmazni arra, hogy e különös intézkedést egy további, legfeljebb 2018. december 31-ig tartó korlátozott időszakban alkalmazza, hogy ezáltal lehetőség nyíljon az eltérő intézkedés, valamint az üzleti és nem üzleti célú használat közötti megosztási ráta szükségességének és hatékonyságának felülvizsgálatára.</w:t>
      </w:r>
    </w:p>
    <w:p>
      <w:pPr>
        <w:pStyle w:val="ManualConsidrant"/>
        <w:rPr>
          <w:noProof/>
        </w:rPr>
      </w:pPr>
      <w:r>
        <w:t>(8)</w:t>
      </w:r>
      <w:r>
        <w:tab/>
      </w:r>
      <w:r>
        <w:rPr>
          <w:noProof/>
        </w:rPr>
        <w:t>Amennyiben Ausztria vagy Németország szükségét látja az intézkedés egy további, 2018 utánra vonatkozó meghosszabbításának, a hosszabbítás iránti kérelemmel együtt az intézkedés alkalmazására vonatkozó, az alkalmazott felosztási ráta felülvizsgálatát is tartalmazó jelentést kell a Bizottság elé terjesztenie legkésőbb 2018. március 31-ig annak érdekében, hogy elegendő időt biztosítson egyrészt a Bizottság számára a kérelem megvizsgálására.</w:t>
      </w:r>
    </w:p>
    <w:p>
      <w:pPr>
        <w:pStyle w:val="ManualConsidrant"/>
        <w:rPr>
          <w:noProof/>
        </w:rPr>
      </w:pPr>
      <w:r>
        <w:t>(9)</w:t>
      </w:r>
      <w:r>
        <w:tab/>
      </w:r>
      <w:r>
        <w:rPr>
          <w:noProof/>
        </w:rPr>
        <w:t>Az eltérések a végső fogyasztás szintjén beszedett adó összegét általában véve elhanyagolható mértékben befolyásolják, és nem lesznek negatív hatással az Unió hozzáadottérték-adóból származó saját forrásaira.</w:t>
      </w:r>
    </w:p>
    <w:p>
      <w:pPr>
        <w:pStyle w:val="ManualConsidrant"/>
        <w:rPr>
          <w:noProof/>
        </w:rPr>
      </w:pPr>
      <w:r>
        <w:t>(10)</w:t>
      </w:r>
      <w:r>
        <w:tab/>
      </w:r>
      <w:r>
        <w:rPr>
          <w:noProof/>
        </w:rPr>
        <w:t>A 2009/791/EK és a 2009/1013/EU határozatot ezért ennek megfelelően módosítani kell,</w:t>
      </w:r>
    </w:p>
    <w:p>
      <w:pPr>
        <w:pStyle w:val="Formuledadoption"/>
        <w:rPr>
          <w:noProof/>
        </w:rPr>
      </w:pPr>
      <w:r>
        <w:rPr>
          <w:noProof/>
        </w:rPr>
        <w:t xml:space="preserve">ELFOGADTA EZT A HATÁROZATOT: </w:t>
      </w:r>
    </w:p>
    <w:p>
      <w:pPr>
        <w:pStyle w:val="Titrearticle"/>
        <w:rPr>
          <w:noProof/>
        </w:rPr>
      </w:pPr>
      <w:r>
        <w:rPr>
          <w:noProof/>
        </w:rPr>
        <w:t>1. cikk</w:t>
      </w:r>
    </w:p>
    <w:p>
      <w:pPr>
        <w:rPr>
          <w:noProof/>
        </w:rPr>
      </w:pPr>
      <w:r>
        <w:rPr>
          <w:noProof/>
        </w:rPr>
        <w:t>A 2009/791/EK határozat 1. és 2. cikkének helyébe a következő szöveg lép:</w:t>
      </w:r>
    </w:p>
    <w:p>
      <w:pPr>
        <w:rPr>
          <w:noProof/>
        </w:rPr>
      </w:pPr>
      <w:r>
        <w:rPr>
          <w:noProof/>
        </w:rPr>
        <w:t>„1. cikk</w:t>
      </w:r>
    </w:p>
    <w:p>
      <w:pPr>
        <w:rPr>
          <w:noProof/>
        </w:rPr>
      </w:pPr>
      <w:r>
        <w:rPr>
          <w:noProof/>
        </w:rPr>
        <w:t>A 2006/112/EK irányelv 168. és 168a. cikkétől eltérve Németországot a Tanács felhatalmazza arra, hogy kizárja az adólevonási jogot az azon áruk és szolgáltatások után fizetett hozzáadottérték-adó (héa) vonatkozásában, amelyeket 90 %-ot meghaladó mértékben az adóalany vagy alkalmazottai saját személyes szükségleteinek kielégítésére, vagy általában vállalkozásidegen célokra vagy nem gazdasági tevékenységekre használnak fel.</w:t>
      </w:r>
    </w:p>
    <w:p>
      <w:pPr>
        <w:rPr>
          <w:noProof/>
        </w:rPr>
      </w:pPr>
      <w:r>
        <w:rPr>
          <w:noProof/>
        </w:rPr>
        <w:t>2. cikk</w:t>
      </w:r>
    </w:p>
    <w:p>
      <w:pPr>
        <w:rPr>
          <w:noProof/>
        </w:rPr>
      </w:pPr>
      <w:r>
        <w:rPr>
          <w:noProof/>
        </w:rPr>
        <w:t>Ez a határozat 2018. december 31-én hatályát veszti.</w:t>
      </w:r>
    </w:p>
    <w:p>
      <w:pPr>
        <w:rPr>
          <w:noProof/>
        </w:rPr>
      </w:pPr>
      <w:r>
        <w:rPr>
          <w:noProof/>
        </w:rPr>
        <w:t>Az e határozatban említett különös intézkedés időbeli hatályának meghosszabbítására vonatkozó esetleges kérelmet legkésőbb 2018. március 31-ig kell benyújtani a Bizottsághoz.</w:t>
      </w:r>
    </w:p>
    <w:p>
      <w:pPr>
        <w:rPr>
          <w:noProof/>
        </w:rPr>
      </w:pPr>
      <w:r>
        <w:rPr>
          <w:noProof/>
        </w:rPr>
        <w:lastRenderedPageBreak/>
        <w:t>A kérelemhez mellékelni kell egy jelentést, amely magában foglalja a héa levonására vonatkozó jog tekintetében az e határozatban foglaltak alapján alkalmazott felosztási ráta értékelését.”</w:t>
      </w:r>
    </w:p>
    <w:p>
      <w:pPr>
        <w:pStyle w:val="Titrearticle"/>
        <w:rPr>
          <w:noProof/>
        </w:rPr>
      </w:pPr>
      <w:r>
        <w:rPr>
          <w:noProof/>
        </w:rPr>
        <w:t>2. cikk</w:t>
      </w:r>
    </w:p>
    <w:p>
      <w:pPr>
        <w:keepNext/>
        <w:keepLines/>
        <w:rPr>
          <w:noProof/>
        </w:rPr>
      </w:pPr>
      <w:r>
        <w:rPr>
          <w:noProof/>
        </w:rPr>
        <w:t>A 2009/1013/EU határozat 1. és 2. cikkének helyébe a következő szöveg lép:</w:t>
      </w:r>
    </w:p>
    <w:p>
      <w:pPr>
        <w:keepNext/>
        <w:keepLines/>
        <w:rPr>
          <w:noProof/>
        </w:rPr>
      </w:pPr>
      <w:r>
        <w:rPr>
          <w:noProof/>
        </w:rPr>
        <w:t>„1. cikk</w:t>
      </w:r>
    </w:p>
    <w:p>
      <w:pPr>
        <w:keepNext/>
        <w:keepLines/>
        <w:rPr>
          <w:noProof/>
        </w:rPr>
      </w:pPr>
      <w:r>
        <w:rPr>
          <w:noProof/>
        </w:rPr>
        <w:t>A 2006/112/EK irányelv 168. és 168a. cikkétől eltérve Ausztriát a Tanács felhatalmazza arra, hogy kizárja az adólevonási jogot azon áruk és szolgáltatások után fizetett hozzáadottérték-adó (héa) vonatkozásában, amelyeket 90 %-ot meghaladó mértékben az adóalany vagy alkalmazottai saját személyes szükségleteinek kielégítésére, vagy általában vállalkozásidegen célokra vagy nem gazdasági tevékenységekre használnak fel.</w:t>
      </w:r>
    </w:p>
    <w:p>
      <w:pPr>
        <w:keepNext/>
        <w:keepLines/>
        <w:rPr>
          <w:noProof/>
        </w:rPr>
      </w:pPr>
      <w:r>
        <w:rPr>
          <w:noProof/>
        </w:rPr>
        <w:t>2. cikk</w:t>
      </w:r>
    </w:p>
    <w:p>
      <w:pPr>
        <w:keepNext/>
        <w:keepLines/>
        <w:rPr>
          <w:noProof/>
        </w:rPr>
      </w:pPr>
      <w:r>
        <w:rPr>
          <w:noProof/>
        </w:rPr>
        <w:t>Ez a határozat 2018. december 31-én hatályát veszti.</w:t>
      </w:r>
    </w:p>
    <w:p>
      <w:pPr>
        <w:keepNext/>
        <w:keepLines/>
        <w:rPr>
          <w:noProof/>
        </w:rPr>
      </w:pPr>
      <w:r>
        <w:rPr>
          <w:noProof/>
        </w:rPr>
        <w:t>Az e határozatban említett különös intézkedés időbeli hatályának meghosszabbítására vonatkozó esetleges kérelmet legkésőbb 2018. március 31-ig kell benyújtani a Bizottsághoz.</w:t>
      </w:r>
    </w:p>
    <w:p>
      <w:pPr>
        <w:keepNext/>
        <w:keepLines/>
        <w:rPr>
          <w:noProof/>
        </w:rPr>
      </w:pPr>
      <w:r>
        <w:rPr>
          <w:noProof/>
        </w:rPr>
        <w:t>A kérelemhez mellékelni kell egy jelentést, amely magában foglalja a héa levonására vonatkozó jog tekintetében az e határozatban foglaltak alapján alkalmazott felosztási ráta értékelését.”</w:t>
      </w:r>
    </w:p>
    <w:p>
      <w:pPr>
        <w:pStyle w:val="Titrearticle"/>
        <w:rPr>
          <w:noProof/>
        </w:rPr>
      </w:pPr>
      <w:r>
        <w:rPr>
          <w:noProof/>
        </w:rPr>
        <w:t>3. cikk</w:t>
      </w:r>
    </w:p>
    <w:p>
      <w:pPr>
        <w:keepNext/>
        <w:keepLines/>
        <w:rPr>
          <w:noProof/>
        </w:rPr>
      </w:pPr>
      <w:r>
        <w:rPr>
          <w:noProof/>
        </w:rPr>
        <w:t>Ezt a határozatot 2016. január 1-jétől kell alkalmazni.</w:t>
      </w:r>
    </w:p>
    <w:p>
      <w:pPr>
        <w:pStyle w:val="Titrearticle"/>
        <w:rPr>
          <w:noProof/>
        </w:rPr>
      </w:pPr>
      <w:r>
        <w:rPr>
          <w:noProof/>
        </w:rPr>
        <w:t>4. cikk</w:t>
      </w:r>
    </w:p>
    <w:p>
      <w:pPr>
        <w:keepNext/>
        <w:keepLines/>
        <w:rPr>
          <w:noProof/>
        </w:rPr>
      </w:pPr>
      <w:r>
        <w:rPr>
          <w:noProof/>
        </w:rPr>
        <w:t>Ennek a határozatnak az Osztrák Köztársaság és a Németországi Szövetségi Köztársaság a címzettje.</w:t>
      </w:r>
    </w:p>
    <w:p>
      <w:pPr>
        <w:pStyle w:val="Fait"/>
        <w:rPr>
          <w:noProof/>
        </w:rPr>
      </w:pPr>
      <w:r>
        <w:rPr>
          <w:noProof/>
        </w:rPr>
        <w:t>Kelt Brüsszelben, -án/-én.</w:t>
      </w:r>
    </w:p>
    <w:p>
      <w:pPr>
        <w:pStyle w:val="Institutionquisigne"/>
        <w:rPr>
          <w:noProof/>
        </w:rPr>
      </w:pPr>
      <w:r>
        <w:rPr>
          <w:noProof/>
        </w:rPr>
        <w:tab/>
        <w:t>a Tanács részéről</w:t>
      </w:r>
    </w:p>
    <w:p>
      <w:pPr>
        <w:pStyle w:val="Personnequisigne"/>
        <w:rPr>
          <w:noProof/>
        </w:rPr>
      </w:pPr>
      <w:r>
        <w:rPr>
          <w:noProof/>
        </w:rPr>
        <w:tab/>
        <w:t>az elnök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HL L 347., 2006.12.11., 1. o.</w:t>
      </w:r>
    </w:p>
  </w:footnote>
  <w:footnote w:id="2">
    <w:p>
      <w:pPr>
        <w:pStyle w:val="FootnoteText"/>
        <w:rPr>
          <w:lang w:val="pt-PT"/>
        </w:rPr>
      </w:pPr>
      <w:r>
        <w:rPr>
          <w:rStyle w:val="FootnoteReference"/>
        </w:rPr>
        <w:footnoteRef/>
      </w:r>
      <w:r>
        <w:rPr>
          <w:lang w:val="pt-PT"/>
        </w:rPr>
        <w:tab/>
        <w:t>HL L 371., 2004.12.18., 47. o.</w:t>
      </w:r>
    </w:p>
  </w:footnote>
  <w:footnote w:id="3">
    <w:p>
      <w:pPr>
        <w:pStyle w:val="FootnoteText"/>
        <w:rPr>
          <w:lang w:val="pt-PT"/>
        </w:rPr>
      </w:pPr>
      <w:r>
        <w:rPr>
          <w:rStyle w:val="FootnoteReference"/>
        </w:rPr>
        <w:footnoteRef/>
      </w:r>
      <w:r>
        <w:rPr>
          <w:lang w:val="pt-PT"/>
        </w:rPr>
        <w:tab/>
        <w:t>HL L 348., 2009.12.29., 21. o.</w:t>
      </w:r>
    </w:p>
  </w:footnote>
  <w:footnote w:id="4">
    <w:p>
      <w:pPr>
        <w:pStyle w:val="FootnoteText"/>
        <w:rPr>
          <w:lang w:val="pt-PT"/>
        </w:rPr>
      </w:pPr>
      <w:r>
        <w:rPr>
          <w:rStyle w:val="FootnoteReference"/>
        </w:rPr>
        <w:footnoteRef/>
      </w:r>
      <w:r>
        <w:rPr>
          <w:lang w:val="pt-PT"/>
        </w:rPr>
        <w:tab/>
        <w:t>HL L 319., 2012.11.16., 8. o.</w:t>
      </w:r>
    </w:p>
  </w:footnote>
  <w:footnote w:id="5">
    <w:p>
      <w:pPr>
        <w:pStyle w:val="FootnoteText"/>
        <w:rPr>
          <w:lang w:val="pt-PT"/>
        </w:rPr>
      </w:pPr>
      <w:r>
        <w:rPr>
          <w:rStyle w:val="FootnoteReference"/>
        </w:rPr>
        <w:footnoteRef/>
      </w:r>
      <w:r>
        <w:rPr>
          <w:lang w:val="pt-PT"/>
        </w:rPr>
        <w:tab/>
        <w:t>HL L 123., 2003.5.17., 47. o.</w:t>
      </w:r>
    </w:p>
  </w:footnote>
  <w:footnote w:id="6">
    <w:p>
      <w:pPr>
        <w:pStyle w:val="FootnoteText"/>
        <w:rPr>
          <w:lang w:val="pt-PT"/>
        </w:rPr>
      </w:pPr>
      <w:r>
        <w:rPr>
          <w:rStyle w:val="FootnoteReference"/>
        </w:rPr>
        <w:footnoteRef/>
      </w:r>
      <w:r>
        <w:rPr>
          <w:lang w:val="pt-PT"/>
        </w:rPr>
        <w:tab/>
        <w:t>HL L 357., 2004.12.2., 33. o.</w:t>
      </w:r>
    </w:p>
  </w:footnote>
  <w:footnote w:id="7">
    <w:p>
      <w:pPr>
        <w:pStyle w:val="FootnoteText"/>
        <w:rPr>
          <w:lang w:val="pt-PT"/>
        </w:rPr>
      </w:pPr>
      <w:r>
        <w:rPr>
          <w:rStyle w:val="FootnoteReference"/>
        </w:rPr>
        <w:footnoteRef/>
      </w:r>
      <w:r>
        <w:rPr>
          <w:lang w:val="pt-PT"/>
        </w:rPr>
        <w:tab/>
        <w:t>HL L 283., 2009.10.30., 55. o.</w:t>
      </w:r>
    </w:p>
  </w:footnote>
  <w:footnote w:id="8">
    <w:p>
      <w:pPr>
        <w:pStyle w:val="FootnoteText"/>
        <w:rPr>
          <w:lang w:val="pt-PT"/>
        </w:rPr>
      </w:pPr>
      <w:r>
        <w:rPr>
          <w:rStyle w:val="FootnoteReference"/>
        </w:rPr>
        <w:footnoteRef/>
      </w:r>
      <w:r>
        <w:rPr>
          <w:lang w:val="pt-PT"/>
        </w:rPr>
        <w:tab/>
        <w:t>HL L 347., 2006.12.11., 1. o.</w:t>
      </w:r>
    </w:p>
  </w:footnote>
  <w:footnote w:id="9">
    <w:p>
      <w:pPr>
        <w:pStyle w:val="FootnoteText"/>
        <w:rPr>
          <w:lang w:val="pt-PT"/>
        </w:rPr>
      </w:pPr>
      <w:r>
        <w:rPr>
          <w:rStyle w:val="FootnoteReference"/>
        </w:rPr>
        <w:footnoteRef/>
      </w:r>
      <w:r>
        <w:rPr>
          <w:lang w:val="pt-PT"/>
        </w:rPr>
        <w:tab/>
        <w:t>A Tanács 2009. október 20-i 2009/791/EK határozata a Németországi Szövetségi Köztársaságnak a közös hozzáadottértékadó-rendszerről szóló 2006/112/EK irányelv 168. cikkétől eltérő intézkedés alkalmazására történő felhatalmazásáról (HL L 283., 2009.10.30., 55. o.).</w:t>
      </w:r>
    </w:p>
  </w:footnote>
  <w:footnote w:id="10">
    <w:p>
      <w:pPr>
        <w:pStyle w:val="FootnoteText"/>
        <w:rPr>
          <w:lang w:val="pt-PT"/>
        </w:rPr>
      </w:pPr>
      <w:r>
        <w:rPr>
          <w:rStyle w:val="FootnoteReference"/>
        </w:rPr>
        <w:footnoteRef/>
      </w:r>
      <w:r>
        <w:rPr>
          <w:lang w:val="pt-PT"/>
        </w:rPr>
        <w:tab/>
        <w:t>A Tanács 2009. december 22-i 2009/1013/EU végrehajtási határozata az Osztrák Köztársaságnak a közös hozzáadottértékadó-rendszerről szóló 2006/112/EK irányelv 168. cikkétől eltérő intézkedés alkalmazásának folytatására történő felhatalmazásáról (HL L 348., 2009.12.29., 21. o.).</w:t>
      </w:r>
    </w:p>
  </w:footnote>
  <w:footnote w:id="11">
    <w:p>
      <w:pPr>
        <w:pStyle w:val="FootnoteText"/>
        <w:rPr>
          <w:lang w:val="pt-PT"/>
        </w:rPr>
      </w:pPr>
      <w:r>
        <w:rPr>
          <w:rStyle w:val="FootnoteReference"/>
        </w:rPr>
        <w:footnoteRef/>
      </w:r>
      <w:r>
        <w:rPr>
          <w:lang w:val="pt-PT"/>
        </w:rPr>
        <w:tab/>
        <w:t>A Tanács 2012. november 13-i 2012/705/EU végrehajtási határozata a Németországnak, illetve Ausztriának a közös hozzáadottértékadó-rendszerről szóló 2006/112/EK irányelv 168. és 168a. cikkétől eltérő intézkedés alkalmazására történő felhatalmazásáról szóló 2009/791/EK határozat, illetve 2009/1013/EU végrehajtási határozat módosításáról (HL L 319., 2012.11.16., 8. 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9 08:00:3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E3AE789F867400788EC90F96123CEF9"/>
    <w:docVar w:name="LW_CROSSREFERENCE" w:val="&lt;UNUSED&gt;"/>
    <w:docVar w:name="LW_DocType" w:val="COM"/>
    <w:docVar w:name="LW_EMISSION" w:val="2015.10.21."/>
    <w:docVar w:name="LW_EMISSION_ISODATE" w:val="2015-10-21"/>
    <w:docVar w:name="LW_EMISSION_LOCATION" w:val="BRX"/>
    <w:docVar w:name="LW_EMISSION_PREFIX" w:val="Brüsszel,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HU"/>
    <w:docVar w:name="LW_MARKING" w:val="&lt;UNUSED&gt;"/>
    <w:docVar w:name="LW_NOM.INST" w:val="EURÓPAI BIZOTTSÁG"/>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Javaslat"/>
    <w:docVar w:name="LW_SUPERTITRE" w:val="&lt;UNUSED&gt;"/>
    <w:docVar w:name="LW_TITRE.OBJ.CP" w:val="a Németországnak, illetve Ausztriának a közös hozzáadottértékadó-rendszerr\u337?l szóló 2006/112/EK irányelv 168. és 168a. cikkét\u337?l eltér\u337? intézkedés alkalmazására történ\u337? felhatalmazásáról szóló 2009/791/EK, illetve 2009/1013/EU határozat módosításáról"/>
    <w:docVar w:name="LW_TYPE.DOC.CP" w:val="A TANÁCS VÉGREHAJTÁSI HATÁROZA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7</Pages>
  <Words>1671</Words>
  <Characters>11719</Characters>
  <Application>Microsoft Office Word</Application>
  <DocSecurity>0</DocSecurity>
  <Lines>209</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2015-09-25T09:30:00Z</cp:lastPrinted>
  <dcterms:created xsi:type="dcterms:W3CDTF">2015-10-15T15:25:00Z</dcterms:created>
  <dcterms:modified xsi:type="dcterms:W3CDTF">2015-10-19T06:00:00Z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