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D3F" w:rsidRDefault="00895A04">
      <w:pPr>
        <w:pStyle w:val="Pagedecouverture"/>
        <w:rPr>
          <w:noProof/>
        </w:rPr>
      </w:pPr>
      <w:bookmarkStart w:id="0" w:name="LW_BM_COVERPAGE"/>
      <w:bookmarkStart w:id="1" w:name="_GoBack"/>
      <w:bookmarkEnd w:id="1"/>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5978444D549E4BE990EDF0AE88379DEB" style="width:450.4pt;height:307.25pt">
            <v:imagedata r:id="rId8" o:title=""/>
          </v:shape>
        </w:pict>
      </w:r>
    </w:p>
    <w:bookmarkEnd w:id="0"/>
    <w:p w:rsidR="000B7D3F" w:rsidRDefault="000B7D3F">
      <w:pPr>
        <w:rPr>
          <w:noProof/>
        </w:rPr>
        <w:sectPr w:rsidR="000B7D3F">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1"/>
          <w:cols w:space="720"/>
          <w:docGrid w:linePitch="360"/>
        </w:sectPr>
      </w:pPr>
    </w:p>
    <w:p w:rsidR="000B7D3F" w:rsidRDefault="00895A04">
      <w:pPr>
        <w:pStyle w:val="Typedudocument"/>
        <w:rPr>
          <w:noProof/>
        </w:rPr>
      </w:pPr>
      <w:r>
        <w:rPr>
          <w:noProof/>
        </w:rPr>
        <w:lastRenderedPageBreak/>
        <w:t>A BIZOTTSÁG JELENTÉSE A TANÁCSNAK ÉS AZ EURÓPAI PARLAMENTNEK</w:t>
      </w:r>
    </w:p>
    <w:p w:rsidR="000B7D3F" w:rsidRDefault="00895A04">
      <w:pPr>
        <w:pStyle w:val="Titreobjet"/>
        <w:rPr>
          <w:noProof/>
        </w:rPr>
      </w:pPr>
      <w:r>
        <w:rPr>
          <w:noProof/>
        </w:rPr>
        <w:t>A 2008. május 21-i 2008/51/EK irányelv</w:t>
      </w:r>
      <w:r>
        <w:rPr>
          <w:noProof/>
        </w:rPr>
        <w:t xml:space="preserve"> által módosított, a fegyverek megszerzésének és tartásának ellenőrzéséről szóló, 1991. június 8-i 91/477/EGK irányelv REFIT-értékelése</w:t>
      </w:r>
    </w:p>
    <w:p w:rsidR="000B7D3F" w:rsidRDefault="000B7D3F">
      <w:pPr>
        <w:rPr>
          <w:noProof/>
        </w:rPr>
      </w:pPr>
    </w:p>
    <w:p w:rsidR="000B7D3F" w:rsidRDefault="000B7D3F">
      <w:pPr>
        <w:rPr>
          <w:noProof/>
        </w:rPr>
        <w:sectPr w:rsidR="000B7D3F">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pgNumType w:start="0"/>
          <w:cols w:space="720"/>
          <w:titlePg/>
          <w:docGrid w:linePitch="360"/>
        </w:sectPr>
      </w:pPr>
    </w:p>
    <w:p w:rsidR="000B7D3F" w:rsidRDefault="000B7D3F">
      <w:pPr>
        <w:rPr>
          <w:noProof/>
        </w:rPr>
      </w:pPr>
    </w:p>
    <w:p w:rsidR="000B7D3F" w:rsidRDefault="00895A04">
      <w:pPr>
        <w:pStyle w:val="Heading1"/>
        <w:rPr>
          <w:rFonts w:ascii="Times New Roman" w:hAnsi="Times New Roman"/>
          <w:noProof/>
          <w:sz w:val="24"/>
          <w:szCs w:val="24"/>
        </w:rPr>
      </w:pPr>
      <w:r>
        <w:rPr>
          <w:rFonts w:ascii="Times New Roman" w:hAnsi="Times New Roman"/>
          <w:noProof/>
          <w:sz w:val="24"/>
        </w:rPr>
        <w:t>1. Bevezetés</w:t>
      </w:r>
    </w:p>
    <w:p w:rsidR="000B7D3F" w:rsidRDefault="00895A04">
      <w:pPr>
        <w:jc w:val="both"/>
        <w:rPr>
          <w:rFonts w:ascii="Times New Roman" w:hAnsi="Times New Roman"/>
          <w:noProof/>
          <w:sz w:val="24"/>
          <w:szCs w:val="24"/>
        </w:rPr>
      </w:pPr>
      <w:r>
        <w:rPr>
          <w:rFonts w:ascii="Times New Roman" w:hAnsi="Times New Roman"/>
          <w:noProof/>
          <w:sz w:val="24"/>
        </w:rPr>
        <w:t xml:space="preserve">(1) A fegyverek megszerzésének és tartásának </w:t>
      </w:r>
      <w:r>
        <w:rPr>
          <w:rFonts w:ascii="Times New Roman" w:hAnsi="Times New Roman"/>
          <w:noProof/>
          <w:sz w:val="24"/>
        </w:rPr>
        <w:t>ellenőrzéséről szóló 91/477/EGK irányelv 1991. június 18-án</w:t>
      </w:r>
      <w:r>
        <w:rPr>
          <w:rStyle w:val="FootnoteReference"/>
          <w:rFonts w:ascii="Times New Roman" w:hAnsi="Times New Roman"/>
          <w:noProof/>
          <w:sz w:val="24"/>
        </w:rPr>
        <w:footnoteReference w:id="1"/>
      </w:r>
      <w:r>
        <w:rPr>
          <w:rFonts w:ascii="Times New Roman" w:hAnsi="Times New Roman"/>
          <w:noProof/>
          <w:sz w:val="24"/>
        </w:rPr>
        <w:t xml:space="preserve"> került elfogadásra; ezt módosította a 2008. május 21-i 2008/51/EK irányelv</w:t>
      </w:r>
      <w:r>
        <w:rPr>
          <w:rStyle w:val="FootnoteReference"/>
          <w:rFonts w:ascii="Times New Roman" w:hAnsi="Times New Roman"/>
          <w:noProof/>
          <w:sz w:val="24"/>
        </w:rPr>
        <w:footnoteReference w:id="2"/>
      </w:r>
      <w:r>
        <w:rPr>
          <w:rFonts w:ascii="Times New Roman" w:hAnsi="Times New Roman"/>
          <w:noProof/>
          <w:sz w:val="24"/>
        </w:rPr>
        <w:t xml:space="preserve"> (a tűzfegyverekről szóló irányelv). </w:t>
      </w:r>
    </w:p>
    <w:p w:rsidR="000B7D3F" w:rsidRDefault="00895A04">
      <w:pPr>
        <w:jc w:val="both"/>
        <w:rPr>
          <w:rFonts w:ascii="Times New Roman" w:hAnsi="Times New Roman"/>
          <w:noProof/>
          <w:sz w:val="24"/>
          <w:szCs w:val="24"/>
        </w:rPr>
      </w:pPr>
      <w:r>
        <w:rPr>
          <w:rFonts w:ascii="Times New Roman" w:hAnsi="Times New Roman"/>
          <w:noProof/>
          <w:sz w:val="24"/>
        </w:rPr>
        <w:t xml:space="preserve">(2) A tűzfegyverekről szóló irányelv 17. cikke úgy rendelkezik, hogy „a Bizottság </w:t>
      </w:r>
      <w:r>
        <w:rPr>
          <w:rFonts w:ascii="Times New Roman" w:hAnsi="Times New Roman"/>
          <w:noProof/>
          <w:sz w:val="24"/>
        </w:rPr>
        <w:t>2015. július 28-ig jelentést és adott esetben ehhez csatolt javaslatokat nyújt be az Európai Parlamentnek és a Tanácsnak az irányelv alkalmazásának eredményeképpen létrejövő helyzetről”. A jelentés elkészítése céljából a Bizottság külső tanácsadók bevonásá</w:t>
      </w:r>
      <w:r>
        <w:rPr>
          <w:rFonts w:ascii="Times New Roman" w:hAnsi="Times New Roman"/>
          <w:noProof/>
          <w:sz w:val="24"/>
        </w:rPr>
        <w:t>val értékelő vizsgálatot indított. A 2014 decemberében</w:t>
      </w:r>
      <w:r>
        <w:rPr>
          <w:rStyle w:val="FootnoteReference"/>
          <w:rFonts w:ascii="Times New Roman" w:hAnsi="Times New Roman"/>
          <w:noProof/>
          <w:sz w:val="24"/>
        </w:rPr>
        <w:footnoteReference w:id="3"/>
      </w:r>
      <w:r>
        <w:rPr>
          <w:rFonts w:ascii="Times New Roman" w:hAnsi="Times New Roman"/>
          <w:noProof/>
          <w:sz w:val="24"/>
        </w:rPr>
        <w:t xml:space="preserve"> befejezett értékelő vizsgálat az irányelv végrehajtásának kiterjedt elemzését, valamint a jogszabály működésének öt alapvető fontosságú kritérium szerinti elemzését tartalmazza. A jelentés a megállapí</w:t>
      </w:r>
      <w:r>
        <w:rPr>
          <w:rFonts w:ascii="Times New Roman" w:hAnsi="Times New Roman"/>
          <w:noProof/>
          <w:sz w:val="24"/>
        </w:rPr>
        <w:t>tások alapján konkrét ajánlásokkal is szolgál vagy a Bizottság, vagy a tagállamok hatóságai, vagy mindkettő részére. Erre az értékelésre a Bizottság célravezető és hatásos szabályozás (REFIT) programjának keretében került sor</w:t>
      </w:r>
      <w:r>
        <w:rPr>
          <w:rStyle w:val="FootnoteReference"/>
          <w:rFonts w:ascii="Times New Roman" w:hAnsi="Times New Roman"/>
          <w:noProof/>
          <w:sz w:val="24"/>
        </w:rPr>
        <w:footnoteReference w:id="4"/>
      </w:r>
      <w:r>
        <w:rPr>
          <w:rFonts w:ascii="Times New Roman" w:hAnsi="Times New Roman"/>
          <w:noProof/>
          <w:sz w:val="24"/>
        </w:rPr>
        <w:t>.</w:t>
      </w:r>
    </w:p>
    <w:p w:rsidR="000B7D3F" w:rsidRDefault="00895A04">
      <w:pPr>
        <w:jc w:val="both"/>
        <w:rPr>
          <w:rFonts w:ascii="Times New Roman" w:hAnsi="Times New Roman"/>
          <w:noProof/>
          <w:sz w:val="24"/>
          <w:szCs w:val="24"/>
        </w:rPr>
      </w:pPr>
      <w:r>
        <w:rPr>
          <w:rFonts w:ascii="Times New Roman" w:hAnsi="Times New Roman"/>
          <w:noProof/>
          <w:sz w:val="24"/>
        </w:rPr>
        <w:t>(3) Az értékelő vizsgálat be</w:t>
      </w:r>
      <w:r>
        <w:rPr>
          <w:rFonts w:ascii="Times New Roman" w:hAnsi="Times New Roman"/>
          <w:noProof/>
          <w:sz w:val="24"/>
        </w:rPr>
        <w:t>fejezésekor a Bizottság felkérte a 28 uniós tagállamot, valamint a négy EGT-</w:t>
      </w:r>
      <w:r>
        <w:rPr>
          <w:rStyle w:val="FootnoteReference"/>
          <w:rFonts w:ascii="Times New Roman" w:hAnsi="Times New Roman"/>
          <w:noProof/>
          <w:sz w:val="24"/>
        </w:rPr>
        <w:footnoteReference w:id="5"/>
      </w:r>
      <w:r>
        <w:rPr>
          <w:rFonts w:ascii="Times New Roman" w:hAnsi="Times New Roman"/>
          <w:noProof/>
          <w:sz w:val="24"/>
        </w:rPr>
        <w:t xml:space="preserve"> és EFTA</w:t>
      </w:r>
      <w:r>
        <w:rPr>
          <w:rStyle w:val="FootnoteReference"/>
          <w:rFonts w:ascii="Times New Roman" w:hAnsi="Times New Roman"/>
          <w:noProof/>
          <w:sz w:val="24"/>
        </w:rPr>
        <w:footnoteReference w:id="6"/>
      </w:r>
      <w:r>
        <w:rPr>
          <w:rFonts w:ascii="Times New Roman" w:hAnsi="Times New Roman"/>
          <w:noProof/>
          <w:sz w:val="24"/>
        </w:rPr>
        <w:t>-országot</w:t>
      </w:r>
      <w:r>
        <w:rPr>
          <w:rStyle w:val="FootnoteReference"/>
          <w:rFonts w:ascii="Times New Roman" w:hAnsi="Times New Roman"/>
          <w:noProof/>
          <w:sz w:val="24"/>
        </w:rPr>
        <w:footnoteReference w:id="7"/>
      </w:r>
      <w:r>
        <w:rPr>
          <w:rFonts w:ascii="Times New Roman" w:hAnsi="Times New Roman"/>
          <w:noProof/>
          <w:sz w:val="24"/>
        </w:rPr>
        <w:t xml:space="preserve"> képviselő, az irányelv 13a. cikke értelmében létrehozott bizottság (Lőfegyverbizottság) tagjait, hogy észrevételezzék és értékeljék a vizsgálat megállapításait</w:t>
      </w:r>
      <w:r>
        <w:rPr>
          <w:rFonts w:ascii="Times New Roman" w:hAnsi="Times New Roman"/>
          <w:noProof/>
          <w:sz w:val="24"/>
        </w:rPr>
        <w:t xml:space="preserve"> és ajánlásait. A bizottság tagjai szóbeli visszajelzéseket adtak a bizottsági üléseken (2014. december 18-án és 2015. március 25-én), amelyeket néhány tagállam (Belgium, Franciaország, Svédország és az Egyesült Királyság) írásban egészített ki.</w:t>
      </w:r>
    </w:p>
    <w:p w:rsidR="000B7D3F" w:rsidRDefault="00895A04">
      <w:pPr>
        <w:jc w:val="both"/>
        <w:rPr>
          <w:rFonts w:ascii="Times New Roman" w:hAnsi="Times New Roman"/>
          <w:noProof/>
          <w:sz w:val="24"/>
          <w:szCs w:val="24"/>
        </w:rPr>
      </w:pPr>
      <w:r>
        <w:rPr>
          <w:rFonts w:ascii="Times New Roman" w:hAnsi="Times New Roman"/>
          <w:noProof/>
          <w:sz w:val="24"/>
        </w:rPr>
        <w:t>(4) Az ért</w:t>
      </w:r>
      <w:r>
        <w:rPr>
          <w:rFonts w:ascii="Times New Roman" w:hAnsi="Times New Roman"/>
          <w:noProof/>
          <w:sz w:val="24"/>
        </w:rPr>
        <w:t xml:space="preserve">ékelő vizsgálatról készült végleges jelentés éppen a 2015. januári párizsi és koppenhágai drámai eseményeket megelőzően jelent meg. E fejlemények rámutattak az EU szintjén jelentkező szorongató biztonsági problémákra. A Lőfegyverbizottság 2015 márciusában </w:t>
      </w:r>
      <w:r>
        <w:rPr>
          <w:rFonts w:ascii="Times New Roman" w:hAnsi="Times New Roman"/>
          <w:noProof/>
          <w:sz w:val="24"/>
        </w:rPr>
        <w:t>tartott ülésén a Bizottság felkérte a tagállamok képviselőit, hogy ne csak a vizsgálat következtetéseit észrevételezzék, hanem a közelmúltbeli drámai események kapcsán a tűzfegyverekről szóló irányelv végrehajtásával kapcsolatos minden egyéb lehetséges pro</w:t>
      </w:r>
      <w:r>
        <w:rPr>
          <w:rFonts w:ascii="Times New Roman" w:hAnsi="Times New Roman"/>
          <w:noProof/>
          <w:sz w:val="24"/>
        </w:rPr>
        <w:t xml:space="preserve">blémát tematizáljanak, amelyeket a tanácsadó nem azonosított. </w:t>
      </w:r>
    </w:p>
    <w:p w:rsidR="000B7D3F" w:rsidRDefault="00895A04">
      <w:pPr>
        <w:jc w:val="both"/>
        <w:rPr>
          <w:rFonts w:ascii="Times New Roman" w:hAnsi="Times New Roman"/>
          <w:noProof/>
          <w:sz w:val="24"/>
          <w:szCs w:val="24"/>
        </w:rPr>
      </w:pPr>
      <w:r>
        <w:rPr>
          <w:rFonts w:ascii="Times New Roman" w:hAnsi="Times New Roman"/>
          <w:noProof/>
          <w:sz w:val="24"/>
        </w:rPr>
        <w:t>(5) E jelentés célja, hogy bemutassa az értékelő vizsgálat megállapításait, az eddig kapott visszajelzésekkel és a Bizottság általi kritikus értékeléssel kiegészítve. A jelentés először a tűzfe</w:t>
      </w:r>
      <w:r>
        <w:rPr>
          <w:rFonts w:ascii="Times New Roman" w:hAnsi="Times New Roman"/>
          <w:noProof/>
          <w:sz w:val="24"/>
        </w:rPr>
        <w:t xml:space="preserve">gyverekről szóló irányelv hátterére és legfontosabb rendelkezéseit foglalja össze. Bemutatja a módszertant, az értékelő vizsgálat eredményeit öt értékelési kritérium mentén (eredményesség, hatékonyság, következetesség, relevancia, uniós hozzáadott érték), </w:t>
      </w:r>
      <w:r>
        <w:rPr>
          <w:rFonts w:ascii="Times New Roman" w:hAnsi="Times New Roman"/>
          <w:noProof/>
          <w:sz w:val="24"/>
        </w:rPr>
        <w:t xml:space="preserve">valamint a megfogalmazott ajánlásokat. A megállapításokhoz kritikus értékelést fűz. Végül jelzi, hogy a Bizottság milyen kezdeményezéseket vehet fontolóra az értékelésben kiemelt és a tagállami visszajelzésekben megerősített problémák megoldása érdekében. </w:t>
      </w:r>
    </w:p>
    <w:p w:rsidR="000B7D3F" w:rsidRDefault="00895A04">
      <w:pPr>
        <w:pStyle w:val="Heading1"/>
        <w:rPr>
          <w:rFonts w:ascii="Times New Roman" w:hAnsi="Times New Roman"/>
          <w:noProof/>
          <w:sz w:val="24"/>
          <w:szCs w:val="24"/>
        </w:rPr>
      </w:pPr>
      <w:r>
        <w:rPr>
          <w:rFonts w:ascii="Times New Roman" w:hAnsi="Times New Roman"/>
          <w:noProof/>
          <w:sz w:val="24"/>
        </w:rPr>
        <w:t>2. Háttér-információk</w:t>
      </w:r>
    </w:p>
    <w:p w:rsidR="000B7D3F" w:rsidRDefault="00895A04">
      <w:pPr>
        <w:jc w:val="both"/>
        <w:rPr>
          <w:rFonts w:ascii="Times New Roman" w:hAnsi="Times New Roman"/>
          <w:noProof/>
          <w:sz w:val="24"/>
          <w:szCs w:val="24"/>
        </w:rPr>
      </w:pPr>
      <w:r>
        <w:rPr>
          <w:rFonts w:ascii="Times New Roman" w:hAnsi="Times New Roman"/>
          <w:noProof/>
          <w:sz w:val="24"/>
        </w:rPr>
        <w:t>(6) A tűzfegyverekről szóló irányelv szabályozza a polgári célú tűzfegyverek (vagyis a sportlövészetre és vadászatra használt tűzfegyverek) megszerzését, tartását és EU-n belüli kereskedelmi adásvételét. Közös minimumszabályokat álla</w:t>
      </w:r>
      <w:r>
        <w:rPr>
          <w:rFonts w:ascii="Times New Roman" w:hAnsi="Times New Roman"/>
          <w:noProof/>
          <w:sz w:val="24"/>
        </w:rPr>
        <w:t>pít meg, amelyeket a tagállamok kötelesek átültetni a fegyverekre vonatkozó nemzeti jogszabályaikba, és törekszik a belső piaci célok (vagyis a tűzfegyverek határokon át történő mozgatása) és a biztonságpolitikai célok (azaz magas szintű biztonság és bűncs</w:t>
      </w:r>
      <w:r>
        <w:rPr>
          <w:rFonts w:ascii="Times New Roman" w:hAnsi="Times New Roman"/>
          <w:noProof/>
          <w:sz w:val="24"/>
        </w:rPr>
        <w:t>elekményekkel, valamint tiltott kereskedelemmel szembeni védelem) kiegyensúlyozására az EU-n belül.</w:t>
      </w:r>
    </w:p>
    <w:p w:rsidR="000B7D3F" w:rsidRDefault="00895A04">
      <w:pPr>
        <w:jc w:val="both"/>
        <w:rPr>
          <w:rFonts w:ascii="Times New Roman" w:hAnsi="Times New Roman"/>
          <w:noProof/>
          <w:sz w:val="24"/>
          <w:szCs w:val="24"/>
        </w:rPr>
      </w:pPr>
      <w:r>
        <w:rPr>
          <w:rFonts w:ascii="Times New Roman" w:hAnsi="Times New Roman"/>
          <w:noProof/>
          <w:sz w:val="24"/>
        </w:rPr>
        <w:t>(7) A 91/477/EGK irányelv eredetileg a belső piac kiteljesítését szolgáló kísérő intézkedésnek indult. A fegyvertartás közösségen belüli határokon történő e</w:t>
      </w:r>
      <w:r>
        <w:rPr>
          <w:rFonts w:ascii="Times New Roman" w:hAnsi="Times New Roman"/>
          <w:noProof/>
          <w:sz w:val="24"/>
        </w:rPr>
        <w:t>llenőrzésének megszüntetése szükségessé tette olyan célravezető szabályok elfogadását, amelyek lehetővé teszik az ellenőrzések tagállamokon belüli elvégzését. Ebből a célból az irányelv szabályokat tartalmaz a tűzfegyverek megszerzésére és tartására, valam</w:t>
      </w:r>
      <w:r>
        <w:rPr>
          <w:rFonts w:ascii="Times New Roman" w:hAnsi="Times New Roman"/>
          <w:noProof/>
          <w:sz w:val="24"/>
        </w:rPr>
        <w:t>int a tűzfegyverek tagállamok közötti szállítására vonatkozóan. Az irányelv lehetővé teszi a tagállamok számára az előírtnál (3. cikk) szigorúbb szabályok elfogadását is.</w:t>
      </w:r>
    </w:p>
    <w:p w:rsidR="000B7D3F" w:rsidRDefault="00895A04">
      <w:pPr>
        <w:jc w:val="both"/>
        <w:rPr>
          <w:rFonts w:ascii="Times New Roman" w:hAnsi="Times New Roman"/>
          <w:noProof/>
          <w:sz w:val="24"/>
          <w:szCs w:val="24"/>
        </w:rPr>
      </w:pPr>
      <w:r>
        <w:rPr>
          <w:rFonts w:ascii="Times New Roman" w:hAnsi="Times New Roman"/>
          <w:noProof/>
          <w:sz w:val="24"/>
        </w:rPr>
        <w:t>(8) A Bizottság az első jelentést 2000-ben nyújtotta be az Európai Parlament és a Tan</w:t>
      </w:r>
      <w:r>
        <w:rPr>
          <w:rFonts w:ascii="Times New Roman" w:hAnsi="Times New Roman"/>
          <w:noProof/>
          <w:sz w:val="24"/>
        </w:rPr>
        <w:t>ács részére, értékelve a 91/477/EGK irányelv tagállamokban történő végrehajtását</w:t>
      </w:r>
      <w:r>
        <w:rPr>
          <w:rStyle w:val="FootnoteReference"/>
          <w:rFonts w:ascii="Times New Roman" w:hAnsi="Times New Roman"/>
          <w:noProof/>
          <w:sz w:val="24"/>
        </w:rPr>
        <w:footnoteReference w:id="8"/>
      </w:r>
      <w:r>
        <w:rPr>
          <w:rFonts w:ascii="Times New Roman" w:hAnsi="Times New Roman"/>
          <w:noProof/>
          <w:sz w:val="24"/>
        </w:rPr>
        <w:t>. E jelentés megállapította, hogy tagállamok és érdekelt felek véleménye szerint az irányelv által létrehozott jogi keret egészében véve elégséges volt. Ugyanakkor az irányelv nemzeti végrehajtásával kapcsolatban kiemelt problémákat azonosítottak, úgymint:</w:t>
      </w:r>
      <w:r>
        <w:rPr>
          <w:rFonts w:ascii="Times New Roman" w:hAnsi="Times New Roman"/>
          <w:noProof/>
          <w:sz w:val="24"/>
        </w:rPr>
        <w:t xml:space="preserve"> az információcserével kapcsolatos nehézségek; a nemzeti jogszabályok különfélesége és összetettsége; a közigazgatási intézkedések és engedélyezési eljárások; különbségek a vadász- és sporttűzfegyverek osztályozásában, valamint adminisztratív terhek a kkv-</w:t>
      </w:r>
      <w:r>
        <w:rPr>
          <w:rFonts w:ascii="Times New Roman" w:hAnsi="Times New Roman"/>
          <w:noProof/>
          <w:sz w:val="24"/>
        </w:rPr>
        <w:t xml:space="preserve">k számára. Ez megmutatta bizonyos rendelkezések tisztázásának szükségességét (pl. bizonyos fegyvertípusuk meghatározása, nevezetesen a hatástalanított és antik fegyvereké) az irányelv egységesebb alkalmazásának biztosítása érdekében. </w:t>
      </w:r>
    </w:p>
    <w:p w:rsidR="000B7D3F" w:rsidRDefault="00895A04">
      <w:pPr>
        <w:jc w:val="both"/>
        <w:rPr>
          <w:rFonts w:ascii="Times New Roman" w:hAnsi="Times New Roman"/>
          <w:noProof/>
          <w:sz w:val="24"/>
          <w:szCs w:val="24"/>
        </w:rPr>
      </w:pPr>
      <w:r>
        <w:rPr>
          <w:rFonts w:ascii="Times New Roman" w:hAnsi="Times New Roman"/>
          <w:noProof/>
          <w:sz w:val="24"/>
        </w:rPr>
        <w:t>(9) E jelentés benyúj</w:t>
      </w:r>
      <w:r>
        <w:rPr>
          <w:rFonts w:ascii="Times New Roman" w:hAnsi="Times New Roman"/>
          <w:noProof/>
          <w:sz w:val="24"/>
        </w:rPr>
        <w:t>tására azalatt került sor, amíg a Bizottság az uniós tagállamok nevében tárgyalt az Egyesült Nemzetek nemzetközi szervezett bűnözés elleni egyezményével kapcsolatos, tűzfegyverek tiltott előállítása elleni fellépésről szóló ENSZ jegyzőkönyvről</w:t>
      </w:r>
      <w:r>
        <w:rPr>
          <w:rStyle w:val="FootnoteReference"/>
          <w:rFonts w:ascii="Times New Roman" w:hAnsi="Times New Roman"/>
          <w:noProof/>
          <w:sz w:val="24"/>
        </w:rPr>
        <w:footnoteReference w:id="9"/>
      </w:r>
      <w:r>
        <w:rPr>
          <w:rFonts w:ascii="Times New Roman" w:hAnsi="Times New Roman"/>
          <w:noProof/>
          <w:sz w:val="24"/>
        </w:rPr>
        <w:t xml:space="preserve"> (UNFP). A j</w:t>
      </w:r>
      <w:r>
        <w:rPr>
          <w:rFonts w:ascii="Times New Roman" w:hAnsi="Times New Roman"/>
          <w:noProof/>
          <w:sz w:val="24"/>
        </w:rPr>
        <w:t>egyzőkönyv új szabályokat készült előírni, különösen a tűzfegyverek nyomonkövethetőségére (azaz jelölésére és nyilvántartására), valamint hatástalanítására vonatkozóan. Ezért a jelentés azt a következtetést vonta le, hogy a Bizottság – figyelembe véve az U</w:t>
      </w:r>
      <w:r>
        <w:rPr>
          <w:rFonts w:ascii="Times New Roman" w:hAnsi="Times New Roman"/>
          <w:noProof/>
          <w:sz w:val="24"/>
        </w:rPr>
        <w:t>NFP-tárgyalások állását és valamennyi érdekelt fél visszajelzését az irányelvre vonatkozóan – megfelelő módosító javaslatokat szándékozott bemutatni.</w:t>
      </w:r>
    </w:p>
    <w:p w:rsidR="000B7D3F" w:rsidRDefault="00895A04">
      <w:pPr>
        <w:jc w:val="both"/>
        <w:rPr>
          <w:rFonts w:ascii="Times New Roman" w:hAnsi="Times New Roman"/>
          <w:noProof/>
          <w:sz w:val="24"/>
          <w:szCs w:val="24"/>
        </w:rPr>
      </w:pPr>
      <w:r>
        <w:rPr>
          <w:rFonts w:ascii="Times New Roman" w:hAnsi="Times New Roman"/>
          <w:noProof/>
          <w:sz w:val="24"/>
        </w:rPr>
        <w:t>(10) Az UNFP 2005-ben</w:t>
      </w:r>
      <w:r>
        <w:rPr>
          <w:rStyle w:val="FootnoteReference"/>
          <w:rFonts w:ascii="Times New Roman" w:hAnsi="Times New Roman"/>
          <w:noProof/>
          <w:sz w:val="24"/>
        </w:rPr>
        <w:footnoteReference w:id="10"/>
      </w:r>
      <w:r>
        <w:rPr>
          <w:rFonts w:ascii="Times New Roman" w:hAnsi="Times New Roman"/>
          <w:noProof/>
          <w:sz w:val="24"/>
        </w:rPr>
        <w:t xml:space="preserve"> történt hatálybalépését követően a 91/477/EGK irányelvet módosította a 2008/51/EK i</w:t>
      </w:r>
      <w:r>
        <w:rPr>
          <w:rFonts w:ascii="Times New Roman" w:hAnsi="Times New Roman"/>
          <w:noProof/>
          <w:sz w:val="24"/>
        </w:rPr>
        <w:t>rányelv a biztonsági szempontok megerősítése érdekében, lehetővé téve a részleges igazodást magához az UNFP-hez. A tűzfegyverekről szóló irányelv az UNFP végrehajtása érdekében nemzetközi és uniós szinten tett kezdeményezések sorának része. A vonatkozó ren</w:t>
      </w:r>
      <w:r>
        <w:rPr>
          <w:rFonts w:ascii="Times New Roman" w:hAnsi="Times New Roman"/>
          <w:noProof/>
          <w:sz w:val="24"/>
        </w:rPr>
        <w:t>delkezéseket az európai jogszabályokba a 258/2012/EU rendelet</w:t>
      </w:r>
      <w:r>
        <w:rPr>
          <w:rStyle w:val="FootnoteReference"/>
          <w:rFonts w:ascii="Times New Roman" w:hAnsi="Times New Roman"/>
          <w:noProof/>
          <w:sz w:val="24"/>
        </w:rPr>
        <w:footnoteReference w:id="11"/>
      </w:r>
      <w:r>
        <w:rPr>
          <w:rFonts w:ascii="Times New Roman" w:hAnsi="Times New Roman"/>
          <w:noProof/>
          <w:sz w:val="24"/>
        </w:rPr>
        <w:t xml:space="preserve"> ültette át, amely szabályokat állapít meg a harmadik országokból érkező vagy oda irányított nem katonai tűzfegyverek engedélyezett exportjára, importjára és tranzitjára</w:t>
      </w:r>
      <w:r>
        <w:rPr>
          <w:rStyle w:val="FootnoteReference"/>
          <w:rFonts w:ascii="Times New Roman" w:hAnsi="Times New Roman"/>
          <w:noProof/>
          <w:sz w:val="24"/>
        </w:rPr>
        <w:footnoteReference w:id="12"/>
      </w:r>
      <w:r>
        <w:rPr>
          <w:rFonts w:ascii="Times New Roman" w:hAnsi="Times New Roman"/>
          <w:noProof/>
          <w:sz w:val="24"/>
        </w:rPr>
        <w:t xml:space="preserve">. </w:t>
      </w:r>
    </w:p>
    <w:p w:rsidR="000B7D3F" w:rsidRDefault="00895A04">
      <w:pPr>
        <w:jc w:val="both"/>
        <w:rPr>
          <w:rFonts w:ascii="Times New Roman" w:hAnsi="Times New Roman"/>
          <w:noProof/>
          <w:sz w:val="24"/>
          <w:szCs w:val="24"/>
        </w:rPr>
      </w:pPr>
      <w:r>
        <w:rPr>
          <w:rFonts w:ascii="Times New Roman" w:hAnsi="Times New Roman"/>
          <w:noProof/>
          <w:sz w:val="24"/>
        </w:rPr>
        <w:t>(11) Az Európai Bizot</w:t>
      </w:r>
      <w:r>
        <w:rPr>
          <w:rFonts w:ascii="Times New Roman" w:hAnsi="Times New Roman"/>
          <w:noProof/>
          <w:sz w:val="24"/>
        </w:rPr>
        <w:t>tságnak a polgári célú tűzfegyverek által jelentett kockázatok kezelését és csökkentését célzó intézkedését meghatározó elveket egy átfogó, 2013 októberében indított stratégiába ágyazták: „Lőfegyverek és az EU belső biztonsága: a polgárok védelme és az ill</w:t>
      </w:r>
      <w:r>
        <w:rPr>
          <w:rFonts w:ascii="Times New Roman" w:hAnsi="Times New Roman"/>
          <w:noProof/>
          <w:sz w:val="24"/>
        </w:rPr>
        <w:t>egális kereskedelem felszámolása” című közlemény</w:t>
      </w:r>
      <w:r>
        <w:rPr>
          <w:rFonts w:ascii="Times New Roman" w:hAnsi="Times New Roman"/>
          <w:noProof/>
          <w:sz w:val="24"/>
          <w:vertAlign w:val="superscript"/>
        </w:rPr>
        <w:footnoteReference w:id="13"/>
      </w:r>
      <w:r>
        <w:rPr>
          <w:rFonts w:ascii="Times New Roman" w:hAnsi="Times New Roman"/>
          <w:noProof/>
          <w:sz w:val="24"/>
        </w:rPr>
        <w:t>. Ez a közlemény intézkedéseket javasol az uniós polgárok tűzfegyverekkel kapcsolatos biztonsági szintjének növelése és a tűzfegyverek törvényes piacának védelme érdekében. Ezenkívül a tűzfegyverekkel kapcso</w:t>
      </w:r>
      <w:r>
        <w:rPr>
          <w:rFonts w:ascii="Times New Roman" w:hAnsi="Times New Roman"/>
          <w:noProof/>
          <w:sz w:val="24"/>
        </w:rPr>
        <w:t>latos elkövetkező kezdeményezéseket felvázolta a Bizottság közelmúltban kiadott közleménye, „Az európai biztonsági stratégia”,</w:t>
      </w:r>
      <w:r>
        <w:rPr>
          <w:rFonts w:ascii="Times New Roman" w:hAnsi="Times New Roman"/>
          <w:noProof/>
          <w:sz w:val="24"/>
          <w:vertAlign w:val="superscript"/>
        </w:rPr>
        <w:footnoteReference w:id="14"/>
      </w:r>
      <w:r>
        <w:rPr>
          <w:rFonts w:ascii="Times New Roman" w:hAnsi="Times New Roman"/>
          <w:noProof/>
          <w:sz w:val="24"/>
        </w:rPr>
        <w:t xml:space="preserve"> amely hangsúlyozza egy közös megközelítés prioritásként való kezelésének szükségességét a tűzfegyverek hatástalanítására vonatko</w:t>
      </w:r>
      <w:r>
        <w:rPr>
          <w:rFonts w:ascii="Times New Roman" w:hAnsi="Times New Roman"/>
          <w:noProof/>
          <w:sz w:val="24"/>
        </w:rPr>
        <w:t>zóan, megelőzendő azok reaktiválását és bűnözők általi használatát. Továbbá a közlemény felszólított a tűzfegyverekre vonatkozóan meglévő jogszabályok 2016-ban történő felülvizsgálatára az információmegosztás javítása (pl. az elkobzott tűzfegyverekre vonat</w:t>
      </w:r>
      <w:r>
        <w:rPr>
          <w:rFonts w:ascii="Times New Roman" w:hAnsi="Times New Roman"/>
          <w:noProof/>
          <w:sz w:val="24"/>
        </w:rPr>
        <w:t>kozó információk feltöltése az Europol információs rendszerébe), a nyomonkövethetőség megerősítése, a jelölések szabványosítása és a tűzfegyverek semlegesítésére vonatkozó közös előírások megállapítása érdekében. A 2015. november 13-i tragikus párizsi esem</w:t>
      </w:r>
      <w:r>
        <w:rPr>
          <w:rFonts w:ascii="Times New Roman" w:hAnsi="Times New Roman"/>
          <w:noProof/>
          <w:sz w:val="24"/>
        </w:rPr>
        <w:t>ényeket követően a Bizottság úgy döntött, hogy előrehozza a tűzfegyverekről szóló irányelv felülvizsgálatát, amelyet e jelentéssel együtt fogadnak el. E jelentés az említett intézkedéseket alátámasztó bizonyítékokkal szolgál.</w:t>
      </w:r>
    </w:p>
    <w:p w:rsidR="000B7D3F" w:rsidRDefault="00895A04">
      <w:pPr>
        <w:pStyle w:val="Heading1"/>
        <w:rPr>
          <w:rFonts w:ascii="Times New Roman" w:hAnsi="Times New Roman"/>
          <w:noProof/>
          <w:sz w:val="24"/>
        </w:rPr>
      </w:pPr>
      <w:r>
        <w:rPr>
          <w:noProof/>
        </w:rPr>
        <w:br w:type="page"/>
      </w:r>
      <w:r>
        <w:rPr>
          <w:rFonts w:ascii="Times New Roman" w:hAnsi="Times New Roman"/>
          <w:noProof/>
          <w:sz w:val="24"/>
        </w:rPr>
        <w:t>3. A tűzfegyverekről szóló ir</w:t>
      </w:r>
      <w:r>
        <w:rPr>
          <w:rFonts w:ascii="Times New Roman" w:hAnsi="Times New Roman"/>
          <w:noProof/>
          <w:sz w:val="24"/>
        </w:rPr>
        <w:t>ányelv legfontosabb rendelkezései</w:t>
      </w:r>
    </w:p>
    <w:p w:rsidR="000B7D3F" w:rsidRDefault="00895A04">
      <w:pPr>
        <w:jc w:val="both"/>
        <w:rPr>
          <w:rFonts w:ascii="Times New Roman" w:hAnsi="Times New Roman"/>
          <w:noProof/>
          <w:sz w:val="24"/>
          <w:szCs w:val="24"/>
        </w:rPr>
      </w:pPr>
      <w:r>
        <w:rPr>
          <w:rFonts w:ascii="Times New Roman" w:hAnsi="Times New Roman"/>
          <w:noProof/>
          <w:sz w:val="24"/>
        </w:rPr>
        <w:t>(12) A tűzfegyverekről szóló irányelv két legfontosabb célja a belső piac megfelelő működésének biztosítása, valamint a biztonság magas szintjének biztosítása az EU-ban. Főleg minimumkövetelményekről</w:t>
      </w:r>
      <w:r>
        <w:rPr>
          <w:rStyle w:val="FootnoteReference"/>
          <w:rFonts w:ascii="Times New Roman" w:hAnsi="Times New Roman"/>
          <w:noProof/>
          <w:sz w:val="24"/>
        </w:rPr>
        <w:footnoteReference w:id="15"/>
      </w:r>
      <w:r>
        <w:rPr>
          <w:rFonts w:ascii="Times New Roman" w:hAnsi="Times New Roman"/>
          <w:noProof/>
          <w:sz w:val="24"/>
        </w:rPr>
        <w:t xml:space="preserve"> rendelkezik a polgári</w:t>
      </w:r>
      <w:r>
        <w:rPr>
          <w:rFonts w:ascii="Times New Roman" w:hAnsi="Times New Roman"/>
          <w:noProof/>
          <w:sz w:val="24"/>
        </w:rPr>
        <w:t xml:space="preserve"> célú tűzfegyverek unióbeli megszerzésére és tartására vonatkozóan, valamint tűzfegyverek EU-n belüli szállításának harmonizált adminisztratív intézkedéseiről.</w:t>
      </w:r>
    </w:p>
    <w:p w:rsidR="000B7D3F" w:rsidRDefault="00895A04">
      <w:pPr>
        <w:jc w:val="both"/>
        <w:rPr>
          <w:rFonts w:ascii="Times New Roman" w:hAnsi="Times New Roman"/>
          <w:noProof/>
          <w:sz w:val="24"/>
          <w:szCs w:val="24"/>
        </w:rPr>
      </w:pPr>
      <w:r>
        <w:rPr>
          <w:rFonts w:ascii="Times New Roman" w:hAnsi="Times New Roman"/>
          <w:noProof/>
          <w:sz w:val="24"/>
        </w:rPr>
        <w:t>(13) Az irányelv hatályát annak I. melléklete ismerteti, ahol a különböző felhasználási módoknak</w:t>
      </w:r>
      <w:r>
        <w:rPr>
          <w:rFonts w:ascii="Times New Roman" w:hAnsi="Times New Roman"/>
          <w:noProof/>
          <w:sz w:val="24"/>
        </w:rPr>
        <w:t xml:space="preserve"> megfelelő tűzfegyver-kategóriák leírása a következő:</w:t>
      </w:r>
    </w:p>
    <w:p w:rsidR="000B7D3F" w:rsidRDefault="00895A04">
      <w:pPr>
        <w:pStyle w:val="Body"/>
        <w:numPr>
          <w:ilvl w:val="0"/>
          <w:numId w:val="1"/>
        </w:numPr>
        <w:rPr>
          <w:rFonts w:ascii="Times New Roman" w:hAnsi="Times New Roman"/>
          <w:noProof/>
          <w:sz w:val="24"/>
          <w:szCs w:val="24"/>
        </w:rPr>
      </w:pPr>
      <w:r>
        <w:rPr>
          <w:rFonts w:ascii="Times New Roman" w:hAnsi="Times New Roman"/>
          <w:noProof/>
          <w:sz w:val="24"/>
        </w:rPr>
        <w:t xml:space="preserve">„A kategória, tiltott tűzfegyverek – teljesen automata fegyverek és katonai fegyverek”; </w:t>
      </w:r>
    </w:p>
    <w:p w:rsidR="000B7D3F" w:rsidRDefault="00895A04">
      <w:pPr>
        <w:pStyle w:val="Body"/>
        <w:numPr>
          <w:ilvl w:val="0"/>
          <w:numId w:val="1"/>
        </w:numPr>
        <w:rPr>
          <w:rFonts w:ascii="Times New Roman" w:hAnsi="Times New Roman"/>
          <w:noProof/>
          <w:sz w:val="24"/>
          <w:szCs w:val="24"/>
        </w:rPr>
      </w:pPr>
      <w:r>
        <w:rPr>
          <w:rFonts w:ascii="Times New Roman" w:hAnsi="Times New Roman"/>
          <w:noProof/>
          <w:sz w:val="24"/>
        </w:rPr>
        <w:t xml:space="preserve">„B kategória, engedélyhez kötött tűzfegyverek – ezeket többnyire céllövők és vadászok használják”; </w:t>
      </w:r>
    </w:p>
    <w:p w:rsidR="000B7D3F" w:rsidRDefault="00895A04">
      <w:pPr>
        <w:pStyle w:val="Body"/>
        <w:numPr>
          <w:ilvl w:val="0"/>
          <w:numId w:val="1"/>
        </w:numPr>
        <w:rPr>
          <w:rFonts w:ascii="Times New Roman" w:hAnsi="Times New Roman"/>
          <w:noProof/>
          <w:sz w:val="24"/>
          <w:szCs w:val="24"/>
        </w:rPr>
      </w:pPr>
      <w:r>
        <w:rPr>
          <w:rFonts w:ascii="Times New Roman" w:hAnsi="Times New Roman"/>
          <w:noProof/>
          <w:sz w:val="24"/>
        </w:rPr>
        <w:t>„C kategória,</w:t>
      </w:r>
      <w:r>
        <w:rPr>
          <w:rFonts w:ascii="Times New Roman" w:hAnsi="Times New Roman"/>
          <w:noProof/>
          <w:sz w:val="24"/>
        </w:rPr>
        <w:t xml:space="preserve"> bejelentéshez kötött tűzfegyverek – főként vadászok által használt tűzfegyverek”; </w:t>
      </w:r>
    </w:p>
    <w:p w:rsidR="000B7D3F" w:rsidRDefault="00895A04">
      <w:pPr>
        <w:pStyle w:val="Body"/>
        <w:numPr>
          <w:ilvl w:val="0"/>
          <w:numId w:val="1"/>
        </w:numPr>
        <w:rPr>
          <w:rFonts w:ascii="Times New Roman" w:hAnsi="Times New Roman"/>
          <w:noProof/>
          <w:sz w:val="24"/>
          <w:szCs w:val="24"/>
        </w:rPr>
      </w:pPr>
      <w:r>
        <w:rPr>
          <w:rFonts w:ascii="Times New Roman" w:hAnsi="Times New Roman"/>
          <w:noProof/>
          <w:sz w:val="24"/>
        </w:rPr>
        <w:t>„D kategória, egyéb tűzfegyverek – elsősorban egylövetű hosszú tűzfegyverek huzagolatlan csővel”.</w:t>
      </w:r>
    </w:p>
    <w:p w:rsidR="000B7D3F" w:rsidRDefault="000B7D3F">
      <w:pPr>
        <w:pStyle w:val="Body"/>
        <w:ind w:left="720"/>
        <w:rPr>
          <w:rFonts w:ascii="Times New Roman" w:hAnsi="Times New Roman"/>
          <w:noProof/>
          <w:sz w:val="24"/>
          <w:szCs w:val="24"/>
        </w:rPr>
      </w:pPr>
    </w:p>
    <w:p w:rsidR="000B7D3F" w:rsidRDefault="00895A04">
      <w:pPr>
        <w:pStyle w:val="Body"/>
        <w:rPr>
          <w:rFonts w:ascii="Times New Roman" w:hAnsi="Times New Roman"/>
          <w:noProof/>
          <w:sz w:val="24"/>
          <w:szCs w:val="24"/>
        </w:rPr>
      </w:pPr>
      <w:r>
        <w:rPr>
          <w:rFonts w:ascii="Times New Roman" w:hAnsi="Times New Roman"/>
          <w:noProof/>
          <w:sz w:val="24"/>
        </w:rPr>
        <w:t>(14) A tűzfegyverekről szóló irányelv legfontosabb rendelkezései az alább</w:t>
      </w:r>
      <w:r>
        <w:rPr>
          <w:rFonts w:ascii="Times New Roman" w:hAnsi="Times New Roman"/>
          <w:noProof/>
          <w:sz w:val="24"/>
        </w:rPr>
        <w:t>iakra vonatkoznak:</w:t>
      </w:r>
    </w:p>
    <w:p w:rsidR="000B7D3F" w:rsidRDefault="00895A04">
      <w:pPr>
        <w:numPr>
          <w:ilvl w:val="0"/>
          <w:numId w:val="2"/>
        </w:numPr>
        <w:jc w:val="both"/>
        <w:rPr>
          <w:rFonts w:ascii="Times New Roman" w:hAnsi="Times New Roman"/>
          <w:noProof/>
          <w:sz w:val="24"/>
          <w:szCs w:val="24"/>
        </w:rPr>
      </w:pPr>
      <w:r>
        <w:rPr>
          <w:rFonts w:ascii="Times New Roman" w:hAnsi="Times New Roman"/>
          <w:b/>
          <w:noProof/>
          <w:sz w:val="24"/>
        </w:rPr>
        <w:t>Jelölés és nyomonkövethetőség (4. cikk):</w:t>
      </w:r>
      <w:r>
        <w:rPr>
          <w:rFonts w:ascii="Times New Roman" w:hAnsi="Times New Roman"/>
          <w:noProof/>
          <w:sz w:val="24"/>
        </w:rPr>
        <w:t xml:space="preserve"> A tagállamok biztosítják, hogy valamennyi forgalomba hozott tűzfegyvert vagy annak részét jelöljék és nyilvántartásba vegyék. E célból a tagállamok vagy egyedi jelölést követelnek meg, vagy altern</w:t>
      </w:r>
      <w:r>
        <w:rPr>
          <w:rFonts w:ascii="Times New Roman" w:hAnsi="Times New Roman"/>
          <w:noProof/>
          <w:sz w:val="24"/>
        </w:rPr>
        <w:t>atív jelölést tartanak fenn egy számmal vagy alfanumerikus kóddal, amely lehetővé teszi a gyártó ország azonosítását. A jelölést a tűzfegyver alapvető alkotóelemén kell elhelyezni, amelynek megsemmisülése a tűzfegyvert használhatatlanná teszi. A módosított</w:t>
      </w:r>
      <w:r>
        <w:rPr>
          <w:rFonts w:ascii="Times New Roman" w:hAnsi="Times New Roman"/>
          <w:noProof/>
          <w:sz w:val="24"/>
        </w:rPr>
        <w:t xml:space="preserve"> irányelv rendelkezéseket tartalmaz nemzeti számítógépes nyilvántartási rendszerek bevezetésére is a tűzfegyverek nyomonkövethetőségének erősítése érdekében. Ezek a rendszerek a tagállamokban forgalomban levő minden tűzfegyver legfontosabb adatait rögzítik</w:t>
      </w:r>
      <w:r>
        <w:rPr>
          <w:rFonts w:ascii="Times New Roman" w:hAnsi="Times New Roman"/>
          <w:noProof/>
          <w:sz w:val="24"/>
        </w:rPr>
        <w:t>, és 2014. december 31-ére minden tagállamban kellett lennie ilyen rendszernek.</w:t>
      </w:r>
    </w:p>
    <w:p w:rsidR="000B7D3F" w:rsidRDefault="00895A04">
      <w:pPr>
        <w:numPr>
          <w:ilvl w:val="0"/>
          <w:numId w:val="2"/>
        </w:numPr>
        <w:spacing w:after="0"/>
        <w:ind w:left="714" w:hanging="357"/>
        <w:jc w:val="both"/>
        <w:rPr>
          <w:rFonts w:ascii="Times New Roman" w:hAnsi="Times New Roman"/>
          <w:noProof/>
          <w:sz w:val="24"/>
          <w:szCs w:val="24"/>
        </w:rPr>
      </w:pPr>
      <w:r>
        <w:rPr>
          <w:rFonts w:ascii="Times New Roman" w:hAnsi="Times New Roman"/>
          <w:b/>
          <w:noProof/>
          <w:sz w:val="24"/>
        </w:rPr>
        <w:t>Tűzfegyverek megszerzésére és birtoklására vonatkozó követelmények (5. cikk):</w:t>
      </w:r>
      <w:r>
        <w:rPr>
          <w:rFonts w:ascii="Times New Roman" w:hAnsi="Times New Roman"/>
          <w:noProof/>
          <w:sz w:val="24"/>
        </w:rPr>
        <w:t xml:space="preserve"> A tagállamok a tűzfegyverek megszerzését és tartását csak olyan személy számára engedélyezik, akinek megfelelő indoka van erre, és aki: </w:t>
      </w:r>
    </w:p>
    <w:p w:rsidR="000B7D3F" w:rsidRDefault="00895A04">
      <w:pPr>
        <w:numPr>
          <w:ilvl w:val="1"/>
          <w:numId w:val="2"/>
        </w:numPr>
        <w:spacing w:after="0"/>
        <w:ind w:left="1434" w:hanging="357"/>
        <w:jc w:val="both"/>
        <w:rPr>
          <w:rFonts w:ascii="Times New Roman" w:hAnsi="Times New Roman"/>
          <w:noProof/>
          <w:sz w:val="24"/>
          <w:szCs w:val="24"/>
        </w:rPr>
      </w:pPr>
      <w:r>
        <w:rPr>
          <w:rFonts w:ascii="Times New Roman" w:hAnsi="Times New Roman"/>
          <w:noProof/>
          <w:sz w:val="24"/>
        </w:rPr>
        <w:t>betöltötte legalább a 18. életévét, kivéve a vadászatra és céllövészetre használt tűzfegyverek nem vásárlás útján tört</w:t>
      </w:r>
      <w:r>
        <w:rPr>
          <w:rFonts w:ascii="Times New Roman" w:hAnsi="Times New Roman"/>
          <w:noProof/>
          <w:sz w:val="24"/>
        </w:rPr>
        <w:t>énő megszerzését és tartását, feltéve, hogy ebben az esetben a 18 évnél fiatalabb személy szülői engedéllyel rendelkezik, vagy szülői irányítás alatt áll, vagy érvényes tűzfegyvertartási vagy vadászengedéllyel rendelkező felnőtt irányítása alatt áll, illet</w:t>
      </w:r>
      <w:r>
        <w:rPr>
          <w:rFonts w:ascii="Times New Roman" w:hAnsi="Times New Roman"/>
          <w:noProof/>
          <w:sz w:val="24"/>
        </w:rPr>
        <w:t xml:space="preserve">ve engedélyezett, vagy más módon jóváhagyott edzőközpontban használja a fegyvert; </w:t>
      </w:r>
    </w:p>
    <w:p w:rsidR="000B7D3F" w:rsidRDefault="00895A04">
      <w:pPr>
        <w:numPr>
          <w:ilvl w:val="1"/>
          <w:numId w:val="2"/>
        </w:numPr>
        <w:jc w:val="both"/>
        <w:rPr>
          <w:rFonts w:ascii="Times New Roman" w:hAnsi="Times New Roman"/>
          <w:noProof/>
          <w:sz w:val="24"/>
          <w:szCs w:val="24"/>
        </w:rPr>
      </w:pPr>
      <w:r>
        <w:rPr>
          <w:rFonts w:ascii="Times New Roman" w:hAnsi="Times New Roman"/>
          <w:noProof/>
          <w:sz w:val="24"/>
        </w:rPr>
        <w:t>nem valószínűsíthető, hogy veszélyt jelent önmagára, a közrendre vagy a közbiztonságra. Szándékos, erőszakos bűncselekmény miatti elmarasztaló ítélet az ilyen veszélyre utal</w:t>
      </w:r>
      <w:r>
        <w:rPr>
          <w:rFonts w:ascii="Times New Roman" w:hAnsi="Times New Roman"/>
          <w:noProof/>
          <w:sz w:val="24"/>
        </w:rPr>
        <w:t>ó jelnek minősül.</w:t>
      </w:r>
    </w:p>
    <w:p w:rsidR="000B7D3F" w:rsidRDefault="00895A04">
      <w:pPr>
        <w:numPr>
          <w:ilvl w:val="0"/>
          <w:numId w:val="2"/>
        </w:numPr>
        <w:jc w:val="both"/>
        <w:rPr>
          <w:rFonts w:ascii="Times New Roman" w:hAnsi="Times New Roman"/>
          <w:noProof/>
          <w:sz w:val="24"/>
          <w:szCs w:val="24"/>
        </w:rPr>
      </w:pPr>
      <w:r>
        <w:rPr>
          <w:rFonts w:ascii="Times New Roman" w:hAnsi="Times New Roman"/>
          <w:b/>
          <w:noProof/>
          <w:sz w:val="24"/>
        </w:rPr>
        <w:t xml:space="preserve">Európai tűzfegyvertartási igazolvány (EFP) (12. cikk): </w:t>
      </w:r>
      <w:r>
        <w:rPr>
          <w:rFonts w:ascii="Times New Roman" w:hAnsi="Times New Roman"/>
          <w:noProof/>
          <w:sz w:val="24"/>
        </w:rPr>
        <w:t>az irányelv rugalmasabb szabályokat vezetett be a vadászatra és sportlövészetre használt fegyverekre vonatkozóan, hogy ne hátráltassa azok tagok közötti mozgatását. Az EFP bevezetésév</w:t>
      </w:r>
      <w:r>
        <w:rPr>
          <w:rFonts w:ascii="Times New Roman" w:hAnsi="Times New Roman"/>
          <w:noProof/>
          <w:sz w:val="24"/>
        </w:rPr>
        <w:t>el a C és D kategóriába tartozó tűzfegyverekkel rendelkező vadászok, valamint a B, C és D kategóriájú tűzfegyverekkel rendelkező céllövők az úticélt jelentő tagállam előzetes engedélye nélkül utazhatnak egy másik tagállamba. Az EFP-t kell a vadászok és cél</w:t>
      </w:r>
      <w:r>
        <w:rPr>
          <w:rFonts w:ascii="Times New Roman" w:hAnsi="Times New Roman"/>
          <w:noProof/>
          <w:sz w:val="24"/>
        </w:rPr>
        <w:t>lövők számára szükséges legfontosabb okmánynak tekinteni, és a tagállamok semmilyen díj vagy költség megfizetésétől nem tehetik függővé az EFP elfogadását.</w:t>
      </w:r>
    </w:p>
    <w:p w:rsidR="000B7D3F" w:rsidRDefault="00895A04">
      <w:pPr>
        <w:numPr>
          <w:ilvl w:val="0"/>
          <w:numId w:val="2"/>
        </w:numPr>
        <w:jc w:val="both"/>
        <w:rPr>
          <w:rFonts w:ascii="Times New Roman" w:hAnsi="Times New Roman"/>
          <w:noProof/>
          <w:sz w:val="24"/>
          <w:szCs w:val="24"/>
        </w:rPr>
      </w:pPr>
      <w:r>
        <w:rPr>
          <w:rFonts w:ascii="Times New Roman" w:hAnsi="Times New Roman"/>
          <w:b/>
          <w:noProof/>
          <w:sz w:val="24"/>
        </w:rPr>
        <w:t>Hatástalanítás (I. melléklet, III. szakasz):</w:t>
      </w:r>
      <w:r>
        <w:rPr>
          <w:rFonts w:ascii="Times New Roman" w:hAnsi="Times New Roman"/>
          <w:noProof/>
          <w:sz w:val="24"/>
        </w:rPr>
        <w:t xml:space="preserve"> a tűzfegyverekről szóló irányelv minimumkorlátozásokat </w:t>
      </w:r>
      <w:r>
        <w:rPr>
          <w:rFonts w:ascii="Times New Roman" w:hAnsi="Times New Roman"/>
          <w:noProof/>
          <w:sz w:val="24"/>
        </w:rPr>
        <w:t xml:space="preserve">állapít meg, és kötelezi a tagállamokat, hogy gondoskodjanak a hatástalanítási intézkedések valamely illetékes hatóság általi ellenőrzéséről. E hatóság biztosítja, hogy a tűzfegyverek hatástalanítására vonatkozó nemzeti eljárások tartósan hatástalanítottá </w:t>
      </w:r>
      <w:r>
        <w:rPr>
          <w:rFonts w:ascii="Times New Roman" w:hAnsi="Times New Roman"/>
          <w:noProof/>
          <w:sz w:val="24"/>
        </w:rPr>
        <w:t>tegyék a fegyvereket. Amint azt a társjogalkotók kérték a módosítás idején, az I. melléklet III. részének a) pontja megállapítja, hogy „a Bizottság közös iránymutatásokat ad ki a hatástalanítási előírásokról és technikákról annak biztosítására, hogy a hatá</w:t>
      </w:r>
      <w:r>
        <w:rPr>
          <w:rFonts w:ascii="Times New Roman" w:hAnsi="Times New Roman"/>
          <w:noProof/>
          <w:sz w:val="24"/>
        </w:rPr>
        <w:t>stalanított tűzfegyverek visszafordíthatatlanul használhatatlanok legyenek”. A hatástalanításra vonatkozó közös iránymutatások elfogadásáig a tagállamok szabadon elfogadhatják a vonatkozó legalkalmasabb eljárásokat.</w:t>
      </w:r>
    </w:p>
    <w:p w:rsidR="000B7D3F" w:rsidRDefault="00895A04">
      <w:pPr>
        <w:jc w:val="both"/>
        <w:rPr>
          <w:rFonts w:ascii="Times New Roman" w:hAnsi="Times New Roman"/>
          <w:noProof/>
          <w:sz w:val="24"/>
          <w:szCs w:val="24"/>
        </w:rPr>
      </w:pPr>
      <w:r>
        <w:rPr>
          <w:rFonts w:ascii="Times New Roman" w:hAnsi="Times New Roman"/>
          <w:noProof/>
          <w:sz w:val="24"/>
        </w:rPr>
        <w:t>(15) Végül a tűzfegyverekről szóló irány</w:t>
      </w:r>
      <w:r>
        <w:rPr>
          <w:rFonts w:ascii="Times New Roman" w:hAnsi="Times New Roman"/>
          <w:noProof/>
          <w:sz w:val="24"/>
        </w:rPr>
        <w:t>elv 17. cikke előírja, hogy a Bizottság 2015. július 28-ig jelentést nyújt be az irányelv alkalmazásának eredményeképpen létrejövő helyzetről. Az irányelv rendelkezésével összhangban 2014-ben a Bizottság 12 hónapig tartó vizsgálatot indított annak értékelé</w:t>
      </w:r>
      <w:r>
        <w:rPr>
          <w:rFonts w:ascii="Times New Roman" w:hAnsi="Times New Roman"/>
          <w:noProof/>
          <w:sz w:val="24"/>
        </w:rPr>
        <w:t xml:space="preserve">sére, hogyan hajtották végre a tűzfegyverekről szóló irányelvet és annak későbbi módosítását, és e jogi keret mennyire teljesítette a belső piac megfelelő működésének és az EU-n belüli magas szintű biztonság elérésének két általános célját. </w:t>
      </w:r>
    </w:p>
    <w:p w:rsidR="000B7D3F" w:rsidRDefault="00895A04">
      <w:pPr>
        <w:pStyle w:val="Heading1"/>
        <w:rPr>
          <w:rFonts w:ascii="Times New Roman" w:hAnsi="Times New Roman"/>
          <w:noProof/>
          <w:sz w:val="24"/>
          <w:szCs w:val="24"/>
        </w:rPr>
      </w:pPr>
      <w:r>
        <w:rPr>
          <w:rFonts w:ascii="Times New Roman" w:hAnsi="Times New Roman"/>
          <w:noProof/>
          <w:sz w:val="24"/>
        </w:rPr>
        <w:t>4. Az értékelé</w:t>
      </w:r>
      <w:r>
        <w:rPr>
          <w:rFonts w:ascii="Times New Roman" w:hAnsi="Times New Roman"/>
          <w:noProof/>
          <w:sz w:val="24"/>
        </w:rPr>
        <w:t>s módszertana</w:t>
      </w:r>
    </w:p>
    <w:p w:rsidR="000B7D3F" w:rsidRDefault="00895A04">
      <w:pPr>
        <w:jc w:val="both"/>
        <w:rPr>
          <w:rFonts w:ascii="Times New Roman" w:hAnsi="Times New Roman"/>
          <w:noProof/>
          <w:sz w:val="24"/>
          <w:szCs w:val="24"/>
        </w:rPr>
      </w:pPr>
      <w:r>
        <w:rPr>
          <w:rFonts w:ascii="Times New Roman" w:hAnsi="Times New Roman"/>
          <w:noProof/>
          <w:sz w:val="24"/>
        </w:rPr>
        <w:t>(16) Az egy évig tartó értékelő vizsgálatot azért végezték el, hogy elemezzék az irányelv céljainak elérését (a belső piac jó működése és a biztonság magas szintje) öt értékelési kritérium mentén:</w:t>
      </w:r>
    </w:p>
    <w:p w:rsidR="000B7D3F" w:rsidRDefault="00895A04">
      <w:pPr>
        <w:numPr>
          <w:ilvl w:val="0"/>
          <w:numId w:val="3"/>
        </w:numPr>
        <w:rPr>
          <w:rFonts w:ascii="Times New Roman" w:hAnsi="Times New Roman"/>
          <w:noProof/>
          <w:sz w:val="24"/>
          <w:szCs w:val="24"/>
        </w:rPr>
      </w:pPr>
      <w:r>
        <w:rPr>
          <w:rFonts w:ascii="Times New Roman" w:hAnsi="Times New Roman"/>
          <w:noProof/>
          <w:sz w:val="24"/>
        </w:rPr>
        <w:t>eredményesség: azon mértéket illetően, amenny</w:t>
      </w:r>
      <w:r>
        <w:rPr>
          <w:rFonts w:ascii="Times New Roman" w:hAnsi="Times New Roman"/>
          <w:noProof/>
          <w:sz w:val="24"/>
        </w:rPr>
        <w:t>ire a rendelkezések hozzájárultak a célok eléréséhez;</w:t>
      </w:r>
    </w:p>
    <w:p w:rsidR="000B7D3F" w:rsidRDefault="00895A04">
      <w:pPr>
        <w:numPr>
          <w:ilvl w:val="0"/>
          <w:numId w:val="3"/>
        </w:numPr>
        <w:rPr>
          <w:rFonts w:ascii="Times New Roman" w:hAnsi="Times New Roman"/>
          <w:noProof/>
          <w:sz w:val="24"/>
          <w:szCs w:val="24"/>
        </w:rPr>
      </w:pPr>
      <w:r>
        <w:rPr>
          <w:rFonts w:ascii="Times New Roman" w:hAnsi="Times New Roman"/>
          <w:noProof/>
          <w:sz w:val="24"/>
        </w:rPr>
        <w:t>hatékonyság: az irányelv által bevezetett eljárások és kötelezettségek hatékonysága, nevezetesen, hogy az eredményeket (előnyöket) ésszerű költségek mellett érték-e el;</w:t>
      </w:r>
    </w:p>
    <w:p w:rsidR="000B7D3F" w:rsidRDefault="00895A04">
      <w:pPr>
        <w:numPr>
          <w:ilvl w:val="0"/>
          <w:numId w:val="3"/>
        </w:numPr>
        <w:rPr>
          <w:rFonts w:ascii="Times New Roman" w:hAnsi="Times New Roman"/>
          <w:noProof/>
          <w:sz w:val="24"/>
          <w:szCs w:val="24"/>
        </w:rPr>
      </w:pPr>
      <w:r>
        <w:rPr>
          <w:rFonts w:ascii="Times New Roman" w:hAnsi="Times New Roman"/>
          <w:noProof/>
          <w:sz w:val="24"/>
        </w:rPr>
        <w:t>következetesség: az irányelv rend</w:t>
      </w:r>
      <w:r>
        <w:rPr>
          <w:rFonts w:ascii="Times New Roman" w:hAnsi="Times New Roman"/>
          <w:noProof/>
          <w:sz w:val="24"/>
        </w:rPr>
        <w:t>elkezéseinek végrehajtásában, a kulcsfontosságú fogalmak értelmezésében, valamint az irányelv általános koherenciája más vonatkozó jogszabályokkal;</w:t>
      </w:r>
    </w:p>
    <w:p w:rsidR="000B7D3F" w:rsidRDefault="00895A04">
      <w:pPr>
        <w:numPr>
          <w:ilvl w:val="0"/>
          <w:numId w:val="3"/>
        </w:numPr>
        <w:rPr>
          <w:rFonts w:ascii="Times New Roman" w:hAnsi="Times New Roman"/>
          <w:noProof/>
          <w:sz w:val="24"/>
          <w:szCs w:val="24"/>
        </w:rPr>
      </w:pPr>
      <w:r>
        <w:rPr>
          <w:rFonts w:ascii="Times New Roman" w:hAnsi="Times New Roman"/>
          <w:noProof/>
          <w:sz w:val="24"/>
        </w:rPr>
        <w:t>relevancia: az irányelv rendelkezéseinek relevanciája a belső piac működésének és az uniós polgárok biztonsá</w:t>
      </w:r>
      <w:r>
        <w:rPr>
          <w:rFonts w:ascii="Times New Roman" w:hAnsi="Times New Roman"/>
          <w:noProof/>
          <w:sz w:val="24"/>
        </w:rPr>
        <w:t>gának meglévő szükségletei tekintetében;</w:t>
      </w:r>
    </w:p>
    <w:p w:rsidR="000B7D3F" w:rsidRDefault="00895A04">
      <w:pPr>
        <w:numPr>
          <w:ilvl w:val="0"/>
          <w:numId w:val="3"/>
        </w:numPr>
        <w:rPr>
          <w:rFonts w:ascii="Times New Roman" w:hAnsi="Times New Roman"/>
          <w:noProof/>
          <w:sz w:val="24"/>
          <w:szCs w:val="24"/>
        </w:rPr>
      </w:pPr>
      <w:r>
        <w:rPr>
          <w:rFonts w:ascii="Times New Roman" w:hAnsi="Times New Roman"/>
          <w:noProof/>
          <w:sz w:val="24"/>
        </w:rPr>
        <w:t>hozzáadott érték: az EU beavatkozásának hozzáadott értéke szemben a nemzeti jogszabályokkal és intézkedésekkel.</w:t>
      </w:r>
    </w:p>
    <w:p w:rsidR="000B7D3F" w:rsidRDefault="00895A04">
      <w:pPr>
        <w:jc w:val="both"/>
        <w:rPr>
          <w:rFonts w:ascii="Times New Roman" w:hAnsi="Times New Roman"/>
          <w:noProof/>
          <w:sz w:val="24"/>
          <w:szCs w:val="24"/>
        </w:rPr>
      </w:pPr>
      <w:r>
        <w:rPr>
          <w:rFonts w:ascii="Times New Roman" w:hAnsi="Times New Roman"/>
          <w:noProof/>
          <w:sz w:val="24"/>
        </w:rPr>
        <w:t xml:space="preserve">(17) Az értékelés kiterjedt az irányelv valamennyi rendelkezésére mind a 28 uniós tagállamban 1991-től </w:t>
      </w:r>
      <w:r>
        <w:rPr>
          <w:rFonts w:ascii="Times New Roman" w:hAnsi="Times New Roman"/>
          <w:noProof/>
          <w:sz w:val="24"/>
        </w:rPr>
        <w:t>napjainkig. Ezenkívül azt kérték az értékelőktől, hogy vegyenek figyelembe korábbi tanulmányokat és bizottsági kezdeményezéseket,</w:t>
      </w:r>
      <w:r>
        <w:rPr>
          <w:rFonts w:ascii="Times" w:hAnsi="Times"/>
          <w:noProof/>
          <w:vertAlign w:val="superscript"/>
        </w:rPr>
        <w:footnoteReference w:id="16"/>
      </w:r>
      <w:r>
        <w:rPr>
          <w:rFonts w:ascii="Times New Roman" w:hAnsi="Times New Roman"/>
          <w:noProof/>
          <w:sz w:val="24"/>
        </w:rPr>
        <w:t xml:space="preserve"> valamint két ugyanakkor befejezett tanulmányt a hatástalanítási, megsemmisítési és jelölési eljárásokról,</w:t>
      </w:r>
      <w:r>
        <w:rPr>
          <w:rFonts w:ascii="Times" w:hAnsi="Times"/>
          <w:noProof/>
          <w:vertAlign w:val="superscript"/>
        </w:rPr>
        <w:footnoteReference w:id="17"/>
      </w:r>
      <w:r>
        <w:rPr>
          <w:rFonts w:ascii="Times New Roman" w:hAnsi="Times New Roman"/>
          <w:noProof/>
          <w:sz w:val="24"/>
        </w:rPr>
        <w:t xml:space="preserve"> továbbá a tiltott </w:t>
      </w:r>
      <w:r>
        <w:rPr>
          <w:rFonts w:ascii="Times New Roman" w:hAnsi="Times New Roman"/>
          <w:noProof/>
          <w:sz w:val="24"/>
        </w:rPr>
        <w:t>fegyverkereskedelemről az EU-ban</w:t>
      </w:r>
      <w:r>
        <w:rPr>
          <w:rFonts w:ascii="Times" w:hAnsi="Times"/>
          <w:noProof/>
          <w:vertAlign w:val="superscript"/>
        </w:rPr>
        <w:footnoteReference w:id="18"/>
      </w:r>
      <w:r>
        <w:rPr>
          <w:rFonts w:ascii="Times New Roman" w:hAnsi="Times New Roman"/>
          <w:noProof/>
          <w:sz w:val="24"/>
        </w:rPr>
        <w:t>.</w:t>
      </w:r>
      <w:r>
        <w:rPr>
          <w:rFonts w:ascii="Times" w:hAnsi="Times"/>
          <w:noProof/>
          <w:sz w:val="24"/>
          <w:vertAlign w:val="superscript"/>
        </w:rPr>
        <w:t xml:space="preserve"> </w:t>
      </w:r>
    </w:p>
    <w:p w:rsidR="000B7D3F" w:rsidRDefault="00895A04">
      <w:pPr>
        <w:jc w:val="both"/>
        <w:rPr>
          <w:rFonts w:ascii="Times New Roman" w:hAnsi="Times New Roman"/>
          <w:noProof/>
          <w:sz w:val="24"/>
          <w:szCs w:val="24"/>
        </w:rPr>
      </w:pPr>
      <w:r>
        <w:rPr>
          <w:rFonts w:ascii="Times New Roman" w:hAnsi="Times New Roman"/>
          <w:noProof/>
          <w:sz w:val="24"/>
        </w:rPr>
        <w:t>(18) Az elemzésre másodelemzés, online felmérés, interjúk és (négy tagállamban, Belgiumban, Franciaországban, Németországban és Lengyelországban készített) négy esettanulmány</w:t>
      </w:r>
      <w:r>
        <w:rPr>
          <w:noProof/>
        </w:rPr>
        <w:footnoteReference w:id="19"/>
      </w:r>
      <w:r>
        <w:rPr>
          <w:rFonts w:ascii="Times New Roman" w:hAnsi="Times New Roman"/>
          <w:noProof/>
          <w:sz w:val="24"/>
        </w:rPr>
        <w:t xml:space="preserve"> révén került sor. Az értékelők tagállamok ha</w:t>
      </w:r>
      <w:r>
        <w:rPr>
          <w:rFonts w:ascii="Times New Roman" w:hAnsi="Times New Roman"/>
          <w:noProof/>
          <w:sz w:val="24"/>
        </w:rPr>
        <w:t>tóságaival; tűzfegyverek gyártóival, kereskedőivel és közvetítőivel; tűzfegyverhasználókkal, ideértve vadászokat és céllövőket; nemzetközi testületekkel, szövetségekkel, kutatóintézetekkel és más szakértőkkel léptek kapcsolatba. Az online felmérést 83 érde</w:t>
      </w:r>
      <w:r>
        <w:rPr>
          <w:rFonts w:ascii="Times New Roman" w:hAnsi="Times New Roman"/>
          <w:noProof/>
          <w:sz w:val="24"/>
        </w:rPr>
        <w:t>kelt fél töltötte ki (34 tagállami hatóság, 28 iparági képviselő, 16 használó és 5 szakértő), az interjúkat 56 érdekelttel készítették (23 tagállami hatósággal, 16 iparági érdekelttel, 9 használóval és 8 szakértővel), míg az esettanulmányokhoz 30 érintette</w:t>
      </w:r>
      <w:r>
        <w:rPr>
          <w:rFonts w:ascii="Times New Roman" w:hAnsi="Times New Roman"/>
          <w:noProof/>
          <w:sz w:val="24"/>
        </w:rPr>
        <w:t>t kérdeztek meg (12 tagállami hatóságot, 8 iparági érdekeltet, 8 használót és 2 szakértőt).</w:t>
      </w:r>
    </w:p>
    <w:p w:rsidR="000B7D3F" w:rsidRDefault="00895A04">
      <w:pPr>
        <w:jc w:val="both"/>
        <w:rPr>
          <w:rFonts w:ascii="Times New Roman" w:hAnsi="Times New Roman"/>
          <w:noProof/>
          <w:sz w:val="24"/>
          <w:szCs w:val="24"/>
        </w:rPr>
      </w:pPr>
      <w:r>
        <w:rPr>
          <w:rFonts w:ascii="Times New Roman" w:hAnsi="Times New Roman"/>
          <w:noProof/>
          <w:sz w:val="24"/>
        </w:rPr>
        <w:t>(19) A vizsgálat első hónapjai óta az értékelők jelezték a kulcsfontosságú adatok hiányát mind a piaci, mind a biztonsági szemponttal kapcsolatban. Ami a piaci szem</w:t>
      </w:r>
      <w:r>
        <w:rPr>
          <w:rFonts w:ascii="Times New Roman" w:hAnsi="Times New Roman"/>
          <w:noProof/>
          <w:sz w:val="24"/>
        </w:rPr>
        <w:t>pontot illeti, a nemzeti és uniós szinten rendelkezésre álló statisztikák általában nem tettek különbséget a polgári és a katonai tűzfegyverek között (nehézzé téve ezzel a polgári célú tűzfegyverekre vonatkozó adatok elkülönítését). Még akkor is, amikor ez</w:t>
      </w:r>
      <w:r>
        <w:rPr>
          <w:rFonts w:ascii="Times New Roman" w:hAnsi="Times New Roman"/>
          <w:noProof/>
          <w:sz w:val="24"/>
        </w:rPr>
        <w:t xml:space="preserve"> lehetséges volt, az adatok (titoktartás miatt) nem mindig álltak rendelkezésre tagállami szinten minden országra vonatkozóan, ami nem tette lehetővé a gyártási trendek időbeli nyomon követését. Végül a szektorban működő legfontosabb vállalat nem nagyon bi</w:t>
      </w:r>
      <w:r>
        <w:rPr>
          <w:rFonts w:ascii="Times New Roman" w:hAnsi="Times New Roman"/>
          <w:noProof/>
          <w:sz w:val="24"/>
        </w:rPr>
        <w:t>ztosított hozzáférést az információkhoz. A biztonságot illetően a fő probléma az EU-ban forgalomban levő és/vagy illegálisan használt és kereskedett tűzfegyverek típusaira/kategóriáira vonatkozó alábontott adatok hiánya volt, valamint a polgári célú tűzfeg</w:t>
      </w:r>
      <w:r>
        <w:rPr>
          <w:rFonts w:ascii="Times New Roman" w:hAnsi="Times New Roman"/>
          <w:noProof/>
          <w:sz w:val="24"/>
        </w:rPr>
        <w:t>yverekkel elkövetett bűncselekmények és -tettek trendjeire vonatkozó összehasonlítható és részletes adatok hiánya uniós szinten. Egy másik megkötés egyes rendelkezések végrehajtásának adminisztratív terhét és költségét számszerűsítő adatok korlátozott hozz</w:t>
      </w:r>
      <w:r>
        <w:rPr>
          <w:rFonts w:ascii="Times New Roman" w:hAnsi="Times New Roman"/>
          <w:noProof/>
          <w:sz w:val="24"/>
        </w:rPr>
        <w:t xml:space="preserve">áférésével volt összefüggésben. </w:t>
      </w:r>
    </w:p>
    <w:p w:rsidR="000B7D3F" w:rsidRDefault="00895A04">
      <w:pPr>
        <w:pStyle w:val="Heading1"/>
        <w:rPr>
          <w:rFonts w:ascii="Times New Roman" w:hAnsi="Times New Roman"/>
          <w:noProof/>
          <w:sz w:val="24"/>
        </w:rPr>
      </w:pPr>
      <w:r>
        <w:rPr>
          <w:rFonts w:ascii="Times New Roman" w:hAnsi="Times New Roman"/>
          <w:noProof/>
          <w:sz w:val="24"/>
        </w:rPr>
        <w:t xml:space="preserve">5. Megállapítások </w:t>
      </w:r>
    </w:p>
    <w:p w:rsidR="000B7D3F" w:rsidRDefault="00895A04">
      <w:pPr>
        <w:pStyle w:val="Heading2"/>
        <w:rPr>
          <w:rFonts w:ascii="Times New Roman" w:hAnsi="Times New Roman"/>
          <w:i w:val="0"/>
          <w:noProof/>
          <w:sz w:val="24"/>
        </w:rPr>
      </w:pPr>
      <w:r>
        <w:rPr>
          <w:rFonts w:ascii="Times New Roman" w:hAnsi="Times New Roman"/>
          <w:i w:val="0"/>
          <w:noProof/>
          <w:sz w:val="24"/>
        </w:rPr>
        <w:t>5.1 Értékelési kritériumok</w:t>
      </w:r>
    </w:p>
    <w:p w:rsidR="000B7D3F" w:rsidRDefault="00895A04">
      <w:pPr>
        <w:pStyle w:val="Heading3"/>
        <w:ind w:firstLine="708"/>
        <w:rPr>
          <w:rFonts w:ascii="Times New Roman" w:hAnsi="Times New Roman"/>
          <w:i/>
          <w:noProof/>
          <w:sz w:val="24"/>
        </w:rPr>
      </w:pPr>
      <w:r>
        <w:rPr>
          <w:rFonts w:ascii="Times New Roman" w:hAnsi="Times New Roman"/>
          <w:i/>
          <w:noProof/>
          <w:sz w:val="24"/>
        </w:rPr>
        <w:t>5.1.1 Eredményesség</w:t>
      </w:r>
    </w:p>
    <w:p w:rsidR="000B7D3F" w:rsidRDefault="00895A04">
      <w:pPr>
        <w:spacing w:after="0"/>
        <w:jc w:val="both"/>
        <w:rPr>
          <w:rFonts w:ascii="Times New Roman" w:hAnsi="Times New Roman"/>
          <w:noProof/>
          <w:sz w:val="24"/>
          <w:szCs w:val="24"/>
        </w:rPr>
      </w:pPr>
      <w:r>
        <w:rPr>
          <w:rFonts w:ascii="Times New Roman" w:hAnsi="Times New Roman"/>
          <w:noProof/>
          <w:sz w:val="24"/>
        </w:rPr>
        <w:t>(20) Az irányelv pozitívan járult hozzá egy jól működő belső tűzfegyverpiac létrehozásához, ami az irányelv egyik célja. Ugyanakkor a megbízott arra következ</w:t>
      </w:r>
      <w:r>
        <w:rPr>
          <w:rFonts w:ascii="Times New Roman" w:hAnsi="Times New Roman"/>
          <w:noProof/>
          <w:sz w:val="24"/>
        </w:rPr>
        <w:t>tetésre jutott, hogy az irányelv potenciális hozzájárulása fokozható lenne. Először is, kategóriák és azokkal összefüggő szabályozói rendszerek bevezetése lehetővé tette a belső ellenőrzések eltörlésével kapcsolatos potenciális piaci torzulások megelőzését</w:t>
      </w:r>
      <w:r>
        <w:rPr>
          <w:rFonts w:ascii="Times New Roman" w:hAnsi="Times New Roman"/>
          <w:noProof/>
          <w:sz w:val="24"/>
        </w:rPr>
        <w:t>, megteremtve így egy belső piacot. 2005</w:t>
      </w:r>
      <w:r>
        <w:rPr>
          <w:rStyle w:val="FootnoteReference"/>
          <w:rFonts w:ascii="Times New Roman" w:hAnsi="Times New Roman"/>
          <w:noProof/>
          <w:sz w:val="24"/>
        </w:rPr>
        <w:footnoteReference w:id="20"/>
      </w:r>
      <w:r>
        <w:rPr>
          <w:rFonts w:ascii="Times New Roman" w:hAnsi="Times New Roman"/>
          <w:noProof/>
          <w:sz w:val="24"/>
        </w:rPr>
        <w:t xml:space="preserve"> óta az EU-n belüli kereskedelem meglehetősen stabil maradt. Ugyanakkor az irányelvi rendelkezések eltérő értelmezései korlátozták az uniós beavatkozás várt előnyeinek mértékét. Az érdekeltek (ipar és használók) szá</w:t>
      </w:r>
      <w:r>
        <w:rPr>
          <w:rFonts w:ascii="Times New Roman" w:hAnsi="Times New Roman"/>
          <w:noProof/>
          <w:sz w:val="24"/>
        </w:rPr>
        <w:t>mos gondot vetettek fel specifikus akadályokkal és eljárási terhekkel kapcsolatban, különösen azért, mert információs költségeket kell viselniük, hogy megértsék a többi tagállamban foganatosított szabályokat és eljárásokat (különösen az EFP-t illetően). An</w:t>
      </w:r>
      <w:r>
        <w:rPr>
          <w:rFonts w:ascii="Times New Roman" w:hAnsi="Times New Roman"/>
          <w:noProof/>
          <w:sz w:val="24"/>
        </w:rPr>
        <w:t>nak ellenére, hogy a Bizottság 2009-ben</w:t>
      </w:r>
      <w:r>
        <w:rPr>
          <w:rStyle w:val="FootnoteReference"/>
          <w:rFonts w:ascii="Times New Roman" w:hAnsi="Times New Roman"/>
          <w:noProof/>
          <w:sz w:val="24"/>
        </w:rPr>
        <w:footnoteReference w:id="21"/>
      </w:r>
      <w:r>
        <w:rPr>
          <w:rFonts w:ascii="Times New Roman" w:hAnsi="Times New Roman"/>
          <w:noProof/>
          <w:sz w:val="24"/>
        </w:rPr>
        <w:t xml:space="preserve"> kapcsolattartó csoportot alapított az információcsere megkönnyítésére, a megkérdezett érdekeltek továbbra is a tagállamok közötti hasznos információk közlése további javításának szükségességét jelzik. </w:t>
      </w:r>
    </w:p>
    <w:p w:rsidR="000B7D3F" w:rsidRDefault="000B7D3F">
      <w:pPr>
        <w:spacing w:after="0"/>
        <w:rPr>
          <w:rFonts w:ascii="Times New Roman" w:hAnsi="Times New Roman"/>
          <w:noProof/>
          <w:sz w:val="24"/>
          <w:szCs w:val="24"/>
        </w:rPr>
      </w:pPr>
    </w:p>
    <w:p w:rsidR="000B7D3F" w:rsidRDefault="00895A04">
      <w:pPr>
        <w:spacing w:after="0"/>
        <w:jc w:val="both"/>
        <w:rPr>
          <w:rFonts w:ascii="Times New Roman" w:hAnsi="Times New Roman"/>
          <w:noProof/>
          <w:sz w:val="24"/>
          <w:szCs w:val="24"/>
        </w:rPr>
      </w:pPr>
      <w:r>
        <w:rPr>
          <w:rFonts w:ascii="Times New Roman" w:hAnsi="Times New Roman"/>
          <w:noProof/>
          <w:sz w:val="24"/>
        </w:rPr>
        <w:t xml:space="preserve">(21) A </w:t>
      </w:r>
      <w:r>
        <w:rPr>
          <w:rFonts w:ascii="Times New Roman" w:hAnsi="Times New Roman"/>
          <w:noProof/>
          <w:sz w:val="24"/>
        </w:rPr>
        <w:t>„biztonsági” céllal (vagyis a polgárok és a legális tűzfegyverpiac védelmével) kapcsolatban növelték a biztonság szintjét, valamint a tiltott tűzfegyver-kereskedelem és a bűncselekmények elleni védelem szintjét az alábbiak bevezetésével:</w:t>
      </w:r>
    </w:p>
    <w:p w:rsidR="000B7D3F" w:rsidRDefault="00895A04">
      <w:pPr>
        <w:numPr>
          <w:ilvl w:val="0"/>
          <w:numId w:val="8"/>
        </w:numPr>
        <w:spacing w:after="0"/>
        <w:jc w:val="both"/>
        <w:rPr>
          <w:rFonts w:ascii="Times New Roman" w:hAnsi="Times New Roman"/>
          <w:noProof/>
          <w:sz w:val="24"/>
          <w:szCs w:val="24"/>
        </w:rPr>
      </w:pPr>
      <w:r>
        <w:rPr>
          <w:rFonts w:ascii="Times New Roman" w:hAnsi="Times New Roman"/>
          <w:noProof/>
          <w:sz w:val="24"/>
        </w:rPr>
        <w:t>nyomonkövetési köv</w:t>
      </w:r>
      <w:r>
        <w:rPr>
          <w:rFonts w:ascii="Times New Roman" w:hAnsi="Times New Roman"/>
          <w:noProof/>
          <w:sz w:val="24"/>
        </w:rPr>
        <w:t xml:space="preserve">etelmények tagállami hatóságok (azaz számítógépes nyilvántartás) és kereskedők (minden tűzfegyverügylet nyilvántartása) számára – 4. cikk; </w:t>
      </w:r>
    </w:p>
    <w:p w:rsidR="000B7D3F" w:rsidRDefault="00895A04">
      <w:pPr>
        <w:numPr>
          <w:ilvl w:val="0"/>
          <w:numId w:val="8"/>
        </w:numPr>
        <w:spacing w:after="0"/>
        <w:jc w:val="both"/>
        <w:rPr>
          <w:rFonts w:ascii="Times New Roman" w:hAnsi="Times New Roman"/>
          <w:noProof/>
          <w:sz w:val="24"/>
          <w:szCs w:val="24"/>
        </w:rPr>
      </w:pPr>
      <w:r>
        <w:rPr>
          <w:rFonts w:ascii="Times New Roman" w:hAnsi="Times New Roman"/>
          <w:noProof/>
          <w:sz w:val="24"/>
        </w:rPr>
        <w:t xml:space="preserve">jelölési követelmények gyártók számára (még akkor is, ha bizonyos aggodalmak merültek fel az eltávolított jelölések </w:t>
      </w:r>
      <w:r>
        <w:rPr>
          <w:rFonts w:ascii="Times New Roman" w:hAnsi="Times New Roman"/>
          <w:noProof/>
          <w:sz w:val="24"/>
        </w:rPr>
        <w:t>eseteivel kapcsolatban) – 4. cikk (4) bekezdés;</w:t>
      </w:r>
    </w:p>
    <w:p w:rsidR="000B7D3F" w:rsidRDefault="00895A04">
      <w:pPr>
        <w:numPr>
          <w:ilvl w:val="0"/>
          <w:numId w:val="8"/>
        </w:numPr>
        <w:spacing w:after="0"/>
        <w:jc w:val="both"/>
        <w:rPr>
          <w:rFonts w:ascii="Times New Roman" w:hAnsi="Times New Roman"/>
          <w:noProof/>
          <w:sz w:val="24"/>
          <w:szCs w:val="24"/>
        </w:rPr>
      </w:pPr>
      <w:r>
        <w:rPr>
          <w:rFonts w:ascii="Times New Roman" w:hAnsi="Times New Roman"/>
          <w:noProof/>
          <w:sz w:val="24"/>
        </w:rPr>
        <w:t>a tűzfegyverek megszerzésére és birtoklására vonatkozó minimumkövetelmények – 5. cikk.</w:t>
      </w:r>
    </w:p>
    <w:p w:rsidR="000B7D3F" w:rsidRDefault="00895A04">
      <w:pPr>
        <w:spacing w:after="0"/>
        <w:jc w:val="both"/>
        <w:rPr>
          <w:rFonts w:ascii="Times New Roman" w:hAnsi="Times New Roman"/>
          <w:noProof/>
          <w:sz w:val="24"/>
          <w:szCs w:val="24"/>
        </w:rPr>
      </w:pPr>
      <w:r>
        <w:rPr>
          <w:rFonts w:ascii="Times New Roman" w:hAnsi="Times New Roman"/>
          <w:noProof/>
          <w:sz w:val="24"/>
        </w:rPr>
        <w:t>Ugyanakkor van még javítási lehetőség riasztófegyverek átalakításának, hatástalanított tűzfegyverek reaktiválásának, tűzf</w:t>
      </w:r>
      <w:r>
        <w:rPr>
          <w:rFonts w:ascii="Times New Roman" w:hAnsi="Times New Roman"/>
          <w:noProof/>
          <w:sz w:val="24"/>
        </w:rPr>
        <w:t>egyveralkatrészek illegális kereskedelmének jelentett eseteivel és az „alapvető alkotóelemek” értelmezésével kapcsolatban.</w:t>
      </w:r>
    </w:p>
    <w:p w:rsidR="000B7D3F" w:rsidRDefault="000B7D3F">
      <w:pPr>
        <w:spacing w:after="0"/>
        <w:jc w:val="both"/>
        <w:rPr>
          <w:rFonts w:ascii="Times New Roman" w:hAnsi="Times New Roman"/>
          <w:noProof/>
          <w:sz w:val="24"/>
          <w:szCs w:val="24"/>
        </w:rPr>
      </w:pPr>
    </w:p>
    <w:p w:rsidR="000B7D3F" w:rsidRDefault="00895A04">
      <w:pPr>
        <w:spacing w:after="0"/>
        <w:jc w:val="both"/>
        <w:rPr>
          <w:rFonts w:ascii="Times New Roman" w:hAnsi="Times New Roman"/>
          <w:noProof/>
          <w:sz w:val="24"/>
          <w:szCs w:val="24"/>
        </w:rPr>
      </w:pPr>
      <w:r>
        <w:rPr>
          <w:rFonts w:ascii="Times New Roman" w:hAnsi="Times New Roman"/>
          <w:noProof/>
          <w:sz w:val="24"/>
        </w:rPr>
        <w:t>(22) Átfogó adatok hiánya miatt az értékelő számára nehéz volt felmérni az irányelv eredményességét a biztonsági célokkal kapcsolatb</w:t>
      </w:r>
      <w:r>
        <w:rPr>
          <w:rFonts w:ascii="Times New Roman" w:hAnsi="Times New Roman"/>
          <w:noProof/>
          <w:sz w:val="24"/>
        </w:rPr>
        <w:t>an. Nevezetesen az elemzést gátolta egy információs bázis hiánya, ideértve specifikus és részletes adatokat legálisan tulajdonolt tűzfegyverekkel, átalakított riasztófegyverekkel és reaktivált tűzfegyverekkel az uniós tagállamokban elkövetett bűncselekmény</w:t>
      </w:r>
      <w:r>
        <w:rPr>
          <w:rFonts w:ascii="Times New Roman" w:hAnsi="Times New Roman"/>
          <w:noProof/>
          <w:sz w:val="24"/>
        </w:rPr>
        <w:t xml:space="preserve">ekre vonatkozóan. </w:t>
      </w:r>
    </w:p>
    <w:p w:rsidR="000B7D3F" w:rsidRDefault="000B7D3F">
      <w:pPr>
        <w:spacing w:after="0"/>
        <w:jc w:val="both"/>
        <w:rPr>
          <w:rFonts w:ascii="Times New Roman" w:hAnsi="Times New Roman"/>
          <w:noProof/>
          <w:sz w:val="24"/>
          <w:szCs w:val="24"/>
        </w:rPr>
      </w:pPr>
    </w:p>
    <w:p w:rsidR="000B7D3F" w:rsidRDefault="00895A04">
      <w:pPr>
        <w:pStyle w:val="Heading3"/>
        <w:ind w:firstLine="708"/>
        <w:rPr>
          <w:rFonts w:ascii="Times New Roman" w:hAnsi="Times New Roman"/>
          <w:i/>
          <w:noProof/>
          <w:sz w:val="24"/>
        </w:rPr>
      </w:pPr>
      <w:r>
        <w:rPr>
          <w:rFonts w:ascii="Times New Roman" w:hAnsi="Times New Roman"/>
          <w:i/>
          <w:noProof/>
          <w:sz w:val="24"/>
        </w:rPr>
        <w:t xml:space="preserve">5.1.2 Hatékonyság </w:t>
      </w:r>
    </w:p>
    <w:p w:rsidR="000B7D3F" w:rsidRDefault="00895A04">
      <w:pPr>
        <w:spacing w:after="0"/>
        <w:jc w:val="both"/>
        <w:rPr>
          <w:rFonts w:ascii="Times New Roman" w:hAnsi="Times New Roman"/>
          <w:noProof/>
          <w:sz w:val="24"/>
          <w:szCs w:val="24"/>
        </w:rPr>
      </w:pPr>
      <w:r>
        <w:rPr>
          <w:rFonts w:ascii="Times New Roman" w:hAnsi="Times New Roman"/>
          <w:noProof/>
          <w:sz w:val="24"/>
        </w:rPr>
        <w:t>(23) Az értékelés azonosította az irányelv egyes rendelkezéseinek végrehajtásához szükséges tevékenységekkel kapcsolatos költségeket (közvetlen megfelelési költségek – ideértve az adminisztratív terheket – és informá</w:t>
      </w:r>
      <w:r>
        <w:rPr>
          <w:rFonts w:ascii="Times New Roman" w:hAnsi="Times New Roman"/>
          <w:noProof/>
          <w:sz w:val="24"/>
        </w:rPr>
        <w:t>ciós költségek</w:t>
      </w:r>
      <w:r>
        <w:rPr>
          <w:rStyle w:val="FootnoteReference"/>
          <w:rFonts w:ascii="Times New Roman" w:hAnsi="Times New Roman"/>
          <w:noProof/>
          <w:sz w:val="24"/>
        </w:rPr>
        <w:footnoteReference w:id="22"/>
      </w:r>
      <w:r>
        <w:rPr>
          <w:rFonts w:ascii="Times New Roman" w:hAnsi="Times New Roman"/>
          <w:noProof/>
          <w:sz w:val="24"/>
        </w:rPr>
        <w:t>), és feltérképezte az azokat viselő érdekelteket. Az értékelés nem tartalmazott további követelmények teljesítése miatti költségeket, valamint a nemzeti végrehajtási eltérésekből fakadó költségeket.</w:t>
      </w:r>
    </w:p>
    <w:p w:rsidR="000B7D3F" w:rsidRDefault="000B7D3F">
      <w:pPr>
        <w:spacing w:after="0"/>
        <w:jc w:val="both"/>
        <w:rPr>
          <w:rFonts w:ascii="Times New Roman" w:hAnsi="Times New Roman"/>
          <w:noProof/>
          <w:sz w:val="24"/>
          <w:szCs w:val="24"/>
        </w:rPr>
      </w:pPr>
    </w:p>
    <w:p w:rsidR="000B7D3F" w:rsidRDefault="00895A04">
      <w:pPr>
        <w:spacing w:after="0"/>
        <w:jc w:val="both"/>
        <w:rPr>
          <w:rFonts w:ascii="Times New Roman" w:hAnsi="Times New Roman"/>
          <w:noProof/>
          <w:sz w:val="24"/>
          <w:szCs w:val="24"/>
        </w:rPr>
      </w:pPr>
      <w:r>
        <w:rPr>
          <w:rFonts w:ascii="Times New Roman" w:hAnsi="Times New Roman"/>
          <w:noProof/>
          <w:sz w:val="24"/>
        </w:rPr>
        <w:t xml:space="preserve">(24) Annak felmérése érdekében, hogy az </w:t>
      </w:r>
      <w:r>
        <w:rPr>
          <w:rFonts w:ascii="Times New Roman" w:hAnsi="Times New Roman"/>
          <w:noProof/>
          <w:sz w:val="24"/>
        </w:rPr>
        <w:t xml:space="preserve">irányelv céljait ésszerű költség mellett érték-e el, a költségekre vonatkozó mennyiségi adatok hiányában a megbízott minőségileg értékelte, hogy az egyes rendelkezésekkel kapcsolatos költségeket ésszerűnek tekintették-e az érdekeltek értékelése szerint. E </w:t>
      </w:r>
      <w:r>
        <w:rPr>
          <w:rFonts w:ascii="Times New Roman" w:hAnsi="Times New Roman"/>
          <w:noProof/>
          <w:sz w:val="24"/>
        </w:rPr>
        <w:t>minőségi értékelést három kritérium alkalmazásával végezték el: szolgált célok, érdekeltek részvétele és a költség természete. Az elemzésből úgy tűnik, hogy az átfogó eredményeket ésszerű költség mellett érték el. Legtöbbször a költségek igazságosan oszlan</w:t>
      </w:r>
      <w:r>
        <w:rPr>
          <w:rFonts w:ascii="Times New Roman" w:hAnsi="Times New Roman"/>
          <w:noProof/>
          <w:sz w:val="24"/>
        </w:rPr>
        <w:t>ak meg a különböző érdekeltek között. Az irányelv részleges harmonizálása negatív hatású közvetett költségeket eredményez bizonyos rendelkezésekkel (és az érdekeltek bizonyos kategóriáival) kapcsolatban, úgymint: EFP, kategóriák, kereskedők és közvetítők j</w:t>
      </w:r>
      <w:r>
        <w:rPr>
          <w:rFonts w:ascii="Times New Roman" w:hAnsi="Times New Roman"/>
          <w:noProof/>
          <w:sz w:val="24"/>
        </w:rPr>
        <w:t xml:space="preserve">egyzéke, információmegosztás, tűzfegyver-tulajdonlási követelmények, hatástalanítás, nyomonkövethetőség, jelölés. </w:t>
      </w:r>
    </w:p>
    <w:p w:rsidR="000B7D3F" w:rsidRDefault="000B7D3F">
      <w:pPr>
        <w:spacing w:after="0"/>
        <w:jc w:val="both"/>
        <w:rPr>
          <w:rFonts w:ascii="Times New Roman" w:hAnsi="Times New Roman"/>
          <w:noProof/>
          <w:sz w:val="24"/>
          <w:szCs w:val="24"/>
        </w:rPr>
      </w:pPr>
    </w:p>
    <w:p w:rsidR="000B7D3F" w:rsidRDefault="00895A04">
      <w:pPr>
        <w:spacing w:after="0"/>
        <w:jc w:val="both"/>
        <w:rPr>
          <w:rFonts w:ascii="Times New Roman" w:hAnsi="Times New Roman"/>
          <w:noProof/>
          <w:sz w:val="24"/>
          <w:szCs w:val="24"/>
        </w:rPr>
      </w:pPr>
      <w:r>
        <w:rPr>
          <w:rFonts w:ascii="Times New Roman" w:hAnsi="Times New Roman"/>
          <w:noProof/>
          <w:sz w:val="24"/>
        </w:rPr>
        <w:t>(25) Az ágazat különböző képviselői (gyártók és nemzeti szövetségek) szerint az adminisztratív teher főként nemzeti és bürokratikus hatástal</w:t>
      </w:r>
      <w:r>
        <w:rPr>
          <w:rFonts w:ascii="Times New Roman" w:hAnsi="Times New Roman"/>
          <w:noProof/>
          <w:sz w:val="24"/>
        </w:rPr>
        <w:t>anságokkal kapcsolatos, nem pedig az irányelv rendelkezéseivel. Példák: néha hosszú időbe telik az import- és exportengedélyek kiadása az EU-n belüli szállításokhoz; nemzeti szinten bevezetett biztonsági követelmények (pl. riasztórendszerek kereskedőknek f</w:t>
      </w:r>
      <w:r>
        <w:rPr>
          <w:rFonts w:ascii="Times New Roman" w:hAnsi="Times New Roman"/>
          <w:noProof/>
          <w:sz w:val="24"/>
        </w:rPr>
        <w:t xml:space="preserve">elszámított kötelező vizsgálata). Az ágazat képviselői megerősítették, hogy ezek az adminisztratív terhek lelassíthatják a piaci mozgásokat. </w:t>
      </w:r>
    </w:p>
    <w:p w:rsidR="000B7D3F" w:rsidRDefault="000B7D3F">
      <w:pPr>
        <w:spacing w:after="0"/>
        <w:jc w:val="both"/>
        <w:rPr>
          <w:rFonts w:ascii="Times New Roman" w:hAnsi="Times New Roman"/>
          <w:noProof/>
          <w:sz w:val="24"/>
          <w:szCs w:val="24"/>
        </w:rPr>
      </w:pPr>
    </w:p>
    <w:p w:rsidR="000B7D3F" w:rsidRDefault="00895A04">
      <w:pPr>
        <w:spacing w:after="0"/>
        <w:jc w:val="both"/>
        <w:rPr>
          <w:rFonts w:ascii="Times New Roman" w:hAnsi="Times New Roman"/>
          <w:i/>
          <w:noProof/>
          <w:sz w:val="24"/>
        </w:rPr>
      </w:pPr>
      <w:r>
        <w:rPr>
          <w:rFonts w:ascii="Times New Roman" w:hAnsi="Times New Roman"/>
          <w:noProof/>
          <w:sz w:val="24"/>
        </w:rPr>
        <w:t>(26) A megbízott arra a következtetésre jutott, hogy magának az irányelvnek az átfogó eredményeit ésszerű költség</w:t>
      </w:r>
      <w:r>
        <w:rPr>
          <w:rFonts w:ascii="Times New Roman" w:hAnsi="Times New Roman"/>
          <w:noProof/>
          <w:sz w:val="24"/>
        </w:rPr>
        <w:t>ek mellett érték el. Az érdekeltek által érzékelt adminisztratív teher és költségek inkább az irányelvet nemzeti szinten végrehajtó adminisztratív eljárásokhoz kötődnek, és e költségek csökkentését javulásnak tekintenék.</w:t>
      </w:r>
    </w:p>
    <w:p w:rsidR="000B7D3F" w:rsidRDefault="00895A04">
      <w:pPr>
        <w:pStyle w:val="Heading3"/>
        <w:ind w:firstLine="708"/>
        <w:rPr>
          <w:rFonts w:ascii="Times New Roman" w:hAnsi="Times New Roman"/>
          <w:i/>
          <w:noProof/>
          <w:sz w:val="24"/>
        </w:rPr>
      </w:pPr>
      <w:r>
        <w:rPr>
          <w:rFonts w:ascii="Times New Roman" w:hAnsi="Times New Roman"/>
          <w:i/>
          <w:noProof/>
          <w:sz w:val="24"/>
        </w:rPr>
        <w:t xml:space="preserve">5.1.3 Következetesség </w:t>
      </w:r>
    </w:p>
    <w:p w:rsidR="000B7D3F" w:rsidRDefault="00895A04">
      <w:pPr>
        <w:spacing w:after="0"/>
        <w:jc w:val="both"/>
        <w:rPr>
          <w:rFonts w:ascii="Times New Roman" w:hAnsi="Times New Roman"/>
          <w:noProof/>
          <w:sz w:val="24"/>
          <w:szCs w:val="24"/>
        </w:rPr>
      </w:pPr>
      <w:r>
        <w:rPr>
          <w:rFonts w:ascii="Times New Roman" w:hAnsi="Times New Roman"/>
          <w:noProof/>
          <w:sz w:val="24"/>
        </w:rPr>
        <w:t xml:space="preserve">(27) Egy </w:t>
      </w:r>
      <w:r>
        <w:rPr>
          <w:rFonts w:ascii="Times New Roman" w:hAnsi="Times New Roman"/>
          <w:noProof/>
          <w:sz w:val="24"/>
        </w:rPr>
        <w:t>minimumkövetelményeket megállapító irányelv elfogadása bizonyos különbségeket eredményezett tagállami szintű alkalmazásában, ami kihatással van vagy a belső piaci vagy a biztonsági célokra.</w:t>
      </w:r>
    </w:p>
    <w:p w:rsidR="000B7D3F" w:rsidRDefault="000B7D3F">
      <w:pPr>
        <w:spacing w:after="0"/>
        <w:jc w:val="both"/>
        <w:rPr>
          <w:rFonts w:ascii="Times New Roman" w:hAnsi="Times New Roman"/>
          <w:noProof/>
          <w:sz w:val="24"/>
          <w:szCs w:val="24"/>
        </w:rPr>
      </w:pPr>
    </w:p>
    <w:p w:rsidR="000B7D3F" w:rsidRDefault="00895A04">
      <w:pPr>
        <w:spacing w:after="0"/>
        <w:jc w:val="both"/>
        <w:rPr>
          <w:rFonts w:ascii="Times New Roman" w:hAnsi="Times New Roman"/>
          <w:noProof/>
          <w:sz w:val="24"/>
          <w:szCs w:val="24"/>
        </w:rPr>
      </w:pPr>
      <w:r>
        <w:rPr>
          <w:rFonts w:ascii="Times New Roman" w:hAnsi="Times New Roman"/>
          <w:noProof/>
          <w:sz w:val="24"/>
        </w:rPr>
        <w:t>A belső piacra gyakorolt hatásban levő különbségekkel kapcsolatba</w:t>
      </w:r>
      <w:r>
        <w:rPr>
          <w:rFonts w:ascii="Times New Roman" w:hAnsi="Times New Roman"/>
          <w:noProof/>
          <w:sz w:val="24"/>
        </w:rPr>
        <w:t xml:space="preserve">n az értékelés az alábbiakat emelte ki: </w:t>
      </w:r>
    </w:p>
    <w:p w:rsidR="000B7D3F" w:rsidRDefault="00895A04">
      <w:pPr>
        <w:numPr>
          <w:ilvl w:val="0"/>
          <w:numId w:val="4"/>
        </w:numPr>
        <w:spacing w:after="0"/>
        <w:jc w:val="both"/>
        <w:rPr>
          <w:rFonts w:ascii="Times New Roman" w:hAnsi="Times New Roman"/>
          <w:noProof/>
          <w:sz w:val="24"/>
          <w:szCs w:val="24"/>
        </w:rPr>
      </w:pPr>
      <w:r>
        <w:rPr>
          <w:rFonts w:ascii="Times New Roman" w:hAnsi="Times New Roman"/>
          <w:noProof/>
          <w:sz w:val="24"/>
        </w:rPr>
        <w:t>eltérések a kategóriák alkalmazásában, különösen a C és a D kategória okoz zavart abban a dokumentumban, amelyet különböző országokban történő tűzfegyvervásárláskor követelnek meg, hátráltatva a tűzfegyverek mozgásá</w:t>
      </w:r>
      <w:r>
        <w:rPr>
          <w:rFonts w:ascii="Times New Roman" w:hAnsi="Times New Roman"/>
          <w:noProof/>
          <w:sz w:val="24"/>
        </w:rPr>
        <w:t xml:space="preserve">t Európában, és költségeket generálva; </w:t>
      </w:r>
    </w:p>
    <w:p w:rsidR="000B7D3F" w:rsidRDefault="00895A04">
      <w:pPr>
        <w:numPr>
          <w:ilvl w:val="0"/>
          <w:numId w:val="4"/>
        </w:numPr>
        <w:spacing w:after="0"/>
        <w:jc w:val="both"/>
        <w:rPr>
          <w:rFonts w:ascii="Times New Roman" w:hAnsi="Times New Roman"/>
          <w:noProof/>
          <w:sz w:val="24"/>
          <w:szCs w:val="24"/>
        </w:rPr>
      </w:pPr>
      <w:r>
        <w:rPr>
          <w:rFonts w:ascii="Times New Roman" w:hAnsi="Times New Roman"/>
          <w:noProof/>
          <w:sz w:val="24"/>
        </w:rPr>
        <w:t>az EFP-vel kapcsolatos rendelkezések alkalmazásának eltérései, például a megkövetelt dokumentumok száma. Ennek negatív hatása van, mivel akadályozza a tűzfegyverek zökkenőmentes átadását.</w:t>
      </w:r>
    </w:p>
    <w:p w:rsidR="000B7D3F" w:rsidRDefault="000B7D3F">
      <w:pPr>
        <w:spacing w:after="0"/>
        <w:ind w:left="720"/>
        <w:jc w:val="both"/>
        <w:rPr>
          <w:rFonts w:ascii="Times New Roman" w:hAnsi="Times New Roman"/>
          <w:noProof/>
          <w:sz w:val="24"/>
          <w:szCs w:val="24"/>
        </w:rPr>
      </w:pPr>
    </w:p>
    <w:p w:rsidR="000B7D3F" w:rsidRDefault="00895A04">
      <w:pPr>
        <w:spacing w:after="0"/>
        <w:jc w:val="both"/>
        <w:rPr>
          <w:rFonts w:ascii="Times New Roman" w:hAnsi="Times New Roman"/>
          <w:noProof/>
          <w:sz w:val="24"/>
          <w:szCs w:val="24"/>
        </w:rPr>
      </w:pPr>
      <w:r>
        <w:rPr>
          <w:rFonts w:ascii="Times New Roman" w:hAnsi="Times New Roman"/>
          <w:noProof/>
          <w:sz w:val="24"/>
        </w:rPr>
        <w:t xml:space="preserve">Az uniós polgárok </w:t>
      </w:r>
      <w:r>
        <w:rPr>
          <w:rFonts w:ascii="Times New Roman" w:hAnsi="Times New Roman"/>
          <w:noProof/>
          <w:sz w:val="24"/>
        </w:rPr>
        <w:t>biztonságára ható végrehajtási következetlenségek:</w:t>
      </w:r>
    </w:p>
    <w:p w:rsidR="000B7D3F" w:rsidRDefault="00895A04">
      <w:pPr>
        <w:numPr>
          <w:ilvl w:val="0"/>
          <w:numId w:val="5"/>
        </w:numPr>
        <w:spacing w:after="0"/>
        <w:jc w:val="both"/>
        <w:rPr>
          <w:rFonts w:ascii="Times New Roman" w:hAnsi="Times New Roman"/>
          <w:noProof/>
          <w:sz w:val="24"/>
          <w:szCs w:val="24"/>
        </w:rPr>
      </w:pPr>
      <w:r>
        <w:rPr>
          <w:rFonts w:ascii="Times New Roman" w:hAnsi="Times New Roman"/>
          <w:noProof/>
          <w:sz w:val="24"/>
        </w:rPr>
        <w:t>a jelölési előírások eltérései, mivel ezek korlátozzák a tűzfegyverek nyomon követésének képességét vagy a tiltott kereskedelem elleni harcra való képességet;</w:t>
      </w:r>
    </w:p>
    <w:p w:rsidR="000B7D3F" w:rsidRDefault="00895A04">
      <w:pPr>
        <w:numPr>
          <w:ilvl w:val="0"/>
          <w:numId w:val="5"/>
        </w:numPr>
        <w:spacing w:after="0"/>
        <w:jc w:val="both"/>
        <w:rPr>
          <w:rFonts w:ascii="Times New Roman" w:hAnsi="Times New Roman"/>
          <w:noProof/>
          <w:sz w:val="24"/>
          <w:szCs w:val="24"/>
        </w:rPr>
      </w:pPr>
      <w:r>
        <w:rPr>
          <w:rFonts w:ascii="Times New Roman" w:hAnsi="Times New Roman"/>
          <w:noProof/>
          <w:sz w:val="24"/>
        </w:rPr>
        <w:t>hatástalanítási technikák és előírások eltérés</w:t>
      </w:r>
      <w:r>
        <w:rPr>
          <w:rFonts w:ascii="Times New Roman" w:hAnsi="Times New Roman"/>
          <w:noProof/>
          <w:sz w:val="24"/>
        </w:rPr>
        <w:t>ei, valamint az azokat végrehajtó hatóság meghatározásában meglévő különbségek. Az ilyen különbségek aggodalomra adnak okot nemcsak amiatt, hogy a hatóság vagy a hatástalanításért felelős szereplő esetleg nem rendelkezik a szükséges műszaki jártassággal, h</w:t>
      </w:r>
      <w:r>
        <w:rPr>
          <w:rFonts w:ascii="Times New Roman" w:hAnsi="Times New Roman"/>
          <w:noProof/>
          <w:sz w:val="24"/>
        </w:rPr>
        <w:t>anem amiatt is, mert néhány tagállamban az előírásokat nem tartják elegendőnek;</w:t>
      </w:r>
    </w:p>
    <w:p w:rsidR="000B7D3F" w:rsidRDefault="00895A04">
      <w:pPr>
        <w:numPr>
          <w:ilvl w:val="0"/>
          <w:numId w:val="5"/>
        </w:numPr>
        <w:spacing w:after="0"/>
        <w:jc w:val="both"/>
        <w:rPr>
          <w:rFonts w:ascii="Times New Roman" w:hAnsi="Times New Roman"/>
          <w:noProof/>
          <w:sz w:val="24"/>
          <w:szCs w:val="24"/>
        </w:rPr>
      </w:pPr>
      <w:r>
        <w:rPr>
          <w:rFonts w:ascii="Times New Roman" w:hAnsi="Times New Roman"/>
          <w:noProof/>
          <w:sz w:val="24"/>
        </w:rPr>
        <w:t xml:space="preserve">a fegyverek nemzeti jogszabályokban szereplő kategorizálásai közötti különbségek gondokat okoznak a nyomonkövethetőségben és a bűnüldözésben. Különösen ez a helyzet, amikor az </w:t>
      </w:r>
      <w:r>
        <w:rPr>
          <w:rFonts w:ascii="Times New Roman" w:hAnsi="Times New Roman"/>
          <w:noProof/>
          <w:sz w:val="24"/>
        </w:rPr>
        <w:t xml:space="preserve">egyik tagállamban tűzfegyvernek tartott tárgyat egy másik tagállamba szállítják, ahol már nem tartják tűzfegyvernek, és így a hatóságok nyomát vesztik annak; </w:t>
      </w:r>
    </w:p>
    <w:p w:rsidR="000B7D3F" w:rsidRDefault="00895A04">
      <w:pPr>
        <w:numPr>
          <w:ilvl w:val="0"/>
          <w:numId w:val="5"/>
        </w:numPr>
        <w:spacing w:after="0"/>
        <w:jc w:val="both"/>
        <w:rPr>
          <w:rFonts w:ascii="Times New Roman" w:hAnsi="Times New Roman"/>
          <w:noProof/>
          <w:sz w:val="24"/>
          <w:szCs w:val="24"/>
        </w:rPr>
      </w:pPr>
      <w:r>
        <w:rPr>
          <w:rFonts w:ascii="Times New Roman" w:hAnsi="Times New Roman"/>
          <w:noProof/>
          <w:sz w:val="24"/>
        </w:rPr>
        <w:t>az irányelvben szereplő kulcsfontosságú fogalmak értelmezésének különbségei (alapvető alkotóeleme</w:t>
      </w:r>
      <w:r>
        <w:rPr>
          <w:rFonts w:ascii="Times New Roman" w:hAnsi="Times New Roman"/>
          <w:noProof/>
          <w:sz w:val="24"/>
        </w:rPr>
        <w:t>k, közvetítők, riasztófegyverek és antik fegyverek).</w:t>
      </w:r>
    </w:p>
    <w:p w:rsidR="000B7D3F" w:rsidRDefault="000B7D3F">
      <w:pPr>
        <w:spacing w:after="0"/>
        <w:jc w:val="both"/>
        <w:rPr>
          <w:rFonts w:ascii="Times New Roman" w:hAnsi="Times New Roman"/>
          <w:noProof/>
          <w:sz w:val="24"/>
          <w:szCs w:val="24"/>
        </w:rPr>
      </w:pPr>
    </w:p>
    <w:p w:rsidR="000B7D3F" w:rsidRDefault="00895A04">
      <w:pPr>
        <w:spacing w:after="0"/>
        <w:jc w:val="both"/>
        <w:rPr>
          <w:rFonts w:ascii="Times New Roman" w:hAnsi="Times New Roman"/>
          <w:noProof/>
          <w:sz w:val="24"/>
          <w:szCs w:val="24"/>
        </w:rPr>
      </w:pPr>
      <w:r>
        <w:rPr>
          <w:rFonts w:ascii="Times New Roman" w:hAnsi="Times New Roman"/>
          <w:noProof/>
          <w:sz w:val="24"/>
        </w:rPr>
        <w:t>Másrészt kiderült, hogy nincsenek kérdések a tulajdonjogi követelményekkel kapcsolatban, és az irányelv segített azok harmonizálásában.</w:t>
      </w:r>
    </w:p>
    <w:p w:rsidR="000B7D3F" w:rsidRDefault="000B7D3F">
      <w:pPr>
        <w:spacing w:after="0"/>
        <w:rPr>
          <w:rFonts w:ascii="Times New Roman" w:hAnsi="Times New Roman"/>
          <w:noProof/>
          <w:sz w:val="24"/>
          <w:szCs w:val="24"/>
        </w:rPr>
      </w:pPr>
    </w:p>
    <w:p w:rsidR="000B7D3F" w:rsidRDefault="00895A04">
      <w:pPr>
        <w:spacing w:after="0"/>
        <w:jc w:val="both"/>
        <w:rPr>
          <w:rStyle w:val="CommentReference"/>
          <w:rFonts w:ascii="Times New Roman" w:hAnsi="Times New Roman"/>
          <w:noProof/>
          <w:sz w:val="24"/>
          <w:szCs w:val="24"/>
        </w:rPr>
      </w:pPr>
      <w:r>
        <w:rPr>
          <w:rFonts w:ascii="Times New Roman" w:hAnsi="Times New Roman"/>
          <w:noProof/>
          <w:sz w:val="24"/>
        </w:rPr>
        <w:t>(28) Ami a tűzfegyverekről szóló irányelvnek az uniós jogszabályo</w:t>
      </w:r>
      <w:r>
        <w:rPr>
          <w:rFonts w:ascii="Times New Roman" w:hAnsi="Times New Roman"/>
          <w:noProof/>
          <w:sz w:val="24"/>
        </w:rPr>
        <w:t>kkal való következetességét illeti, a vizsgálat arra a következtetésre jutott, hogy a fő problémák az UNFP-vel kapcsolatosak. A 2008-as módosítás csak részben igazította hozzá az irányelv terminológiáját az UNFP-hez. Valójában az irányelv megkülönböztetést</w:t>
      </w:r>
      <w:r>
        <w:rPr>
          <w:rFonts w:ascii="Times New Roman" w:hAnsi="Times New Roman"/>
          <w:noProof/>
          <w:sz w:val="24"/>
        </w:rPr>
        <w:t xml:space="preserve"> vezetett be a lényeges részek és alkotóelemek között, ami nem tükröződik az ENSZ szövegében, amely „részekre és alkotóelemekre” hivatkozik. Ezenkívül az UNFP</w:t>
      </w:r>
      <w:r>
        <w:rPr>
          <w:rStyle w:val="FootnoteReference"/>
          <w:rFonts w:ascii="Times New Roman" w:hAnsi="Times New Roman"/>
          <w:noProof/>
          <w:sz w:val="24"/>
        </w:rPr>
        <w:footnoteReference w:id="23"/>
      </w:r>
      <w:r>
        <w:rPr>
          <w:rFonts w:ascii="Times New Roman" w:hAnsi="Times New Roman"/>
          <w:noProof/>
          <w:sz w:val="24"/>
        </w:rPr>
        <w:t xml:space="preserve"> lehetővé teszi a részes államok részére, hogy egy hatástalanított tűzfegyvert tűzfegyvernek isme</w:t>
      </w:r>
      <w:r>
        <w:rPr>
          <w:rFonts w:ascii="Times New Roman" w:hAnsi="Times New Roman"/>
          <w:noProof/>
          <w:sz w:val="24"/>
        </w:rPr>
        <w:t>rjenek el a belföldi jogszabályaiknak megfelelően, és bármely szükséges intézkedést ezen az alapon hozzanak meg.</w:t>
      </w:r>
    </w:p>
    <w:p w:rsidR="000B7D3F" w:rsidRDefault="00895A04">
      <w:pPr>
        <w:pStyle w:val="Heading3"/>
        <w:ind w:firstLine="708"/>
        <w:rPr>
          <w:rFonts w:ascii="Times New Roman" w:hAnsi="Times New Roman"/>
          <w:i/>
          <w:noProof/>
          <w:sz w:val="24"/>
        </w:rPr>
      </w:pPr>
      <w:r>
        <w:rPr>
          <w:rFonts w:ascii="Times New Roman" w:hAnsi="Times New Roman"/>
          <w:i/>
          <w:noProof/>
          <w:sz w:val="24"/>
        </w:rPr>
        <w:t xml:space="preserve">5.1.4 Relevancia </w:t>
      </w:r>
    </w:p>
    <w:p w:rsidR="000B7D3F" w:rsidRDefault="00895A04">
      <w:pPr>
        <w:spacing w:after="0"/>
        <w:jc w:val="both"/>
        <w:rPr>
          <w:rFonts w:ascii="Times New Roman" w:hAnsi="Times New Roman"/>
          <w:noProof/>
          <w:sz w:val="24"/>
        </w:rPr>
      </w:pPr>
      <w:r>
        <w:rPr>
          <w:rFonts w:ascii="Times New Roman" w:hAnsi="Times New Roman"/>
          <w:noProof/>
          <w:sz w:val="24"/>
        </w:rPr>
        <w:t>(29) Az értékelés következtetése az volt, hogy összességében a tűzfegyverekről szóló irányelv továbbra is teljes mértékben re</w:t>
      </w:r>
      <w:r>
        <w:rPr>
          <w:rFonts w:ascii="Times New Roman" w:hAnsi="Times New Roman"/>
          <w:noProof/>
          <w:sz w:val="24"/>
        </w:rPr>
        <w:t>leváns a jelenlegi piaci szükségletek (azaz a tűzfegyverek határokon át történő mozgatása) szempontjából. A gazdasági szereplők által felvetett aggodalmak főként a tagállamok által elfogadott különböző végrehajtási intézkedésekre és eljárásokra vonatkoznak</w:t>
      </w:r>
      <w:r>
        <w:rPr>
          <w:rFonts w:ascii="Times New Roman" w:hAnsi="Times New Roman"/>
          <w:noProof/>
          <w:sz w:val="24"/>
        </w:rPr>
        <w:t>, amelyek a tűzfegyverek határokon át történő mozgatására negatív hatást gyakorló további teher és költségek forrásai.</w:t>
      </w:r>
    </w:p>
    <w:p w:rsidR="000B7D3F" w:rsidRDefault="000B7D3F">
      <w:pPr>
        <w:spacing w:after="0"/>
        <w:jc w:val="both"/>
        <w:rPr>
          <w:rFonts w:ascii="Times New Roman" w:hAnsi="Times New Roman"/>
          <w:noProof/>
          <w:sz w:val="24"/>
        </w:rPr>
      </w:pPr>
    </w:p>
    <w:p w:rsidR="000B7D3F" w:rsidRDefault="00895A04">
      <w:pPr>
        <w:spacing w:after="0"/>
        <w:jc w:val="both"/>
        <w:rPr>
          <w:rFonts w:ascii="Times New Roman" w:hAnsi="Times New Roman"/>
          <w:noProof/>
          <w:sz w:val="24"/>
          <w:szCs w:val="24"/>
        </w:rPr>
      </w:pPr>
      <w:r>
        <w:rPr>
          <w:rFonts w:ascii="Times New Roman" w:hAnsi="Times New Roman"/>
          <w:noProof/>
          <w:sz w:val="24"/>
        </w:rPr>
        <w:t>(30) A biztonsági célokat illetően (pl. legálisan tartott tűzfegyverekhez kötődő bűncselekmények, eredetileg legálisan tartott tűzfegyve</w:t>
      </w:r>
      <w:r>
        <w:rPr>
          <w:rFonts w:ascii="Times New Roman" w:hAnsi="Times New Roman"/>
          <w:noProof/>
          <w:sz w:val="24"/>
        </w:rPr>
        <w:t>rek ellopása vagy elveszése, riasztófegyverek vagy hatástalanított tűzfegyverek átalakítása) az értékelők arra a következtetésre jutottak, hogy az irányelv a legtöbb biztonsági kockázat szempontjából releváns. Felsoroltak néhány tevékenységet, amelyeknek a</w:t>
      </w:r>
      <w:r>
        <w:rPr>
          <w:rFonts w:ascii="Times New Roman" w:hAnsi="Times New Roman"/>
          <w:noProof/>
          <w:sz w:val="24"/>
        </w:rPr>
        <w:t>z irányelv hatálya alá vonását meg kellene fontolni, vagy amelyeket jobban kellene leírni. Ezek: riasztófegyverek átalakítása; félautomata fegyverek átalakítása; hatástalanított tűzfegyverek reaktiválása; jelölés eltávolítása; örökölt fegyverek illegális h</w:t>
      </w:r>
      <w:r>
        <w:rPr>
          <w:rFonts w:ascii="Times New Roman" w:hAnsi="Times New Roman"/>
          <w:noProof/>
          <w:sz w:val="24"/>
        </w:rPr>
        <w:t>asználata. Ezen említett tevékenységek mindegyike biztonsági aggodalomra ad okot tagállami szinten. Végül az értékelők megjegyzik, hogy a jövőbeli technológiai fejlesztések, úgymint az új technológiák (ideértve a 3D-s nyomtatást) és új értékesítési csatorn</w:t>
      </w:r>
      <w:r>
        <w:rPr>
          <w:rFonts w:ascii="Times New Roman" w:hAnsi="Times New Roman"/>
          <w:noProof/>
          <w:sz w:val="24"/>
        </w:rPr>
        <w:t>ák (pl. az internet)</w:t>
      </w:r>
      <w:r>
        <w:rPr>
          <w:rStyle w:val="FootnoteReference"/>
          <w:rFonts w:ascii="Times New Roman" w:hAnsi="Times New Roman"/>
          <w:noProof/>
          <w:sz w:val="24"/>
        </w:rPr>
        <w:footnoteReference w:id="24"/>
      </w:r>
      <w:r>
        <w:rPr>
          <w:rFonts w:ascii="Times New Roman" w:hAnsi="Times New Roman"/>
          <w:noProof/>
          <w:sz w:val="24"/>
        </w:rPr>
        <w:t xml:space="preserve"> reagálást kényszeríthetnek ki a jövőben az irányelv hatályát illetően.</w:t>
      </w:r>
    </w:p>
    <w:p w:rsidR="000B7D3F" w:rsidRDefault="00895A04">
      <w:pPr>
        <w:pStyle w:val="Heading3"/>
        <w:ind w:firstLine="708"/>
        <w:rPr>
          <w:rFonts w:ascii="Times New Roman" w:hAnsi="Times New Roman"/>
          <w:i/>
          <w:noProof/>
          <w:sz w:val="24"/>
        </w:rPr>
      </w:pPr>
      <w:r>
        <w:rPr>
          <w:rFonts w:ascii="Times New Roman" w:hAnsi="Times New Roman"/>
          <w:i/>
          <w:noProof/>
          <w:sz w:val="24"/>
        </w:rPr>
        <w:t>5.1.5 Uniós hozzáadott érték</w:t>
      </w:r>
    </w:p>
    <w:p w:rsidR="000B7D3F" w:rsidRDefault="00895A04">
      <w:pPr>
        <w:spacing w:after="0"/>
        <w:jc w:val="both"/>
        <w:rPr>
          <w:rFonts w:ascii="Times New Roman" w:hAnsi="Times New Roman"/>
          <w:noProof/>
          <w:sz w:val="24"/>
          <w:szCs w:val="24"/>
        </w:rPr>
      </w:pPr>
      <w:r>
        <w:rPr>
          <w:rFonts w:ascii="Times New Roman" w:hAnsi="Times New Roman"/>
          <w:noProof/>
          <w:sz w:val="24"/>
        </w:rPr>
        <w:t>(31) A tűzfegyverek különleges természetű dolgok. A legtöbb biztonsági kérdés, amellyel a tűzfegyverekről szóló irányelv megpróbál meg</w:t>
      </w:r>
      <w:r>
        <w:rPr>
          <w:rFonts w:ascii="Times New Roman" w:hAnsi="Times New Roman"/>
          <w:noProof/>
          <w:sz w:val="24"/>
        </w:rPr>
        <w:t>birkózni, határokon átnyúló jellegű. Egy tagállam bűnözés általi sebezhetősége kihatással van az EU egészére (pl. riasztófegyverek átalakításának esetei). A nemzeti jogszabályok eltérései az ellenőrzések és a tagállamok közötti rendőrségi együttműködés aka</w:t>
      </w:r>
      <w:r>
        <w:rPr>
          <w:rFonts w:ascii="Times New Roman" w:hAnsi="Times New Roman"/>
          <w:noProof/>
          <w:sz w:val="24"/>
        </w:rPr>
        <w:t>dályai (pl. eltérő regisztrációs követelmények ugyanazon típusú tűzfegyverre). A vizsgálat következtetése, hogy csak uniós szinten lehet eredményes lépéseket tenni az uniós polgárok magas szintű biztonságának biztosítását és a tűzfegyverek határokon át tör</w:t>
      </w:r>
      <w:r>
        <w:rPr>
          <w:rFonts w:ascii="Times New Roman" w:hAnsi="Times New Roman"/>
          <w:noProof/>
          <w:sz w:val="24"/>
        </w:rPr>
        <w:t>ténő mozgatását jelentő célok elérése érdekében. A tűzfegyverekről szóló irányelv kétségbevonhatatlan hozzáadott értéke a tűzfegyverekre vonatkozó szabályozás közös keretszabályainak létrehozása, amit nemzeti vagy kétoldalú beavatkozásokkal nem lehetett vo</w:t>
      </w:r>
      <w:r>
        <w:rPr>
          <w:rFonts w:ascii="Times New Roman" w:hAnsi="Times New Roman"/>
          <w:noProof/>
          <w:sz w:val="24"/>
        </w:rPr>
        <w:t xml:space="preserve">lna elérni. </w:t>
      </w:r>
    </w:p>
    <w:p w:rsidR="000B7D3F" w:rsidRDefault="000B7D3F">
      <w:pPr>
        <w:spacing w:after="0"/>
        <w:jc w:val="both"/>
        <w:rPr>
          <w:rFonts w:ascii="Times New Roman" w:hAnsi="Times New Roman"/>
          <w:noProof/>
          <w:sz w:val="24"/>
          <w:szCs w:val="24"/>
        </w:rPr>
      </w:pPr>
    </w:p>
    <w:p w:rsidR="000B7D3F" w:rsidRDefault="00895A04">
      <w:pPr>
        <w:spacing w:after="0"/>
        <w:jc w:val="both"/>
        <w:rPr>
          <w:rFonts w:ascii="Times New Roman" w:hAnsi="Times New Roman"/>
          <w:noProof/>
          <w:sz w:val="24"/>
          <w:szCs w:val="24"/>
        </w:rPr>
      </w:pPr>
      <w:r>
        <w:rPr>
          <w:rFonts w:ascii="Times New Roman" w:hAnsi="Times New Roman"/>
          <w:noProof/>
          <w:sz w:val="24"/>
        </w:rPr>
        <w:t>(32) A magas szintű biztonság fenntartását és a belső piac erősítését magának az irányelvnek a rugalmas természete tett lehetővé. Az irányelv közös minimumkövetelményeket állapít meg, miközben tiszteletben tartja a szubszidiaritás elvét, és m</w:t>
      </w:r>
      <w:r>
        <w:rPr>
          <w:rFonts w:ascii="Times New Roman" w:hAnsi="Times New Roman"/>
          <w:noProof/>
          <w:sz w:val="24"/>
        </w:rPr>
        <w:t>eghagyja a lehetőséget a tagállamok számára, hogy nemzeti szükségleteik és hátterük szerint szigorúbb szabályokat fogadjanak el. Ezenkívül a tagállamok és az EU polgárai garanciát kaptak, hogy az irányelvben foglalt, Európában gyártott és forgalmazott tűzf</w:t>
      </w:r>
      <w:r>
        <w:rPr>
          <w:rFonts w:ascii="Times New Roman" w:hAnsi="Times New Roman"/>
          <w:noProof/>
          <w:sz w:val="24"/>
        </w:rPr>
        <w:t xml:space="preserve">egyverekre vonatkozó közös biztonsági intézkedések valamennyi tagállamban érvényesek. </w:t>
      </w:r>
    </w:p>
    <w:p w:rsidR="000B7D3F" w:rsidRDefault="000B7D3F">
      <w:pPr>
        <w:spacing w:after="0"/>
        <w:jc w:val="both"/>
        <w:rPr>
          <w:rFonts w:ascii="Times New Roman" w:hAnsi="Times New Roman"/>
          <w:noProof/>
          <w:sz w:val="24"/>
          <w:szCs w:val="24"/>
        </w:rPr>
      </w:pPr>
    </w:p>
    <w:p w:rsidR="000B7D3F" w:rsidRDefault="00895A04">
      <w:pPr>
        <w:spacing w:after="0"/>
        <w:jc w:val="both"/>
        <w:rPr>
          <w:rFonts w:ascii="Times New Roman" w:hAnsi="Times New Roman"/>
          <w:noProof/>
          <w:sz w:val="24"/>
          <w:szCs w:val="24"/>
        </w:rPr>
      </w:pPr>
      <w:r>
        <w:rPr>
          <w:rFonts w:ascii="Times New Roman" w:hAnsi="Times New Roman"/>
          <w:noProof/>
          <w:sz w:val="24"/>
        </w:rPr>
        <w:t>(33) A minimumküszöb hozzájárul a belső piac működéséhez és a törvényes tűzfegyverpiac megerősítéséhez is. A piacot illetően az uniós beavatkozás várt jelentősebb hozzá</w:t>
      </w:r>
      <w:r>
        <w:rPr>
          <w:rFonts w:ascii="Times New Roman" w:hAnsi="Times New Roman"/>
          <w:noProof/>
          <w:sz w:val="24"/>
        </w:rPr>
        <w:t>járulását (közös kategóriák megállapítása) hátráltatták a tagállami szintű végrehajtás eltérései. Ugyanakkor az EFP eredményessége az EU beavatkozása potenciális hozzáadott értékének példája a vadászok és céllövők határokon át történő mozgásának támogatása</w:t>
      </w:r>
      <w:r>
        <w:rPr>
          <w:rFonts w:ascii="Times New Roman" w:hAnsi="Times New Roman"/>
          <w:noProof/>
          <w:sz w:val="24"/>
        </w:rPr>
        <w:t xml:space="preserve"> tekintetében. </w:t>
      </w:r>
    </w:p>
    <w:p w:rsidR="000B7D3F" w:rsidRDefault="000B7D3F">
      <w:pPr>
        <w:spacing w:after="0"/>
        <w:jc w:val="both"/>
        <w:rPr>
          <w:rFonts w:ascii="Times New Roman" w:hAnsi="Times New Roman"/>
          <w:noProof/>
          <w:sz w:val="24"/>
          <w:szCs w:val="24"/>
        </w:rPr>
      </w:pPr>
    </w:p>
    <w:p w:rsidR="000B7D3F" w:rsidRDefault="00895A04">
      <w:pPr>
        <w:pStyle w:val="Heading2"/>
        <w:rPr>
          <w:rFonts w:ascii="Times New Roman" w:hAnsi="Times New Roman"/>
          <w:i w:val="0"/>
          <w:noProof/>
          <w:sz w:val="24"/>
        </w:rPr>
      </w:pPr>
      <w:r>
        <w:rPr>
          <w:rFonts w:ascii="Times New Roman" w:hAnsi="Times New Roman"/>
          <w:i w:val="0"/>
          <w:noProof/>
          <w:sz w:val="24"/>
        </w:rPr>
        <w:t xml:space="preserve">5.2 Ajánlások </w:t>
      </w:r>
    </w:p>
    <w:p w:rsidR="000B7D3F" w:rsidRDefault="00895A04">
      <w:pPr>
        <w:spacing w:after="0"/>
        <w:jc w:val="both"/>
        <w:rPr>
          <w:rFonts w:ascii="Times New Roman" w:hAnsi="Times New Roman"/>
          <w:noProof/>
          <w:sz w:val="24"/>
          <w:szCs w:val="24"/>
        </w:rPr>
      </w:pPr>
      <w:r>
        <w:rPr>
          <w:rFonts w:ascii="Times New Roman" w:hAnsi="Times New Roman"/>
          <w:noProof/>
          <w:sz w:val="24"/>
        </w:rPr>
        <w:t>(34) A vizsgálat megállapításai alapján a megbízott egy sor ajánlást fogalmazott meg, felosztva jogalkotási beavatkozást igénylő és nem igénylő intézkedésekre.</w:t>
      </w:r>
    </w:p>
    <w:p w:rsidR="000B7D3F" w:rsidRDefault="000B7D3F">
      <w:pPr>
        <w:spacing w:after="0"/>
        <w:rPr>
          <w:rFonts w:ascii="Times New Roman" w:hAnsi="Times New Roman"/>
          <w:noProof/>
          <w:sz w:val="24"/>
          <w:szCs w:val="24"/>
        </w:rPr>
      </w:pPr>
    </w:p>
    <w:p w:rsidR="000B7D3F" w:rsidRDefault="00895A04">
      <w:pPr>
        <w:numPr>
          <w:ilvl w:val="0"/>
          <w:numId w:val="7"/>
        </w:numPr>
        <w:spacing w:after="0"/>
        <w:jc w:val="both"/>
        <w:rPr>
          <w:rFonts w:ascii="Times New Roman" w:hAnsi="Times New Roman"/>
          <w:b/>
          <w:i/>
          <w:noProof/>
          <w:sz w:val="24"/>
          <w:szCs w:val="24"/>
          <w:u w:val="single"/>
        </w:rPr>
      </w:pPr>
      <w:r>
        <w:rPr>
          <w:rFonts w:ascii="Times New Roman" w:hAnsi="Times New Roman"/>
          <w:b/>
          <w:noProof/>
          <w:sz w:val="24"/>
        </w:rPr>
        <w:t xml:space="preserve">Riasztófegyverek átalakíthatóságára vonatkozó közös kritériumok </w:t>
      </w:r>
      <w:r>
        <w:rPr>
          <w:rFonts w:ascii="Times New Roman" w:hAnsi="Times New Roman"/>
          <w:b/>
          <w:i/>
          <w:noProof/>
          <w:sz w:val="24"/>
          <w:u w:val="single"/>
        </w:rPr>
        <w:t>(jogalkotás)</w:t>
      </w:r>
    </w:p>
    <w:p w:rsidR="000B7D3F" w:rsidRDefault="00895A04">
      <w:pPr>
        <w:spacing w:after="0"/>
        <w:jc w:val="both"/>
        <w:rPr>
          <w:rFonts w:ascii="Times New Roman" w:hAnsi="Times New Roman"/>
          <w:noProof/>
          <w:sz w:val="24"/>
          <w:szCs w:val="24"/>
        </w:rPr>
      </w:pPr>
      <w:r>
        <w:rPr>
          <w:rFonts w:ascii="Times New Roman" w:hAnsi="Times New Roman"/>
          <w:noProof/>
          <w:sz w:val="24"/>
        </w:rPr>
        <w:t xml:space="preserve">Az értékelés kiemelte az átalakíthatóság definíciója és a riasztófegyverek meghatározását szolgáló kritériumok tisztázásának fontosságát, hogy egyetértés alakuljon ki, milyen típusú riasztófegyvereket lehet átalakítani, és korlátozzák azoknak a forgalmát, </w:t>
      </w:r>
      <w:r>
        <w:rPr>
          <w:rFonts w:ascii="Times New Roman" w:hAnsi="Times New Roman"/>
          <w:noProof/>
          <w:sz w:val="24"/>
        </w:rPr>
        <w:t xml:space="preserve">amelyekről bebizonyosodott, hogy működőképes tűzfegyverekké alakíthatóak. </w:t>
      </w:r>
      <w:r>
        <w:rPr>
          <w:rFonts w:ascii="Times New Roman" w:hAnsi="Times New Roman"/>
          <w:b/>
          <w:noProof/>
          <w:sz w:val="24"/>
        </w:rPr>
        <w:t>Alapvető problémák:</w:t>
      </w:r>
      <w:r>
        <w:rPr>
          <w:rFonts w:ascii="Times New Roman" w:hAnsi="Times New Roman"/>
          <w:noProof/>
          <w:sz w:val="24"/>
        </w:rPr>
        <w:t xml:space="preserve"> Az eredetileg vaktöltényes fegyverek (riasztó- és jelzőfegyverek) éleslőszer kilövésére való átalakítása sok tagállamban súlyos problémaként merült fel. </w:t>
      </w:r>
    </w:p>
    <w:p w:rsidR="000B7D3F" w:rsidRDefault="000B7D3F">
      <w:pPr>
        <w:spacing w:after="0"/>
        <w:jc w:val="both"/>
        <w:rPr>
          <w:rFonts w:ascii="Times New Roman" w:hAnsi="Times New Roman"/>
          <w:b/>
          <w:i/>
          <w:noProof/>
          <w:sz w:val="24"/>
          <w:szCs w:val="24"/>
          <w:u w:val="single"/>
        </w:rPr>
      </w:pPr>
    </w:p>
    <w:p w:rsidR="000B7D3F" w:rsidRDefault="00895A04">
      <w:pPr>
        <w:numPr>
          <w:ilvl w:val="0"/>
          <w:numId w:val="6"/>
        </w:numPr>
        <w:spacing w:after="0"/>
        <w:ind w:left="357" w:hanging="357"/>
        <w:jc w:val="both"/>
        <w:rPr>
          <w:rFonts w:ascii="Times New Roman" w:hAnsi="Times New Roman"/>
          <w:b/>
          <w:i/>
          <w:noProof/>
          <w:sz w:val="24"/>
          <w:szCs w:val="24"/>
          <w:u w:val="single"/>
        </w:rPr>
      </w:pPr>
      <w:r>
        <w:rPr>
          <w:rFonts w:ascii="Times New Roman" w:hAnsi="Times New Roman"/>
          <w:b/>
          <w:noProof/>
          <w:sz w:val="24"/>
        </w:rPr>
        <w:t>Hatásta</w:t>
      </w:r>
      <w:r>
        <w:rPr>
          <w:rFonts w:ascii="Times New Roman" w:hAnsi="Times New Roman"/>
          <w:b/>
          <w:noProof/>
          <w:sz w:val="24"/>
        </w:rPr>
        <w:t xml:space="preserve">lanítási előírások és szabályok harmonizálása </w:t>
      </w:r>
      <w:r>
        <w:rPr>
          <w:rFonts w:ascii="Times New Roman" w:hAnsi="Times New Roman"/>
          <w:b/>
          <w:i/>
          <w:noProof/>
          <w:sz w:val="24"/>
          <w:u w:val="single"/>
        </w:rPr>
        <w:t>(jogalkotás)</w:t>
      </w:r>
    </w:p>
    <w:p w:rsidR="000B7D3F" w:rsidRDefault="00895A04">
      <w:pPr>
        <w:jc w:val="both"/>
        <w:rPr>
          <w:rFonts w:ascii="Times New Roman" w:hAnsi="Times New Roman"/>
          <w:noProof/>
          <w:sz w:val="24"/>
          <w:szCs w:val="24"/>
        </w:rPr>
      </w:pPr>
      <w:r>
        <w:rPr>
          <w:rFonts w:ascii="Times New Roman" w:hAnsi="Times New Roman"/>
          <w:noProof/>
          <w:sz w:val="24"/>
        </w:rPr>
        <w:t>Az értékelés a tűzfegyverek hatástalanítási előírásaira és technikáira vonatkozó közös iránymutatások meghatározása folyamatban levő eljárásának folytatását ajánlotta összhangban az irányelv azon r</w:t>
      </w:r>
      <w:r>
        <w:rPr>
          <w:rFonts w:ascii="Times New Roman" w:hAnsi="Times New Roman"/>
          <w:noProof/>
          <w:sz w:val="24"/>
        </w:rPr>
        <w:t>endelkezéseivel is, amelyek kifejezetten előirányozzák, hogy a Bizottság közös hatástalanítási iránymutatásokat fogalmazzon meg. Az iránymutatások hatályát ki kell terjeszteni, hogy foglalkozzon a hatástalanított tűzfegyverek tulajdonlásával, eladásával va</w:t>
      </w:r>
      <w:r>
        <w:rPr>
          <w:rFonts w:ascii="Times New Roman" w:hAnsi="Times New Roman"/>
          <w:noProof/>
          <w:sz w:val="24"/>
        </w:rPr>
        <w:t xml:space="preserve">gy átruházásával kapcsolatos követelményekre vonatkozó szabályokkal. </w:t>
      </w:r>
      <w:r>
        <w:rPr>
          <w:rFonts w:ascii="Times New Roman" w:hAnsi="Times New Roman"/>
          <w:b/>
          <w:noProof/>
          <w:sz w:val="24"/>
        </w:rPr>
        <w:t>Alapvető problémák:</w:t>
      </w:r>
      <w:r>
        <w:rPr>
          <w:rFonts w:ascii="Times New Roman" w:hAnsi="Times New Roman"/>
          <w:noProof/>
          <w:sz w:val="24"/>
        </w:rPr>
        <w:t xml:space="preserve"> A potenciálisan reaktiválható különböző biztonsági szintű hatástalanított tűzfegyverek forgalma a hatástalanítási előírásokra és technikákra vonatkozó közös iránymutat</w:t>
      </w:r>
      <w:r>
        <w:rPr>
          <w:rFonts w:ascii="Times New Roman" w:hAnsi="Times New Roman"/>
          <w:noProof/>
          <w:sz w:val="24"/>
        </w:rPr>
        <w:t>ások hiányából ered. A hatástalanítás műszaki előírásain túlmenően egy másik fontos figyelembe veendő szempont a tulajdonlásra, eladásra vagy átruházásra vonatkozó követelményekkel kapcsolatos. A legtöbb tagállamban a hatástalanított tűzfegyvereket már nem</w:t>
      </w:r>
      <w:r>
        <w:rPr>
          <w:rFonts w:ascii="Times New Roman" w:hAnsi="Times New Roman"/>
          <w:noProof/>
          <w:sz w:val="24"/>
        </w:rPr>
        <w:t xml:space="preserve"> tekintik tűzfegyvernek. Ezért törlik azokat az eredeti nyilvántartásból, lehetetlenné téve visszakövetésüket az eredeti tulajdonosukig. Mindazonáltal ezek a tárgyak biztonsági problémának tekinthetőek, és megfélemlítésre alkalmasak. </w:t>
      </w:r>
    </w:p>
    <w:p w:rsidR="000B7D3F" w:rsidRDefault="00895A04">
      <w:pPr>
        <w:numPr>
          <w:ilvl w:val="0"/>
          <w:numId w:val="6"/>
        </w:numPr>
        <w:spacing w:after="0"/>
        <w:ind w:left="357" w:hanging="357"/>
        <w:jc w:val="both"/>
        <w:rPr>
          <w:rFonts w:ascii="Times New Roman" w:hAnsi="Times New Roman"/>
          <w:b/>
          <w:noProof/>
          <w:sz w:val="24"/>
          <w:szCs w:val="24"/>
        </w:rPr>
      </w:pPr>
      <w:r>
        <w:rPr>
          <w:rFonts w:ascii="Times New Roman" w:hAnsi="Times New Roman"/>
          <w:b/>
          <w:noProof/>
          <w:sz w:val="24"/>
        </w:rPr>
        <w:t>Jelölésre vonatkozó h</w:t>
      </w:r>
      <w:r>
        <w:rPr>
          <w:rFonts w:ascii="Times New Roman" w:hAnsi="Times New Roman"/>
          <w:b/>
          <w:noProof/>
          <w:sz w:val="24"/>
        </w:rPr>
        <w:t xml:space="preserve">armonizálási szabályok </w:t>
      </w:r>
      <w:r>
        <w:rPr>
          <w:rFonts w:ascii="Times New Roman" w:hAnsi="Times New Roman"/>
          <w:b/>
          <w:i/>
          <w:noProof/>
          <w:sz w:val="24"/>
          <w:u w:val="single"/>
        </w:rPr>
        <w:t>(jogalkotás)</w:t>
      </w:r>
    </w:p>
    <w:p w:rsidR="000B7D3F" w:rsidRDefault="00895A04">
      <w:pPr>
        <w:numPr>
          <w:ilvl w:val="0"/>
          <w:numId w:val="6"/>
        </w:numPr>
        <w:spacing w:after="0"/>
        <w:ind w:left="357" w:hanging="357"/>
        <w:jc w:val="both"/>
        <w:rPr>
          <w:rFonts w:ascii="Times New Roman" w:hAnsi="Times New Roman"/>
          <w:b/>
          <w:noProof/>
          <w:sz w:val="24"/>
          <w:szCs w:val="24"/>
        </w:rPr>
      </w:pPr>
      <w:r>
        <w:rPr>
          <w:rFonts w:ascii="Times New Roman" w:hAnsi="Times New Roman"/>
          <w:noProof/>
          <w:sz w:val="24"/>
        </w:rPr>
        <w:t xml:space="preserve">Az értékelés azt ajánlotta, hogy igazítsák az irányelv részekre és alkotóelemekre vonatkozó jelenlegi meghatározását az UNFP-ben található definícióhoz, javasolva az egész EU-ra kiterjedő jelölési előírások elfogadását, </w:t>
      </w:r>
      <w:r>
        <w:rPr>
          <w:rFonts w:ascii="Times New Roman" w:hAnsi="Times New Roman"/>
          <w:noProof/>
          <w:sz w:val="24"/>
        </w:rPr>
        <w:t xml:space="preserve">valamint annak a kötelezettségnek az irányelvbe foglalását, hogy minden alapvető alkotóelemet gyártáskor vagy importáláskor meg kell jelölni. </w:t>
      </w:r>
      <w:r>
        <w:rPr>
          <w:rFonts w:ascii="Times New Roman" w:hAnsi="Times New Roman"/>
          <w:b/>
          <w:noProof/>
          <w:sz w:val="24"/>
        </w:rPr>
        <w:t>Alapvető problémák:</w:t>
      </w:r>
      <w:r>
        <w:rPr>
          <w:rFonts w:ascii="Times New Roman" w:hAnsi="Times New Roman"/>
          <w:noProof/>
          <w:sz w:val="24"/>
        </w:rPr>
        <w:t xml:space="preserve"> Az, hogy néhány tagállam az alapvető alkotóelemeket nem kezeli tűzfegyverként, valamint a köte</w:t>
      </w:r>
      <w:r>
        <w:rPr>
          <w:rFonts w:ascii="Times New Roman" w:hAnsi="Times New Roman"/>
          <w:noProof/>
          <w:sz w:val="24"/>
        </w:rPr>
        <w:t>lezettség, hogy csak az „alapvető alkotóelemeket” kell jelölni, olyan eltéréseket generál, amelyek nehézségeket okoznak a bűnüldöző hatóságoknak a határokon átnyúló bűncselekmények esetén a tűzfegyverek felkutatásában. Ez a belső piac működésének potenciál</w:t>
      </w:r>
      <w:r>
        <w:rPr>
          <w:rFonts w:ascii="Times New Roman" w:hAnsi="Times New Roman"/>
          <w:noProof/>
          <w:sz w:val="24"/>
        </w:rPr>
        <w:t>is akadályaival is jár, mert lehet, hogy a jelöléseket nem ismerik el minden tagállamban.</w:t>
      </w:r>
      <w:r>
        <w:rPr>
          <w:noProof/>
        </w:rPr>
        <w:t xml:space="preserve"> </w:t>
      </w:r>
      <w:r>
        <w:rPr>
          <w:rFonts w:ascii="Times New Roman" w:hAnsi="Times New Roman"/>
          <w:noProof/>
          <w:sz w:val="24"/>
        </w:rPr>
        <w:t>Előzetes mélyreható elemzést kellene végezni a tagállamokban szabályozott és megjelölt tűzfegyverdarabokról, és az EU szintjén kellene foglalkozni a tűzfegyverekről s</w:t>
      </w:r>
      <w:r>
        <w:rPr>
          <w:rFonts w:ascii="Times New Roman" w:hAnsi="Times New Roman"/>
          <w:noProof/>
          <w:sz w:val="24"/>
        </w:rPr>
        <w:t xml:space="preserve">zóló irányelvben szereplő „alapvető alkotóelemek” definíció és az UNFP által szabályozott „részek és alkotóelemek” közötti különbségekkel, hogy értékeljék az irányelvben szereplő meghatározások megváltoztatásának szükségességét. </w:t>
      </w:r>
    </w:p>
    <w:p w:rsidR="000B7D3F" w:rsidRDefault="000B7D3F">
      <w:pPr>
        <w:spacing w:after="0"/>
        <w:ind w:left="357"/>
        <w:jc w:val="both"/>
        <w:rPr>
          <w:rFonts w:ascii="Times New Roman" w:hAnsi="Times New Roman"/>
          <w:b/>
          <w:noProof/>
          <w:sz w:val="24"/>
          <w:szCs w:val="24"/>
        </w:rPr>
      </w:pPr>
    </w:p>
    <w:p w:rsidR="000B7D3F" w:rsidRDefault="00895A04">
      <w:pPr>
        <w:numPr>
          <w:ilvl w:val="0"/>
          <w:numId w:val="6"/>
        </w:numPr>
        <w:spacing w:after="0"/>
        <w:ind w:left="357" w:hanging="357"/>
        <w:jc w:val="both"/>
        <w:rPr>
          <w:rFonts w:ascii="Times New Roman" w:hAnsi="Times New Roman"/>
          <w:b/>
          <w:noProof/>
          <w:sz w:val="24"/>
          <w:szCs w:val="24"/>
        </w:rPr>
      </w:pPr>
      <w:r>
        <w:rPr>
          <w:rFonts w:ascii="Times New Roman" w:hAnsi="Times New Roman"/>
          <w:b/>
          <w:noProof/>
          <w:sz w:val="24"/>
        </w:rPr>
        <w:t xml:space="preserve">Az irányelvet végrehajtó </w:t>
      </w:r>
      <w:r>
        <w:rPr>
          <w:rFonts w:ascii="Times New Roman" w:hAnsi="Times New Roman"/>
          <w:b/>
          <w:noProof/>
          <w:sz w:val="24"/>
        </w:rPr>
        <w:t xml:space="preserve">nemzeti szabályok átláthatósága és hozzáférhetősége </w:t>
      </w:r>
      <w:r>
        <w:rPr>
          <w:rFonts w:ascii="Times New Roman" w:hAnsi="Times New Roman"/>
          <w:b/>
          <w:i/>
          <w:noProof/>
          <w:sz w:val="24"/>
        </w:rPr>
        <w:t>(nem jogalkotási intézkedés)</w:t>
      </w:r>
      <w:r>
        <w:rPr>
          <w:rFonts w:ascii="Times New Roman" w:hAnsi="Times New Roman"/>
          <w:b/>
          <w:noProof/>
          <w:sz w:val="24"/>
        </w:rPr>
        <w:t xml:space="preserve"> </w:t>
      </w:r>
    </w:p>
    <w:p w:rsidR="000B7D3F" w:rsidRDefault="00895A04">
      <w:pPr>
        <w:spacing w:after="0"/>
        <w:ind w:left="357"/>
        <w:jc w:val="both"/>
        <w:rPr>
          <w:rFonts w:ascii="Times New Roman" w:hAnsi="Times New Roman"/>
          <w:noProof/>
          <w:sz w:val="24"/>
          <w:szCs w:val="24"/>
        </w:rPr>
      </w:pPr>
      <w:r>
        <w:rPr>
          <w:rFonts w:ascii="Times New Roman" w:hAnsi="Times New Roman"/>
          <w:noProof/>
          <w:sz w:val="24"/>
        </w:rPr>
        <w:t xml:space="preserve">Az értékelés azt ajánlotta, hogy az EU szintjén javítsák a nemzeti szinten összegyűjtött információk hozzáférhetőségét minden érdekelt fél számára, különösen figyelembe véve </w:t>
      </w:r>
      <w:r>
        <w:rPr>
          <w:rFonts w:ascii="Times New Roman" w:hAnsi="Times New Roman"/>
          <w:noProof/>
          <w:sz w:val="24"/>
        </w:rPr>
        <w:t xml:space="preserve">azokat az információs költségeket, amelyeket esetleg a kkv-knak kell viselniük (pl. egy adatbázis létrehozása, amelyben összegyűjtik a 28 tagállamban meglévő jogszabályokra és követelményekre vonatkozó információkat). </w:t>
      </w:r>
      <w:r>
        <w:rPr>
          <w:rFonts w:ascii="Times New Roman" w:hAnsi="Times New Roman"/>
          <w:b/>
          <w:noProof/>
          <w:sz w:val="24"/>
        </w:rPr>
        <w:t>Alapvető problémák:</w:t>
      </w:r>
      <w:r>
        <w:rPr>
          <w:rFonts w:ascii="Times New Roman" w:hAnsi="Times New Roman"/>
          <w:noProof/>
          <w:sz w:val="24"/>
        </w:rPr>
        <w:t xml:space="preserve"> A végrehajtásban m</w:t>
      </w:r>
      <w:r>
        <w:rPr>
          <w:rFonts w:ascii="Times New Roman" w:hAnsi="Times New Roman"/>
          <w:noProof/>
          <w:sz w:val="24"/>
        </w:rPr>
        <w:t xml:space="preserve">eglévő különbségek a következők okai: tűzfegyverek lassúbb EU-n belüli cseréje; információs költségek – különösen a kkv-k részére; az elfogadott igazgatási eljárások sokféleségéből adódó teher. </w:t>
      </w:r>
    </w:p>
    <w:p w:rsidR="000B7D3F" w:rsidRDefault="000B7D3F">
      <w:pPr>
        <w:spacing w:after="0"/>
        <w:jc w:val="both"/>
        <w:rPr>
          <w:rFonts w:ascii="Times New Roman" w:hAnsi="Times New Roman"/>
          <w:noProof/>
          <w:sz w:val="24"/>
          <w:szCs w:val="24"/>
        </w:rPr>
      </w:pPr>
    </w:p>
    <w:p w:rsidR="000B7D3F" w:rsidRDefault="00895A04">
      <w:pPr>
        <w:numPr>
          <w:ilvl w:val="0"/>
          <w:numId w:val="6"/>
        </w:numPr>
        <w:spacing w:after="0"/>
        <w:ind w:left="357" w:hanging="357"/>
        <w:jc w:val="both"/>
        <w:rPr>
          <w:rFonts w:ascii="Times New Roman" w:hAnsi="Times New Roman"/>
          <w:b/>
          <w:noProof/>
          <w:sz w:val="24"/>
          <w:szCs w:val="24"/>
        </w:rPr>
      </w:pPr>
      <w:r>
        <w:rPr>
          <w:rFonts w:ascii="Times New Roman" w:hAnsi="Times New Roman"/>
          <w:b/>
          <w:noProof/>
          <w:sz w:val="24"/>
        </w:rPr>
        <w:t>Vadász- és sporttűzfegyverek osztályozása megállapodás szeri</w:t>
      </w:r>
      <w:r>
        <w:rPr>
          <w:rFonts w:ascii="Times New Roman" w:hAnsi="Times New Roman"/>
          <w:b/>
          <w:noProof/>
          <w:sz w:val="24"/>
        </w:rPr>
        <w:t xml:space="preserve">nti megközelítésének meghatározása és az EFP szabályainak tisztázása </w:t>
      </w:r>
      <w:r>
        <w:rPr>
          <w:rFonts w:ascii="Times New Roman" w:hAnsi="Times New Roman"/>
          <w:b/>
          <w:i/>
          <w:noProof/>
          <w:sz w:val="24"/>
        </w:rPr>
        <w:t>(nem jogalkotási intézkedés)</w:t>
      </w:r>
      <w:r>
        <w:rPr>
          <w:rFonts w:ascii="Times New Roman" w:hAnsi="Times New Roman"/>
          <w:b/>
          <w:noProof/>
          <w:sz w:val="24"/>
        </w:rPr>
        <w:t xml:space="preserve"> </w:t>
      </w:r>
    </w:p>
    <w:p w:rsidR="000B7D3F" w:rsidRDefault="00895A04">
      <w:pPr>
        <w:spacing w:after="0"/>
        <w:ind w:left="357"/>
        <w:jc w:val="both"/>
        <w:rPr>
          <w:rFonts w:ascii="Times New Roman" w:hAnsi="Times New Roman"/>
          <w:noProof/>
          <w:sz w:val="24"/>
          <w:szCs w:val="24"/>
        </w:rPr>
      </w:pPr>
      <w:r>
        <w:rPr>
          <w:rFonts w:ascii="Times New Roman" w:hAnsi="Times New Roman"/>
          <w:noProof/>
          <w:sz w:val="24"/>
        </w:rPr>
        <w:t>Az értékelés az EFP-vel kapcsolatos szabályok további uniós szintű meghatározását ajánlotta (úgymint a nemzeti hatóságok által megkövetelt további dokumentum</w:t>
      </w:r>
      <w:r>
        <w:rPr>
          <w:rFonts w:ascii="Times New Roman" w:hAnsi="Times New Roman"/>
          <w:noProof/>
          <w:sz w:val="24"/>
        </w:rPr>
        <w:t xml:space="preserve">ok száma és az EFP-be beírható tűzfegyverek száma). </w:t>
      </w:r>
      <w:r>
        <w:rPr>
          <w:rFonts w:ascii="Times New Roman" w:hAnsi="Times New Roman"/>
          <w:b/>
          <w:noProof/>
          <w:sz w:val="24"/>
        </w:rPr>
        <w:t>Alapvető problémák:</w:t>
      </w:r>
      <w:r>
        <w:rPr>
          <w:rFonts w:ascii="Times New Roman" w:hAnsi="Times New Roman"/>
          <w:noProof/>
          <w:sz w:val="24"/>
        </w:rPr>
        <w:t xml:space="preserve"> az e tevékenységekre általában használt tűzfegyverek eltérő osztályozása a tagállamokban (azaz a szokás szerint sportlövészetre használt tűzfegyverek néhány tagállamban tiltottak lehet</w:t>
      </w:r>
      <w:r>
        <w:rPr>
          <w:rFonts w:ascii="Times New Roman" w:hAnsi="Times New Roman"/>
          <w:noProof/>
          <w:sz w:val="24"/>
        </w:rPr>
        <w:t xml:space="preserve">nek), valamint az EFP-vel kapcsolatos néhány szabály korlátozó értelmezései. </w:t>
      </w:r>
    </w:p>
    <w:p w:rsidR="000B7D3F" w:rsidRDefault="000B7D3F">
      <w:pPr>
        <w:spacing w:after="0"/>
        <w:ind w:left="357"/>
        <w:jc w:val="both"/>
        <w:rPr>
          <w:rFonts w:ascii="Times New Roman" w:hAnsi="Times New Roman"/>
          <w:noProof/>
          <w:sz w:val="24"/>
          <w:szCs w:val="24"/>
        </w:rPr>
      </w:pPr>
    </w:p>
    <w:p w:rsidR="000B7D3F" w:rsidRDefault="00895A04">
      <w:pPr>
        <w:numPr>
          <w:ilvl w:val="0"/>
          <w:numId w:val="6"/>
        </w:numPr>
        <w:spacing w:after="0"/>
        <w:ind w:left="357" w:hanging="357"/>
        <w:jc w:val="both"/>
        <w:rPr>
          <w:rFonts w:ascii="Times New Roman" w:hAnsi="Times New Roman"/>
          <w:b/>
          <w:noProof/>
          <w:sz w:val="24"/>
          <w:szCs w:val="24"/>
        </w:rPr>
      </w:pPr>
      <w:r>
        <w:rPr>
          <w:rFonts w:ascii="Times New Roman" w:hAnsi="Times New Roman"/>
          <w:b/>
          <w:noProof/>
          <w:sz w:val="24"/>
        </w:rPr>
        <w:t xml:space="preserve">Kulcskérdések mélyreható elemzése </w:t>
      </w:r>
      <w:r>
        <w:rPr>
          <w:rFonts w:ascii="Times New Roman" w:hAnsi="Times New Roman"/>
          <w:b/>
          <w:i/>
          <w:noProof/>
          <w:sz w:val="24"/>
        </w:rPr>
        <w:t xml:space="preserve">(nem jogalkotási intézkedés) </w:t>
      </w:r>
    </w:p>
    <w:p w:rsidR="000B7D3F" w:rsidRDefault="00895A04">
      <w:pPr>
        <w:spacing w:after="0"/>
        <w:ind w:left="357"/>
        <w:jc w:val="both"/>
        <w:rPr>
          <w:rFonts w:ascii="Times New Roman" w:hAnsi="Times New Roman"/>
          <w:noProof/>
          <w:sz w:val="24"/>
          <w:szCs w:val="24"/>
        </w:rPr>
      </w:pPr>
      <w:r>
        <w:rPr>
          <w:rFonts w:ascii="Times New Roman" w:hAnsi="Times New Roman"/>
          <w:noProof/>
          <w:sz w:val="24"/>
        </w:rPr>
        <w:t xml:space="preserve">Az értékelés az irányelvvel kapcsolatos olyan specifikus szempontok mélyreható elemzésének elvégzését ajánlotta, </w:t>
      </w:r>
      <w:r>
        <w:rPr>
          <w:rFonts w:ascii="Times New Roman" w:hAnsi="Times New Roman"/>
          <w:noProof/>
          <w:sz w:val="24"/>
        </w:rPr>
        <w:t>amelyeket a vizsgálat problémásnak talált: 1) a tűzfegyver-tulajdonlási követelmények további harmonizálása; 2) a közvetítő fogalmának értelmezése; 3) a félautomata fegyverekre vonatkozó szabályok értékelése és veszélyességi szintjük értékelése (automata f</w:t>
      </w:r>
      <w:r>
        <w:rPr>
          <w:rFonts w:ascii="Times New Roman" w:hAnsi="Times New Roman"/>
          <w:noProof/>
          <w:sz w:val="24"/>
        </w:rPr>
        <w:t xml:space="preserve">egyverekké való átalakíthatóságukat illetően). </w:t>
      </w:r>
      <w:r>
        <w:rPr>
          <w:rFonts w:ascii="Times New Roman" w:hAnsi="Times New Roman"/>
          <w:b/>
          <w:noProof/>
          <w:sz w:val="24"/>
        </w:rPr>
        <w:t>Alapvető problémák:</w:t>
      </w:r>
      <w:r>
        <w:rPr>
          <w:rFonts w:ascii="Times New Roman" w:hAnsi="Times New Roman"/>
          <w:noProof/>
          <w:sz w:val="24"/>
        </w:rPr>
        <w:t xml:space="preserve"> 1) Tűzfegyver-tulajdonlási követelmények: az értékelők megfigyelték a tagállamok fokozatos igazodását közös és az irányelvben jelzettnél részletesebb követelményekhez. 2) A közvetítő fogalm</w:t>
      </w:r>
      <w:r>
        <w:rPr>
          <w:rFonts w:ascii="Times New Roman" w:hAnsi="Times New Roman"/>
          <w:noProof/>
          <w:sz w:val="24"/>
        </w:rPr>
        <w:t>a: a fogalom meghatározásának következetlenségei kockázatokat teremthetnek. 3) Félautomata pisztolyok: számos tagállam mutatott rá a félautomata pisztolyok automata pisztolyokká alakításával kapcsolatos kockázatokra.</w:t>
      </w:r>
    </w:p>
    <w:p w:rsidR="000B7D3F" w:rsidRDefault="000B7D3F">
      <w:pPr>
        <w:spacing w:after="0"/>
        <w:ind w:left="357"/>
        <w:jc w:val="both"/>
        <w:rPr>
          <w:rFonts w:ascii="Times New Roman" w:hAnsi="Times New Roman"/>
          <w:noProof/>
          <w:sz w:val="24"/>
          <w:szCs w:val="24"/>
        </w:rPr>
      </w:pPr>
    </w:p>
    <w:p w:rsidR="000B7D3F" w:rsidRDefault="00895A04">
      <w:pPr>
        <w:numPr>
          <w:ilvl w:val="0"/>
          <w:numId w:val="6"/>
        </w:numPr>
        <w:spacing w:after="0"/>
        <w:ind w:left="357" w:hanging="357"/>
        <w:jc w:val="both"/>
        <w:rPr>
          <w:rFonts w:ascii="Times New Roman" w:hAnsi="Times New Roman"/>
          <w:b/>
          <w:noProof/>
          <w:sz w:val="24"/>
          <w:szCs w:val="24"/>
        </w:rPr>
      </w:pPr>
      <w:r>
        <w:rPr>
          <w:rFonts w:ascii="Times New Roman" w:hAnsi="Times New Roman"/>
          <w:b/>
          <w:noProof/>
          <w:sz w:val="24"/>
        </w:rPr>
        <w:t>Az új technológiák ismeretének megerős</w:t>
      </w:r>
      <w:r>
        <w:rPr>
          <w:rFonts w:ascii="Times New Roman" w:hAnsi="Times New Roman"/>
          <w:b/>
          <w:noProof/>
          <w:sz w:val="24"/>
        </w:rPr>
        <w:t xml:space="preserve">ítése </w:t>
      </w:r>
      <w:r>
        <w:rPr>
          <w:rFonts w:ascii="Times New Roman" w:hAnsi="Times New Roman"/>
          <w:b/>
          <w:i/>
          <w:noProof/>
          <w:sz w:val="24"/>
        </w:rPr>
        <w:t>(nem jogalkotási intézkedés)</w:t>
      </w:r>
    </w:p>
    <w:p w:rsidR="000B7D3F" w:rsidRDefault="00895A04">
      <w:pPr>
        <w:spacing w:after="0"/>
        <w:ind w:left="357"/>
        <w:jc w:val="both"/>
        <w:rPr>
          <w:rFonts w:ascii="Times New Roman" w:hAnsi="Times New Roman"/>
          <w:noProof/>
          <w:sz w:val="24"/>
          <w:szCs w:val="24"/>
        </w:rPr>
      </w:pPr>
      <w:r>
        <w:rPr>
          <w:rFonts w:ascii="Times New Roman" w:hAnsi="Times New Roman"/>
          <w:noProof/>
          <w:sz w:val="24"/>
        </w:rPr>
        <w:t>Az értékelés további intézkedéseket ajánlott a tagállamok közötti tudásmegosztás elősegítése érdekében a tűzfegyverpiac és a tiltott kereskedelem alakulására (úgymint tűzfegyverek, azok részei és más fegyverek online piac</w:t>
      </w:r>
      <w:r>
        <w:rPr>
          <w:rFonts w:ascii="Times New Roman" w:hAnsi="Times New Roman"/>
          <w:noProof/>
          <w:sz w:val="24"/>
        </w:rPr>
        <w:t xml:space="preserve">a), valamint az új technológiáknak (3D-s nyomtatás) a fegyverek ellenőrzésére és nyomon követésére gyakorolt hatására vonatkozóan. </w:t>
      </w:r>
      <w:r>
        <w:rPr>
          <w:rFonts w:ascii="Times New Roman" w:hAnsi="Times New Roman"/>
          <w:b/>
          <w:noProof/>
          <w:sz w:val="24"/>
        </w:rPr>
        <w:t>Alapvető problémák:</w:t>
      </w:r>
      <w:r>
        <w:rPr>
          <w:rFonts w:ascii="Times New Roman" w:hAnsi="Times New Roman"/>
          <w:noProof/>
          <w:sz w:val="24"/>
        </w:rPr>
        <w:t xml:space="preserve"> Az új technológiák kihívást jelentenek a bűnüldöző hatóságok kapacitása számára tűzfegyverek és alkotóele</w:t>
      </w:r>
      <w:r>
        <w:rPr>
          <w:rFonts w:ascii="Times New Roman" w:hAnsi="Times New Roman"/>
          <w:noProof/>
          <w:sz w:val="24"/>
        </w:rPr>
        <w:t xml:space="preserve">meik tagállamokra kiterjedő felderítésében, és valószínűleg nehézségeket fognak okozni a jövőben a tűzfegyverek átruházásának nyomon követésében és ellenőrzésében. </w:t>
      </w:r>
    </w:p>
    <w:p w:rsidR="000B7D3F" w:rsidRDefault="000B7D3F">
      <w:pPr>
        <w:spacing w:after="0"/>
        <w:ind w:left="357"/>
        <w:jc w:val="both"/>
        <w:rPr>
          <w:rFonts w:ascii="Times New Roman" w:hAnsi="Times New Roman"/>
          <w:noProof/>
          <w:sz w:val="24"/>
          <w:szCs w:val="24"/>
        </w:rPr>
      </w:pPr>
    </w:p>
    <w:p w:rsidR="000B7D3F" w:rsidRDefault="00895A04">
      <w:pPr>
        <w:numPr>
          <w:ilvl w:val="0"/>
          <w:numId w:val="6"/>
        </w:numPr>
        <w:spacing w:after="0"/>
        <w:ind w:left="357" w:hanging="357"/>
        <w:jc w:val="both"/>
        <w:rPr>
          <w:rFonts w:ascii="Times New Roman" w:hAnsi="Times New Roman"/>
          <w:b/>
          <w:noProof/>
          <w:sz w:val="24"/>
          <w:szCs w:val="24"/>
        </w:rPr>
      </w:pPr>
      <w:r>
        <w:rPr>
          <w:rFonts w:ascii="Times New Roman" w:hAnsi="Times New Roman"/>
          <w:b/>
          <w:noProof/>
          <w:sz w:val="24"/>
        </w:rPr>
        <w:t xml:space="preserve">Az adatgyűjtés megerősítése </w:t>
      </w:r>
      <w:r>
        <w:rPr>
          <w:rFonts w:ascii="Times New Roman" w:hAnsi="Times New Roman"/>
          <w:b/>
          <w:i/>
          <w:noProof/>
          <w:sz w:val="24"/>
        </w:rPr>
        <w:t>(nem jogalkotási intézkedés)</w:t>
      </w:r>
    </w:p>
    <w:p w:rsidR="000B7D3F" w:rsidRDefault="00895A04">
      <w:pPr>
        <w:spacing w:after="0"/>
        <w:ind w:left="357"/>
        <w:jc w:val="both"/>
        <w:rPr>
          <w:rFonts w:ascii="Times New Roman" w:hAnsi="Times New Roman"/>
          <w:noProof/>
          <w:sz w:val="24"/>
          <w:szCs w:val="24"/>
        </w:rPr>
      </w:pPr>
      <w:r>
        <w:rPr>
          <w:rFonts w:ascii="Times New Roman" w:hAnsi="Times New Roman"/>
          <w:noProof/>
          <w:sz w:val="24"/>
        </w:rPr>
        <w:t>Az értékelés az adatgyűjtési tevékenységek megerősítését ajánlotta egy, a polgári célú tűzfegyverekre és a velük kapcsolatos bűncselekményekre vonatkozó szilárd információs bázis létrehozása érdekében, a jövőbeli uniós szintű döntéshozatali eljárások támog</w:t>
      </w:r>
      <w:r>
        <w:rPr>
          <w:rFonts w:ascii="Times New Roman" w:hAnsi="Times New Roman"/>
          <w:noProof/>
          <w:sz w:val="24"/>
        </w:rPr>
        <w:t xml:space="preserve">atására. </w:t>
      </w:r>
      <w:r>
        <w:rPr>
          <w:rFonts w:ascii="Times New Roman" w:hAnsi="Times New Roman"/>
          <w:b/>
          <w:noProof/>
          <w:sz w:val="24"/>
        </w:rPr>
        <w:t>Alapvető problémák:</w:t>
      </w:r>
      <w:r>
        <w:rPr>
          <w:rFonts w:ascii="Times New Roman" w:hAnsi="Times New Roman"/>
          <w:noProof/>
          <w:sz w:val="24"/>
        </w:rPr>
        <w:t xml:space="preserve"> A részletes és átfogó adatok hiánya az egyik legfőbb akadály, amely meggátolja a szakpolitikai döntéshozókat a tényeken alapuló politikák kialakításában. </w:t>
      </w:r>
    </w:p>
    <w:p w:rsidR="000B7D3F" w:rsidRDefault="00895A04">
      <w:pPr>
        <w:pStyle w:val="Heading1"/>
        <w:rPr>
          <w:rFonts w:ascii="Times New Roman" w:hAnsi="Times New Roman"/>
          <w:noProof/>
          <w:sz w:val="24"/>
        </w:rPr>
      </w:pPr>
      <w:r>
        <w:rPr>
          <w:rFonts w:ascii="Times New Roman" w:hAnsi="Times New Roman"/>
          <w:noProof/>
          <w:sz w:val="24"/>
        </w:rPr>
        <w:t xml:space="preserve">6. Kritikai értékelés és a Lőfegyverbizottság visszajelzése </w:t>
      </w:r>
    </w:p>
    <w:p w:rsidR="000B7D3F" w:rsidRDefault="00895A04">
      <w:pPr>
        <w:jc w:val="both"/>
        <w:rPr>
          <w:rFonts w:ascii="Times New Roman" w:hAnsi="Times New Roman"/>
          <w:noProof/>
          <w:sz w:val="24"/>
          <w:szCs w:val="24"/>
        </w:rPr>
      </w:pPr>
      <w:r>
        <w:rPr>
          <w:rFonts w:ascii="Times New Roman" w:hAnsi="Times New Roman"/>
          <w:noProof/>
          <w:sz w:val="24"/>
        </w:rPr>
        <w:t>(35) Az ért</w:t>
      </w:r>
      <w:r>
        <w:rPr>
          <w:rFonts w:ascii="Times New Roman" w:hAnsi="Times New Roman"/>
          <w:noProof/>
          <w:sz w:val="24"/>
        </w:rPr>
        <w:t>ékelő vizsgálat válaszolt a Bizottság által feltett értékelési kérdésekre, és elemzése az összegyűjtött adatok alapos vizsgálatán alapult. Ugyanakkor minőségi szempontból a hivatalos statisztikák révén elérhető adatok nem voltak elégségesek. Az adatok elér</w:t>
      </w:r>
      <w:r>
        <w:rPr>
          <w:rFonts w:ascii="Times New Roman" w:hAnsi="Times New Roman"/>
          <w:noProof/>
          <w:sz w:val="24"/>
        </w:rPr>
        <w:t>hetőségének egyértelmű hiánya mutatkozik a biztonsági kérdésekkel kapcsolatban (pl. a bűnügyekre vonatkozó adatok nincsenek tűzfegyver-kategóriák szerint lebontva, a bűncselekményekhez használt legális és illegális fegyverek közötti korlátozott megkülönböz</w:t>
      </w:r>
      <w:r>
        <w:rPr>
          <w:rFonts w:ascii="Times New Roman" w:hAnsi="Times New Roman"/>
          <w:noProof/>
          <w:sz w:val="24"/>
        </w:rPr>
        <w:t>tetés, a polgári célú tűzfegyverek gyártására vonatkozó tagállamonkénti adatok korlátozottak stb.), valamint gyenge a rendelkezésre álló adatok minősége a polgári célú tűzfegyverek piaci struktúrájára vonatkozóan (azaz polgári célú tűzfegyverek gyártása, i</w:t>
      </w:r>
      <w:r>
        <w:rPr>
          <w:rFonts w:ascii="Times New Roman" w:hAnsi="Times New Roman"/>
          <w:noProof/>
          <w:sz w:val="24"/>
        </w:rPr>
        <w:t>mportja és exportja, az ágazatban működő vállalatok létszáma és forgalma). Hiányoznak az egyes rendelkezések végrehajtása költségeinek és adminisztratív terhének számszerűsítésére vonatkozó adatok.</w:t>
      </w:r>
    </w:p>
    <w:p w:rsidR="000B7D3F" w:rsidRDefault="00895A04">
      <w:pPr>
        <w:jc w:val="both"/>
        <w:rPr>
          <w:rFonts w:ascii="Times New Roman" w:hAnsi="Times New Roman"/>
          <w:noProof/>
          <w:sz w:val="24"/>
        </w:rPr>
      </w:pPr>
      <w:r>
        <w:rPr>
          <w:rFonts w:ascii="Times New Roman" w:hAnsi="Times New Roman"/>
          <w:noProof/>
          <w:sz w:val="24"/>
        </w:rPr>
        <w:t>(36) Az értékelők azzal enyhítették a polgári célú tűzfegy</w:t>
      </w:r>
      <w:r>
        <w:rPr>
          <w:rFonts w:ascii="Times New Roman" w:hAnsi="Times New Roman"/>
          <w:noProof/>
          <w:sz w:val="24"/>
        </w:rPr>
        <w:t>verekre vonatkozó uniós szintű aggregált adatok és statisztikák hiányát, hogy kapcsolatba léptek nemzeti ágazati szervezetekkel, és interjúk révén gyűjtöttek hiányzó hasznos információkat. A különböző forrásokból származó információk lehetővé tették számuk</w:t>
      </w:r>
      <w:r>
        <w:rPr>
          <w:rFonts w:ascii="Times New Roman" w:hAnsi="Times New Roman"/>
          <w:noProof/>
          <w:sz w:val="24"/>
        </w:rPr>
        <w:t xml:space="preserve">ra az információk minőségének és megbízhatóságának ellenőrzését. </w:t>
      </w:r>
    </w:p>
    <w:p w:rsidR="000B7D3F" w:rsidRDefault="00895A04">
      <w:pPr>
        <w:jc w:val="both"/>
        <w:rPr>
          <w:rFonts w:ascii="Times New Roman" w:hAnsi="Times New Roman"/>
          <w:noProof/>
          <w:sz w:val="24"/>
        </w:rPr>
      </w:pPr>
      <w:r>
        <w:rPr>
          <w:rFonts w:ascii="Times New Roman" w:hAnsi="Times New Roman"/>
          <w:noProof/>
          <w:sz w:val="24"/>
        </w:rPr>
        <w:t xml:space="preserve">(37) Annak érdekében, hogy jobban tudjon véleményt formálni a vizsgálat megállapításairól és ajánlásairól, a Bizottság felkérte a (28 uniós tagállam, valamint 4 EGT- és EFTA-ország </w:t>
      </w:r>
      <w:r>
        <w:rPr>
          <w:rFonts w:ascii="Times New Roman" w:hAnsi="Times New Roman"/>
          <w:noProof/>
          <w:sz w:val="24"/>
        </w:rPr>
        <w:t>képviselőiből álló) Lőfegyverbizottság tagjait, hogy tegyenek észrevételeket. A 2014. december 18-i bizottsági ülésen bemutatták a bizottság tagjainak a vizsgálat eredményeit. Ekkor a tagállamok képviselői azt a következtetést vonták le, hogy összességében</w:t>
      </w:r>
      <w:r>
        <w:rPr>
          <w:rFonts w:ascii="Times New Roman" w:hAnsi="Times New Roman"/>
          <w:noProof/>
          <w:sz w:val="24"/>
        </w:rPr>
        <w:t xml:space="preserve"> az ajánlások érvényesek voltak. A 2015. januári drámai eseményeket követően a tagállamok informatívabb véleményt nyilvánítottak az értékelés ajánlásairól egy 2015. március 25-én tartott bizottsági ülésen. A tagállamok kifejezték az egyes ajánlások sürgőss</w:t>
      </w:r>
      <w:r>
        <w:rPr>
          <w:rFonts w:ascii="Times New Roman" w:hAnsi="Times New Roman"/>
          <w:noProof/>
          <w:sz w:val="24"/>
        </w:rPr>
        <w:t>égére és érvényességére vonatkozó értékelésüket. Ezenkívül néhány tagállam (Franciaország, Egyesült Királyság, Svédország és Belgium) a szóbeli visszajelzést írásos észrevételekkel egészítette ki.</w:t>
      </w:r>
    </w:p>
    <w:p w:rsidR="000B7D3F" w:rsidRDefault="00895A04">
      <w:pPr>
        <w:jc w:val="both"/>
        <w:rPr>
          <w:rFonts w:ascii="Times New Roman" w:hAnsi="Times New Roman"/>
          <w:noProof/>
          <w:sz w:val="24"/>
          <w:szCs w:val="24"/>
        </w:rPr>
      </w:pPr>
      <w:r>
        <w:rPr>
          <w:rFonts w:ascii="Times New Roman" w:hAnsi="Times New Roman"/>
          <w:noProof/>
          <w:sz w:val="24"/>
        </w:rPr>
        <w:t xml:space="preserve">(38) A tagállamoktól gyűjtött információkból az alábbiakat </w:t>
      </w:r>
      <w:r>
        <w:rPr>
          <w:rFonts w:ascii="Times New Roman" w:hAnsi="Times New Roman"/>
          <w:noProof/>
          <w:sz w:val="24"/>
        </w:rPr>
        <w:t>lehet megállapítani:</w:t>
      </w:r>
    </w:p>
    <w:p w:rsidR="000B7D3F" w:rsidRDefault="00895A04">
      <w:pPr>
        <w:numPr>
          <w:ilvl w:val="0"/>
          <w:numId w:val="9"/>
        </w:numPr>
        <w:jc w:val="both"/>
        <w:rPr>
          <w:rFonts w:ascii="Times New Roman" w:hAnsi="Times New Roman"/>
          <w:noProof/>
          <w:sz w:val="24"/>
          <w:szCs w:val="24"/>
        </w:rPr>
      </w:pPr>
      <w:r>
        <w:rPr>
          <w:rFonts w:ascii="Times New Roman" w:hAnsi="Times New Roman"/>
          <w:noProof/>
          <w:sz w:val="24"/>
        </w:rPr>
        <w:t xml:space="preserve">Sok tagállam egyetértett abban, hogy kiemelt fontosságú ajánlások: i. a </w:t>
      </w:r>
      <w:r>
        <w:rPr>
          <w:rFonts w:ascii="Times New Roman" w:hAnsi="Times New Roman"/>
          <w:b/>
          <w:noProof/>
          <w:sz w:val="24"/>
        </w:rPr>
        <w:t>riasztófegyverek átalakíthatóságára</w:t>
      </w:r>
      <w:r>
        <w:rPr>
          <w:rFonts w:ascii="Times New Roman" w:hAnsi="Times New Roman"/>
          <w:noProof/>
          <w:sz w:val="24"/>
        </w:rPr>
        <w:t xml:space="preserve"> vonatkozó közös kritériumok, ii. a </w:t>
      </w:r>
      <w:r>
        <w:rPr>
          <w:rFonts w:ascii="Times New Roman" w:hAnsi="Times New Roman"/>
          <w:b/>
          <w:noProof/>
          <w:sz w:val="24"/>
        </w:rPr>
        <w:t>hatástalanítás</w:t>
      </w:r>
      <w:r>
        <w:rPr>
          <w:rFonts w:ascii="Times New Roman" w:hAnsi="Times New Roman"/>
          <w:noProof/>
          <w:sz w:val="24"/>
        </w:rPr>
        <w:t xml:space="preserve">ra vonatkozó előírások és szabályok harmonizálása, iii. a </w:t>
      </w:r>
      <w:r>
        <w:rPr>
          <w:rFonts w:ascii="Times New Roman" w:hAnsi="Times New Roman"/>
          <w:b/>
          <w:noProof/>
          <w:sz w:val="24"/>
        </w:rPr>
        <w:t>jelölés</w:t>
      </w:r>
      <w:r>
        <w:rPr>
          <w:rFonts w:ascii="Times New Roman" w:hAnsi="Times New Roman"/>
          <w:noProof/>
          <w:sz w:val="24"/>
        </w:rPr>
        <w:t xml:space="preserve">re vonatkozó </w:t>
      </w:r>
      <w:r>
        <w:rPr>
          <w:rFonts w:ascii="Times New Roman" w:hAnsi="Times New Roman"/>
          <w:noProof/>
          <w:sz w:val="24"/>
        </w:rPr>
        <w:t>szabályok harmonizálása. A tagállamok többsége szerint ezek a kérdések az irányelv felülvizsgálatát teszik szükségessé. Számos tagállam hangsúlyozta az előrehaladás szorgalmazásának szükségességét az irányelv által rendelkezett hatástalanítási iránymutatás</w:t>
      </w:r>
      <w:r>
        <w:rPr>
          <w:rFonts w:ascii="Times New Roman" w:hAnsi="Times New Roman"/>
          <w:noProof/>
          <w:sz w:val="24"/>
        </w:rPr>
        <w:t xml:space="preserve">okra vonatkozóan folyamatban levő munkával kapcsolatban. </w:t>
      </w:r>
    </w:p>
    <w:p w:rsidR="000B7D3F" w:rsidRDefault="00895A04">
      <w:pPr>
        <w:numPr>
          <w:ilvl w:val="0"/>
          <w:numId w:val="9"/>
        </w:numPr>
        <w:jc w:val="both"/>
        <w:rPr>
          <w:rFonts w:ascii="Times New Roman" w:hAnsi="Times New Roman"/>
          <w:noProof/>
          <w:sz w:val="24"/>
          <w:szCs w:val="24"/>
        </w:rPr>
      </w:pPr>
      <w:r>
        <w:rPr>
          <w:rFonts w:ascii="Times New Roman" w:hAnsi="Times New Roman"/>
          <w:noProof/>
          <w:sz w:val="24"/>
        </w:rPr>
        <w:t xml:space="preserve">A legtöbb tagállamra vonatkozóan az alábbi ajánlásokat kell figyelembe venni, de alacsony/közepes prioritásúként: i. az irányelv nemzeti végrehajtási szabályainak átláthatósága és hozzáférhetősége; </w:t>
      </w:r>
      <w:r>
        <w:rPr>
          <w:rFonts w:ascii="Times New Roman" w:hAnsi="Times New Roman"/>
          <w:noProof/>
          <w:sz w:val="24"/>
        </w:rPr>
        <w:t>ii. az új technológiák ismeretének megerősítése; iii. az adatgyűjtés erősítése.</w:t>
      </w:r>
    </w:p>
    <w:p w:rsidR="000B7D3F" w:rsidRDefault="00895A04">
      <w:pPr>
        <w:numPr>
          <w:ilvl w:val="0"/>
          <w:numId w:val="9"/>
        </w:numPr>
        <w:jc w:val="both"/>
        <w:rPr>
          <w:rFonts w:ascii="Times New Roman" w:hAnsi="Times New Roman"/>
          <w:noProof/>
          <w:sz w:val="24"/>
          <w:szCs w:val="24"/>
        </w:rPr>
      </w:pPr>
      <w:r>
        <w:rPr>
          <w:rFonts w:ascii="Times New Roman" w:hAnsi="Times New Roman"/>
          <w:noProof/>
          <w:sz w:val="24"/>
        </w:rPr>
        <w:t xml:space="preserve">A nemzeti szinten létrehozott információs rendszerek közötti </w:t>
      </w:r>
      <w:r>
        <w:rPr>
          <w:rFonts w:ascii="Times New Roman" w:hAnsi="Times New Roman"/>
          <w:b/>
          <w:noProof/>
          <w:sz w:val="24"/>
        </w:rPr>
        <w:t>interoperabilitás</w:t>
      </w:r>
      <w:r>
        <w:rPr>
          <w:rFonts w:ascii="Times New Roman" w:hAnsi="Times New Roman"/>
          <w:noProof/>
          <w:sz w:val="24"/>
        </w:rPr>
        <w:t>ra vonatkozó ajánlást illetően a tagállamok nézetei nem voltak homogének. Számos tagállam úgy véli</w:t>
      </w:r>
      <w:r>
        <w:rPr>
          <w:rFonts w:ascii="Times New Roman" w:hAnsi="Times New Roman"/>
          <w:noProof/>
          <w:sz w:val="24"/>
        </w:rPr>
        <w:t>, hogy az egyik legsürgetőbb probléma a tűzfegyverek nyomonkövethetősége. Ezért a nemzeti nyilvántartási rendszerek összekötése segítené a rendőrségek és nemzeti hatóságok jobb információmegosztását. Másrészt számos tagállam hangsúlyozta, hogy a rendszerek</w:t>
      </w:r>
      <w:r>
        <w:rPr>
          <w:rFonts w:ascii="Times New Roman" w:hAnsi="Times New Roman"/>
          <w:noProof/>
          <w:sz w:val="24"/>
        </w:rPr>
        <w:t xml:space="preserve"> összekapcsolása hosszú és nem szükségszerűen eredményes gyakorlatra vezetne IT-/műszaki problémák és összeegyeztethetetlenségek, valamint – ami ennél fontosabb – a magánélet védelmével és személyes adatok cseréjével kapcsolatos problémák miatt. A tagállam</w:t>
      </w:r>
      <w:r>
        <w:rPr>
          <w:rFonts w:ascii="Times New Roman" w:hAnsi="Times New Roman"/>
          <w:noProof/>
          <w:sz w:val="24"/>
        </w:rPr>
        <w:t xml:space="preserve">ok a költségek és az adminisztratív teher, valamint az interoperabilitás potenciális előnye közötti gondos egyensúlyteremtést javasoltak. Az első lépés annak elemzése lenne, milyen típusú információkat kell kicserélni, majd annak felmérése, hogy ez hogyan </w:t>
      </w:r>
      <w:r>
        <w:rPr>
          <w:rFonts w:ascii="Times New Roman" w:hAnsi="Times New Roman"/>
          <w:noProof/>
          <w:sz w:val="24"/>
        </w:rPr>
        <w:t>valósítható meg.</w:t>
      </w:r>
    </w:p>
    <w:p w:rsidR="000B7D3F" w:rsidRDefault="00895A04">
      <w:pPr>
        <w:numPr>
          <w:ilvl w:val="0"/>
          <w:numId w:val="9"/>
        </w:numPr>
        <w:jc w:val="both"/>
        <w:rPr>
          <w:rFonts w:ascii="Times New Roman" w:hAnsi="Times New Roman"/>
          <w:noProof/>
          <w:color w:val="000000"/>
          <w:sz w:val="24"/>
          <w:szCs w:val="24"/>
        </w:rPr>
      </w:pPr>
      <w:r>
        <w:rPr>
          <w:rFonts w:ascii="Times New Roman" w:hAnsi="Times New Roman"/>
          <w:noProof/>
          <w:sz w:val="24"/>
        </w:rPr>
        <w:t>A tagállamoknak nem volt közös véleménye arról az ajánlásról, hogy meg kellene határozni egy megállapodáson alapuló megközelítést a vadász- és sporttűzfegyverek osztályozásához, és tisztázni kellene az európai tűzfegyvertási igazolvány (EF</w:t>
      </w:r>
      <w:r>
        <w:rPr>
          <w:rFonts w:ascii="Times New Roman" w:hAnsi="Times New Roman"/>
          <w:noProof/>
          <w:sz w:val="24"/>
        </w:rPr>
        <w:t>P) szabályait. Néhány tagállam közölte, hogy nem okozna gondot az EFP-ben regisztrált fegyverek számának növelése, ugyanakkor meg kellene tartani további dokumentumok megkövetelésének szabadságát. Más tagállamok úgy vélik, hogy probléma az EFP-re vonatkozó</w:t>
      </w:r>
      <w:r>
        <w:rPr>
          <w:rFonts w:ascii="Times New Roman" w:hAnsi="Times New Roman"/>
          <w:noProof/>
          <w:sz w:val="24"/>
        </w:rPr>
        <w:t>an rendelkezésre álló információk hiánya. Nevezetesen egy tagállam rámutatott annak szükségességére, hogy jobban kell tájékoztatni a más tagállamokat felkereső vadászokat az EFP használatáról. Csak néhány tagállam javasolta az irányelv felülvizsgálatát a t</w:t>
      </w:r>
      <w:r>
        <w:rPr>
          <w:rFonts w:ascii="Times New Roman" w:hAnsi="Times New Roman"/>
          <w:noProof/>
          <w:sz w:val="24"/>
        </w:rPr>
        <w:t>űzfegyver-kategóriák harmonizálása érdekében.</w:t>
      </w:r>
    </w:p>
    <w:p w:rsidR="000B7D3F" w:rsidRDefault="00895A04">
      <w:pPr>
        <w:numPr>
          <w:ilvl w:val="0"/>
          <w:numId w:val="9"/>
        </w:numPr>
        <w:jc w:val="both"/>
        <w:rPr>
          <w:rFonts w:ascii="Times New Roman" w:hAnsi="Times New Roman"/>
          <w:noProof/>
          <w:sz w:val="24"/>
          <w:szCs w:val="24"/>
        </w:rPr>
      </w:pPr>
      <w:r>
        <w:rPr>
          <w:rFonts w:ascii="Times New Roman" w:hAnsi="Times New Roman"/>
          <w:noProof/>
          <w:sz w:val="24"/>
        </w:rPr>
        <w:t>A tagállamok véleményei ugyancsak eltérőek voltak arról az ajánlásról, hogy meg kellene vizsgálni olyan kérdéseket, mint a tulajdonlási követelmények, a közvetítők definíciói és az átalakíthatóság. Úgy tűnt, so</w:t>
      </w:r>
      <w:r>
        <w:rPr>
          <w:rFonts w:ascii="Times New Roman" w:hAnsi="Times New Roman"/>
          <w:noProof/>
          <w:sz w:val="24"/>
        </w:rPr>
        <w:t>kan egyetértettek a közvetítők, alkotóelemek és részek fogalma jobb meghatározásának szükségességével (és szükség esetén az irányelv ennek megfelelő felülvizsgálatával) és azzal, hogy meg kell vizsgálni a félautomata fegyverek automatává (és fordítva) alak</w:t>
      </w:r>
      <w:r>
        <w:rPr>
          <w:rFonts w:ascii="Times New Roman" w:hAnsi="Times New Roman"/>
          <w:noProof/>
          <w:sz w:val="24"/>
        </w:rPr>
        <w:t>ításának kérdését. Ugyanakkor csak néhány tagállam hangsúlyozta a jelenlegi tulajdonlási követelmények felülvizsgálatának szükségességét.</w:t>
      </w:r>
    </w:p>
    <w:p w:rsidR="000B7D3F" w:rsidRDefault="00895A04">
      <w:pPr>
        <w:numPr>
          <w:ilvl w:val="0"/>
          <w:numId w:val="9"/>
        </w:numPr>
        <w:jc w:val="both"/>
        <w:rPr>
          <w:rFonts w:ascii="Times New Roman" w:hAnsi="Times New Roman"/>
          <w:noProof/>
          <w:sz w:val="24"/>
          <w:szCs w:val="24"/>
        </w:rPr>
      </w:pPr>
      <w:r>
        <w:rPr>
          <w:rFonts w:ascii="Times New Roman" w:hAnsi="Times New Roman"/>
          <w:noProof/>
          <w:sz w:val="24"/>
        </w:rPr>
        <w:t>Jelentős számú tagállam érezte azt is, hogy bizonyos meghatározások (kereskedők, tűzfegyverek alapvető alkotóelemei, u</w:t>
      </w:r>
      <w:r>
        <w:rPr>
          <w:rFonts w:ascii="Times New Roman" w:hAnsi="Times New Roman"/>
          <w:noProof/>
          <w:sz w:val="24"/>
        </w:rPr>
        <w:t>tánzatok) tisztázást igényelnek.</w:t>
      </w:r>
    </w:p>
    <w:p w:rsidR="000B7D3F" w:rsidRDefault="00895A04">
      <w:pPr>
        <w:jc w:val="both"/>
        <w:rPr>
          <w:rFonts w:ascii="Times New Roman" w:hAnsi="Times New Roman"/>
          <w:noProof/>
          <w:sz w:val="24"/>
          <w:szCs w:val="24"/>
        </w:rPr>
      </w:pPr>
      <w:r>
        <w:rPr>
          <w:rFonts w:ascii="Times New Roman" w:hAnsi="Times New Roman"/>
          <w:noProof/>
          <w:sz w:val="24"/>
        </w:rPr>
        <w:t>(39) Az értékelők munkája és a tagállamok visszajelzése alapján a Bizottság egyetért ezen értékelés megállapításaival. Ezenkívül indokoltnak és értékesnek tartja az ajánlásokat, bár azok némelyike a többinél sürgősebb intéz</w:t>
      </w:r>
      <w:r>
        <w:rPr>
          <w:rFonts w:ascii="Times New Roman" w:hAnsi="Times New Roman"/>
          <w:noProof/>
          <w:sz w:val="24"/>
        </w:rPr>
        <w:t>kedést követel meg. Ráadásul néhány ajánlásnak (úgymint a tűzfegyverek minden darabjának jelölése és az adatnyilvántartások összekapcsolása) jelentős hatása lehet a költségekre, valamint a gyártókra és kereskedőkre (különösek a kkv-kra), ezért további vizs</w:t>
      </w:r>
      <w:r>
        <w:rPr>
          <w:rFonts w:ascii="Times New Roman" w:hAnsi="Times New Roman"/>
          <w:noProof/>
          <w:sz w:val="24"/>
        </w:rPr>
        <w:t xml:space="preserve">gálattal és esetleg megvalósíthatósági tanulmányokkal (például az adatnyilvántartások összekapcsolására vonatkozóan) lehet számolni. </w:t>
      </w:r>
    </w:p>
    <w:p w:rsidR="000B7D3F" w:rsidRDefault="00895A04">
      <w:pPr>
        <w:pStyle w:val="Heading1"/>
        <w:rPr>
          <w:rFonts w:ascii="Times New Roman" w:hAnsi="Times New Roman"/>
          <w:noProof/>
          <w:sz w:val="24"/>
        </w:rPr>
      </w:pPr>
      <w:r>
        <w:rPr>
          <w:rFonts w:ascii="Times New Roman" w:hAnsi="Times New Roman"/>
          <w:noProof/>
          <w:sz w:val="24"/>
        </w:rPr>
        <w:t>7. A következő lépések</w:t>
      </w:r>
    </w:p>
    <w:p w:rsidR="000B7D3F" w:rsidRDefault="00895A04">
      <w:pPr>
        <w:spacing w:after="120"/>
        <w:jc w:val="both"/>
        <w:rPr>
          <w:rFonts w:ascii="Times New Roman" w:hAnsi="Times New Roman"/>
          <w:noProof/>
          <w:sz w:val="24"/>
          <w:szCs w:val="24"/>
        </w:rPr>
      </w:pPr>
      <w:r>
        <w:rPr>
          <w:rFonts w:ascii="Times New Roman" w:hAnsi="Times New Roman"/>
          <w:noProof/>
          <w:sz w:val="24"/>
        </w:rPr>
        <w:t>(40) Az értékelő vizsgálat azt mutatta, hogy a tűzfegyverekről szóló irányelv pozitívan járult hozz</w:t>
      </w:r>
      <w:r>
        <w:rPr>
          <w:rFonts w:ascii="Times New Roman" w:hAnsi="Times New Roman"/>
          <w:noProof/>
          <w:sz w:val="24"/>
        </w:rPr>
        <w:t xml:space="preserve">á a belső piac működéséhez, támogatva a tűzfegyverek határokon át történő mozgatását és fenntartva a biztonság magas szintjét, valamint uniós hozzáadott értéke van, és releváns. </w:t>
      </w:r>
    </w:p>
    <w:p w:rsidR="000B7D3F" w:rsidRDefault="00895A04">
      <w:pPr>
        <w:spacing w:after="120"/>
        <w:jc w:val="both"/>
        <w:rPr>
          <w:rFonts w:ascii="Times New Roman" w:hAnsi="Times New Roman"/>
          <w:noProof/>
          <w:sz w:val="24"/>
          <w:szCs w:val="24"/>
        </w:rPr>
      </w:pPr>
      <w:r>
        <w:rPr>
          <w:rFonts w:ascii="Times New Roman" w:hAnsi="Times New Roman"/>
          <w:noProof/>
          <w:sz w:val="24"/>
        </w:rPr>
        <w:t>(41) Ugyanakkor marad néhány akadály, amely alááshatja az irányelv működését.</w:t>
      </w:r>
      <w:r>
        <w:rPr>
          <w:rFonts w:ascii="Times New Roman" w:hAnsi="Times New Roman"/>
          <w:noProof/>
          <w:sz w:val="24"/>
        </w:rPr>
        <w:t xml:space="preserve"> Az értékelők és a tagállamokkal folytatott eszmecserék az alábbi, további intézkedést igénylő kritikus kérdéseket emelték ki: a) vaktöltényes fegyverek (például riasztópisztolyok) valódi tűzfegyverekké alakíthatóságának kérdése, b) tűzfegyverek jelölési k</w:t>
      </w:r>
      <w:r>
        <w:rPr>
          <w:rFonts w:ascii="Times New Roman" w:hAnsi="Times New Roman"/>
          <w:noProof/>
          <w:sz w:val="24"/>
        </w:rPr>
        <w:t>övetelményei tisztázásának szükségessége (lehetővé téve nyomonkövethetőségüket), c) tűzfegyverek hatástalanítására vonatkozó közös és szigorú iránymutatások szükségessége, d) meghatározások tisztázásának szükségessége, e) az internetes értékesítési módok á</w:t>
      </w:r>
      <w:r>
        <w:rPr>
          <w:rFonts w:ascii="Times New Roman" w:hAnsi="Times New Roman"/>
          <w:noProof/>
          <w:sz w:val="24"/>
        </w:rPr>
        <w:t>tgondolásának szükségessége, f) a nemzeti adatcsererendszerek racionalizálásának és tökéletesítésének, valamint az interoperabilitási lehetőségek feltárásának szükségessége, g) a polgári célú tűzfegyverekkel és a hozzájuk kötődő bűncselekményekkel kapcsola</w:t>
      </w:r>
      <w:r>
        <w:rPr>
          <w:rFonts w:ascii="Times New Roman" w:hAnsi="Times New Roman"/>
          <w:noProof/>
          <w:sz w:val="24"/>
        </w:rPr>
        <w:t xml:space="preserve">tos adatgyűjtési tevékenységek megerősítésének szükségessége az uniós szintű jövőbeli döntéshozatali eljárások megfelelő támogatása érdekében. </w:t>
      </w:r>
    </w:p>
    <w:p w:rsidR="000B7D3F" w:rsidRDefault="00895A04">
      <w:pPr>
        <w:spacing w:after="120"/>
        <w:jc w:val="both"/>
        <w:rPr>
          <w:rFonts w:ascii="Times New Roman" w:hAnsi="Times New Roman"/>
          <w:noProof/>
          <w:sz w:val="24"/>
          <w:szCs w:val="24"/>
        </w:rPr>
      </w:pPr>
      <w:r>
        <w:rPr>
          <w:rFonts w:ascii="Times New Roman" w:hAnsi="Times New Roman"/>
          <w:noProof/>
          <w:sz w:val="24"/>
        </w:rPr>
        <w:t>(42) Miközben a közös hatástalanítási iránymutatásokkal és előírásokkal kapcsolatos munka már javában zajlott, a</w:t>
      </w:r>
      <w:r>
        <w:rPr>
          <w:rFonts w:ascii="Times New Roman" w:hAnsi="Times New Roman"/>
          <w:noProof/>
          <w:sz w:val="24"/>
        </w:rPr>
        <w:t xml:space="preserve"> Bizottság úgy döntött, hogy előrehozza az irányelv felülvizsgálatát, figyelembe véve a november 15-i párizsi terroristatámadások, valamint a korábbi párizsi és koppenhágai támadások és lövöldözés, továbbá a Thalys vonaton történt incidens hatását. Ezért a</w:t>
      </w:r>
      <w:r>
        <w:rPr>
          <w:rFonts w:ascii="Times New Roman" w:hAnsi="Times New Roman"/>
          <w:noProof/>
          <w:sz w:val="24"/>
        </w:rPr>
        <w:t xml:space="preserve"> Bizottság úgy döntött, hogy e jelentéshez csatolja az irányelv felülvizsgálatát az eddig gyűjtött bizonyítékok alapján, tekintetbe véve a szabályozás javításának szempontjait.</w:t>
      </w:r>
    </w:p>
    <w:p w:rsidR="000B7D3F" w:rsidRDefault="00895A04">
      <w:pPr>
        <w:spacing w:after="120"/>
        <w:jc w:val="both"/>
        <w:rPr>
          <w:noProof/>
        </w:rPr>
      </w:pPr>
      <w:r>
        <w:rPr>
          <w:rFonts w:ascii="Times New Roman" w:hAnsi="Times New Roman"/>
          <w:noProof/>
          <w:sz w:val="24"/>
        </w:rPr>
        <w:t>(43) A Bizottság „Az európai biztonsági stratégia”</w:t>
      </w:r>
      <w:r>
        <w:rPr>
          <w:rStyle w:val="FootnoteReference"/>
          <w:rFonts w:ascii="Times New Roman" w:hAnsi="Times New Roman"/>
          <w:noProof/>
          <w:sz w:val="24"/>
        </w:rPr>
        <w:footnoteReference w:id="25"/>
      </w:r>
      <w:r>
        <w:rPr>
          <w:rFonts w:ascii="Times New Roman" w:hAnsi="Times New Roman"/>
          <w:noProof/>
          <w:sz w:val="24"/>
        </w:rPr>
        <w:t xml:space="preserve"> című közleményével összhang</w:t>
      </w:r>
      <w:r>
        <w:rPr>
          <w:rFonts w:ascii="Times New Roman" w:hAnsi="Times New Roman"/>
          <w:noProof/>
          <w:sz w:val="24"/>
        </w:rPr>
        <w:t>ban, válaszul az uniós miniszterek rigai együttes nyilatkozatára</w:t>
      </w:r>
      <w:r>
        <w:rPr>
          <w:rStyle w:val="FootnoteReference"/>
          <w:rFonts w:ascii="Times New Roman" w:hAnsi="Times New Roman"/>
          <w:noProof/>
          <w:sz w:val="24"/>
        </w:rPr>
        <w:footnoteReference w:id="26"/>
      </w:r>
      <w:r>
        <w:rPr>
          <w:rFonts w:ascii="Times New Roman" w:hAnsi="Times New Roman"/>
          <w:noProof/>
          <w:sz w:val="24"/>
        </w:rPr>
        <w:t xml:space="preserve"> és a belügyminiszterek 2015. augusztus 29-i nyilatkozatára, az e jelentést kísérő javaslat célja a tűzfegyverekre vonatkozóan meglévő jogszabályi keret megerősítése, az információmegosztás j</w:t>
      </w:r>
      <w:r>
        <w:rPr>
          <w:rFonts w:ascii="Times New Roman" w:hAnsi="Times New Roman"/>
          <w:noProof/>
          <w:sz w:val="24"/>
        </w:rPr>
        <w:t>avítása, a fegyverek illegális kereskedelmének és reaktiválásának kezelése, valamint a jelölésre vonatkozó előírások kiterjesztése a jobb nyomonkövethetőség érdekében, és végül mérlegeli, hogyan kezelje a fegyverek vagy vaktöltényes fegyverek (vagyis riasz</w:t>
      </w:r>
      <w:r>
        <w:rPr>
          <w:rFonts w:ascii="Times New Roman" w:hAnsi="Times New Roman"/>
          <w:noProof/>
          <w:sz w:val="24"/>
        </w:rPr>
        <w:t xml:space="preserve">tófegyverek) átalakíthatóságával kapcsolatos problémákat. </w:t>
      </w:r>
    </w:p>
    <w:sectPr w:rsidR="000B7D3F">
      <w:headerReference w:type="even" r:id="rId21"/>
      <w:headerReference w:type="default" r:id="rId22"/>
      <w:footerReference w:type="even" r:id="rId23"/>
      <w:footerReference w:type="default" r:id="rId24"/>
      <w:headerReference w:type="first" r:id="rId25"/>
      <w:footerReference w:type="firs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D3F" w:rsidRDefault="00895A04">
      <w:pPr>
        <w:spacing w:after="0" w:line="240" w:lineRule="auto"/>
      </w:pPr>
      <w:r>
        <w:separator/>
      </w:r>
    </w:p>
  </w:endnote>
  <w:endnote w:type="continuationSeparator" w:id="0">
    <w:p w:rsidR="000B7D3F" w:rsidRDefault="00895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D3F" w:rsidRDefault="000B7D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D3F" w:rsidRDefault="00895A04">
    <w:pPr>
      <w:pStyle w:val="FooterCoverPage"/>
      <w:rPr>
        <w:rFonts w:ascii="Arial" w:hAnsi="Arial" w:cs="Arial"/>
        <w:b/>
        <w:sz w:val="48"/>
      </w:rPr>
    </w:pPr>
    <w:proofErr w:type="gramStart"/>
    <w:r>
      <w:rPr>
        <w:rFonts w:ascii="Arial" w:hAnsi="Arial" w:cs="Arial"/>
        <w:b/>
        <w:sz w:val="48"/>
      </w:rPr>
      <w:t>HU</w:t>
    </w:r>
    <w:proofErr w:type="gramEnd"/>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proofErr w:type="spellStart"/>
    <w:r>
      <w:rPr>
        <w:rFonts w:ascii="Arial" w:hAnsi="Arial" w:cs="Arial"/>
        <w:b/>
        <w:sz w:val="48"/>
      </w:rPr>
      <w:t>HU</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D3F" w:rsidRDefault="000B7D3F">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D3F" w:rsidRDefault="000B7D3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D3F" w:rsidRDefault="00895A04">
    <w:pPr>
      <w:pStyle w:val="Footer"/>
      <w:jc w:val="right"/>
    </w:pPr>
    <w:r>
      <w:fldChar w:fldCharType="begin"/>
    </w:r>
    <w:r>
      <w:instrText xml:space="preserve"> PAGE   \* MERGEFORMAT </w:instrText>
    </w:r>
    <w:r>
      <w:fldChar w:fldCharType="separate"/>
    </w:r>
    <w:r>
      <w:rPr>
        <w:noProof/>
      </w:rPr>
      <w:t>1</w:t>
    </w:r>
    <w:r>
      <w:rPr>
        <w:noProof/>
      </w:rPr>
      <w:fldChar w:fldCharType="end"/>
    </w:r>
  </w:p>
  <w:p w:rsidR="000B7D3F" w:rsidRDefault="000B7D3F">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D3F" w:rsidRDefault="000B7D3F">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D3F" w:rsidRDefault="000B7D3F">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5830193"/>
      <w:docPartObj>
        <w:docPartGallery w:val="Page Numbers (Bottom of Page)"/>
        <w:docPartUnique/>
      </w:docPartObj>
    </w:sdtPr>
    <w:sdtEndPr>
      <w:rPr>
        <w:noProof/>
      </w:rPr>
    </w:sdtEndPr>
    <w:sdtContent>
      <w:p w:rsidR="000B7D3F" w:rsidRDefault="00895A04">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rsidR="000B7D3F" w:rsidRDefault="000B7D3F">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D3F" w:rsidRDefault="000B7D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D3F" w:rsidRDefault="00895A04">
      <w:pPr>
        <w:spacing w:after="0" w:line="240" w:lineRule="auto"/>
      </w:pPr>
      <w:r>
        <w:separator/>
      </w:r>
    </w:p>
  </w:footnote>
  <w:footnote w:type="continuationSeparator" w:id="0">
    <w:p w:rsidR="000B7D3F" w:rsidRDefault="00895A04">
      <w:pPr>
        <w:spacing w:after="0" w:line="240" w:lineRule="auto"/>
      </w:pPr>
      <w:r>
        <w:continuationSeparator/>
      </w:r>
    </w:p>
  </w:footnote>
  <w:footnote w:id="1">
    <w:p w:rsidR="000B7D3F" w:rsidRDefault="00895A04">
      <w:pPr>
        <w:pStyle w:val="FootnoteText"/>
        <w:spacing w:after="0" w:line="240" w:lineRule="auto"/>
        <w:rPr>
          <w:rFonts w:ascii="Times" w:hAnsi="Times"/>
          <w:sz w:val="16"/>
          <w:lang w:val="de-DE"/>
        </w:rPr>
      </w:pPr>
      <w:r>
        <w:rPr>
          <w:rStyle w:val="FootnoteReference"/>
          <w:rFonts w:ascii="Times" w:hAnsi="Times"/>
          <w:sz w:val="16"/>
        </w:rPr>
        <w:footnoteRef/>
      </w:r>
      <w:r>
        <w:rPr>
          <w:rFonts w:ascii="Times" w:hAnsi="Times"/>
          <w:sz w:val="16"/>
        </w:rPr>
        <w:t xml:space="preserve"> HL L 256., 1991.9.13</w:t>
      </w:r>
      <w:proofErr w:type="gramStart"/>
      <w:r>
        <w:rPr>
          <w:rFonts w:ascii="Times" w:hAnsi="Times"/>
          <w:sz w:val="16"/>
        </w:rPr>
        <w:t>.,</w:t>
      </w:r>
      <w:proofErr w:type="gramEnd"/>
      <w:r>
        <w:rPr>
          <w:rFonts w:ascii="Times" w:hAnsi="Times"/>
          <w:sz w:val="16"/>
        </w:rPr>
        <w:t xml:space="preserve"> 51. o.</w:t>
      </w:r>
    </w:p>
  </w:footnote>
  <w:footnote w:id="2">
    <w:p w:rsidR="000B7D3F" w:rsidRDefault="00895A04">
      <w:pPr>
        <w:pStyle w:val="FootnoteText"/>
        <w:spacing w:after="0" w:line="240" w:lineRule="auto"/>
        <w:rPr>
          <w:rFonts w:ascii="Times" w:hAnsi="Times"/>
          <w:sz w:val="16"/>
          <w:lang w:val="de-DE"/>
        </w:rPr>
      </w:pPr>
      <w:r>
        <w:rPr>
          <w:rStyle w:val="FootnoteReference"/>
          <w:rFonts w:ascii="Times" w:hAnsi="Times"/>
          <w:sz w:val="16"/>
        </w:rPr>
        <w:footnoteRef/>
      </w:r>
      <w:r>
        <w:rPr>
          <w:rFonts w:ascii="Times" w:hAnsi="Times"/>
          <w:sz w:val="16"/>
        </w:rPr>
        <w:t xml:space="preserve"> HL L 179., 2008.7.8</w:t>
      </w:r>
      <w:proofErr w:type="gramStart"/>
      <w:r>
        <w:rPr>
          <w:rFonts w:ascii="Times" w:hAnsi="Times"/>
          <w:sz w:val="16"/>
        </w:rPr>
        <w:t>.,</w:t>
      </w:r>
      <w:proofErr w:type="gramEnd"/>
      <w:r>
        <w:rPr>
          <w:rFonts w:ascii="Times" w:hAnsi="Times"/>
          <w:sz w:val="16"/>
        </w:rPr>
        <w:t xml:space="preserve"> 5 o.</w:t>
      </w:r>
    </w:p>
  </w:footnote>
  <w:footnote w:id="3">
    <w:p w:rsidR="000B7D3F" w:rsidRDefault="00895A04">
      <w:pPr>
        <w:pStyle w:val="FootnoteText"/>
        <w:rPr>
          <w:rFonts w:ascii="Times" w:hAnsi="Times"/>
          <w:lang w:val="de-DE"/>
        </w:rPr>
      </w:pPr>
      <w:r>
        <w:rPr>
          <w:rStyle w:val="FootnoteReference"/>
          <w:rFonts w:ascii="Times" w:hAnsi="Times"/>
        </w:rPr>
        <w:footnoteRef/>
      </w:r>
      <w:r>
        <w:rPr>
          <w:rFonts w:ascii="Times" w:hAnsi="Times"/>
        </w:rPr>
        <w:t xml:space="preserve"> </w:t>
      </w:r>
      <w:hyperlink r:id="rId1">
        <w:r>
          <w:rPr>
            <w:rStyle w:val="Hyperlink"/>
            <w:rFonts w:ascii="Times" w:hAnsi="Times"/>
          </w:rPr>
          <w:t>http://bookshop.europa.eu/en/evaluation-of-the-firearms-directive-pbNB0514159/</w:t>
        </w:r>
      </w:hyperlink>
      <w:r>
        <w:rPr>
          <w:rFonts w:ascii="Times" w:hAnsi="Times"/>
        </w:rPr>
        <w:t xml:space="preserve">; </w:t>
      </w:r>
      <w:hyperlink r:id="rId2" w:history="1">
        <w:r>
          <w:rPr>
            <w:rStyle w:val="Hyperlink"/>
            <w:rFonts w:ascii="Times" w:hAnsi="Times"/>
          </w:rPr>
          <w:t>http://bookshop.europa.eu/en/evaluation-of-the-firearms-directive-pbNB0114006/</w:t>
        </w:r>
      </w:hyperlink>
      <w:r>
        <w:rPr>
          <w:rFonts w:ascii="Times" w:hAnsi="Times"/>
        </w:rPr>
        <w:t xml:space="preserve"> </w:t>
      </w:r>
    </w:p>
  </w:footnote>
  <w:footnote w:id="4">
    <w:p w:rsidR="000B7D3F" w:rsidRPr="00A01D9D" w:rsidRDefault="00895A04">
      <w:pPr>
        <w:pStyle w:val="FootnoteText"/>
        <w:rPr>
          <w:rFonts w:ascii="Times" w:hAnsi="Times"/>
          <w:lang w:val="pt-PT"/>
        </w:rPr>
      </w:pPr>
      <w:r>
        <w:rPr>
          <w:rStyle w:val="FootnoteReference"/>
          <w:rFonts w:ascii="Times" w:hAnsi="Times"/>
        </w:rPr>
        <w:footnoteRef/>
      </w:r>
      <w:r>
        <w:rPr>
          <w:rFonts w:ascii="Times" w:hAnsi="Times"/>
        </w:rPr>
        <w:t xml:space="preserve"> </w:t>
      </w:r>
      <w:proofErr w:type="gramStart"/>
      <w:r>
        <w:rPr>
          <w:rFonts w:ascii="Times" w:hAnsi="Times"/>
        </w:rPr>
        <w:t>COM(</w:t>
      </w:r>
      <w:proofErr w:type="gramEnd"/>
      <w:r>
        <w:rPr>
          <w:rFonts w:ascii="Times" w:hAnsi="Times"/>
        </w:rPr>
        <w:t xml:space="preserve">2013)685 </w:t>
      </w:r>
      <w:proofErr w:type="spellStart"/>
      <w:r>
        <w:rPr>
          <w:rFonts w:ascii="Times" w:hAnsi="Times"/>
        </w:rPr>
        <w:t>final</w:t>
      </w:r>
      <w:proofErr w:type="spellEnd"/>
      <w:r>
        <w:rPr>
          <w:rFonts w:ascii="Times" w:hAnsi="Times"/>
        </w:rPr>
        <w:t>.</w:t>
      </w:r>
    </w:p>
  </w:footnote>
  <w:footnote w:id="5">
    <w:p w:rsidR="000B7D3F" w:rsidRPr="00A01D9D" w:rsidRDefault="00895A04">
      <w:pPr>
        <w:pStyle w:val="FootnoteText"/>
        <w:spacing w:after="0" w:line="240" w:lineRule="auto"/>
        <w:rPr>
          <w:rFonts w:ascii="Times" w:hAnsi="Times"/>
          <w:sz w:val="16"/>
          <w:lang w:val="pt-PT"/>
        </w:rPr>
      </w:pPr>
      <w:r>
        <w:rPr>
          <w:rStyle w:val="FootnoteReference"/>
          <w:rFonts w:ascii="Times" w:hAnsi="Times"/>
          <w:sz w:val="16"/>
        </w:rPr>
        <w:footnoteRef/>
      </w:r>
      <w:r>
        <w:rPr>
          <w:rFonts w:ascii="Times" w:hAnsi="Times"/>
          <w:sz w:val="16"/>
        </w:rPr>
        <w:t xml:space="preserve"> Európai Gazdasági Térség.</w:t>
      </w:r>
    </w:p>
  </w:footnote>
  <w:footnote w:id="6">
    <w:p w:rsidR="000B7D3F" w:rsidRPr="00A01D9D" w:rsidRDefault="00895A04">
      <w:pPr>
        <w:pStyle w:val="FootnoteText"/>
        <w:spacing w:after="0" w:line="240" w:lineRule="auto"/>
        <w:rPr>
          <w:rFonts w:ascii="Times" w:hAnsi="Times"/>
          <w:sz w:val="16"/>
          <w:lang w:val="pt-PT"/>
        </w:rPr>
      </w:pPr>
      <w:r>
        <w:rPr>
          <w:rStyle w:val="FootnoteReference"/>
          <w:rFonts w:ascii="Times" w:hAnsi="Times"/>
          <w:sz w:val="16"/>
        </w:rPr>
        <w:footnoteRef/>
      </w:r>
      <w:r>
        <w:rPr>
          <w:rFonts w:ascii="Times" w:hAnsi="Times"/>
          <w:sz w:val="16"/>
        </w:rPr>
        <w:t xml:space="preserve"> Európai Szabadkereskedelmi Társulás.</w:t>
      </w:r>
    </w:p>
  </w:footnote>
  <w:footnote w:id="7">
    <w:p w:rsidR="000B7D3F" w:rsidRPr="00A01D9D" w:rsidRDefault="00895A04">
      <w:pPr>
        <w:pStyle w:val="FootnoteText"/>
        <w:rPr>
          <w:rFonts w:ascii="Times" w:hAnsi="Times"/>
          <w:lang w:val="pt-PT"/>
        </w:rPr>
      </w:pPr>
      <w:r>
        <w:rPr>
          <w:rStyle w:val="FootnoteReference"/>
          <w:rFonts w:ascii="Times" w:hAnsi="Times"/>
          <w:sz w:val="16"/>
        </w:rPr>
        <w:footnoteRef/>
      </w:r>
      <w:r>
        <w:rPr>
          <w:rFonts w:ascii="Times" w:hAnsi="Times"/>
          <w:sz w:val="16"/>
        </w:rPr>
        <w:t xml:space="preserve"> Izland, Liechtenstein, Norvégia és </w:t>
      </w:r>
      <w:proofErr w:type="gramStart"/>
      <w:r>
        <w:rPr>
          <w:rFonts w:ascii="Times" w:hAnsi="Times"/>
          <w:sz w:val="16"/>
        </w:rPr>
        <w:t>Svájc .</w:t>
      </w:r>
      <w:proofErr w:type="gramEnd"/>
    </w:p>
  </w:footnote>
  <w:footnote w:id="8">
    <w:p w:rsidR="000B7D3F" w:rsidRDefault="00895A04">
      <w:pPr>
        <w:pStyle w:val="FootnoteText"/>
        <w:spacing w:after="0" w:line="240" w:lineRule="auto"/>
        <w:rPr>
          <w:rFonts w:ascii="Times" w:hAnsi="Times"/>
        </w:rPr>
      </w:pPr>
      <w:r>
        <w:rPr>
          <w:rStyle w:val="FootnoteReference"/>
          <w:rFonts w:ascii="Times" w:hAnsi="Times"/>
        </w:rPr>
        <w:footnoteRef/>
      </w:r>
      <w:r>
        <w:rPr>
          <w:rFonts w:ascii="Times" w:hAnsi="Times"/>
        </w:rPr>
        <w:t xml:space="preserve"> A Bizottság jelentése az </w:t>
      </w:r>
      <w:r>
        <w:rPr>
          <w:rFonts w:ascii="Times" w:hAnsi="Times"/>
        </w:rPr>
        <w:t xml:space="preserve">Európai Parlamentnek és a Tanácsnak „az 1991. június 18-i, a fegyverek megszerzésének és tartásának ellenőrzéséről szóló 91/477/EGK tanácsi irányelv végrehajtásáról”, COM (2000) 837 </w:t>
      </w:r>
      <w:proofErr w:type="spellStart"/>
      <w:r>
        <w:rPr>
          <w:rFonts w:ascii="Times" w:hAnsi="Times"/>
        </w:rPr>
        <w:t>final</w:t>
      </w:r>
      <w:proofErr w:type="spellEnd"/>
      <w:r>
        <w:rPr>
          <w:rFonts w:ascii="Times" w:hAnsi="Times"/>
        </w:rPr>
        <w:t>. Brüsszel, 2000.12.15.</w:t>
      </w:r>
    </w:p>
  </w:footnote>
  <w:footnote w:id="9">
    <w:p w:rsidR="000B7D3F" w:rsidRDefault="00895A04">
      <w:pPr>
        <w:pStyle w:val="FootnoteText"/>
        <w:spacing w:after="0" w:line="240" w:lineRule="auto"/>
        <w:rPr>
          <w:rFonts w:ascii="Times" w:hAnsi="Times"/>
        </w:rPr>
      </w:pPr>
      <w:r>
        <w:rPr>
          <w:rStyle w:val="FootnoteReference"/>
          <w:rFonts w:ascii="Times" w:hAnsi="Times"/>
        </w:rPr>
        <w:footnoteRef/>
      </w:r>
      <w:r>
        <w:rPr>
          <w:rFonts w:ascii="Times" w:hAnsi="Times"/>
        </w:rPr>
        <w:t xml:space="preserve"> Az Egyesült Nemzetek nemzetközi szervezett </w:t>
      </w:r>
      <w:r>
        <w:rPr>
          <w:rFonts w:ascii="Times" w:hAnsi="Times"/>
        </w:rPr>
        <w:t>bűnözés elleni egyezményéhez csatolt, a tűzfegyverek, azok részei és alkatrészei, valamint a lőszerek tiltott előállítása és kereskedelme elleni fellépésről szóló jegyzőkönyv.</w:t>
      </w:r>
    </w:p>
  </w:footnote>
  <w:footnote w:id="10">
    <w:p w:rsidR="000B7D3F" w:rsidRDefault="00895A04">
      <w:pPr>
        <w:pStyle w:val="FootnoteText"/>
        <w:spacing w:after="0" w:line="240" w:lineRule="auto"/>
        <w:rPr>
          <w:rFonts w:ascii="Times" w:hAnsi="Times"/>
        </w:rPr>
      </w:pPr>
      <w:r>
        <w:rPr>
          <w:rStyle w:val="FootnoteReference"/>
          <w:rFonts w:ascii="Times" w:hAnsi="Times"/>
        </w:rPr>
        <w:footnoteRef/>
      </w:r>
      <w:r>
        <w:rPr>
          <w:rFonts w:ascii="Times" w:hAnsi="Times"/>
        </w:rPr>
        <w:t xml:space="preserve"> Az </w:t>
      </w:r>
      <w:proofErr w:type="spellStart"/>
      <w:r>
        <w:rPr>
          <w:rFonts w:ascii="Times" w:hAnsi="Times"/>
        </w:rPr>
        <w:t>UNFP-t</w:t>
      </w:r>
      <w:proofErr w:type="spellEnd"/>
      <w:r>
        <w:rPr>
          <w:rFonts w:ascii="Times" w:hAnsi="Times"/>
        </w:rPr>
        <w:t xml:space="preserve"> a Bizottság 2014-ben ratifikálta. A Tanács határozata (2014. február</w:t>
      </w:r>
      <w:r>
        <w:rPr>
          <w:rFonts w:ascii="Times" w:hAnsi="Times"/>
        </w:rPr>
        <w:t xml:space="preserve"> 11.) az Egyesült Nemzetek nemzetközi szervezett bűnözés elleni egyezményéhez csatolt, a tűzfegyverek, azok részei és alkatrészei, valamint a lőszerek tiltott előállítása és kereskedelme elleni fellépésről szóló jegyzőkönyvnek az Európai Unió nevében törté</w:t>
      </w:r>
      <w:r>
        <w:rPr>
          <w:rFonts w:ascii="Times" w:hAnsi="Times"/>
        </w:rPr>
        <w:t>nő megkötéséről (2014/164/EU). HL 89., 2014.3.23</w:t>
      </w:r>
      <w:proofErr w:type="gramStart"/>
      <w:r>
        <w:rPr>
          <w:rFonts w:ascii="Times" w:hAnsi="Times"/>
        </w:rPr>
        <w:t>.,</w:t>
      </w:r>
      <w:proofErr w:type="gramEnd"/>
      <w:r>
        <w:rPr>
          <w:rFonts w:ascii="Times" w:hAnsi="Times"/>
        </w:rPr>
        <w:t xml:space="preserve"> 7. o.</w:t>
      </w:r>
    </w:p>
  </w:footnote>
  <w:footnote w:id="11">
    <w:p w:rsidR="000B7D3F" w:rsidRDefault="00895A04">
      <w:pPr>
        <w:pStyle w:val="FootnoteText"/>
        <w:spacing w:after="0" w:line="240" w:lineRule="auto"/>
        <w:jc w:val="both"/>
        <w:rPr>
          <w:rFonts w:ascii="Times" w:hAnsi="Times"/>
        </w:rPr>
      </w:pPr>
      <w:r>
        <w:rPr>
          <w:rStyle w:val="FootnoteReference"/>
          <w:rFonts w:ascii="Times" w:hAnsi="Times"/>
        </w:rPr>
        <w:footnoteRef/>
      </w:r>
      <w:r>
        <w:rPr>
          <w:rFonts w:ascii="Times" w:hAnsi="Times"/>
        </w:rPr>
        <w:t xml:space="preserve"> Az Európai Parlament és a Tanács 258/2012/EU rendelete (2012. március 14.) az Egyesült Nemzeteknek a nemzetközi szervezett bűnözés elleni egyezményét kiegészítő, a tűzfegyverek, részeik, alkotóelem</w:t>
      </w:r>
      <w:r>
        <w:rPr>
          <w:rFonts w:ascii="Times" w:hAnsi="Times"/>
        </w:rPr>
        <w:t>eik és a lőszerek tiltott gyártásáról és kereskedelméről szóló jegyzőkönyve (az ENSZ tűzfegyverekről szóló jegyzőkönyve) 10. cikkének végrehajtásáról, valamint a tűzfegyverek, tűzfegyverdarabok, alkotóelemeik és lőszereik kiviteli engedélyezési, behozatali</w:t>
      </w:r>
      <w:r>
        <w:rPr>
          <w:rFonts w:ascii="Times" w:hAnsi="Times"/>
        </w:rPr>
        <w:t xml:space="preserve"> és tranzit szabályainak létrehozásáról.</w:t>
      </w:r>
    </w:p>
  </w:footnote>
  <w:footnote w:id="12">
    <w:p w:rsidR="000B7D3F" w:rsidRDefault="00895A04">
      <w:pPr>
        <w:pStyle w:val="FootnoteText"/>
        <w:spacing w:after="0" w:line="240" w:lineRule="auto"/>
        <w:jc w:val="both"/>
        <w:rPr>
          <w:rFonts w:ascii="Times" w:hAnsi="Times"/>
        </w:rPr>
      </w:pPr>
      <w:r>
        <w:rPr>
          <w:rStyle w:val="FootnoteReference"/>
          <w:rFonts w:ascii="Times" w:hAnsi="Times"/>
        </w:rPr>
        <w:footnoteRef/>
      </w:r>
      <w:r>
        <w:rPr>
          <w:rFonts w:ascii="Times" w:hAnsi="Times"/>
        </w:rPr>
        <w:t xml:space="preserve"> A rendelet legfontosabb hozzájárulása az az elv, hogy a polgári célú tűzfegyverek tagállamok közötti szállításának feltétele, hogy minden résztvevő ország tudjon róla és engedélyezze, valamint a fegyverek eredetén</w:t>
      </w:r>
      <w:r>
        <w:rPr>
          <w:rFonts w:ascii="Times" w:hAnsi="Times"/>
        </w:rPr>
        <w:t>ek is ismertnek kell lennie.</w:t>
      </w:r>
    </w:p>
  </w:footnote>
  <w:footnote w:id="13">
    <w:p w:rsidR="000B7D3F" w:rsidRDefault="00895A04">
      <w:pPr>
        <w:pStyle w:val="FootnoteText"/>
        <w:spacing w:after="0" w:line="240" w:lineRule="auto"/>
        <w:jc w:val="both"/>
        <w:rPr>
          <w:rFonts w:ascii="Times" w:hAnsi="Times"/>
        </w:rPr>
      </w:pPr>
      <w:r>
        <w:rPr>
          <w:rStyle w:val="FootnoteReference"/>
          <w:rFonts w:ascii="Times" w:hAnsi="Times"/>
        </w:rPr>
        <w:footnoteRef/>
      </w:r>
      <w:r>
        <w:rPr>
          <w:rFonts w:ascii="Times" w:hAnsi="Times"/>
        </w:rPr>
        <w:t xml:space="preserve"> COM(2013) 716 </w:t>
      </w:r>
      <w:proofErr w:type="spellStart"/>
      <w:r>
        <w:rPr>
          <w:rFonts w:ascii="Times" w:hAnsi="Times"/>
        </w:rPr>
        <w:t>final</w:t>
      </w:r>
      <w:proofErr w:type="spellEnd"/>
      <w:r>
        <w:rPr>
          <w:rFonts w:ascii="Times" w:hAnsi="Times"/>
        </w:rPr>
        <w:t xml:space="preserve">, </w:t>
      </w:r>
      <w:proofErr w:type="gramStart"/>
      <w:r>
        <w:rPr>
          <w:rFonts w:ascii="Times" w:hAnsi="Times"/>
        </w:rPr>
        <w:t>A</w:t>
      </w:r>
      <w:proofErr w:type="gramEnd"/>
      <w:r>
        <w:rPr>
          <w:rFonts w:ascii="Times" w:hAnsi="Times"/>
        </w:rPr>
        <w:t xml:space="preserve"> Bizottság közleménye a Tanácsnak és az Európai Parlamentnek, Lőfegyverek és az EU belső biztonsága: a polgárok védelme és az illegális kereskedelem felszámolása.</w:t>
      </w:r>
    </w:p>
  </w:footnote>
  <w:footnote w:id="14">
    <w:p w:rsidR="000B7D3F" w:rsidRDefault="00895A04">
      <w:pPr>
        <w:autoSpaceDE w:val="0"/>
        <w:autoSpaceDN w:val="0"/>
        <w:adjustRightInd w:val="0"/>
        <w:spacing w:after="0" w:line="240" w:lineRule="auto"/>
        <w:jc w:val="both"/>
        <w:rPr>
          <w:rFonts w:ascii="Times" w:hAnsi="Times"/>
          <w:sz w:val="20"/>
          <w:szCs w:val="20"/>
        </w:rPr>
      </w:pPr>
      <w:r>
        <w:rPr>
          <w:rStyle w:val="FootnoteReference"/>
          <w:rFonts w:ascii="Times" w:hAnsi="Times"/>
        </w:rPr>
        <w:footnoteRef/>
      </w:r>
      <w:r>
        <w:rPr>
          <w:rFonts w:ascii="Times" w:hAnsi="Times"/>
        </w:rPr>
        <w:t xml:space="preserve"> </w:t>
      </w:r>
      <w:r>
        <w:rPr>
          <w:rFonts w:ascii="Times" w:hAnsi="Times"/>
          <w:sz w:val="20"/>
        </w:rPr>
        <w:t xml:space="preserve">COM(2015) 185 </w:t>
      </w:r>
      <w:proofErr w:type="spellStart"/>
      <w:r>
        <w:rPr>
          <w:rFonts w:ascii="Times" w:hAnsi="Times"/>
          <w:sz w:val="20"/>
        </w:rPr>
        <w:t>final</w:t>
      </w:r>
      <w:proofErr w:type="spellEnd"/>
      <w:r>
        <w:rPr>
          <w:rFonts w:ascii="Times" w:hAnsi="Times"/>
          <w:sz w:val="20"/>
        </w:rPr>
        <w:t xml:space="preserve">, </w:t>
      </w:r>
      <w:proofErr w:type="gramStart"/>
      <w:r>
        <w:rPr>
          <w:rFonts w:ascii="Times" w:hAnsi="Times"/>
          <w:sz w:val="20"/>
        </w:rPr>
        <w:t>A</w:t>
      </w:r>
      <w:proofErr w:type="gramEnd"/>
      <w:r>
        <w:rPr>
          <w:rFonts w:ascii="Times" w:hAnsi="Times"/>
          <w:sz w:val="20"/>
        </w:rPr>
        <w:t xml:space="preserve"> Bizottság </w:t>
      </w:r>
      <w:r>
        <w:rPr>
          <w:rFonts w:ascii="Times" w:hAnsi="Times"/>
          <w:sz w:val="20"/>
        </w:rPr>
        <w:t>közleménye az Európai Parlamentnek, a Tanácsnak, az Európai Gazdasági és Szociális Bizottságnak és a Régiók Bizottságának, Az európai biztonsági stratégia.</w:t>
      </w:r>
    </w:p>
  </w:footnote>
  <w:footnote w:id="15">
    <w:p w:rsidR="000B7D3F" w:rsidRDefault="00895A04">
      <w:pPr>
        <w:pStyle w:val="FootnoteText"/>
        <w:rPr>
          <w:rFonts w:ascii="Times" w:hAnsi="Times"/>
        </w:rPr>
      </w:pPr>
      <w:r>
        <w:rPr>
          <w:rStyle w:val="FootnoteReference"/>
          <w:rFonts w:ascii="Times" w:hAnsi="Times"/>
        </w:rPr>
        <w:footnoteRef/>
      </w:r>
      <w:r>
        <w:rPr>
          <w:rFonts w:ascii="Times" w:hAnsi="Times"/>
        </w:rPr>
        <w:t xml:space="preserve"> A tűzfegyverekről szóló irányelv 3. cikkének megfelelően: „</w:t>
      </w:r>
      <w:proofErr w:type="gramStart"/>
      <w:r>
        <w:rPr>
          <w:rFonts w:ascii="Times" w:hAnsi="Times"/>
        </w:rPr>
        <w:t>A</w:t>
      </w:r>
      <w:proofErr w:type="gramEnd"/>
      <w:r>
        <w:rPr>
          <w:rFonts w:ascii="Times" w:hAnsi="Times"/>
        </w:rPr>
        <w:t xml:space="preserve"> tagállamok nemzeti jogszabályaikban e</w:t>
      </w:r>
      <w:r>
        <w:rPr>
          <w:rFonts w:ascii="Times" w:hAnsi="Times"/>
        </w:rPr>
        <w:t>lfogadhatnak az irányelvben meghatározottnál szigorúbb rendelkezéseket is”.</w:t>
      </w:r>
    </w:p>
  </w:footnote>
  <w:footnote w:id="16">
    <w:p w:rsidR="000B7D3F" w:rsidRDefault="00895A04">
      <w:pPr>
        <w:pStyle w:val="FootnoteText"/>
        <w:rPr>
          <w:rFonts w:ascii="Times" w:hAnsi="Times"/>
        </w:rPr>
      </w:pPr>
      <w:r>
        <w:rPr>
          <w:rStyle w:val="FootnoteReference"/>
          <w:rFonts w:ascii="Times" w:hAnsi="Times"/>
        </w:rPr>
        <w:footnoteRef/>
      </w:r>
      <w:r>
        <w:rPr>
          <w:rFonts w:ascii="Times" w:hAnsi="Times"/>
        </w:rPr>
        <w:t xml:space="preserve"> Ideértve: COM (2012)415 – </w:t>
      </w:r>
      <w:proofErr w:type="gramStart"/>
      <w:r>
        <w:rPr>
          <w:rFonts w:ascii="Times" w:hAnsi="Times"/>
        </w:rPr>
        <w:t>A</w:t>
      </w:r>
      <w:proofErr w:type="gramEnd"/>
      <w:r>
        <w:rPr>
          <w:rFonts w:ascii="Times" w:hAnsi="Times"/>
        </w:rPr>
        <w:t xml:space="preserve"> tűzfegyver-kategóriák számának kettőre (engedélykötelesre, illetve tiltott tűzfegyverekre) csökkentéséből adódó esetleges előnyök vagy hátrányok; a vá</w:t>
      </w:r>
      <w:r>
        <w:rPr>
          <w:rFonts w:ascii="Times" w:hAnsi="Times"/>
        </w:rPr>
        <w:t xml:space="preserve">ltoztatás célja, a szóban forgó termékek belső piacának megfelelőbb működése esetleges egyszerűsítés révén; COM(2010) 404 – A tűzfegyverutánzatok forgalomba hozatala. </w:t>
      </w:r>
    </w:p>
  </w:footnote>
  <w:footnote w:id="17">
    <w:p w:rsidR="000B7D3F" w:rsidRDefault="00895A04">
      <w:pPr>
        <w:pStyle w:val="FootnoteText"/>
        <w:rPr>
          <w:rFonts w:ascii="Times" w:hAnsi="Times"/>
        </w:rPr>
      </w:pPr>
      <w:r>
        <w:rPr>
          <w:rStyle w:val="FootnoteReference"/>
          <w:rFonts w:ascii="Times" w:hAnsi="Times"/>
        </w:rPr>
        <w:footnoteRef/>
      </w:r>
      <w:r>
        <w:rPr>
          <w:rFonts w:ascii="Times" w:hAnsi="Times"/>
        </w:rPr>
        <w:t xml:space="preserve"> Tűzfegyverek európai unióbeli hatástalanítási, megsemmisítési és jelölési eljárásaira,</w:t>
      </w:r>
      <w:r>
        <w:rPr>
          <w:rFonts w:ascii="Times" w:hAnsi="Times"/>
        </w:rPr>
        <w:t xml:space="preserve"> valamint riasztófegyverekre és utánzatokra vonatkozó szabályok tökéletesítésével kapcsolatos lehetséges kezdeményezésről szóló hatásvizsgálatot támogató tanulmány (</w:t>
      </w:r>
      <w:hyperlink r:id="rId3">
        <w:r>
          <w:rPr>
            <w:rStyle w:val="Hyperlink"/>
            <w:rFonts w:ascii="Times" w:hAnsi="Times"/>
          </w:rPr>
          <w:t>http://www.sipri.org/research/security/europe/publications/study-on-firearms</w:t>
        </w:r>
      </w:hyperlink>
      <w:r>
        <w:rPr>
          <w:rFonts w:ascii="Times" w:hAnsi="Times"/>
        </w:rPr>
        <w:t>).</w:t>
      </w:r>
    </w:p>
  </w:footnote>
  <w:footnote w:id="18">
    <w:p w:rsidR="000B7D3F" w:rsidRDefault="00895A04">
      <w:pPr>
        <w:pStyle w:val="FootnoteText"/>
        <w:rPr>
          <w:rFonts w:ascii="Times" w:hAnsi="Times"/>
        </w:rPr>
      </w:pPr>
      <w:r>
        <w:rPr>
          <w:rStyle w:val="FootnoteReference"/>
          <w:rFonts w:ascii="Times" w:hAnsi="Times"/>
        </w:rPr>
        <w:footnoteRef/>
      </w:r>
      <w:r>
        <w:rPr>
          <w:rFonts w:ascii="Times" w:hAnsi="Times"/>
        </w:rPr>
        <w:t xml:space="preserve"> Az európai unióbeli tiltott fegyverkereskedelem elleni küzdelem lehetőségeire vonatkozó hatásvizsgálatot támogató tanulmány.</w:t>
      </w:r>
    </w:p>
  </w:footnote>
  <w:footnote w:id="19">
    <w:p w:rsidR="000B7D3F" w:rsidRDefault="00895A04">
      <w:pPr>
        <w:pStyle w:val="FootnoteText"/>
        <w:rPr>
          <w:rFonts w:ascii="Times" w:hAnsi="Times"/>
        </w:rPr>
      </w:pPr>
      <w:r>
        <w:rPr>
          <w:rStyle w:val="FootnoteReference"/>
          <w:rFonts w:ascii="Times" w:hAnsi="Times"/>
        </w:rPr>
        <w:footnoteRef/>
      </w:r>
      <w:r>
        <w:rPr>
          <w:rFonts w:ascii="Times" w:hAnsi="Times"/>
        </w:rPr>
        <w:t xml:space="preserve"> Az esettanulmányokhoz a tagállamok kiválasz</w:t>
      </w:r>
      <w:r>
        <w:rPr>
          <w:rFonts w:ascii="Times" w:hAnsi="Times"/>
        </w:rPr>
        <w:t xml:space="preserve">tásának kritériumai a következők voltak: i. a tűzfegyverpiac mérete; </w:t>
      </w:r>
      <w:proofErr w:type="spellStart"/>
      <w:r>
        <w:rPr>
          <w:rFonts w:ascii="Times" w:hAnsi="Times"/>
        </w:rPr>
        <w:t>ii</w:t>
      </w:r>
      <w:proofErr w:type="spellEnd"/>
      <w:r>
        <w:rPr>
          <w:rFonts w:ascii="Times" w:hAnsi="Times"/>
        </w:rPr>
        <w:t xml:space="preserve">. a tagállam által tapasztalt biztonsági problémák; </w:t>
      </w:r>
      <w:proofErr w:type="spellStart"/>
      <w:r>
        <w:rPr>
          <w:rFonts w:ascii="Times" w:hAnsi="Times"/>
        </w:rPr>
        <w:t>iii</w:t>
      </w:r>
      <w:proofErr w:type="spellEnd"/>
      <w:r>
        <w:rPr>
          <w:rFonts w:ascii="Times" w:hAnsi="Times"/>
        </w:rPr>
        <w:t xml:space="preserve">. tűzfegyverek a lakosság arányában; </w:t>
      </w:r>
      <w:proofErr w:type="spellStart"/>
      <w:r>
        <w:rPr>
          <w:rFonts w:ascii="Times" w:hAnsi="Times"/>
        </w:rPr>
        <w:t>iv</w:t>
      </w:r>
      <w:proofErr w:type="spellEnd"/>
      <w:r>
        <w:rPr>
          <w:rFonts w:ascii="Times" w:hAnsi="Times"/>
        </w:rPr>
        <w:t>. nyilvántartott lopott vagy elveszett tűzfegyverek száma.</w:t>
      </w:r>
    </w:p>
  </w:footnote>
  <w:footnote w:id="20">
    <w:p w:rsidR="000B7D3F" w:rsidRDefault="00895A04">
      <w:pPr>
        <w:pStyle w:val="FootnoteText"/>
        <w:rPr>
          <w:rFonts w:ascii="Times" w:hAnsi="Times"/>
        </w:rPr>
      </w:pPr>
      <w:r>
        <w:rPr>
          <w:rStyle w:val="FootnoteReference"/>
          <w:rFonts w:ascii="Times" w:hAnsi="Times"/>
        </w:rPr>
        <w:footnoteRef/>
      </w:r>
      <w:r>
        <w:rPr>
          <w:rFonts w:ascii="Times" w:hAnsi="Times"/>
        </w:rPr>
        <w:t xml:space="preserve"> Referenciaként a 2005–2013-as </w:t>
      </w:r>
      <w:r>
        <w:rPr>
          <w:rFonts w:ascii="Times" w:hAnsi="Times"/>
        </w:rPr>
        <w:t>időkeretet használjuk, mivel az EU-nak már 25 tagállama volt.</w:t>
      </w:r>
    </w:p>
  </w:footnote>
  <w:footnote w:id="21">
    <w:p w:rsidR="000B7D3F" w:rsidRDefault="00895A04">
      <w:pPr>
        <w:pStyle w:val="FootnoteText"/>
        <w:spacing w:after="0" w:line="240" w:lineRule="auto"/>
        <w:rPr>
          <w:rFonts w:ascii="Times" w:hAnsi="Times"/>
        </w:rPr>
      </w:pPr>
      <w:r>
        <w:rPr>
          <w:rStyle w:val="FootnoteReference"/>
          <w:rFonts w:ascii="Times" w:hAnsi="Times"/>
        </w:rPr>
        <w:footnoteRef/>
      </w:r>
      <w:r>
        <w:rPr>
          <w:rFonts w:ascii="Times" w:hAnsi="Times"/>
        </w:rPr>
        <w:t xml:space="preserve"> A kapcsolattartó csoport létrehozását a tűzfegyverekről szóló irányelv 13. cikkének (3) bekezdése irányozza elő.</w:t>
      </w:r>
    </w:p>
  </w:footnote>
  <w:footnote w:id="22">
    <w:p w:rsidR="000B7D3F" w:rsidRDefault="00895A04">
      <w:pPr>
        <w:pStyle w:val="FootnoteText"/>
        <w:spacing w:after="0" w:line="240" w:lineRule="auto"/>
        <w:jc w:val="both"/>
        <w:rPr>
          <w:rFonts w:ascii="Times" w:hAnsi="Times"/>
        </w:rPr>
      </w:pPr>
      <w:r>
        <w:rPr>
          <w:rStyle w:val="FootnoteReference"/>
          <w:rFonts w:ascii="Times" w:hAnsi="Times"/>
        </w:rPr>
        <w:footnoteRef/>
      </w:r>
      <w:r>
        <w:rPr>
          <w:rFonts w:ascii="Times" w:hAnsi="Times"/>
        </w:rPr>
        <w:t xml:space="preserve"> </w:t>
      </w:r>
      <w:r>
        <w:rPr>
          <w:rFonts w:ascii="Times" w:hAnsi="Times"/>
          <w:u w:val="single"/>
        </w:rPr>
        <w:t>A közvetlen megfelelési költségek</w:t>
      </w:r>
      <w:r>
        <w:rPr>
          <w:rFonts w:ascii="Times" w:hAnsi="Times"/>
        </w:rPr>
        <w:t xml:space="preserve"> mindazon eljárásokat jelentik, amelyekre az</w:t>
      </w:r>
      <w:r>
        <w:rPr>
          <w:rFonts w:ascii="Times" w:hAnsi="Times"/>
        </w:rPr>
        <w:t xml:space="preserve"> irányelv nemzeti szinten történő elfogadásához van szükség. </w:t>
      </w:r>
      <w:r>
        <w:rPr>
          <w:rFonts w:ascii="Times" w:hAnsi="Times"/>
          <w:u w:val="single"/>
        </w:rPr>
        <w:t>Az adminisztratív terhek</w:t>
      </w:r>
      <w:r>
        <w:rPr>
          <w:rFonts w:ascii="Times" w:hAnsi="Times"/>
        </w:rPr>
        <w:t xml:space="preserve"> a vállalkozásra és a használókra rótt költségek a kormányrendeletből fakadó tájékoztatási kötelezettségnek való megfeleléskor, valamint a tagállami hatóságok költségei to</w:t>
      </w:r>
      <w:r>
        <w:rPr>
          <w:rFonts w:ascii="Times" w:hAnsi="Times"/>
        </w:rPr>
        <w:t xml:space="preserve">vábbi eljárások végrehajtásához kötődően. </w:t>
      </w:r>
      <w:r>
        <w:rPr>
          <w:rFonts w:ascii="Times" w:hAnsi="Times"/>
          <w:u w:val="single"/>
        </w:rPr>
        <w:t>Az információs költségek</w:t>
      </w:r>
      <w:r>
        <w:rPr>
          <w:rFonts w:ascii="Times" w:hAnsi="Times"/>
        </w:rPr>
        <w:t xml:space="preserve"> az irányelv végrehajtásában meglévő azon különbségek miatt vannak, amelyek arra kötelezhetik a tagállami gyártókat és használókat, hogy tájékozódjanak a külföldön érvényben levő követelmény</w:t>
      </w:r>
      <w:r>
        <w:rPr>
          <w:rFonts w:ascii="Times" w:hAnsi="Times"/>
        </w:rPr>
        <w:t>ekről.</w:t>
      </w:r>
    </w:p>
  </w:footnote>
  <w:footnote w:id="23">
    <w:p w:rsidR="000B7D3F" w:rsidRDefault="00895A04">
      <w:pPr>
        <w:pStyle w:val="FootnoteText"/>
        <w:rPr>
          <w:rFonts w:ascii="Times" w:hAnsi="Times"/>
        </w:rPr>
      </w:pPr>
      <w:r>
        <w:rPr>
          <w:rStyle w:val="FootnoteReference"/>
          <w:rFonts w:ascii="Times" w:hAnsi="Times"/>
        </w:rPr>
        <w:footnoteRef/>
      </w:r>
      <w:r>
        <w:rPr>
          <w:rFonts w:ascii="Times" w:hAnsi="Times"/>
        </w:rPr>
        <w:t xml:space="preserve"> Az UNFP 19. cikke.</w:t>
      </w:r>
    </w:p>
  </w:footnote>
  <w:footnote w:id="24">
    <w:p w:rsidR="000B7D3F" w:rsidRDefault="00895A04">
      <w:pPr>
        <w:pStyle w:val="FootnoteText"/>
        <w:rPr>
          <w:rFonts w:ascii="Times" w:hAnsi="Times"/>
          <w:sz w:val="24"/>
          <w:szCs w:val="24"/>
        </w:rPr>
      </w:pPr>
      <w:r>
        <w:rPr>
          <w:rStyle w:val="FootnoteReference"/>
          <w:rFonts w:ascii="Times" w:hAnsi="Times"/>
        </w:rPr>
        <w:footnoteRef/>
      </w:r>
      <w:r>
        <w:rPr>
          <w:rFonts w:ascii="Times" w:hAnsi="Times"/>
        </w:rPr>
        <w:t xml:space="preserve"> Az interneten történő értékesítést és az új technológiákat illetően a vizsgálat – bár a jelenlegi keretet megfelelőnek tekintette az ilyen kihívások kezelése szempontjából – rámutatott az internet tűzfegyver-eladási csatornaké</w:t>
      </w:r>
      <w:r>
        <w:rPr>
          <w:rFonts w:ascii="Times" w:hAnsi="Times"/>
        </w:rPr>
        <w:t>nt való fokozódó használatára és a jövőbeli ellenőrzési nehézségekre.</w:t>
      </w:r>
    </w:p>
  </w:footnote>
  <w:footnote w:id="25">
    <w:p w:rsidR="000B7D3F" w:rsidRDefault="00895A04">
      <w:pPr>
        <w:pStyle w:val="FootnoteText"/>
        <w:spacing w:after="0" w:line="240" w:lineRule="auto"/>
        <w:rPr>
          <w:rFonts w:ascii="Times" w:hAnsi="Times"/>
        </w:rPr>
      </w:pPr>
      <w:r>
        <w:rPr>
          <w:rStyle w:val="FootnoteReference"/>
          <w:rFonts w:ascii="Times" w:hAnsi="Times"/>
        </w:rPr>
        <w:footnoteRef/>
      </w:r>
      <w:r>
        <w:rPr>
          <w:rFonts w:ascii="Times" w:hAnsi="Times"/>
        </w:rPr>
        <w:t xml:space="preserve"> </w:t>
      </w:r>
      <w:proofErr w:type="gramStart"/>
      <w:r>
        <w:rPr>
          <w:rFonts w:ascii="Times" w:hAnsi="Times"/>
        </w:rPr>
        <w:t>COM(</w:t>
      </w:r>
      <w:proofErr w:type="gramEnd"/>
      <w:r>
        <w:rPr>
          <w:rFonts w:ascii="Times" w:hAnsi="Times"/>
        </w:rPr>
        <w:t xml:space="preserve">2015) 185 </w:t>
      </w:r>
      <w:proofErr w:type="spellStart"/>
      <w:r>
        <w:rPr>
          <w:rFonts w:ascii="Times" w:hAnsi="Times"/>
        </w:rPr>
        <w:t>final</w:t>
      </w:r>
      <w:proofErr w:type="spellEnd"/>
      <w:r>
        <w:rPr>
          <w:rFonts w:ascii="Times" w:hAnsi="Times"/>
        </w:rPr>
        <w:t>.</w:t>
      </w:r>
    </w:p>
  </w:footnote>
  <w:footnote w:id="26">
    <w:p w:rsidR="000B7D3F" w:rsidRDefault="00895A04">
      <w:pPr>
        <w:spacing w:after="0" w:line="240" w:lineRule="auto"/>
        <w:jc w:val="both"/>
        <w:rPr>
          <w:rFonts w:ascii="Times" w:hAnsi="Times"/>
        </w:rPr>
      </w:pPr>
      <w:r>
        <w:rPr>
          <w:rStyle w:val="FootnoteReference"/>
          <w:rFonts w:ascii="Times" w:hAnsi="Times"/>
        </w:rPr>
        <w:footnoteRef/>
      </w:r>
      <w:r>
        <w:rPr>
          <w:rFonts w:ascii="Times" w:hAnsi="Times"/>
        </w:rPr>
        <w:t xml:space="preserve"> </w:t>
      </w:r>
      <w:r>
        <w:rPr>
          <w:rFonts w:ascii="Times" w:hAnsi="Times"/>
          <w:sz w:val="20"/>
        </w:rPr>
        <w:t>A bel- és igazságügyi miniszterek informális, január 29–30-i rigai ülését követő rigai együttes nyilatkozat.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D3F" w:rsidRDefault="000B7D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D3F" w:rsidRDefault="000B7D3F">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D3F" w:rsidRDefault="000B7D3F">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D3F" w:rsidRDefault="000B7D3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D3F" w:rsidRDefault="000B7D3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D3F" w:rsidRDefault="000B7D3F">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D3F" w:rsidRDefault="000B7D3F">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D3F" w:rsidRDefault="000B7D3F">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D3F" w:rsidRDefault="000B7D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03D66"/>
    <w:multiLevelType w:val="hybridMultilevel"/>
    <w:tmpl w:val="77D6BD0C"/>
    <w:lvl w:ilvl="0" w:tplc="1194DFAA">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C612FB1"/>
    <w:multiLevelType w:val="hybridMultilevel"/>
    <w:tmpl w:val="A426D61E"/>
    <w:lvl w:ilvl="0" w:tplc="1194DFAA">
      <w:numFmt w:val="bullet"/>
      <w:lvlText w:val="-"/>
      <w:lvlJc w:val="left"/>
      <w:pPr>
        <w:ind w:left="360" w:hanging="360"/>
      </w:pPr>
      <w:rPr>
        <w:rFonts w:ascii="Verdana" w:eastAsia="Calibri"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36687004"/>
    <w:multiLevelType w:val="hybridMultilevel"/>
    <w:tmpl w:val="13DE9942"/>
    <w:lvl w:ilvl="0" w:tplc="1194DFAA">
      <w:numFmt w:val="bullet"/>
      <w:lvlText w:val="-"/>
      <w:lvlJc w:val="left"/>
      <w:pPr>
        <w:ind w:left="720" w:hanging="360"/>
      </w:pPr>
      <w:rPr>
        <w:rFonts w:ascii="Verdana" w:eastAsia="Calibri" w:hAnsi="Verdan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FDD4F8B"/>
    <w:multiLevelType w:val="hybridMultilevel"/>
    <w:tmpl w:val="941A539C"/>
    <w:lvl w:ilvl="0" w:tplc="1194DFAA">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2FD0D70"/>
    <w:multiLevelType w:val="hybridMultilevel"/>
    <w:tmpl w:val="42285C8C"/>
    <w:lvl w:ilvl="0" w:tplc="1194DFAA">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CFA1ACC"/>
    <w:multiLevelType w:val="hybridMultilevel"/>
    <w:tmpl w:val="7A58F2EC"/>
    <w:lvl w:ilvl="0" w:tplc="1194DFAA">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3241602"/>
    <w:multiLevelType w:val="hybridMultilevel"/>
    <w:tmpl w:val="F6DC0A46"/>
    <w:lvl w:ilvl="0" w:tplc="1194DFAA">
      <w:numFmt w:val="bullet"/>
      <w:lvlText w:val="-"/>
      <w:lvlJc w:val="left"/>
      <w:pPr>
        <w:ind w:left="360" w:hanging="360"/>
      </w:pPr>
      <w:rPr>
        <w:rFonts w:ascii="Verdana" w:eastAsia="Calibri" w:hAnsi="Verdana"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72184960"/>
    <w:multiLevelType w:val="hybridMultilevel"/>
    <w:tmpl w:val="5882F394"/>
    <w:lvl w:ilvl="0" w:tplc="1194DFAA">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4471ED2"/>
    <w:multiLevelType w:val="hybridMultilevel"/>
    <w:tmpl w:val="0BFC1468"/>
    <w:lvl w:ilvl="0" w:tplc="1194DFAA">
      <w:numFmt w:val="bullet"/>
      <w:lvlText w:val="-"/>
      <w:lvlJc w:val="left"/>
      <w:pPr>
        <w:ind w:left="360" w:hanging="360"/>
      </w:pPr>
      <w:rPr>
        <w:rFonts w:ascii="Verdana" w:eastAsia="Calibri"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7"/>
  </w:num>
  <w:num w:numId="6">
    <w:abstractNumId w:val="6"/>
  </w:num>
  <w:num w:numId="7">
    <w:abstractNumId w:val="8"/>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hideGrammaticalErrors/>
  <w:proofState w:spelling="clean" w:grammar="clean"/>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Red"/>
    <w:docVar w:name="LW_CONFIDENCE" w:val=" "/>
    <w:docVar w:name="LW_CONST_RESTREINT_UE" w:val="RESTREINT UE"/>
    <w:docVar w:name="LW_CORRIGENDUM" w:val="&lt;UNUSED&gt;"/>
    <w:docVar w:name="LW_COVERPAGE_GUID" w:val="5978444D549E4BE990EDF0AE88379DEB"/>
    <w:docVar w:name="LW_CROSSREFERENCE" w:val="&lt;UNUSED&gt;"/>
    <w:docVar w:name="LW_DocType" w:val="NORMAL"/>
    <w:docVar w:name="LW_EMISSION" w:val="2015.11.18."/>
    <w:docVar w:name="LW_EMISSION_ISODATE" w:val="2015-11-18"/>
    <w:docVar w:name="LW_EMISSION_LOCATION" w:val="BRX"/>
    <w:docVar w:name="LW_EMISSION_PREFIX" w:val="Brüsszel, "/>
    <w:docVar w:name="LW_EMISSION_SUFFIX" w:val=" "/>
    <w:docVar w:name="LW_ID_DOCTYPE_NONLW" w:val="CP-005"/>
    <w:docVar w:name="LW_LANGUE" w:val="HU"/>
    <w:docVar w:name="LW_MARKING" w:val="&lt;UNUSED&gt;"/>
    <w:docVar w:name="LW_NOM.INST" w:val="EURÓPAI BIZOTTSÁG"/>
    <w:docVar w:name="LW_NOM.INST_JOINTDOC" w:val="&lt;EMPTY&gt;"/>
    <w:docVar w:name="LW_PART_NBR" w:val="1"/>
    <w:docVar w:name="LW_PART_NBR_TOTAL" w:val="1"/>
    <w:docVar w:name="LW_REF.INST.NEW" w:val="COM"/>
    <w:docVar w:name="LW_REF.INST.NEW_ADOPTED" w:val="final"/>
    <w:docVar w:name="LW_REF.INST.NEW_TEXT" w:val="(2015) 751"/>
    <w:docVar w:name="LW_REF.INTERNE" w:val="&lt;UNUSED&gt;"/>
    <w:docVar w:name="LW_SOUS.TITRE.OBJ.CP" w:val="&lt;UNUSED&gt;"/>
    <w:docVar w:name="LW_SUPERTITRE" w:val="&lt;UNUSED&gt;"/>
    <w:docVar w:name="LW_TITRE.OBJ.CP" w:val="A 2008. május 21-i 2008/51/EK irányelv által módosított, a fegyverek megszerzésének és tartásának ellen\u337?rzésér\u337?l szóló, 1991. június 8-i 91/477/EGK irányelv REFIT-értékelése"/>
    <w:docVar w:name="LW_TYPE.DOC.CP" w:val="A BIZOTTSÁG JELENTÉSE A TANÁCSNAK ÉS AZ EURÓPAI PARLAMENTNEK"/>
  </w:docVars>
  <w:rsids>
    <w:rsidRoot w:val="000B7D3F"/>
    <w:rsid w:val="000B7D3F"/>
    <w:rsid w:val="00895A04"/>
    <w:rsid w:val="00A01D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hu-HU" w:bidi="hu-HU"/>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Times New Roman"/>
    </w:rPr>
  </w:style>
  <w:style w:type="paragraph" w:styleId="Heading1">
    <w:name w:val="heading 1"/>
    <w:basedOn w:val="Normal"/>
    <w:next w:val="Normal"/>
    <w:link w:val="Heading1Char"/>
    <w:uiPriority w:val="9"/>
    <w:qFormat/>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mbria" w:eastAsia="Times New Roman" w:hAnsi="Cambria" w:cs="Times New Roman"/>
      <w:b/>
      <w:bCs/>
      <w:kern w:val="32"/>
      <w:sz w:val="32"/>
      <w:szCs w:val="32"/>
      <w:lang w:val="hu-HU"/>
    </w:rPr>
  </w:style>
  <w:style w:type="character" w:customStyle="1" w:styleId="Heading2Char">
    <w:name w:val="Heading 2 Char"/>
    <w:basedOn w:val="DefaultParagraphFont"/>
    <w:link w:val="Heading2"/>
    <w:uiPriority w:val="9"/>
    <w:rPr>
      <w:rFonts w:ascii="Cambria" w:eastAsia="Times New Roman" w:hAnsi="Cambria" w:cs="Times New Roman"/>
      <w:b/>
      <w:bCs/>
      <w:i/>
      <w:iCs/>
      <w:sz w:val="28"/>
      <w:szCs w:val="28"/>
      <w:lang w:val="hu-HU"/>
    </w:rPr>
  </w:style>
  <w:style w:type="character" w:customStyle="1" w:styleId="Heading3Char">
    <w:name w:val="Heading 3 Char"/>
    <w:basedOn w:val="DefaultParagraphFont"/>
    <w:link w:val="Heading3"/>
    <w:uiPriority w:val="9"/>
    <w:rPr>
      <w:rFonts w:ascii="Cambria" w:eastAsia="Times New Roman" w:hAnsi="Cambria" w:cs="Times New Roman"/>
      <w:b/>
      <w:bCs/>
      <w:sz w:val="26"/>
      <w:szCs w:val="26"/>
      <w:lang w:val="hu-HU"/>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rFonts w:ascii="Calibri" w:eastAsia="Calibri" w:hAnsi="Calibri" w:cs="Times New Roman"/>
      <w:lang w:val="hu-HU"/>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rFonts w:ascii="Calibri" w:eastAsia="Calibri" w:hAnsi="Calibri" w:cs="Times New Roman"/>
      <w:lang w:val="hu-HU"/>
    </w:rPr>
  </w:style>
  <w:style w:type="paragraph" w:customStyle="1" w:styleId="Typedudocument">
    <w:name w:val="Type du document"/>
    <w:basedOn w:val="Normal"/>
    <w:next w:val="Normal"/>
    <w:link w:val="TypedudocumentChar"/>
    <w:pPr>
      <w:spacing w:before="360" w:after="0" w:line="240" w:lineRule="auto"/>
      <w:jc w:val="center"/>
    </w:pPr>
    <w:rPr>
      <w:rFonts w:ascii="Times New Roman" w:hAnsi="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b/>
      <w:sz w:val="24"/>
    </w:rPr>
  </w:style>
  <w:style w:type="character" w:customStyle="1" w:styleId="TypedudocumentChar">
    <w:name w:val="Type du document Char"/>
    <w:link w:val="Typedudocument"/>
    <w:rPr>
      <w:rFonts w:ascii="Times New Roman" w:eastAsia="Calibri" w:hAnsi="Times New Roman" w:cs="Times New Roman"/>
      <w:b/>
      <w:sz w:val="24"/>
      <w:lang w:val="hu-HU"/>
    </w:rPr>
  </w:style>
  <w:style w:type="character" w:styleId="CommentReference">
    <w:name w:val="annotation reference"/>
    <w:uiPriority w:val="99"/>
    <w:unhideWhenUsed/>
    <w:rPr>
      <w:sz w:val="16"/>
      <w:szCs w:val="16"/>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basedOn w:val="DefaultParagraphFont"/>
    <w:link w:val="FootnoteText"/>
    <w:semiHidden/>
    <w:rPr>
      <w:rFonts w:ascii="Calibri" w:eastAsia="Calibri" w:hAnsi="Calibri" w:cs="Times New Roman"/>
      <w:sz w:val="20"/>
      <w:szCs w:val="20"/>
      <w:lang w:val="hu-HU"/>
    </w:rPr>
  </w:style>
  <w:style w:type="character" w:styleId="FootnoteReference">
    <w:name w:val="footnote reference"/>
    <w:aliases w:val="Footnote Reference Superscript,Footnote symbol,Voetnootverwijzing,Times 10 Point,Exposant 3 Point,Fußnotenzeichen2,Footnote number,fr,o,Footnotemark,FR,Footnotemark1,Footnotemark2,FR1,Footnotemark3,FR2,Footnotemark4,footnote ref,Footn"/>
    <w:uiPriority w:val="99"/>
    <w:unhideWhenUsed/>
    <w:qFormat/>
    <w:rPr>
      <w:vertAlign w:val="superscript"/>
    </w:rPr>
  </w:style>
  <w:style w:type="paragraph" w:customStyle="1" w:styleId="Body">
    <w:name w:val="Body"/>
    <w:basedOn w:val="Normal"/>
    <w:link w:val="BodyChar"/>
    <w:qFormat/>
    <w:pPr>
      <w:spacing w:before="120" w:after="120" w:line="240" w:lineRule="auto"/>
      <w:jc w:val="both"/>
    </w:pPr>
    <w:rPr>
      <w:rFonts w:ascii="Verdana" w:eastAsia="Times New Roman" w:hAnsi="Verdana"/>
      <w:sz w:val="20"/>
      <w:szCs w:val="20"/>
    </w:rPr>
  </w:style>
  <w:style w:type="character" w:customStyle="1" w:styleId="BodyChar">
    <w:name w:val="Body Char"/>
    <w:link w:val="Body"/>
    <w:rPr>
      <w:rFonts w:ascii="Verdana" w:eastAsia="Times New Roman" w:hAnsi="Verdana" w:cs="Times New Roman"/>
      <w:sz w:val="20"/>
      <w:szCs w:val="20"/>
      <w:lang w:val="hu-HU"/>
    </w:rPr>
  </w:style>
  <w:style w:type="character" w:styleId="Hyperlink">
    <w:name w:val="Hyperlink"/>
    <w:uiPriority w:val="99"/>
    <w:unhideWhenUsed/>
    <w:rPr>
      <w:color w:val="0000FF"/>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val="hu-HU"/>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eastAsiaTheme="minorHAnsi" w:hAnsi="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basedOn w:val="DefaultParagraphFont"/>
    <w:link w:val="FooterCoverPage"/>
    <w:rPr>
      <w:rFonts w:ascii="Times New Roman" w:eastAsia="Calibri"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basedOn w:val="DefaultParagraphFont"/>
    <w:link w:val="HeaderCoverPage"/>
    <w:rPr>
      <w:rFonts w:ascii="Times New Roman" w:eastAsia="Calibri" w:hAnsi="Times New Roman" w:cs="Times New Roman"/>
      <w:sz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hu-HU" w:bidi="hu-HU"/>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Times New Roman"/>
    </w:rPr>
  </w:style>
  <w:style w:type="paragraph" w:styleId="Heading1">
    <w:name w:val="heading 1"/>
    <w:basedOn w:val="Normal"/>
    <w:next w:val="Normal"/>
    <w:link w:val="Heading1Char"/>
    <w:uiPriority w:val="9"/>
    <w:qFormat/>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mbria" w:eastAsia="Times New Roman" w:hAnsi="Cambria" w:cs="Times New Roman"/>
      <w:b/>
      <w:bCs/>
      <w:kern w:val="32"/>
      <w:sz w:val="32"/>
      <w:szCs w:val="32"/>
      <w:lang w:val="hu-HU"/>
    </w:rPr>
  </w:style>
  <w:style w:type="character" w:customStyle="1" w:styleId="Heading2Char">
    <w:name w:val="Heading 2 Char"/>
    <w:basedOn w:val="DefaultParagraphFont"/>
    <w:link w:val="Heading2"/>
    <w:uiPriority w:val="9"/>
    <w:rPr>
      <w:rFonts w:ascii="Cambria" w:eastAsia="Times New Roman" w:hAnsi="Cambria" w:cs="Times New Roman"/>
      <w:b/>
      <w:bCs/>
      <w:i/>
      <w:iCs/>
      <w:sz w:val="28"/>
      <w:szCs w:val="28"/>
      <w:lang w:val="hu-HU"/>
    </w:rPr>
  </w:style>
  <w:style w:type="character" w:customStyle="1" w:styleId="Heading3Char">
    <w:name w:val="Heading 3 Char"/>
    <w:basedOn w:val="DefaultParagraphFont"/>
    <w:link w:val="Heading3"/>
    <w:uiPriority w:val="9"/>
    <w:rPr>
      <w:rFonts w:ascii="Cambria" w:eastAsia="Times New Roman" w:hAnsi="Cambria" w:cs="Times New Roman"/>
      <w:b/>
      <w:bCs/>
      <w:sz w:val="26"/>
      <w:szCs w:val="26"/>
      <w:lang w:val="hu-HU"/>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rFonts w:ascii="Calibri" w:eastAsia="Calibri" w:hAnsi="Calibri" w:cs="Times New Roman"/>
      <w:lang w:val="hu-HU"/>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rFonts w:ascii="Calibri" w:eastAsia="Calibri" w:hAnsi="Calibri" w:cs="Times New Roman"/>
      <w:lang w:val="hu-HU"/>
    </w:rPr>
  </w:style>
  <w:style w:type="paragraph" w:customStyle="1" w:styleId="Typedudocument">
    <w:name w:val="Type du document"/>
    <w:basedOn w:val="Normal"/>
    <w:next w:val="Normal"/>
    <w:link w:val="TypedudocumentChar"/>
    <w:pPr>
      <w:spacing w:before="360" w:after="0" w:line="240" w:lineRule="auto"/>
      <w:jc w:val="center"/>
    </w:pPr>
    <w:rPr>
      <w:rFonts w:ascii="Times New Roman" w:hAnsi="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b/>
      <w:sz w:val="24"/>
    </w:rPr>
  </w:style>
  <w:style w:type="character" w:customStyle="1" w:styleId="TypedudocumentChar">
    <w:name w:val="Type du document Char"/>
    <w:link w:val="Typedudocument"/>
    <w:rPr>
      <w:rFonts w:ascii="Times New Roman" w:eastAsia="Calibri" w:hAnsi="Times New Roman" w:cs="Times New Roman"/>
      <w:b/>
      <w:sz w:val="24"/>
      <w:lang w:val="hu-HU"/>
    </w:rPr>
  </w:style>
  <w:style w:type="character" w:styleId="CommentReference">
    <w:name w:val="annotation reference"/>
    <w:uiPriority w:val="99"/>
    <w:unhideWhenUsed/>
    <w:rPr>
      <w:sz w:val="16"/>
      <w:szCs w:val="16"/>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basedOn w:val="DefaultParagraphFont"/>
    <w:link w:val="FootnoteText"/>
    <w:semiHidden/>
    <w:rPr>
      <w:rFonts w:ascii="Calibri" w:eastAsia="Calibri" w:hAnsi="Calibri" w:cs="Times New Roman"/>
      <w:sz w:val="20"/>
      <w:szCs w:val="20"/>
      <w:lang w:val="hu-HU"/>
    </w:rPr>
  </w:style>
  <w:style w:type="character" w:styleId="FootnoteReference">
    <w:name w:val="footnote reference"/>
    <w:aliases w:val="Footnote Reference Superscript,Footnote symbol,Voetnootverwijzing,Times 10 Point,Exposant 3 Point,Fußnotenzeichen2,Footnote number,fr,o,Footnotemark,FR,Footnotemark1,Footnotemark2,FR1,Footnotemark3,FR2,Footnotemark4,footnote ref,Footn"/>
    <w:uiPriority w:val="99"/>
    <w:unhideWhenUsed/>
    <w:qFormat/>
    <w:rPr>
      <w:vertAlign w:val="superscript"/>
    </w:rPr>
  </w:style>
  <w:style w:type="paragraph" w:customStyle="1" w:styleId="Body">
    <w:name w:val="Body"/>
    <w:basedOn w:val="Normal"/>
    <w:link w:val="BodyChar"/>
    <w:qFormat/>
    <w:pPr>
      <w:spacing w:before="120" w:after="120" w:line="240" w:lineRule="auto"/>
      <w:jc w:val="both"/>
    </w:pPr>
    <w:rPr>
      <w:rFonts w:ascii="Verdana" w:eastAsia="Times New Roman" w:hAnsi="Verdana"/>
      <w:sz w:val="20"/>
      <w:szCs w:val="20"/>
    </w:rPr>
  </w:style>
  <w:style w:type="character" w:customStyle="1" w:styleId="BodyChar">
    <w:name w:val="Body Char"/>
    <w:link w:val="Body"/>
    <w:rPr>
      <w:rFonts w:ascii="Verdana" w:eastAsia="Times New Roman" w:hAnsi="Verdana" w:cs="Times New Roman"/>
      <w:sz w:val="20"/>
      <w:szCs w:val="20"/>
      <w:lang w:val="hu-HU"/>
    </w:rPr>
  </w:style>
  <w:style w:type="character" w:styleId="Hyperlink">
    <w:name w:val="Hyperlink"/>
    <w:uiPriority w:val="99"/>
    <w:unhideWhenUsed/>
    <w:rPr>
      <w:color w:val="0000FF"/>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val="hu-HU"/>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eastAsiaTheme="minorHAnsi" w:hAnsi="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basedOn w:val="DefaultParagraphFont"/>
    <w:link w:val="FooterCoverPage"/>
    <w:rPr>
      <w:rFonts w:ascii="Times New Roman" w:eastAsia="Calibri"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basedOn w:val="DefaultParagraphFont"/>
    <w:link w:val="HeaderCoverPage"/>
    <w:rPr>
      <w:rFonts w:ascii="Times New Roman" w:eastAsia="Calibri" w:hAnsi="Times New Roman" w:cs="Times New Roman"/>
      <w:sz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07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sipri.org/research/security/europe/publications/study-on-firearms" TargetMode="External"/><Relationship Id="rId2" Type="http://schemas.openxmlformats.org/officeDocument/2006/relationships/hyperlink" Target="http://bookshop.europa.eu/en/evaluation-of-the-firearms-directive-pbNB0114006/" TargetMode="External"/><Relationship Id="rId1" Type="http://schemas.openxmlformats.org/officeDocument/2006/relationships/hyperlink" Target="http://bookshop.europa.eu/en/evaluation-of-the-firearms-directive-pbNB051415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NO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NOT.DOTM</Template>
  <TotalTime>175</TotalTime>
  <Pages>18</Pages>
  <Words>6583</Words>
  <Characters>36207</Characters>
  <Application>Microsoft Office Word</Application>
  <DocSecurity>0</DocSecurity>
  <Lines>613</Lines>
  <Paragraphs>257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20</cp:revision>
  <dcterms:created xsi:type="dcterms:W3CDTF">2015-11-19T15:40:00Z</dcterms:created>
  <dcterms:modified xsi:type="dcterms:W3CDTF">2015-12-07T15:58:00Z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ELDocType">
    <vt:lpwstr>NOT.DOT</vt:lpwstr>
  </property>
  <property fmtid="{D5CDD505-2E9C-101B-9397-08002B2CF9AE}" pid="6" name="DocStatus">
    <vt:lpwstr>Red</vt:lpwstr>
  </property>
  <property name="OP_sanitized" fmtid="{D5CDD505-2E9C-101B-9397-08002B2CF9AE}" pid="7">
    <vt:lpwstr>True</vt:lpwstr>
  </property>
</Properties>
</file>