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E11013C43936492686F51B6F4BC5D74B" style="width:450pt;height:32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spacing w:after="0" w:line="240" w:lineRule="auto"/>
        <w:jc w:val="both"/>
        <w:rPr>
          <w:rFonts w:ascii="Times New Roman" w:eastAsia="Times New Roman" w:hAnsi="Times New Roman"/>
          <w:b/>
          <w:noProof/>
          <w:sz w:val="24"/>
          <w:szCs w:val="24"/>
        </w:rPr>
      </w:pPr>
      <w:bookmarkStart w:id="1" w:name="_GoBack"/>
      <w:bookmarkEnd w:id="1"/>
      <w:r>
        <w:rPr>
          <w:rFonts w:ascii="Times New Roman" w:hAnsi="Times New Roman"/>
          <w:b/>
          <w:noProof/>
          <w:sz w:val="24"/>
        </w:rPr>
        <w:lastRenderedPageBreak/>
        <w:t>1. Bevezetés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Az Európai Unió 2012 júniusában vízumliberalizációs párbeszédet kezdett Grúziával. 2013 februárjában az Európai Bizottság a vízumliberalizációról szóló cselekvési tervet terjesztett elő a grúz kormánynak. Ez meghatározza, milyen kritériumokat kell teljesítenie Grúziának ahhoz, hogy a biometrikus útlevéllel rendelkező grúz állampolgárok rövid távú tartózkodás céljából vízummentesen léphessenek be a schengeni térségbe.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2013 novemberében a Bizottság elfogadta első eredményjelentését a vízumliberalizációról szóló cselekvési terv Grúzia általi végrehajtásáról</w:t>
      </w:r>
      <w:r>
        <w:rPr>
          <w:rStyle w:val="FootnoteReference"/>
          <w:noProof/>
        </w:rPr>
        <w:footnoteReference w:id="1"/>
      </w:r>
      <w:r>
        <w:rPr>
          <w:rFonts w:ascii="Times New Roman" w:hAnsi="Times New Roman"/>
          <w:noProof/>
          <w:sz w:val="24"/>
        </w:rPr>
        <w:t>, és több ajánlást tett a vízumliberalizációról szóló cselekvési terv első szakaszára (jogalkotás és tervezés) vonatkozó kritériumok maradéktalan teljesítésére irányulóan. 2014 októberében a Bizottság elfogadta második eredményjelentését</w:t>
      </w:r>
      <w:r>
        <w:rPr>
          <w:rStyle w:val="FootnoteReference"/>
          <w:rFonts w:ascii="Times New Roman" w:hAnsi="Times New Roman"/>
          <w:noProof/>
          <w:sz w:val="24"/>
        </w:rPr>
        <w:footnoteReference w:id="2"/>
      </w:r>
      <w:r>
        <w:rPr>
          <w:rFonts w:ascii="Times New Roman" w:hAnsi="Times New Roman"/>
          <w:noProof/>
          <w:sz w:val="24"/>
        </w:rPr>
        <w:t>, amely azt a következtetést vonta le, hogy Grúzia teljesítette a vízumliberalizációról szóló cselekvési terv első szakaszára vonatkozó kritériumokat, és a második szakasz kritériumai tekintetében való értékelésen van a sor. 2014. november 17-i következtetéseiben a Tanács egyetértett a Bizottság értékelésével.</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2014 decemberében Grúzia frissített eredményjelentést nyújtott be. 2014 decembere és 2015 márciusa között a vízumliberalizációról szóló cselekvési terv mind a négy témakörére vonatkozóan értékelő missziókra került sor a Bizottság vezetésével és az uniós tagállamok szakértőinek közreműködésével, akiknek a munkáját a Bizottság, az Európai Külügyi Szolgálat (EKSZ) és az EU Grúziába delegált küldöttsége segítette.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Cs/>
          <w:noProof/>
          <w:sz w:val="24"/>
          <w:szCs w:val="24"/>
        </w:rPr>
      </w:pPr>
      <w:r>
        <w:rPr>
          <w:rFonts w:ascii="Times New Roman" w:hAnsi="Times New Roman"/>
          <w:noProof/>
          <w:sz w:val="24"/>
        </w:rPr>
        <w:t>Ez az első olyan eredményjelentés, amelyik a vízumliberalizációról szóló cselekvési terv második szakaszának Grúzia általi végrehajtásával foglalkozik. Összegzi az eddig elért eredményeket, meghatározza a második szakasz kritériumaival kapcsolatos lépéseket, és intézkedéseket javasol Grúziának a második szakasz fennmaradó kritériumainak hatékony és fenntartható megvalósítására.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jelentést bizottsági szolgálati munkadokumentum</w:t>
      </w:r>
      <w:r>
        <w:rPr>
          <w:rStyle w:val="FootnoteReference"/>
          <w:rFonts w:ascii="Times New Roman" w:hAnsi="Times New Roman"/>
          <w:noProof/>
          <w:sz w:val="24"/>
        </w:rPr>
        <w:footnoteReference w:id="3"/>
      </w:r>
      <w:r>
        <w:rPr>
          <w:rFonts w:ascii="Times New Roman" w:hAnsi="Times New Roman"/>
          <w:noProof/>
          <w:sz w:val="24"/>
        </w:rPr>
        <w:t xml:space="preserve"> kíséri, amely nagyobb részletességgel vizsgálja az itt leírt fejleményeket. A szolgálati munkadokumentum mellékletében – a vízumliberalizációról szóló cselekvési terv követelményeinek megfelelően – a Bizottság tényszerű elemzést és statisztikákon alapuló információkat nyújt a jövőbeli vízumliberalizáció várható migrációs és biztonsági hatásairól. A rendelkezésre álló adatok és információk alapján a migráció és a biztonság területén várható főbb tendenciák arra utalnak, hogy az EU vonzó célpont a Grúziából származó migránsok számára és ez potenciális biztonsági kihívásokkal jár, melyeket nyomon kell követni. </w:t>
      </w:r>
    </w:p>
    <w:p>
      <w:pPr>
        <w:spacing w:after="0" w:line="240" w:lineRule="auto"/>
        <w:jc w:val="both"/>
        <w:rPr>
          <w:rFonts w:ascii="Times New Roman" w:eastAsia="Times New Roman" w:hAnsi="Times New Roman"/>
          <w:bCs/>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w:t>
      </w:r>
      <w:r>
        <w:rPr>
          <w:rFonts w:ascii="Times New Roman" w:hAnsi="Times New Roman"/>
          <w:noProof/>
          <w:sz w:val="24"/>
        </w:rPr>
        <w:t xml:space="preserve"> </w:t>
      </w:r>
      <w:r>
        <w:rPr>
          <w:rFonts w:ascii="Times New Roman" w:hAnsi="Times New Roman"/>
          <w:b/>
          <w:noProof/>
          <w:sz w:val="24"/>
        </w:rPr>
        <w:t>A VÍZUMLIBERALIZÁCIÓRÓL SZÓLÓ CSELEKVÉSI TERV NÉGY TÉMAKÖRÉBEN HOZOTT INTÉZKEDÉSEK ÉRTÉKELÉSE</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2.1. 1. témakör: Okmánybiztonság, beleértve a biometrikus azonosítókat</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népesség-nyilvántartással kapcsolatos feladatokat, a személyazonosító okmányok kiadását és az állampolgársággal kapcsolatos eljárásokat a közszolgálati fejlesztési ügynökség végzi. Jól igazgatott hatóság, megfelelő és kellően képzett vezetőséggel, ezen belül</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pontosan meghatározott szerepekkel és felelősségi körökkel. A felvételi eljárás megfelelő, akárcsak az a megközelítés, amely alapján biztosítják a személyzet számára a feladatkörük eredményes és hatékony végrehajtásához szükséges képzést, a továbbképzést is beleértve.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grúz kérelmezési és okmány-kiállítási rendszer hatékony és biztonságos, továbbá biztosítja a kérelmeket átvevő, a határozatokat hozó és az okmányokat kiállító személyzet feladatkörének elkülönítését. A Nemzetközi Polgári Repülési Szervezet követelményeinek megfelelő biometrikus útlevelek hazai és külföldi bevezetése sikeres volt.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Az okmánybiztonságra vonatkozó kritérium teljesítettnek tekinthető</w:t>
      </w:r>
      <w:r>
        <w:rPr>
          <w:rFonts w:ascii="Times New Roman" w:hAnsi="Times New Roman"/>
          <w:noProof/>
          <w:sz w:val="24"/>
        </w:rPr>
        <w:t xml:space="preserve">. </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2.2. 2. témakör: Integrált határigazgatás, migrációkezelés és menekültügy</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2.2.1.</w:t>
      </w:r>
      <w:r>
        <w:rPr>
          <w:noProof/>
        </w:rPr>
        <w:tab/>
      </w:r>
      <w:r>
        <w:rPr>
          <w:rFonts w:ascii="Times New Roman" w:hAnsi="Times New Roman"/>
          <w:b/>
          <w:noProof/>
          <w:sz w:val="24"/>
        </w:rPr>
        <w:t>Integrált határigazgatás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Az elmúlt tíz év során a jogi keret megteremtésére irányuló általános előrehaladás a jogszabályok hatékony végrehajtásával együtt azt eredményezte, hogy Grúzia integrált határigazgatása megfelel az európai normáknak. A grúz hatóságok határozottan elkötelezték magukat az államhatár biztonságának továbbfejlesztése mellett. Az integrált határigazgatási stratégiát aktualizálták, és minden érintett fél egységes állásponton van a határigazgatás javítása tekintetében. A cselekvési terv konkrét intézkedések, felelősségi körök és határidők meghatározásával gondoskodik a stratégia megvalósításáról.</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határon tapasztalt szabálytalanságok száma alacsony, és a forgalom nagyságrendjéhez képest korlátozott a határforgalmat érintő szabálysértések száma. A határforgalom-ellenőrzés harmonizált módon folyik a szárazföldi, tengeri és légi határátkelőhelyeken. A határrendőrség és az adóhivatal között példamutató az együttműködés. A határátkelőhelyeken a határforgalom ellenőrzésére szolgáló létesítmények korszerűek és praktikusak.</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Az integrált határigazgatásra vonatkozó kritérium teljesítettnek tekinthető</w:t>
      </w:r>
      <w:r>
        <w:rPr>
          <w:rFonts w:ascii="Times New Roman" w:hAnsi="Times New Roman"/>
          <w:noProof/>
          <w:sz w:val="24"/>
        </w:rPr>
        <w:t>.</w:t>
      </w:r>
    </w:p>
    <w:p>
      <w:pPr>
        <w:spacing w:after="0" w:line="240" w:lineRule="auto"/>
        <w:ind w:left="720"/>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2.2.2.</w:t>
      </w:r>
      <w:r>
        <w:rPr>
          <w:noProof/>
        </w:rPr>
        <w:tab/>
      </w:r>
      <w:r>
        <w:rPr>
          <w:rFonts w:ascii="Times New Roman" w:hAnsi="Times New Roman"/>
          <w:b/>
          <w:noProof/>
          <w:sz w:val="24"/>
        </w:rPr>
        <w:t>Migrációkezelés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külföldiek és hontalanok jogállásáról szóló törvény megfelelően működik, és valamennyi szükséges vonatkozó jogszabályt elfogadták. Grúzia 2013–2015-re vonatkozó migrációs stratégiája és cselekvési terve szolgál a migráció kezelésének fő eszközéül. A tevékenységek végrehajtása a terveknek megfelelően halad előre. A migrációügyi állami bizottság – a kormány mellett működő tanácsadó testület – hatékonyan hangolja össze az érintett minisztériumok, állami szervek, nem kormányzati szervezetek és nemzetközi szervezetek tevékenységeit és szerepköreit a migrációval kapcsolatok kérdések tekintetében. A grúz közigazgatás kapacitása és emberierőforrás-menedzsmentje általában véve elégséges és hatékony. Valamennyi érintett területen és minisztériumban megfelelő a személyzetnek biztosított képzések szintje. A visszafogadási eljárások és az elektronikus visszafogadási ügykezelési rendszer működése megfelelő.</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külföldiek és hontalanok jogállásáról szóló törvény őrizetre és visszatérésre vonatkozó részeinek végrehajtását 2015 július 1-jéig elhalasztották. A hatóságok minden szükséges mechanizmust és eszközt kialakítottak. A még megoldásra váró esetleges hiányosságok és jogi problémák azonosítása érdekében alapos elemzést kell végezni.</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migrációkezelésre vonatkozó kritérium szinte maradéktalanul teljesítettnek tekinthető</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A Belügyminisztériumban kialakított kockázatelemzési koncepciót bővítsék ki oly módon, hogy az kiterjedjen a migrációs politika valamennyi érintett területére, beleértve a menekültügyi politikát, a jogszerű migrációra vonatkozó politikát, valamint az integrációval és reintegrációval kapcsolatos kérdéseket is.</w:t>
      </w: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A reintegrációs tevékenységeket építsék be egyetlen igazgatási struktúrába, hogy azokat stratégiai módon, egyértelmű szakpolitikai iránymutatás mellett lehessen igazgatni. A hatóságoknak a továbbiakban is fenntartható finanszírozási és emberi erőforrásokat kell biztosítaniuk a mobilitási központok számára, és a kockázatelemzés eredményei alapján fejleszteniük kell azok kapacitását. Analitikus jelentéstételi rendszert kell létrehozni a Grúziába (önkéntesen, kitoloncolás miatt vagy visszafogadási eljárás keretében) visszatérő grúz állampolgárok teljes számának felméréséhez.</w:t>
      </w: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Tegyék intenzívebbé a regionális, helyi, és minden más szinten szervezett tájékoztató kampányokat, amelyek a grúz állampolgárokra a jövőbeli vízummentes rendszer értelmében vonatkozó jogokról és kötelességekről nyújtanak információkat.</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2.2.3.</w:t>
      </w:r>
      <w:r>
        <w:rPr>
          <w:noProof/>
        </w:rPr>
        <w:tab/>
      </w:r>
      <w:r>
        <w:rPr>
          <w:rFonts w:ascii="Times New Roman" w:hAnsi="Times New Roman"/>
          <w:b/>
          <w:noProof/>
          <w:sz w:val="24"/>
        </w:rPr>
        <w:t>Menekültügyi politika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Grúzia viszonylag rövid idő alatt fogadta el a menekültügy szilárd jogi keretét. A menekültekről és a humanitárius jogállásról szóló törvény rendelkezik a szükséges intézményi keretről, jogi eljárásokról és alapelvekről, és összességében véve megfelel a nemzetközi és európai normáknak. A törvényt általában kielégítő módon alkalmazzák. A menekültstátusz meghatározására vonatkozó eljárás minősége nagyjából kielégítő.</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2014. november 15-től ideiglenes személyazonosító igazolványt vezettek be, amelyet minden menedékkérőnek biztosítanak. A származási országokra vonatkozó információkkal foglalkozó csoportot alakítottak ki, amely megfelelően működik. Jelentős előrelépés történt a külföldi állampolgárok integrálása terén, például azáltal, hogy a grúz állampolgárok számára biztosítottal azonos elbánást biztosítanak számukra az egészségügy és a foglalkoztatás tekintetében.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menekültügyre vonatkozó kritérium részben teljesítettnek tekinthető, a további előlépésekre jók a kilátások</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pStyle w:val="ListParagraph"/>
        <w:numPr>
          <w:ilvl w:val="0"/>
          <w:numId w:val="14"/>
        </w:numPr>
        <w:spacing w:after="0"/>
        <w:rPr>
          <w:b/>
          <w:noProof/>
          <w:kern w:val="24"/>
          <w:szCs w:val="24"/>
        </w:rPr>
      </w:pPr>
      <w:r>
        <w:rPr>
          <w:noProof/>
        </w:rPr>
        <w:t>Folytassák a humanitárius alapon kiállított vízumok eljárásának kidolgozását.</w:t>
      </w:r>
    </w:p>
    <w:p>
      <w:pPr>
        <w:pStyle w:val="ListParagraph"/>
        <w:widowControl w:val="0"/>
        <w:numPr>
          <w:ilvl w:val="0"/>
          <w:numId w:val="14"/>
        </w:numPr>
        <w:autoSpaceDE w:val="0"/>
        <w:autoSpaceDN w:val="0"/>
        <w:adjustRightInd w:val="0"/>
        <w:spacing w:after="0"/>
        <w:rPr>
          <w:noProof/>
          <w:szCs w:val="24"/>
        </w:rPr>
      </w:pPr>
      <w:r>
        <w:rPr>
          <w:noProof/>
        </w:rPr>
        <w:t>Hozzanak létre a menedékjog iránti kérelmekre vonatkozó határozathozatal minőségének nyomon követését lehetővé tevő, egyértelmű minőségmutatókon alapuló rendszert.</w:t>
      </w:r>
    </w:p>
    <w:p>
      <w:pPr>
        <w:pStyle w:val="ListParagraph"/>
        <w:widowControl w:val="0"/>
        <w:numPr>
          <w:ilvl w:val="0"/>
          <w:numId w:val="14"/>
        </w:numPr>
        <w:autoSpaceDE w:val="0"/>
        <w:autoSpaceDN w:val="0"/>
        <w:adjustRightInd w:val="0"/>
        <w:spacing w:after="0"/>
        <w:ind w:left="709"/>
        <w:rPr>
          <w:noProof/>
          <w:szCs w:val="24"/>
        </w:rPr>
      </w:pPr>
      <w:r>
        <w:rPr>
          <w:noProof/>
        </w:rPr>
        <w:t>Alakítsanak ki a felhalmozódott ügyhátralék kezelésére alkalmazandó stratégiát, valamint biztonsági intézkedési rendszert hirtelen beáramlások esetére. Megfelelő emberi és pénzügyi erőforrásokat kell biztosítani.</w:t>
      </w:r>
    </w:p>
    <w:p>
      <w:pPr>
        <w:pStyle w:val="ListParagraph"/>
        <w:widowControl w:val="0"/>
        <w:numPr>
          <w:ilvl w:val="0"/>
          <w:numId w:val="14"/>
        </w:numPr>
        <w:autoSpaceDE w:val="0"/>
        <w:autoSpaceDN w:val="0"/>
        <w:adjustRightInd w:val="0"/>
        <w:spacing w:after="0"/>
        <w:rPr>
          <w:noProof/>
          <w:szCs w:val="24"/>
        </w:rPr>
      </w:pPr>
      <w:r>
        <w:rPr>
          <w:noProof/>
        </w:rPr>
        <w:t>Jogilag és a gyakorlatban is biztosítsák, hogy a megszállt területeken lévő lakóhelyüket elhagyni kényszerülő személyekkel, az elhelyezéssel és a menekültekkel foglalkozó minisztérium képes legyen az ügyekben indokolt határozatokat hozni, független módon, és kizárólag azok egyedi jellemzői alapján. Az elutasított kérelmezők vagy azok jogi képviselői számára legalább minimális hozzáférést biztosítsanak a negatív biztonsági ajánlás alapját képező belügyminisztériumi információkhoz, hogy a határozatokkal szemben a bíróságokon tisztességes eljárás keretében fellebbezést lehessen indítani.</w:t>
      </w:r>
    </w:p>
    <w:p>
      <w:pPr>
        <w:pStyle w:val="ListParagraph"/>
        <w:widowControl w:val="0"/>
        <w:numPr>
          <w:ilvl w:val="0"/>
          <w:numId w:val="14"/>
        </w:numPr>
        <w:autoSpaceDE w:val="0"/>
        <w:autoSpaceDN w:val="0"/>
        <w:adjustRightInd w:val="0"/>
        <w:spacing w:after="0"/>
        <w:rPr>
          <w:noProof/>
          <w:szCs w:val="24"/>
        </w:rPr>
      </w:pPr>
      <w:r>
        <w:rPr>
          <w:noProof/>
        </w:rPr>
        <w:t>Alakítsanak ki egységes nemzeti képzési programot mind az új, mind a tapasztalt személyzet számára.</w:t>
      </w:r>
    </w:p>
    <w:p>
      <w:pPr>
        <w:pStyle w:val="ListParagraph"/>
        <w:widowControl w:val="0"/>
        <w:numPr>
          <w:ilvl w:val="0"/>
          <w:numId w:val="14"/>
        </w:numPr>
        <w:autoSpaceDE w:val="0"/>
        <w:autoSpaceDN w:val="0"/>
        <w:adjustRightInd w:val="0"/>
        <w:spacing w:after="0"/>
        <w:rPr>
          <w:noProof/>
          <w:kern w:val="24"/>
          <w:szCs w:val="24"/>
        </w:rPr>
      </w:pPr>
      <w:r>
        <w:rPr>
          <w:noProof/>
        </w:rPr>
        <w:t>Alakítsák ki a származási országokra vonatkozó információk adatbázisát és ezekkel kapcsolatos jelentéseket, és tegyék ezeket elérhetővé az ügyekkel foglalkozó valamennyi tisztviselő számára. Biztosítsanak képzést az ügyekkel foglalkozó tisztviselők számára a származási országokra vonatkozó információkkal kapcsolatos alapelvekről. Különböztessék meg egyértelmű módon a származási országokkal kapcsolatos információkkal kapcsolatos eszközöket a szakpolitikai eszközöktől. Alakítsák ki az együttműködés kereteit más országok származási országokkal kapcsolatos információkkal foglalkozó egységeivel.</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Tegyenek lépéseket annak elemzésére, hogy milyen módon csökkenthető a feldolgozási idő a fellebbezési szakaszban, és vezessenek be elfogadhatóbb határidőket a bírósági fellebbezés benyújtására vonatkozóan, mivel a jelenlegi 10 napos időszak túl rövid.</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Biztosítsanak a fellebbezési eljárásokhoz államilag finanszírozott, könnyen elérhető, független és magas színvonalú ingyenes jogsegélyt.</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Tegyenek további erőfeszítéseket annak érdekében, hogy a grúz állampolgárságot felvenni kívánó menekültek számára a gyakorlatban is elérhető legyen a honosítási eljárás.</w:t>
      </w:r>
    </w:p>
    <w:p>
      <w:pPr>
        <w:numPr>
          <w:ilvl w:val="0"/>
          <w:numId w:val="14"/>
        </w:numPr>
        <w:spacing w:after="0" w:line="240" w:lineRule="auto"/>
        <w:rPr>
          <w:rFonts w:ascii="Times New Roman" w:eastAsia="Times New Roman" w:hAnsi="Times New Roman"/>
          <w:noProof/>
          <w:sz w:val="24"/>
          <w:szCs w:val="24"/>
        </w:rPr>
      </w:pPr>
      <w:r>
        <w:rPr>
          <w:rFonts w:ascii="Times New Roman" w:hAnsi="Times New Roman"/>
          <w:noProof/>
          <w:sz w:val="24"/>
        </w:rPr>
        <w:t>A megtett haladás mellett fejlesszenek ki olyan helyi integrációs stratégiát, amely világos, lépésekre lebontott cselekvési tervet tartalmaz. Biztosítsanak megfelelő állami forrásokat és hatékony koordinációs mechanizmust.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2.3. 3. témakör: Közrend és közbiztonság</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2.3.1.</w:t>
      </w:r>
      <w:r>
        <w:rPr>
          <w:noProof/>
        </w:rPr>
        <w:tab/>
      </w:r>
      <w:r>
        <w:rPr>
          <w:rFonts w:ascii="Times New Roman" w:hAnsi="Times New Roman"/>
          <w:b/>
          <w:noProof/>
          <w:sz w:val="24"/>
        </w:rPr>
        <w:t>A szervezett bűnözés, a terrorizmus és a korrupció megelőzése, valamint az ellenük folytatott küzdelem</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2.3.1.1. A szervezett bűnözés és az ellene folytatott küzdelem</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bűnüldöző szervek kapacitását, valamint az ezen szervek közötti együttműködést és koordinációt megerősítő jogszabályi módosítások, szervezeti reformok és intézkedések lehetővé tették az eredményes fellépést a szervezett bűnözéssel szemben. A szervezett bűnözésre és pénzmosásra – ezen belül a bűncselekményből származó jövedelem lefoglalására is – vonatkozó korszerű jogszabályoknak köszönhetően lehetségessé vált fellépni a legjelentősebb bűnszervezetekkel szemben. A szervezett bűnözéssel foglalkozó nyilvános figyelemfelhívó program sikeresen fordította a közvéleményt e jelenséggel szemben.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bűnüldöző és az igazságügyi hatóságok közötti koordináció jó, és megfelelően működik. Ez – más csatornák mellett – a szervezett bűnözés elleni intézményközi koordinációs tanács keretében folyik, amely hatékony fórum az információk és a feladatkörök megosztására. A tanács a szervezett bűnözés elleni küzdelem nemzeti stratégiájának és cselekvési tervének megfelelő végrehajtását is biztosítja. A Grúzia által a bűncselekményekkel kapcsolatos információk gyűjtésére és elemzésére kialakított kapacitások lehetővé teszik a fenyegetések alapos értékelését.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szervezett bűnözésre vonatkozó kritérium teljesítettnek tekinthető.</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2.3.1.2. Emberkereskedelem</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Grúzia jelentős előrelépést tett az emberkereskedelemmel szembeni fellépés tekintetében. A jogszabályok átfogóak és rendelkezésre áll a főbb partnereket összefogó és jelentős forrásokat biztosító infrastruktúra. A hatóságok elkötelezték magukat amellett, hogy biztosítják a szakemberek továbbképzését és az a közvélemény figyelmét felhívó átfogó programot folytatnak le az egész országra kiterjedően. Ugyanakkor jelentős hiányosságok vannak a veszélyeztetett sértettek – különösen a gyermekek – szükségleteinek figyelembe vétele tekintetében. A végrehajtási hatáskörrel bíró munkaügyi felügyeleti rendszer hiánya miatt korlátozott mértékben lehet csak fellépni a kényszermunka céljából folytatott emberkereskedelemmel szemben. Az esetek alacsony, ám növekvő száma aggodalomra ad okot, akárcsak az emberkereskedelem áldozatai számára elérhető szolgáltatások felhasználóira vonatkozó jogszabály alkalmazásának elmaradása.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Az emberkereskedelemre vonatkozó kritérium részben teljesítettnek tekinthető, a további előlépésekre jók a kilátások</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Vizsgálják felül az emberkereskedelem áldozatainak nyújtott szolgáltatásokat – különösen a meglévő szálláshelyek megszervezését és működtetését – annak biztosítása érdekében, hogy a gyermekeket kísérő személyek szükségleteit megfelelően ellássák.</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Vizsgálják felül a pszichológiai, orvosi és jogi támogatás nyújtását annak érdekében, hogy mindez a lehető legnagyobb mértékben hozzáférhető legyen valamennyi azonosított és feltételezett áldozat számára. </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Vizsgálják felül a munkaügyi felügyeleti osztály jogállását, feladatát és hatáskörét annak biztosítása érdekében, hogy az képes legyen azonosítani a munkaerő-kizsákmányolás és a kényszermunka eseteit és fel tudjon lépni ezekkel szemben.</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Tegyenek lépéseket a kizsákmányolás minden formájára kiterjedő, proaktív, hírszerzésen alapuló nyomozások megerősítése érdekében. </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Fejlesszenek ki szilárd megközelítést a kereskedelmi jellegű szexuális kizsákmányolás és a munkaerő-kizsákmányolás céljából emberkereskedők kezére került nőket megvásárlók tekintetében, azzal a kettős céllal, hogy egyrészt biztosítható legyen tanúvallomásuk, másrészt meg lehessen célozni az ilyen szolgáltatások iránti keresletet.</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Vizsgálják felül és fejlesszék tovább az ezen a területen az országon belül működő szervezeteket érintő adatgyűjtést és adatelemzést, hogy az adatok pontosabban tükrözzék a számokat, a nem, kor és etnikai hovatartozás szerinti megoszlást, valamint a kizsákmányolás típusát.</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Vizsgálják felül a különböző segélyvonalakat, hogy a nyilvánosság és az áldozatok a lehető legnagyobb arányban jelentsék az ilyen eseteket. </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Fokozzák a kapcsolattartást és partnerséget az Europol által fő célpontként és fő forrásként azonosított országokkal, mint például Törökországgal, valamint Azerbajdzsánnal, Kirgizisztánnal, Üzbegisztánnal és Örményországgal.</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2.3.1.3. A korrupció megelőzése és az ellene folytatott küzdelem</w:t>
      </w:r>
    </w:p>
    <w:p>
      <w:pPr>
        <w:spacing w:after="0" w:line="240" w:lineRule="auto"/>
        <w:jc w:val="both"/>
        <w:rPr>
          <w:rFonts w:ascii="Times New Roman" w:eastAsia="Times New Roman" w:hAnsi="Times New Roman"/>
          <w:b/>
          <w:i/>
          <w:noProof/>
          <w:sz w:val="24"/>
          <w:szCs w:val="24"/>
        </w:rPr>
      </w:pPr>
    </w:p>
    <w:p>
      <w:pPr>
        <w:autoSpaceDE w:val="0"/>
        <w:autoSpaceDN w:val="0"/>
        <w:adjustRightInd w:val="0"/>
        <w:spacing w:after="0" w:line="240" w:lineRule="auto"/>
        <w:jc w:val="both"/>
        <w:rPr>
          <w:rFonts w:ascii="Times New Roman" w:eastAsia="Times New Roman" w:hAnsi="Times New Roman"/>
          <w:noProof/>
          <w:sz w:val="24"/>
          <w:szCs w:val="24"/>
        </w:rPr>
      </w:pPr>
      <w:r>
        <w:rPr>
          <w:rFonts w:ascii="Times New Roman" w:hAnsi="Times New Roman"/>
          <w:noProof/>
          <w:sz w:val="24"/>
        </w:rPr>
        <w:t>Jelentős számban fogadtak el a korrupció elleni küzdelem intézményi és jogszabályi keretének megerősítésére irányuló intézkedéseket, illetve több ilyen intézkedés jelenleg vár elfogadásra. A kormány 2014 novemberében a közszolgálat reformjára vonatkozó tervet fogadott el. 2015 februárjában Grúzia elfogadta a 2015–2016-ra vonatkozó korrupcióellenes nemzeti stratégiát és cselekvési tervet. 2015 januárjában a főügyészi hivatalon belül szakosított korrupcióellenes szervezeti egység jött létre. Az egység megbízatása a magas szintű korrupciós ügyekben folytatott nyomozásokra és büntetőeljárásokra szól. A főügyész kinevezését és felmentését nyílt, érdemeken alapuló, objektív és átlátható módon, a nem helyénvaló politikai befolyástól mentesen kell lefolytatni.</w:t>
      </w:r>
      <w:r>
        <w:rPr>
          <w:noProof/>
        </w:rPr>
        <w:t xml:space="preserve"> </w:t>
      </w:r>
      <w:r>
        <w:rPr>
          <w:rFonts w:ascii="Times New Roman" w:hAnsi="Times New Roman"/>
          <w:noProof/>
          <w:sz w:val="24"/>
        </w:rPr>
        <w:t xml:space="preserve">Tegyenek további erőfeszítéseket a letartóztatott személyek által aláírt vádalku-megállapodásokkal való esetleges visszaélésekkel szembeni jelenlegi továbbfejlesztett biztosítékok végrehajtása érdekében, különös tekintettel a 2012 előtti visszaélésekre. Szorosan nyomon kell követni a megbízatás megújítására vonatkozó eljárást azon jelenleg szolgálatban lévő bírák esetében, akiknek 10 éves szolgálati ideje lejár, mivel ez messzebbre ható következményekkel járhat az igazságszolgáltatás működésére nézve. Amennyiben nincsenek tényszerű okok a szolgálatban lévő bíró felmentésére, a megbízatást kívánatos megújítani. </w:t>
      </w:r>
    </w:p>
    <w:p>
      <w:pPr>
        <w:autoSpaceDE w:val="0"/>
        <w:autoSpaceDN w:val="0"/>
        <w:adjustRightInd w:val="0"/>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korrupcióellenes küzdelemre vonatkozó kritérium részben teljesítettnek tekinthető, a további előlépésekre jók a kilátások</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23"/>
        </w:numPr>
        <w:spacing w:after="0" w:line="240" w:lineRule="auto"/>
        <w:jc w:val="both"/>
        <w:rPr>
          <w:rFonts w:ascii="Times New Roman" w:eastAsia="Times New Roman" w:hAnsi="Times New Roman"/>
          <w:noProof/>
          <w:sz w:val="24"/>
          <w:szCs w:val="24"/>
        </w:rPr>
      </w:pPr>
      <w:r>
        <w:rPr>
          <w:rFonts w:ascii="Times New Roman" w:hAnsi="Times New Roman"/>
          <w:noProof/>
          <w:sz w:val="24"/>
        </w:rPr>
        <w:t>Folytassák a közszolgálat reformját a közszolgálatról szóló törvény elfogadásával, a szakmailag felkészült, politikamentes közszolgálat működési körét és normáit meghatározó nemzetközi gyakorlattal összhangban. A törvényben további biztosítékokat kell meghatározni a közszolgálati hivatal vezetőjének felmentésére vonatkozóan.</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Alakítsák ki a vagyonnyilatkozatok szisztematikus ellenőrzését, és azt egészítsék ki olyan szankciók rendszerével, amelyek visszatartó erejűek a jogtalan vagyonszerzés, az összeférhetetlenség és az összeegyeztethetetlenség tekintetében. A vagyonnyilatkozatok ellenőrzését szabályozó új jogszabálynak részletes ellenőrzési eljárásokat kell tartalmaznia, amelyek lehetővé teszik a jogtalan vagyonszerzés, az összeférhetetlenség és az összeegyeztethetetlenség azonosítását. Megfelelő visszatartó erővel bíró szankciókat kell a jogszabályba foglalni. Fontos létrehozni az ellenőrzések elvégzését felügyelő szervet, vagy pedig egy már meglévő szervet bízni meg ezzel a feladattal.</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Biztosítsák, hogy a közbeszerzési szerződések tekintetében a pályázati eljárás mellőzésére vonatkozó kritériumokat meghatározó szabályok világosan meghatározzák azokat a pontos feltételeket, amelyek fennállása esetén erre lehetőség van, akárcsak a követendő eljárásokat. Ezekben az eljárásokban kötelezővé kell tenni nyilvános hirdetmény közzétételét, és meghallgatáshoz való jogot kell biztosítani a kifogással élők számára. A pályázati eljárás mellőzéséről szóló határozatot az állami közbeszerzési hivatal független jóváhagyásától kell függővé tenni.</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Erősítsék meg még jobban a visszaélést bejelentő személyek gyakorlati védelmét olyan szabályok és eljárások bevezetésével, amelyek lehetővé teszik a biztonságos bejelentést, valamint tudatosítsák a köztisztviselők körében még jobban a visszaélések bejelentésének gyakorlatára vonatkozó információkat.</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Folytassák az Európa Tanács Korrupció Elleni Államok Csoportja ajánlásainak teljes körű végrehajtása érdekében végzett munkát.</w:t>
      </w:r>
    </w:p>
    <w:p>
      <w:pPr>
        <w:spacing w:after="0" w:line="240" w:lineRule="auto"/>
        <w:ind w:left="720"/>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2.3.1.4. Pénzmosás és a terrorizmus finanszírozása</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Grúzia az elmúlt év során jelentős előrelépéseket tett. A jogi keret mára túlnyomórészt összhangban áll az uniós és nemzetközi normákkal, és többségében kialakult az intézményi keret, az intézményközi együttműködés és az adminisztratív kapacitás. A pénzmosással és a terrorizmus finanszírozásával szembeni küzdelem stratégiájának és cselekvési tervének végrehajtását a tervek szerint folytatni kell. A terrorizmus finanszírozásával kapcsolatos gyakorlati tapasztalatok továbbra is korlátozott mértékűek, ugyanakkor a grúz hatóságok felkészültnek tűnnek e problémák kezelésére, amennyiben szükséges. A vádalku széles körű alkalmazása azzal a kockázattal járhat, hogy a bűnözők megtalálják annak módját, hogy hogyan kerülhetik el a jogellenesen szerzett javak elkobzását.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Az pénzmosásra vonatkozó kritérium szinte maradéktalanul teljesítettnek tekinthető</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A határokon átnyúló készpénzforgalom jogszabályi keretének megerősítése és végrehajtásának javítása.</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A bűncselekményből származó vagyon elkobzására vonatkozó hatályos jogi keret megfelelőbb alkalmazása.</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Alkalmazottak felvétele a pénzügyi ellenőrzési szolgálat továbbra is betöltetlen álláshelyeire.</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Annak biztosítása, hogy a grúz nemzeti bank módszertani és külső vizsgálati egysége teljes személyzettel megkezdhesse működését, valamint külön külső vizsgálati egység létrehozása a biztosítások állami felügyeleti hivatalán belül is.</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További tájékoztató és figyelemfelhívó tevékenységek végzése a jelentéseket egyáltalán nem vagy csak kis számban tevő adatszolgáltató szervek körében.</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2.3.1.5. Kábítószerek</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Jelentős előrehaladás történt a kábítószerrel való visszaélés elleni intézményközi koordinációs tanács által elfogadott kábítószer-ellenes nemzeti stratégia és cselekvési terv végrehajtása terén. Különösen a kábítószerek iránti kereslet és az okozott károk csökkentése, valamint a kezelés és a rehabilitáció tekintetében tettek előrelépéseket. Számos projekt és program hívta fel a fiatalok figyelmét a kábítószerek ártalmasságára és az általuk jelentett veszélyekre. A kábítószer-kínálat csökkentése érdekében komoly erőfeszítéseket tettek a bűnüldözési fellépések terén és a különböző szervek közötti együttműködés javítására. Figyelemreméltó haladást valósítottak meg, főként a bűnüldöző szervek munkaszervezésének, eljárásainak és adatbázisainak kialakítása, valamint a szükséges felszerelés és képzés biztosítása révén.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fenti eredmények ellenére a kábítószer-ellenes nemzeti szakpolitika továbbra is inkább a megtorláson alapul, mint a helyreállító intézkedéseken.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kábítószerekre vonatkozó kritérium részben teljesítettnek tekinthető, a további előlépésekre jók a kilátások</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15"/>
        </w:numPr>
        <w:spacing w:after="0" w:line="240" w:lineRule="auto"/>
        <w:jc w:val="both"/>
        <w:rPr>
          <w:rFonts w:ascii="Times New Roman" w:eastAsia="Times New Roman" w:hAnsi="Times New Roman"/>
          <w:noProof/>
          <w:sz w:val="24"/>
          <w:szCs w:val="24"/>
        </w:rPr>
      </w:pPr>
      <w:r>
        <w:rPr>
          <w:rFonts w:ascii="Times New Roman" w:hAnsi="Times New Roman"/>
          <w:noProof/>
          <w:sz w:val="24"/>
        </w:rPr>
        <w:t>Erősítsék meg még jobban a kábítószer-ellenes nemzeti szakpolitikán belül a kábítószer-kínálat csökkentésére vonatkozó aspektusokat, többek között azon jogszabályi módosítások véghezvitelével, amelyeknek célja, hogy a jogi kereten belül elkülönítsék a kábítószerek személyes használat céljából való birtoklását és a kábítószerek mások számára való értékesítés céljából való birtoklását.</w:t>
      </w:r>
    </w:p>
    <w:p>
      <w:pPr>
        <w:numPr>
          <w:ilvl w:val="0"/>
          <w:numId w:val="15"/>
        </w:numPr>
        <w:spacing w:after="0" w:line="240" w:lineRule="auto"/>
        <w:jc w:val="both"/>
        <w:rPr>
          <w:rFonts w:ascii="Times New Roman" w:eastAsia="Times New Roman" w:hAnsi="Times New Roman"/>
          <w:noProof/>
          <w:sz w:val="24"/>
          <w:szCs w:val="24"/>
        </w:rPr>
      </w:pPr>
      <w:r>
        <w:rPr>
          <w:rFonts w:ascii="Times New Roman" w:hAnsi="Times New Roman"/>
          <w:noProof/>
          <w:sz w:val="24"/>
        </w:rPr>
        <w:t>Mérlegeljék bírósági ellenőrzés bevezetését a rendőrség által végzett, nem tervezett drogtesztek tekintetében.</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2.3.2.</w:t>
      </w:r>
      <w:r>
        <w:rPr>
          <w:noProof/>
        </w:rPr>
        <w:tab/>
      </w:r>
      <w:r>
        <w:rPr>
          <w:rFonts w:ascii="Times New Roman" w:hAnsi="Times New Roman"/>
          <w:b/>
          <w:noProof/>
          <w:sz w:val="24"/>
        </w:rPr>
        <w:t>Büntetőügyekben folytatott igazságügyi együttműködés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A jogi és intézményi keret grúziai végrehajtása kellőképpen szilárd ahhoz, hogy Grúzia stabil és megbízható partnerként vegyen részt a büntetőügyekben folytatott nemzetközi jogi együttműködésben. A keret hazai és a nemzeti jogi eszközeit oly módon frissítik és alkalmazzák, hogy az lehetővé teszi a súlyos bűncselekmények elleni küzdelem terén való nemzetközi együttműködést is. Az Eurojusttal való operatív együttműködési megállapodás megkötésére való előkészületek előrehaladott szakaszban járnak. </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büntetőügyekben folytatott igazságügyi együttműködésre vonatkozó kritérium teljesítettnek tekinthető.</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2.3.3.</w:t>
      </w:r>
      <w:r>
        <w:rPr>
          <w:noProof/>
        </w:rPr>
        <w:tab/>
      </w:r>
      <w:r>
        <w:rPr>
          <w:rFonts w:ascii="Times New Roman" w:hAnsi="Times New Roman"/>
          <w:b/>
          <w:noProof/>
          <w:sz w:val="24"/>
        </w:rPr>
        <w:t>Bűnüldözési együttműködés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A bűnüldöző szervek együttműködnek a bűnözés elleni küzdelemben, és ezt a feladatot inkluzív, multidiszciplináris módon végzik (a Tanács, a bizottságok és az intézményközi koordináció révén). Megfelelő a kapcsolattartás a nyomozók és az ügyészek között, és biztosítják az intézmények közötti megfelelő együttműködést. A grúz hatóságok fejlett technikai eszközökkel rendelkeznek a nyomozások és a vádemelés támogatására. A belügyminisztérium kriminalisztikai főosztálya és a nemzeti kriminalisztikai hivatal jelentős kriminalisztikai kapacitásokkal rendelkezik. Az EU-val való kétoldalú nemzetközi együttműködés a tagállamokkal kötött együttműködési megállapodások aláírásának köszönhetően egyre mélyül.</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A bűnüldözési együttműködésre vonatkozó kritérium szinte maradéktalanul teljesítettnek tekinthető</w:t>
      </w:r>
      <w:r>
        <w:rPr>
          <w:rFonts w:ascii="Times New Roman" w:hAnsi="Times New Roman"/>
          <w:noProof/>
          <w:sz w:val="24"/>
        </w:rPr>
        <w:t>. A Bizottság az alábbi intézkedéseket ajánlja a grúz hatóságoknak:</w:t>
      </w:r>
    </w:p>
    <w:p>
      <w:pPr>
        <w:spacing w:after="0" w:line="240" w:lineRule="auto"/>
        <w:jc w:val="both"/>
        <w:rPr>
          <w:rFonts w:ascii="Times New Roman" w:eastAsia="Times New Roman" w:hAnsi="Times New Roman"/>
          <w:noProof/>
          <w:sz w:val="24"/>
          <w:szCs w:val="24"/>
        </w:rPr>
      </w:pPr>
    </w:p>
    <w:p>
      <w:pPr>
        <w:pStyle w:val="ListParagraph"/>
        <w:numPr>
          <w:ilvl w:val="0"/>
          <w:numId w:val="18"/>
        </w:numPr>
        <w:spacing w:after="0"/>
        <w:rPr>
          <w:noProof/>
          <w:szCs w:val="24"/>
        </w:rPr>
      </w:pPr>
      <w:r>
        <w:rPr>
          <w:noProof/>
        </w:rPr>
        <w:t>Készítsenek rendszeres értékelő jelentéseket az átfogó kockázatokról, a jövőbeli tendenciákra és az újonnan jelentkező fenyegetésekre is kiterjedően, a hírszerzésen alapuló bűnüldözésre és a folyamatos értékelésre alapozva.</w:t>
      </w:r>
    </w:p>
    <w:p>
      <w:pPr>
        <w:numPr>
          <w:ilvl w:val="0"/>
          <w:numId w:val="18"/>
        </w:numPr>
        <w:spacing w:after="0" w:line="240" w:lineRule="auto"/>
        <w:rPr>
          <w:rFonts w:ascii="Times New Roman" w:eastAsia="Times New Roman" w:hAnsi="Times New Roman"/>
          <w:noProof/>
          <w:sz w:val="24"/>
          <w:szCs w:val="24"/>
        </w:rPr>
      </w:pPr>
      <w:r>
        <w:rPr>
          <w:rFonts w:ascii="Times New Roman" w:hAnsi="Times New Roman"/>
          <w:noProof/>
          <w:sz w:val="24"/>
        </w:rPr>
        <w:t xml:space="preserve">Folytassanak figyelemfelhívó programot a rendőrségnél és a főügyészi hivatalon belül, a régiókban is a nemzetközi együttműködés operatív szintű lehetőségeiről. </w:t>
      </w:r>
    </w:p>
    <w:p>
      <w:pPr>
        <w:pStyle w:val="ListParagraph"/>
        <w:spacing w:after="0"/>
        <w:ind w:left="360"/>
        <w:rPr>
          <w:noProof/>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2.3.4.</w:t>
      </w:r>
      <w:r>
        <w:rPr>
          <w:noProof/>
        </w:rPr>
        <w:tab/>
      </w:r>
      <w:r>
        <w:rPr>
          <w:rFonts w:ascii="Times New Roman" w:hAnsi="Times New Roman"/>
          <w:b/>
          <w:noProof/>
          <w:sz w:val="24"/>
        </w:rPr>
        <w:t>Adatvédelem</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Grúzia kielégítő módon folytatja a személyes adatoknak a köz-és magánszférában való védelméről szóló jogszabály végrehajtását a független adatvédelmi felügyeleti hatóság hatékony működésének biztosításával. Az ország előirányozta a szükséges emberi és pénzügyi erőforrásokat, képzési programokat végzett és tudatosította az adatvédelem fontosságát. Az Eurojusttal való operatív együttműködési megállapodás megkötésére való előkészületek előrehaladott szakaszban járnak.</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Az adatvédelemre vonatkozó kritérium teljesítettnek tekinthető.</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2.4. 4. témakör: Külkapcsolatok és alapvető jogok</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Grúzia rövid időn belül jelentős előrelépést tett e területen. 2014-ben elfogadták a szükséges jogi keretet az állampolgárságról, a szabad mozgásról (migrációról) és a megkülönböztetésmentességről. </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2.4.1.</w:t>
      </w:r>
      <w:r>
        <w:rPr>
          <w:noProof/>
        </w:rPr>
        <w:tab/>
      </w:r>
      <w:r>
        <w:rPr>
          <w:rFonts w:ascii="Times New Roman" w:hAnsi="Times New Roman"/>
          <w:b/>
          <w:noProof/>
          <w:sz w:val="24"/>
        </w:rPr>
        <w:t>Szabad mozgás Grúzia területén</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2014-ben új jogi keretet fogadtak el, amely jelentős változásokat vezetett be a külföldiek és hontalanok jogállásáról. A jogszabályi változások lehetővé teszik a Grúziában élő külföldi állampolgárok számára a legális tartózkodást. A Grúzián belüli szabad mozgás a grúz állampolgárok, a legálisan tartózkodó külföldiek és a hontalanok számára biztosítottnak tekinthető, és nem vonatkoznak rá indokolatlan korlátozások vagy megkülönböztető jellegű intézkedések.</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A szabad mozgásra vonatkozó kritérium teljesítettnek tekinthető.</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2.4.2.</w:t>
      </w:r>
      <w:r>
        <w:rPr>
          <w:noProof/>
        </w:rPr>
        <w:tab/>
      </w:r>
      <w:r>
        <w:rPr>
          <w:rFonts w:ascii="Times New Roman" w:hAnsi="Times New Roman"/>
          <w:b/>
          <w:noProof/>
          <w:sz w:val="24"/>
        </w:rPr>
        <w:t>Az úti és személyazonosító okmányok kiállítására vonatkozó feltételek és eljárások</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Valamennyi grúz állampolgár – a nőket, gyermekeket, a fogyatékossággal élő személyeket, a belső menekülteket, a kisebbségekhez tartozó személyeket és más kiszolgáltatott csoportokat is beleértve – teljes körűen és ténylegesen hozzáfér az úti és személyazonosító okmányokhoz.</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Az úti és személyazonosító okmányok kiállítására vonatkozó kritérium teljesítettnek tekinthető.</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2.4.3.</w:t>
      </w:r>
      <w:r>
        <w:rPr>
          <w:noProof/>
        </w:rPr>
        <w:tab/>
      </w:r>
      <w:r>
        <w:rPr>
          <w:rFonts w:ascii="Times New Roman" w:hAnsi="Times New Roman"/>
          <w:b/>
          <w:noProof/>
          <w:sz w:val="24"/>
        </w:rPr>
        <w:t>Állampolgári jogok, beleértve a kisebbségek védelmét</w:t>
      </w:r>
    </w:p>
    <w:p>
      <w:pPr>
        <w:spacing w:after="0" w:line="240" w:lineRule="auto"/>
        <w:jc w:val="both"/>
        <w:rPr>
          <w:rFonts w:ascii="Times New Roman" w:eastAsia="Times New Roman" w:hAnsi="Times New Roman"/>
          <w:b/>
          <w:noProof/>
          <w:sz w:val="24"/>
          <w:szCs w:val="24"/>
        </w:rPr>
      </w:pPr>
    </w:p>
    <w:p>
      <w:pPr>
        <w:spacing w:after="0" w:line="240" w:lineRule="auto"/>
        <w:jc w:val="both"/>
        <w:rPr>
          <w:noProof/>
        </w:rPr>
      </w:pPr>
      <w:r>
        <w:rPr>
          <w:rFonts w:ascii="Times New Roman" w:hAnsi="Times New Roman"/>
          <w:noProof/>
          <w:sz w:val="24"/>
        </w:rPr>
        <w:t>A megkülönbözetés-ellenes jogszabályok és szakpolitikák hatékony végrehajtása az ítélkezési gyakorlat és a precedensek révén fokozatosan erősödik, bár jelenleg kevés megkülönböztetésmentességgel kapcsolatos peres ügy van folyamatban. E fejlemények a megkülönböztetésmentességről szóló törvény hatályba lépését követik, amely jogi keretet biztosít az egyenlőség és a megkülönböztetésmentesség biztosításához, valamint a végrehajtási intézkedésekhez, amelyek tekintetében az Állampolgári Jogvédő Hivatal központi szerepet tölt be.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Ami a megkülönböztetésmentességről szóló törvény bizonyos rendelkezéseit illeti, ilyen gondosság szükséges ahhoz, hogy megfelelő és hatékony védelmet biztosítsanak a megkülönböztetéssel szemben a gyakorlatban, és bármilyen eltérést a szükségesség és az arányosság elveivel összhangban alkalmazzanak, a nemzetközi és európai normáknak megfelelően.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Ami a nemzeti emberi jogi stratégia és cselekvési terv végrehajtását illeti, a miniszterelnöki hivatal fennhatósága alatt működő emberi jogi titkárság személyi állománya elérte a teljes létszámot, és a 2014-re tervezett tevékenységeket hiánytalanul végrehajtották. Szintén jelentős előrelépést valósítottak meg az elmúlt évek során az etnikai kisebbségek védelme és társadalmi integrációjuk előmozdítása tekintetében.</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Grúzia megkezdte az előkészületeket a Regionális vagy Kisebbségi Nyelvek Európai Kartájának aláírására, valamint a grúz jogszabályoknak a Karta rendelkezésével való harmonizálására. Emellett az államnyelvről szóló törvény elfogadására irányuló előkészületek is folyamatban vannak. </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 xml:space="preserve">Az állampolgári jogokra vonatkozó kritérium szinte maradéktalanul teljesítettnek tekinthető </w:t>
      </w:r>
      <w:r>
        <w:rPr>
          <w:rFonts w:ascii="Times New Roman" w:hAnsi="Times New Roman"/>
          <w:noProof/>
          <w:sz w:val="24"/>
        </w:rPr>
        <w:t>A Bizottság az alábbi intézkedéseket ajánlja a grúz hatóságoknak:</w:t>
      </w:r>
    </w:p>
    <w:p>
      <w:pPr>
        <w:spacing w:after="0" w:line="240" w:lineRule="auto"/>
        <w:jc w:val="both"/>
        <w:rPr>
          <w:rFonts w:ascii="Times New Roman" w:eastAsia="Times New Roman" w:hAnsi="Times New Roman"/>
          <w:noProof/>
          <w:sz w:val="24"/>
          <w:szCs w:val="24"/>
        </w:rPr>
      </w:pPr>
    </w:p>
    <w:p>
      <w:pPr>
        <w:numPr>
          <w:ilvl w:val="0"/>
          <w:numId w:val="24"/>
        </w:numPr>
        <w:spacing w:after="0" w:line="240" w:lineRule="auto"/>
        <w:jc w:val="both"/>
        <w:rPr>
          <w:rFonts w:ascii="Times New Roman" w:eastAsia="Times New Roman" w:hAnsi="Times New Roman"/>
          <w:b/>
          <w:noProof/>
          <w:sz w:val="24"/>
          <w:szCs w:val="24"/>
        </w:rPr>
      </w:pPr>
      <w:r>
        <w:rPr>
          <w:rFonts w:ascii="Times New Roman" w:hAnsi="Times New Roman"/>
          <w:noProof/>
          <w:sz w:val="24"/>
        </w:rPr>
        <w:t>Az egyenlőséggel, toleranciával és a sokszínűséggel kapcsolatos kérdéseknek az államigazgatás és a társadalom tagjai körében való tudatosítására irányuló tevékenységek erősítése és folytatása; azon erőfeszítések fokozása, amelyek fel kívánják hívni a kisebbségek közösségeinek figyelmét állampolgári jogaikra, valamint a számukra elérhető állami szolgáltatásokra és juttatásokra; új stratégia és cselekvési terv elfogadása a tolerancia és a társadalmi integráció előmozdítására, teljes mértékben figyelembe véve az előző cselekvési terv végrehajtása során szerzett tapasztalatokat, valamint megfelelő forrásokat biztosítva ennek végrehajtásához és hatékony, referenciaértékekkel és mutatókkal kísért hatékony ellenőrző mechanizmusokat határozva meg.</w:t>
      </w:r>
    </w:p>
    <w:p>
      <w:pPr>
        <w:numPr>
          <w:ilvl w:val="0"/>
          <w:numId w:val="24"/>
        </w:numPr>
        <w:spacing w:after="0" w:line="240" w:lineRule="auto"/>
        <w:jc w:val="both"/>
        <w:rPr>
          <w:rFonts w:ascii="Times New Roman" w:eastAsia="Times New Roman" w:hAnsi="Times New Roman"/>
          <w:noProof/>
          <w:sz w:val="24"/>
          <w:szCs w:val="24"/>
        </w:rPr>
      </w:pPr>
      <w:r>
        <w:rPr>
          <w:rFonts w:ascii="Times New Roman" w:hAnsi="Times New Roman"/>
          <w:noProof/>
          <w:sz w:val="24"/>
        </w:rPr>
        <w:t>A jogi szakemberek képzésének folytatása, szoros együttműködésben a civil társadalommal, a nemzetközi szervezetekkel és a donorokkal, kellő figyelemmel az Állampolgári Jogvédő Hivatal által előterjesztett jogalkotási javaslatokra.</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3. ÁTFOGÓ ÉRTÉKELÉS ÉS A KÖVETKEZŐ LÉPÉSEK</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Bizottság a rögzített módszertannal összhangban, az értékelő missziók, valamint a Grúzia által nyújtott információk és dokumentumok alapján értékelte a vízumliberalizációról szóló cselekvési terv második szakaszára vonatkozó kritériumok Grúzia általi végrehajtását.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A Bizottság nyomon követte a Grúzia által a vízumliberalizációról szóló cselekvési tervvel kapcsolatos területeken az EU és Grúzia közötti vízumkönnyítési vegyes bizottság, az EU és Grúzia közötti visszafogadási vegyes bizottság és az EU és Grúzia közötti, a jogérvényesüléssel, szabadsággal és biztonsággal foglalkozó albizottság, valamint az emberi jogi párbeszéd keretében elért eredményeket. Az EU és Grúzia közötti párbeszéd és együttműködés e bizottságok mindegyikében igen előrehaladottnak tekinthető.</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Grúzia jelentős előrelépéseket tett a vízumliberalizációról szóló cselekvési terv négy témaköre tekintetében. Ez azt mutatja, hogy az ország határozottan elkötelezte magát és komoly erőfeszítéseket tett. A Bizottság alaposan elemezte a Grúzia által bevezetett reformok végrehajtását és eredményeit. Ez alapján megállapítható, hogy a négy témakör tekintetében a jogszabályi és szakpolitikai keret, valamint az intézményi és szervezeti elvek integritása általában megfelel a legmagasabb szintű európai és nemzetközi normáknak. Ezért a Bizottság úgy ítéli meg, hogy Grúzia összességében megfelel a vízumliberalizációról szóló cselekvési terv második szakaszára vonatkozó kritériumoknak.</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Tekintettel a Grúzia által az elmúlt néhány hónapban elért jelentős előrelépésekre, a Bizottság készen áll arra, hogy a következő jelentés időpontját előre hozza, amennyiben folytatódik a kritériumok szerinti és az aktuális helyzetnek megfelelő gyors fejlődés, amint ezt e jelentés és szolgálati munkadokumentum részletesebben is kifejti. Mindazonáltal Grúziának e jelentés ajánlásaival összhangban további erőfeszítéseket kell tennie. Szintén elengedhetetlen, hogy tovább folytassák a célzott tájékoztatási kampányok szervezését annak érdekében, hogy ismertessék a vízummentes utazással kapcsolatos jogokat és kötelezettségeket, valamint az EU munkaerőpiacának az elérését szabályozó szabályokat.</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A jelentésben előírt intézkedések megvalósítása lehetővé tenné Grúzia számára, hogy a vízumliberalizációról szóló cselekvési terv második szakaszára vonatkozó kritériumok mindegyikét teljesítse. A Bizottság a továbbiakban is folytatja nyomon követési tevékenységét, minden tőle telhetőt megtesz Grúzia támogatása érdekében, és 2015 végéig újabb jelentést tesz a megvalósított előrehaladásról. </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HU</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HU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fldChar w:fldCharType="end"/>
    </w:r>
  </w:p>
  <w:p>
    <w:pPr>
      <w:pStyle w:val="FooterCoverPage"/>
      <w:rPr>
        <w:rFonts w:ascii="Arial" w:hAnsi="Arial" w:cs="Arial"/>
        <w:b/>
        <w:sz w:val="4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spacing w:after="0" w:line="240" w:lineRule="auto"/>
        <w:rPr>
          <w:rFonts w:ascii="Times New Roman" w:hAnsi="Times New Roman"/>
          <w:lang w:val="pt-PT"/>
        </w:rPr>
      </w:pPr>
      <w:r>
        <w:rPr>
          <w:rStyle w:val="FootnoteReference"/>
          <w:rFonts w:ascii="Times New Roman" w:hAnsi="Times New Roman"/>
        </w:rPr>
        <w:footnoteRef/>
      </w:r>
      <w:r>
        <w:rPr>
          <w:rFonts w:ascii="Times New Roman" w:hAnsi="Times New Roman"/>
        </w:rPr>
        <w:t xml:space="preserve"> COM(2013) 808 final</w:t>
      </w:r>
    </w:p>
  </w:footnote>
  <w:footnote w:id="2">
    <w:p>
      <w:pPr>
        <w:pStyle w:val="FootnoteText"/>
        <w:spacing w:after="0" w:line="240" w:lineRule="auto"/>
        <w:rPr>
          <w:rFonts w:ascii="Times New Roman" w:hAnsi="Times New Roman"/>
          <w:lang w:val="pt-PT"/>
        </w:rPr>
      </w:pPr>
      <w:r>
        <w:rPr>
          <w:rStyle w:val="FootnoteReference"/>
          <w:rFonts w:ascii="Times New Roman" w:hAnsi="Times New Roman"/>
        </w:rPr>
        <w:footnoteRef/>
      </w:r>
      <w:r>
        <w:rPr>
          <w:rFonts w:ascii="Times New Roman" w:hAnsi="Times New Roman"/>
        </w:rPr>
        <w:t xml:space="preserve"> COM(2014) 681 final</w:t>
      </w:r>
    </w:p>
  </w:footnote>
  <w:footnote w:id="3">
    <w:p>
      <w:pPr>
        <w:pStyle w:val="FootnoteText"/>
        <w:rPr>
          <w:lang w:val="pt-PT"/>
        </w:rPr>
      </w:pPr>
      <w:r>
        <w:rPr>
          <w:rStyle w:val="FootnoteReference"/>
          <w:rFonts w:ascii="Times New Roman" w:hAnsi="Times New Roman"/>
        </w:rPr>
        <w:footnoteRef/>
      </w:r>
      <w:r>
        <w:rPr>
          <w:rFonts w:ascii="Times New Roman" w:hAnsi="Times New Roman"/>
        </w:rPr>
        <w:t xml:space="preserve"> COM(2015) 103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5113"/>
    <w:multiLevelType w:val="hybridMultilevel"/>
    <w:tmpl w:val="2408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0E2F46"/>
    <w:multiLevelType w:val="hybridMultilevel"/>
    <w:tmpl w:val="A7B0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B37555"/>
    <w:multiLevelType w:val="hybridMultilevel"/>
    <w:tmpl w:val="0668426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867679"/>
    <w:multiLevelType w:val="hybridMultilevel"/>
    <w:tmpl w:val="AD9C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6912BB"/>
    <w:multiLevelType w:val="hybridMultilevel"/>
    <w:tmpl w:val="633C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4472FE"/>
    <w:multiLevelType w:val="hybridMultilevel"/>
    <w:tmpl w:val="903A7DFE"/>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0D6096E"/>
    <w:multiLevelType w:val="hybridMultilevel"/>
    <w:tmpl w:val="CD9098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EA0E7B"/>
    <w:multiLevelType w:val="hybridMultilevel"/>
    <w:tmpl w:val="A40E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F72B2F"/>
    <w:multiLevelType w:val="hybridMultilevel"/>
    <w:tmpl w:val="FC143BFE"/>
    <w:lvl w:ilvl="0" w:tplc="BDBA2334">
      <w:numFmt w:val="bullet"/>
      <w:lvlText w:val=""/>
      <w:lvlJc w:val="left"/>
      <w:pPr>
        <w:ind w:left="720" w:hanging="360"/>
      </w:pPr>
      <w:rPr>
        <w:rFonts w:ascii="Symbol" w:eastAsia="Times New Roman" w:hAnsi="Symbol"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ACF1CE5"/>
    <w:multiLevelType w:val="hybridMultilevel"/>
    <w:tmpl w:val="E4C293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B8291F"/>
    <w:multiLevelType w:val="hybridMultilevel"/>
    <w:tmpl w:val="934AE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D5006B"/>
    <w:multiLevelType w:val="hybridMultilevel"/>
    <w:tmpl w:val="6C04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937CAB"/>
    <w:multiLevelType w:val="hybridMultilevel"/>
    <w:tmpl w:val="AAF03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DB53D0"/>
    <w:multiLevelType w:val="hybridMultilevel"/>
    <w:tmpl w:val="4336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A50055"/>
    <w:multiLevelType w:val="hybridMultilevel"/>
    <w:tmpl w:val="E7F09F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63D81FD7"/>
    <w:multiLevelType w:val="hybridMultilevel"/>
    <w:tmpl w:val="B1CE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7408EC"/>
    <w:multiLevelType w:val="hybridMultilevel"/>
    <w:tmpl w:val="E3DC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5111780"/>
    <w:multiLevelType w:val="hybridMultilevel"/>
    <w:tmpl w:val="5CEE8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CF41E8"/>
    <w:multiLevelType w:val="hybridMultilevel"/>
    <w:tmpl w:val="20BE9B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6F252E62"/>
    <w:multiLevelType w:val="hybridMultilevel"/>
    <w:tmpl w:val="5C1282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60395D"/>
    <w:multiLevelType w:val="hybridMultilevel"/>
    <w:tmpl w:val="DE0027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D5736F"/>
    <w:multiLevelType w:val="hybridMultilevel"/>
    <w:tmpl w:val="33A460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9EF2066"/>
    <w:multiLevelType w:val="hybridMultilevel"/>
    <w:tmpl w:val="2DD6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B28016D"/>
    <w:multiLevelType w:val="hybridMultilevel"/>
    <w:tmpl w:val="DECE00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23"/>
  </w:num>
  <w:num w:numId="5">
    <w:abstractNumId w:val="20"/>
  </w:num>
  <w:num w:numId="6">
    <w:abstractNumId w:val="12"/>
  </w:num>
  <w:num w:numId="7">
    <w:abstractNumId w:val="6"/>
  </w:num>
  <w:num w:numId="8">
    <w:abstractNumId w:val="19"/>
  </w:num>
  <w:num w:numId="9">
    <w:abstractNumId w:val="9"/>
  </w:num>
  <w:num w:numId="10">
    <w:abstractNumId w:val="11"/>
  </w:num>
  <w:num w:numId="11">
    <w:abstractNumId w:val="3"/>
  </w:num>
  <w:num w:numId="12">
    <w:abstractNumId w:val="8"/>
  </w:num>
  <w:num w:numId="13">
    <w:abstractNumId w:val="18"/>
  </w:num>
  <w:num w:numId="14">
    <w:abstractNumId w:val="7"/>
  </w:num>
  <w:num w:numId="15">
    <w:abstractNumId w:val="14"/>
  </w:num>
  <w:num w:numId="16">
    <w:abstractNumId w:val="21"/>
  </w:num>
  <w:num w:numId="17">
    <w:abstractNumId w:val="5"/>
  </w:num>
  <w:num w:numId="18">
    <w:abstractNumId w:val="13"/>
  </w:num>
  <w:num w:numId="19">
    <w:abstractNumId w:val="16"/>
  </w:num>
  <w:num w:numId="20">
    <w:abstractNumId w:val="17"/>
  </w:num>
  <w:num w:numId="21">
    <w:abstractNumId w:val="1"/>
  </w:num>
  <w:num w:numId="22">
    <w:abstractNumId w:val="15"/>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VERPAGE_EXISTS" w:val="True"/>
    <w:docVar w:name="DocStatus" w:val="Green"/>
    <w:docVar w:name="LW_CONFIDENCE" w:val=" "/>
    <w:docVar w:name="LW_CONST_RESTREINT_UE" w:val="RESTREINT UE"/>
    <w:docVar w:name="LW_CORRIGENDUM" w:val="&lt;UNUSED&gt;"/>
    <w:docVar w:name="LW_COVERPAGE_GUID" w:val="E11013C43936492686F51B6F4BC5D74B"/>
    <w:docVar w:name="LW_CROSSREFERENCE" w:val="{SWD(2015) 103 final}"/>
    <w:docVar w:name="LW_DocType" w:val="NORMAL"/>
    <w:docVar w:name="LW_EMISSION" w:val="2015.5.8."/>
    <w:docVar w:name="LW_EMISSION_ISODATE" w:val="2015-05-08"/>
    <w:docVar w:name="LW_EMISSION_LOCATION" w:val="BRX"/>
    <w:docVar w:name="LW_EMISSION_PREFIX" w:val="Brüsszel, "/>
    <w:docVar w:name="LW_EMISSION_SUFFIX" w:val=" "/>
    <w:docVar w:name="LW_ID_DOCTYPE_NONLW" w:val="CP-006"/>
    <w:docVar w:name="LW_LANGUE" w:val="HU"/>
    <w:docVar w:name="LW_MARKING" w:val="&lt;UNUSED&gt;"/>
    <w:docVar w:name="LW_NOM.INST" w:val="EURÓPAI BIZOTTSÁG"/>
    <w:docVar w:name="LW_NOM.INST_JOINTDOC" w:val="&lt;EMPTY&gt;"/>
    <w:docVar w:name="LW_PART_NBR" w:val="1"/>
    <w:docVar w:name="LW_PART_NBR_TOTAL" w:val="1"/>
    <w:docVar w:name="LW_REF.INST.NEW" w:val="COM"/>
    <w:docVar w:name="LW_REF.INST.NEW_ADOPTED" w:val="final"/>
    <w:docVar w:name="LW_REF.INST.NEW_TEXT" w:val="(2015) 199"/>
    <w:docVar w:name="LW_REF.INTERNE" w:val="&lt;UNUSED&gt;"/>
    <w:docVar w:name="LW_SOUS.TITRE.OBJ.CP" w:val="&lt;UNUSED&gt;"/>
    <w:docVar w:name="LW_SUPERTITRE" w:val="&lt;UNUSED&gt;"/>
    <w:docVar w:name="LW_TITRE.OBJ.CP" w:val="Harmadik eredményjelentés a vízumliberalizációs cselekvési terv Grúzia általi végrehajtásáról"/>
    <w:docVar w:name="LW_TYPE.DOC.CP" w:val="A BIZOTTSÁG JELENTÉSE AZ EURÓPAI PARLAMENTNEK ÉS A TANÁCSNAK"/>
    <w:docVar w:name="Stamp" w:val="\\dossiers.dgt.cec.eu.int\dossiers\HOME\HOME-2015-00348\HOME-2015-00348-00-01-EN-REV-00.DOC"/>
  </w:docVar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hu-H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unhideWhenUsed/>
    <w:qFormat/>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 Text Char1 Char1"/>
    <w:uiPriority w:val="99"/>
    <w:rPr>
      <w:lang w:eastAsia="hu-H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hu-HU"/>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character" w:styleId="FootnoteReference">
    <w:name w:val="footnote reference"/>
    <w:aliases w:val="Ref,de nota al pie,4_G,ftref Char Char Char,ftref Car Char Char Char Char,Car Car5 Char Char Car Car Char Char Char Char Char Char, Car Car5 Char Char Car Car Char Char Char Char Char Char,number"/>
    <w:uiPriority w:val="99"/>
    <w:unhideWhenUsed/>
    <w:qFormat/>
    <w:rPr>
      <w:vertAlign w:val="superscript"/>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hu-HU"/>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hu-HU"/>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hu-HU"/>
    </w:rPr>
  </w:style>
  <w:style w:type="paragraph" w:styleId="ListParagraph">
    <w:name w:val="List Paragraph"/>
    <w:basedOn w:val="Normal"/>
    <w:link w:val="ListParagraphChar"/>
    <w:uiPriority w:val="34"/>
    <w:qFormat/>
    <w:pPr>
      <w:spacing w:after="240" w:line="240" w:lineRule="auto"/>
      <w:ind w:left="720"/>
      <w:contextualSpacing/>
      <w:jc w:val="both"/>
    </w:pPr>
    <w:rPr>
      <w:rFonts w:ascii="Times New Roman" w:eastAsia="Times New Roman" w:hAnsi="Times New Roman"/>
      <w:sz w:val="24"/>
      <w:szCs w:val="20"/>
    </w:rPr>
  </w:style>
  <w:style w:type="character" w:styleId="Hyperlink">
    <w:name w:val="Hyperlink"/>
    <w:uiPriority w:val="99"/>
    <w:unhideWhenUsed/>
    <w:rPr>
      <w:color w:val="0000FF"/>
      <w:u w:val="single"/>
    </w:rPr>
  </w:style>
  <w:style w:type="character" w:styleId="Emphasis">
    <w:name w:val="Emphasis"/>
    <w:uiPriority w:val="20"/>
    <w:qFormat/>
    <w:rPr>
      <w:b/>
      <w:bCs/>
      <w:i w:val="0"/>
      <w:iCs w:val="0"/>
    </w:rPr>
  </w:style>
  <w:style w:type="character" w:customStyle="1" w:styleId="st">
    <w:name w:val="s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yiv0793212484msonormal">
    <w:name w:val="yiv0793212484msonormal"/>
    <w:basedOn w:val="Normal"/>
    <w:pPr>
      <w:spacing w:before="100" w:beforeAutospacing="1" w:after="100" w:afterAutospacing="1" w:line="240" w:lineRule="auto"/>
      <w:jc w:val="both"/>
    </w:pPr>
    <w:rPr>
      <w:rFonts w:ascii="Times New Roman" w:hAnsi="Times New Roman"/>
      <w:sz w:val="24"/>
      <w:szCs w:val="24"/>
    </w:rPr>
  </w:style>
  <w:style w:type="paragraph" w:styleId="NoSpacing">
    <w:name w:val="No Spacing"/>
    <w:uiPriority w:val="1"/>
    <w:qFormat/>
    <w:pPr>
      <w:jc w:val="both"/>
    </w:pPr>
    <w:rPr>
      <w:rFonts w:eastAsia="SimSun" w:cs="Calibri"/>
      <w:sz w:val="22"/>
      <w:szCs w:val="22"/>
    </w:rPr>
  </w:style>
  <w:style w:type="character" w:customStyle="1" w:styleId="ListParagraphChar">
    <w:name w:val="List Paragraph Char"/>
    <w:link w:val="ListParagraph"/>
    <w:uiPriority w:val="34"/>
    <w:locked/>
    <w:rPr>
      <w:rFonts w:ascii="Times New Roman" w:eastAsia="Times New Roman" w:hAnsi="Times New Roman"/>
      <w:sz w:val="24"/>
      <w:lang w:eastAsia="hu-HU"/>
    </w:rPr>
  </w:style>
  <w:style w:type="paragraph" w:customStyle="1" w:styleId="Body">
    <w:name w:val="Body"/>
    <w:pPr>
      <w:pBdr>
        <w:top w:val="nil"/>
        <w:left w:val="nil"/>
        <w:bottom w:val="nil"/>
        <w:right w:val="nil"/>
        <w:between w:val="nil"/>
        <w:bar w:val="nil"/>
      </w:pBdr>
      <w:spacing w:before="160" w:line="288" w:lineRule="auto"/>
    </w:pPr>
    <w:rPr>
      <w:rFonts w:ascii="Helvetica" w:eastAsia="Helvetica" w:hAnsi="Helvetica" w:cs="Helvetica"/>
      <w:color w:val="000000"/>
      <w:sz w:val="24"/>
      <w:szCs w:val="24"/>
      <w:bdr w:val="nil"/>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sz w:val="24"/>
      <w:szCs w:val="24"/>
    </w:rPr>
  </w:style>
  <w:style w:type="character" w:customStyle="1" w:styleId="HeaderCoverPageChar">
    <w:name w:val="Header Cover Page Char"/>
    <w:link w:val="HeaderCoverPage"/>
    <w:rPr>
      <w:rFonts w:ascii="Times New Roman" w:hAnsi="Times New Roman"/>
      <w:color w:val="00000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hu-HU"/>
    </w:r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4835D-99DA-4EA9-BB1F-63021C89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3664</Words>
  <Characters>27924</Characters>
  <Application>Microsoft Office Word</Application>
  <DocSecurity>0</DocSecurity>
  <Lines>507</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21</cp:revision>
  <cp:lastPrinted>2015-04-22T12:56:00Z</cp:lastPrinted>
  <dcterms:created xsi:type="dcterms:W3CDTF">2015-05-05T10:27:00Z</dcterms:created>
  <dcterms:modified xsi:type="dcterms:W3CDTF">2015-06-29T13:21:00Z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