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45E" w:rsidRDefault="005B0CFA">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DDDA04F-8965-41EA-BAE0-431B8C373CBD" style="width:450pt;height:361.5pt">
            <v:imagedata r:id="rId7" o:title=""/>
          </v:shape>
        </w:pict>
      </w:r>
    </w:p>
    <w:bookmarkEnd w:id="0"/>
    <w:p w:rsidR="0085445E" w:rsidRDefault="0085445E">
      <w:pPr>
        <w:rPr>
          <w:noProof/>
        </w:rPr>
        <w:sectPr w:rsidR="0085445E">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p w:rsidR="0085445E" w:rsidRDefault="005B0CFA">
      <w:pPr>
        <w:rPr>
          <w:rFonts w:ascii="Times New Roman" w:hAnsi="Times New Roman" w:cs="Times New Roman"/>
          <w:b/>
          <w:noProof/>
          <w:sz w:val="24"/>
          <w:szCs w:val="24"/>
        </w:rPr>
      </w:pPr>
      <w:r>
        <w:rPr>
          <w:rFonts w:ascii="Times New Roman" w:hAnsi="Times New Roman"/>
          <w:b/>
          <w:noProof/>
        </w:rPr>
        <w:lastRenderedPageBreak/>
        <w:t>Bevezetés</w:t>
      </w:r>
    </w:p>
    <w:p w:rsidR="0085445E" w:rsidRDefault="005B0CFA">
      <w:pPr>
        <w:autoSpaceDE w:val="0"/>
        <w:autoSpaceDN w:val="0"/>
        <w:spacing w:after="0"/>
        <w:jc w:val="both"/>
        <w:rPr>
          <w:rFonts w:ascii="Times New Roman" w:hAnsi="Times New Roman" w:cs="Times New Roman"/>
          <w:noProof/>
          <w:sz w:val="24"/>
          <w:szCs w:val="24"/>
        </w:rPr>
      </w:pPr>
      <w:r>
        <w:rPr>
          <w:rFonts w:ascii="Times New Roman" w:hAnsi="Times New Roman"/>
          <w:noProof/>
        </w:rPr>
        <w:t>Az éghajlatváltozás az előttünk álló generáció meghatározó kihívása, és az EU vezető szerepet tölt be egy olyan többoldalú keret kidolgozásában, amely választ adhat e globális problémára. 2015-ben az uniós diplomácia döntő szerepet játszott a történelmi je</w:t>
      </w:r>
      <w:r>
        <w:rPr>
          <w:rFonts w:ascii="Times New Roman" w:hAnsi="Times New Roman"/>
          <w:noProof/>
        </w:rPr>
        <w:t>lentőségű, globális Párizsi Megállapodás kialakításában. 195 ország egyezett meg egy egyszerű célról: arról, hogy egészségesebb bolygót, valamint virágzóbb, korszerűbb és méltányosabb társadalmakat hagyjunk örökül a jövőbeni generációknak.  Ez volt az első</w:t>
      </w:r>
      <w:r>
        <w:rPr>
          <w:rFonts w:ascii="Times New Roman" w:hAnsi="Times New Roman"/>
          <w:noProof/>
        </w:rPr>
        <w:t xml:space="preserve"> alkalom, hogy az ENSZ rendszerén keresztül valamennyi ország elkötelezte magát az üvegházhatásúgáz-kibocsátás csökkentése mellett. A világ legnagyobb kibocsátói – köztük Kína –, amelyek önmagukban a globális kibocsátások több mint egynegyedéért felelősek,</w:t>
      </w:r>
      <w:r>
        <w:rPr>
          <w:rFonts w:ascii="Times New Roman" w:hAnsi="Times New Roman"/>
          <w:noProof/>
        </w:rPr>
        <w:t xml:space="preserve"> ma már mind részes felei a megállapodásnak. A Párizsi Megállapodás célja a globális átlaghőmérséklet emelkedésének jóval 2 °C alatt, hosszú távon pedig 1,5 °C alatt tartása. A részes felek elszámoltathatóságát egy megbízható átláthatósági rendszer biztosí</w:t>
      </w:r>
      <w:r>
        <w:rPr>
          <w:rFonts w:ascii="Times New Roman" w:hAnsi="Times New Roman"/>
          <w:noProof/>
        </w:rPr>
        <w:t xml:space="preserve">tja, amely nyomon követi a hozzájárulások végrehajtását, és előírja a felek számára, hogy a legújabb tudományos ismeretek fényében ötévente növeljék a hozzájárulásaikhoz kapcsolódó célkitűzések szintjét. </w:t>
      </w:r>
    </w:p>
    <w:p w:rsidR="0085445E" w:rsidRDefault="0085445E">
      <w:pPr>
        <w:autoSpaceDE w:val="0"/>
        <w:autoSpaceDN w:val="0"/>
        <w:spacing w:after="0"/>
        <w:jc w:val="both"/>
        <w:rPr>
          <w:rFonts w:ascii="Times New Roman" w:hAnsi="Times New Roman" w:cs="Times New Roman"/>
          <w:noProof/>
          <w:sz w:val="24"/>
          <w:szCs w:val="24"/>
        </w:rPr>
      </w:pPr>
    </w:p>
    <w:p w:rsidR="0085445E" w:rsidRDefault="005B0CFA">
      <w:pPr>
        <w:pStyle w:val="Body"/>
        <w:jc w:val="both"/>
        <w:rPr>
          <w:rFonts w:ascii="Times New Roman" w:hAnsi="Times New Roman"/>
          <w:noProof/>
          <w:sz w:val="24"/>
          <w:szCs w:val="24"/>
        </w:rPr>
      </w:pPr>
      <w:r>
        <w:rPr>
          <w:rFonts w:ascii="Times New Roman" w:hAnsi="Times New Roman"/>
          <w:noProof/>
        </w:rPr>
        <w:t>Az EU gyorsan és határozottan járt el annak érdeké</w:t>
      </w:r>
      <w:r>
        <w:rPr>
          <w:rFonts w:ascii="Times New Roman" w:hAnsi="Times New Roman"/>
          <w:noProof/>
        </w:rPr>
        <w:t>ben, hogy a Párizsi Megállapodás kötelezettségvállalásai tényleges fellépések formájában valósuljanak meg. A jelenlegi Bizottság megbízatásának kezdetén, közel 5 évvel ezelőtt Juncker elnök az éghajlatváltozás elleni küzdelem egyértelmű prioritásaként hatá</w:t>
      </w:r>
      <w:r>
        <w:rPr>
          <w:rFonts w:ascii="Times New Roman" w:hAnsi="Times New Roman"/>
          <w:noProof/>
        </w:rPr>
        <w:t xml:space="preserve">rozta meg az előretekintő éghajlat-politikával rendelkező, alkalmazkodóképes európai energiaunió megteremtését egy modern, klímasemleges és versenyképes gazdaságra való átállás érdekében, valamint azt, hogy nagyobb lehetőségek álljanak rendelkezésre az új </w:t>
      </w:r>
      <w:r>
        <w:rPr>
          <w:rFonts w:ascii="Times New Roman" w:hAnsi="Times New Roman"/>
          <w:noProof/>
        </w:rPr>
        <w:t xml:space="preserve">munkahelyek és a fenntartható növekedés számára. Az éghajlat-politika mind a 17 fenntartható fejlődési cél eléréséhez is alapvető fontosságú. </w:t>
      </w:r>
    </w:p>
    <w:p w:rsidR="0085445E" w:rsidRDefault="005B0CFA">
      <w:pPr>
        <w:pStyle w:val="Body"/>
        <w:jc w:val="both"/>
        <w:rPr>
          <w:rFonts w:ascii="Times New Roman" w:eastAsia="Times New Roman" w:hAnsi="Times New Roman" w:cs="Times New Roman"/>
          <w:noProof/>
          <w:sz w:val="24"/>
          <w:szCs w:val="24"/>
        </w:rPr>
      </w:pPr>
      <w:r>
        <w:rPr>
          <w:rFonts w:ascii="Times New Roman" w:hAnsi="Times New Roman"/>
          <w:noProof/>
        </w:rPr>
        <w:t>E politika eredményeként az EU jelenleg az egyetlen olyan nagy gazdasági térség a világon, amely teljes mértékben</w:t>
      </w:r>
      <w:r>
        <w:rPr>
          <w:rFonts w:ascii="Times New Roman" w:hAnsi="Times New Roman"/>
          <w:noProof/>
        </w:rPr>
        <w:t xml:space="preserve"> átültette jogszabályaiba a Párizsi Megállapodás keretében tett kötelezettségvállalásainak végrehajtásához szükséges lépéseket, és arra törekszik, hogy 2030-ig az üvegházhatású gázok kibocsátását legalább 40 %-kal csökkentse az éghajlatsemleges gazdaság ki</w:t>
      </w:r>
      <w:r>
        <w:rPr>
          <w:rFonts w:ascii="Times New Roman" w:hAnsi="Times New Roman"/>
          <w:noProof/>
        </w:rPr>
        <w:t xml:space="preserve">alakítása érdekében. </w:t>
      </w:r>
    </w:p>
    <w:p w:rsidR="0085445E" w:rsidRDefault="005B0CFA">
      <w:pPr>
        <w:autoSpaceDE w:val="0"/>
        <w:autoSpaceDN w:val="0"/>
        <w:spacing w:after="0"/>
        <w:jc w:val="both"/>
        <w:rPr>
          <w:rFonts w:ascii="Times New Roman" w:hAnsi="Times New Roman" w:cs="Times New Roman"/>
          <w:noProof/>
          <w:sz w:val="24"/>
          <w:szCs w:val="24"/>
        </w:rPr>
      </w:pPr>
      <w:r>
        <w:rPr>
          <w:rFonts w:ascii="Times New Roman" w:hAnsi="Times New Roman"/>
          <w:noProof/>
        </w:rPr>
        <w:t>Ma vitathatatlanul az EU rendelkezik a legátfogóbb és legambiciózusabb jogi kerettel, amelyet régóta fennálló demokratikus és inkluzív döntéshozatali folyamat erősít. Sikeresen zajlik az átmenet a klímasemleges gazdaság felé – 1990 és</w:t>
      </w:r>
      <w:r>
        <w:rPr>
          <w:rFonts w:ascii="Times New Roman" w:hAnsi="Times New Roman"/>
          <w:noProof/>
        </w:rPr>
        <w:t xml:space="preserve"> 2017 között az üvegházhatású gázok kibocsátása 23 %-kal csökkent, míg a gazdaság 58 %-kal nőtt. Miközben nemzetközi partnereink fokozzák az átmenetre irányuló erőfeszítéseiket, növekszik az érdeklődés az uniós modell és szakpolitikák iránt, ami kiváló leh</w:t>
      </w:r>
      <w:r>
        <w:rPr>
          <w:rFonts w:ascii="Times New Roman" w:hAnsi="Times New Roman"/>
          <w:noProof/>
        </w:rPr>
        <w:t xml:space="preserve">etőségeket kínál a szakpolitikai együttműködés és a gazdasági diplomácia terén. </w:t>
      </w:r>
    </w:p>
    <w:p w:rsidR="0085445E" w:rsidRDefault="0085445E">
      <w:pPr>
        <w:autoSpaceDE w:val="0"/>
        <w:autoSpaceDN w:val="0"/>
        <w:spacing w:after="0"/>
        <w:jc w:val="both"/>
        <w:rPr>
          <w:rFonts w:ascii="Times New Roman" w:hAnsi="Times New Roman" w:cs="Times New Roman"/>
          <w:noProof/>
          <w:sz w:val="24"/>
          <w:szCs w:val="24"/>
        </w:rPr>
      </w:pPr>
    </w:p>
    <w:p w:rsidR="0085445E" w:rsidRDefault="005B0CFA">
      <w:pPr>
        <w:autoSpaceDE w:val="0"/>
        <w:autoSpaceDN w:val="0"/>
        <w:spacing w:after="0"/>
        <w:jc w:val="both"/>
        <w:rPr>
          <w:rFonts w:ascii="Times New Roman" w:hAnsi="Times New Roman" w:cs="Times New Roman"/>
          <w:noProof/>
          <w:sz w:val="24"/>
          <w:szCs w:val="24"/>
        </w:rPr>
      </w:pPr>
      <w:r>
        <w:rPr>
          <w:rFonts w:ascii="Times New Roman" w:hAnsi="Times New Roman"/>
          <w:noProof/>
        </w:rPr>
        <w:t>A belföldi politikai ciklusok által – különösen az Egyesült Államokban – bevezetett szakpolitikai változások ellenére a Párizsi Megállapodás globális támogatottsága még mindi</w:t>
      </w:r>
      <w:r>
        <w:rPr>
          <w:rFonts w:ascii="Times New Roman" w:hAnsi="Times New Roman"/>
          <w:noProof/>
        </w:rPr>
        <w:t>g szilárd, és egy kivétellel a világ minden nagy gazdasága továbbra is kitart mellette. Mindazonáltal egyértelmű, hogy a párizsi célok eléréséhez szükséges globális átmenet nem a kellő ütemben halad. A legfrissebb tudományos jelentések – különösen az Éghaj</w:t>
      </w:r>
      <w:r>
        <w:rPr>
          <w:rFonts w:ascii="Times New Roman" w:hAnsi="Times New Roman"/>
          <w:noProof/>
        </w:rPr>
        <w:t>latváltozási Kormányközi Testület (IPCC) 1,5 °C-os globális felmelegedésről szóló különjelentése</w:t>
      </w:r>
      <w:r>
        <w:rPr>
          <w:rStyle w:val="FootnoteReference"/>
          <w:rFonts w:ascii="Times New Roman" w:hAnsi="Times New Roman" w:cs="Times New Roman"/>
          <w:noProof/>
        </w:rPr>
        <w:footnoteReference w:id="1"/>
      </w:r>
      <w:r>
        <w:rPr>
          <w:rFonts w:ascii="Times New Roman" w:hAnsi="Times New Roman"/>
          <w:noProof/>
        </w:rPr>
        <w:t xml:space="preserve"> – megerősítik, hogy a felek által Párizsban tett első hozzájárulások nem elegendőek a megállapodás céljainak eléréséhez. E fejlemények következtében nő a lako</w:t>
      </w:r>
      <w:r>
        <w:rPr>
          <w:rFonts w:ascii="Times New Roman" w:hAnsi="Times New Roman"/>
          <w:noProof/>
        </w:rPr>
        <w:t>sság aggodalma, és a polgárok ambiciózusabb és határozottabb fellépést sürgetnek az éghajlatváltozás tekintetében, amint azt a közelmúltbeli európai parlamenti választások és az éghajlatváltozásról szóló Eurobarométer felmérés</w:t>
      </w:r>
      <w:r>
        <w:rPr>
          <w:rStyle w:val="FootnoteReference"/>
          <w:rFonts w:ascii="Times New Roman" w:hAnsi="Times New Roman" w:cs="Times New Roman"/>
          <w:noProof/>
        </w:rPr>
        <w:footnoteReference w:id="2"/>
      </w:r>
      <w:r>
        <w:rPr>
          <w:rFonts w:ascii="Times New Roman" w:hAnsi="Times New Roman"/>
          <w:noProof/>
        </w:rPr>
        <w:t xml:space="preserve"> is megerősítette. </w:t>
      </w:r>
    </w:p>
    <w:p w:rsidR="0085445E" w:rsidRDefault="0085445E">
      <w:pPr>
        <w:autoSpaceDE w:val="0"/>
        <w:autoSpaceDN w:val="0"/>
        <w:spacing w:after="0"/>
        <w:jc w:val="both"/>
        <w:rPr>
          <w:rFonts w:ascii="Times New Roman" w:hAnsi="Times New Roman" w:cs="Times New Roman"/>
          <w:noProof/>
          <w:sz w:val="24"/>
          <w:szCs w:val="24"/>
        </w:rPr>
      </w:pPr>
    </w:p>
    <w:p w:rsidR="0085445E" w:rsidRDefault="005B0CFA">
      <w:pPr>
        <w:autoSpaceDE w:val="0"/>
        <w:autoSpaceDN w:val="0"/>
        <w:spacing w:after="0"/>
        <w:jc w:val="both"/>
        <w:rPr>
          <w:rFonts w:ascii="Times New Roman" w:hAnsi="Times New Roman" w:cs="Times New Roman"/>
          <w:noProof/>
          <w:sz w:val="24"/>
          <w:szCs w:val="24"/>
        </w:rPr>
      </w:pPr>
      <w:r>
        <w:rPr>
          <w:rFonts w:ascii="Times New Roman" w:hAnsi="Times New Roman"/>
          <w:noProof/>
        </w:rPr>
        <w:t xml:space="preserve">Ennek fényében António Guterres, az ENSZ főtitkára 2019. szeptember 23-án New Yorkban éghajlat-politikai csúcstalálkozót szervez az ENSZ Közgyűlésének megnyitása előtti napon. Ezt követően szeptember 24-én és 25-én kerül sor az ENSZ fenntartható fejlődési </w:t>
      </w:r>
      <w:r>
        <w:rPr>
          <w:rFonts w:ascii="Times New Roman" w:hAnsi="Times New Roman"/>
          <w:noProof/>
        </w:rPr>
        <w:t xml:space="preserve">célokkal foglalkozó csúcstalálkozójára. </w:t>
      </w:r>
    </w:p>
    <w:p w:rsidR="0085445E" w:rsidRDefault="0085445E">
      <w:pPr>
        <w:autoSpaceDE w:val="0"/>
        <w:autoSpaceDN w:val="0"/>
        <w:spacing w:after="0"/>
        <w:jc w:val="both"/>
        <w:rPr>
          <w:rFonts w:ascii="Times New Roman" w:hAnsi="Times New Roman" w:cs="Times New Roman"/>
          <w:noProof/>
          <w:sz w:val="24"/>
          <w:szCs w:val="24"/>
        </w:rPr>
      </w:pPr>
    </w:p>
    <w:p w:rsidR="0085445E" w:rsidRDefault="005B0CFA">
      <w:pPr>
        <w:autoSpaceDE w:val="0"/>
        <w:autoSpaceDN w:val="0"/>
        <w:spacing w:after="0"/>
        <w:jc w:val="both"/>
        <w:rPr>
          <w:rFonts w:ascii="Times New Roman" w:hAnsi="Times New Roman" w:cs="Times New Roman"/>
          <w:noProof/>
          <w:sz w:val="24"/>
          <w:szCs w:val="24"/>
        </w:rPr>
      </w:pPr>
      <w:r>
        <w:rPr>
          <w:rFonts w:ascii="Times New Roman" w:hAnsi="Times New Roman"/>
          <w:noProof/>
        </w:rPr>
        <w:t xml:space="preserve">Az éghajlat-politikai csúcstalálkozó célja az éghajlat-politikai törekvések fokozása és a Párizsi Megállapodás végrehajtására irányuló fellépések felgyorsítása. A csúcstalálkozó különösen arra kívánja ösztönözni a </w:t>
      </w:r>
      <w:r>
        <w:rPr>
          <w:rFonts w:ascii="Times New Roman" w:hAnsi="Times New Roman"/>
          <w:noProof/>
        </w:rPr>
        <w:t>feleket, hogy növeljék a meglévő kibocsátáscsökkentési hozzájárulásaikkal kapcsolatos célkitűzéseiket, és még időben benyújtsák hosszú távú stratégiáikat a Párizsi Megállapodás részes feleinek 2020 végén tartandó konferenciájára.  A csúcstalálkozó fontos l</w:t>
      </w:r>
      <w:r>
        <w:rPr>
          <w:rFonts w:ascii="Times New Roman" w:hAnsi="Times New Roman"/>
          <w:noProof/>
        </w:rPr>
        <w:t>ehetőséget kínál egyrészt az állam- és kormányfőknek arra, hogy ismertessék a célkitűzések fokozására irányuló terveiket és az eddigi előrelépéseket, másrészt a civil társadalom mellett a szubnacionális kormányzatok, a vállalkozások, a köz- és magánfinansz</w:t>
      </w:r>
      <w:r>
        <w:rPr>
          <w:rFonts w:ascii="Times New Roman" w:hAnsi="Times New Roman"/>
          <w:noProof/>
        </w:rPr>
        <w:t>írozás résztvevői számára, hogy erős piaci és politikai jelzéseket küldjenek, és lendületet adjanak a legjobb helyekért folyó versenyben való részvételhez.</w:t>
      </w:r>
      <w:r>
        <w:rPr>
          <w:rFonts w:ascii="Arial" w:hAnsi="Arial"/>
          <w:noProof/>
          <w:color w:val="333333"/>
          <w:sz w:val="27"/>
          <w:szCs w:val="27"/>
        </w:rPr>
        <w:t xml:space="preserve"> </w:t>
      </w:r>
      <w:r>
        <w:rPr>
          <w:rFonts w:ascii="Times New Roman" w:hAnsi="Times New Roman"/>
          <w:noProof/>
        </w:rPr>
        <w:t xml:space="preserve">António Guterres ENSZ-főtitkár felszólította az állam- és kormányfőket, hogy vegyenek részt a </w:t>
      </w:r>
      <w:r>
        <w:rPr>
          <w:rFonts w:ascii="Times New Roman" w:hAnsi="Times New Roman"/>
          <w:noProof/>
        </w:rPr>
        <w:t>csúcstalálkozón, és egyúttal hangsúlyozta: „Nem beszédeket várunk, hanem terveket”.</w:t>
      </w:r>
    </w:p>
    <w:p w:rsidR="0085445E" w:rsidRDefault="0085445E">
      <w:pPr>
        <w:autoSpaceDE w:val="0"/>
        <w:autoSpaceDN w:val="0"/>
        <w:spacing w:after="0"/>
        <w:jc w:val="both"/>
        <w:rPr>
          <w:rFonts w:ascii="Times New Roman" w:hAnsi="Times New Roman" w:cs="Times New Roman"/>
          <w:noProof/>
          <w:sz w:val="24"/>
          <w:szCs w:val="24"/>
        </w:rPr>
      </w:pPr>
    </w:p>
    <w:p w:rsidR="0085445E" w:rsidRDefault="0085445E">
      <w:pPr>
        <w:autoSpaceDE w:val="0"/>
        <w:autoSpaceDN w:val="0"/>
        <w:spacing w:after="0"/>
        <w:jc w:val="both"/>
        <w:rPr>
          <w:rFonts w:ascii="Times New Roman" w:hAnsi="Times New Roman" w:cs="Times New Roman"/>
          <w:bCs/>
          <w:noProof/>
          <w:sz w:val="24"/>
          <w:szCs w:val="24"/>
        </w:rPr>
      </w:pPr>
    </w:p>
    <w:p w:rsidR="0085445E" w:rsidRDefault="005B0CFA">
      <w:pPr>
        <w:jc w:val="both"/>
        <w:rPr>
          <w:rFonts w:ascii="Times New Roman" w:hAnsi="Times New Roman" w:cs="Times New Roman"/>
          <w:noProof/>
          <w:sz w:val="24"/>
          <w:szCs w:val="24"/>
        </w:rPr>
      </w:pPr>
      <w:r>
        <w:rPr>
          <w:rFonts w:ascii="Times New Roman" w:hAnsi="Times New Roman"/>
          <w:b/>
          <w:noProof/>
        </w:rPr>
        <w:t>Az Európai Unió elkötelezett az éghajlatváltozással kapcsolatos intézkedések felgyorsítása mellett</w:t>
      </w:r>
    </w:p>
    <w:p w:rsidR="0085445E" w:rsidRDefault="005B0CFA">
      <w:pPr>
        <w:jc w:val="both"/>
        <w:rPr>
          <w:rFonts w:ascii="Times New Roman" w:hAnsi="Times New Roman" w:cs="Times New Roman"/>
          <w:noProof/>
          <w:sz w:val="24"/>
          <w:szCs w:val="24"/>
        </w:rPr>
      </w:pPr>
      <w:r>
        <w:rPr>
          <w:rFonts w:ascii="Times New Roman" w:hAnsi="Times New Roman"/>
          <w:noProof/>
        </w:rPr>
        <w:t>Az EU és a tagállamok – a tudományos eredményekben gyökerező többoldalú</w:t>
      </w:r>
      <w:r>
        <w:rPr>
          <w:rFonts w:ascii="Times New Roman" w:hAnsi="Times New Roman"/>
          <w:noProof/>
        </w:rPr>
        <w:t xml:space="preserve"> fellépés melletti elkötelezettségüknek megfelelően – aktívan készülnek arra, hogy 2020 elejéig megállapodjanak egy hosszú távú uniós stratégiában, és azt benyújtsák annak érdekében, hogy 2050-ig megvalósuljon a klímasemlegesség. A Párizsi Megállapodás val</w:t>
      </w:r>
      <w:r>
        <w:rPr>
          <w:rFonts w:ascii="Times New Roman" w:hAnsi="Times New Roman"/>
          <w:noProof/>
        </w:rPr>
        <w:t xml:space="preserve">amennyi részt vevő kormány számára meghatározta azt az elvárást, hogy hosszú távú stratégiáikat 2020-ig benyújtsák. Az EU hosszú távú stratégiájának előkészítéseként és annak érdekében, hogy valamennyi uniós tagállam elemezze és magáévá tegye a jövőképet, </w:t>
      </w:r>
      <w:r>
        <w:rPr>
          <w:rFonts w:ascii="Times New Roman" w:hAnsi="Times New Roman"/>
          <w:noProof/>
        </w:rPr>
        <w:t>az Európai Bizottság már 2018 novemberében eleget tett az Európai Tanács kérésének a „Tiszta bolygót mindenkinek” című közleménnyel</w:t>
      </w:r>
      <w:r>
        <w:rPr>
          <w:rStyle w:val="FootnoteReference"/>
          <w:rFonts w:ascii="Times New Roman" w:hAnsi="Times New Roman" w:cs="Times New Roman"/>
          <w:noProof/>
        </w:rPr>
        <w:footnoteReference w:id="3"/>
      </w:r>
      <w:r>
        <w:rPr>
          <w:rFonts w:ascii="Times New Roman" w:hAnsi="Times New Roman"/>
          <w:noProof/>
        </w:rPr>
        <w:t>. E téma az elmúlt évben európai, nemzeti és helyi szinten is mélyreható demokratikus vita tárgyát képezte. Az energiaunió i</w:t>
      </w:r>
      <w:r>
        <w:rPr>
          <w:rFonts w:ascii="Times New Roman" w:hAnsi="Times New Roman"/>
          <w:noProof/>
        </w:rPr>
        <w:t xml:space="preserve">rányításáról szóló rendelet alapján az uniós szint mellett az Unió tagállamainak is ki kell dolgozniuk saját hosszú távú stratégiáikat.  </w:t>
      </w:r>
    </w:p>
    <w:p w:rsidR="0085445E" w:rsidRDefault="005B0CFA">
      <w:pPr>
        <w:jc w:val="both"/>
        <w:rPr>
          <w:rFonts w:ascii="Times New Roman" w:hAnsi="Times New Roman" w:cs="Times New Roman"/>
          <w:noProof/>
          <w:sz w:val="24"/>
          <w:szCs w:val="24"/>
        </w:rPr>
      </w:pPr>
      <w:r>
        <w:rPr>
          <w:rFonts w:ascii="Times New Roman" w:hAnsi="Times New Roman"/>
          <w:noProof/>
        </w:rPr>
        <w:t>Az EU tagállamainak nagy többsége jóváhagyta a klímasemlegesség 2050-ig történő elérésére vonatkozó uniós célkitűzést</w:t>
      </w:r>
      <w:r>
        <w:rPr>
          <w:rStyle w:val="FootnoteReference"/>
          <w:rFonts w:ascii="Times New Roman" w:hAnsi="Times New Roman" w:cs="Times New Roman"/>
          <w:noProof/>
        </w:rPr>
        <w:footnoteReference w:id="4"/>
      </w:r>
      <w:r>
        <w:rPr>
          <w:rFonts w:ascii="Times New Roman" w:hAnsi="Times New Roman"/>
          <w:noProof/>
        </w:rPr>
        <w:t>, és a következő néhány hónapban további megbeszélések folynak annak érdekében, hogy konszenzust lehessen elérni. Az Európai Tanács felkérte a Tanácsot és a Bizottságot, hogy folytassák a klímasemleges EU felé történő átmenet biztosításához szükséges felté</w:t>
      </w:r>
      <w:r>
        <w:rPr>
          <w:rFonts w:ascii="Times New Roman" w:hAnsi="Times New Roman"/>
          <w:noProof/>
        </w:rPr>
        <w:t>telek, ösztönzők és támogató keret kidolgozását. Az Európai Tanács még idén véglegesíti iránymutatását annak érdekében, hogy 2020 elején benyújthassa az EU hosszú távú stratégiáját az ENSZ Éghajlatváltozási Keretegyezményéhez (UNFCCC). Emellett felkérte az</w:t>
      </w:r>
      <w:r>
        <w:rPr>
          <w:rFonts w:ascii="Times New Roman" w:hAnsi="Times New Roman"/>
          <w:noProof/>
        </w:rPr>
        <w:t xml:space="preserve"> Európai Beruházási Bankot, hogy fokozza az éghajlatváltozás elleni fellépés támogatására irányuló tevékenységeit. Az Európai Parlament, a Gazdasági és Szociális Bizottság, valamint a Régiók Bizottsága már jóváhagyta a klímasemlegesség 2050-ig történő megv</w:t>
      </w:r>
      <w:r>
        <w:rPr>
          <w:rFonts w:ascii="Times New Roman" w:hAnsi="Times New Roman"/>
          <w:noProof/>
        </w:rPr>
        <w:t>alósításával kapcsolatos célokat.</w:t>
      </w:r>
    </w:p>
    <w:p w:rsidR="0085445E" w:rsidRDefault="005B0CFA">
      <w:pPr>
        <w:jc w:val="both"/>
        <w:rPr>
          <w:rFonts w:ascii="Times New Roman" w:hAnsi="Times New Roman" w:cs="Times New Roman"/>
          <w:noProof/>
          <w:sz w:val="24"/>
          <w:szCs w:val="24"/>
        </w:rPr>
      </w:pPr>
      <w:r>
        <w:rPr>
          <w:rFonts w:ascii="Times New Roman" w:hAnsi="Times New Roman"/>
          <w:noProof/>
        </w:rPr>
        <w:t>A klímasemlegesség 2050-ig történő megvalósítása – ami ambiciózusabb cél, mint az Éghajlatváltozási Kormányközi Testület 1,5 °C-os globális felmelegedésről szóló különjelentésében felvázoltak – egyfelől beruházási és korsz</w:t>
      </w:r>
      <w:r>
        <w:rPr>
          <w:rFonts w:ascii="Times New Roman" w:hAnsi="Times New Roman"/>
          <w:noProof/>
        </w:rPr>
        <w:t>erűsítési kihívást jelent, másfelől kiváló lehetőséget kínál az EU számára arra, hogy vezető szerephez jusson a globális versenyben, új munkahelyeket teremtsen és növelje polgárai életszínvonalát. Ha kevesebbel is beérnénk, azzal feladnánk a hosszú ideje f</w:t>
      </w:r>
      <w:r>
        <w:rPr>
          <w:rFonts w:ascii="Times New Roman" w:hAnsi="Times New Roman"/>
          <w:noProof/>
        </w:rPr>
        <w:t xml:space="preserve">ennálló globális éghajlat-politikai törekvéseinket, az EU pedig gazdasági lehetőségeket szalasztana el. </w:t>
      </w:r>
    </w:p>
    <w:p w:rsidR="0085445E" w:rsidRDefault="005B0CFA">
      <w:pPr>
        <w:jc w:val="both"/>
        <w:rPr>
          <w:rFonts w:ascii="Times New Roman" w:hAnsi="Times New Roman" w:cs="Times New Roman"/>
          <w:noProof/>
          <w:sz w:val="24"/>
          <w:szCs w:val="24"/>
        </w:rPr>
      </w:pPr>
      <w:r>
        <w:rPr>
          <w:rFonts w:ascii="Times New Roman" w:hAnsi="Times New Roman"/>
          <w:noProof/>
        </w:rPr>
        <w:t>Az Európai Unió költségvetése központi szerepet játszik abban, hogy éghajlat-politikai ambícióink valóra váljanak. Az Európai Bizottság a 2021–2027 köz</w:t>
      </w:r>
      <w:r>
        <w:rPr>
          <w:rFonts w:ascii="Times New Roman" w:hAnsi="Times New Roman"/>
          <w:noProof/>
        </w:rPr>
        <w:t>ötti időszakra több mint 1 billió EUR összegű uniós költségvetést javasolt</w:t>
      </w:r>
      <w:r>
        <w:rPr>
          <w:rStyle w:val="FootnoteReference"/>
          <w:rFonts w:ascii="Times New Roman" w:hAnsi="Times New Roman" w:cs="Times New Roman"/>
          <w:noProof/>
        </w:rPr>
        <w:footnoteReference w:id="5"/>
      </w:r>
      <w:r>
        <w:rPr>
          <w:rFonts w:ascii="Times New Roman" w:hAnsi="Times New Roman"/>
          <w:noProof/>
        </w:rPr>
        <w:t>, amelyről jelenleg is folynak a tárgyalások. Az Európai Bizottság azt javasolta, hogy az uniós kiadások legalább 25 %-át az éghajlatváltozás mérséklésével és az ahhoz való alkalmaz</w:t>
      </w:r>
      <w:r>
        <w:rPr>
          <w:rFonts w:ascii="Times New Roman" w:hAnsi="Times New Roman"/>
          <w:noProof/>
        </w:rPr>
        <w:t>kodással kapcsolatos tevékenységekre fordítsák, beleértve az Európai Unió nemzetközi és fejlesztési együttműködési költségvetését is. Ezért a következő költségvetés valamennyi szakpolitikai területen ösztönzi az éghajlatbarát fellépést, és ellenőrzések tár</w:t>
      </w:r>
      <w:r>
        <w:rPr>
          <w:rFonts w:ascii="Times New Roman" w:hAnsi="Times New Roman"/>
          <w:noProof/>
        </w:rPr>
        <w:t>gyát fogja képezni annak biztosítása érdekében, hogy ne finanszírozzuk azokat a beruházásokat, amelyek nincsenek összhangban a klímasemlegességre való átállással. Az Európai horizont kutatási és innovációs keretprogram új irányt fog szabni az európai kutat</w:t>
      </w:r>
      <w:r>
        <w:rPr>
          <w:rFonts w:ascii="Times New Roman" w:hAnsi="Times New Roman"/>
          <w:noProof/>
        </w:rPr>
        <w:t>ás és innováció számára, amelyben központi szerepet fog kapni az éghajlatváltozás elleni fellépés. Az InvestEU program, az Európai Hálózatfinanszírozási Eszköz, az összes kohéziós alap és az EU vidékfejlesztési alapjai rendelkezésre állnak annak érdekében,</w:t>
      </w:r>
      <w:r>
        <w:rPr>
          <w:rFonts w:ascii="Times New Roman" w:hAnsi="Times New Roman"/>
          <w:noProof/>
        </w:rPr>
        <w:t xml:space="preserve"> hogy ösztönzőket biztosítsanak az EU egész területén szükséges infrastrukturális és termelőberuházásokhoz. </w:t>
      </w:r>
    </w:p>
    <w:p w:rsidR="0085445E" w:rsidRDefault="005B0CFA">
      <w:pPr>
        <w:jc w:val="both"/>
        <w:rPr>
          <w:rFonts w:ascii="Times New Roman" w:hAnsi="Times New Roman" w:cs="Times New Roman"/>
          <w:noProof/>
          <w:sz w:val="24"/>
          <w:szCs w:val="24"/>
        </w:rPr>
      </w:pPr>
      <w:r>
        <w:rPr>
          <w:rFonts w:ascii="Times New Roman" w:hAnsi="Times New Roman"/>
          <w:noProof/>
        </w:rPr>
        <w:t xml:space="preserve">A mély modernizációs folyamatot megfelelően kell irányítani, biztosítva mindenki számára az inkluzivitás és a szolidaritás szellemében a méltányos </w:t>
      </w:r>
      <w:r>
        <w:rPr>
          <w:rFonts w:ascii="Times New Roman" w:hAnsi="Times New Roman"/>
          <w:noProof/>
        </w:rPr>
        <w:t>és társadalmilag elfogadott átmenetet. Az EU-nak és a tagállamoknak is a kezdetektől figyelembe kell venniük a társadalmi következményeket, és az összes releváns szakpolitikát fel kell használniuk e kihívások mérséklése érdekében. Az uniós költségvetési, f</w:t>
      </w:r>
      <w:r>
        <w:rPr>
          <w:rFonts w:ascii="Times New Roman" w:hAnsi="Times New Roman"/>
          <w:noProof/>
        </w:rPr>
        <w:t>oglalkoztatási és szociálpolitika, valamint a kohéziós politikák csökkenthetik az Unión belül a gazdasági, társadalmi és területi különbségeket. A Juncker vezette Bizottság által indított, folyamatban lévő regionális kezdeményezések, például az átalakulóba</w:t>
      </w:r>
      <w:r>
        <w:rPr>
          <w:rFonts w:ascii="Times New Roman" w:hAnsi="Times New Roman"/>
          <w:noProof/>
        </w:rPr>
        <w:t>n lévő, széntermelő és sok szén-dioxidot kibocsátó régiókkal foglalkozó platform és kísérleti projektek ebbe az irányba mutatnak. Előkészületben vannak olyan új kezdeményezések – köztük az igazságos átállási alap –, amelyek átfogó módon kezelik az éghajlat</w:t>
      </w:r>
      <w:r>
        <w:rPr>
          <w:rFonts w:ascii="Times New Roman" w:hAnsi="Times New Roman"/>
          <w:noProof/>
        </w:rPr>
        <w:t>-politika által vezérelt modernizáció társadalmi és gazdasági költségeit. Az erőforrás-hatékonyság és a versenyképesség ötvözése</w:t>
      </w:r>
      <w:r>
        <w:rPr>
          <w:rStyle w:val="FootnoteReference"/>
          <w:rFonts w:ascii="Times New Roman" w:hAnsi="Times New Roman" w:cs="Times New Roman"/>
          <w:noProof/>
        </w:rPr>
        <w:footnoteReference w:id="6"/>
      </w:r>
      <w:r>
        <w:rPr>
          <w:rFonts w:ascii="Times New Roman" w:hAnsi="Times New Roman"/>
          <w:noProof/>
        </w:rPr>
        <w:t xml:space="preserve"> révén a körforgásos gazdaságra vonatkozó cselekvési terv</w:t>
      </w:r>
      <w:r>
        <w:rPr>
          <w:rStyle w:val="FootnoteReference"/>
          <w:rFonts w:ascii="Times New Roman" w:hAnsi="Times New Roman" w:cs="Times New Roman"/>
          <w:noProof/>
        </w:rPr>
        <w:footnoteReference w:id="7"/>
      </w:r>
      <w:r>
        <w:rPr>
          <w:rFonts w:ascii="Times New Roman" w:hAnsi="Times New Roman"/>
          <w:noProof/>
        </w:rPr>
        <w:t xml:space="preserve"> teljes körű végrehajtása hozzájárul a klímasemleges gazdaság kialakí</w:t>
      </w:r>
      <w:r>
        <w:rPr>
          <w:rFonts w:ascii="Times New Roman" w:hAnsi="Times New Roman"/>
          <w:noProof/>
        </w:rPr>
        <w:t>tására irányuló uniós erőfeszítések sikeréhez. Az is alapvető fontosságú, hogy valamennyi releváns szakpolitikai területen, például a levegőminőség és a biológiai sokféleség terén biztosított legyen a teljes körű következetesség és a kölcsönös támogatás. A</w:t>
      </w:r>
      <w:r>
        <w:rPr>
          <w:rFonts w:ascii="Times New Roman" w:hAnsi="Times New Roman"/>
          <w:noProof/>
        </w:rPr>
        <w:t xml:space="preserve">z éghajlat- és a környezetvédelmi politikának ki kell egészíteniük egymást. </w:t>
      </w:r>
    </w:p>
    <w:p w:rsidR="0085445E" w:rsidRDefault="005B0CFA">
      <w:pPr>
        <w:jc w:val="both"/>
        <w:rPr>
          <w:rFonts w:ascii="Times New Roman" w:hAnsi="Times New Roman" w:cs="Times New Roman"/>
          <w:noProof/>
          <w:sz w:val="24"/>
          <w:szCs w:val="24"/>
        </w:rPr>
      </w:pPr>
      <w:r>
        <w:rPr>
          <w:rFonts w:ascii="Times New Roman" w:hAnsi="Times New Roman"/>
          <w:noProof/>
        </w:rPr>
        <w:t xml:space="preserve">Alapvető fontosságú továbbá, hogy a magánszektor is igazodjon ehhez az elképzeléshez, és hogy a hatóságok előrehaladást érjenek el egy olyan támogató keret megteremtésében, amely </w:t>
      </w:r>
      <w:r>
        <w:rPr>
          <w:rFonts w:ascii="Times New Roman" w:hAnsi="Times New Roman"/>
          <w:noProof/>
        </w:rPr>
        <w:t>lehetővé teszi a magánszektor számára, hogy világszerte beruházzon a klímasemleges gazdaságba. Az Európai Unió tőkepiaci uniójában bevezetett fenntartható finanszírozási intézkedésekkel az Európai Unió emellett élen jár a tőkeáramlásoknak az éghajlat-polit</w:t>
      </w:r>
      <w:r>
        <w:rPr>
          <w:rFonts w:ascii="Times New Roman" w:hAnsi="Times New Roman"/>
          <w:noProof/>
        </w:rPr>
        <w:t>ikai célkitűzéseink megvalósítása felé történő átirányításában, valamint az éghajlatváltozásból eredő pénzügyi kockázatok kezelésében. Ezen túlmenően az Európai Unió más partnerekkel közösen egy olyan kezdeményezés előkészítésén dolgozik – ennek neve „a fe</w:t>
      </w:r>
      <w:r>
        <w:rPr>
          <w:rFonts w:ascii="Times New Roman" w:hAnsi="Times New Roman"/>
          <w:noProof/>
        </w:rPr>
        <w:t>nntartható finanszírozással foglalkozó nemzetközi platform” –, amely a New Yorkban megrendezésre kerülő klímahéten veszi kezdetét a tőkepiaci szabályozási eszközök összehangolása érdekében. A platform célja a bevált gyakorlatok megosztása és a környezeti s</w:t>
      </w:r>
      <w:r>
        <w:rPr>
          <w:rFonts w:ascii="Times New Roman" w:hAnsi="Times New Roman"/>
          <w:noProof/>
        </w:rPr>
        <w:t xml:space="preserve">zempontból fenntartható finanszírozással és beruházásokkal kapcsolatos különböző kezdeményezések összehangolása, ideértve a zöld taxonómiákat, a közzétételeket, a szabványokat (például zöldkötvények), a címkéket és a referenciaértékeket. </w:t>
      </w:r>
    </w:p>
    <w:p w:rsidR="0085445E" w:rsidRDefault="005B0CFA">
      <w:pPr>
        <w:jc w:val="both"/>
        <w:rPr>
          <w:rFonts w:ascii="Times New Roman" w:hAnsi="Times New Roman" w:cs="Times New Roman"/>
          <w:noProof/>
          <w:sz w:val="24"/>
          <w:szCs w:val="24"/>
        </w:rPr>
      </w:pPr>
      <w:r>
        <w:rPr>
          <w:rFonts w:ascii="Times New Roman" w:hAnsi="Times New Roman"/>
          <w:noProof/>
        </w:rPr>
        <w:t>Az Európai Unió ú</w:t>
      </w:r>
      <w:r>
        <w:rPr>
          <w:rFonts w:ascii="Times New Roman" w:hAnsi="Times New Roman"/>
          <w:noProof/>
        </w:rPr>
        <w:t>gy véli, hogy az ilyen jellegű, koherens nemzetközi stratégiák kialakítása olyan partnerekkel, mint például a G20-ak, a legjobb módja annak, hogy a beruházásokat a jelenkor legfontosabb gazdasági átalakulásához szükséges mértékben ösztönözzük, és a tőkeára</w:t>
      </w:r>
      <w:r>
        <w:rPr>
          <w:rFonts w:ascii="Times New Roman" w:hAnsi="Times New Roman"/>
          <w:noProof/>
        </w:rPr>
        <w:t>mlásokat összehangoljuk a Párizsi Megállapodás célkitűzéseivel. Az EU és tagállamai külső fellépésük középpontjába helyezték a Párizsi Megállapodást és a fenntartható fejlődési célokat. Hasonlóképpen, a jogilag kötelező erejű uniós kereskedelmi és együttmű</w:t>
      </w:r>
      <w:r>
        <w:rPr>
          <w:rFonts w:ascii="Times New Roman" w:hAnsi="Times New Roman"/>
          <w:noProof/>
        </w:rPr>
        <w:t xml:space="preserve">ködési megállapodások továbbra is szilárd rendelkezéseket tartalmaznak az éghajlatváltozás elleni fellépés előmozdítására és a Párizsi Megállapodás végrehajtására. </w:t>
      </w:r>
    </w:p>
    <w:p w:rsidR="0085445E" w:rsidRDefault="0085445E">
      <w:pPr>
        <w:jc w:val="both"/>
        <w:rPr>
          <w:rFonts w:ascii="Times New Roman" w:hAnsi="Times New Roman" w:cs="Times New Roman"/>
          <w:noProof/>
          <w:sz w:val="24"/>
          <w:szCs w:val="24"/>
        </w:rPr>
      </w:pPr>
    </w:p>
    <w:p w:rsidR="0085445E" w:rsidRDefault="005B0CFA">
      <w:pPr>
        <w:jc w:val="both"/>
        <w:rPr>
          <w:rFonts w:ascii="Times New Roman" w:hAnsi="Times New Roman" w:cs="Times New Roman"/>
          <w:b/>
          <w:noProof/>
          <w:sz w:val="24"/>
          <w:szCs w:val="24"/>
        </w:rPr>
      </w:pPr>
      <w:r>
        <w:rPr>
          <w:rFonts w:ascii="Times New Roman" w:hAnsi="Times New Roman"/>
          <w:b/>
          <w:noProof/>
        </w:rPr>
        <w:t>Az Európai Unió továbbra is jó eredményeket ér el</w:t>
      </w:r>
    </w:p>
    <w:p w:rsidR="0085445E" w:rsidRDefault="005B0CFA">
      <w:pPr>
        <w:jc w:val="both"/>
        <w:rPr>
          <w:rFonts w:ascii="Times New Roman" w:hAnsi="Times New Roman" w:cs="Times New Roman"/>
          <w:noProof/>
          <w:sz w:val="24"/>
          <w:szCs w:val="24"/>
        </w:rPr>
      </w:pPr>
      <w:r>
        <w:rPr>
          <w:rFonts w:ascii="Times New Roman" w:hAnsi="Times New Roman"/>
          <w:noProof/>
        </w:rPr>
        <w:t>Az éghajlatváltozási csúcstalálkozón ism</w:t>
      </w:r>
      <w:r>
        <w:rPr>
          <w:rFonts w:ascii="Times New Roman" w:hAnsi="Times New Roman"/>
          <w:noProof/>
        </w:rPr>
        <w:t>ertetendő uniós üzenet nem csupán ambiciózus célok kitűzéséről szól majd. A szilárd és átfogó végrehajtás is része lesz. Az Európai Unió már elérte az üvegházhatásúgáz-kibocsátásának csökkentésére vonatkozó 2020-as célkitűzését, és létrehozta azt az egyedi</w:t>
      </w:r>
      <w:r>
        <w:rPr>
          <w:rFonts w:ascii="Times New Roman" w:hAnsi="Times New Roman"/>
          <w:noProof/>
        </w:rPr>
        <w:t>, jogilag kötelező erejű, az irányításra, a nyomon követésre és az ellenőrzésre vonatkozó mechanizmust is tartalmazó jogszabályi keretet, amely lehetővé teszi számunkra, hogy túlteljesítsük a 2030-ra kitűzött éghajlat-politikai célkitűzéseinket.</w:t>
      </w:r>
    </w:p>
    <w:p w:rsidR="0085445E" w:rsidRDefault="005B0CFA">
      <w:pPr>
        <w:jc w:val="both"/>
        <w:rPr>
          <w:rFonts w:ascii="Times New Roman" w:hAnsi="Times New Roman" w:cs="Times New Roman"/>
          <w:noProof/>
          <w:sz w:val="24"/>
          <w:szCs w:val="24"/>
        </w:rPr>
      </w:pPr>
      <w:r>
        <w:rPr>
          <w:rFonts w:ascii="Times New Roman" w:hAnsi="Times New Roman"/>
          <w:noProof/>
        </w:rPr>
        <w:t>Ez az első</w:t>
      </w:r>
      <w:r>
        <w:rPr>
          <w:rFonts w:ascii="Times New Roman" w:hAnsi="Times New Roman"/>
          <w:noProof/>
        </w:rPr>
        <w:t xml:space="preserve"> alkalom, hogy az EU-nak az energiaunió irányítási kerete is rendelkezésére áll, amely arra kötelezi a tagállamokat, hogy integrált nemzeti energia- és éghajlat-politikai terveket dolgozzanak ki a 2021–2030-as időszakra annak bemutatása érdekében, hogy mik</w:t>
      </w:r>
      <w:r>
        <w:rPr>
          <w:rFonts w:ascii="Times New Roman" w:hAnsi="Times New Roman"/>
          <w:noProof/>
        </w:rPr>
        <w:t>ént tudják teljesíteni a 2030-ra kitűzött célokat. Az energiaunió irányításáról szóló rendelet a nemzeti tervekkel kapcsolatos széles körű konzultáció révén biztosítja az átláthatóságot, és elősegíti a tagállamok közötti fokozott együttműködést az energiau</w:t>
      </w:r>
      <w:r>
        <w:rPr>
          <w:rFonts w:ascii="Times New Roman" w:hAnsi="Times New Roman"/>
          <w:noProof/>
        </w:rPr>
        <w:t>nió céljainak elérése érdekében. Már megtörtént az első tervek értékelése, melynek során meghatározásra kerültek azok a területek, amelyeken még javulást lehet elérni a 2030-as célok teljesítésének biztosítása és a klímasemlegesség felé történő hosszú távú</w:t>
      </w:r>
      <w:r>
        <w:rPr>
          <w:rFonts w:ascii="Times New Roman" w:hAnsi="Times New Roman"/>
          <w:noProof/>
        </w:rPr>
        <w:t xml:space="preserve"> előrehaladás tekintetében. Becslések szerint az intézkedések – teljes körű végrehajtásuk esetén – lehetővé teszik az Európai Unió számára, hogy 2030-ig körülbelül 45 %-kal csökkentse üvegházhatásúgáz-kibocsátását (az 1990-es szinthez képest), ami túlmutat</w:t>
      </w:r>
      <w:r>
        <w:rPr>
          <w:rFonts w:ascii="Times New Roman" w:hAnsi="Times New Roman"/>
          <w:noProof/>
        </w:rPr>
        <w:t xml:space="preserve"> az EU azon célkitűzésén, amely az uniós, nemzetileg meghatározott hozzájárulások alapján 2030-ig legalább 40 %-os kibocsátás-csökkentést irányoz elő.</w:t>
      </w:r>
    </w:p>
    <w:p w:rsidR="0085445E" w:rsidRDefault="005B0CFA">
      <w:pPr>
        <w:jc w:val="both"/>
        <w:rPr>
          <w:rFonts w:ascii="Times New Roman" w:hAnsi="Times New Roman"/>
          <w:noProof/>
          <w:sz w:val="24"/>
          <w:szCs w:val="24"/>
        </w:rPr>
      </w:pPr>
      <w:r>
        <w:rPr>
          <w:rFonts w:ascii="Times New Roman" w:hAnsi="Times New Roman"/>
          <w:noProof/>
        </w:rPr>
        <w:t>Emellett az uniós alkalmazkodási stratégia</w:t>
      </w:r>
      <w:r>
        <w:rPr>
          <w:rStyle w:val="FootnoteReference"/>
          <w:rFonts w:ascii="Times New Roman" w:hAnsi="Times New Roman"/>
          <w:noProof/>
        </w:rPr>
        <w:footnoteReference w:id="8"/>
      </w:r>
      <w:r>
        <w:rPr>
          <w:rFonts w:ascii="Times New Roman" w:hAnsi="Times New Roman"/>
          <w:noProof/>
        </w:rPr>
        <w:t xml:space="preserve"> 2013 óta ösztönzi a nemzeti, regionális és helyi alkalmazkodá</w:t>
      </w:r>
      <w:r>
        <w:rPr>
          <w:rFonts w:ascii="Times New Roman" w:hAnsi="Times New Roman"/>
          <w:noProof/>
        </w:rPr>
        <w:t>si intézkedések meghozatalát annak érdekében, hogy Európa reziliensebb legyen az éghajlatváltozás hatásaival szemben. Az éghajlatváltozás hatásaival szembeni rezilienciánk növelése során tapasztaltakból levont tanulságok – például az infrastruktúra és a be</w:t>
      </w:r>
      <w:r>
        <w:rPr>
          <w:rFonts w:ascii="Times New Roman" w:hAnsi="Times New Roman"/>
          <w:noProof/>
        </w:rPr>
        <w:t>ruházások éghajlatbiztossá tétele, a katasztrófakockázat-csökkentéssel többek között a RescEU</w:t>
      </w:r>
      <w:r>
        <w:rPr>
          <w:rStyle w:val="FootnoteReference"/>
          <w:rFonts w:ascii="Times New Roman" w:hAnsi="Times New Roman"/>
          <w:noProof/>
        </w:rPr>
        <w:footnoteReference w:id="9"/>
      </w:r>
      <w:r>
        <w:rPr>
          <w:rFonts w:ascii="Times New Roman" w:hAnsi="Times New Roman"/>
          <w:noProof/>
        </w:rPr>
        <w:t xml:space="preserve"> révén meglévő szinergiák, a környezetbarát megoldásoknak a városokban való szélesebb körű alkalmazása és a téradatok innovatív felhasználása – nemzetközi partner</w:t>
      </w:r>
      <w:r>
        <w:rPr>
          <w:rFonts w:ascii="Times New Roman" w:hAnsi="Times New Roman"/>
          <w:noProof/>
        </w:rPr>
        <w:t>eink számára is segítséget nyújtanak ahhoz, hogy növeljék rezilienciájukat. Az Európai Bizottság még alaposabban meg fogja vizsgálni, hogy az éghajlati kockázatok miként befolyásolhatják a pénzügyi stabilitást és a társadalmi kohéziót.</w:t>
      </w:r>
    </w:p>
    <w:p w:rsidR="0085445E" w:rsidRDefault="005B0CFA">
      <w:pPr>
        <w:jc w:val="both"/>
        <w:rPr>
          <w:rFonts w:ascii="Times New Roman" w:hAnsi="Times New Roman"/>
          <w:noProof/>
          <w:sz w:val="24"/>
          <w:szCs w:val="24"/>
        </w:rPr>
      </w:pPr>
      <w:r>
        <w:rPr>
          <w:rFonts w:ascii="Times New Roman" w:hAnsi="Times New Roman"/>
          <w:noProof/>
        </w:rPr>
        <w:t>Az Éghajlatváltozási</w:t>
      </w:r>
      <w:r>
        <w:rPr>
          <w:rFonts w:ascii="Times New Roman" w:hAnsi="Times New Roman"/>
          <w:noProof/>
        </w:rPr>
        <w:t xml:space="preserve"> Kormányközi Testület (IPCC), valamint a biológiai sokféleséggel és az ökoszisztéma-szolgáltatásokkal foglalkozó kormányközi tudománypolitikai platform legfrissebb tudományos ismeretei alapján nem állnak rendelkezésre tartós megoldások az éghajlatváltozásr</w:t>
      </w:r>
      <w:r>
        <w:rPr>
          <w:rFonts w:ascii="Times New Roman" w:hAnsi="Times New Roman"/>
          <w:noProof/>
        </w:rPr>
        <w:t>a anélkül, hogy ne fordítanánk nagyobb figyelmet a természetalapú megoldásokra, köztük az egészséges és ellenállóképes erdőkre. E tekintetben az Európai Unió együttműködik a partnerországokkal annak érdekében, hogy az Európai Bizottság ezzel kapcsolatos kö</w:t>
      </w:r>
      <w:r>
        <w:rPr>
          <w:rFonts w:ascii="Times New Roman" w:hAnsi="Times New Roman"/>
          <w:noProof/>
        </w:rPr>
        <w:t>zelmúltbeli közleményével</w:t>
      </w:r>
      <w:r>
        <w:rPr>
          <w:rStyle w:val="FootnoteReference"/>
          <w:rFonts w:ascii="Times New Roman" w:hAnsi="Times New Roman"/>
          <w:noProof/>
        </w:rPr>
        <w:footnoteReference w:id="10"/>
      </w:r>
      <w:r>
        <w:rPr>
          <w:rFonts w:ascii="Times New Roman" w:hAnsi="Times New Roman"/>
          <w:noProof/>
        </w:rPr>
        <w:t xml:space="preserve"> összhangban ösztönözze az erdőirtás és az erdőpusztulás elleni fellépést.  Emellett az IPCC jelenleg véglegesíti az óceánokról és a krioszféráról szóló jelentését. </w:t>
      </w:r>
    </w:p>
    <w:p w:rsidR="0085445E" w:rsidRDefault="005B0CFA">
      <w:pPr>
        <w:jc w:val="both"/>
        <w:rPr>
          <w:rFonts w:ascii="Times New Roman" w:hAnsi="Times New Roman"/>
          <w:noProof/>
          <w:sz w:val="24"/>
          <w:szCs w:val="24"/>
        </w:rPr>
      </w:pPr>
      <w:r>
        <w:rPr>
          <w:rFonts w:ascii="Times New Roman" w:hAnsi="Times New Roman"/>
          <w:noProof/>
        </w:rPr>
        <w:t>Az Európai Unió számára mindez befektetés a jólétünkbe, valamint</w:t>
      </w:r>
      <w:r>
        <w:rPr>
          <w:rFonts w:ascii="Times New Roman" w:hAnsi="Times New Roman"/>
          <w:noProof/>
        </w:rPr>
        <w:t xml:space="preserve"> a fenntartható, klímasemleges és körforgásos gazdaságra való felkészülésbe. </w:t>
      </w:r>
    </w:p>
    <w:p w:rsidR="0085445E" w:rsidRDefault="0085445E">
      <w:pPr>
        <w:jc w:val="both"/>
        <w:rPr>
          <w:rFonts w:ascii="Times New Roman" w:hAnsi="Times New Roman"/>
          <w:noProof/>
          <w:sz w:val="24"/>
          <w:szCs w:val="24"/>
        </w:rPr>
      </w:pPr>
    </w:p>
    <w:p w:rsidR="0085445E" w:rsidRDefault="005B0CFA">
      <w:pPr>
        <w:jc w:val="both"/>
        <w:rPr>
          <w:rFonts w:ascii="Times New Roman" w:hAnsi="Times New Roman" w:cs="Times New Roman"/>
          <w:noProof/>
          <w:sz w:val="24"/>
          <w:szCs w:val="24"/>
        </w:rPr>
      </w:pPr>
      <w:r>
        <w:rPr>
          <w:rFonts w:ascii="Times New Roman" w:hAnsi="Times New Roman"/>
          <w:b/>
          <w:noProof/>
        </w:rPr>
        <w:t xml:space="preserve">Az Európai Unió a legnagyobb donor az éghajlatváltozás elleni küzdelem finanszírozása területén </w:t>
      </w:r>
    </w:p>
    <w:p w:rsidR="0085445E" w:rsidRDefault="005B0CFA">
      <w:pPr>
        <w:jc w:val="both"/>
        <w:rPr>
          <w:rFonts w:ascii="Times New Roman" w:hAnsi="Times New Roman" w:cs="Times New Roman"/>
          <w:noProof/>
          <w:sz w:val="24"/>
          <w:szCs w:val="24"/>
        </w:rPr>
      </w:pPr>
      <w:r>
        <w:rPr>
          <w:rFonts w:ascii="Times New Roman" w:hAnsi="Times New Roman"/>
          <w:noProof/>
        </w:rPr>
        <w:t>Jóllehet tudatában van annak, hogy az uniós kibocsátások a globális összkibocsátásnak csupán mintegy 9 %-át teszik ki, az EU fokozza pénzügyi és technikai erőfeszítéseit és együttműködését valamennyi partnerországgal. A nemzetileg meghatározott hozzájárulá</w:t>
      </w:r>
      <w:r>
        <w:rPr>
          <w:rFonts w:ascii="Times New Roman" w:hAnsi="Times New Roman"/>
          <w:noProof/>
        </w:rPr>
        <w:t xml:space="preserve">sok képezik majd támogatásunk alapját. Az EU vezető szerepet tölt be az inkluzív, igazságos és klímasemleges globális gazdaság felé vezető világméretű energetikai átállásban. </w:t>
      </w:r>
    </w:p>
    <w:p w:rsidR="0085445E" w:rsidRDefault="005B0CFA">
      <w:pPr>
        <w:jc w:val="both"/>
        <w:rPr>
          <w:rFonts w:ascii="Times New Roman" w:hAnsi="Times New Roman" w:cs="Times New Roman"/>
          <w:noProof/>
          <w:sz w:val="24"/>
          <w:szCs w:val="24"/>
        </w:rPr>
      </w:pPr>
      <w:r>
        <w:rPr>
          <w:rFonts w:ascii="Times New Roman" w:hAnsi="Times New Roman"/>
          <w:noProof/>
        </w:rPr>
        <w:t>A nemzetközi partnerekkel való együttműködés, valamint a szerzett tapasztalatokn</w:t>
      </w:r>
      <w:r>
        <w:rPr>
          <w:rFonts w:ascii="Times New Roman" w:hAnsi="Times New Roman"/>
          <w:noProof/>
        </w:rPr>
        <w:t>ak a globális éghajlat-politikai fellépés inspirálása érdekében történő megosztása továbbra is prioritás számunkra, és jó példával járunk elöl. Az Európai Unió továbbra is a világ első számú, vezető donora a fejlesztési támogatások terén: az Unió e célra 7</w:t>
      </w:r>
      <w:r>
        <w:rPr>
          <w:rFonts w:ascii="Times New Roman" w:hAnsi="Times New Roman"/>
          <w:noProof/>
        </w:rPr>
        <w:t>4,4 milliárd eurót biztosított 2018-ban, fokozottan integrálva az éghajlat-politikai fellépések támogatását is; ezáltal megerősítette a partnerországok nemzetileg meghatározott hozzájárulásainak végrehajtásához nyújtott támogatását a következők révén: gazd</w:t>
      </w:r>
      <w:r>
        <w:rPr>
          <w:rFonts w:ascii="Times New Roman" w:hAnsi="Times New Roman"/>
          <w:noProof/>
        </w:rPr>
        <w:t>asági támogatás, kapacitásépítés, határozott érdekképviselet és a többoldalú tárgyalások során betöltött vezető szerep.</w:t>
      </w:r>
    </w:p>
    <w:p w:rsidR="0085445E" w:rsidRDefault="005B0CFA">
      <w:pPr>
        <w:jc w:val="both"/>
        <w:rPr>
          <w:rFonts w:ascii="Times New Roman" w:hAnsi="Times New Roman" w:cs="Times New Roman"/>
          <w:noProof/>
          <w:sz w:val="24"/>
          <w:szCs w:val="24"/>
        </w:rPr>
      </w:pPr>
      <w:r>
        <w:rPr>
          <w:rFonts w:ascii="Times New Roman" w:hAnsi="Times New Roman"/>
          <w:noProof/>
        </w:rPr>
        <w:t>Az éghajlatváltozás aránytalanul nagy mértékben érinti a legkiszolgáltatottabb országokat. Az Európai Unió a világ legnagyobb donor az é</w:t>
      </w:r>
      <w:r>
        <w:rPr>
          <w:rFonts w:ascii="Times New Roman" w:hAnsi="Times New Roman"/>
          <w:noProof/>
        </w:rPr>
        <w:t>ghajlatváltozás elleni küzdelem finanszírozásában. Az éghajlatváltozás elleni küzdelmet célzó globális közfinanszírozás több mint 40 %-ának biztosítása révén az EU és tagállamai 2013 óta több mint kétszeresére növelték hozzájárulásaikat, melyek meghaladják</w:t>
      </w:r>
      <w:r>
        <w:rPr>
          <w:rFonts w:ascii="Times New Roman" w:hAnsi="Times New Roman"/>
          <w:noProof/>
        </w:rPr>
        <w:t xml:space="preserve"> az évenkénti 20 milliárd eurót</w:t>
      </w:r>
      <w:r>
        <w:rPr>
          <w:rStyle w:val="FootnoteReference"/>
          <w:rFonts w:ascii="Times New Roman" w:hAnsi="Times New Roman" w:cs="Times New Roman"/>
          <w:noProof/>
        </w:rPr>
        <w:footnoteReference w:id="11"/>
      </w:r>
      <w:r>
        <w:rPr>
          <w:rFonts w:ascii="Times New Roman" w:hAnsi="Times New Roman"/>
          <w:noProof/>
        </w:rPr>
        <w:t>. Ezen a téren is elmondható, hogy az éghajlatváltozás elleni globális fellépéssel kapcsolatos uniós megközelítés jóval túlmutat a közszférán, és a magánszektorbeli beruházások katalizálására és megsokszorozására irányuló, ú</w:t>
      </w:r>
      <w:r>
        <w:rPr>
          <w:rFonts w:ascii="Times New Roman" w:hAnsi="Times New Roman"/>
          <w:noProof/>
        </w:rPr>
        <w:t xml:space="preserve">j kezdeményezésekre is kiterjed, többek között az Európai Beruházási Bank szerepvállalásával és az éghajlat-politikai fellépések finanszírozásának a következő költségvetésből történő növelése révén. </w:t>
      </w:r>
    </w:p>
    <w:p w:rsidR="0085445E" w:rsidRDefault="005B0CFA">
      <w:pPr>
        <w:jc w:val="both"/>
        <w:rPr>
          <w:rFonts w:ascii="Times New Roman" w:hAnsi="Times New Roman" w:cs="Times New Roman"/>
          <w:noProof/>
          <w:sz w:val="24"/>
          <w:szCs w:val="24"/>
        </w:rPr>
      </w:pPr>
      <w:r>
        <w:rPr>
          <w:rFonts w:ascii="Times New Roman" w:hAnsi="Times New Roman"/>
          <w:noProof/>
        </w:rPr>
        <w:t>Az Európai Unió külső beruházási tervét az „Európai Fenn</w:t>
      </w:r>
      <w:r>
        <w:rPr>
          <w:rFonts w:ascii="Times New Roman" w:hAnsi="Times New Roman"/>
          <w:noProof/>
        </w:rPr>
        <w:t>tartható Fejlődési Alap Plusz” fogja erősíteni 60 milliárd EUR kapacitással, hogy fenntartható beruházásokat lehessen mobilizálni a 2030-ig tartó időszakra vonatkozó fenntartható fejlődési menetrend és a Párizsi Megállapodás végrehajtása érdekében.</w:t>
      </w:r>
    </w:p>
    <w:p w:rsidR="0085445E" w:rsidRDefault="0085445E">
      <w:pPr>
        <w:jc w:val="both"/>
        <w:rPr>
          <w:rFonts w:ascii="Times New Roman" w:hAnsi="Times New Roman" w:cs="Times New Roman"/>
          <w:noProof/>
          <w:sz w:val="24"/>
          <w:szCs w:val="24"/>
        </w:rPr>
      </w:pPr>
    </w:p>
    <w:p w:rsidR="0085445E" w:rsidRDefault="005B0CFA">
      <w:pPr>
        <w:jc w:val="both"/>
        <w:rPr>
          <w:rFonts w:ascii="Times New Roman" w:hAnsi="Times New Roman" w:cs="Times New Roman"/>
          <w:b/>
          <w:noProof/>
          <w:sz w:val="24"/>
          <w:szCs w:val="24"/>
        </w:rPr>
      </w:pPr>
      <w:r>
        <w:rPr>
          <w:rFonts w:ascii="Times New Roman" w:hAnsi="Times New Roman"/>
          <w:b/>
          <w:noProof/>
        </w:rPr>
        <w:t>Követk</w:t>
      </w:r>
      <w:r>
        <w:rPr>
          <w:rFonts w:ascii="Times New Roman" w:hAnsi="Times New Roman"/>
          <w:b/>
          <w:noProof/>
        </w:rPr>
        <w:t>eztetések és a következő lépések</w:t>
      </w:r>
    </w:p>
    <w:p w:rsidR="0085445E" w:rsidRDefault="005B0CFA">
      <w:pPr>
        <w:jc w:val="both"/>
        <w:rPr>
          <w:rFonts w:ascii="Times New Roman" w:hAnsi="Times New Roman" w:cs="Times New Roman"/>
          <w:noProof/>
          <w:sz w:val="24"/>
          <w:szCs w:val="24"/>
        </w:rPr>
      </w:pPr>
      <w:r>
        <w:rPr>
          <w:rFonts w:ascii="Times New Roman" w:hAnsi="Times New Roman"/>
          <w:noProof/>
        </w:rPr>
        <w:t xml:space="preserve">Az Európai Unió elkötelezett a 2019. évi éghajlat-politikai csúcstalálkozó sikerének biztosítása mellett. Hiszünk abban, hogy az éghajlatváltozás elleni fellépés terén elért eredményeink, a klímasemlegesség 2050-ig történő </w:t>
      </w:r>
      <w:r>
        <w:rPr>
          <w:rFonts w:ascii="Times New Roman" w:hAnsi="Times New Roman"/>
          <w:noProof/>
        </w:rPr>
        <w:t>elérésére és nem csupán kitűzésére irányuló tervről folytatott inkluzív tanácskozásaink, valamint a kötelező erejű európai jogszabályokban már rögzített, az éghajlattal kapcsolatos vállalásaink végrehajtása iránti elkötelezettségünk együttesen szilárd alap</w:t>
      </w:r>
      <w:r>
        <w:rPr>
          <w:rFonts w:ascii="Times New Roman" w:hAnsi="Times New Roman"/>
          <w:noProof/>
        </w:rPr>
        <w:t>ot adnak a szeptemberi csúcstalálkozóhoz.</w:t>
      </w:r>
    </w:p>
    <w:p w:rsidR="0085445E" w:rsidRDefault="005B0CFA">
      <w:pPr>
        <w:jc w:val="both"/>
        <w:rPr>
          <w:rFonts w:ascii="Times New Roman" w:hAnsi="Times New Roman" w:cs="Times New Roman"/>
          <w:noProof/>
          <w:sz w:val="24"/>
          <w:szCs w:val="24"/>
        </w:rPr>
      </w:pPr>
      <w:r>
        <w:rPr>
          <w:rFonts w:ascii="Times New Roman" w:hAnsi="Times New Roman"/>
          <w:noProof/>
        </w:rPr>
        <w:t>Az Európai Uniót Donald Tusk, az Európai Tanács elnöke fogja képviselni az éghajlat-politikai csúcstalálkozó vezetői ülésein. A csúcstalálkozóval kapcsolatos üzeneteknek a tagállamok és az uniós intézmények közötti</w:t>
      </w:r>
      <w:r>
        <w:rPr>
          <w:rFonts w:ascii="Times New Roman" w:hAnsi="Times New Roman"/>
          <w:noProof/>
        </w:rPr>
        <w:t xml:space="preserve"> összehangolása, valamint az uniós vezetőknek a csúcstalálkozón való kivételesen magas arányú részvétele lehetővé teszi az EU számára, hogy átfogóan és következetesen továbbítsa az ambíciók, a fellépések, az egység és az elkötelezettség európai üzenetét, m</w:t>
      </w:r>
      <w:r>
        <w:rPr>
          <w:rFonts w:ascii="Times New Roman" w:hAnsi="Times New Roman"/>
          <w:noProof/>
        </w:rPr>
        <w:t>iközben elismeri az egyes tagállamok által alkalmazott megközelítések gazdagságát.</w:t>
      </w:r>
    </w:p>
    <w:p w:rsidR="0085445E" w:rsidRDefault="005B0CFA">
      <w:pPr>
        <w:jc w:val="both"/>
        <w:rPr>
          <w:rFonts w:ascii="Times New Roman" w:hAnsi="Times New Roman" w:cs="Times New Roman"/>
          <w:noProof/>
          <w:sz w:val="24"/>
          <w:szCs w:val="24"/>
        </w:rPr>
      </w:pPr>
      <w:r>
        <w:rPr>
          <w:rFonts w:ascii="Times New Roman" w:hAnsi="Times New Roman"/>
          <w:noProof/>
        </w:rPr>
        <w:t>Az éghajlat-politikai csúcstalálkozón bemutatandó kezdeményezéseket és kötelezettségvállalásokat elnöki összegzés fogja ismertetni. Az eredmények értékelése, az elszámoltath</w:t>
      </w:r>
      <w:r>
        <w:rPr>
          <w:rFonts w:ascii="Times New Roman" w:hAnsi="Times New Roman"/>
          <w:noProof/>
        </w:rPr>
        <w:t>atóság biztosítása és a csúcstalálkozón megfogalmazódó javaslatok végrehajtásának megkönnyítése céljából nyomonkövetési intézkedések kerülnek bevezetésre. Mindezt az UNFCCC-t is magában foglaló ENSZ-rendszer fogja előmozdítani.</w:t>
      </w:r>
    </w:p>
    <w:p w:rsidR="0085445E" w:rsidRDefault="005B0CFA">
      <w:pPr>
        <w:jc w:val="both"/>
        <w:rPr>
          <w:rFonts w:ascii="Times New Roman" w:hAnsi="Times New Roman" w:cs="Times New Roman"/>
          <w:noProof/>
          <w:sz w:val="24"/>
          <w:szCs w:val="24"/>
        </w:rPr>
      </w:pPr>
      <w:r>
        <w:rPr>
          <w:rFonts w:ascii="Times New Roman" w:hAnsi="Times New Roman"/>
          <w:noProof/>
        </w:rPr>
        <w:t>A fentiek szilárd alapot nyú</w:t>
      </w:r>
      <w:r>
        <w:rPr>
          <w:rFonts w:ascii="Times New Roman" w:hAnsi="Times New Roman"/>
          <w:noProof/>
        </w:rPr>
        <w:t>jtanak a még magasabb szintű uniós éghajlat-politikai törekvésekhez. A közelmúltbeli európai parlamenti választásokat és az új Európai Bizottság megalakulását követően az EU folytatja a belső eszmecserét arról, hogy miként lehet még magasabb szintre emelni</w:t>
      </w:r>
      <w:r>
        <w:rPr>
          <w:rFonts w:ascii="Times New Roman" w:hAnsi="Times New Roman"/>
          <w:noProof/>
        </w:rPr>
        <w:t xml:space="preserve"> a célkitűzéseket és megvalósítani a már meglévőket oly módon, hogy közben se embercsoportok, se régiók ne maradjanak le. Az a célunk, hogy az eddig elért jelentős eredményekre építve továbbra is merész és ambiciózus fellépéseket tegyünk. </w:t>
      </w:r>
    </w:p>
    <w:p w:rsidR="0085445E" w:rsidRDefault="005B0CFA">
      <w:pPr>
        <w:jc w:val="both"/>
        <w:rPr>
          <w:rFonts w:ascii="Times New Roman" w:hAnsi="Times New Roman" w:cs="Times New Roman"/>
          <w:noProof/>
          <w:sz w:val="24"/>
          <w:szCs w:val="24"/>
        </w:rPr>
      </w:pPr>
      <w:r>
        <w:rPr>
          <w:rFonts w:ascii="Times New Roman" w:hAnsi="Times New Roman"/>
          <w:noProof/>
        </w:rPr>
        <w:t>Az éghajlat-poli</w:t>
      </w:r>
      <w:r>
        <w:rPr>
          <w:rFonts w:ascii="Times New Roman" w:hAnsi="Times New Roman"/>
          <w:noProof/>
        </w:rPr>
        <w:t>tikai fellépés a Bizottság megválasztott elnökének politikai iránymutatásaiban kiemelt helyet foglal el az európai zöld megállapodásra irányuló javaslat részeként, amelynek célja, hogy az EU legyen a világ első klímasemleges kontinense</w:t>
      </w:r>
      <w:r>
        <w:rPr>
          <w:rStyle w:val="FootnoteReference"/>
          <w:rFonts w:ascii="Times New Roman" w:hAnsi="Times New Roman" w:cs="Times New Roman"/>
          <w:noProof/>
        </w:rPr>
        <w:footnoteReference w:id="12"/>
      </w:r>
      <w:r>
        <w:rPr>
          <w:rFonts w:ascii="Times New Roman" w:hAnsi="Times New Roman"/>
          <w:noProof/>
        </w:rPr>
        <w:t>. Az új Európai Bizo</w:t>
      </w:r>
      <w:r>
        <w:rPr>
          <w:rFonts w:ascii="Times New Roman" w:hAnsi="Times New Roman"/>
          <w:noProof/>
        </w:rPr>
        <w:t>ttság egyik fő prioritása a következő hármas cél elérése: 1) az éghajlat-semlegesség hosszú távú célkitűzésének jogilag kötelező erejű jogszabályokban történő megszilárdítása 2050-ig; 2) az éghajlat-politikai célkitűzések szintjének növelése rövid és közép</w:t>
      </w:r>
      <w:r>
        <w:rPr>
          <w:rFonts w:ascii="Times New Roman" w:hAnsi="Times New Roman"/>
          <w:noProof/>
        </w:rPr>
        <w:t xml:space="preserve">távon, szinergiát teremtve az európai természeti környezet megóvásával; valamint 3) a nemzetközi fellépés fokozása a harmadik országok abbéli ösztönzése érdekében, hogy magasabb szintű célokat tűzzenek ki az éghajlatváltozás elleni küzdelem terén. </w:t>
      </w:r>
    </w:p>
    <w:p w:rsidR="0085445E" w:rsidRDefault="0085445E">
      <w:pPr>
        <w:rPr>
          <w:noProof/>
        </w:rPr>
      </w:pPr>
      <w:bookmarkStart w:id="1" w:name="_GoBack"/>
      <w:bookmarkEnd w:id="1"/>
    </w:p>
    <w:sectPr w:rsidR="0085445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45E" w:rsidRDefault="005B0CFA">
      <w:pPr>
        <w:spacing w:after="0" w:line="240" w:lineRule="auto"/>
      </w:pPr>
      <w:r>
        <w:separator/>
      </w:r>
    </w:p>
  </w:endnote>
  <w:endnote w:type="continuationSeparator" w:id="0">
    <w:p w:rsidR="0085445E" w:rsidRDefault="005B0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45E" w:rsidRDefault="00854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45E" w:rsidRDefault="005B0CFA">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45E" w:rsidRDefault="0085445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45E" w:rsidRDefault="008544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731061"/>
      <w:docPartObj>
        <w:docPartGallery w:val="Page Numbers (Bottom of Page)"/>
        <w:docPartUnique/>
      </w:docPartObj>
    </w:sdtPr>
    <w:sdtEndPr>
      <w:rPr>
        <w:rFonts w:ascii="Times New Roman" w:hAnsi="Times New Roman" w:cs="Times New Roman"/>
        <w:noProof/>
        <w:sz w:val="20"/>
      </w:rPr>
    </w:sdtEndPr>
    <w:sdtContent>
      <w:p w:rsidR="0085445E" w:rsidRDefault="005B0CFA">
        <w:pPr>
          <w:pStyle w:val="Footer"/>
          <w:jc w:val="right"/>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 PA</w:instrText>
        </w:r>
        <w:r>
          <w:rPr>
            <w:rFonts w:ascii="Times New Roman" w:hAnsi="Times New Roman" w:cs="Times New Roman"/>
            <w:sz w:val="20"/>
          </w:rPr>
          <w:instrText xml:space="preserve">GE   \* MERGEFORMAT </w:instrText>
        </w:r>
        <w:r>
          <w:rPr>
            <w:rFonts w:ascii="Times New Roman" w:hAnsi="Times New Roman" w:cs="Times New Roman"/>
            <w:sz w:val="20"/>
          </w:rPr>
          <w:fldChar w:fldCharType="separate"/>
        </w:r>
        <w:r>
          <w:rPr>
            <w:rFonts w:ascii="Times New Roman" w:hAnsi="Times New Roman" w:cs="Times New Roman"/>
            <w:noProof/>
            <w:sz w:val="20"/>
          </w:rPr>
          <w:t>6</w:t>
        </w:r>
        <w:r>
          <w:rPr>
            <w:rFonts w:ascii="Times New Roman" w:hAnsi="Times New Roman" w:cs="Times New Roman"/>
            <w:sz w:val="20"/>
          </w:rPr>
          <w:fldChar w:fldCharType="end"/>
        </w:r>
      </w:p>
    </w:sdtContent>
  </w:sdt>
  <w:p w:rsidR="0085445E" w:rsidRDefault="008544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45E" w:rsidRDefault="00854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45E" w:rsidRDefault="005B0CFA">
      <w:pPr>
        <w:spacing w:after="0" w:line="240" w:lineRule="auto"/>
      </w:pPr>
      <w:r>
        <w:separator/>
      </w:r>
    </w:p>
  </w:footnote>
  <w:footnote w:type="continuationSeparator" w:id="0">
    <w:p w:rsidR="0085445E" w:rsidRDefault="005B0CFA">
      <w:pPr>
        <w:spacing w:after="0" w:line="240" w:lineRule="auto"/>
      </w:pPr>
      <w:r>
        <w:continuationSeparator/>
      </w:r>
    </w:p>
  </w:footnote>
  <w:footnote w:id="1">
    <w:p w:rsidR="0085445E" w:rsidRDefault="005B0CF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Az Éghajlatváltozási Kormányközi Testület 2018-as különjelentése az iparosodás előtti szinthez képest mért 1,5 °C-os globális hőmérséklet-emelkedés hatásairól és a kapcsolódó globális üvegházhatásúgáz-kibocsátási </w:t>
      </w:r>
      <w:r>
        <w:rPr>
          <w:rFonts w:ascii="Times New Roman" w:hAnsi="Times New Roman"/>
          <w:sz w:val="18"/>
          <w:szCs w:val="18"/>
        </w:rPr>
        <w:t>pályákról, az éghajlatváltozás veszélyeire adott globális válasz megerősítésével, a fenntartható fejlődéssel és a szegénység felszámolására irányuló erőfeszítésekkel összefüggésben.</w:t>
      </w:r>
    </w:p>
  </w:footnote>
  <w:footnote w:id="2">
    <w:p w:rsidR="0085445E" w:rsidRPr="005B0CFA" w:rsidRDefault="005B0CFA">
      <w:pPr>
        <w:spacing w:after="0"/>
        <w:rPr>
          <w:rFonts w:ascii="Times New Roman" w:hAnsi="Times New Roman" w:cs="Times New Roman"/>
          <w:sz w:val="18"/>
          <w:szCs w:val="18"/>
        </w:rPr>
      </w:pPr>
      <w:r w:rsidRPr="005B0CFA">
        <w:rPr>
          <w:rFonts w:ascii="Times New Roman" w:eastAsia="Times New Roman" w:hAnsi="Times New Roman" w:cs="Times New Roman"/>
          <w:sz w:val="18"/>
          <w:szCs w:val="18"/>
          <w:vertAlign w:val="superscript"/>
        </w:rPr>
        <w:footnoteRef/>
      </w:r>
      <w:r w:rsidRPr="005B0CFA">
        <w:rPr>
          <w:rFonts w:ascii="Times New Roman" w:hAnsi="Times New Roman" w:cs="Times New Roman"/>
          <w:sz w:val="18"/>
          <w:szCs w:val="18"/>
        </w:rPr>
        <w:t xml:space="preserve"> </w:t>
      </w:r>
      <w:r w:rsidRPr="005B0CFA">
        <w:rPr>
          <w:rFonts w:ascii="Times New Roman" w:hAnsi="Times New Roman" w:cs="Times New Roman"/>
          <w:sz w:val="18"/>
          <w:szCs w:val="18"/>
        </w:rPr>
        <w:t>Az Eurobarométer 490. sz. tematikus felmérése: „Éghajlatváltozás”.</w:t>
      </w:r>
    </w:p>
  </w:footnote>
  <w:footnote w:id="3">
    <w:p w:rsidR="0085445E" w:rsidRPr="005B0CFA" w:rsidRDefault="005B0CFA">
      <w:pPr>
        <w:pStyle w:val="FootnoteText"/>
        <w:jc w:val="both"/>
        <w:rPr>
          <w:rFonts w:ascii="Times New Roman" w:eastAsia="Times New Roman" w:hAnsi="Times New Roman" w:cs="Times New Roman"/>
          <w:sz w:val="18"/>
          <w:szCs w:val="18"/>
        </w:rPr>
      </w:pPr>
      <w:r w:rsidRPr="005B0CFA">
        <w:rPr>
          <w:rFonts w:ascii="Times New Roman" w:eastAsia="Times New Roman" w:hAnsi="Times New Roman" w:cs="Times New Roman"/>
          <w:sz w:val="18"/>
          <w:szCs w:val="18"/>
          <w:vertAlign w:val="superscript"/>
        </w:rPr>
        <w:footnoteRef/>
      </w:r>
      <w:r w:rsidRPr="005B0CFA">
        <w:rPr>
          <w:rFonts w:ascii="Times New Roman" w:hAnsi="Times New Roman" w:cs="Times New Roman"/>
          <w:sz w:val="18"/>
          <w:szCs w:val="18"/>
          <w:vertAlign w:val="superscript"/>
        </w:rPr>
        <w:t xml:space="preserve"> </w:t>
      </w:r>
      <w:r w:rsidRPr="005B0CFA">
        <w:rPr>
          <w:rFonts w:ascii="Times New Roman" w:hAnsi="Times New Roman" w:cs="Times New Roman"/>
          <w:sz w:val="18"/>
          <w:szCs w:val="18"/>
        </w:rPr>
        <w:t>A B</w:t>
      </w:r>
      <w:r w:rsidRPr="005B0CFA">
        <w:rPr>
          <w:rFonts w:ascii="Times New Roman" w:hAnsi="Times New Roman" w:cs="Times New Roman"/>
          <w:sz w:val="18"/>
          <w:szCs w:val="18"/>
        </w:rPr>
        <w:t xml:space="preserve">izottság </w:t>
      </w:r>
      <w:hyperlink r:id="rId1" w:history="1">
        <w:r w:rsidRPr="005B0CFA">
          <w:rPr>
            <w:rStyle w:val="Hyperlink"/>
            <w:rFonts w:ascii="Times New Roman" w:hAnsi="Times New Roman" w:cs="Times New Roman"/>
            <w:color w:val="000000" w:themeColor="text1"/>
            <w:sz w:val="18"/>
            <w:szCs w:val="18"/>
            <w:u w:val="none"/>
          </w:rPr>
          <w:t>Tiszta bolygót mindenkinek – Európai hosszú távú stratégiai jövőkép egy virágzó, modern, versenyképes és klímasemleges gazdaságról</w:t>
        </w:r>
      </w:hyperlink>
      <w:r w:rsidRPr="005B0CFA">
        <w:rPr>
          <w:rFonts w:ascii="Times New Roman" w:hAnsi="Times New Roman" w:cs="Times New Roman"/>
          <w:sz w:val="18"/>
          <w:szCs w:val="18"/>
        </w:rPr>
        <w:t xml:space="preserve"> </w:t>
      </w:r>
      <w:r w:rsidRPr="005B0CFA">
        <w:rPr>
          <w:rFonts w:ascii="Times New Roman" w:hAnsi="Times New Roman" w:cs="Times New Roman"/>
          <w:sz w:val="18"/>
          <w:szCs w:val="18"/>
        </w:rPr>
        <w:t>című, 2018. november 28-i COM(</w:t>
      </w:r>
      <w:r w:rsidRPr="005B0CFA">
        <w:rPr>
          <w:rFonts w:ascii="Times New Roman" w:hAnsi="Times New Roman" w:cs="Times New Roman"/>
          <w:sz w:val="18"/>
          <w:szCs w:val="18"/>
        </w:rPr>
        <w:t>2018) 773 közleménye</w:t>
      </w:r>
      <w:r w:rsidRPr="005B0CFA">
        <w:rPr>
          <w:rFonts w:ascii="Times New Roman" w:hAnsi="Times New Roman" w:cs="Times New Roman"/>
          <w:sz w:val="18"/>
          <w:szCs w:val="18"/>
        </w:rPr>
        <w:t>.</w:t>
      </w:r>
    </w:p>
  </w:footnote>
  <w:footnote w:id="4">
    <w:p w:rsidR="0085445E" w:rsidRPr="005B0CFA" w:rsidRDefault="005B0CFA">
      <w:pPr>
        <w:pStyle w:val="FootnoteText"/>
        <w:jc w:val="both"/>
        <w:rPr>
          <w:rFonts w:ascii="Times New Roman" w:eastAsia="Times New Roman" w:hAnsi="Times New Roman" w:cs="Times New Roman"/>
          <w:sz w:val="18"/>
          <w:szCs w:val="18"/>
        </w:rPr>
      </w:pPr>
      <w:r w:rsidRPr="005B0CFA">
        <w:rPr>
          <w:rFonts w:ascii="Times New Roman" w:eastAsia="Times New Roman" w:hAnsi="Times New Roman" w:cs="Times New Roman"/>
          <w:sz w:val="18"/>
          <w:szCs w:val="18"/>
          <w:vertAlign w:val="superscript"/>
        </w:rPr>
        <w:footnoteRef/>
      </w:r>
      <w:r w:rsidRPr="005B0CFA">
        <w:rPr>
          <w:rFonts w:ascii="Times New Roman" w:hAnsi="Times New Roman" w:cs="Times New Roman"/>
          <w:sz w:val="18"/>
          <w:szCs w:val="18"/>
        </w:rPr>
        <w:t>Az Európai Tanács következtetései (2019. június 20., EUCO 9/19).</w:t>
      </w:r>
    </w:p>
  </w:footnote>
  <w:footnote w:id="5">
    <w:p w:rsidR="0085445E" w:rsidRDefault="005B0CFA">
      <w:pPr>
        <w:pStyle w:val="FootnoteText"/>
        <w:jc w:val="both"/>
        <w:rPr>
          <w:rFonts w:ascii="Times New Roman" w:hAnsi="Times New Roman" w:cs="Times New Roman"/>
          <w:sz w:val="18"/>
          <w:szCs w:val="18"/>
        </w:rPr>
      </w:pPr>
      <w:r>
        <w:rPr>
          <w:rFonts w:ascii="Times New Roman" w:eastAsia="Times New Roman" w:hAnsi="Times New Roman" w:cs="Times New Roman"/>
          <w:sz w:val="18"/>
          <w:szCs w:val="18"/>
          <w:vertAlign w:val="superscript"/>
        </w:rPr>
        <w:footnoteRef/>
      </w:r>
      <w:r>
        <w:rPr>
          <w:rFonts w:ascii="Times New Roman" w:hAnsi="Times New Roman"/>
          <w:sz w:val="18"/>
          <w:szCs w:val="18"/>
        </w:rPr>
        <w:t>A 2021–2027 közötti időszakra vonatkozó többéves pénzügyi keretről szóló bizottsági javaslat.</w:t>
      </w:r>
    </w:p>
  </w:footnote>
  <w:footnote w:id="6">
    <w:p w:rsidR="0085445E" w:rsidRDefault="005B0CFA">
      <w:pPr>
        <w:pStyle w:val="typedudocumentcp"/>
        <w:spacing w:before="0" w:beforeAutospacing="0" w:after="0" w:afterAutospacing="0"/>
        <w:jc w:val="both"/>
        <w:textAlignment w:val="baseline"/>
        <w:rPr>
          <w:sz w:val="18"/>
          <w:szCs w:val="18"/>
        </w:rPr>
      </w:pPr>
      <w:r>
        <w:rPr>
          <w:sz w:val="18"/>
          <w:szCs w:val="18"/>
          <w:vertAlign w:val="superscript"/>
        </w:rPr>
        <w:footnoteRef/>
      </w:r>
      <w:r>
        <w:t xml:space="preserve"> </w:t>
      </w:r>
      <w:r>
        <w:rPr>
          <w:sz w:val="18"/>
          <w:szCs w:val="18"/>
        </w:rPr>
        <w:t>Az Európai Bizottság közleménye az Európai Parlamentnek, a Tanácsnak, a</w:t>
      </w:r>
      <w:r>
        <w:rPr>
          <w:sz w:val="18"/>
          <w:szCs w:val="18"/>
        </w:rPr>
        <w:t>z Európai Gazdasági és Szociális Bizottságnak és a Régiók Bizottságának a körforgásos gazdaságra vonatkozó cselekvési terv végrehajtásáról, COM (2019) 190.</w:t>
      </w:r>
    </w:p>
  </w:footnote>
  <w:footnote w:id="7">
    <w:p w:rsidR="0085445E" w:rsidRDefault="005B0CFA">
      <w:pPr>
        <w:pStyle w:val="FootnoteText"/>
        <w:jc w:val="both"/>
      </w:pPr>
      <w:r>
        <w:rPr>
          <w:rFonts w:ascii="Times New Roman" w:eastAsia="Times New Roman" w:hAnsi="Times New Roman" w:cs="Times New Roman"/>
          <w:sz w:val="18"/>
          <w:szCs w:val="18"/>
          <w:vertAlign w:val="superscript"/>
        </w:rPr>
        <w:footnoteRef/>
      </w:r>
      <w:r>
        <w:t xml:space="preserve"> </w:t>
      </w:r>
      <w:r>
        <w:rPr>
          <w:rFonts w:ascii="Times New Roman" w:hAnsi="Times New Roman"/>
          <w:sz w:val="18"/>
          <w:szCs w:val="18"/>
        </w:rPr>
        <w:t>Az Európai Bizottság közleménye az Európai Parlamentnek, a Tanácsnak, az Európai Gazdasági és Szoc</w:t>
      </w:r>
      <w:r>
        <w:rPr>
          <w:rFonts w:ascii="Times New Roman" w:hAnsi="Times New Roman"/>
          <w:sz w:val="18"/>
          <w:szCs w:val="18"/>
        </w:rPr>
        <w:t>iális Bizottságnak és a Régiók Bizottságának: Az anyagkörforgás megvalósítása – a körforgásos gazdaságra vonatkozó uniós cselekvési terv, COM(2015) 614.</w:t>
      </w:r>
    </w:p>
  </w:footnote>
  <w:footnote w:id="8">
    <w:p w:rsidR="0085445E" w:rsidRPr="005B0CFA" w:rsidRDefault="005B0CFA">
      <w:pPr>
        <w:pStyle w:val="FootnoteText"/>
        <w:jc w:val="both"/>
        <w:rPr>
          <w:rFonts w:ascii="Times New Roman" w:eastAsia="Times New Roman" w:hAnsi="Times New Roman" w:cs="Times New Roman"/>
          <w:sz w:val="18"/>
          <w:szCs w:val="18"/>
        </w:rPr>
      </w:pPr>
      <w:r w:rsidRPr="005B0CFA">
        <w:rPr>
          <w:rStyle w:val="FootnoteReference"/>
          <w:rFonts w:ascii="Times New Roman" w:hAnsi="Times New Roman" w:cs="Times New Roman"/>
          <w:sz w:val="18"/>
          <w:szCs w:val="18"/>
        </w:rPr>
        <w:footnoteRef/>
      </w:r>
      <w:r w:rsidRPr="005B0CFA">
        <w:rPr>
          <w:rFonts w:ascii="Times New Roman" w:hAnsi="Times New Roman" w:cs="Times New Roman"/>
          <w:sz w:val="18"/>
          <w:szCs w:val="18"/>
        </w:rPr>
        <w:t>A Bizottság közleménye az Európai Parlamentnek, a Tanácsnak, az Európai Gazdasági és Szociális Bizotts</w:t>
      </w:r>
      <w:r w:rsidRPr="005B0CFA">
        <w:rPr>
          <w:rFonts w:ascii="Times New Roman" w:hAnsi="Times New Roman" w:cs="Times New Roman"/>
          <w:sz w:val="18"/>
          <w:szCs w:val="18"/>
        </w:rPr>
        <w:t>ágnak és a Régiók Bizottságának: Az éghajlatváltozás hatásaihoz való alkalmazkodásra vonatkozó uniós stratégia, COM(2013) 216 final.</w:t>
      </w:r>
    </w:p>
  </w:footnote>
  <w:footnote w:id="9">
    <w:p w:rsidR="0085445E" w:rsidRPr="005B0CFA" w:rsidRDefault="005B0CFA">
      <w:pPr>
        <w:pStyle w:val="FootnoteText"/>
        <w:jc w:val="both"/>
        <w:rPr>
          <w:rFonts w:ascii="Times New Roman" w:eastAsia="Times New Roman" w:hAnsi="Times New Roman" w:cs="Times New Roman"/>
          <w:sz w:val="18"/>
          <w:szCs w:val="18"/>
        </w:rPr>
      </w:pPr>
      <w:r w:rsidRPr="005B0CFA">
        <w:rPr>
          <w:rStyle w:val="FootnoteReference"/>
          <w:rFonts w:ascii="Times New Roman" w:hAnsi="Times New Roman" w:cs="Times New Roman"/>
          <w:sz w:val="18"/>
          <w:szCs w:val="18"/>
        </w:rPr>
        <w:footnoteRef/>
      </w:r>
      <w:r w:rsidRPr="005B0CFA">
        <w:rPr>
          <w:rFonts w:ascii="Times New Roman" w:hAnsi="Times New Roman" w:cs="Times New Roman"/>
          <w:sz w:val="18"/>
          <w:szCs w:val="18"/>
        </w:rPr>
        <w:t xml:space="preserve"> </w:t>
      </w:r>
      <w:r w:rsidRPr="005B0CFA">
        <w:rPr>
          <w:rFonts w:ascii="Times New Roman" w:hAnsi="Times New Roman" w:cs="Times New Roman"/>
          <w:sz w:val="18"/>
          <w:szCs w:val="18"/>
        </w:rPr>
        <w:t>A Bizottság közleménye az Európai Parlamentnek, a Tanácsnak, az Európai Gazdasági és Szociális Bizottságnak és a Régiók B</w:t>
      </w:r>
      <w:r w:rsidRPr="005B0CFA">
        <w:rPr>
          <w:rFonts w:ascii="Times New Roman" w:hAnsi="Times New Roman" w:cs="Times New Roman"/>
          <w:sz w:val="18"/>
          <w:szCs w:val="18"/>
        </w:rPr>
        <w:t>izottságának: Az EU katasztrófakezelésének megerősítése: rescEU – szolidaritás és felelősségvállalás, COM(2017) 773 final.</w:t>
      </w:r>
    </w:p>
  </w:footnote>
  <w:footnote w:id="10">
    <w:p w:rsidR="0085445E" w:rsidRPr="005B0CFA" w:rsidRDefault="005B0CFA">
      <w:pPr>
        <w:pStyle w:val="FootnoteText"/>
        <w:jc w:val="both"/>
        <w:rPr>
          <w:rFonts w:ascii="Times New Roman" w:hAnsi="Times New Roman" w:cs="Times New Roman"/>
          <w:sz w:val="18"/>
          <w:szCs w:val="18"/>
        </w:rPr>
      </w:pPr>
      <w:r w:rsidRPr="005B0CFA">
        <w:rPr>
          <w:rStyle w:val="FootnoteReference"/>
          <w:rFonts w:ascii="Times New Roman" w:hAnsi="Times New Roman" w:cs="Times New Roman"/>
          <w:sz w:val="18"/>
          <w:szCs w:val="18"/>
        </w:rPr>
        <w:footnoteRef/>
      </w:r>
      <w:r w:rsidRPr="005B0CFA">
        <w:rPr>
          <w:rStyle w:val="FootnoteReference"/>
          <w:rFonts w:ascii="Times New Roman" w:hAnsi="Times New Roman" w:cs="Times New Roman"/>
          <w:sz w:val="18"/>
          <w:szCs w:val="18"/>
        </w:rPr>
        <w:t xml:space="preserve"> </w:t>
      </w:r>
      <w:r w:rsidRPr="005B0CFA">
        <w:rPr>
          <w:rFonts w:ascii="Times New Roman" w:hAnsi="Times New Roman" w:cs="Times New Roman"/>
          <w:sz w:val="18"/>
          <w:szCs w:val="18"/>
        </w:rPr>
        <w:t xml:space="preserve">A Bizottság közleménye az Európai Parlamentnek, a Tanácsnak, az Európai Gazdasági és Szociális Bizottságnak és a Régiók </w:t>
      </w:r>
      <w:r w:rsidRPr="005B0CFA">
        <w:rPr>
          <w:rFonts w:ascii="Times New Roman" w:hAnsi="Times New Roman" w:cs="Times New Roman"/>
          <w:sz w:val="18"/>
          <w:szCs w:val="18"/>
        </w:rPr>
        <w:t>Bizottságának: A világ erdőinek védelmére és helyreállítására irányuló uniós fellépés fokozásáról, COM/2019/352 final.</w:t>
      </w:r>
    </w:p>
  </w:footnote>
  <w:footnote w:id="11">
    <w:p w:rsidR="0085445E" w:rsidRPr="005B0CFA" w:rsidRDefault="005B0CFA">
      <w:pPr>
        <w:pStyle w:val="FootnoteText"/>
        <w:jc w:val="both"/>
        <w:rPr>
          <w:rFonts w:ascii="Times New Roman" w:eastAsia="Times New Roman" w:hAnsi="Times New Roman" w:cs="Times New Roman"/>
          <w:sz w:val="18"/>
          <w:szCs w:val="18"/>
        </w:rPr>
      </w:pPr>
      <w:r w:rsidRPr="005B0CFA">
        <w:rPr>
          <w:rStyle w:val="FootnoteReference"/>
          <w:rFonts w:ascii="Times New Roman" w:hAnsi="Times New Roman" w:cs="Times New Roman"/>
          <w:sz w:val="18"/>
          <w:szCs w:val="18"/>
        </w:rPr>
        <w:footnoteRef/>
      </w:r>
      <w:r w:rsidRPr="005B0CFA">
        <w:rPr>
          <w:rStyle w:val="FootnoteReference"/>
          <w:rFonts w:ascii="Times New Roman" w:hAnsi="Times New Roman" w:cs="Times New Roman"/>
          <w:sz w:val="18"/>
          <w:szCs w:val="18"/>
        </w:rPr>
        <w:t xml:space="preserve"> </w:t>
      </w:r>
      <w:r w:rsidRPr="005B0CFA">
        <w:rPr>
          <w:rFonts w:ascii="Times New Roman" w:hAnsi="Times New Roman" w:cs="Times New Roman"/>
          <w:sz w:val="18"/>
          <w:szCs w:val="18"/>
        </w:rPr>
        <w:t>Az ECOFIN Tanács 2018. évi következtetései (2018. november 6.) az éghajlatváltozás elleni küzdelem finanszírozásáról.</w:t>
      </w:r>
    </w:p>
    <w:p w:rsidR="0085445E" w:rsidRPr="005B0CFA" w:rsidRDefault="0085445E">
      <w:pPr>
        <w:pStyle w:val="FootnoteText"/>
        <w:jc w:val="both"/>
        <w:rPr>
          <w:rFonts w:ascii="Times New Roman" w:hAnsi="Times New Roman" w:cs="Times New Roman"/>
          <w:sz w:val="18"/>
          <w:szCs w:val="18"/>
        </w:rPr>
      </w:pPr>
    </w:p>
  </w:footnote>
  <w:footnote w:id="12">
    <w:p w:rsidR="0085445E" w:rsidRPr="005B0CFA" w:rsidRDefault="005B0CFA">
      <w:pPr>
        <w:spacing w:after="0"/>
        <w:jc w:val="both"/>
        <w:rPr>
          <w:rFonts w:ascii="Times New Roman" w:eastAsia="Times New Roman" w:hAnsi="Times New Roman" w:cs="Times New Roman"/>
          <w:bCs/>
          <w:sz w:val="18"/>
          <w:szCs w:val="18"/>
        </w:rPr>
      </w:pPr>
      <w:r w:rsidRPr="005B0CFA">
        <w:rPr>
          <w:rStyle w:val="FootnoteReference"/>
          <w:rFonts w:ascii="Times New Roman" w:hAnsi="Times New Roman" w:cs="Times New Roman"/>
          <w:sz w:val="18"/>
          <w:szCs w:val="18"/>
        </w:rPr>
        <w:footnoteRef/>
      </w:r>
      <w:r w:rsidRPr="005B0CFA">
        <w:rPr>
          <w:rFonts w:ascii="Times New Roman" w:hAnsi="Times New Roman" w:cs="Times New Roman"/>
          <w:sz w:val="18"/>
          <w:szCs w:val="18"/>
        </w:rPr>
        <w:t xml:space="preserve"> </w:t>
      </w:r>
      <w:r w:rsidRPr="005B0CFA">
        <w:rPr>
          <w:rFonts w:ascii="Times New Roman" w:hAnsi="Times New Roman" w:cs="Times New Roman"/>
          <w:bCs/>
          <w:sz w:val="18"/>
          <w:szCs w:val="18"/>
        </w:rPr>
        <w:t xml:space="preserve">Politikai </w:t>
      </w:r>
      <w:r w:rsidRPr="005B0CFA">
        <w:rPr>
          <w:rFonts w:ascii="Times New Roman" w:hAnsi="Times New Roman" w:cs="Times New Roman"/>
          <w:bCs/>
          <w:sz w:val="18"/>
          <w:szCs w:val="18"/>
        </w:rPr>
        <w:t>iránymutatás a hivatalba lépő következő Európai Bizottság számára (2019–2024): Ambiciózusabb Unió. Programom Európa számára, 2019. július 16. https://ec.europa.eu/commission/sites/beta-political/files/political-guidelines-next-commission_hu.pdf.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45E" w:rsidRDefault="00854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45E" w:rsidRDefault="0085445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45E" w:rsidRDefault="0085445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45E" w:rsidRDefault="008544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45E" w:rsidRDefault="008544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45E" w:rsidRDefault="008544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revisionView w:markup="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DDDA04F-8965-41EA-BAE0-431B8C373CBD"/>
    <w:docVar w:name="LW_COVERPAGE_TYPE" w:val="1"/>
    <w:docVar w:name="LW_CROSSREFERENCE" w:val="&lt;UNUSED&gt;"/>
    <w:docVar w:name="LW_DocType" w:val="NORMAL"/>
    <w:docVar w:name="LW_EMISSION" w:val="2019.9.11."/>
    <w:docVar w:name="LW_EMISSION_ISODATE" w:val="2019-09-11"/>
    <w:docVar w:name="LW_EMISSION_LOCATION" w:val="BRX"/>
    <w:docVar w:name="LW_EMISSION_PREFIX" w:val="Brüsszel, "/>
    <w:docVar w:name="LW_EMISSION_SUFFIX" w:val=" "/>
    <w:docVar w:name="LW_ID_DOCTYPE_NONLW" w:val="CP-012"/>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19) 41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z ENSZ f\u337?titkára által szervezett, New Yorkban tartandó 2019. évi éghajlat-politikai csúcstalálkozóról_x000b__x000d__x000d__x000d__x000d__x000d__x000b__x000d__x000d__x000d__x000d__x000d__x000d__x000d__x000d__x000b_"/>
    <w:docVar w:name="LW_TYPE.DOC.CP" w:val="A BIZOTTSÁG KÖZLEMÉNYE AZ EURÓPAI PARLAMENTNEK ÉS A TANÁCSNAK"/>
    <w:docVar w:name="LW_TYPE.DOC.CP.USERTEXT" w:val="&lt;EMPTY&gt;"/>
  </w:docVars>
  <w:rsids>
    <w:rsidRoot w:val="0085445E"/>
    <w:rsid w:val="005B0CFA"/>
    <w:rsid w:val="008544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65C412DD-D50F-478F-980A-DB3DE423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Hyperlink">
    <w:name w:val="Hyperlink"/>
    <w:basedOn w:val="DefaultParagraphFont"/>
    <w:uiPriority w:val="99"/>
    <w:semiHidden/>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lang w:val="hu-HU"/>
    </w:rPr>
  </w:style>
  <w:style w:type="paragraph" w:customStyle="1" w:styleId="Body">
    <w:name w:val="Body"/>
    <w:pPr>
      <w:spacing w:after="200" w:line="276" w:lineRule="auto"/>
    </w:pPr>
    <w:rPr>
      <w:rFonts w:ascii="Calibri" w:eastAsia="Calibri" w:hAnsi="Calibri" w:cs="Calibri"/>
      <w:color w:val="000000"/>
      <w:u w:color="000000"/>
      <w:lang w:eastAsia="en-GB"/>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typedudocumentcp">
    <w:name w:val="typedudocument_cp"/>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140545">
      <w:bodyDiv w:val="1"/>
      <w:marLeft w:val="0"/>
      <w:marRight w:val="0"/>
      <w:marTop w:val="0"/>
      <w:marBottom w:val="0"/>
      <w:divBdr>
        <w:top w:val="none" w:sz="0" w:space="0" w:color="auto"/>
        <w:left w:val="none" w:sz="0" w:space="0" w:color="auto"/>
        <w:bottom w:val="none" w:sz="0" w:space="0" w:color="auto"/>
        <w:right w:val="none" w:sz="0" w:space="0" w:color="auto"/>
      </w:divBdr>
    </w:div>
    <w:div w:id="1111701621">
      <w:bodyDiv w:val="1"/>
      <w:marLeft w:val="0"/>
      <w:marRight w:val="0"/>
      <w:marTop w:val="0"/>
      <w:marBottom w:val="0"/>
      <w:divBdr>
        <w:top w:val="none" w:sz="0" w:space="0" w:color="auto"/>
        <w:left w:val="none" w:sz="0" w:space="0" w:color="auto"/>
        <w:bottom w:val="none" w:sz="0" w:space="0" w:color="auto"/>
        <w:right w:val="none" w:sz="0" w:space="0" w:color="auto"/>
      </w:divBdr>
    </w:div>
    <w:div w:id="179486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HU/TXT/?uri=CELEX:52018DC07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9E2E369-5A90-4335-9217-E369203E2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2561</Words>
  <Characters>18600</Characters>
  <Application>Microsoft Office Word</Application>
  <DocSecurity>0</DocSecurity>
  <Lines>251</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32</cp:revision>
  <cp:lastPrinted>2019-09-10T09:43:00Z</cp:lastPrinted>
  <dcterms:created xsi:type="dcterms:W3CDTF">2019-09-10T09:34:00Z</dcterms:created>
  <dcterms:modified xsi:type="dcterms:W3CDTF">2019-09-16T08:56:00Z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CP-012</vt:lpwstr>
  </property>
  <property fmtid="{D5CDD505-2E9C-101B-9397-08002B2CF9AE}" pid="7" name="Last edited using">
    <vt:lpwstr>LW 7.0, Build 20190717</vt:lpwstr>
  </property>
  <property fmtid="{D5CDD505-2E9C-101B-9397-08002B2CF9AE}" pid="8" name="Created using">
    <vt:lpwstr>LW 7.0, Build 20190717</vt:lpwstr>
  </property>
  <property name="OP_sanitized" fmtid="{D5CDD505-2E9C-101B-9397-08002B2CF9AE}" pid="9">
    <vt:lpwstr>True</vt:lpwstr>
  </property>
</Properties>
</file>