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9C348" w14:textId="77777777" w:rsidR="0029533F" w:rsidRPr="00304D90" w:rsidRDefault="00FA6486" w:rsidP="0008171A">
      <w:pPr>
        <w:pStyle w:val="Pagedecouverture"/>
        <w:rPr>
          <w:noProof/>
        </w:rPr>
      </w:pPr>
      <w:r>
        <w:rPr>
          <w:noProof/>
        </w:rPr>
        <w:pict w14:anchorId="2ED8F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E35B6F7-1692-4256-861E-024B71EA4AEA" style="width:454.95pt;height:396.5pt">
            <v:imagedata r:id="rId13" o:title=""/>
          </v:shape>
        </w:pict>
      </w:r>
    </w:p>
    <w:p w14:paraId="135591A0" w14:textId="77777777" w:rsidR="00DE3CDC" w:rsidRPr="00304D90" w:rsidRDefault="00DE3CDC">
      <w:pPr>
        <w:rPr>
          <w:noProof/>
        </w:rPr>
        <w:sectPr w:rsidR="00DE3CDC" w:rsidRPr="00304D90" w:rsidSect="0008171A">
          <w:footerReference w:type="even" r:id="rId14"/>
          <w:footerReference w:type="default" r:id="rId15"/>
          <w:pgSz w:w="11907" w:h="16839"/>
          <w:pgMar w:top="1134" w:right="1417" w:bottom="1134" w:left="1417" w:header="709" w:footer="709" w:gutter="0"/>
          <w:pgNumType w:start="0"/>
          <w:cols w:space="720"/>
          <w:docGrid w:linePitch="360"/>
        </w:sectPr>
      </w:pPr>
    </w:p>
    <w:p w14:paraId="54C07353" w14:textId="77777777" w:rsidR="00DE3CDC" w:rsidRPr="00304D90" w:rsidRDefault="00304D90" w:rsidP="00304D90">
      <w:pPr>
        <w:pStyle w:val="Typedudocument"/>
        <w:rPr>
          <w:noProof/>
        </w:rPr>
      </w:pPr>
      <w:r w:rsidRPr="00304D90">
        <w:rPr>
          <w:noProof/>
        </w:rPr>
        <w:lastRenderedPageBreak/>
        <w:t>PREPORUKA KOMISIJE</w:t>
      </w:r>
    </w:p>
    <w:p w14:paraId="76152CF0" w14:textId="77777777" w:rsidR="00DE3CDC" w:rsidRPr="00304D90" w:rsidRDefault="00FB4CE8" w:rsidP="00304D90">
      <w:pPr>
        <w:pStyle w:val="Datedadoption"/>
        <w:rPr>
          <w:noProof/>
        </w:rPr>
      </w:pPr>
      <w:r>
        <w:rPr>
          <w:noProof/>
        </w:rPr>
        <w:t>оd 2.7.2025.</w:t>
      </w:r>
    </w:p>
    <w:p w14:paraId="2569E1B5" w14:textId="77777777" w:rsidR="00DE3CDC" w:rsidRPr="00304D90" w:rsidRDefault="00304D90" w:rsidP="00304D90">
      <w:pPr>
        <w:pStyle w:val="Titreobjet"/>
        <w:rPr>
          <w:noProof/>
        </w:rPr>
      </w:pPr>
      <w:r w:rsidRPr="00304D90">
        <w:rPr>
          <w:noProof/>
        </w:rPr>
        <w:t>o inovativnim tehnologijama i oblicima uvođenja energije iz obnovljivih izvora, o uspostavi područja za mrežnu infrastrukturu i infrastrukturu za skladištenje potrebnu za integriranje energije iz obnovljivih izvora u elektroenergetski sustav u skladu s člankom 15.e revidirane Direktive (EU) 2018/2001 Europskog parlamenta i Vijeća te o mrežnim naknadama prilagođenima budućim potrebama radi smanjenja troškova energetskog sustava</w:t>
      </w:r>
    </w:p>
    <w:p w14:paraId="6A04B398" w14:textId="77777777" w:rsidR="00DE3CDC" w:rsidRPr="00304D90" w:rsidRDefault="00DE3CDC">
      <w:pPr>
        <w:pStyle w:val="Institutionquiagit"/>
        <w:rPr>
          <w:noProof/>
        </w:rPr>
      </w:pPr>
      <w:r w:rsidRPr="00304D90">
        <w:rPr>
          <w:noProof/>
        </w:rPr>
        <w:t>EUROPSKA KOMISIJA,</w:t>
      </w:r>
    </w:p>
    <w:p w14:paraId="516ABC10" w14:textId="77777777" w:rsidR="00DE3CDC" w:rsidRPr="00304D90" w:rsidRDefault="00DE3CDC">
      <w:pPr>
        <w:rPr>
          <w:noProof/>
        </w:rPr>
      </w:pPr>
      <w:r w:rsidRPr="00304D90">
        <w:rPr>
          <w:noProof/>
        </w:rPr>
        <w:t>uzimajući u obzir Ugovor o funkcioniranju Europske unije, a posebno njegov članak 292.,</w:t>
      </w:r>
    </w:p>
    <w:p w14:paraId="06BD9698" w14:textId="77777777" w:rsidR="00DE3CDC" w:rsidRPr="00304D90" w:rsidRDefault="532CF6A5">
      <w:pPr>
        <w:rPr>
          <w:noProof/>
        </w:rPr>
      </w:pPr>
      <w:r w:rsidRPr="00304D90">
        <w:rPr>
          <w:noProof/>
        </w:rPr>
        <w:t>budući da:</w:t>
      </w:r>
    </w:p>
    <w:p w14:paraId="32470476" w14:textId="77777777" w:rsidR="5C04CA20" w:rsidRPr="00304D90" w:rsidRDefault="007D3064" w:rsidP="007D3064">
      <w:pPr>
        <w:pStyle w:val="ManualConsidrant"/>
        <w:rPr>
          <w:noProof/>
        </w:rPr>
      </w:pPr>
      <w:r w:rsidRPr="007D3064">
        <w:rPr>
          <w:noProof/>
        </w:rPr>
        <w:t>(1)</w:t>
      </w:r>
      <w:r w:rsidRPr="007D3064">
        <w:rPr>
          <w:noProof/>
        </w:rPr>
        <w:tab/>
      </w:r>
      <w:r w:rsidR="5C04CA20" w:rsidRPr="00304D90">
        <w:rPr>
          <w:noProof/>
        </w:rPr>
        <w:t>Planom za čistu industriju utvrđuju se posebne mjere kako bi se osiguralo da se dekarbonizacijom gospodarstva do 2050. potiče rast europskih industrija, među ostalim rješavanjem problema visokih cijena energije. U Akcijskom planu za priuštivu energiju</w:t>
      </w:r>
      <w:r w:rsidR="5C04CA20" w:rsidRPr="00304D90">
        <w:rPr>
          <w:rStyle w:val="FootnoteReference"/>
          <w:noProof/>
        </w:rPr>
        <w:footnoteReference w:id="2"/>
      </w:r>
      <w:r w:rsidR="5C04CA20" w:rsidRPr="00304D90">
        <w:rPr>
          <w:noProof/>
        </w:rPr>
        <w:t xml:space="preserve"> razmatraju se čimbenici zbog kojih rastu cijene energije i utvrđuje osam mjera usmjerenih na smanjenje troškova energije za sve. Djelomično se to može postići ubrzanjem primjene čiste energije i stvaranjem integriranog tržišta, podržanog umreženom i digitaliziranom mrežom s kohezivnim regulatornim i upravljačkim okvirima. Plan se bavi svim komponentama računa za električnu energiju: troškovima isporučene električne energije, troškovima mreže i oporezivanjem.</w:t>
      </w:r>
    </w:p>
    <w:p w14:paraId="6982E208" w14:textId="77777777" w:rsidR="057E2A9D" w:rsidRPr="00304D90" w:rsidRDefault="007D3064" w:rsidP="007D3064">
      <w:pPr>
        <w:pStyle w:val="ManualConsidrant"/>
        <w:rPr>
          <w:noProof/>
        </w:rPr>
      </w:pPr>
      <w:r w:rsidRPr="007D3064">
        <w:rPr>
          <w:noProof/>
        </w:rPr>
        <w:t>(2)</w:t>
      </w:r>
      <w:r w:rsidRPr="007D3064">
        <w:rPr>
          <w:noProof/>
        </w:rPr>
        <w:tab/>
      </w:r>
      <w:r w:rsidR="057E2A9D" w:rsidRPr="00304D90">
        <w:rPr>
          <w:noProof/>
        </w:rPr>
        <w:t>Tri ključne mjere za postizanje tih ciljeva su: (i) ubrzavanje uvođenja energije iz obnovljivih izvora i skladištenja energije, (ii) ubrzanje širenja i jačanja elektroenergetskih mreža i (iii) uvođenje učinkovitih signala za optimalnu uporabu mreže i ograničavanje troškova mreže, posebno pomoću mrežnih tarifa.</w:t>
      </w:r>
    </w:p>
    <w:p w14:paraId="5D262B77" w14:textId="77777777" w:rsidR="00980381" w:rsidRPr="00304D90" w:rsidRDefault="007D3064" w:rsidP="007D3064">
      <w:pPr>
        <w:pStyle w:val="ManualConsidrant"/>
        <w:rPr>
          <w:noProof/>
        </w:rPr>
      </w:pPr>
      <w:r w:rsidRPr="007D3064">
        <w:rPr>
          <w:noProof/>
        </w:rPr>
        <w:t>(3)</w:t>
      </w:r>
      <w:r w:rsidRPr="007D3064">
        <w:rPr>
          <w:noProof/>
        </w:rPr>
        <w:tab/>
      </w:r>
      <w:r w:rsidR="5D9377CD" w:rsidRPr="00304D90">
        <w:rPr>
          <w:noProof/>
        </w:rPr>
        <w:t>Prepoznaje se da ovisnost Europe o uvezenim fosilnim gorivima doprinosi nestabilnim i visokim troškovima opskrbe energijom. Povećanjem ponude obnovljivih izvora energije pridonijelo bi se smanjenju troškova opskrbe energijom i cijena energije za industrijske i privatne kupce. Kako bi se to ostvarilo, potrebno je i znatno ubrzati postupke za izdavanje dozvola za projekte u području energije iz obnovljivih izvora, ne samo za konvencionalne tehnologije i načine uvođenja energije iz obnovljivih izvora, već i za inovativne oblike uvođenja i inovativne tehnologije u području obnovljivih izvora energije.</w:t>
      </w:r>
    </w:p>
    <w:p w14:paraId="1C5E56EA" w14:textId="77777777" w:rsidR="00CD08F5" w:rsidRPr="00304D90" w:rsidRDefault="007D3064" w:rsidP="007D3064">
      <w:pPr>
        <w:pStyle w:val="ManualConsidrant"/>
        <w:rPr>
          <w:noProof/>
        </w:rPr>
      </w:pPr>
      <w:r w:rsidRPr="007D3064">
        <w:rPr>
          <w:noProof/>
        </w:rPr>
        <w:t>(4)</w:t>
      </w:r>
      <w:r w:rsidRPr="007D3064">
        <w:rPr>
          <w:noProof/>
        </w:rPr>
        <w:tab/>
      </w:r>
      <w:r w:rsidR="00D2533E" w:rsidRPr="00304D90">
        <w:rPr>
          <w:noProof/>
        </w:rPr>
        <w:t>Direktivom (EU) 2018/2001 Europskog parlamenta i Vijeća</w:t>
      </w:r>
      <w:r w:rsidR="00A9412B" w:rsidRPr="00304D90">
        <w:rPr>
          <w:rStyle w:val="FootnoteReference"/>
          <w:noProof/>
        </w:rPr>
        <w:footnoteReference w:id="3"/>
      </w:r>
      <w:r w:rsidR="00D2533E" w:rsidRPr="00304D90">
        <w:rPr>
          <w:noProof/>
        </w:rPr>
        <w:t xml:space="preserve"> („Direktiva”) utvrđen je cilj da do 2030. 42,5 % energije u EU-u bude iz obnovljivih izvora., uz nastojanje da se dosegne čak 45 %. Da bi se taj cilj postigao potrebno je istodobno ubrzati uvođenje postrojenja za proizvodnju energije iz obnovljivih izvora i bolje integrirati proizvedenu energiju iz obnovljivih izvora u mrežu i energetski sustav. Osim toga, cilj </w:t>
      </w:r>
      <w:r w:rsidR="00D2533E" w:rsidRPr="00304D90">
        <w:rPr>
          <w:noProof/>
        </w:rPr>
        <w:lastRenderedPageBreak/>
        <w:t>je i da države članice do 2030. najmanje 5 % novih instaliranih kapaciteta za energiju iz obnovljivih izvora namijene inovativnim tehnologijama za proizvodnju energije iz obnovljivih izvora.</w:t>
      </w:r>
    </w:p>
    <w:p w14:paraId="6A390AF3" w14:textId="77777777" w:rsidR="0046354D" w:rsidRPr="00304D90" w:rsidRDefault="007D3064" w:rsidP="007D3064">
      <w:pPr>
        <w:pStyle w:val="ManualConsidrant"/>
        <w:rPr>
          <w:noProof/>
        </w:rPr>
      </w:pPr>
      <w:r w:rsidRPr="007D3064">
        <w:rPr>
          <w:noProof/>
        </w:rPr>
        <w:t>(5)</w:t>
      </w:r>
      <w:r w:rsidRPr="007D3064">
        <w:rPr>
          <w:noProof/>
        </w:rPr>
        <w:tab/>
      </w:r>
      <w:r w:rsidR="0ACAD06C" w:rsidRPr="00304D90">
        <w:rPr>
          <w:noProof/>
        </w:rPr>
        <w:t>Direktivom i popratnim inicijativama Unije, kao što su preporuka</w:t>
      </w:r>
      <w:r w:rsidR="0ACAD06C" w:rsidRPr="00304D90">
        <w:rPr>
          <w:rStyle w:val="FootnoteReference"/>
          <w:noProof/>
        </w:rPr>
        <w:footnoteReference w:id="4"/>
      </w:r>
      <w:r w:rsidR="0ACAD06C" w:rsidRPr="00304D90">
        <w:rPr>
          <w:noProof/>
        </w:rPr>
        <w:t xml:space="preserve"> i smjernice</w:t>
      </w:r>
      <w:r w:rsidR="0ACAD06C" w:rsidRPr="00304D90">
        <w:rPr>
          <w:rStyle w:val="FootnoteReference"/>
          <w:noProof/>
        </w:rPr>
        <w:footnoteReference w:id="5"/>
      </w:r>
      <w:r w:rsidR="0ACAD06C" w:rsidRPr="00304D90">
        <w:rPr>
          <w:noProof/>
        </w:rPr>
        <w:t xml:space="preserve"> o ubrzanju izdavanja dozvola za energiju iz obnovljivih izvora i povezane infrastrukturne projekte, državama članicama pružaju se dodatni instrumenti za osiguravanje tog uvođenja. S jedne strane, okvirnim ciljem iz Direktive postavljaju se temelji za poticanje inovativnih tehnologija za proizvodnju energije iz obnovljivih izvora. S druge strane, u strategiji EU-a za solarnu energiju iz 2022.</w:t>
      </w:r>
      <w:r w:rsidR="0ACAD06C" w:rsidRPr="00304D90">
        <w:rPr>
          <w:rStyle w:val="FootnoteReference"/>
          <w:noProof/>
        </w:rPr>
        <w:footnoteReference w:id="6"/>
      </w:r>
      <w:r w:rsidR="0ACAD06C" w:rsidRPr="00304D90">
        <w:rPr>
          <w:noProof/>
        </w:rPr>
        <w:t xml:space="preserve"> istaknuti su inovativni oblici uvođenja solarne energije i najavljene smjernice državama članicama u tom pogledu. Te inovativne tehnologije i oblici uvođenja idu ruku pod ruku s uvođenjem konvencionalnih tehnologija u području obnovljivih izvora energije kako bi se postigao revidirani cilj iz Direktive o energiji iz obnovljivih izvora. Naposljetku, u skladu s člankom 15.e Direktive države članice mogu odrediti područja za mrežnu infrastrukturu i infrastrukturu za skladištenje potrebnu za integriranje energije iz obnovljivih izvora u elektroenergetski sustav.</w:t>
      </w:r>
    </w:p>
    <w:p w14:paraId="2965F21B" w14:textId="77777777" w:rsidR="0046354D" w:rsidRPr="00304D90" w:rsidRDefault="007D3064" w:rsidP="007D3064">
      <w:pPr>
        <w:pStyle w:val="ManualConsidrant"/>
        <w:rPr>
          <w:noProof/>
        </w:rPr>
      </w:pPr>
      <w:r w:rsidRPr="007D3064">
        <w:rPr>
          <w:noProof/>
        </w:rPr>
        <w:t>(6)</w:t>
      </w:r>
      <w:r w:rsidRPr="007D3064">
        <w:rPr>
          <w:noProof/>
        </w:rPr>
        <w:tab/>
      </w:r>
      <w:r w:rsidR="04EC7E01" w:rsidRPr="00304D90">
        <w:rPr>
          <w:noProof/>
        </w:rPr>
        <w:t xml:space="preserve">Inovativne tehnologije u području energije iz obnovljivih izvora, kao što su energija oceana ili plutajuće odobalne tehnologije za energiju vjetra, omogućuju iskorištavanje obnovljivih izvora energije koji su i dalje neiskorišteni i mogu dopuniti standardne odobalne i kopnene vjetroagregate, kao i projekte solarne tehnologije na razini mreže, koji će i dalje biti okosnica uvođenja energije iz obnovljivih izvora u Uniji. Osim toga, ulaganja u inovativne tehnologije omogućuju ekonomiju razmjera i stvaraju nova znanja i konkurentsku prednost za Uniju. </w:t>
      </w:r>
    </w:p>
    <w:p w14:paraId="4705C9E1" w14:textId="77777777" w:rsidR="00CD08F5" w:rsidRPr="00304D90" w:rsidRDefault="007D3064" w:rsidP="007D3064">
      <w:pPr>
        <w:pStyle w:val="ManualConsidrant"/>
        <w:rPr>
          <w:noProof/>
        </w:rPr>
      </w:pPr>
      <w:r w:rsidRPr="007D3064">
        <w:rPr>
          <w:noProof/>
        </w:rPr>
        <w:t>(7)</w:t>
      </w:r>
      <w:r w:rsidRPr="007D3064">
        <w:rPr>
          <w:noProof/>
        </w:rPr>
        <w:tab/>
      </w:r>
      <w:r w:rsidR="04EC7E01" w:rsidRPr="00304D90">
        <w:rPr>
          <w:noProof/>
        </w:rPr>
        <w:t>Ključna korist od inovativnih oblika energije iz obnovljivih izvora je širenje mogućnosti za njezino uvođenje višestrukom uporabom zemljišta i učinkovito iskorištavanje nedovoljno iskorištenih struktura (tj. barijera autocesta, vozila). Za nove oblike uvođenja ponekad mogu biti potrebne tehnološke inovacije za proizvodnju energije iz obnovljivih izvora. U drugim slučajevima riječ je o novoj vrsti korištenja postojeće proizvodne tehnologije. Inovativni oblici uvođenja solarne energije raznoliki su i uključuju upotrebu solarne energije u poljoprivredi (poljoprivredni fotonaponski sustavi), fotonaponske sustave integrirane u zgrade, fotonaponske sustave ugrađene u infrastrukturu, plutajuće fotonaponske ploče, vozila s integriranim fotonaponskim sustavom i priključne mini-solarne sustave (primjerice fotonaponski sustavi za balkone). Plutajući odobalni vjetroagregati također se mogu smatrati inovativnim oblikom uvođenja energije vjetra. Međutim, te inovativne tehnologije i metode uvođenja obnovljivih izvora nailaze na specifične regulatorne i druge prepreke, kao što je zakonodavstvo neprilagođeno njihovim posebnostima.</w:t>
      </w:r>
    </w:p>
    <w:p w14:paraId="441E8EEF" w14:textId="77777777" w:rsidR="00475808" w:rsidRPr="00304D90" w:rsidRDefault="007D3064" w:rsidP="007D3064">
      <w:pPr>
        <w:pStyle w:val="ManualConsidrant"/>
        <w:rPr>
          <w:noProof/>
          <w:u w:val="single"/>
        </w:rPr>
      </w:pPr>
      <w:r w:rsidRPr="007D3064">
        <w:rPr>
          <w:noProof/>
        </w:rPr>
        <w:t>(8)</w:t>
      </w:r>
      <w:r w:rsidRPr="007D3064">
        <w:rPr>
          <w:noProof/>
        </w:rPr>
        <w:tab/>
      </w:r>
      <w:r w:rsidR="0088748F" w:rsidRPr="00304D90">
        <w:rPr>
          <w:noProof/>
        </w:rPr>
        <w:t>Kako bi se ubrzala izgradnja i nadogradnja električnih mreža te sustava za skladištenje energije, korisno bi bilo odrediti rezervirana područja za takve projekte. Na projekte mreža i skladištenja koji se nalaze u tim područjima i koji su potrebni za integriranje energije iz obnovljivih izvora u elektroenergetski sustav mogu se primjenjivati odstupanja od određenih vrsta procjena utjecaja na okoliš, pod uvjetom da su ispunjeni uvjeti utvrđeni Direktivom, s ciljem znatnog skraćivanja rokova za izdavanje dozvola. Brza provedba tih odredbi apsolutno je ključna za oslobađanje potencijala brzog uvođenja projekata mreže i skladištenja kako bi se ostvarili klimatski i energetski ciljevi EU-a te cilj klimatske neutralnosti.</w:t>
      </w:r>
    </w:p>
    <w:p w14:paraId="635E4AA0" w14:textId="77777777" w:rsidR="4C28CF9F" w:rsidRPr="00304D90" w:rsidRDefault="007D3064" w:rsidP="007D3064">
      <w:pPr>
        <w:pStyle w:val="ManualConsidrant"/>
        <w:rPr>
          <w:noProof/>
        </w:rPr>
      </w:pPr>
      <w:r w:rsidRPr="007D3064">
        <w:rPr>
          <w:noProof/>
        </w:rPr>
        <w:t>(9)</w:t>
      </w:r>
      <w:r w:rsidRPr="007D3064">
        <w:rPr>
          <w:noProof/>
        </w:rPr>
        <w:tab/>
      </w:r>
      <w:r w:rsidR="102A8520" w:rsidRPr="00304D90">
        <w:rPr>
          <w:noProof/>
        </w:rPr>
        <w:t>Osim toga, kako bi se smanjili ukupni troškovi mreže i osigurala priuštiva energija za sve potrošače, ta ulaganja moraju ići ruku pod ruku s boljom upotrebom postojeće i nove infrastrukture. Za ekonomično integriranje sve većeg udjela energije iz obnovljivih izvora treba više fleksibilnosti i učinkovitosti u upotrebi i upravljanju mrežom. Učinkovita metodologija za osmišljavanje tarifa za električnu energiju može korisnicima sustava pružiti potrebne poticaje da svojim ponašanjem doprinesu smanjenju ukupnih troškova sustava. To pak ima znatan potencijal za veću troškovnu učinkovitost energetske tranzicije.</w:t>
      </w:r>
    </w:p>
    <w:p w14:paraId="3361DA3B" w14:textId="77777777" w:rsidR="007EC0CE" w:rsidRPr="00304D90" w:rsidRDefault="007D3064" w:rsidP="007D3064">
      <w:pPr>
        <w:pStyle w:val="ManualConsidrant"/>
        <w:rPr>
          <w:noProof/>
        </w:rPr>
      </w:pPr>
      <w:r w:rsidRPr="007D3064">
        <w:rPr>
          <w:noProof/>
        </w:rPr>
        <w:t>(10)</w:t>
      </w:r>
      <w:r w:rsidRPr="007D3064">
        <w:rPr>
          <w:noProof/>
        </w:rPr>
        <w:tab/>
      </w:r>
      <w:r w:rsidR="3A3C81EC" w:rsidRPr="00304D90">
        <w:rPr>
          <w:noProof/>
        </w:rPr>
        <w:t>Potrebna je znatna promjena u osmišljavanju metodologija mrežnih tarifa, za koje su odgovorna nacionalna regulatorna tijela, kako bi ih se uskladilo s potrebama dekarboniziranog energetskog sustava.</w:t>
      </w:r>
    </w:p>
    <w:p w14:paraId="4BFDD7CF" w14:textId="77777777" w:rsidR="00DE3CDC" w:rsidRPr="00304D90" w:rsidRDefault="00DE3CDC">
      <w:pPr>
        <w:pStyle w:val="Formuledadoption"/>
        <w:rPr>
          <w:noProof/>
        </w:rPr>
      </w:pPr>
      <w:r w:rsidRPr="00304D90">
        <w:rPr>
          <w:noProof/>
        </w:rPr>
        <w:t>DONIJELA JE OVU PREPORUKU:</w:t>
      </w:r>
    </w:p>
    <w:p w14:paraId="644CF9E3" w14:textId="77777777" w:rsidR="00DE3CDC" w:rsidRPr="00304D90" w:rsidRDefault="00DE3CDC" w:rsidP="009F2644">
      <w:pPr>
        <w:pStyle w:val="Titrearticle"/>
        <w:rPr>
          <w:noProof/>
        </w:rPr>
      </w:pPr>
      <w:r w:rsidRPr="00304D90">
        <w:rPr>
          <w:noProof/>
        </w:rPr>
        <w:t>DEFINICIJE</w:t>
      </w:r>
    </w:p>
    <w:p w14:paraId="781B638F" w14:textId="77777777" w:rsidR="00772224" w:rsidRPr="00304D90" w:rsidRDefault="007D3064" w:rsidP="007D3064">
      <w:pPr>
        <w:pStyle w:val="Point0"/>
        <w:rPr>
          <w:noProof/>
        </w:rPr>
      </w:pPr>
      <w:r w:rsidRPr="007D3064">
        <w:rPr>
          <w:noProof/>
        </w:rPr>
        <w:t>(1)</w:t>
      </w:r>
      <w:r w:rsidRPr="007D3064">
        <w:rPr>
          <w:noProof/>
        </w:rPr>
        <w:tab/>
      </w:r>
      <w:r w:rsidR="00DE3CDC" w:rsidRPr="00304D90">
        <w:rPr>
          <w:noProof/>
        </w:rPr>
        <w:t>Za potrebe ove Preporuke „inovativni oblici uvođenja energije iz obnovljivih izvora” trebali bi se tumačiti kao načini uvođenja solarne energije, bilo da je riječ o fotonaponskoj ili toplinskoj energiji ili njihovoj kombinaciji, koji su navedeni u strategiji EU-a za solarnu energiju: poljoprivredni fotonaponski sustavi, fotonaponski sustavi integrirani u zgrade, plutajuće fotonaponske ploče, fotonaponski sustavi ugrađeni u infrastrukturu, vozila s integriranim fotonaponskim sustavom, priključni mini-fotonaponski sustavi i plutajući odobalni vjetroagregati.</w:t>
      </w:r>
    </w:p>
    <w:p w14:paraId="4DC76CF2" w14:textId="77777777" w:rsidR="00DE3CDC" w:rsidRPr="00304D90" w:rsidRDefault="007D3064" w:rsidP="007D3064">
      <w:pPr>
        <w:pStyle w:val="Point0"/>
        <w:rPr>
          <w:noProof/>
        </w:rPr>
      </w:pPr>
      <w:r w:rsidRPr="007D3064">
        <w:rPr>
          <w:noProof/>
        </w:rPr>
        <w:t>(2)</w:t>
      </w:r>
      <w:r w:rsidRPr="007D3064">
        <w:rPr>
          <w:noProof/>
        </w:rPr>
        <w:tab/>
      </w:r>
      <w:r w:rsidR="2B2B7BB6" w:rsidRPr="00304D90">
        <w:rPr>
          <w:noProof/>
        </w:rPr>
        <w:t>Za potrebe ove Preporuke „inovativne tehnologije za proizvodnju energije iz obnovljivih izvora” trebalo bi tumačiti kao plutajuće odobalne vjetroagregate i tehnologije za energiju oceana, ne isključujući druge potencijalne inovativne tehnologije za proizvodnju energije iz obnovljivih izvora koje bi mogle imati koristi od ovih preporuka.</w:t>
      </w:r>
    </w:p>
    <w:p w14:paraId="76AB4D76" w14:textId="77777777" w:rsidR="00D10256" w:rsidRPr="00304D90" w:rsidRDefault="007D3064" w:rsidP="007D3064">
      <w:pPr>
        <w:pStyle w:val="Point0"/>
        <w:rPr>
          <w:noProof/>
        </w:rPr>
      </w:pPr>
      <w:r w:rsidRPr="007D3064">
        <w:rPr>
          <w:noProof/>
        </w:rPr>
        <w:t>(3)</w:t>
      </w:r>
      <w:r w:rsidRPr="007D3064">
        <w:rPr>
          <w:noProof/>
        </w:rPr>
        <w:tab/>
      </w:r>
      <w:r w:rsidR="00D10256" w:rsidRPr="00304D90">
        <w:rPr>
          <w:noProof/>
        </w:rPr>
        <w:t>Za potrebe ove Preporuke „mrežna infrastruktura” trebala bi se tumačiti kao svaki projekt uvođenja sredstava za prijenos i distribuciju električne energije ključnih za učinkovit rad elektroenergetskog sustava.</w:t>
      </w:r>
    </w:p>
    <w:p w14:paraId="24C7A7FF" w14:textId="77777777" w:rsidR="00D10256" w:rsidRPr="00304D90" w:rsidRDefault="007D3064" w:rsidP="007D3064">
      <w:pPr>
        <w:pStyle w:val="Point0"/>
        <w:rPr>
          <w:noProof/>
        </w:rPr>
      </w:pPr>
      <w:r w:rsidRPr="007D3064">
        <w:rPr>
          <w:noProof/>
        </w:rPr>
        <w:t>(4)</w:t>
      </w:r>
      <w:r w:rsidRPr="007D3064">
        <w:rPr>
          <w:noProof/>
        </w:rPr>
        <w:tab/>
      </w:r>
      <w:r w:rsidR="00D10256" w:rsidRPr="00304D90">
        <w:rPr>
          <w:noProof/>
        </w:rPr>
        <w:t>Za potrebe ove Preporuke „infrastruktura za skladištenje” trebala bi se tumačiti kao sva sredstva za skladištenje energije na razini prijenosa i distribucije.</w:t>
      </w:r>
    </w:p>
    <w:p w14:paraId="1A84AC7E" w14:textId="77777777" w:rsidR="008D2D6E" w:rsidRPr="00304D90" w:rsidRDefault="00FA29B6" w:rsidP="00091C77">
      <w:pPr>
        <w:pStyle w:val="Titrearticle"/>
        <w:rPr>
          <w:noProof/>
        </w:rPr>
      </w:pPr>
      <w:r w:rsidRPr="00304D90">
        <w:rPr>
          <w:noProof/>
        </w:rPr>
        <w:t xml:space="preserve">JASNIJI REGULATORNI OKVIR ZA INOVATIVNE TEHNOLOGIJE ZA PROIZVODNJU ENERGIJE IZ OBNOVLJIVIH IZVORA </w:t>
      </w:r>
    </w:p>
    <w:p w14:paraId="6EDA22DB" w14:textId="77777777" w:rsidR="008D2D6E" w:rsidRPr="00304D90" w:rsidRDefault="007D3064" w:rsidP="007D3064">
      <w:pPr>
        <w:pStyle w:val="Point0"/>
        <w:rPr>
          <w:noProof/>
        </w:rPr>
      </w:pPr>
      <w:r w:rsidRPr="007D3064">
        <w:rPr>
          <w:noProof/>
        </w:rPr>
        <w:t>(5)</w:t>
      </w:r>
      <w:r w:rsidRPr="007D3064">
        <w:rPr>
          <w:noProof/>
        </w:rPr>
        <w:tab/>
      </w:r>
      <w:r w:rsidR="00B14D5B" w:rsidRPr="00304D90">
        <w:rPr>
          <w:noProof/>
        </w:rPr>
        <w:t>Kad je riječ o inovativnim tehnologijama i oblicima uvođenja energije iz obnovljivih izvora, države članice trebale bi te inovativne oblike uvođenja i inovativne tehnologije u području energije iz obnovljivih izvora definirati u relevantnim nacionalnim propisima kako bi se pojasnilo koji se propisi i kako primjenjuju na svaki pojedini inovativni oblik uvođenja.</w:t>
      </w:r>
    </w:p>
    <w:p w14:paraId="41781788" w14:textId="77777777" w:rsidR="0004787C" w:rsidRPr="00304D90" w:rsidRDefault="007D3064" w:rsidP="007D3064">
      <w:pPr>
        <w:pStyle w:val="Point0"/>
        <w:rPr>
          <w:noProof/>
        </w:rPr>
      </w:pPr>
      <w:r w:rsidRPr="007D3064">
        <w:rPr>
          <w:noProof/>
        </w:rPr>
        <w:t>(6)</w:t>
      </w:r>
      <w:r w:rsidRPr="007D3064">
        <w:rPr>
          <w:noProof/>
        </w:rPr>
        <w:tab/>
      </w:r>
      <w:r w:rsidR="387DE7A5" w:rsidRPr="00304D90">
        <w:rPr>
          <w:noProof/>
        </w:rPr>
        <w:t>Kako bi inovativni oblici uvođenja i inovativne tehnologije u području energije iz obnovljivih izvora imali pristup tržištu, države članice trebale bi utvrditi tehničke standarde koji se moraju poštovati, među ostalim u pogledu sigurnosnih propisa. U tim tehničkim standardima trebale bi se uzeti u obzir posebnosti konkretnog inovativnog oblika uvođenja ili inovativne tehnologije za proizvodnju energije iz obnovljivih izvora.</w:t>
      </w:r>
    </w:p>
    <w:p w14:paraId="372B8C81" w14:textId="77777777" w:rsidR="00B15594" w:rsidRPr="00304D90" w:rsidRDefault="007D3064" w:rsidP="007D3064">
      <w:pPr>
        <w:pStyle w:val="Point0"/>
        <w:rPr>
          <w:noProof/>
        </w:rPr>
      </w:pPr>
      <w:r w:rsidRPr="007D3064">
        <w:rPr>
          <w:noProof/>
        </w:rPr>
        <w:t>(7)</w:t>
      </w:r>
      <w:r w:rsidRPr="007D3064">
        <w:rPr>
          <w:noProof/>
        </w:rPr>
        <w:tab/>
      </w:r>
      <w:r w:rsidR="009748A6" w:rsidRPr="00304D90">
        <w:rPr>
          <w:noProof/>
        </w:rPr>
        <w:t xml:space="preserve">Ne dovodeći u pitanje rokove za izdavanje dozvola iz </w:t>
      </w:r>
      <w:bookmarkStart w:id="0" w:name="_Hlk196941319"/>
      <w:r w:rsidR="009748A6" w:rsidRPr="00304D90">
        <w:rPr>
          <w:noProof/>
        </w:rPr>
        <w:t>Direktive</w:t>
      </w:r>
      <w:bookmarkEnd w:id="0"/>
      <w:r w:rsidR="009748A6" w:rsidRPr="00304D90">
        <w:rPr>
          <w:noProof/>
        </w:rPr>
        <w:t>, države članice trebale bi uspostaviti dovoljno kratke i jasne postupke izdavanja dozvola za inovativne oblike uvođenja i inovativne tehnologije u području energije iz obnovljivih izvora, među ostalim utvrđivanjem potrebnih dozvola i tehničkih standarda.</w:t>
      </w:r>
    </w:p>
    <w:p w14:paraId="1CBA1160" w14:textId="77777777" w:rsidR="002072D1" w:rsidRPr="00304D90" w:rsidRDefault="007D3064" w:rsidP="007D3064">
      <w:pPr>
        <w:pStyle w:val="Point0"/>
        <w:rPr>
          <w:noProof/>
        </w:rPr>
      </w:pPr>
      <w:r w:rsidRPr="007D3064">
        <w:rPr>
          <w:noProof/>
        </w:rPr>
        <w:t>(8)</w:t>
      </w:r>
      <w:r w:rsidRPr="007D3064">
        <w:rPr>
          <w:noProof/>
        </w:rPr>
        <w:tab/>
      </w:r>
      <w:r w:rsidR="13FA3185" w:rsidRPr="00304D90">
        <w:rPr>
          <w:noProof/>
        </w:rPr>
        <w:t>Države članice trebale bi iskoristiti sinergije između inovativnih oblika uvođenja, inovativnih tehnologija za energiju iz obnovljivih izvora i vlastite potrošnje energije iz obnovljivih izvora, među ostalim pojašnjavanjem regulatornog okvira za potrošnju vlastite energije iz obnovljivih izvora prema potrebi.</w:t>
      </w:r>
    </w:p>
    <w:p w14:paraId="2939418E" w14:textId="77777777" w:rsidR="00E14DF4" w:rsidRPr="00304D90" w:rsidRDefault="007D3064" w:rsidP="007D3064">
      <w:pPr>
        <w:pStyle w:val="Point0"/>
        <w:rPr>
          <w:noProof/>
        </w:rPr>
      </w:pPr>
      <w:r w:rsidRPr="007D3064">
        <w:rPr>
          <w:noProof/>
        </w:rPr>
        <w:t>(9)</w:t>
      </w:r>
      <w:r w:rsidRPr="007D3064">
        <w:rPr>
          <w:noProof/>
        </w:rPr>
        <w:tab/>
      </w:r>
      <w:r w:rsidR="00F02FE4" w:rsidRPr="00304D90">
        <w:rPr>
          <w:noProof/>
        </w:rPr>
        <w:t>Države članice trebale bi olakšati višestruko korištenje zemljišta i mora, među ostalim za proizvodnju energije iz obnovljivih izvora, posebno ako to može donijeti lokalne koristi, kao što su smanjenje količine zemljišta potrebnog za energiju iz obnovljivih izvora, ublažavanje tržišnog natjecanja za korištenje zemljišta i mora, sinergije s drugim načinima korištenja zemljišta i mora te pozitivni učinci na prihvaćanje energije iz obnovljivih izvora u javnosti.</w:t>
      </w:r>
    </w:p>
    <w:p w14:paraId="1494A879" w14:textId="77777777" w:rsidR="00E56C63" w:rsidRPr="00304D90" w:rsidRDefault="007D3064" w:rsidP="007D3064">
      <w:pPr>
        <w:pStyle w:val="Point0"/>
        <w:rPr>
          <w:noProof/>
        </w:rPr>
      </w:pPr>
      <w:r w:rsidRPr="007D3064">
        <w:rPr>
          <w:noProof/>
        </w:rPr>
        <w:t>(10)</w:t>
      </w:r>
      <w:r w:rsidRPr="007D3064">
        <w:rPr>
          <w:noProof/>
        </w:rPr>
        <w:tab/>
      </w:r>
      <w:r w:rsidR="7940128A" w:rsidRPr="00304D90">
        <w:rPr>
          <w:noProof/>
        </w:rPr>
        <w:t>Države članice trebale bi prema potrebi razmotriti izmjenu nacionalnog ili regionalnog zakonodavstva kojim se uređuju lokacije na kojima bi se mogli uvesti ti inovativni oblici uvođenja i inovativne tehnologije za proizvodnju energije iz obnovljivih izvora, uzimajući u obzir lokalne posebnosti i potrebe sustava, poštujući pravnu stečevinu EU-a u području okoliša i načela nenanošenja bitne štete na troškovno učinkovit način.</w:t>
      </w:r>
    </w:p>
    <w:p w14:paraId="260FF32A" w14:textId="77777777" w:rsidR="008E275D" w:rsidRPr="00304D90" w:rsidRDefault="007D3064" w:rsidP="007D3064">
      <w:pPr>
        <w:pStyle w:val="Point0"/>
        <w:rPr>
          <w:noProof/>
        </w:rPr>
      </w:pPr>
      <w:r w:rsidRPr="007D3064">
        <w:rPr>
          <w:noProof/>
        </w:rPr>
        <w:t>(11)</w:t>
      </w:r>
      <w:r w:rsidRPr="007D3064">
        <w:rPr>
          <w:noProof/>
        </w:rPr>
        <w:tab/>
      </w:r>
      <w:r w:rsidR="008E275D" w:rsidRPr="00304D90">
        <w:rPr>
          <w:noProof/>
        </w:rPr>
        <w:t>Države članice koje donose prostorne planove morskog područja trebale bi razmotriti određivanje morskih područja za posebne tehnologije za proizvodnju energije iz obnovljivih izvora ili inovativne tehnologije za proizvodnju energije iz obnovljivih izvora ili oboje, uključujući plutajuće odobalne vjetroeagregate, energiju oceana i plutajuća odobalna fotonaponska postrojenja, uzimajući pritom u obzir potencijal za sinergije među tehnologijama.</w:t>
      </w:r>
    </w:p>
    <w:p w14:paraId="4CF0577E" w14:textId="77777777" w:rsidR="00E14DF4" w:rsidRPr="00304D90" w:rsidRDefault="007D3064" w:rsidP="007D3064">
      <w:pPr>
        <w:pStyle w:val="Point0"/>
        <w:rPr>
          <w:noProof/>
        </w:rPr>
      </w:pPr>
      <w:r w:rsidRPr="007D3064">
        <w:rPr>
          <w:noProof/>
        </w:rPr>
        <w:t>(12)</w:t>
      </w:r>
      <w:r w:rsidRPr="007D3064">
        <w:rPr>
          <w:noProof/>
        </w:rPr>
        <w:tab/>
      </w:r>
      <w:r w:rsidR="407BF2AC" w:rsidRPr="00304D90">
        <w:rPr>
          <w:noProof/>
        </w:rPr>
        <w:t>Države članice potiču se da pri provedbi preporuka iz točaka od (5) do (11) uzmu u obzir prakse u području inovativnih tehnologija za proizvodnju energije iz obnovljivih izvora i oblike uvođenja opisane u odjeljku 2. Obavijesti Komisije o inovativnim tehnologijama i oblicima uvođenja energije iz obnovljivih izvora koju je Komisija donijela istog dana kad i Preporuku</w:t>
      </w:r>
      <w:r w:rsidR="00E14DF4" w:rsidRPr="00304D90">
        <w:rPr>
          <w:rStyle w:val="FootnoteReference"/>
          <w:noProof/>
        </w:rPr>
        <w:footnoteReference w:id="7"/>
      </w:r>
      <w:r w:rsidR="407BF2AC" w:rsidRPr="00304D90">
        <w:rPr>
          <w:noProof/>
        </w:rPr>
        <w:t>.</w:t>
      </w:r>
    </w:p>
    <w:p w14:paraId="3B595052" w14:textId="77777777" w:rsidR="00C01052" w:rsidRPr="00304D90" w:rsidRDefault="00C01052" w:rsidP="00AC3141">
      <w:pPr>
        <w:pStyle w:val="Titrearticle"/>
        <w:rPr>
          <w:noProof/>
        </w:rPr>
      </w:pPr>
      <w:r w:rsidRPr="00304D90">
        <w:rPr>
          <w:noProof/>
        </w:rPr>
        <w:t>BRŽI POSTUPCI ZA UVOĐENJE INFRASTRUKTURE ZA MREŽE I SKLADIŠTENJE</w:t>
      </w:r>
    </w:p>
    <w:p w14:paraId="6C6B2191" w14:textId="77777777" w:rsidR="00A55583" w:rsidRPr="00304D90" w:rsidRDefault="007D3064" w:rsidP="007D3064">
      <w:pPr>
        <w:pStyle w:val="Point0"/>
        <w:rPr>
          <w:noProof/>
        </w:rPr>
      </w:pPr>
      <w:r w:rsidRPr="007D3064">
        <w:rPr>
          <w:noProof/>
        </w:rPr>
        <w:t>(13)</w:t>
      </w:r>
      <w:r w:rsidRPr="007D3064">
        <w:rPr>
          <w:noProof/>
        </w:rPr>
        <w:tab/>
      </w:r>
      <w:r w:rsidR="00B14D5B" w:rsidRPr="00304D90">
        <w:rPr>
          <w:noProof/>
        </w:rPr>
        <w:t xml:space="preserve">Kad je riječ o </w:t>
      </w:r>
      <w:bookmarkStart w:id="1" w:name="_Hlk196941724"/>
      <w:r w:rsidR="00B14D5B" w:rsidRPr="00304D90">
        <w:rPr>
          <w:noProof/>
        </w:rPr>
        <w:t>mrežnoj infrastrukturi i infrastrukturi za skladištenje</w:t>
      </w:r>
      <w:bookmarkEnd w:id="1"/>
      <w:r w:rsidR="00B14D5B" w:rsidRPr="00304D90">
        <w:rPr>
          <w:noProof/>
        </w:rPr>
        <w:t xml:space="preserve"> potrebnoj za integriranje energije iz obnovljivih izvora u elektroenergetski sustav, države članice trebale bi uspostaviti namjenska infrastrukturna područja u skladu s člankom 15.e Direktive kako bi se na najbolji način iskoristile mogućnosti izdavanja dozvola za jačanje infrastrukture elektroenergetske mreže i skladištenja.</w:t>
      </w:r>
    </w:p>
    <w:p w14:paraId="64F3B853" w14:textId="77777777" w:rsidR="00F16E92" w:rsidRPr="00304D90" w:rsidRDefault="007D3064" w:rsidP="007D3064">
      <w:pPr>
        <w:pStyle w:val="Point0"/>
        <w:rPr>
          <w:noProof/>
        </w:rPr>
      </w:pPr>
      <w:r w:rsidRPr="007D3064">
        <w:rPr>
          <w:noProof/>
        </w:rPr>
        <w:t>(14)</w:t>
      </w:r>
      <w:r w:rsidRPr="007D3064">
        <w:rPr>
          <w:noProof/>
        </w:rPr>
        <w:tab/>
      </w:r>
      <w:r w:rsidR="00A55583" w:rsidRPr="00304D90">
        <w:rPr>
          <w:noProof/>
        </w:rPr>
        <w:t xml:space="preserve">Države članice trebale bi brzo donijeti posebne planove za određivanje </w:t>
      </w:r>
      <w:bookmarkStart w:id="2" w:name="_Hlk196841800"/>
      <w:r w:rsidR="00A55583" w:rsidRPr="00304D90">
        <w:rPr>
          <w:noProof/>
        </w:rPr>
        <w:t>namjenskih infrastrukturnih područja za razvoj projekata mreže i skladištenja</w:t>
      </w:r>
      <w:bookmarkEnd w:id="2"/>
      <w:r w:rsidR="00A55583" w:rsidRPr="00304D90">
        <w:rPr>
          <w:noProof/>
        </w:rPr>
        <w:t xml:space="preserve"> u skladu s člankom 15.e Direktive.</w:t>
      </w:r>
    </w:p>
    <w:p w14:paraId="74F343B5" w14:textId="77777777" w:rsidR="00F16E92" w:rsidRPr="00304D90" w:rsidRDefault="007D3064" w:rsidP="007D3064">
      <w:pPr>
        <w:pStyle w:val="Point0"/>
        <w:rPr>
          <w:noProof/>
        </w:rPr>
      </w:pPr>
      <w:r w:rsidRPr="007D3064">
        <w:rPr>
          <w:noProof/>
        </w:rPr>
        <w:t>(15)</w:t>
      </w:r>
      <w:r w:rsidRPr="007D3064">
        <w:rPr>
          <w:noProof/>
        </w:rPr>
        <w:tab/>
      </w:r>
      <w:r w:rsidR="00C22F45" w:rsidRPr="00304D90">
        <w:rPr>
          <w:noProof/>
        </w:rPr>
        <w:t>Pri određivanju tih područja države članice trebale bi surađivati s operaterima sustava kako bi se uzele u obzir potrebe elektroenergetskog sustava i osigurale sinergije s postojećim planovima, procjenama i područjima koja su već utvrđena u okviru drugih procesa. To mogu biti planovi razvoja mreže, nacionalni energetski i klimatski planovi, nacionalni programi kontrole onečišćenja zraka, prostorni planovi morskog područja, procjene potreba za fleksibilnošću i kartiranje koje se provodi za određivanje područja za brži razvoj obnovljivih izvora energije u skladu s člankom 15.b Direktive.</w:t>
      </w:r>
    </w:p>
    <w:p w14:paraId="337964C0" w14:textId="77777777" w:rsidR="00E8796E" w:rsidRPr="00304D90" w:rsidRDefault="007D3064" w:rsidP="007D3064">
      <w:pPr>
        <w:pStyle w:val="Point0"/>
        <w:rPr>
          <w:noProof/>
        </w:rPr>
      </w:pPr>
      <w:bookmarkStart w:id="3" w:name="_Hlk200957151"/>
      <w:r w:rsidRPr="007D3064">
        <w:rPr>
          <w:noProof/>
        </w:rPr>
        <w:t>(16)</w:t>
      </w:r>
      <w:r w:rsidRPr="007D3064">
        <w:rPr>
          <w:noProof/>
        </w:rPr>
        <w:tab/>
      </w:r>
      <w:r w:rsidR="00E8796E" w:rsidRPr="00304D90">
        <w:rPr>
          <w:noProof/>
        </w:rPr>
        <w:t>Kako bi se ubrzalo uvođenje prekogranične infrastrukture, posebno s ciljem dovršetka energetske unije, države članice trebale bi blisko surađivati na definiranju mreža i skladišnih područja blizu njihovih granica koja mogu biti obuhvaćena člankom 15.e te koordinirati savjetovanja s relevantnim dionicima, pravilnike o ublažavanju i moguće kompenzacijske mjere primjenjive u slučaju znatnih učinaka na okoliš u tim područjima koji se ne mogu izbjeći.</w:t>
      </w:r>
    </w:p>
    <w:bookmarkEnd w:id="3"/>
    <w:p w14:paraId="531AE61A" w14:textId="77777777" w:rsidR="00F16E92" w:rsidRPr="00304D90" w:rsidRDefault="007D3064" w:rsidP="007D3064">
      <w:pPr>
        <w:pStyle w:val="Point0"/>
        <w:rPr>
          <w:noProof/>
        </w:rPr>
      </w:pPr>
      <w:r w:rsidRPr="007D3064">
        <w:rPr>
          <w:noProof/>
        </w:rPr>
        <w:t>(17)</w:t>
      </w:r>
      <w:r w:rsidRPr="007D3064">
        <w:rPr>
          <w:noProof/>
        </w:rPr>
        <w:tab/>
      </w:r>
      <w:r w:rsidR="00FF14F1" w:rsidRPr="00304D90">
        <w:rPr>
          <w:noProof/>
        </w:rPr>
        <w:t>Ako se ne mogu izbjeći znatni negativni učinci na okoliš zbog izgradnje i rada projekata u tim područjima, oni bi se trebali propisno ublažiti ili, ako to nije moguće, kompenzirati. Države članice dužne su postupati u skladu s relevantnim odredbama članka 15.e Direktive kako bi se izbjegli ili smanjili negativni učinci te donijeti poseban pravilnik kojim se utvrđuju pravila za odgovarajuće i razmjerne mjere ublažavanja.</w:t>
      </w:r>
    </w:p>
    <w:p w14:paraId="49FA50CE" w14:textId="77777777" w:rsidR="008515FF" w:rsidRPr="00304D90" w:rsidRDefault="007D3064" w:rsidP="007D3064">
      <w:pPr>
        <w:pStyle w:val="Point0"/>
        <w:rPr>
          <w:noProof/>
        </w:rPr>
      </w:pPr>
      <w:r w:rsidRPr="007D3064">
        <w:rPr>
          <w:noProof/>
        </w:rPr>
        <w:t>(18)</w:t>
      </w:r>
      <w:r w:rsidRPr="007D3064">
        <w:rPr>
          <w:noProof/>
        </w:rPr>
        <w:tab/>
      </w:r>
      <w:r w:rsidR="008515FF" w:rsidRPr="00304D90">
        <w:rPr>
          <w:noProof/>
        </w:rPr>
        <w:t>Države članice trebale bi što je više moguće iskoristiti postojeće digitalne alate pri provedbi preporuka iz točaka od (13) do (17).</w:t>
      </w:r>
    </w:p>
    <w:p w14:paraId="22FAD51D" w14:textId="77777777" w:rsidR="00C22F45" w:rsidRPr="00304D90" w:rsidRDefault="007D3064" w:rsidP="007D3064">
      <w:pPr>
        <w:pStyle w:val="Point0"/>
        <w:rPr>
          <w:noProof/>
        </w:rPr>
      </w:pPr>
      <w:r w:rsidRPr="007D3064">
        <w:rPr>
          <w:noProof/>
        </w:rPr>
        <w:t>(19)</w:t>
      </w:r>
      <w:r w:rsidRPr="007D3064">
        <w:rPr>
          <w:noProof/>
        </w:rPr>
        <w:tab/>
      </w:r>
      <w:r w:rsidR="002B3ECC" w:rsidRPr="00304D90">
        <w:rPr>
          <w:noProof/>
        </w:rPr>
        <w:t>Nakon određivanja područja za mrežnu infrastrukturu i infrastrukturu za skladištenje države članice mogu dopustiti izuzeća od određenih procjena utjecaja na okoliš na temelju članka 15.e stavka 2. Direktive ako je to opravdano kako bi se ubrzalo uvođenje energije iz obnovljivih izvora i priključivanje krajnjih korisnika na elektroenergetsku mrežu, uključujući industrijske potrošače, i tako postigli klimatski ciljevi i ciljevi u pogledu energije iz obnovljivih izvora.</w:t>
      </w:r>
    </w:p>
    <w:p w14:paraId="0BCE910E" w14:textId="77777777" w:rsidR="00C22F45" w:rsidRPr="00304D90" w:rsidRDefault="007D3064" w:rsidP="007D3064">
      <w:pPr>
        <w:pStyle w:val="Point0"/>
        <w:rPr>
          <w:noProof/>
        </w:rPr>
      </w:pPr>
      <w:r w:rsidRPr="007D3064">
        <w:rPr>
          <w:noProof/>
        </w:rPr>
        <w:t>(20)</w:t>
      </w:r>
      <w:r w:rsidRPr="007D3064">
        <w:rPr>
          <w:noProof/>
        </w:rPr>
        <w:tab/>
      </w:r>
      <w:r w:rsidR="00C22F45" w:rsidRPr="00304D90">
        <w:rPr>
          <w:noProof/>
        </w:rPr>
        <w:t>Ako se projekti provode u namjenskim područjima za mrežnu infrastrukturu i infrastrukturu za skladištenje, države članice trebaju uspostaviti odgovarajući ubrzani postupak provjere na temelju dostupnih podataka o okolišu kako bi se provjerilo postoje li vjerojatni znatni nepredviđeni štetni učinci na okoliš koji bi proizašli iz izgradnje ili rada projekata.</w:t>
      </w:r>
    </w:p>
    <w:p w14:paraId="0E9F7F8F" w14:textId="77777777" w:rsidR="00C22F45" w:rsidRPr="00304D90" w:rsidRDefault="007D3064" w:rsidP="007D3064">
      <w:pPr>
        <w:pStyle w:val="Point0"/>
        <w:rPr>
          <w:noProof/>
        </w:rPr>
      </w:pPr>
      <w:r w:rsidRPr="007D3064">
        <w:rPr>
          <w:noProof/>
        </w:rPr>
        <w:t>(21)</w:t>
      </w:r>
      <w:r w:rsidRPr="007D3064">
        <w:rPr>
          <w:noProof/>
        </w:rPr>
        <w:tab/>
      </w:r>
      <w:r w:rsidR="7A90A3A8" w:rsidRPr="00304D90">
        <w:rPr>
          <w:noProof/>
        </w:rPr>
        <w:t>Države članice potiču se da pri provedbi preporuka iz točaka od (13) do (20) razmotre prakse opisane u smjernicama za uspostavu područja za mrežnu infrastrukturu i infrastrukturu za skladištenje potrebnima za integriranje energije iz obnovljivih izvora u elektroenergetski sustav koje je Komisija donijela istog dana kad i ovu Preporuku</w:t>
      </w:r>
      <w:r w:rsidR="00C22F45" w:rsidRPr="00304D90">
        <w:rPr>
          <w:rStyle w:val="FootnoteReference"/>
          <w:noProof/>
        </w:rPr>
        <w:footnoteReference w:id="8"/>
      </w:r>
      <w:r w:rsidR="7A90A3A8" w:rsidRPr="00304D90">
        <w:rPr>
          <w:noProof/>
        </w:rPr>
        <w:t>.</w:t>
      </w:r>
    </w:p>
    <w:p w14:paraId="17ED50A4" w14:textId="77777777" w:rsidR="00FA29B6" w:rsidRPr="00304D90" w:rsidRDefault="00FA29B6" w:rsidP="009F2644">
      <w:pPr>
        <w:pStyle w:val="Titrearticle"/>
        <w:rPr>
          <w:noProof/>
        </w:rPr>
      </w:pPr>
      <w:r w:rsidRPr="00304D90">
        <w:rPr>
          <w:noProof/>
        </w:rPr>
        <w:t xml:space="preserve">POVOLJNI FINANCIJSKI OKVIRI ZA </w:t>
      </w:r>
      <w:bookmarkStart w:id="4" w:name="_Hlk196942304"/>
      <w:r w:rsidRPr="00304D90">
        <w:rPr>
          <w:noProof/>
        </w:rPr>
        <w:t>INOVATIVNE TEHNOLOGIJE I OBLIKE UVOĐENJA ENERGIJE IZ OBNOVLJIVIH IZVORA</w:t>
      </w:r>
      <w:bookmarkEnd w:id="4"/>
    </w:p>
    <w:p w14:paraId="063B6631" w14:textId="77777777" w:rsidR="00FA29B6" w:rsidRPr="00304D90" w:rsidRDefault="007D3064" w:rsidP="007D3064">
      <w:pPr>
        <w:pStyle w:val="Point0"/>
        <w:rPr>
          <w:noProof/>
        </w:rPr>
      </w:pPr>
      <w:r w:rsidRPr="007D3064">
        <w:rPr>
          <w:noProof/>
        </w:rPr>
        <w:t>(22)</w:t>
      </w:r>
      <w:r w:rsidRPr="007D3064">
        <w:rPr>
          <w:noProof/>
        </w:rPr>
        <w:tab/>
      </w:r>
      <w:r w:rsidR="2E959A55" w:rsidRPr="00304D90">
        <w:rPr>
          <w:noProof/>
        </w:rPr>
        <w:t>Države članice potiču se da razmotre kombiniranje različitih tehnologija za proizvodnju energije iz obnovljivih izvora, uključujući one inovativne, na istoj lokaciji, uključujući i odobalne lokacije. To se naziva i hibridizacija. Hibridizacijom se iskorištava komplementarna priroda različitih obnovljivih izvora energije i stvara učinkovitiji, pouzdaniji i stabilniji elektroenergetski sustav. Dijeljenjem priključka na mrežu moglo bi se pridonijeti smanjenju troškova tih inovativnih projekata, stabilizaciji mreže i smanjenju potrebe za proširenjem i skladištenjem mreže te oblikovati prilagodljive usluge opskrbe i potpore mreži. Pritom bi države članice trebale proučiti Preporuku</w:t>
      </w:r>
      <w:r w:rsidR="00F37CD1" w:rsidRPr="00304D90">
        <w:rPr>
          <w:rStyle w:val="FootnoteReference"/>
          <w:noProof/>
        </w:rPr>
        <w:footnoteReference w:id="9"/>
      </w:r>
      <w:r w:rsidR="2E959A55" w:rsidRPr="00304D90">
        <w:rPr>
          <w:noProof/>
        </w:rPr>
        <w:t xml:space="preserve"> i smjernice</w:t>
      </w:r>
      <w:r w:rsidR="00E206D8" w:rsidRPr="00304D90">
        <w:rPr>
          <w:rStyle w:val="FootnoteReference"/>
          <w:noProof/>
        </w:rPr>
        <w:footnoteReference w:id="10"/>
      </w:r>
      <w:r w:rsidR="2E959A55" w:rsidRPr="00304D90">
        <w:rPr>
          <w:noProof/>
        </w:rPr>
        <w:t>o postupcima izdavanja dozvola za projekte u području energije iz obnovljivih izvora.</w:t>
      </w:r>
    </w:p>
    <w:p w14:paraId="2FCC2BA3" w14:textId="77777777" w:rsidR="005F3FD7" w:rsidRPr="00304D90" w:rsidRDefault="007D3064" w:rsidP="007D3064">
      <w:pPr>
        <w:pStyle w:val="Point0"/>
        <w:rPr>
          <w:noProof/>
        </w:rPr>
      </w:pPr>
      <w:r w:rsidRPr="007D3064">
        <w:rPr>
          <w:noProof/>
        </w:rPr>
        <w:t>(23)</w:t>
      </w:r>
      <w:r w:rsidRPr="007D3064">
        <w:rPr>
          <w:noProof/>
        </w:rPr>
        <w:tab/>
      </w:r>
      <w:r w:rsidR="44586431" w:rsidRPr="00304D90">
        <w:rPr>
          <w:noProof/>
        </w:rPr>
        <w:t>Države članice mogu programe potpore osmisliti tako da potiču sudjelovanje inovativnih oblika uvođenja i inovativnih tehnologija za proizvodnju energije iz obnovljivih izvora, osiguravajući da pretkvalifikacijski kriteriji i kriteriji za dodjelu omogućuju njihovu prihvatljivost i uspješno sudjelovanje uz istodobno održavanje konkurentnosti programa. Prema potrebi, države članice trebale bi razmotriti daljnje promicanje inovativnih oblika uvođenja i inovativnih tehnologija u području energije iz obnovljivih izvora, među ostalim uvođenjem necjenovnih kriterija za nagrađivanje inovacija u obliku zahtjeva za postizanje minimalne razine poboljšanja ključnih pokazatelja uspješnosti koja nadilazi najnovija dostignuća tehnologija i rješenja koja su već na tržištu, i to utvrđivanjem zasebnih kategorija za njih ili osmišljavanjem posebnih postupaka javne nabave za njih</w:t>
      </w:r>
      <w:r w:rsidR="000B401C" w:rsidRPr="00304D90">
        <w:rPr>
          <w:rStyle w:val="FootnoteReference"/>
          <w:noProof/>
        </w:rPr>
        <w:footnoteReference w:id="11"/>
      </w:r>
      <w:r w:rsidR="44586431" w:rsidRPr="00304D90">
        <w:rPr>
          <w:noProof/>
        </w:rPr>
        <w:t>. Pri osmišljavanju programa potpore za obnovljive izvore energije države članice trebale bi proučiti Preporuku</w:t>
      </w:r>
      <w:r w:rsidR="00DB1FC4" w:rsidRPr="00304D90">
        <w:rPr>
          <w:rStyle w:val="FootnoteReference"/>
          <w:noProof/>
        </w:rPr>
        <w:footnoteReference w:id="12"/>
      </w:r>
      <w:r w:rsidR="44586431" w:rsidRPr="00304D90">
        <w:rPr>
          <w:noProof/>
        </w:rPr>
        <w:t xml:space="preserve"> i smjernice</w:t>
      </w:r>
      <w:r w:rsidR="00F725D3" w:rsidRPr="00304D90">
        <w:rPr>
          <w:rStyle w:val="FootnoteReference"/>
          <w:noProof/>
        </w:rPr>
        <w:footnoteReference w:id="13"/>
      </w:r>
      <w:r w:rsidR="44586431" w:rsidRPr="00304D90">
        <w:rPr>
          <w:noProof/>
        </w:rPr>
        <w:t xml:space="preserve"> o elementima dizajna dražbi za energiju iz obnovljivih izvora i provedbeni akt</w:t>
      </w:r>
      <w:r w:rsidR="00E206D8" w:rsidRPr="00304D90">
        <w:rPr>
          <w:rStyle w:val="FootnoteReference"/>
          <w:noProof/>
        </w:rPr>
        <w:footnoteReference w:id="14"/>
      </w:r>
      <w:r w:rsidR="44586431" w:rsidRPr="00304D90">
        <w:rPr>
          <w:noProof/>
        </w:rPr>
        <w:t xml:space="preserve"> o necjenovnim kriterijima u dražbama za energiju iz obnovljivih izvora u skladu s Aktom o industriji s nultom neto stopom emisija. </w:t>
      </w:r>
    </w:p>
    <w:p w14:paraId="46B2CAC8" w14:textId="77777777" w:rsidR="008E275D" w:rsidRPr="00304D90" w:rsidRDefault="007D3064" w:rsidP="007D3064">
      <w:pPr>
        <w:pStyle w:val="Point0"/>
        <w:rPr>
          <w:noProof/>
        </w:rPr>
      </w:pPr>
      <w:r w:rsidRPr="007D3064">
        <w:rPr>
          <w:noProof/>
        </w:rPr>
        <w:t>(24)</w:t>
      </w:r>
      <w:r w:rsidRPr="007D3064">
        <w:rPr>
          <w:noProof/>
        </w:rPr>
        <w:tab/>
      </w:r>
      <w:r w:rsidR="4F085E96" w:rsidRPr="00304D90">
        <w:rPr>
          <w:noProof/>
        </w:rPr>
        <w:t>Države članice trebale bi razmotriti osmišljavanje programa potpore za uvođenje energije iz obnovljivih izvora na moru na način kojim se potiče sudjelovanje svih relevantnih inovativnih oblika uvođenja i inovativnih tehnologija za proizvodnju energije iz obnovljivih izvora, uključujući plutajuće odobalne vjetroagregate, energiju oceana i plutajuće odobalne fotonaponske sustave, uzimajući pritom u obzir potencijal za sinergije među tehnologijama.</w:t>
      </w:r>
    </w:p>
    <w:p w14:paraId="541A27D5" w14:textId="77777777" w:rsidR="00E56C63" w:rsidRPr="00304D90" w:rsidRDefault="007D3064" w:rsidP="007D3064">
      <w:pPr>
        <w:pStyle w:val="Point0"/>
        <w:rPr>
          <w:noProof/>
        </w:rPr>
      </w:pPr>
      <w:r w:rsidRPr="007D3064">
        <w:rPr>
          <w:noProof/>
        </w:rPr>
        <w:t>(25)</w:t>
      </w:r>
      <w:r w:rsidRPr="007D3064">
        <w:rPr>
          <w:noProof/>
        </w:rPr>
        <w:tab/>
      </w:r>
      <w:r w:rsidR="79DD9A03" w:rsidRPr="00304D90">
        <w:rPr>
          <w:noProof/>
        </w:rPr>
        <w:t xml:space="preserve">Države članice trebale bi razmotriti promicanje razvoja poljoprivrednih fotonaponskih sustava s pomoću posebnih politika u okviru svojih strateških planova zajedničke poljoprivredne politike. Trebale bi utvrditi i uvjete prihvatljivosti za dodjelu potpore dohotku za poljoprivrednike koji raspolažu poljoprivrednim fotonaponskim postrojenjima. </w:t>
      </w:r>
    </w:p>
    <w:p w14:paraId="0A76F3AB" w14:textId="77777777" w:rsidR="00F33250" w:rsidRPr="00304D90" w:rsidRDefault="007D3064" w:rsidP="007D3064">
      <w:pPr>
        <w:pStyle w:val="Point0"/>
        <w:rPr>
          <w:noProof/>
        </w:rPr>
      </w:pPr>
      <w:r w:rsidRPr="007D3064">
        <w:rPr>
          <w:noProof/>
        </w:rPr>
        <w:t>(26)</w:t>
      </w:r>
      <w:r w:rsidRPr="007D3064">
        <w:rPr>
          <w:noProof/>
        </w:rPr>
        <w:tab/>
      </w:r>
      <w:r w:rsidR="72718246" w:rsidRPr="00304D90">
        <w:rPr>
          <w:noProof/>
        </w:rPr>
        <w:t>Za potrebe ugradnje fotonaponskih sustava u zgrade u skladu s člankom 10. Direktive (EU) 2024/1275 Europskog parlamenta i Vijeća</w:t>
      </w:r>
      <w:r w:rsidR="00056690" w:rsidRPr="00304D90">
        <w:rPr>
          <w:rStyle w:val="FootnoteReference"/>
          <w:noProof/>
        </w:rPr>
        <w:footnoteReference w:id="15"/>
      </w:r>
      <w:r w:rsidR="72718246" w:rsidRPr="00304D90">
        <w:rPr>
          <w:noProof/>
        </w:rPr>
        <w:t xml:space="preserve"> države članice trebale bi promicati uvođenje fotonaponskih sustava integriranih u zgrade u okviru javne nabave proizvoda za solarnu energiju primjenom necjenovnih kriterija.</w:t>
      </w:r>
    </w:p>
    <w:p w14:paraId="106EA012" w14:textId="77777777" w:rsidR="00E14DF4" w:rsidRPr="00304D90" w:rsidRDefault="007D3064" w:rsidP="007D3064">
      <w:pPr>
        <w:pStyle w:val="Point0"/>
        <w:rPr>
          <w:noProof/>
        </w:rPr>
      </w:pPr>
      <w:r w:rsidRPr="007D3064">
        <w:rPr>
          <w:noProof/>
        </w:rPr>
        <w:t>(27)</w:t>
      </w:r>
      <w:r w:rsidRPr="007D3064">
        <w:rPr>
          <w:noProof/>
        </w:rPr>
        <w:tab/>
      </w:r>
      <w:r w:rsidR="407BF2AC" w:rsidRPr="00304D90">
        <w:rPr>
          <w:noProof/>
        </w:rPr>
        <w:t>Države članice potiču se da pri provedbi preporuka iz točaka od (22) do (26) uzmu u obzir prakse opisane u odjeljku 3. smjernica o inovativnim tehnologijama i oblicima uvođenja energije iz obnovljivih izvora</w:t>
      </w:r>
      <w:r w:rsidR="00056690" w:rsidRPr="00304D90">
        <w:rPr>
          <w:rStyle w:val="FootnoteReference"/>
          <w:noProof/>
        </w:rPr>
        <w:footnoteReference w:id="16"/>
      </w:r>
      <w:r w:rsidR="407BF2AC" w:rsidRPr="00304D90">
        <w:rPr>
          <w:noProof/>
        </w:rPr>
        <w:t>, koje je Komisija donijela istog dana kao i Preporuku.</w:t>
      </w:r>
    </w:p>
    <w:p w14:paraId="7EFF87CF" w14:textId="77777777" w:rsidR="00FA29B6" w:rsidRPr="00304D90" w:rsidRDefault="00FA29B6" w:rsidP="009F2644">
      <w:pPr>
        <w:pStyle w:val="Titrearticle"/>
        <w:rPr>
          <w:noProof/>
        </w:rPr>
      </w:pPr>
      <w:r w:rsidRPr="00304D90">
        <w:rPr>
          <w:noProof/>
        </w:rPr>
        <w:t>RAZVIJANJE ZNANJA I ISKUSTVA O INOVATIVNIM TEHNOLOGIJAMA I OBLICIMA UVOĐENJA ENERGIJE IZ OBNOVLJIVIH IZVORA</w:t>
      </w:r>
    </w:p>
    <w:p w14:paraId="2C0A1606" w14:textId="77777777" w:rsidR="00E14DF4" w:rsidRPr="00304D90" w:rsidRDefault="007D3064" w:rsidP="007D3064">
      <w:pPr>
        <w:pStyle w:val="Point0"/>
        <w:rPr>
          <w:noProof/>
        </w:rPr>
      </w:pPr>
      <w:r w:rsidRPr="007D3064">
        <w:rPr>
          <w:noProof/>
        </w:rPr>
        <w:t>(28)</w:t>
      </w:r>
      <w:r w:rsidRPr="007D3064">
        <w:rPr>
          <w:noProof/>
        </w:rPr>
        <w:tab/>
      </w:r>
      <w:r w:rsidR="00D245B1" w:rsidRPr="00304D90">
        <w:rPr>
          <w:noProof/>
        </w:rPr>
        <w:t>Države članice potiču se da promiču kontinuirano istraživanje inovativnih oblika uvođenja i inovativnih tehnologija u području energije iz obnovljivih izvora, među ostalim putem pilot-projekata, demonstracija, ispitivanja i studija, tj. da promiču kontinuirano istraživanje njihova potencijala da doprinesu cilju Unije u pogledu energije iz obnovljivih izvora i njihovih vjerojatnih učinaka na okoliš.</w:t>
      </w:r>
    </w:p>
    <w:p w14:paraId="19FBA78B" w14:textId="77777777" w:rsidR="00D245B1" w:rsidRPr="00304D90" w:rsidRDefault="007D3064" w:rsidP="007D3064">
      <w:pPr>
        <w:pStyle w:val="Point0"/>
        <w:rPr>
          <w:noProof/>
        </w:rPr>
      </w:pPr>
      <w:r w:rsidRPr="007D3064">
        <w:rPr>
          <w:noProof/>
        </w:rPr>
        <w:t>(29)</w:t>
      </w:r>
      <w:r w:rsidRPr="007D3064">
        <w:rPr>
          <w:noProof/>
        </w:rPr>
        <w:tab/>
      </w:r>
      <w:r w:rsidR="00D245B1" w:rsidRPr="00304D90">
        <w:rPr>
          <w:noProof/>
        </w:rPr>
        <w:t>Države članice potiču se da redovito prate inovativne projekte na svojem području i šire stečeno znanje, među ostalim među državama članicama.</w:t>
      </w:r>
    </w:p>
    <w:p w14:paraId="66573E49" w14:textId="77777777" w:rsidR="004C3050" w:rsidRPr="00304D90" w:rsidRDefault="007D3064" w:rsidP="007D3064">
      <w:pPr>
        <w:pStyle w:val="Point0"/>
        <w:rPr>
          <w:noProof/>
        </w:rPr>
      </w:pPr>
      <w:r w:rsidRPr="007D3064">
        <w:rPr>
          <w:noProof/>
        </w:rPr>
        <w:t>(30)</w:t>
      </w:r>
      <w:r w:rsidRPr="007D3064">
        <w:rPr>
          <w:noProof/>
        </w:rPr>
        <w:tab/>
      </w:r>
      <w:r w:rsidR="00D245B1" w:rsidRPr="00304D90">
        <w:rPr>
          <w:noProof/>
        </w:rPr>
        <w:t>Države članice trebale bi poticati suradnju različitih javnih tijela uključenih u oblikovanje i provedbu regulatornog okvira inovativnih oblika uvođenja i inovativnih tehnologija u području energije iz obnovljivih izvora i među sobom, među ostalim organiziranjem posebnih sastanaka ili foruma za promicanje razmjene.</w:t>
      </w:r>
      <w:r w:rsidR="00D245B1" w:rsidRPr="00304D90">
        <w:rPr>
          <w:noProof/>
          <w:color w:val="000000" w:themeColor="text1"/>
        </w:rPr>
        <w:t xml:space="preserve"> </w:t>
      </w:r>
      <w:r w:rsidR="00D245B1" w:rsidRPr="00304D90">
        <w:rPr>
          <w:noProof/>
        </w:rPr>
        <w:t xml:space="preserve">Koordinaciju na nacionalnoj razini trebalo bi kombinirati s radom na standardizaciji i interoperabilnosti u svim državama članicama. </w:t>
      </w:r>
    </w:p>
    <w:p w14:paraId="3BFD589A" w14:textId="77777777" w:rsidR="0093034F" w:rsidRPr="00304D90" w:rsidRDefault="007D3064" w:rsidP="007D3064">
      <w:pPr>
        <w:pStyle w:val="Point0"/>
        <w:rPr>
          <w:noProof/>
        </w:rPr>
      </w:pPr>
      <w:bookmarkStart w:id="5" w:name="_Hlk199228967"/>
      <w:r w:rsidRPr="007D3064">
        <w:rPr>
          <w:noProof/>
        </w:rPr>
        <w:t>(31)</w:t>
      </w:r>
      <w:r w:rsidRPr="007D3064">
        <w:rPr>
          <w:noProof/>
        </w:rPr>
        <w:tab/>
      </w:r>
      <w:r w:rsidR="00D245B1" w:rsidRPr="00304D90">
        <w:rPr>
          <w:noProof/>
        </w:rPr>
        <w:t xml:space="preserve">Države članice trebale bi riješiti problem nedostatka iskustva i vještina u javnoj upravi u suradnji sa stručnjacima koji rade s tim inovativnim oblicima uvođenja i inovativnim tehnologijama u području energije iz obnovljivih izvora. U tom se pogledu države članice potiču na promicanje prilagođene obuke i izgradnje kapaciteta. Pritom mogu koristiti i mogućnosti koje se pružaju na razini EU-a, kao što je financijska i tehnička pomoć Europske komisije koja se pruža u okviru programa kao što su Cohesion 4 Transition i program LIFE Pakta za vještine. </w:t>
      </w:r>
      <w:bookmarkEnd w:id="5"/>
    </w:p>
    <w:p w14:paraId="013CDCDF" w14:textId="77777777" w:rsidR="007EC0CE" w:rsidRPr="00304D90" w:rsidRDefault="007D3064" w:rsidP="007D3064">
      <w:pPr>
        <w:pStyle w:val="Point0"/>
        <w:rPr>
          <w:noProof/>
        </w:rPr>
      </w:pPr>
      <w:r w:rsidRPr="007D3064">
        <w:rPr>
          <w:noProof/>
        </w:rPr>
        <w:t>(32)</w:t>
      </w:r>
      <w:r w:rsidRPr="007D3064">
        <w:rPr>
          <w:noProof/>
        </w:rPr>
        <w:tab/>
      </w:r>
      <w:r w:rsidR="407BF2AC" w:rsidRPr="00304D90">
        <w:rPr>
          <w:noProof/>
        </w:rPr>
        <w:t>Države članice potiču se da pri provedbi preporuka iz točaka od 28. do 31. uzmu u obzir prakse opisane u odjeljku 4. smjernica o inovativnim tehnologijama i oblicima uvođenja energije iz obnovljivih izvora, koje je Komisija donijela istog dana kad i Preporuku.</w:t>
      </w:r>
    </w:p>
    <w:p w14:paraId="16F21115" w14:textId="77777777" w:rsidR="007EC0CE" w:rsidRPr="00304D90" w:rsidRDefault="09BD5D39" w:rsidP="00DD46B2">
      <w:pPr>
        <w:pStyle w:val="Titrearticle"/>
        <w:rPr>
          <w:noProof/>
        </w:rPr>
      </w:pPr>
      <w:r w:rsidRPr="00304D90">
        <w:rPr>
          <w:noProof/>
        </w:rPr>
        <w:t>NAKNADE ZA ELEKTROENERGETSKU MREŽU PRILAGOĐENE BUDUĆIM POTREBAMA KAKO BI SE SMANJILI TROŠKOVI ENERGETSKOG SUSTAVA</w:t>
      </w:r>
    </w:p>
    <w:p w14:paraId="5F8623B3" w14:textId="77777777" w:rsidR="18219992" w:rsidRPr="00304D90" w:rsidRDefault="007D3064" w:rsidP="007D3064">
      <w:pPr>
        <w:pStyle w:val="Point0"/>
        <w:rPr>
          <w:noProof/>
        </w:rPr>
      </w:pPr>
      <w:r w:rsidRPr="007D3064">
        <w:rPr>
          <w:noProof/>
        </w:rPr>
        <w:t>(33)</w:t>
      </w:r>
      <w:r w:rsidRPr="007D3064">
        <w:rPr>
          <w:noProof/>
        </w:rPr>
        <w:tab/>
      </w:r>
      <w:r w:rsidR="5DCA8D81" w:rsidRPr="00304D90">
        <w:rPr>
          <w:noProof/>
        </w:rPr>
        <w:t xml:space="preserve">Potreban je dobro planiran i pažljiv pristup potrošačima u kućanstvima i industriji kako bi se korisnicima omogućilo da se prilagode tarifama koje su proporcionalnije troškovima. Temeljito uključivanje dionika i postepeno uvođenje promjena ključno je za upravljanje kratkoročnim učincima na specifične skupine korisnika.   </w:t>
      </w:r>
    </w:p>
    <w:p w14:paraId="381483E6" w14:textId="77777777" w:rsidR="18219992" w:rsidRPr="00304D90" w:rsidRDefault="007D3064" w:rsidP="007D3064">
      <w:pPr>
        <w:pStyle w:val="Point0"/>
        <w:rPr>
          <w:noProof/>
        </w:rPr>
      </w:pPr>
      <w:r w:rsidRPr="007D3064">
        <w:rPr>
          <w:noProof/>
        </w:rPr>
        <w:t>(34)</w:t>
      </w:r>
      <w:r w:rsidRPr="007D3064">
        <w:rPr>
          <w:noProof/>
        </w:rPr>
        <w:tab/>
      </w:r>
      <w:r w:rsidR="038B0CB5" w:rsidRPr="00304D90">
        <w:rPr>
          <w:noProof/>
        </w:rPr>
        <w:t>Kako bi osigurala ekonomičan rad mreže i podržala ključne projekte koji pridonose integriranom tržištu, nacionalna regulatorna tijela trebala bi procijeniti mogućnosti regulacije temeljene na poticajima, te prilagoditi skup pokazatelja učinkovitosti i referentnih vrijednosti za operatere mreže.</w:t>
      </w:r>
    </w:p>
    <w:p w14:paraId="0614E613" w14:textId="77777777" w:rsidR="18219992" w:rsidRPr="00304D90" w:rsidRDefault="007D3064" w:rsidP="007D3064">
      <w:pPr>
        <w:pStyle w:val="Point0"/>
        <w:rPr>
          <w:noProof/>
        </w:rPr>
      </w:pPr>
      <w:r w:rsidRPr="007D3064">
        <w:rPr>
          <w:noProof/>
        </w:rPr>
        <w:t>(35)</w:t>
      </w:r>
      <w:r w:rsidRPr="007D3064">
        <w:rPr>
          <w:noProof/>
        </w:rPr>
        <w:tab/>
      </w:r>
      <w:r w:rsidR="6329994B" w:rsidRPr="00304D90">
        <w:rPr>
          <w:noProof/>
        </w:rPr>
        <w:t xml:space="preserve">Kako bi se troškovi proširenja mreže sveli na optimalnu razinu, nacionalna regulatorna tijela trebala bi tarife oblikovati tako da potiču smanjenje vršnog opterećenja, među ostalim dodavanjem elementa kapaciteta u tarifnu strukturu koji odražava vršno opterećenje, u kombinaciji s elementom energije s vremenom uporabe, posebno u razdobljima u kojima postoji rizik od zasićenosti mreže.  </w:t>
      </w:r>
    </w:p>
    <w:p w14:paraId="6ACB205F" w14:textId="77777777" w:rsidR="18219992" w:rsidRPr="00304D90" w:rsidRDefault="007D3064" w:rsidP="007D3064">
      <w:pPr>
        <w:pStyle w:val="Point0"/>
        <w:rPr>
          <w:noProof/>
        </w:rPr>
      </w:pPr>
      <w:r w:rsidRPr="007D3064">
        <w:rPr>
          <w:noProof/>
        </w:rPr>
        <w:t>(36)</w:t>
      </w:r>
      <w:r w:rsidRPr="007D3064">
        <w:rPr>
          <w:noProof/>
        </w:rPr>
        <w:tab/>
      </w:r>
      <w:r w:rsidR="038B0CB5" w:rsidRPr="00304D90">
        <w:rPr>
          <w:noProof/>
        </w:rPr>
        <w:t>Nacionalna regulatorna tijela trebala bi u tarifne strukture uključiti elemente vremena uporabe kako bi se raspodjela troškova povezala s vršnom upotrebom mreže i potaknula učinkovita upotreba mreže. Za diferencijaciju tarifa u vremenu mogu se koristiti različiti pristupi, od jednostavnijih (npr. različite tarife pri vršnom opterećenju i izvan njega, sezonske tarife, različite tarife radnim danom i vikendom) do složenijih (tj. u kojima pametna brojila mogu omogućiti vrlo dinamično kretanje tarifa u vremenu).</w:t>
      </w:r>
    </w:p>
    <w:p w14:paraId="0DA5C291" w14:textId="77777777" w:rsidR="18219992" w:rsidRPr="00304D90" w:rsidRDefault="007D3064" w:rsidP="007D3064">
      <w:pPr>
        <w:pStyle w:val="Point0"/>
        <w:rPr>
          <w:noProof/>
        </w:rPr>
      </w:pPr>
      <w:r w:rsidRPr="007D3064">
        <w:rPr>
          <w:noProof/>
        </w:rPr>
        <w:t>(37)</w:t>
      </w:r>
      <w:r w:rsidRPr="007D3064">
        <w:rPr>
          <w:noProof/>
        </w:rPr>
        <w:tab/>
      </w:r>
      <w:r w:rsidR="038B0CB5" w:rsidRPr="00304D90">
        <w:rPr>
          <w:noProof/>
        </w:rPr>
        <w:t xml:space="preserve">Nacionalna regulatorna tijela trebala bi promicati upotrebu lokacijskih signala u mrežnim tarifama jer pružaju signale za bolje određivanje lokacija potrebne proizvodnje i potrošnje u mreži. Atraktivne ili snižene tarife mogu potaknuti potrošnju na mjestima i u razdobljima u kojima je mreža dostupna a potražnja manja od dostupne proizvodnje na toj lokaciji. Naknade za isporuku u mrežu mogu biti koristan način za poticanje određenog ponašanja ili investicija u generatore. Ako proizvođači priključeni na prijenosni sustav i distribuciju plaćaju za isporuku u mrežu, one bi trebale biti osmišljene tako da uključuju elemente vremena uporabe i lokacije kako bi se smanjilo zagušenje i potaknula najučinkovitija upotreba mreža. Mogu biti posebno važne u situacijama kad nadogradnja mreže nije održivo ili ekonomično rješenje. </w:t>
      </w:r>
    </w:p>
    <w:p w14:paraId="2B25F770" w14:textId="77777777" w:rsidR="21888727" w:rsidRPr="00304D90" w:rsidRDefault="007D3064" w:rsidP="007D3064">
      <w:pPr>
        <w:pStyle w:val="Point0"/>
        <w:rPr>
          <w:noProof/>
        </w:rPr>
      </w:pPr>
      <w:r w:rsidRPr="007D3064">
        <w:rPr>
          <w:noProof/>
        </w:rPr>
        <w:t>(38)</w:t>
      </w:r>
      <w:r w:rsidRPr="007D3064">
        <w:rPr>
          <w:noProof/>
        </w:rPr>
        <w:tab/>
      </w:r>
      <w:r w:rsidR="21888727" w:rsidRPr="00304D90">
        <w:rPr>
          <w:noProof/>
        </w:rPr>
        <w:t xml:space="preserve">Posebni tarifni režimi mogu se  u opravdanim slučajevima ponuditi posebnim razredima korisnika mreže, npr. energetski intenzivnim korisnicima, proizvođačima-potrošačima, energetskim zajednicama i sustavima dvosmjernog punjenja. Nacionalno regulatorno tijelo trebalo bi navesti objektivne razloge zbog kojih ti korisnici mreže, na temelju svojeg profila potrošnje i fleksibilnosti koju nude cjelokupnom sustavu, imaju manji utjecaj na ukupni trošak elektroenergetske mreže. </w:t>
      </w:r>
    </w:p>
    <w:p w14:paraId="6A925774" w14:textId="77777777" w:rsidR="18219992" w:rsidRPr="00304D90" w:rsidRDefault="007D3064" w:rsidP="007D3064">
      <w:pPr>
        <w:pStyle w:val="Point0"/>
        <w:rPr>
          <w:noProof/>
        </w:rPr>
      </w:pPr>
      <w:r w:rsidRPr="007D3064">
        <w:rPr>
          <w:noProof/>
        </w:rPr>
        <w:t>(39)</w:t>
      </w:r>
      <w:r w:rsidRPr="007D3064">
        <w:rPr>
          <w:noProof/>
        </w:rPr>
        <w:tab/>
      </w:r>
      <w:r w:rsidR="038B0CB5" w:rsidRPr="00304D90">
        <w:rPr>
          <w:noProof/>
        </w:rPr>
        <w:t>Mrežne tarife za skladištenje električne energije mogu se upotrebljavati za poticanje operatora sustava skladištenja na ponašanje prilagođeno mreži, za usmjeravanje ulaganja u skladištenje u najprikladnija područja i za poticanje punjenja/pražnjenja u razdobljima kad to najviše odgovara elektroenergetskoj mreži. U tarifnim režimima trebalo bi uzeti u obzir posebnosti skladištenja i izbjeći „dvostruko naplaćivanje” naknada skladišnim objektima jer bi to moglo obeshrabriti uvođenje skladišnih kapaciteta, ali ti režimi moraju odgovarati cjelokupnom troškovnom učinku skladištenja na troškove mreže.</w:t>
      </w:r>
    </w:p>
    <w:p w14:paraId="0B320032" w14:textId="77777777" w:rsidR="004B34C0" w:rsidRPr="00304D90" w:rsidRDefault="007D3064" w:rsidP="007D3064">
      <w:pPr>
        <w:pStyle w:val="Point0"/>
        <w:rPr>
          <w:noProof/>
        </w:rPr>
      </w:pPr>
      <w:r w:rsidRPr="007D3064">
        <w:rPr>
          <w:noProof/>
        </w:rPr>
        <w:t>(40)</w:t>
      </w:r>
      <w:r w:rsidRPr="007D3064">
        <w:rPr>
          <w:noProof/>
        </w:rPr>
        <w:tab/>
      </w:r>
      <w:r w:rsidR="211709EC" w:rsidRPr="00304D90">
        <w:rPr>
          <w:noProof/>
        </w:rPr>
        <w:t xml:space="preserve">Države članice imaju pravo koristiti sredstva opće države za pokrivanje naknada za upotrebu mreže unutar primjenjivog pravnog okvira, pod uvjetom da se to provodi na nediskriminirajući način, da se time ne daje prednost određenim kategorijama korisnika mreže, da se ne dovode u pitanje poticaji za prilagodbu ponašanja kako bi se smanjili ukupni troškovi sustava te da se njima pokrivaju samo dodatni troškovi koji proizlaze iz mjera za ubrzanje dekarbonizacije i integracije tržišta. </w:t>
      </w:r>
    </w:p>
    <w:p w14:paraId="183E25BB" w14:textId="77777777" w:rsidR="18219992" w:rsidRPr="00304D90" w:rsidRDefault="007D3064" w:rsidP="007D3064">
      <w:pPr>
        <w:pStyle w:val="Point0"/>
        <w:rPr>
          <w:noProof/>
        </w:rPr>
      </w:pPr>
      <w:r w:rsidRPr="007D3064">
        <w:rPr>
          <w:noProof/>
        </w:rPr>
        <w:t>(41)</w:t>
      </w:r>
      <w:r w:rsidRPr="007D3064">
        <w:rPr>
          <w:noProof/>
        </w:rPr>
        <w:tab/>
      </w:r>
      <w:r w:rsidR="038B0CB5" w:rsidRPr="00304D90">
        <w:rPr>
          <w:noProof/>
        </w:rPr>
        <w:t>Iako kaskadno naplaćivanje troškova može biti opravdano, sofisticiranijim pristupom moglo bi se osigurati da tarife budu proporcionalnije troškovima s obzirom na to da proizvodnja postaje sve raširenija u distribucijskim mrežama, čak i na niskim razinama napona. Nacionalna regulatorna tijela stoga bi pri primjeni kaskadne naplate troškova trebala uzeti u obzir promjene profila proizvodnje/potrošnje na razini distribucije.</w:t>
      </w:r>
    </w:p>
    <w:p w14:paraId="233A26D1" w14:textId="77777777" w:rsidR="007EC0CE" w:rsidRPr="00304D90" w:rsidRDefault="007D3064" w:rsidP="007D3064">
      <w:pPr>
        <w:pStyle w:val="Point0"/>
        <w:rPr>
          <w:noProof/>
        </w:rPr>
      </w:pPr>
      <w:r w:rsidRPr="007D3064">
        <w:rPr>
          <w:noProof/>
        </w:rPr>
        <w:t>(42)</w:t>
      </w:r>
      <w:r w:rsidRPr="007D3064">
        <w:rPr>
          <w:noProof/>
        </w:rPr>
        <w:tab/>
      </w:r>
      <w:r w:rsidR="73116970" w:rsidRPr="00304D90">
        <w:rPr>
          <w:noProof/>
        </w:rPr>
        <w:t>Države članice potiču se da pri provedbi preporuka iz točaka od (33) do (41) uzmu u obzir prakse opisane u Smjernicama o naknadama za upotrebu mreže prilagođenima budućim potrebama radi smanjenja troškova energetskog sustava, koje je Komisija donijela istog dana kad i Preporuku</w:t>
      </w:r>
      <w:r w:rsidR="003A21DE" w:rsidRPr="00304D90">
        <w:rPr>
          <w:rStyle w:val="FootnoteReference"/>
          <w:noProof/>
        </w:rPr>
        <w:footnoteReference w:id="17"/>
      </w:r>
      <w:r w:rsidR="73116970" w:rsidRPr="00304D90">
        <w:rPr>
          <w:noProof/>
        </w:rPr>
        <w:t>.</w:t>
      </w:r>
    </w:p>
    <w:p w14:paraId="08EFD607" w14:textId="77777777" w:rsidR="00DD46B2" w:rsidRPr="00304D90" w:rsidRDefault="00DD46B2" w:rsidP="00DD46B2">
      <w:pPr>
        <w:pStyle w:val="Titrearticle"/>
        <w:rPr>
          <w:noProof/>
        </w:rPr>
      </w:pPr>
      <w:r w:rsidRPr="00304D90">
        <w:rPr>
          <w:noProof/>
        </w:rPr>
        <w:t>PRAĆENJE, IZVJEŠĆIVANJE I PREISPITIVANJE</w:t>
      </w:r>
    </w:p>
    <w:p w14:paraId="73F28390" w14:textId="77777777" w:rsidR="00DD46B2" w:rsidRPr="00304D90" w:rsidRDefault="007D3064" w:rsidP="007D3064">
      <w:pPr>
        <w:pStyle w:val="Point0"/>
        <w:rPr>
          <w:noProof/>
        </w:rPr>
      </w:pPr>
      <w:r w:rsidRPr="007D3064">
        <w:rPr>
          <w:noProof/>
        </w:rPr>
        <w:t>(43)</w:t>
      </w:r>
      <w:r w:rsidRPr="007D3064">
        <w:rPr>
          <w:noProof/>
        </w:rPr>
        <w:tab/>
      </w:r>
      <w:r w:rsidR="00DD46B2" w:rsidRPr="00304D90">
        <w:rPr>
          <w:noProof/>
        </w:rPr>
        <w:t>Države članice trebale bi provesti reviziju regulatornih i neregulatornih prepreka inovativnim tehnologijama i oblicima uvođenja inovativne energije iz obnovljivih izvora na svojem državnom području te ih redovito preispitivati kako bi se utvrdile i provele mjere za poticanje njihova razvoja i uvođenja.</w:t>
      </w:r>
    </w:p>
    <w:p w14:paraId="39AE0DEB" w14:textId="77777777" w:rsidR="00DD46B2" w:rsidRPr="00304D90" w:rsidRDefault="007D3064" w:rsidP="007D3064">
      <w:pPr>
        <w:pStyle w:val="Point0"/>
        <w:rPr>
          <w:noProof/>
        </w:rPr>
      </w:pPr>
      <w:r w:rsidRPr="007D3064">
        <w:rPr>
          <w:noProof/>
        </w:rPr>
        <w:t>(44)</w:t>
      </w:r>
      <w:r w:rsidRPr="007D3064">
        <w:rPr>
          <w:noProof/>
        </w:rPr>
        <w:tab/>
      </w:r>
      <w:r w:rsidR="00DD46B2" w:rsidRPr="00304D90">
        <w:rPr>
          <w:noProof/>
        </w:rPr>
        <w:t>Države članice potiču se da Komisiji, posebno u okviru integriranih nacionalnih energetskih i klimatskih izvješća o napretku koja se podnose na temelju članka 17. Uredbe (EU) 2018/1999</w:t>
      </w:r>
      <w:r w:rsidR="00DD46B2" w:rsidRPr="00304D90">
        <w:rPr>
          <w:rStyle w:val="FootnoteReference"/>
          <w:noProof/>
        </w:rPr>
        <w:footnoteReference w:id="18"/>
      </w:r>
      <w:r w:rsidR="00DD46B2" w:rsidRPr="00304D90">
        <w:rPr>
          <w:noProof/>
        </w:rPr>
        <w:t>, dostave detaljne informacije o nacionalnim mjerama koje poduzimaju u kontekstu ove Preporuke.</w:t>
      </w:r>
    </w:p>
    <w:p w14:paraId="6558CBB5" w14:textId="77777777" w:rsidR="00DD46B2" w:rsidRPr="00304D90" w:rsidRDefault="007D3064" w:rsidP="007D3064">
      <w:pPr>
        <w:pStyle w:val="Point0"/>
        <w:rPr>
          <w:noProof/>
        </w:rPr>
      </w:pPr>
      <w:r w:rsidRPr="007D3064">
        <w:rPr>
          <w:noProof/>
        </w:rPr>
        <w:t>(45)</w:t>
      </w:r>
      <w:r w:rsidRPr="007D3064">
        <w:rPr>
          <w:noProof/>
        </w:rPr>
        <w:tab/>
      </w:r>
      <w:r w:rsidR="00DD46B2" w:rsidRPr="00304D90">
        <w:rPr>
          <w:noProof/>
        </w:rPr>
        <w:t>Komisija će analizirati informacije koje su dostavile države članice i razmotriti jesu li potrebne dodatne mjere kako bi im se pružila potpora u promicanju razvoja i primjene inovativnih tehnologija i oblika uvođenja energije iz obnovljivih izvora ili u donošenju planova za određivanje namjenskih infrastrukturnih područja za razvoj projekata mreže i skladištenja.</w:t>
      </w:r>
    </w:p>
    <w:p w14:paraId="1A8BC8B5" w14:textId="77777777" w:rsidR="00DE3CDC" w:rsidRPr="00304D90" w:rsidRDefault="00FB4CE8" w:rsidP="00CE73AC">
      <w:pPr>
        <w:pStyle w:val="Fait"/>
        <w:rPr>
          <w:noProof/>
        </w:rPr>
      </w:pPr>
      <w:r>
        <w:rPr>
          <w:noProof/>
        </w:rPr>
        <w:t>Sastavljeno u Bruxellesu 2.7.2025.</w:t>
      </w:r>
    </w:p>
    <w:p w14:paraId="7F9F7515" w14:textId="77777777" w:rsidR="00DE3CDC" w:rsidRPr="00304D90" w:rsidRDefault="00DE3CDC" w:rsidP="00CE73AC">
      <w:pPr>
        <w:pStyle w:val="Institutionquisigne"/>
        <w:rPr>
          <w:noProof/>
        </w:rPr>
      </w:pPr>
      <w:r w:rsidRPr="00304D90">
        <w:rPr>
          <w:noProof/>
        </w:rPr>
        <w:tab/>
        <w:t>Za Komisiju</w:t>
      </w:r>
    </w:p>
    <w:p w14:paraId="235BA2B6" w14:textId="77777777" w:rsidR="00DE3CDC" w:rsidRPr="00304D90" w:rsidRDefault="00DE3CDC" w:rsidP="00CE73AC">
      <w:pPr>
        <w:pStyle w:val="Personnequisigne"/>
        <w:keepNext/>
        <w:rPr>
          <w:noProof/>
        </w:rPr>
      </w:pPr>
      <w:r w:rsidRPr="00304D90">
        <w:rPr>
          <w:noProof/>
        </w:rPr>
        <w:tab/>
        <w:t>Dan JØRGENSEN</w:t>
      </w:r>
      <w:r w:rsidRPr="00304D90">
        <w:rPr>
          <w:noProof/>
        </w:rPr>
        <w:br/>
      </w:r>
      <w:r w:rsidRPr="00304D90">
        <w:rPr>
          <w:noProof/>
        </w:rPr>
        <w:tab/>
        <w:t>Član Komisije</w:t>
      </w:r>
    </w:p>
    <w:tbl>
      <w:tblPr>
        <w:tblW w:w="0" w:type="auto"/>
        <w:tblInd w:w="4252" w:type="dxa"/>
        <w:tblCellMar>
          <w:top w:w="567" w:type="dxa"/>
          <w:left w:w="0" w:type="dxa"/>
          <w:right w:w="0" w:type="dxa"/>
        </w:tblCellMar>
        <w:tblLook w:val="0000" w:firstRow="0" w:lastRow="0" w:firstColumn="0" w:lastColumn="0" w:noHBand="0" w:noVBand="0"/>
      </w:tblPr>
      <w:tblGrid>
        <w:gridCol w:w="3765"/>
      </w:tblGrid>
      <w:tr w:rsidR="00A12F63" w14:paraId="33C00B20" w14:textId="77777777">
        <w:trPr>
          <w:cantSplit/>
        </w:trPr>
        <w:tc>
          <w:tcPr>
            <w:tcW w:w="0" w:type="auto"/>
            <w:shd w:val="clear" w:color="auto" w:fill="auto"/>
          </w:tcPr>
          <w:p w14:paraId="0D7DF22B" w14:textId="77777777" w:rsidR="00A12F63" w:rsidRDefault="00FA6486">
            <w:pPr>
              <w:rPr>
                <w:noProof/>
              </w:rPr>
            </w:pPr>
            <w:r>
              <w:rPr>
                <w:noProof/>
              </w:rPr>
              <w:pict w14:anchorId="53877457">
                <v:shape id="_x0000_i1026" type="#_x0000_t75" style="width:187.85pt;height:102.25pt">
                  <v:imagedata r:id="rId16" o:title=""/>
                </v:shape>
              </w:pict>
            </w:r>
          </w:p>
        </w:tc>
      </w:tr>
    </w:tbl>
    <w:p w14:paraId="6977AA9B" w14:textId="77777777" w:rsidR="00A00F41" w:rsidRDefault="00A00F41">
      <w:pPr>
        <w:rPr>
          <w:noProof/>
        </w:rPr>
      </w:pPr>
    </w:p>
    <w:sectPr w:rsidR="00A00F41" w:rsidSect="0008171A">
      <w:headerReference w:type="even" r:id="rId17"/>
      <w:footerReference w:type="even" r:id="rId18"/>
      <w:footerReference w:type="default" r:id="rId19"/>
      <w:headerReference w:type="first" r:id="rId20"/>
      <w:footerReference w:type="first" r:id="rId2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8991" w14:textId="77777777" w:rsidR="00CF4148" w:rsidRDefault="00CF4148" w:rsidP="00DE3CDC">
      <w:pPr>
        <w:spacing w:before="0" w:after="0"/>
      </w:pPr>
      <w:r>
        <w:separator/>
      </w:r>
    </w:p>
  </w:endnote>
  <w:endnote w:type="continuationSeparator" w:id="0">
    <w:p w14:paraId="73F1F6E6" w14:textId="77777777" w:rsidR="00CF4148" w:rsidRDefault="00CF4148" w:rsidP="00DE3CDC">
      <w:pPr>
        <w:spacing w:before="0" w:after="0"/>
      </w:pPr>
      <w:r>
        <w:continuationSeparator/>
      </w:r>
    </w:p>
  </w:endnote>
  <w:endnote w:type="continuationNotice" w:id="1">
    <w:p w14:paraId="3BE6CE05" w14:textId="77777777" w:rsidR="00CF4148" w:rsidRDefault="00CF41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147F" w14:textId="77777777" w:rsidR="0008171A" w:rsidRPr="0008171A" w:rsidRDefault="0008171A" w:rsidP="0008171A">
    <w:pPr>
      <w:pStyle w:val="Footer"/>
      <w:rPr>
        <w:rFonts w:ascii="Arial" w:hAnsi="Arial" w:cs="Arial"/>
        <w:b/>
        <w:sz w:val="48"/>
      </w:rPr>
    </w:pPr>
    <w:r w:rsidRPr="0008171A">
      <w:rPr>
        <w:rFonts w:ascii="Arial" w:hAnsi="Arial" w:cs="Arial"/>
        <w:b/>
        <w:sz w:val="48"/>
      </w:rPr>
      <w:t>HR</w:t>
    </w:r>
    <w:r w:rsidRPr="0008171A">
      <w:rPr>
        <w:rFonts w:ascii="Arial" w:hAnsi="Arial" w:cs="Arial"/>
        <w:b/>
        <w:sz w:val="48"/>
      </w:rPr>
      <w:tab/>
    </w:r>
    <w:r w:rsidRPr="0008171A">
      <w:rPr>
        <w:rFonts w:ascii="Arial" w:hAnsi="Arial" w:cs="Arial"/>
        <w:b/>
        <w:sz w:val="48"/>
      </w:rPr>
      <w:tab/>
    </w:r>
    <w:r w:rsidRPr="0008171A">
      <w:tab/>
    </w:r>
    <w:r w:rsidRPr="0008171A">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6357" w14:textId="77777777" w:rsidR="0008171A" w:rsidRPr="0008171A" w:rsidRDefault="0008171A" w:rsidP="0008171A">
    <w:pPr>
      <w:pStyle w:val="Footer"/>
      <w:rPr>
        <w:rFonts w:ascii="Arial" w:hAnsi="Arial" w:cs="Arial"/>
        <w:b/>
        <w:sz w:val="48"/>
      </w:rPr>
    </w:pPr>
    <w:r w:rsidRPr="0008171A">
      <w:rPr>
        <w:rFonts w:ascii="Arial" w:hAnsi="Arial" w:cs="Arial"/>
        <w:b/>
        <w:sz w:val="48"/>
      </w:rPr>
      <w:t>HR</w:t>
    </w:r>
    <w:r w:rsidRPr="0008171A">
      <w:rPr>
        <w:rFonts w:ascii="Arial" w:hAnsi="Arial" w:cs="Arial"/>
        <w:b/>
        <w:sz w:val="48"/>
      </w:rPr>
      <w:tab/>
    </w:r>
    <w:r w:rsidRPr="0008171A">
      <w:rPr>
        <w:rFonts w:ascii="Arial" w:hAnsi="Arial" w:cs="Arial"/>
        <w:b/>
        <w:sz w:val="48"/>
      </w:rPr>
      <w:tab/>
    </w:r>
    <w:r w:rsidRPr="0008171A">
      <w:tab/>
    </w:r>
    <w:r w:rsidRPr="0008171A">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89D1" w14:textId="77777777" w:rsidR="0008171A" w:rsidRDefault="000817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A122" w14:textId="77777777" w:rsidR="0008171A" w:rsidRPr="0008171A" w:rsidRDefault="0008171A" w:rsidP="0008171A">
    <w:pPr>
      <w:pStyle w:val="Footer"/>
      <w:rPr>
        <w:rFonts w:ascii="Arial" w:hAnsi="Arial" w:cs="Arial"/>
        <w:b/>
        <w:sz w:val="48"/>
      </w:rPr>
    </w:pPr>
    <w:r w:rsidRPr="0008171A">
      <w:rPr>
        <w:rFonts w:ascii="Arial" w:hAnsi="Arial" w:cs="Arial"/>
        <w:b/>
        <w:sz w:val="48"/>
      </w:rPr>
      <w:t>HR</w:t>
    </w:r>
    <w:r w:rsidRPr="0008171A">
      <w:rPr>
        <w:rFonts w:ascii="Arial" w:hAnsi="Arial" w:cs="Arial"/>
        <w:b/>
        <w:sz w:val="48"/>
      </w:rPr>
      <w:tab/>
    </w:r>
    <w:r>
      <w:fldChar w:fldCharType="begin"/>
    </w:r>
    <w:r>
      <w:instrText xml:space="preserve"> PAGE  \* MERGEFORMAT </w:instrText>
    </w:r>
    <w:r>
      <w:fldChar w:fldCharType="separate"/>
    </w:r>
    <w:r w:rsidR="00CE73AC">
      <w:rPr>
        <w:noProof/>
      </w:rPr>
      <w:t>9</w:t>
    </w:r>
    <w:r>
      <w:fldChar w:fldCharType="end"/>
    </w:r>
    <w:r>
      <w:tab/>
    </w:r>
    <w:r w:rsidRPr="0008171A">
      <w:tab/>
    </w:r>
    <w:r w:rsidRPr="0008171A">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44B9" w14:textId="77777777" w:rsidR="0008171A" w:rsidRDefault="0008171A" w:rsidP="00081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0981" w14:textId="77777777" w:rsidR="00CF4148" w:rsidRDefault="00CF4148" w:rsidP="00DE3CDC">
      <w:pPr>
        <w:spacing w:before="0" w:after="0"/>
      </w:pPr>
      <w:r>
        <w:separator/>
      </w:r>
    </w:p>
  </w:footnote>
  <w:footnote w:type="continuationSeparator" w:id="0">
    <w:p w14:paraId="4206C7DD" w14:textId="77777777" w:rsidR="00CF4148" w:rsidRDefault="00CF4148" w:rsidP="00DE3CDC">
      <w:pPr>
        <w:spacing w:before="0" w:after="0"/>
      </w:pPr>
      <w:r>
        <w:continuationSeparator/>
      </w:r>
    </w:p>
  </w:footnote>
  <w:footnote w:type="continuationNotice" w:id="1">
    <w:p w14:paraId="1CF4C9C4" w14:textId="77777777" w:rsidR="00CF4148" w:rsidRDefault="00CF4148">
      <w:pPr>
        <w:spacing w:before="0" w:after="0"/>
      </w:pPr>
    </w:p>
  </w:footnote>
  <w:footnote w:id="2">
    <w:p w14:paraId="7BB6144B" w14:textId="77777777" w:rsidR="598BDE29" w:rsidRDefault="598BDE29" w:rsidP="003C0304">
      <w:pPr>
        <w:pStyle w:val="FootnoteText"/>
        <w:shd w:val="clear" w:color="auto" w:fill="FFFFFF" w:themeFill="background1"/>
        <w:spacing w:after="75"/>
      </w:pPr>
      <w:r>
        <w:rPr>
          <w:rStyle w:val="FootnoteReference"/>
        </w:rPr>
        <w:footnoteRef/>
      </w:r>
      <w:r>
        <w:tab/>
        <w:t>COM(2025) 79 final</w:t>
      </w:r>
    </w:p>
  </w:footnote>
  <w:footnote w:id="3">
    <w:p w14:paraId="13358E44" w14:textId="77777777" w:rsidR="00A9412B" w:rsidRPr="003C0304" w:rsidRDefault="00A9412B">
      <w:pPr>
        <w:pStyle w:val="FootnoteText"/>
      </w:pPr>
      <w:r>
        <w:rPr>
          <w:rStyle w:val="FootnoteReference"/>
        </w:rPr>
        <w:footnoteRef/>
      </w:r>
      <w:r>
        <w:tab/>
        <w:t xml:space="preserve">Direktiva (EU) 2018/2001 Europskog parlamenta i Vijeća od 11. prosinca 2018. o promicanju uporabe energije iz obnovljivih izvora (SL L 328, 21.12.2018., str. 82., ELI: </w:t>
      </w:r>
      <w:hyperlink r:id="rId1" w:history="1">
        <w:r>
          <w:rPr>
            <w:rStyle w:val="Hyperlink"/>
          </w:rPr>
          <w:t>http://data.europa.eu/eli/dir/2018/2001/oj</w:t>
        </w:r>
      </w:hyperlink>
      <w:r>
        <w:t xml:space="preserve">. </w:t>
      </w:r>
    </w:p>
  </w:footnote>
  <w:footnote w:id="4">
    <w:p w14:paraId="089F747D" w14:textId="77777777" w:rsidR="598BDE29" w:rsidRPr="00AC3141" w:rsidRDefault="598BDE29" w:rsidP="00091C77">
      <w:pPr>
        <w:pStyle w:val="FootnoteText"/>
      </w:pPr>
      <w:r>
        <w:rPr>
          <w:rStyle w:val="FootnoteReference"/>
        </w:rPr>
        <w:footnoteRef/>
      </w:r>
      <w:r>
        <w:tab/>
        <w:t>C(2024)2660 final</w:t>
      </w:r>
    </w:p>
  </w:footnote>
  <w:footnote w:id="5">
    <w:p w14:paraId="68449236" w14:textId="77777777" w:rsidR="598BDE29" w:rsidRPr="00AC3141" w:rsidRDefault="598BDE29" w:rsidP="00091C77">
      <w:pPr>
        <w:pStyle w:val="FootnoteText"/>
      </w:pPr>
      <w:r>
        <w:rPr>
          <w:rStyle w:val="FootnoteReference"/>
        </w:rPr>
        <w:footnoteRef/>
      </w:r>
      <w:r>
        <w:tab/>
        <w:t>SWD(2024) 333 final</w:t>
      </w:r>
    </w:p>
  </w:footnote>
  <w:footnote w:id="6">
    <w:p w14:paraId="29AA014D" w14:textId="77777777" w:rsidR="598BDE29" w:rsidRPr="00AC3141" w:rsidRDefault="598BDE29" w:rsidP="00091C77">
      <w:pPr>
        <w:pStyle w:val="FootnoteText"/>
      </w:pPr>
      <w:r>
        <w:rPr>
          <w:rStyle w:val="FootnoteReference"/>
        </w:rPr>
        <w:footnoteRef/>
      </w:r>
      <w:r>
        <w:tab/>
        <w:t>COM(2022) 221 final</w:t>
      </w:r>
    </w:p>
  </w:footnote>
  <w:footnote w:id="7">
    <w:p w14:paraId="7A00BF16" w14:textId="1A7BA1AD" w:rsidR="007EC0CE" w:rsidRDefault="007EC0CE" w:rsidP="00072BC9">
      <w:pPr>
        <w:pStyle w:val="FootnoteText"/>
      </w:pPr>
      <w:r>
        <w:rPr>
          <w:rStyle w:val="FootnoteReference"/>
        </w:rPr>
        <w:footnoteRef/>
      </w:r>
      <w:r>
        <w:tab/>
        <w:t>Nacrt obavijesti donesen je istog dana kad i ova preporuka: C(2025)4011</w:t>
      </w:r>
    </w:p>
  </w:footnote>
  <w:footnote w:id="8">
    <w:p w14:paraId="09AFA036" w14:textId="78F7A7BB" w:rsidR="007EC0CE" w:rsidRDefault="007EC0CE" w:rsidP="00CD2897">
      <w:pPr>
        <w:pStyle w:val="FootnoteText"/>
      </w:pPr>
      <w:r>
        <w:rPr>
          <w:rStyle w:val="FootnoteReference"/>
        </w:rPr>
        <w:footnoteRef/>
      </w:r>
      <w:r>
        <w:tab/>
        <w:t>Nacrt smjernica donesen  je istog dana kad i ova preporuka: C(2025)4012</w:t>
      </w:r>
    </w:p>
  </w:footnote>
  <w:footnote w:id="9">
    <w:p w14:paraId="31A1FCC7" w14:textId="77777777" w:rsidR="00F37CD1" w:rsidRPr="00874A8F" w:rsidRDefault="00F37CD1" w:rsidP="00F37CD1">
      <w:pPr>
        <w:pStyle w:val="FootnoteText"/>
      </w:pPr>
      <w:r>
        <w:rPr>
          <w:rStyle w:val="FootnoteReference"/>
        </w:rPr>
        <w:footnoteRef/>
      </w:r>
      <w:r>
        <w:tab/>
        <w:t>C(2024)2660 final</w:t>
      </w:r>
    </w:p>
  </w:footnote>
  <w:footnote w:id="10">
    <w:p w14:paraId="2E6B2ADF" w14:textId="77777777" w:rsidR="00E206D8" w:rsidRPr="00874A8F" w:rsidRDefault="00E206D8">
      <w:pPr>
        <w:pStyle w:val="FootnoteText"/>
      </w:pPr>
      <w:r>
        <w:rPr>
          <w:rStyle w:val="FootnoteReference"/>
        </w:rPr>
        <w:footnoteRef/>
      </w:r>
      <w:r>
        <w:tab/>
        <w:t>SWD(2024) 333 final</w:t>
      </w:r>
    </w:p>
  </w:footnote>
  <w:footnote w:id="11">
    <w:p w14:paraId="605878EA" w14:textId="77777777" w:rsidR="000B401C" w:rsidRPr="00091C77" w:rsidRDefault="000B401C">
      <w:pPr>
        <w:pStyle w:val="FootnoteText"/>
      </w:pPr>
      <w:r>
        <w:rPr>
          <w:rStyle w:val="FootnoteReference"/>
        </w:rPr>
        <w:footnoteRef/>
      </w:r>
      <w:r>
        <w:tab/>
        <w:t>U skladu s točkom 96. Smjernica o potporama za klimu, zaštitu okoliša i energiju ako je u pitanju državna potpora.</w:t>
      </w:r>
    </w:p>
  </w:footnote>
  <w:footnote w:id="12">
    <w:p w14:paraId="3D2382EC" w14:textId="77777777" w:rsidR="00DB1FC4" w:rsidRPr="00DB1FC4" w:rsidRDefault="00DB1FC4">
      <w:pPr>
        <w:pStyle w:val="FootnoteText"/>
      </w:pPr>
      <w:r>
        <w:rPr>
          <w:rStyle w:val="FootnoteReference"/>
        </w:rPr>
        <w:footnoteRef/>
      </w:r>
      <w:r>
        <w:tab/>
        <w:t>C(2024)2650 final</w:t>
      </w:r>
    </w:p>
  </w:footnote>
  <w:footnote w:id="13">
    <w:p w14:paraId="16627061" w14:textId="77777777" w:rsidR="00F725D3" w:rsidRPr="00874A8F" w:rsidRDefault="00F725D3">
      <w:pPr>
        <w:pStyle w:val="FootnoteText"/>
      </w:pPr>
      <w:r>
        <w:rPr>
          <w:rStyle w:val="FootnoteReference"/>
        </w:rPr>
        <w:footnoteRef/>
      </w:r>
      <w:r>
        <w:tab/>
        <w:t>SWD(2024) 300 final</w:t>
      </w:r>
    </w:p>
  </w:footnote>
  <w:footnote w:id="14">
    <w:p w14:paraId="597DE824" w14:textId="77777777" w:rsidR="00E206D8" w:rsidRPr="00874A8F" w:rsidRDefault="00E206D8">
      <w:pPr>
        <w:pStyle w:val="FootnoteText"/>
      </w:pPr>
      <w:r>
        <w:rPr>
          <w:rStyle w:val="FootnoteReference"/>
        </w:rPr>
        <w:footnoteRef/>
      </w:r>
      <w:r>
        <w:tab/>
        <w:t xml:space="preserve">Provedbena uredba Komisije o utvrđivanju pretkvalifikacijskih kriterija i kriterija dodjele za dražbe za uvođenje energije iz obnovljivih izvora COM(2025)2900  </w:t>
      </w:r>
    </w:p>
  </w:footnote>
  <w:footnote w:id="15">
    <w:p w14:paraId="4E3FA20A" w14:textId="77777777" w:rsidR="00056690" w:rsidRPr="003C0304" w:rsidRDefault="00056690">
      <w:pPr>
        <w:pStyle w:val="FootnoteText"/>
      </w:pPr>
      <w:r>
        <w:rPr>
          <w:rStyle w:val="FootnoteReference"/>
        </w:rPr>
        <w:footnoteRef/>
      </w:r>
      <w:r>
        <w:tab/>
        <w:t xml:space="preserve">Direktiva (EU) 2024/1275 Europskog parlamenta i Vijeća od 24. travnja 2024. o energetskim svojstvima zgrada (SL L, 2024/1275, 8.5.2024., ELI: </w:t>
      </w:r>
      <w:hyperlink r:id="rId2" w:history="1">
        <w:r>
          <w:rPr>
            <w:rStyle w:val="Hyperlink"/>
          </w:rPr>
          <w:t>http://data.europa.eu/eli/dir/2024/1275/oj</w:t>
        </w:r>
      </w:hyperlink>
      <w:r>
        <w:t>).</w:t>
      </w:r>
    </w:p>
  </w:footnote>
  <w:footnote w:id="16">
    <w:p w14:paraId="7A384839" w14:textId="685076F6" w:rsidR="00056690" w:rsidRPr="003C0304" w:rsidRDefault="00056690">
      <w:pPr>
        <w:pStyle w:val="FootnoteText"/>
      </w:pPr>
      <w:r>
        <w:rPr>
          <w:rStyle w:val="FootnoteReference"/>
        </w:rPr>
        <w:footnoteRef/>
      </w:r>
      <w:r>
        <w:tab/>
        <w:t>Nacrt obavijesti donesen je istog dana kad i ova preporuka: C(2025)4011</w:t>
      </w:r>
    </w:p>
  </w:footnote>
  <w:footnote w:id="17">
    <w:p w14:paraId="5C37B6CE" w14:textId="77777777" w:rsidR="003A21DE" w:rsidRPr="003A21DE" w:rsidRDefault="003A21DE" w:rsidP="00E57EE6">
      <w:pPr>
        <w:pStyle w:val="FootnoteText"/>
      </w:pPr>
      <w:r>
        <w:rPr>
          <w:rStyle w:val="FootnoteReference"/>
        </w:rPr>
        <w:footnoteRef/>
      </w:r>
      <w:r>
        <w:tab/>
        <w:t>Nacrt obavijesti o smjernicama za naknade za upotrebu mreže otporne na buduće promjene za smanjene troškove sustava C(2025)4010</w:t>
      </w:r>
    </w:p>
  </w:footnote>
  <w:footnote w:id="18">
    <w:p w14:paraId="606CDFAA" w14:textId="77777777" w:rsidR="00DD46B2" w:rsidRPr="006D338E" w:rsidRDefault="00DD46B2" w:rsidP="00DD46B2">
      <w:pPr>
        <w:pStyle w:val="FootnoteText"/>
        <w:rPr>
          <w:b/>
          <w:bCs/>
        </w:rPr>
      </w:pPr>
      <w:r>
        <w:rPr>
          <w:rStyle w:val="FootnoteReference"/>
        </w:rPr>
        <w:footnoteRef/>
      </w:r>
      <w:r>
        <w:tab/>
        <w:t>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(SL L 328, 21.12.2018., str. 1., ELI: http://data.europa.eu/eli/reg/2018/1999/oj).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593" w14:textId="77777777" w:rsidR="0008171A" w:rsidRDefault="00081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6F05" w14:textId="77777777" w:rsidR="0008171A" w:rsidRDefault="00081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A2BA5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D42D98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FD0775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53C316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310259619">
    <w:abstractNumId w:val="3"/>
  </w:num>
  <w:num w:numId="2" w16cid:durableId="1226722653">
    <w:abstractNumId w:val="2"/>
  </w:num>
  <w:num w:numId="3" w16cid:durableId="1614753089">
    <w:abstractNumId w:val="1"/>
  </w:num>
  <w:num w:numId="4" w16cid:durableId="754320043">
    <w:abstractNumId w:val="0"/>
  </w:num>
  <w:num w:numId="5" w16cid:durableId="441190692">
    <w:abstractNumId w:val="18"/>
    <w:lvlOverride w:ilvl="0">
      <w:startOverride w:val="1"/>
    </w:lvlOverride>
  </w:num>
  <w:num w:numId="6" w16cid:durableId="1034117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738333">
    <w:abstractNumId w:val="15"/>
  </w:num>
  <w:num w:numId="8" w16cid:durableId="907228001">
    <w:abstractNumId w:val="8"/>
  </w:num>
  <w:num w:numId="9" w16cid:durableId="682049340">
    <w:abstractNumId w:val="17"/>
  </w:num>
  <w:num w:numId="10" w16cid:durableId="303510265">
    <w:abstractNumId w:val="7"/>
  </w:num>
  <w:num w:numId="11" w16cid:durableId="1404986088">
    <w:abstractNumId w:val="9"/>
  </w:num>
  <w:num w:numId="12" w16cid:durableId="1675065345">
    <w:abstractNumId w:val="10"/>
  </w:num>
  <w:num w:numId="13" w16cid:durableId="902788026">
    <w:abstractNumId w:val="5"/>
  </w:num>
  <w:num w:numId="14" w16cid:durableId="2137334771">
    <w:abstractNumId w:val="16"/>
  </w:num>
  <w:num w:numId="15" w16cid:durableId="1739553196">
    <w:abstractNumId w:val="4"/>
  </w:num>
  <w:num w:numId="16" w16cid:durableId="1999067068">
    <w:abstractNumId w:val="11"/>
  </w:num>
  <w:num w:numId="17" w16cid:durableId="1868636788">
    <w:abstractNumId w:val="13"/>
  </w:num>
  <w:num w:numId="18" w16cid:durableId="873811031">
    <w:abstractNumId w:val="14"/>
  </w:num>
  <w:num w:numId="19" w16cid:durableId="1012730178">
    <w:abstractNumId w:val="6"/>
  </w:num>
  <w:num w:numId="20" w16cid:durableId="1928534371">
    <w:abstractNumId w:val="12"/>
  </w:num>
  <w:num w:numId="21" w16cid:durableId="152613853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hideGrammaticalErrors/>
  <w:attachedTemplate r:id="rId1"/>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5-07-01 16:17: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5E35B6F7-1692-4256-861E-024B71EA4AEA"/>
    <w:docVar w:name="LW_COVERPAGE_TYPE" w:val="1"/>
    <w:docVar w:name="LW_CROSSREFERENCE" w:val="&lt;UNUSED&gt;"/>
    <w:docVar w:name="LW_DATE.ADOPT.CP" w:val="\u1086?d 2.7.2025."/>
    <w:docVar w:name="LW_DATE.ADOPT.CP_DATEFORMAT" w:val="\u1086?d %DATE%"/>
    <w:docVar w:name="LW_DATE.ADOPT.CP_ISODATE" w:val="2025-07-02"/>
    <w:docVar w:name="LW_DocType" w:val="COM"/>
    <w:docVar w:name="LW_EMISSION" w:val="2.7.2025."/>
    <w:docVar w:name="LW_EMISSION_ISODATE" w:val="2025-07-02"/>
    <w:docVar w:name="LW_EMISSION_LOCATION" w:val="BRX"/>
    <w:docVar w:name="LW_EMISSION_PREFIX" w:val="Bruxelles, "/>
    <w:docVar w:name="LW_EMISSION_SUFFIX" w:val="&lt;EMPTY&gt;"/>
    <w:docVar w:name="LW_ID_DOCMODEL" w:val="SJ-014"/>
    <w:docVar w:name="LW_ID_DOCSIGNATURE" w:val="SJ-014"/>
    <w:docVar w:name="LW_ID_DOCSTRUCTURE" w:val="COM/AA/NOEEA"/>
    <w:docVar w:name="LW_ID_DOCTYPE" w:val="SJ-014"/>
    <w:docVar w:name="LW_LANGUE" w:val="HR"/>
    <w:docVar w:name="LW_LANGUESFAISANTFOI.CP" w:val="&lt;UNUSED&gt;"/>
    <w:docVar w:name="LW_LEVEL_OF_SENSITIVITY" w:val="Standard treatment"/>
    <w:docVar w:name="LW_NOM.INST" w:val="EUROPSKA KOMISIJA"/>
    <w:docVar w:name="LW_NOM.INST_JOINTDOC" w:val="&lt;EMPTY&gt;"/>
    <w:docVar w:name="LW_PART_NBR" w:val="1"/>
    <w:docVar w:name="LW_PART_NBR_TOTAL" w:val="1"/>
    <w:docVar w:name="LW_REF.INST.NEW" w:val="C"/>
    <w:docVar w:name="LW_REF.INST.NEW_ADOPTED" w:val="final"/>
    <w:docVar w:name="LW_REF.INST.NEW_TEXT" w:val="(2025) 402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inovativnim tehnologijama i oblicima uvo\u273?enja energije iz obnovljivih izvora, o uspostavi podru\u269?ja za mre\u382?nu infrastrukturu i infrastrukturu za skladi\u353?tenje potrebnu za integriranje energije iz obnovljivih izvora u elektroenergetski sustav u skladu s \u269?lankom 15.e revidirane Direktive (EU) 2018/2001 Europskog parlamenta i Vije\u263?a te o mre\u382?nim naknadama prilago\u273?enima budu\u263?im potrebama radi smanjenja tro\u353?kova energetskog sustava"/>
    <w:docVar w:name="LW_TYPE.DOC.CP" w:val="PREPORUKA KOMISIJE"/>
    <w:docVar w:name="LwApiVersions" w:val="LW4CoDe 1.24.5.0; LW 9.0, Build 20240221"/>
  </w:docVars>
  <w:rsids>
    <w:rsidRoot w:val="00DE3CDC"/>
    <w:rsid w:val="00002645"/>
    <w:rsid w:val="0000291D"/>
    <w:rsid w:val="000070B7"/>
    <w:rsid w:val="0001015F"/>
    <w:rsid w:val="00011322"/>
    <w:rsid w:val="00012FAE"/>
    <w:rsid w:val="00014B00"/>
    <w:rsid w:val="0002378C"/>
    <w:rsid w:val="000278AF"/>
    <w:rsid w:val="00031133"/>
    <w:rsid w:val="00032297"/>
    <w:rsid w:val="00032458"/>
    <w:rsid w:val="00033426"/>
    <w:rsid w:val="00034927"/>
    <w:rsid w:val="00036941"/>
    <w:rsid w:val="00043596"/>
    <w:rsid w:val="00043CD2"/>
    <w:rsid w:val="000475FF"/>
    <w:rsid w:val="0004787C"/>
    <w:rsid w:val="000479A8"/>
    <w:rsid w:val="000504B2"/>
    <w:rsid w:val="00053D25"/>
    <w:rsid w:val="0005611C"/>
    <w:rsid w:val="00056690"/>
    <w:rsid w:val="0006087D"/>
    <w:rsid w:val="00062ED6"/>
    <w:rsid w:val="00070115"/>
    <w:rsid w:val="000705B4"/>
    <w:rsid w:val="000726AD"/>
    <w:rsid w:val="00072BC9"/>
    <w:rsid w:val="000732B0"/>
    <w:rsid w:val="000739BB"/>
    <w:rsid w:val="000809BC"/>
    <w:rsid w:val="0008171A"/>
    <w:rsid w:val="00090477"/>
    <w:rsid w:val="0009176A"/>
    <w:rsid w:val="00091C77"/>
    <w:rsid w:val="000950B8"/>
    <w:rsid w:val="00096B87"/>
    <w:rsid w:val="000A6391"/>
    <w:rsid w:val="000A7F6F"/>
    <w:rsid w:val="000B03A7"/>
    <w:rsid w:val="000B12AA"/>
    <w:rsid w:val="000B337C"/>
    <w:rsid w:val="000B401C"/>
    <w:rsid w:val="000B68C6"/>
    <w:rsid w:val="000B7CC3"/>
    <w:rsid w:val="000B7EE9"/>
    <w:rsid w:val="000C2E40"/>
    <w:rsid w:val="000C4745"/>
    <w:rsid w:val="000C59C1"/>
    <w:rsid w:val="000C6BDB"/>
    <w:rsid w:val="000D5474"/>
    <w:rsid w:val="000E2239"/>
    <w:rsid w:val="000E5C9A"/>
    <w:rsid w:val="000E6EB3"/>
    <w:rsid w:val="000F131C"/>
    <w:rsid w:val="000F1EBA"/>
    <w:rsid w:val="000F4051"/>
    <w:rsid w:val="000F4DA4"/>
    <w:rsid w:val="000F59C3"/>
    <w:rsid w:val="00100274"/>
    <w:rsid w:val="00102048"/>
    <w:rsid w:val="00104735"/>
    <w:rsid w:val="001065F5"/>
    <w:rsid w:val="00114F10"/>
    <w:rsid w:val="00120729"/>
    <w:rsid w:val="001238EF"/>
    <w:rsid w:val="00123A3A"/>
    <w:rsid w:val="001253C7"/>
    <w:rsid w:val="00130FF2"/>
    <w:rsid w:val="00131F26"/>
    <w:rsid w:val="00132A2F"/>
    <w:rsid w:val="00135D11"/>
    <w:rsid w:val="00135D6C"/>
    <w:rsid w:val="00140B2C"/>
    <w:rsid w:val="00140F2F"/>
    <w:rsid w:val="001411CD"/>
    <w:rsid w:val="001414E5"/>
    <w:rsid w:val="00143435"/>
    <w:rsid w:val="00143532"/>
    <w:rsid w:val="00145BBB"/>
    <w:rsid w:val="00154BA6"/>
    <w:rsid w:val="00155F4A"/>
    <w:rsid w:val="00156ED1"/>
    <w:rsid w:val="001631F6"/>
    <w:rsid w:val="0016544C"/>
    <w:rsid w:val="0016602F"/>
    <w:rsid w:val="00170CA5"/>
    <w:rsid w:val="00171876"/>
    <w:rsid w:val="0017522A"/>
    <w:rsid w:val="00176D64"/>
    <w:rsid w:val="00177464"/>
    <w:rsid w:val="0017864C"/>
    <w:rsid w:val="00180DFD"/>
    <w:rsid w:val="00182F6D"/>
    <w:rsid w:val="001832B5"/>
    <w:rsid w:val="00184237"/>
    <w:rsid w:val="00190011"/>
    <w:rsid w:val="00193281"/>
    <w:rsid w:val="00195970"/>
    <w:rsid w:val="00195B18"/>
    <w:rsid w:val="00197613"/>
    <w:rsid w:val="001A0782"/>
    <w:rsid w:val="001A07D7"/>
    <w:rsid w:val="001A1075"/>
    <w:rsid w:val="001A6D2E"/>
    <w:rsid w:val="001A7846"/>
    <w:rsid w:val="001B08EB"/>
    <w:rsid w:val="001B3CAA"/>
    <w:rsid w:val="001B4CA4"/>
    <w:rsid w:val="001C0077"/>
    <w:rsid w:val="001C05C6"/>
    <w:rsid w:val="001C0E97"/>
    <w:rsid w:val="001C12DD"/>
    <w:rsid w:val="001C1D88"/>
    <w:rsid w:val="001C3D67"/>
    <w:rsid w:val="001C55C2"/>
    <w:rsid w:val="001C61B3"/>
    <w:rsid w:val="001D02A4"/>
    <w:rsid w:val="001D18BD"/>
    <w:rsid w:val="001D1A59"/>
    <w:rsid w:val="001D66A5"/>
    <w:rsid w:val="001E2511"/>
    <w:rsid w:val="001E579F"/>
    <w:rsid w:val="001E6714"/>
    <w:rsid w:val="001E72D3"/>
    <w:rsid w:val="001F0216"/>
    <w:rsid w:val="001F1417"/>
    <w:rsid w:val="001F2E6A"/>
    <w:rsid w:val="001F43A1"/>
    <w:rsid w:val="001F4A08"/>
    <w:rsid w:val="001F4EB1"/>
    <w:rsid w:val="0020152B"/>
    <w:rsid w:val="00201E0E"/>
    <w:rsid w:val="00202FAF"/>
    <w:rsid w:val="00204C97"/>
    <w:rsid w:val="00206747"/>
    <w:rsid w:val="002072D1"/>
    <w:rsid w:val="00207AB6"/>
    <w:rsid w:val="002107EC"/>
    <w:rsid w:val="00211670"/>
    <w:rsid w:val="002127B1"/>
    <w:rsid w:val="00217C4F"/>
    <w:rsid w:val="00220BE1"/>
    <w:rsid w:val="00220FB6"/>
    <w:rsid w:val="00221189"/>
    <w:rsid w:val="00221EB9"/>
    <w:rsid w:val="002225A8"/>
    <w:rsid w:val="00222ECC"/>
    <w:rsid w:val="002233D7"/>
    <w:rsid w:val="00223C1D"/>
    <w:rsid w:val="00224B2E"/>
    <w:rsid w:val="0022507A"/>
    <w:rsid w:val="00225ACD"/>
    <w:rsid w:val="00226815"/>
    <w:rsid w:val="002328CA"/>
    <w:rsid w:val="00233DC7"/>
    <w:rsid w:val="00234951"/>
    <w:rsid w:val="00235934"/>
    <w:rsid w:val="00235E7D"/>
    <w:rsid w:val="0024122A"/>
    <w:rsid w:val="00242BAE"/>
    <w:rsid w:val="00244681"/>
    <w:rsid w:val="0024712A"/>
    <w:rsid w:val="00247660"/>
    <w:rsid w:val="00247779"/>
    <w:rsid w:val="00247889"/>
    <w:rsid w:val="00250165"/>
    <w:rsid w:val="00255A91"/>
    <w:rsid w:val="00256BF7"/>
    <w:rsid w:val="00257581"/>
    <w:rsid w:val="00257828"/>
    <w:rsid w:val="00261F99"/>
    <w:rsid w:val="002632C8"/>
    <w:rsid w:val="0027198F"/>
    <w:rsid w:val="00274F4D"/>
    <w:rsid w:val="002778C9"/>
    <w:rsid w:val="00280EE1"/>
    <w:rsid w:val="00282B45"/>
    <w:rsid w:val="00283561"/>
    <w:rsid w:val="002858BF"/>
    <w:rsid w:val="00285BEE"/>
    <w:rsid w:val="00287E7E"/>
    <w:rsid w:val="0029341A"/>
    <w:rsid w:val="0029533F"/>
    <w:rsid w:val="00295CB6"/>
    <w:rsid w:val="00297976"/>
    <w:rsid w:val="002A0A59"/>
    <w:rsid w:val="002A140B"/>
    <w:rsid w:val="002A3AC0"/>
    <w:rsid w:val="002A3EFE"/>
    <w:rsid w:val="002A4203"/>
    <w:rsid w:val="002B01C1"/>
    <w:rsid w:val="002B30AF"/>
    <w:rsid w:val="002B3ECC"/>
    <w:rsid w:val="002B59E9"/>
    <w:rsid w:val="002B5B24"/>
    <w:rsid w:val="002C1A35"/>
    <w:rsid w:val="002D2708"/>
    <w:rsid w:val="002E5BB8"/>
    <w:rsid w:val="002F65B4"/>
    <w:rsid w:val="0030138E"/>
    <w:rsid w:val="003028F6"/>
    <w:rsid w:val="0030374C"/>
    <w:rsid w:val="003049B3"/>
    <w:rsid w:val="00304D90"/>
    <w:rsid w:val="0030527A"/>
    <w:rsid w:val="003065EE"/>
    <w:rsid w:val="00310EEF"/>
    <w:rsid w:val="00313984"/>
    <w:rsid w:val="0032080D"/>
    <w:rsid w:val="0032118F"/>
    <w:rsid w:val="0032248F"/>
    <w:rsid w:val="0032545D"/>
    <w:rsid w:val="00325F8D"/>
    <w:rsid w:val="003263F4"/>
    <w:rsid w:val="00326EC3"/>
    <w:rsid w:val="00330EE9"/>
    <w:rsid w:val="00333322"/>
    <w:rsid w:val="0033344A"/>
    <w:rsid w:val="00333D5F"/>
    <w:rsid w:val="00333EE0"/>
    <w:rsid w:val="003340A6"/>
    <w:rsid w:val="003350EF"/>
    <w:rsid w:val="00335F36"/>
    <w:rsid w:val="003374FE"/>
    <w:rsid w:val="00340D8E"/>
    <w:rsid w:val="003424CD"/>
    <w:rsid w:val="0035030D"/>
    <w:rsid w:val="00351C95"/>
    <w:rsid w:val="003527A2"/>
    <w:rsid w:val="00352967"/>
    <w:rsid w:val="0035328B"/>
    <w:rsid w:val="003533FB"/>
    <w:rsid w:val="00355B02"/>
    <w:rsid w:val="003600CC"/>
    <w:rsid w:val="00361613"/>
    <w:rsid w:val="00363E58"/>
    <w:rsid w:val="00364C18"/>
    <w:rsid w:val="00365EAF"/>
    <w:rsid w:val="00366B2C"/>
    <w:rsid w:val="003703DF"/>
    <w:rsid w:val="003745A3"/>
    <w:rsid w:val="00377647"/>
    <w:rsid w:val="00386397"/>
    <w:rsid w:val="003866A2"/>
    <w:rsid w:val="00386CEE"/>
    <w:rsid w:val="00386DA9"/>
    <w:rsid w:val="003917A2"/>
    <w:rsid w:val="003A1CB0"/>
    <w:rsid w:val="003A21DE"/>
    <w:rsid w:val="003A7DCA"/>
    <w:rsid w:val="003B2ECE"/>
    <w:rsid w:val="003B4C67"/>
    <w:rsid w:val="003B4D87"/>
    <w:rsid w:val="003B536D"/>
    <w:rsid w:val="003B74EC"/>
    <w:rsid w:val="003B780B"/>
    <w:rsid w:val="003C0304"/>
    <w:rsid w:val="003C339D"/>
    <w:rsid w:val="003C3FFE"/>
    <w:rsid w:val="003C71B8"/>
    <w:rsid w:val="003D58AB"/>
    <w:rsid w:val="003D5EB0"/>
    <w:rsid w:val="003D7D64"/>
    <w:rsid w:val="003E0526"/>
    <w:rsid w:val="003E0930"/>
    <w:rsid w:val="003E1DA0"/>
    <w:rsid w:val="003E6D87"/>
    <w:rsid w:val="003E6E63"/>
    <w:rsid w:val="003F1E4F"/>
    <w:rsid w:val="003F3A07"/>
    <w:rsid w:val="0040132B"/>
    <w:rsid w:val="0040329D"/>
    <w:rsid w:val="00406C22"/>
    <w:rsid w:val="00407119"/>
    <w:rsid w:val="0041525B"/>
    <w:rsid w:val="00415B76"/>
    <w:rsid w:val="00417F7E"/>
    <w:rsid w:val="004201B7"/>
    <w:rsid w:val="0042287C"/>
    <w:rsid w:val="00422B34"/>
    <w:rsid w:val="0042648E"/>
    <w:rsid w:val="00452327"/>
    <w:rsid w:val="0045310C"/>
    <w:rsid w:val="004574AB"/>
    <w:rsid w:val="00457718"/>
    <w:rsid w:val="00460167"/>
    <w:rsid w:val="004602DE"/>
    <w:rsid w:val="004628B4"/>
    <w:rsid w:val="0046354D"/>
    <w:rsid w:val="00463FB6"/>
    <w:rsid w:val="00465F59"/>
    <w:rsid w:val="004676CC"/>
    <w:rsid w:val="00470D94"/>
    <w:rsid w:val="00475808"/>
    <w:rsid w:val="00481E0E"/>
    <w:rsid w:val="00482493"/>
    <w:rsid w:val="00482E44"/>
    <w:rsid w:val="0048405E"/>
    <w:rsid w:val="004905A1"/>
    <w:rsid w:val="00492A0A"/>
    <w:rsid w:val="004936D2"/>
    <w:rsid w:val="004949DE"/>
    <w:rsid w:val="004A0FEA"/>
    <w:rsid w:val="004A68AA"/>
    <w:rsid w:val="004B269C"/>
    <w:rsid w:val="004B34C0"/>
    <w:rsid w:val="004B477B"/>
    <w:rsid w:val="004B5F7C"/>
    <w:rsid w:val="004C0B86"/>
    <w:rsid w:val="004C1A35"/>
    <w:rsid w:val="004C3050"/>
    <w:rsid w:val="004C748E"/>
    <w:rsid w:val="004D0439"/>
    <w:rsid w:val="004D11F7"/>
    <w:rsid w:val="004D5CF8"/>
    <w:rsid w:val="004E02C7"/>
    <w:rsid w:val="004E137E"/>
    <w:rsid w:val="004E13CB"/>
    <w:rsid w:val="004E1417"/>
    <w:rsid w:val="004E4836"/>
    <w:rsid w:val="004F1EDC"/>
    <w:rsid w:val="004F571C"/>
    <w:rsid w:val="004F62A6"/>
    <w:rsid w:val="00503783"/>
    <w:rsid w:val="005038ED"/>
    <w:rsid w:val="0050735C"/>
    <w:rsid w:val="00510C87"/>
    <w:rsid w:val="00512610"/>
    <w:rsid w:val="00516614"/>
    <w:rsid w:val="0051669D"/>
    <w:rsid w:val="00520288"/>
    <w:rsid w:val="005219ED"/>
    <w:rsid w:val="00522A6D"/>
    <w:rsid w:val="00523F3C"/>
    <w:rsid w:val="00532496"/>
    <w:rsid w:val="0053330C"/>
    <w:rsid w:val="00533FF2"/>
    <w:rsid w:val="00534C73"/>
    <w:rsid w:val="005401AA"/>
    <w:rsid w:val="005433B9"/>
    <w:rsid w:val="0054594E"/>
    <w:rsid w:val="00554CC5"/>
    <w:rsid w:val="0055682F"/>
    <w:rsid w:val="00556DF7"/>
    <w:rsid w:val="00560AB6"/>
    <w:rsid w:val="00566242"/>
    <w:rsid w:val="00566C5C"/>
    <w:rsid w:val="0057381D"/>
    <w:rsid w:val="00577CB9"/>
    <w:rsid w:val="00585624"/>
    <w:rsid w:val="00586129"/>
    <w:rsid w:val="00586568"/>
    <w:rsid w:val="005929B7"/>
    <w:rsid w:val="00594E6F"/>
    <w:rsid w:val="005A174D"/>
    <w:rsid w:val="005A1B96"/>
    <w:rsid w:val="005A333F"/>
    <w:rsid w:val="005A5A43"/>
    <w:rsid w:val="005A6A58"/>
    <w:rsid w:val="005A7093"/>
    <w:rsid w:val="005B0E0A"/>
    <w:rsid w:val="005B0EE1"/>
    <w:rsid w:val="005B1EB6"/>
    <w:rsid w:val="005B2FC7"/>
    <w:rsid w:val="005B3209"/>
    <w:rsid w:val="005B3432"/>
    <w:rsid w:val="005B48A6"/>
    <w:rsid w:val="005B49C3"/>
    <w:rsid w:val="005B5EB1"/>
    <w:rsid w:val="005B6954"/>
    <w:rsid w:val="005C30E7"/>
    <w:rsid w:val="005C3D6D"/>
    <w:rsid w:val="005D4F4D"/>
    <w:rsid w:val="005D5A77"/>
    <w:rsid w:val="005D720F"/>
    <w:rsid w:val="005D7BF4"/>
    <w:rsid w:val="005E2E96"/>
    <w:rsid w:val="005E708C"/>
    <w:rsid w:val="005F1B1C"/>
    <w:rsid w:val="005F215B"/>
    <w:rsid w:val="005F2DAA"/>
    <w:rsid w:val="005F3FD7"/>
    <w:rsid w:val="005F4264"/>
    <w:rsid w:val="005FA616"/>
    <w:rsid w:val="00601844"/>
    <w:rsid w:val="00610FAF"/>
    <w:rsid w:val="006123E5"/>
    <w:rsid w:val="00612FE6"/>
    <w:rsid w:val="00614E84"/>
    <w:rsid w:val="0061633A"/>
    <w:rsid w:val="00620484"/>
    <w:rsid w:val="00621760"/>
    <w:rsid w:val="00622A8F"/>
    <w:rsid w:val="00622DF5"/>
    <w:rsid w:val="00625B30"/>
    <w:rsid w:val="00630756"/>
    <w:rsid w:val="006329BE"/>
    <w:rsid w:val="00640D62"/>
    <w:rsid w:val="00641AF8"/>
    <w:rsid w:val="006429F9"/>
    <w:rsid w:val="00645BE0"/>
    <w:rsid w:val="00654AA6"/>
    <w:rsid w:val="006555B1"/>
    <w:rsid w:val="00656751"/>
    <w:rsid w:val="006612D1"/>
    <w:rsid w:val="006615D0"/>
    <w:rsid w:val="00663CEC"/>
    <w:rsid w:val="00663D2A"/>
    <w:rsid w:val="00663E4C"/>
    <w:rsid w:val="00663E6C"/>
    <w:rsid w:val="00664600"/>
    <w:rsid w:val="0067521C"/>
    <w:rsid w:val="00677738"/>
    <w:rsid w:val="00682BF8"/>
    <w:rsid w:val="00683549"/>
    <w:rsid w:val="00687CE0"/>
    <w:rsid w:val="00690D62"/>
    <w:rsid w:val="00691AD1"/>
    <w:rsid w:val="0069242A"/>
    <w:rsid w:val="006928C9"/>
    <w:rsid w:val="00693081"/>
    <w:rsid w:val="006956DF"/>
    <w:rsid w:val="006A0BB4"/>
    <w:rsid w:val="006A303B"/>
    <w:rsid w:val="006A4BBF"/>
    <w:rsid w:val="006AD6D8"/>
    <w:rsid w:val="006B0B8B"/>
    <w:rsid w:val="006B17B9"/>
    <w:rsid w:val="006B1AE0"/>
    <w:rsid w:val="006B31E1"/>
    <w:rsid w:val="006B668C"/>
    <w:rsid w:val="006B793D"/>
    <w:rsid w:val="006B7D53"/>
    <w:rsid w:val="006C4018"/>
    <w:rsid w:val="006D3F31"/>
    <w:rsid w:val="006D664A"/>
    <w:rsid w:val="006E2E8E"/>
    <w:rsid w:val="006E4B41"/>
    <w:rsid w:val="006F1067"/>
    <w:rsid w:val="006F1359"/>
    <w:rsid w:val="006F1D21"/>
    <w:rsid w:val="006F38D2"/>
    <w:rsid w:val="006F4362"/>
    <w:rsid w:val="006F46CD"/>
    <w:rsid w:val="006F4A5D"/>
    <w:rsid w:val="00701362"/>
    <w:rsid w:val="00702215"/>
    <w:rsid w:val="007034D0"/>
    <w:rsid w:val="00703686"/>
    <w:rsid w:val="00707164"/>
    <w:rsid w:val="00707242"/>
    <w:rsid w:val="007075F9"/>
    <w:rsid w:val="00710F42"/>
    <w:rsid w:val="00713000"/>
    <w:rsid w:val="007176EF"/>
    <w:rsid w:val="00724504"/>
    <w:rsid w:val="007325FE"/>
    <w:rsid w:val="007349A7"/>
    <w:rsid w:val="007369F0"/>
    <w:rsid w:val="00740A75"/>
    <w:rsid w:val="007424C8"/>
    <w:rsid w:val="0074473B"/>
    <w:rsid w:val="0075101B"/>
    <w:rsid w:val="00751CED"/>
    <w:rsid w:val="00753D8E"/>
    <w:rsid w:val="0075577D"/>
    <w:rsid w:val="00755D31"/>
    <w:rsid w:val="007563E5"/>
    <w:rsid w:val="00757B4C"/>
    <w:rsid w:val="007603C2"/>
    <w:rsid w:val="007608D6"/>
    <w:rsid w:val="00761FBF"/>
    <w:rsid w:val="00762195"/>
    <w:rsid w:val="00762B18"/>
    <w:rsid w:val="007647B3"/>
    <w:rsid w:val="00765A5C"/>
    <w:rsid w:val="00766720"/>
    <w:rsid w:val="00766A88"/>
    <w:rsid w:val="00772224"/>
    <w:rsid w:val="0077282F"/>
    <w:rsid w:val="00773331"/>
    <w:rsid w:val="007733CE"/>
    <w:rsid w:val="00780474"/>
    <w:rsid w:val="007876AB"/>
    <w:rsid w:val="00791A75"/>
    <w:rsid w:val="00792965"/>
    <w:rsid w:val="007932EF"/>
    <w:rsid w:val="00793585"/>
    <w:rsid w:val="007B31B8"/>
    <w:rsid w:val="007B534F"/>
    <w:rsid w:val="007C2AAC"/>
    <w:rsid w:val="007C45C8"/>
    <w:rsid w:val="007C587F"/>
    <w:rsid w:val="007C5C61"/>
    <w:rsid w:val="007C7EE6"/>
    <w:rsid w:val="007D3064"/>
    <w:rsid w:val="007D3CBA"/>
    <w:rsid w:val="007D786F"/>
    <w:rsid w:val="007E05B0"/>
    <w:rsid w:val="007E3926"/>
    <w:rsid w:val="007E6A60"/>
    <w:rsid w:val="007E711C"/>
    <w:rsid w:val="007E7802"/>
    <w:rsid w:val="007EC0CE"/>
    <w:rsid w:val="007F0335"/>
    <w:rsid w:val="007F2779"/>
    <w:rsid w:val="007F5235"/>
    <w:rsid w:val="0080173E"/>
    <w:rsid w:val="008034B8"/>
    <w:rsid w:val="00805850"/>
    <w:rsid w:val="00810273"/>
    <w:rsid w:val="0081535A"/>
    <w:rsid w:val="00815F29"/>
    <w:rsid w:val="00820D67"/>
    <w:rsid w:val="00824407"/>
    <w:rsid w:val="00827B99"/>
    <w:rsid w:val="008331E2"/>
    <w:rsid w:val="00834AA4"/>
    <w:rsid w:val="00835AE7"/>
    <w:rsid w:val="008361C7"/>
    <w:rsid w:val="00840EFE"/>
    <w:rsid w:val="00842DFC"/>
    <w:rsid w:val="00850475"/>
    <w:rsid w:val="008515FF"/>
    <w:rsid w:val="008531CF"/>
    <w:rsid w:val="0085329F"/>
    <w:rsid w:val="00863CA4"/>
    <w:rsid w:val="0086457D"/>
    <w:rsid w:val="008713EF"/>
    <w:rsid w:val="008720C8"/>
    <w:rsid w:val="00874271"/>
    <w:rsid w:val="00874A8F"/>
    <w:rsid w:val="00874D22"/>
    <w:rsid w:val="008817D9"/>
    <w:rsid w:val="0088231D"/>
    <w:rsid w:val="008839CE"/>
    <w:rsid w:val="0088748F"/>
    <w:rsid w:val="00887C91"/>
    <w:rsid w:val="0089159D"/>
    <w:rsid w:val="008926A2"/>
    <w:rsid w:val="00893B8C"/>
    <w:rsid w:val="008950A0"/>
    <w:rsid w:val="00897864"/>
    <w:rsid w:val="008A15DD"/>
    <w:rsid w:val="008A1E48"/>
    <w:rsid w:val="008A2682"/>
    <w:rsid w:val="008A2914"/>
    <w:rsid w:val="008A2B0D"/>
    <w:rsid w:val="008A2E54"/>
    <w:rsid w:val="008A4E90"/>
    <w:rsid w:val="008B032A"/>
    <w:rsid w:val="008B218C"/>
    <w:rsid w:val="008B3191"/>
    <w:rsid w:val="008B3686"/>
    <w:rsid w:val="008B59A4"/>
    <w:rsid w:val="008C0637"/>
    <w:rsid w:val="008C0F7E"/>
    <w:rsid w:val="008C3154"/>
    <w:rsid w:val="008C3879"/>
    <w:rsid w:val="008C4534"/>
    <w:rsid w:val="008C45DC"/>
    <w:rsid w:val="008C53C4"/>
    <w:rsid w:val="008C7C58"/>
    <w:rsid w:val="008C7C81"/>
    <w:rsid w:val="008D2D6E"/>
    <w:rsid w:val="008D3C95"/>
    <w:rsid w:val="008E275D"/>
    <w:rsid w:val="008E3968"/>
    <w:rsid w:val="008E4A13"/>
    <w:rsid w:val="008E4D8E"/>
    <w:rsid w:val="008E6722"/>
    <w:rsid w:val="008E6D85"/>
    <w:rsid w:val="008F1353"/>
    <w:rsid w:val="008F3D34"/>
    <w:rsid w:val="008F4218"/>
    <w:rsid w:val="008F464D"/>
    <w:rsid w:val="008F5F5C"/>
    <w:rsid w:val="008F6ED9"/>
    <w:rsid w:val="00901920"/>
    <w:rsid w:val="009061CC"/>
    <w:rsid w:val="00907BDA"/>
    <w:rsid w:val="009141F0"/>
    <w:rsid w:val="00916093"/>
    <w:rsid w:val="009166E7"/>
    <w:rsid w:val="00917A33"/>
    <w:rsid w:val="00924D00"/>
    <w:rsid w:val="00925D80"/>
    <w:rsid w:val="00927D34"/>
    <w:rsid w:val="00927EED"/>
    <w:rsid w:val="0093034F"/>
    <w:rsid w:val="00930C27"/>
    <w:rsid w:val="00935E5A"/>
    <w:rsid w:val="00935E83"/>
    <w:rsid w:val="0093782F"/>
    <w:rsid w:val="00947092"/>
    <w:rsid w:val="00954BC2"/>
    <w:rsid w:val="009562FC"/>
    <w:rsid w:val="00956480"/>
    <w:rsid w:val="00962070"/>
    <w:rsid w:val="00965EA0"/>
    <w:rsid w:val="009662DE"/>
    <w:rsid w:val="00973710"/>
    <w:rsid w:val="009748A6"/>
    <w:rsid w:val="009755E0"/>
    <w:rsid w:val="00980381"/>
    <w:rsid w:val="00981200"/>
    <w:rsid w:val="009868F0"/>
    <w:rsid w:val="00993E03"/>
    <w:rsid w:val="009969F4"/>
    <w:rsid w:val="009A12F7"/>
    <w:rsid w:val="009A62C5"/>
    <w:rsid w:val="009B14C5"/>
    <w:rsid w:val="009B40B2"/>
    <w:rsid w:val="009B5D86"/>
    <w:rsid w:val="009B788D"/>
    <w:rsid w:val="009C00BF"/>
    <w:rsid w:val="009C04FD"/>
    <w:rsid w:val="009C3F0E"/>
    <w:rsid w:val="009C60D6"/>
    <w:rsid w:val="009D00BC"/>
    <w:rsid w:val="009D0705"/>
    <w:rsid w:val="009D2FF5"/>
    <w:rsid w:val="009D3004"/>
    <w:rsid w:val="009D3D7C"/>
    <w:rsid w:val="009D65C1"/>
    <w:rsid w:val="009D6DA0"/>
    <w:rsid w:val="009E4E87"/>
    <w:rsid w:val="009E7163"/>
    <w:rsid w:val="009F0943"/>
    <w:rsid w:val="009F2644"/>
    <w:rsid w:val="009F50DA"/>
    <w:rsid w:val="009F6DAC"/>
    <w:rsid w:val="009F7CDD"/>
    <w:rsid w:val="009F7ED3"/>
    <w:rsid w:val="00A00F41"/>
    <w:rsid w:val="00A02E87"/>
    <w:rsid w:val="00A107B9"/>
    <w:rsid w:val="00A12F63"/>
    <w:rsid w:val="00A137C9"/>
    <w:rsid w:val="00A20921"/>
    <w:rsid w:val="00A245CE"/>
    <w:rsid w:val="00A266B8"/>
    <w:rsid w:val="00A27BAB"/>
    <w:rsid w:val="00A305BF"/>
    <w:rsid w:val="00A404DB"/>
    <w:rsid w:val="00A40754"/>
    <w:rsid w:val="00A40DEA"/>
    <w:rsid w:val="00A411AF"/>
    <w:rsid w:val="00A412EE"/>
    <w:rsid w:val="00A42768"/>
    <w:rsid w:val="00A535A6"/>
    <w:rsid w:val="00A54BA1"/>
    <w:rsid w:val="00A5529A"/>
    <w:rsid w:val="00A55583"/>
    <w:rsid w:val="00A55646"/>
    <w:rsid w:val="00A56484"/>
    <w:rsid w:val="00A61F55"/>
    <w:rsid w:val="00A630A0"/>
    <w:rsid w:val="00A70456"/>
    <w:rsid w:val="00A70918"/>
    <w:rsid w:val="00A713A9"/>
    <w:rsid w:val="00A73A29"/>
    <w:rsid w:val="00A8250A"/>
    <w:rsid w:val="00A84A91"/>
    <w:rsid w:val="00A84BD1"/>
    <w:rsid w:val="00A85084"/>
    <w:rsid w:val="00A86CFA"/>
    <w:rsid w:val="00A87FD8"/>
    <w:rsid w:val="00A9412B"/>
    <w:rsid w:val="00A96D85"/>
    <w:rsid w:val="00A9703B"/>
    <w:rsid w:val="00AA0067"/>
    <w:rsid w:val="00AA2023"/>
    <w:rsid w:val="00AA3175"/>
    <w:rsid w:val="00AA5ACB"/>
    <w:rsid w:val="00AB2CD2"/>
    <w:rsid w:val="00AB51D4"/>
    <w:rsid w:val="00AB7BEB"/>
    <w:rsid w:val="00AC19AE"/>
    <w:rsid w:val="00AC2AF5"/>
    <w:rsid w:val="00AC30F0"/>
    <w:rsid w:val="00AC3141"/>
    <w:rsid w:val="00AC4131"/>
    <w:rsid w:val="00AC50B4"/>
    <w:rsid w:val="00AC5DCD"/>
    <w:rsid w:val="00AD0460"/>
    <w:rsid w:val="00AE2223"/>
    <w:rsid w:val="00AE35EB"/>
    <w:rsid w:val="00AF1F4A"/>
    <w:rsid w:val="00AF22CB"/>
    <w:rsid w:val="00B005FA"/>
    <w:rsid w:val="00B01105"/>
    <w:rsid w:val="00B01A62"/>
    <w:rsid w:val="00B02FB1"/>
    <w:rsid w:val="00B138AF"/>
    <w:rsid w:val="00B140BD"/>
    <w:rsid w:val="00B14D5B"/>
    <w:rsid w:val="00B15594"/>
    <w:rsid w:val="00B17062"/>
    <w:rsid w:val="00B178A2"/>
    <w:rsid w:val="00B20D06"/>
    <w:rsid w:val="00B27366"/>
    <w:rsid w:val="00B30161"/>
    <w:rsid w:val="00B31D37"/>
    <w:rsid w:val="00B358BC"/>
    <w:rsid w:val="00B40BFB"/>
    <w:rsid w:val="00B40CBE"/>
    <w:rsid w:val="00B43654"/>
    <w:rsid w:val="00B43F8B"/>
    <w:rsid w:val="00B503FF"/>
    <w:rsid w:val="00B52DCF"/>
    <w:rsid w:val="00B53CC7"/>
    <w:rsid w:val="00B5481A"/>
    <w:rsid w:val="00B54A7D"/>
    <w:rsid w:val="00B55892"/>
    <w:rsid w:val="00B55BDE"/>
    <w:rsid w:val="00B56136"/>
    <w:rsid w:val="00B607E8"/>
    <w:rsid w:val="00B642A9"/>
    <w:rsid w:val="00B6558C"/>
    <w:rsid w:val="00B675B6"/>
    <w:rsid w:val="00B8023F"/>
    <w:rsid w:val="00B8162B"/>
    <w:rsid w:val="00B824DC"/>
    <w:rsid w:val="00B840E3"/>
    <w:rsid w:val="00B85CAB"/>
    <w:rsid w:val="00B8712B"/>
    <w:rsid w:val="00B9189D"/>
    <w:rsid w:val="00B93BB1"/>
    <w:rsid w:val="00B95597"/>
    <w:rsid w:val="00BA042E"/>
    <w:rsid w:val="00BA23A8"/>
    <w:rsid w:val="00BA59EF"/>
    <w:rsid w:val="00BA7734"/>
    <w:rsid w:val="00BB1AD1"/>
    <w:rsid w:val="00BB22F0"/>
    <w:rsid w:val="00BB2EEB"/>
    <w:rsid w:val="00BB44AB"/>
    <w:rsid w:val="00BB6D91"/>
    <w:rsid w:val="00BB781E"/>
    <w:rsid w:val="00BC0BCB"/>
    <w:rsid w:val="00BC34A6"/>
    <w:rsid w:val="00BC5DBC"/>
    <w:rsid w:val="00BC6F9A"/>
    <w:rsid w:val="00BC74CD"/>
    <w:rsid w:val="00BC7FF8"/>
    <w:rsid w:val="00BE3FF2"/>
    <w:rsid w:val="00BF1F50"/>
    <w:rsid w:val="00BF237E"/>
    <w:rsid w:val="00BF626F"/>
    <w:rsid w:val="00BF62EE"/>
    <w:rsid w:val="00C00129"/>
    <w:rsid w:val="00C01052"/>
    <w:rsid w:val="00C02E48"/>
    <w:rsid w:val="00C036C4"/>
    <w:rsid w:val="00C03F5F"/>
    <w:rsid w:val="00C106AF"/>
    <w:rsid w:val="00C12301"/>
    <w:rsid w:val="00C13696"/>
    <w:rsid w:val="00C14185"/>
    <w:rsid w:val="00C15B57"/>
    <w:rsid w:val="00C16868"/>
    <w:rsid w:val="00C21392"/>
    <w:rsid w:val="00C22F45"/>
    <w:rsid w:val="00C23749"/>
    <w:rsid w:val="00C25F81"/>
    <w:rsid w:val="00C26367"/>
    <w:rsid w:val="00C271C7"/>
    <w:rsid w:val="00C279ED"/>
    <w:rsid w:val="00C30AAE"/>
    <w:rsid w:val="00C30DAB"/>
    <w:rsid w:val="00C345EE"/>
    <w:rsid w:val="00C34D17"/>
    <w:rsid w:val="00C376FA"/>
    <w:rsid w:val="00C40990"/>
    <w:rsid w:val="00C44BCC"/>
    <w:rsid w:val="00C4503F"/>
    <w:rsid w:val="00C460F6"/>
    <w:rsid w:val="00C6003A"/>
    <w:rsid w:val="00C65D3A"/>
    <w:rsid w:val="00C71D70"/>
    <w:rsid w:val="00C743E5"/>
    <w:rsid w:val="00C75F7C"/>
    <w:rsid w:val="00C7636F"/>
    <w:rsid w:val="00C767B5"/>
    <w:rsid w:val="00C809BA"/>
    <w:rsid w:val="00C87594"/>
    <w:rsid w:val="00C912D5"/>
    <w:rsid w:val="00C917B3"/>
    <w:rsid w:val="00C91F0A"/>
    <w:rsid w:val="00C9539E"/>
    <w:rsid w:val="00CA07F4"/>
    <w:rsid w:val="00CA0C86"/>
    <w:rsid w:val="00CA70BC"/>
    <w:rsid w:val="00CA7FAA"/>
    <w:rsid w:val="00CB1696"/>
    <w:rsid w:val="00CB1914"/>
    <w:rsid w:val="00CB4F0E"/>
    <w:rsid w:val="00CB5AB3"/>
    <w:rsid w:val="00CB6D8C"/>
    <w:rsid w:val="00CC6553"/>
    <w:rsid w:val="00CD06EC"/>
    <w:rsid w:val="00CD08F5"/>
    <w:rsid w:val="00CD0CF2"/>
    <w:rsid w:val="00CD2897"/>
    <w:rsid w:val="00CD4A23"/>
    <w:rsid w:val="00CD5EE3"/>
    <w:rsid w:val="00CE0053"/>
    <w:rsid w:val="00CE1841"/>
    <w:rsid w:val="00CE290D"/>
    <w:rsid w:val="00CE73AC"/>
    <w:rsid w:val="00CF3E2A"/>
    <w:rsid w:val="00CF4148"/>
    <w:rsid w:val="00CF679C"/>
    <w:rsid w:val="00CF6CCD"/>
    <w:rsid w:val="00CF7DEB"/>
    <w:rsid w:val="00D00604"/>
    <w:rsid w:val="00D10256"/>
    <w:rsid w:val="00D1219D"/>
    <w:rsid w:val="00D12285"/>
    <w:rsid w:val="00D12BED"/>
    <w:rsid w:val="00D14B72"/>
    <w:rsid w:val="00D20381"/>
    <w:rsid w:val="00D21E1C"/>
    <w:rsid w:val="00D245B1"/>
    <w:rsid w:val="00D2533E"/>
    <w:rsid w:val="00D26723"/>
    <w:rsid w:val="00D30908"/>
    <w:rsid w:val="00D320F0"/>
    <w:rsid w:val="00D3250A"/>
    <w:rsid w:val="00D34803"/>
    <w:rsid w:val="00D4178A"/>
    <w:rsid w:val="00D54564"/>
    <w:rsid w:val="00D555C8"/>
    <w:rsid w:val="00D55A68"/>
    <w:rsid w:val="00D55E16"/>
    <w:rsid w:val="00D55E92"/>
    <w:rsid w:val="00D611CF"/>
    <w:rsid w:val="00D70A82"/>
    <w:rsid w:val="00D72809"/>
    <w:rsid w:val="00D72BE4"/>
    <w:rsid w:val="00D755CD"/>
    <w:rsid w:val="00D75C65"/>
    <w:rsid w:val="00D81EA2"/>
    <w:rsid w:val="00D82228"/>
    <w:rsid w:val="00D83954"/>
    <w:rsid w:val="00D86967"/>
    <w:rsid w:val="00D86E52"/>
    <w:rsid w:val="00D87CD9"/>
    <w:rsid w:val="00D91B51"/>
    <w:rsid w:val="00D92706"/>
    <w:rsid w:val="00D92FD9"/>
    <w:rsid w:val="00D9363E"/>
    <w:rsid w:val="00D94D5A"/>
    <w:rsid w:val="00D95030"/>
    <w:rsid w:val="00D961DC"/>
    <w:rsid w:val="00D96360"/>
    <w:rsid w:val="00D965E2"/>
    <w:rsid w:val="00DA2F04"/>
    <w:rsid w:val="00DA35F4"/>
    <w:rsid w:val="00DA40C6"/>
    <w:rsid w:val="00DA7083"/>
    <w:rsid w:val="00DB1FC4"/>
    <w:rsid w:val="00DB2CD0"/>
    <w:rsid w:val="00DB3C94"/>
    <w:rsid w:val="00DB4486"/>
    <w:rsid w:val="00DB4EDA"/>
    <w:rsid w:val="00DB54A9"/>
    <w:rsid w:val="00DB5F0E"/>
    <w:rsid w:val="00DC51BE"/>
    <w:rsid w:val="00DD1C4B"/>
    <w:rsid w:val="00DD3B14"/>
    <w:rsid w:val="00DD46B2"/>
    <w:rsid w:val="00DE0200"/>
    <w:rsid w:val="00DE3CDC"/>
    <w:rsid w:val="00DF2D3C"/>
    <w:rsid w:val="00DF3470"/>
    <w:rsid w:val="00DF54B5"/>
    <w:rsid w:val="00DF5A21"/>
    <w:rsid w:val="00E010C0"/>
    <w:rsid w:val="00E03EA0"/>
    <w:rsid w:val="00E043C4"/>
    <w:rsid w:val="00E10060"/>
    <w:rsid w:val="00E118A3"/>
    <w:rsid w:val="00E1471D"/>
    <w:rsid w:val="00E14DF4"/>
    <w:rsid w:val="00E159C4"/>
    <w:rsid w:val="00E206D8"/>
    <w:rsid w:val="00E2210D"/>
    <w:rsid w:val="00E25D6E"/>
    <w:rsid w:val="00E26AD5"/>
    <w:rsid w:val="00E30BFC"/>
    <w:rsid w:val="00E33468"/>
    <w:rsid w:val="00E370A5"/>
    <w:rsid w:val="00E37668"/>
    <w:rsid w:val="00E4031F"/>
    <w:rsid w:val="00E41EC2"/>
    <w:rsid w:val="00E42CBC"/>
    <w:rsid w:val="00E45C2F"/>
    <w:rsid w:val="00E56C63"/>
    <w:rsid w:val="00E57EE6"/>
    <w:rsid w:val="00E64688"/>
    <w:rsid w:val="00E71409"/>
    <w:rsid w:val="00E71ECA"/>
    <w:rsid w:val="00E82889"/>
    <w:rsid w:val="00E8796E"/>
    <w:rsid w:val="00E907E8"/>
    <w:rsid w:val="00E957D8"/>
    <w:rsid w:val="00E977B1"/>
    <w:rsid w:val="00EA3CDE"/>
    <w:rsid w:val="00EA5387"/>
    <w:rsid w:val="00EA623D"/>
    <w:rsid w:val="00EA6C20"/>
    <w:rsid w:val="00EB041B"/>
    <w:rsid w:val="00EB062A"/>
    <w:rsid w:val="00EB0E8E"/>
    <w:rsid w:val="00EB15B0"/>
    <w:rsid w:val="00EB4105"/>
    <w:rsid w:val="00EB7E26"/>
    <w:rsid w:val="00EC36E6"/>
    <w:rsid w:val="00EC3B10"/>
    <w:rsid w:val="00EC792C"/>
    <w:rsid w:val="00EC7F37"/>
    <w:rsid w:val="00ED072E"/>
    <w:rsid w:val="00ED08CC"/>
    <w:rsid w:val="00ED3558"/>
    <w:rsid w:val="00EE0920"/>
    <w:rsid w:val="00EE3258"/>
    <w:rsid w:val="00EE5CAE"/>
    <w:rsid w:val="00EE612D"/>
    <w:rsid w:val="00EF0547"/>
    <w:rsid w:val="00EF35EA"/>
    <w:rsid w:val="00EF3ADC"/>
    <w:rsid w:val="00EF522C"/>
    <w:rsid w:val="00EF6D98"/>
    <w:rsid w:val="00F02FE4"/>
    <w:rsid w:val="00F04033"/>
    <w:rsid w:val="00F05329"/>
    <w:rsid w:val="00F07139"/>
    <w:rsid w:val="00F111CF"/>
    <w:rsid w:val="00F14E2A"/>
    <w:rsid w:val="00F15B1D"/>
    <w:rsid w:val="00F16E92"/>
    <w:rsid w:val="00F205C7"/>
    <w:rsid w:val="00F2287E"/>
    <w:rsid w:val="00F25AA4"/>
    <w:rsid w:val="00F2786E"/>
    <w:rsid w:val="00F3071C"/>
    <w:rsid w:val="00F33250"/>
    <w:rsid w:val="00F364E3"/>
    <w:rsid w:val="00F37CD1"/>
    <w:rsid w:val="00F421D5"/>
    <w:rsid w:val="00F42926"/>
    <w:rsid w:val="00F438F2"/>
    <w:rsid w:val="00F47386"/>
    <w:rsid w:val="00F51D10"/>
    <w:rsid w:val="00F52745"/>
    <w:rsid w:val="00F52D3B"/>
    <w:rsid w:val="00F54922"/>
    <w:rsid w:val="00F55D0A"/>
    <w:rsid w:val="00F5637D"/>
    <w:rsid w:val="00F57A3C"/>
    <w:rsid w:val="00F605FC"/>
    <w:rsid w:val="00F61970"/>
    <w:rsid w:val="00F61C40"/>
    <w:rsid w:val="00F6541D"/>
    <w:rsid w:val="00F67E74"/>
    <w:rsid w:val="00F725D3"/>
    <w:rsid w:val="00F7733A"/>
    <w:rsid w:val="00F7749C"/>
    <w:rsid w:val="00F82647"/>
    <w:rsid w:val="00F82F8D"/>
    <w:rsid w:val="00F84FE2"/>
    <w:rsid w:val="00F85381"/>
    <w:rsid w:val="00F877E6"/>
    <w:rsid w:val="00F9045F"/>
    <w:rsid w:val="00F907AB"/>
    <w:rsid w:val="00F91240"/>
    <w:rsid w:val="00F912A1"/>
    <w:rsid w:val="00F94B44"/>
    <w:rsid w:val="00F96C6E"/>
    <w:rsid w:val="00F97EAA"/>
    <w:rsid w:val="00FA026D"/>
    <w:rsid w:val="00FA0635"/>
    <w:rsid w:val="00FA1007"/>
    <w:rsid w:val="00FA1A1F"/>
    <w:rsid w:val="00FA29B6"/>
    <w:rsid w:val="00FA3A11"/>
    <w:rsid w:val="00FA6486"/>
    <w:rsid w:val="00FA700C"/>
    <w:rsid w:val="00FB04AF"/>
    <w:rsid w:val="00FB18A9"/>
    <w:rsid w:val="00FB4CE8"/>
    <w:rsid w:val="00FB5E7D"/>
    <w:rsid w:val="00FB6FAD"/>
    <w:rsid w:val="00FC2558"/>
    <w:rsid w:val="00FC38F8"/>
    <w:rsid w:val="00FC460F"/>
    <w:rsid w:val="00FC4624"/>
    <w:rsid w:val="00FC64E8"/>
    <w:rsid w:val="00FC76D4"/>
    <w:rsid w:val="00FC7B24"/>
    <w:rsid w:val="00FD418C"/>
    <w:rsid w:val="00FD46AB"/>
    <w:rsid w:val="00FD5629"/>
    <w:rsid w:val="00FD6E46"/>
    <w:rsid w:val="00FD6E7B"/>
    <w:rsid w:val="00FE021E"/>
    <w:rsid w:val="00FE0287"/>
    <w:rsid w:val="00FE1694"/>
    <w:rsid w:val="00FE39D7"/>
    <w:rsid w:val="00FE50FE"/>
    <w:rsid w:val="00FE5905"/>
    <w:rsid w:val="00FF14F1"/>
    <w:rsid w:val="00FF1DAF"/>
    <w:rsid w:val="00FF3DCF"/>
    <w:rsid w:val="00FF4994"/>
    <w:rsid w:val="00FF5B4A"/>
    <w:rsid w:val="00FF69D4"/>
    <w:rsid w:val="01461109"/>
    <w:rsid w:val="016D811F"/>
    <w:rsid w:val="0196CDF6"/>
    <w:rsid w:val="01C9D667"/>
    <w:rsid w:val="027F5ECA"/>
    <w:rsid w:val="02D4790D"/>
    <w:rsid w:val="02E76B5E"/>
    <w:rsid w:val="0326537D"/>
    <w:rsid w:val="033894D4"/>
    <w:rsid w:val="038B0CB5"/>
    <w:rsid w:val="03E3EBA4"/>
    <w:rsid w:val="0425BE1C"/>
    <w:rsid w:val="04323C50"/>
    <w:rsid w:val="04A3C76C"/>
    <w:rsid w:val="04C73DA6"/>
    <w:rsid w:val="04EC7E01"/>
    <w:rsid w:val="05513906"/>
    <w:rsid w:val="057E2A9D"/>
    <w:rsid w:val="05A523A3"/>
    <w:rsid w:val="063DD464"/>
    <w:rsid w:val="06E1BE33"/>
    <w:rsid w:val="06E7602A"/>
    <w:rsid w:val="06FE4777"/>
    <w:rsid w:val="073C3CAF"/>
    <w:rsid w:val="07698699"/>
    <w:rsid w:val="0783A2DE"/>
    <w:rsid w:val="079DDE05"/>
    <w:rsid w:val="07B07763"/>
    <w:rsid w:val="07CAF30A"/>
    <w:rsid w:val="080A3154"/>
    <w:rsid w:val="083467B3"/>
    <w:rsid w:val="0850B46F"/>
    <w:rsid w:val="086717F9"/>
    <w:rsid w:val="08893970"/>
    <w:rsid w:val="08E446A8"/>
    <w:rsid w:val="092C6556"/>
    <w:rsid w:val="0957851B"/>
    <w:rsid w:val="097B62C9"/>
    <w:rsid w:val="09BD5D39"/>
    <w:rsid w:val="09E4FDC7"/>
    <w:rsid w:val="0A6B1B29"/>
    <w:rsid w:val="0AC07561"/>
    <w:rsid w:val="0AC9547E"/>
    <w:rsid w:val="0ACAD06C"/>
    <w:rsid w:val="0AEF81BA"/>
    <w:rsid w:val="0AF21012"/>
    <w:rsid w:val="0B4C5BE1"/>
    <w:rsid w:val="0B5BA211"/>
    <w:rsid w:val="0B642A27"/>
    <w:rsid w:val="0B792376"/>
    <w:rsid w:val="0BA12359"/>
    <w:rsid w:val="0BA17AB1"/>
    <w:rsid w:val="0BA9C295"/>
    <w:rsid w:val="0BD92376"/>
    <w:rsid w:val="0C18CBA3"/>
    <w:rsid w:val="0C99641F"/>
    <w:rsid w:val="0CC402B0"/>
    <w:rsid w:val="0CCD173C"/>
    <w:rsid w:val="0CDC26D4"/>
    <w:rsid w:val="0D452258"/>
    <w:rsid w:val="0D4DDFB4"/>
    <w:rsid w:val="0D515C10"/>
    <w:rsid w:val="0D5802D8"/>
    <w:rsid w:val="0DBC0706"/>
    <w:rsid w:val="0DC534D1"/>
    <w:rsid w:val="0E406D2C"/>
    <w:rsid w:val="0E44B437"/>
    <w:rsid w:val="0E468FCA"/>
    <w:rsid w:val="0E47810B"/>
    <w:rsid w:val="0E70007A"/>
    <w:rsid w:val="0E7AE99F"/>
    <w:rsid w:val="0E8D70D2"/>
    <w:rsid w:val="0EACAF8E"/>
    <w:rsid w:val="0F15748C"/>
    <w:rsid w:val="0F77B06C"/>
    <w:rsid w:val="0F85D4BB"/>
    <w:rsid w:val="0F8DD873"/>
    <w:rsid w:val="0F9FB006"/>
    <w:rsid w:val="0FB295B7"/>
    <w:rsid w:val="0FB31C56"/>
    <w:rsid w:val="100206D7"/>
    <w:rsid w:val="1021CDB4"/>
    <w:rsid w:val="102A8520"/>
    <w:rsid w:val="1077CEB7"/>
    <w:rsid w:val="1084AF11"/>
    <w:rsid w:val="10AA0547"/>
    <w:rsid w:val="10AD6FDE"/>
    <w:rsid w:val="1190D87F"/>
    <w:rsid w:val="11B43988"/>
    <w:rsid w:val="11C6298F"/>
    <w:rsid w:val="121F6BB3"/>
    <w:rsid w:val="126EBE4C"/>
    <w:rsid w:val="12774C68"/>
    <w:rsid w:val="1290EC38"/>
    <w:rsid w:val="129E4C95"/>
    <w:rsid w:val="12ADF648"/>
    <w:rsid w:val="12ED9ADA"/>
    <w:rsid w:val="132D8D57"/>
    <w:rsid w:val="134292C8"/>
    <w:rsid w:val="13544116"/>
    <w:rsid w:val="13699BB6"/>
    <w:rsid w:val="1386A7D0"/>
    <w:rsid w:val="13DC6DE3"/>
    <w:rsid w:val="13DE4B66"/>
    <w:rsid w:val="13EAE6DE"/>
    <w:rsid w:val="13FA3185"/>
    <w:rsid w:val="14208909"/>
    <w:rsid w:val="14413DBC"/>
    <w:rsid w:val="1489F7C0"/>
    <w:rsid w:val="14B6E844"/>
    <w:rsid w:val="14EC81A3"/>
    <w:rsid w:val="150B234F"/>
    <w:rsid w:val="15390BF4"/>
    <w:rsid w:val="155B335B"/>
    <w:rsid w:val="1577F004"/>
    <w:rsid w:val="15985912"/>
    <w:rsid w:val="15AE4D64"/>
    <w:rsid w:val="163FC3D5"/>
    <w:rsid w:val="16A9DE8E"/>
    <w:rsid w:val="16DD1CF1"/>
    <w:rsid w:val="16F51833"/>
    <w:rsid w:val="17617958"/>
    <w:rsid w:val="176546EA"/>
    <w:rsid w:val="176B5F27"/>
    <w:rsid w:val="17A675DE"/>
    <w:rsid w:val="181108FE"/>
    <w:rsid w:val="181EB18E"/>
    <w:rsid w:val="18219992"/>
    <w:rsid w:val="183E95AE"/>
    <w:rsid w:val="18D7EBBD"/>
    <w:rsid w:val="192CA82F"/>
    <w:rsid w:val="195F7258"/>
    <w:rsid w:val="1999A144"/>
    <w:rsid w:val="19D4C536"/>
    <w:rsid w:val="1A0E7AB0"/>
    <w:rsid w:val="1A979E56"/>
    <w:rsid w:val="1AC76E48"/>
    <w:rsid w:val="1B818AAE"/>
    <w:rsid w:val="1B85D8CF"/>
    <w:rsid w:val="1B97E269"/>
    <w:rsid w:val="1BB46958"/>
    <w:rsid w:val="1BD7F3A4"/>
    <w:rsid w:val="1BE58A9C"/>
    <w:rsid w:val="1C06196D"/>
    <w:rsid w:val="1C2DFEF9"/>
    <w:rsid w:val="1C4015CE"/>
    <w:rsid w:val="1C9006E7"/>
    <w:rsid w:val="1CD5E9C0"/>
    <w:rsid w:val="1CF61D37"/>
    <w:rsid w:val="1D6D4CB2"/>
    <w:rsid w:val="1E1391BC"/>
    <w:rsid w:val="1E2184FB"/>
    <w:rsid w:val="1E3E2F23"/>
    <w:rsid w:val="1EC4F318"/>
    <w:rsid w:val="1ECB8174"/>
    <w:rsid w:val="1EF6A79D"/>
    <w:rsid w:val="1EFE486F"/>
    <w:rsid w:val="1F347967"/>
    <w:rsid w:val="1F4C7F14"/>
    <w:rsid w:val="1F682336"/>
    <w:rsid w:val="1F7B2A96"/>
    <w:rsid w:val="1F996AE5"/>
    <w:rsid w:val="1FBB6CA6"/>
    <w:rsid w:val="1FD534D7"/>
    <w:rsid w:val="1FE7D9A7"/>
    <w:rsid w:val="201A5377"/>
    <w:rsid w:val="2039AB2B"/>
    <w:rsid w:val="20957690"/>
    <w:rsid w:val="20AC4998"/>
    <w:rsid w:val="20F0C5BF"/>
    <w:rsid w:val="211709EC"/>
    <w:rsid w:val="21592C04"/>
    <w:rsid w:val="21888727"/>
    <w:rsid w:val="21997876"/>
    <w:rsid w:val="21A3FA17"/>
    <w:rsid w:val="22248173"/>
    <w:rsid w:val="2232E1D1"/>
    <w:rsid w:val="224EC0CC"/>
    <w:rsid w:val="22DE141D"/>
    <w:rsid w:val="22E24E28"/>
    <w:rsid w:val="23299F25"/>
    <w:rsid w:val="2343AD42"/>
    <w:rsid w:val="2360F232"/>
    <w:rsid w:val="236A1416"/>
    <w:rsid w:val="23A5C66B"/>
    <w:rsid w:val="23C2E2AB"/>
    <w:rsid w:val="23EE2BC9"/>
    <w:rsid w:val="2422DA53"/>
    <w:rsid w:val="2424D4A5"/>
    <w:rsid w:val="244F5289"/>
    <w:rsid w:val="2469E7A8"/>
    <w:rsid w:val="24776129"/>
    <w:rsid w:val="247A8820"/>
    <w:rsid w:val="24D39590"/>
    <w:rsid w:val="24E7B829"/>
    <w:rsid w:val="24F8C19B"/>
    <w:rsid w:val="2566B1F9"/>
    <w:rsid w:val="257F9CF8"/>
    <w:rsid w:val="258F04BD"/>
    <w:rsid w:val="25AA92BF"/>
    <w:rsid w:val="25D9B98E"/>
    <w:rsid w:val="2653EB37"/>
    <w:rsid w:val="269B81B3"/>
    <w:rsid w:val="26ABCFD0"/>
    <w:rsid w:val="26D195CF"/>
    <w:rsid w:val="26EAF454"/>
    <w:rsid w:val="2706A8DD"/>
    <w:rsid w:val="27092A72"/>
    <w:rsid w:val="2740747B"/>
    <w:rsid w:val="2749314C"/>
    <w:rsid w:val="275DB79D"/>
    <w:rsid w:val="27AB7E51"/>
    <w:rsid w:val="27B455E7"/>
    <w:rsid w:val="27FD879B"/>
    <w:rsid w:val="2839130C"/>
    <w:rsid w:val="284C864E"/>
    <w:rsid w:val="284CD72B"/>
    <w:rsid w:val="2892929E"/>
    <w:rsid w:val="28C6B26A"/>
    <w:rsid w:val="292BE721"/>
    <w:rsid w:val="29469F61"/>
    <w:rsid w:val="296C3A66"/>
    <w:rsid w:val="297DE329"/>
    <w:rsid w:val="298AC11E"/>
    <w:rsid w:val="29DB7DCB"/>
    <w:rsid w:val="29DFE4CF"/>
    <w:rsid w:val="29E156CA"/>
    <w:rsid w:val="2A7D9767"/>
    <w:rsid w:val="2AA1706D"/>
    <w:rsid w:val="2AD4D180"/>
    <w:rsid w:val="2B2B7BB6"/>
    <w:rsid w:val="2B539D2C"/>
    <w:rsid w:val="2B55AA30"/>
    <w:rsid w:val="2BD66D3D"/>
    <w:rsid w:val="2C0B2DDB"/>
    <w:rsid w:val="2C1D065F"/>
    <w:rsid w:val="2C246030"/>
    <w:rsid w:val="2C27237F"/>
    <w:rsid w:val="2C2D14EB"/>
    <w:rsid w:val="2CA56FE8"/>
    <w:rsid w:val="2CA92806"/>
    <w:rsid w:val="2CF82719"/>
    <w:rsid w:val="2D2CEF0E"/>
    <w:rsid w:val="2D337A6D"/>
    <w:rsid w:val="2D357159"/>
    <w:rsid w:val="2D4955A0"/>
    <w:rsid w:val="2D4CCB53"/>
    <w:rsid w:val="2D6171B6"/>
    <w:rsid w:val="2D65B706"/>
    <w:rsid w:val="2D83D48D"/>
    <w:rsid w:val="2D92A6EA"/>
    <w:rsid w:val="2DF75820"/>
    <w:rsid w:val="2E2AB5F9"/>
    <w:rsid w:val="2E959A55"/>
    <w:rsid w:val="2EA1A650"/>
    <w:rsid w:val="2EAB03D9"/>
    <w:rsid w:val="2EDB8B6A"/>
    <w:rsid w:val="2EF2219C"/>
    <w:rsid w:val="2F197197"/>
    <w:rsid w:val="2F29CAC8"/>
    <w:rsid w:val="2F2A7D9B"/>
    <w:rsid w:val="2F495690"/>
    <w:rsid w:val="2F6BAB53"/>
    <w:rsid w:val="2FDF24E3"/>
    <w:rsid w:val="2FEE19E7"/>
    <w:rsid w:val="2FEF88F0"/>
    <w:rsid w:val="3006B797"/>
    <w:rsid w:val="30226C4F"/>
    <w:rsid w:val="303CE6B0"/>
    <w:rsid w:val="303FB5C2"/>
    <w:rsid w:val="30A4A7A5"/>
    <w:rsid w:val="30D563FF"/>
    <w:rsid w:val="3129DC82"/>
    <w:rsid w:val="31C8A2E8"/>
    <w:rsid w:val="31D5B980"/>
    <w:rsid w:val="32540BE0"/>
    <w:rsid w:val="32849719"/>
    <w:rsid w:val="328716A4"/>
    <w:rsid w:val="32E61E16"/>
    <w:rsid w:val="32F4D151"/>
    <w:rsid w:val="3314CC84"/>
    <w:rsid w:val="331DB3B1"/>
    <w:rsid w:val="335A2247"/>
    <w:rsid w:val="335F6750"/>
    <w:rsid w:val="3373A5BC"/>
    <w:rsid w:val="3399AFBE"/>
    <w:rsid w:val="33A8E2FF"/>
    <w:rsid w:val="33CA0551"/>
    <w:rsid w:val="33D4E633"/>
    <w:rsid w:val="33DDB34B"/>
    <w:rsid w:val="348C5CD5"/>
    <w:rsid w:val="34BAA89B"/>
    <w:rsid w:val="34C0B6E8"/>
    <w:rsid w:val="350B19E9"/>
    <w:rsid w:val="35384F91"/>
    <w:rsid w:val="354B22C6"/>
    <w:rsid w:val="35CCF1D7"/>
    <w:rsid w:val="35D340B2"/>
    <w:rsid w:val="35DD8BBD"/>
    <w:rsid w:val="35E435F7"/>
    <w:rsid w:val="35EDD66B"/>
    <w:rsid w:val="3651C0E2"/>
    <w:rsid w:val="365E3716"/>
    <w:rsid w:val="368A38FF"/>
    <w:rsid w:val="36F05328"/>
    <w:rsid w:val="3725D797"/>
    <w:rsid w:val="3741DB6A"/>
    <w:rsid w:val="37500B19"/>
    <w:rsid w:val="377F7740"/>
    <w:rsid w:val="3795E61E"/>
    <w:rsid w:val="37A76511"/>
    <w:rsid w:val="37A8AF6A"/>
    <w:rsid w:val="37AFBC51"/>
    <w:rsid w:val="38103EA0"/>
    <w:rsid w:val="3854CD94"/>
    <w:rsid w:val="3870BA3D"/>
    <w:rsid w:val="387DE7A5"/>
    <w:rsid w:val="387EC9C9"/>
    <w:rsid w:val="38C2176D"/>
    <w:rsid w:val="38FA54B7"/>
    <w:rsid w:val="39001F50"/>
    <w:rsid w:val="395BEAA9"/>
    <w:rsid w:val="396504AF"/>
    <w:rsid w:val="39725AA7"/>
    <w:rsid w:val="39EDA821"/>
    <w:rsid w:val="39F2BA46"/>
    <w:rsid w:val="3A1ECD91"/>
    <w:rsid w:val="3A3C81EC"/>
    <w:rsid w:val="3A692408"/>
    <w:rsid w:val="3A6CB7DF"/>
    <w:rsid w:val="3A86E920"/>
    <w:rsid w:val="3A8FD99A"/>
    <w:rsid w:val="3AD03D58"/>
    <w:rsid w:val="3ADEEB8D"/>
    <w:rsid w:val="3AF9088D"/>
    <w:rsid w:val="3B4B9553"/>
    <w:rsid w:val="3B57F177"/>
    <w:rsid w:val="3B5C03D7"/>
    <w:rsid w:val="3B99B4AD"/>
    <w:rsid w:val="3B9E6E97"/>
    <w:rsid w:val="3BA1E09C"/>
    <w:rsid w:val="3BBC6B78"/>
    <w:rsid w:val="3BD2218B"/>
    <w:rsid w:val="3C388055"/>
    <w:rsid w:val="3CBA349F"/>
    <w:rsid w:val="3CEE89F3"/>
    <w:rsid w:val="3D2BEFEF"/>
    <w:rsid w:val="3D2D782A"/>
    <w:rsid w:val="3D2D88E4"/>
    <w:rsid w:val="3D5C5A73"/>
    <w:rsid w:val="3D5DC31B"/>
    <w:rsid w:val="3D6F2180"/>
    <w:rsid w:val="3E48FF87"/>
    <w:rsid w:val="3E818D04"/>
    <w:rsid w:val="3E84382D"/>
    <w:rsid w:val="3E99ED14"/>
    <w:rsid w:val="3ECB28DF"/>
    <w:rsid w:val="3EED59FB"/>
    <w:rsid w:val="3EEE2B71"/>
    <w:rsid w:val="3EFD1E1D"/>
    <w:rsid w:val="3F1D2C07"/>
    <w:rsid w:val="3F797AB0"/>
    <w:rsid w:val="3FDC9D0B"/>
    <w:rsid w:val="4016658D"/>
    <w:rsid w:val="407BB9F1"/>
    <w:rsid w:val="407BF2AC"/>
    <w:rsid w:val="40995F6A"/>
    <w:rsid w:val="409C860E"/>
    <w:rsid w:val="40CD17CF"/>
    <w:rsid w:val="40E1FB50"/>
    <w:rsid w:val="40EEC2CF"/>
    <w:rsid w:val="41089290"/>
    <w:rsid w:val="4150F75E"/>
    <w:rsid w:val="41675BDE"/>
    <w:rsid w:val="41D236F0"/>
    <w:rsid w:val="41D8C5FF"/>
    <w:rsid w:val="41E0A2D8"/>
    <w:rsid w:val="4249BEB7"/>
    <w:rsid w:val="429849B8"/>
    <w:rsid w:val="429B95C9"/>
    <w:rsid w:val="429FA659"/>
    <w:rsid w:val="433FDA4B"/>
    <w:rsid w:val="4344BB80"/>
    <w:rsid w:val="437C3E8F"/>
    <w:rsid w:val="43865879"/>
    <w:rsid w:val="43CC77FB"/>
    <w:rsid w:val="43DFD620"/>
    <w:rsid w:val="441567A7"/>
    <w:rsid w:val="442FC198"/>
    <w:rsid w:val="444BB192"/>
    <w:rsid w:val="44586431"/>
    <w:rsid w:val="44875AD1"/>
    <w:rsid w:val="449F3D50"/>
    <w:rsid w:val="4518C163"/>
    <w:rsid w:val="45888E3D"/>
    <w:rsid w:val="459C862E"/>
    <w:rsid w:val="45EA8497"/>
    <w:rsid w:val="4601C184"/>
    <w:rsid w:val="4628129D"/>
    <w:rsid w:val="464766F0"/>
    <w:rsid w:val="464BAA2E"/>
    <w:rsid w:val="4678AF9F"/>
    <w:rsid w:val="46A3F5AA"/>
    <w:rsid w:val="46B69556"/>
    <w:rsid w:val="470A24F1"/>
    <w:rsid w:val="470C67CD"/>
    <w:rsid w:val="4710ADC6"/>
    <w:rsid w:val="477EC9DF"/>
    <w:rsid w:val="47827150"/>
    <w:rsid w:val="47BFBD36"/>
    <w:rsid w:val="47EEEB77"/>
    <w:rsid w:val="47FE3EE1"/>
    <w:rsid w:val="4827FA79"/>
    <w:rsid w:val="4833171D"/>
    <w:rsid w:val="483EA266"/>
    <w:rsid w:val="485B8215"/>
    <w:rsid w:val="487FC52D"/>
    <w:rsid w:val="4884C8CA"/>
    <w:rsid w:val="4893D41D"/>
    <w:rsid w:val="48FB724B"/>
    <w:rsid w:val="4915527A"/>
    <w:rsid w:val="494019F4"/>
    <w:rsid w:val="494607AB"/>
    <w:rsid w:val="4981E2FA"/>
    <w:rsid w:val="49980A47"/>
    <w:rsid w:val="49BCB88D"/>
    <w:rsid w:val="49DA87F9"/>
    <w:rsid w:val="4A26461F"/>
    <w:rsid w:val="4A3916D6"/>
    <w:rsid w:val="4A6E1AD5"/>
    <w:rsid w:val="4A9D8425"/>
    <w:rsid w:val="4B10DF0B"/>
    <w:rsid w:val="4B371736"/>
    <w:rsid w:val="4B5639D6"/>
    <w:rsid w:val="4B5E2479"/>
    <w:rsid w:val="4B6A4D24"/>
    <w:rsid w:val="4BD941A5"/>
    <w:rsid w:val="4BE377F0"/>
    <w:rsid w:val="4C12634E"/>
    <w:rsid w:val="4C193182"/>
    <w:rsid w:val="4C28CF9F"/>
    <w:rsid w:val="4C313722"/>
    <w:rsid w:val="4C8D9D39"/>
    <w:rsid w:val="4CA82F3F"/>
    <w:rsid w:val="4CE4CC94"/>
    <w:rsid w:val="4CFD2EA1"/>
    <w:rsid w:val="4D0C8A74"/>
    <w:rsid w:val="4D4C3D60"/>
    <w:rsid w:val="4D6A8CAB"/>
    <w:rsid w:val="4DB0276E"/>
    <w:rsid w:val="4DCBE924"/>
    <w:rsid w:val="4DCBF23B"/>
    <w:rsid w:val="4DF0E92C"/>
    <w:rsid w:val="4DFE58E3"/>
    <w:rsid w:val="4E054D46"/>
    <w:rsid w:val="4E142C3D"/>
    <w:rsid w:val="4E5C0CAF"/>
    <w:rsid w:val="4E6A5534"/>
    <w:rsid w:val="4EA5B602"/>
    <w:rsid w:val="4EF3A983"/>
    <w:rsid w:val="4F07A646"/>
    <w:rsid w:val="4F085E96"/>
    <w:rsid w:val="4F098B24"/>
    <w:rsid w:val="4F698236"/>
    <w:rsid w:val="4F6C7CA0"/>
    <w:rsid w:val="4F8DC60B"/>
    <w:rsid w:val="4FC7B242"/>
    <w:rsid w:val="4FCEADD4"/>
    <w:rsid w:val="4FD6EABF"/>
    <w:rsid w:val="5011E7B8"/>
    <w:rsid w:val="5049CA82"/>
    <w:rsid w:val="504C190E"/>
    <w:rsid w:val="5076F5F6"/>
    <w:rsid w:val="508CFA61"/>
    <w:rsid w:val="509518B2"/>
    <w:rsid w:val="50A4649F"/>
    <w:rsid w:val="50D613CA"/>
    <w:rsid w:val="50F94CAC"/>
    <w:rsid w:val="512ACFF6"/>
    <w:rsid w:val="515A8672"/>
    <w:rsid w:val="516D4B24"/>
    <w:rsid w:val="516D8C5E"/>
    <w:rsid w:val="51B56E96"/>
    <w:rsid w:val="51C04F0F"/>
    <w:rsid w:val="51C32F1B"/>
    <w:rsid w:val="51E67CBA"/>
    <w:rsid w:val="51F020C2"/>
    <w:rsid w:val="52344BBA"/>
    <w:rsid w:val="524760BD"/>
    <w:rsid w:val="52AE3A83"/>
    <w:rsid w:val="52CCF1A2"/>
    <w:rsid w:val="52F6334E"/>
    <w:rsid w:val="532CF6A5"/>
    <w:rsid w:val="53A166DE"/>
    <w:rsid w:val="53C396B4"/>
    <w:rsid w:val="543145A3"/>
    <w:rsid w:val="545E034D"/>
    <w:rsid w:val="54D49C1E"/>
    <w:rsid w:val="54E7CAEE"/>
    <w:rsid w:val="54ECC84B"/>
    <w:rsid w:val="551A3AD2"/>
    <w:rsid w:val="554F3C5C"/>
    <w:rsid w:val="55F9100E"/>
    <w:rsid w:val="565272F1"/>
    <w:rsid w:val="56538F99"/>
    <w:rsid w:val="56631CC9"/>
    <w:rsid w:val="56DD977F"/>
    <w:rsid w:val="56E89F55"/>
    <w:rsid w:val="56FCFD21"/>
    <w:rsid w:val="5738852F"/>
    <w:rsid w:val="576BB29C"/>
    <w:rsid w:val="57D1A629"/>
    <w:rsid w:val="5814CDBA"/>
    <w:rsid w:val="5825603E"/>
    <w:rsid w:val="5879DC5B"/>
    <w:rsid w:val="58802D8B"/>
    <w:rsid w:val="58B97D24"/>
    <w:rsid w:val="58C90741"/>
    <w:rsid w:val="58E5FE91"/>
    <w:rsid w:val="590FD7B2"/>
    <w:rsid w:val="595A2701"/>
    <w:rsid w:val="596D0599"/>
    <w:rsid w:val="598BDE29"/>
    <w:rsid w:val="5A0BBB82"/>
    <w:rsid w:val="5A13B915"/>
    <w:rsid w:val="5A4289E6"/>
    <w:rsid w:val="5AC56542"/>
    <w:rsid w:val="5AE9C7C1"/>
    <w:rsid w:val="5B68DE14"/>
    <w:rsid w:val="5B7938BC"/>
    <w:rsid w:val="5B9FAC91"/>
    <w:rsid w:val="5BB3B73E"/>
    <w:rsid w:val="5BB3EB74"/>
    <w:rsid w:val="5BC5B4F0"/>
    <w:rsid w:val="5BDC53DB"/>
    <w:rsid w:val="5BDF7D0A"/>
    <w:rsid w:val="5C04CA20"/>
    <w:rsid w:val="5C206AD7"/>
    <w:rsid w:val="5C553736"/>
    <w:rsid w:val="5C6B9EEA"/>
    <w:rsid w:val="5C8AF61E"/>
    <w:rsid w:val="5C912438"/>
    <w:rsid w:val="5CD2723D"/>
    <w:rsid w:val="5D0294AF"/>
    <w:rsid w:val="5D5867F8"/>
    <w:rsid w:val="5D5BAE32"/>
    <w:rsid w:val="5D62F584"/>
    <w:rsid w:val="5D6991D4"/>
    <w:rsid w:val="5D9377CD"/>
    <w:rsid w:val="5DCA8D81"/>
    <w:rsid w:val="5E1B196E"/>
    <w:rsid w:val="5E5DA181"/>
    <w:rsid w:val="5E5DBBF9"/>
    <w:rsid w:val="5E6366EF"/>
    <w:rsid w:val="5EC0AA0B"/>
    <w:rsid w:val="5EC71A25"/>
    <w:rsid w:val="5EC91D47"/>
    <w:rsid w:val="5EF7A365"/>
    <w:rsid w:val="5F6B5E21"/>
    <w:rsid w:val="5FF759FC"/>
    <w:rsid w:val="5FFA141F"/>
    <w:rsid w:val="605DFE57"/>
    <w:rsid w:val="60917B31"/>
    <w:rsid w:val="609578B3"/>
    <w:rsid w:val="60DE58F0"/>
    <w:rsid w:val="60F4F6DD"/>
    <w:rsid w:val="610F0B46"/>
    <w:rsid w:val="61174C97"/>
    <w:rsid w:val="6145A761"/>
    <w:rsid w:val="6148AFDB"/>
    <w:rsid w:val="6154890A"/>
    <w:rsid w:val="6194B749"/>
    <w:rsid w:val="619CA15B"/>
    <w:rsid w:val="61B56FA0"/>
    <w:rsid w:val="61BD5C7B"/>
    <w:rsid w:val="621E794F"/>
    <w:rsid w:val="624A4C4B"/>
    <w:rsid w:val="62541415"/>
    <w:rsid w:val="6289458E"/>
    <w:rsid w:val="62A13C48"/>
    <w:rsid w:val="62D04219"/>
    <w:rsid w:val="62F49A18"/>
    <w:rsid w:val="6329994B"/>
    <w:rsid w:val="638F75A2"/>
    <w:rsid w:val="63BE272D"/>
    <w:rsid w:val="63D19C58"/>
    <w:rsid w:val="63D5F179"/>
    <w:rsid w:val="63F479E4"/>
    <w:rsid w:val="64126E3D"/>
    <w:rsid w:val="642D97CD"/>
    <w:rsid w:val="6459B2C4"/>
    <w:rsid w:val="647AF475"/>
    <w:rsid w:val="64A454E9"/>
    <w:rsid w:val="64B67356"/>
    <w:rsid w:val="64BA8D43"/>
    <w:rsid w:val="64C290A6"/>
    <w:rsid w:val="6543F7D8"/>
    <w:rsid w:val="654A1185"/>
    <w:rsid w:val="654A38C3"/>
    <w:rsid w:val="65A9DA1F"/>
    <w:rsid w:val="65DFCCAB"/>
    <w:rsid w:val="65E2505C"/>
    <w:rsid w:val="65F8137F"/>
    <w:rsid w:val="6639AA39"/>
    <w:rsid w:val="663CAC57"/>
    <w:rsid w:val="6646E444"/>
    <w:rsid w:val="665AE487"/>
    <w:rsid w:val="667DF3E3"/>
    <w:rsid w:val="66D05AEE"/>
    <w:rsid w:val="67246C97"/>
    <w:rsid w:val="67635CA3"/>
    <w:rsid w:val="677823D5"/>
    <w:rsid w:val="67A7C869"/>
    <w:rsid w:val="6816DF90"/>
    <w:rsid w:val="68D5087E"/>
    <w:rsid w:val="68F865FE"/>
    <w:rsid w:val="6936541E"/>
    <w:rsid w:val="69A4E271"/>
    <w:rsid w:val="69AF0F63"/>
    <w:rsid w:val="6A0D2662"/>
    <w:rsid w:val="6A6E694E"/>
    <w:rsid w:val="6A907078"/>
    <w:rsid w:val="6AA5E177"/>
    <w:rsid w:val="6ACE39EA"/>
    <w:rsid w:val="6AE41753"/>
    <w:rsid w:val="6AE7F474"/>
    <w:rsid w:val="6B433A32"/>
    <w:rsid w:val="6BA2F530"/>
    <w:rsid w:val="6BA81D1F"/>
    <w:rsid w:val="6BD0878F"/>
    <w:rsid w:val="6BE30F40"/>
    <w:rsid w:val="6BE49B4A"/>
    <w:rsid w:val="6C2742FB"/>
    <w:rsid w:val="6C5AB11E"/>
    <w:rsid w:val="6D2DE34F"/>
    <w:rsid w:val="6D37C8E7"/>
    <w:rsid w:val="6DC6587A"/>
    <w:rsid w:val="6DE045B2"/>
    <w:rsid w:val="6E50E574"/>
    <w:rsid w:val="6E97D5CF"/>
    <w:rsid w:val="6EBB20B0"/>
    <w:rsid w:val="6ECE28F5"/>
    <w:rsid w:val="6F43AFB4"/>
    <w:rsid w:val="6F5369E4"/>
    <w:rsid w:val="6F60E46A"/>
    <w:rsid w:val="6F994CFA"/>
    <w:rsid w:val="6FB1C9C0"/>
    <w:rsid w:val="6FDA0CD8"/>
    <w:rsid w:val="6FF1B7FD"/>
    <w:rsid w:val="7005F086"/>
    <w:rsid w:val="7021AC80"/>
    <w:rsid w:val="70AB4A07"/>
    <w:rsid w:val="70C0F051"/>
    <w:rsid w:val="70D04356"/>
    <w:rsid w:val="70D33468"/>
    <w:rsid w:val="70FC3CDA"/>
    <w:rsid w:val="710C4D5D"/>
    <w:rsid w:val="711164DE"/>
    <w:rsid w:val="714543D8"/>
    <w:rsid w:val="71834F5B"/>
    <w:rsid w:val="7187848B"/>
    <w:rsid w:val="718BB37C"/>
    <w:rsid w:val="71998C20"/>
    <w:rsid w:val="71A9B02C"/>
    <w:rsid w:val="71B51EC8"/>
    <w:rsid w:val="71BE6004"/>
    <w:rsid w:val="71E0C473"/>
    <w:rsid w:val="723BD7F2"/>
    <w:rsid w:val="72718246"/>
    <w:rsid w:val="72ADB061"/>
    <w:rsid w:val="72CBF1F7"/>
    <w:rsid w:val="72E18C9E"/>
    <w:rsid w:val="730FEFD5"/>
    <w:rsid w:val="73116970"/>
    <w:rsid w:val="73298499"/>
    <w:rsid w:val="7347561B"/>
    <w:rsid w:val="735803AA"/>
    <w:rsid w:val="73857B51"/>
    <w:rsid w:val="7453E1FE"/>
    <w:rsid w:val="74A2DA34"/>
    <w:rsid w:val="74D4CE0A"/>
    <w:rsid w:val="74D7131B"/>
    <w:rsid w:val="75112342"/>
    <w:rsid w:val="752AD1BF"/>
    <w:rsid w:val="75387DBE"/>
    <w:rsid w:val="754003D8"/>
    <w:rsid w:val="759003AD"/>
    <w:rsid w:val="75AFC49F"/>
    <w:rsid w:val="75BE8A9F"/>
    <w:rsid w:val="75D71624"/>
    <w:rsid w:val="75DE0837"/>
    <w:rsid w:val="75E2756B"/>
    <w:rsid w:val="7605CEC2"/>
    <w:rsid w:val="761748FE"/>
    <w:rsid w:val="761F3238"/>
    <w:rsid w:val="762ABF82"/>
    <w:rsid w:val="763626F7"/>
    <w:rsid w:val="76405E6F"/>
    <w:rsid w:val="769B3245"/>
    <w:rsid w:val="7713F17B"/>
    <w:rsid w:val="7733AFE1"/>
    <w:rsid w:val="77515319"/>
    <w:rsid w:val="776E9F88"/>
    <w:rsid w:val="7776030B"/>
    <w:rsid w:val="779330C7"/>
    <w:rsid w:val="7797F722"/>
    <w:rsid w:val="77B35065"/>
    <w:rsid w:val="77B43240"/>
    <w:rsid w:val="77C09E2F"/>
    <w:rsid w:val="77C2B3BC"/>
    <w:rsid w:val="781BF5A7"/>
    <w:rsid w:val="783830A0"/>
    <w:rsid w:val="789B3BA4"/>
    <w:rsid w:val="789BF337"/>
    <w:rsid w:val="78B262FD"/>
    <w:rsid w:val="78D55BBC"/>
    <w:rsid w:val="7940128A"/>
    <w:rsid w:val="79447222"/>
    <w:rsid w:val="797037E9"/>
    <w:rsid w:val="797077E8"/>
    <w:rsid w:val="79AFDADE"/>
    <w:rsid w:val="79D65904"/>
    <w:rsid w:val="79DD9A03"/>
    <w:rsid w:val="7A1F2E79"/>
    <w:rsid w:val="7A84D7AF"/>
    <w:rsid w:val="7A89328D"/>
    <w:rsid w:val="7A90A3A8"/>
    <w:rsid w:val="7AEC2331"/>
    <w:rsid w:val="7B110C6C"/>
    <w:rsid w:val="7B2B7FD1"/>
    <w:rsid w:val="7B2D34E8"/>
    <w:rsid w:val="7BAE6C59"/>
    <w:rsid w:val="7C0ED10E"/>
    <w:rsid w:val="7C1B3E85"/>
    <w:rsid w:val="7C546027"/>
    <w:rsid w:val="7C82BE4D"/>
    <w:rsid w:val="7CD8E403"/>
    <w:rsid w:val="7D8ED973"/>
    <w:rsid w:val="7D9ADDCB"/>
    <w:rsid w:val="7E12E3FF"/>
    <w:rsid w:val="7E2596F3"/>
    <w:rsid w:val="7E4885A9"/>
    <w:rsid w:val="7E742F9F"/>
    <w:rsid w:val="7E7A01FC"/>
    <w:rsid w:val="7E8F1C35"/>
    <w:rsid w:val="7E99D95C"/>
    <w:rsid w:val="7EC6AC0F"/>
    <w:rsid w:val="7EF09D34"/>
    <w:rsid w:val="7EF33BEF"/>
    <w:rsid w:val="7F0507F4"/>
    <w:rsid w:val="7F0809A0"/>
    <w:rsid w:val="7F7A0664"/>
    <w:rsid w:val="7F98CC14"/>
    <w:rsid w:val="7FC7AB1E"/>
    <w:rsid w:val="7FE69025"/>
    <w:rsid w:val="7FFCB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3142138"/>
  <w15:docId w15:val="{AB78C26E-0260-45D7-A275-447A9240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E3CDC"/>
    <w:pPr>
      <w:spacing w:after="0" w:line="240" w:lineRule="auto"/>
    </w:pPr>
    <w:rPr>
      <w:rFonts w:ascii="Times New Roman" w:hAnsi="Times New Roman" w:cs="Times New Roman"/>
      <w:sz w:val="24"/>
    </w:rPr>
  </w:style>
  <w:style w:type="paragraph" w:styleId="ListParagraph">
    <w:name w:val="List Paragraph"/>
    <w:basedOn w:val="Normal"/>
    <w:uiPriority w:val="34"/>
    <w:qFormat/>
    <w:rsid w:val="00DE3CDC"/>
    <w:pPr>
      <w:ind w:left="720"/>
      <w:contextualSpacing/>
    </w:pPr>
  </w:style>
  <w:style w:type="paragraph" w:styleId="ListBullet">
    <w:name w:val="List Bullet"/>
    <w:basedOn w:val="Normal"/>
    <w:uiPriority w:val="99"/>
    <w:semiHidden/>
    <w:unhideWhenUsed/>
    <w:rsid w:val="00A70918"/>
    <w:pPr>
      <w:numPr>
        <w:numId w:val="1"/>
      </w:numPr>
      <w:contextualSpacing/>
    </w:pPr>
  </w:style>
  <w:style w:type="paragraph" w:styleId="ListBullet2">
    <w:name w:val="List Bullet 2"/>
    <w:basedOn w:val="Normal"/>
    <w:uiPriority w:val="99"/>
    <w:semiHidden/>
    <w:unhideWhenUsed/>
    <w:rsid w:val="00A70918"/>
    <w:pPr>
      <w:numPr>
        <w:numId w:val="2"/>
      </w:numPr>
      <w:contextualSpacing/>
    </w:pPr>
  </w:style>
  <w:style w:type="paragraph" w:styleId="ListBullet3">
    <w:name w:val="List Bullet 3"/>
    <w:basedOn w:val="Normal"/>
    <w:uiPriority w:val="99"/>
    <w:semiHidden/>
    <w:unhideWhenUsed/>
    <w:rsid w:val="00A70918"/>
    <w:pPr>
      <w:numPr>
        <w:numId w:val="3"/>
      </w:numPr>
      <w:contextualSpacing/>
    </w:pPr>
  </w:style>
  <w:style w:type="paragraph" w:styleId="ListBullet4">
    <w:name w:val="List Bullet 4"/>
    <w:basedOn w:val="Normal"/>
    <w:uiPriority w:val="99"/>
    <w:semiHidden/>
    <w:unhideWhenUsed/>
    <w:rsid w:val="00A70918"/>
    <w:pPr>
      <w:numPr>
        <w:numId w:val="4"/>
      </w:numPr>
      <w:contextualSpacing/>
    </w:pPr>
  </w:style>
  <w:style w:type="character" w:styleId="CommentReference">
    <w:name w:val="annotation reference"/>
    <w:basedOn w:val="DefaultParagraphFont"/>
    <w:uiPriority w:val="99"/>
    <w:semiHidden/>
    <w:unhideWhenUsed/>
    <w:rsid w:val="00C376FA"/>
    <w:rPr>
      <w:sz w:val="16"/>
      <w:szCs w:val="16"/>
    </w:rPr>
  </w:style>
  <w:style w:type="paragraph" w:styleId="CommentText">
    <w:name w:val="annotation text"/>
    <w:basedOn w:val="Normal"/>
    <w:link w:val="CommentTextChar"/>
    <w:uiPriority w:val="99"/>
    <w:unhideWhenUsed/>
    <w:rsid w:val="00C376FA"/>
    <w:rPr>
      <w:sz w:val="20"/>
      <w:szCs w:val="20"/>
    </w:rPr>
  </w:style>
  <w:style w:type="character" w:customStyle="1" w:styleId="CommentTextChar">
    <w:name w:val="Comment Text Char"/>
    <w:basedOn w:val="DefaultParagraphFont"/>
    <w:link w:val="CommentText"/>
    <w:uiPriority w:val="99"/>
    <w:rsid w:val="00C376FA"/>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C376FA"/>
    <w:rPr>
      <w:b/>
      <w:bCs/>
    </w:rPr>
  </w:style>
  <w:style w:type="character" w:customStyle="1" w:styleId="CommentSubjectChar">
    <w:name w:val="Comment Subject Char"/>
    <w:basedOn w:val="CommentTextChar"/>
    <w:link w:val="CommentSubject"/>
    <w:uiPriority w:val="99"/>
    <w:semiHidden/>
    <w:rsid w:val="00C376FA"/>
    <w:rPr>
      <w:rFonts w:ascii="Times New Roman" w:hAnsi="Times New Roman" w:cs="Times New Roman"/>
      <w:b/>
      <w:bCs/>
      <w:sz w:val="20"/>
      <w:szCs w:val="20"/>
      <w:lang w:val="hr-HR"/>
    </w:rPr>
  </w:style>
  <w:style w:type="paragraph" w:styleId="NormalWeb">
    <w:name w:val="Normal (Web)"/>
    <w:basedOn w:val="Normal"/>
    <w:uiPriority w:val="99"/>
    <w:semiHidden/>
    <w:unhideWhenUsed/>
    <w:rsid w:val="008E275D"/>
    <w:pPr>
      <w:spacing w:before="100" w:beforeAutospacing="1" w:after="100" w:afterAutospacing="1"/>
      <w:jc w:val="left"/>
    </w:pPr>
    <w:rPr>
      <w:rFonts w:eastAsia="Times New Roman"/>
      <w:szCs w:val="24"/>
      <w:lang w:eastAsia="en-IE"/>
    </w:rPr>
  </w:style>
  <w:style w:type="paragraph" w:customStyle="1" w:styleId="title-bold">
    <w:name w:val="title-bold"/>
    <w:basedOn w:val="Normal"/>
    <w:rsid w:val="00475808"/>
    <w:pPr>
      <w:spacing w:before="100" w:beforeAutospacing="1" w:after="100" w:afterAutospacing="1"/>
      <w:jc w:val="left"/>
    </w:pPr>
    <w:rPr>
      <w:rFonts w:eastAsia="Times New Roman"/>
      <w:szCs w:val="24"/>
      <w:lang w:eastAsia="en-IE"/>
    </w:rPr>
  </w:style>
  <w:style w:type="character" w:styleId="Emphasis">
    <w:name w:val="Emphasis"/>
    <w:basedOn w:val="DefaultParagraphFont"/>
    <w:uiPriority w:val="20"/>
    <w:qFormat/>
    <w:rsid w:val="00475808"/>
    <w:rPr>
      <w:i/>
      <w:iCs/>
    </w:rPr>
  </w:style>
  <w:style w:type="character" w:styleId="Hyperlink">
    <w:name w:val="Hyperlink"/>
    <w:basedOn w:val="DefaultParagraphFont"/>
    <w:uiPriority w:val="99"/>
    <w:unhideWhenUsed/>
    <w:rsid w:val="00171876"/>
    <w:rPr>
      <w:color w:val="0000FF" w:themeColor="hyperlink"/>
      <w:u w:val="single"/>
    </w:rPr>
  </w:style>
  <w:style w:type="character" w:customStyle="1" w:styleId="UnresolvedMention1">
    <w:name w:val="Unresolved Mention1"/>
    <w:basedOn w:val="DefaultParagraphFont"/>
    <w:uiPriority w:val="99"/>
    <w:semiHidden/>
    <w:unhideWhenUsed/>
    <w:rsid w:val="00663D2A"/>
    <w:rPr>
      <w:color w:val="605E5C"/>
      <w:shd w:val="clear" w:color="auto" w:fill="E1DFDD"/>
    </w:rPr>
  </w:style>
  <w:style w:type="character" w:customStyle="1" w:styleId="UnresolvedMention10">
    <w:name w:val="Unresolved Mention1"/>
    <w:basedOn w:val="DefaultParagraphFont"/>
    <w:uiPriority w:val="99"/>
    <w:semiHidden/>
    <w:unhideWhenUsed/>
    <w:rsid w:val="00DF5A21"/>
    <w:rPr>
      <w:color w:val="605E5C"/>
      <w:shd w:val="clear" w:color="auto" w:fill="E1DFDD"/>
    </w:rPr>
  </w:style>
  <w:style w:type="paragraph" w:styleId="BalloonText">
    <w:name w:val="Balloon Text"/>
    <w:basedOn w:val="Normal"/>
    <w:link w:val="BalloonTextChar"/>
    <w:uiPriority w:val="99"/>
    <w:semiHidden/>
    <w:unhideWhenUsed/>
    <w:rsid w:val="00DF5A2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A21"/>
    <w:rPr>
      <w:rFonts w:ascii="Segoe UI" w:hAnsi="Segoe UI" w:cs="Segoe UI"/>
      <w:sz w:val="18"/>
      <w:szCs w:val="18"/>
      <w:lang w:val="hr-HR"/>
    </w:rPr>
  </w:style>
  <w:style w:type="paragraph" w:styleId="EndnoteText">
    <w:name w:val="endnote text"/>
    <w:basedOn w:val="Normal"/>
    <w:link w:val="EndnoteTextChar"/>
    <w:uiPriority w:val="99"/>
    <w:semiHidden/>
    <w:unhideWhenUsed/>
    <w:rsid w:val="003A21DE"/>
    <w:pPr>
      <w:spacing w:before="0" w:after="0"/>
    </w:pPr>
    <w:rPr>
      <w:sz w:val="20"/>
      <w:szCs w:val="20"/>
    </w:rPr>
  </w:style>
  <w:style w:type="character" w:customStyle="1" w:styleId="EndnoteTextChar">
    <w:name w:val="Endnote Text Char"/>
    <w:basedOn w:val="DefaultParagraphFont"/>
    <w:link w:val="EndnoteText"/>
    <w:uiPriority w:val="99"/>
    <w:semiHidden/>
    <w:rsid w:val="003A21DE"/>
    <w:rPr>
      <w:rFonts w:ascii="Times New Roman" w:hAnsi="Times New Roman" w:cs="Times New Roman"/>
      <w:sz w:val="20"/>
      <w:szCs w:val="20"/>
      <w:lang w:val="hr-HR"/>
    </w:rPr>
  </w:style>
  <w:style w:type="character" w:styleId="EndnoteReference">
    <w:name w:val="endnote reference"/>
    <w:basedOn w:val="DefaultParagraphFont"/>
    <w:uiPriority w:val="99"/>
    <w:semiHidden/>
    <w:unhideWhenUsed/>
    <w:rsid w:val="003A21DE"/>
    <w:rPr>
      <w:vertAlign w:val="superscript"/>
    </w:rPr>
  </w:style>
  <w:style w:type="character" w:customStyle="1" w:styleId="UnresolvedMention2">
    <w:name w:val="Unresolved Mention2"/>
    <w:basedOn w:val="DefaultParagraphFont"/>
    <w:uiPriority w:val="99"/>
    <w:semiHidden/>
    <w:unhideWhenUsed/>
    <w:rsid w:val="00556DF7"/>
    <w:rPr>
      <w:color w:val="605E5C"/>
      <w:shd w:val="clear" w:color="auto" w:fill="E1DFDD"/>
    </w:rPr>
  </w:style>
  <w:style w:type="character" w:customStyle="1" w:styleId="HeaderChar">
    <w:name w:val="Header Char"/>
    <w:basedOn w:val="DefaultParagraphFont"/>
    <w:link w:val="Header"/>
    <w:uiPriority w:val="99"/>
    <w:rsid w:val="0008171A"/>
    <w:rPr>
      <w:rFonts w:ascii="Times New Roman" w:hAnsi="Times New Roman" w:cs="Times New Roman"/>
      <w:sz w:val="24"/>
      <w:lang w:val="hr-HR"/>
    </w:rPr>
  </w:style>
  <w:style w:type="character" w:customStyle="1" w:styleId="FooterChar">
    <w:name w:val="Footer Char"/>
    <w:basedOn w:val="DefaultParagraphFont"/>
    <w:link w:val="Footer"/>
    <w:uiPriority w:val="99"/>
    <w:rsid w:val="0008171A"/>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8171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8171A"/>
    <w:pPr>
      <w:spacing w:before="0"/>
      <w:jc w:val="right"/>
    </w:pPr>
    <w:rPr>
      <w:sz w:val="28"/>
    </w:rPr>
  </w:style>
  <w:style w:type="paragraph" w:customStyle="1" w:styleId="FooterSensitivity">
    <w:name w:val="Footer Sensitivity"/>
    <w:basedOn w:val="Normal"/>
    <w:rsid w:val="0008171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08171A"/>
    <w:pPr>
      <w:tabs>
        <w:tab w:val="center" w:pos="4535"/>
        <w:tab w:val="right" w:pos="9071"/>
      </w:tabs>
      <w:spacing w:before="0"/>
    </w:pPr>
  </w:style>
  <w:style w:type="paragraph" w:customStyle="1" w:styleId="HeaderLandscape">
    <w:name w:val="HeaderLandscape"/>
    <w:basedOn w:val="Normal"/>
    <w:rsid w:val="0008171A"/>
    <w:pPr>
      <w:tabs>
        <w:tab w:val="center" w:pos="7285"/>
        <w:tab w:val="right" w:pos="14003"/>
      </w:tabs>
      <w:spacing w:before="0"/>
    </w:pPr>
  </w:style>
  <w:style w:type="paragraph" w:styleId="Footer">
    <w:name w:val="footer"/>
    <w:basedOn w:val="Normal"/>
    <w:link w:val="FooterChar"/>
    <w:uiPriority w:val="99"/>
    <w:unhideWhenUsed/>
    <w:rsid w:val="0008171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08171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799">
      <w:bodyDiv w:val="1"/>
      <w:marLeft w:val="0"/>
      <w:marRight w:val="0"/>
      <w:marTop w:val="0"/>
      <w:marBottom w:val="0"/>
      <w:divBdr>
        <w:top w:val="none" w:sz="0" w:space="0" w:color="auto"/>
        <w:left w:val="none" w:sz="0" w:space="0" w:color="auto"/>
        <w:bottom w:val="none" w:sz="0" w:space="0" w:color="auto"/>
        <w:right w:val="none" w:sz="0" w:space="0" w:color="auto"/>
      </w:divBdr>
    </w:div>
    <w:div w:id="38214530">
      <w:bodyDiv w:val="1"/>
      <w:marLeft w:val="0"/>
      <w:marRight w:val="0"/>
      <w:marTop w:val="0"/>
      <w:marBottom w:val="0"/>
      <w:divBdr>
        <w:top w:val="none" w:sz="0" w:space="0" w:color="auto"/>
        <w:left w:val="none" w:sz="0" w:space="0" w:color="auto"/>
        <w:bottom w:val="none" w:sz="0" w:space="0" w:color="auto"/>
        <w:right w:val="none" w:sz="0" w:space="0" w:color="auto"/>
      </w:divBdr>
    </w:div>
    <w:div w:id="228467799">
      <w:bodyDiv w:val="1"/>
      <w:marLeft w:val="0"/>
      <w:marRight w:val="0"/>
      <w:marTop w:val="0"/>
      <w:marBottom w:val="0"/>
      <w:divBdr>
        <w:top w:val="none" w:sz="0" w:space="0" w:color="auto"/>
        <w:left w:val="none" w:sz="0" w:space="0" w:color="auto"/>
        <w:bottom w:val="none" w:sz="0" w:space="0" w:color="auto"/>
        <w:right w:val="none" w:sz="0" w:space="0" w:color="auto"/>
      </w:divBdr>
    </w:div>
    <w:div w:id="271011395">
      <w:bodyDiv w:val="1"/>
      <w:marLeft w:val="0"/>
      <w:marRight w:val="0"/>
      <w:marTop w:val="0"/>
      <w:marBottom w:val="0"/>
      <w:divBdr>
        <w:top w:val="none" w:sz="0" w:space="0" w:color="auto"/>
        <w:left w:val="none" w:sz="0" w:space="0" w:color="auto"/>
        <w:bottom w:val="none" w:sz="0" w:space="0" w:color="auto"/>
        <w:right w:val="none" w:sz="0" w:space="0" w:color="auto"/>
      </w:divBdr>
    </w:div>
    <w:div w:id="469398546">
      <w:bodyDiv w:val="1"/>
      <w:marLeft w:val="0"/>
      <w:marRight w:val="0"/>
      <w:marTop w:val="0"/>
      <w:marBottom w:val="0"/>
      <w:divBdr>
        <w:top w:val="none" w:sz="0" w:space="0" w:color="auto"/>
        <w:left w:val="none" w:sz="0" w:space="0" w:color="auto"/>
        <w:bottom w:val="none" w:sz="0" w:space="0" w:color="auto"/>
        <w:right w:val="none" w:sz="0" w:space="0" w:color="auto"/>
      </w:divBdr>
    </w:div>
    <w:div w:id="722943499">
      <w:bodyDiv w:val="1"/>
      <w:marLeft w:val="0"/>
      <w:marRight w:val="0"/>
      <w:marTop w:val="0"/>
      <w:marBottom w:val="0"/>
      <w:divBdr>
        <w:top w:val="none" w:sz="0" w:space="0" w:color="auto"/>
        <w:left w:val="none" w:sz="0" w:space="0" w:color="auto"/>
        <w:bottom w:val="none" w:sz="0" w:space="0" w:color="auto"/>
        <w:right w:val="none" w:sz="0" w:space="0" w:color="auto"/>
      </w:divBdr>
    </w:div>
    <w:div w:id="1033111711">
      <w:bodyDiv w:val="1"/>
      <w:marLeft w:val="0"/>
      <w:marRight w:val="0"/>
      <w:marTop w:val="0"/>
      <w:marBottom w:val="0"/>
      <w:divBdr>
        <w:top w:val="none" w:sz="0" w:space="0" w:color="auto"/>
        <w:left w:val="none" w:sz="0" w:space="0" w:color="auto"/>
        <w:bottom w:val="none" w:sz="0" w:space="0" w:color="auto"/>
        <w:right w:val="none" w:sz="0" w:space="0" w:color="auto"/>
      </w:divBdr>
    </w:div>
    <w:div w:id="1533690840">
      <w:bodyDiv w:val="1"/>
      <w:marLeft w:val="0"/>
      <w:marRight w:val="0"/>
      <w:marTop w:val="0"/>
      <w:marBottom w:val="0"/>
      <w:divBdr>
        <w:top w:val="none" w:sz="0" w:space="0" w:color="auto"/>
        <w:left w:val="none" w:sz="0" w:space="0" w:color="auto"/>
        <w:bottom w:val="none" w:sz="0" w:space="0" w:color="auto"/>
        <w:right w:val="none" w:sz="0" w:space="0" w:color="auto"/>
      </w:divBdr>
    </w:div>
    <w:div w:id="1891266397">
      <w:bodyDiv w:val="1"/>
      <w:marLeft w:val="0"/>
      <w:marRight w:val="0"/>
      <w:marTop w:val="0"/>
      <w:marBottom w:val="0"/>
      <w:divBdr>
        <w:top w:val="none" w:sz="0" w:space="0" w:color="auto"/>
        <w:left w:val="none" w:sz="0" w:space="0" w:color="auto"/>
        <w:bottom w:val="none" w:sz="0" w:space="0" w:color="auto"/>
        <w:right w:val="none" w:sz="0" w:space="0" w:color="auto"/>
      </w:divBdr>
    </w:div>
    <w:div w:id="202450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dir/2024/1275/oj" TargetMode="External"/><Relationship Id="rId1" Type="http://schemas.openxmlformats.org/officeDocument/2006/relationships/hyperlink" Target="http://data.europa.eu/eli/dir/2018/200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11" ma:contentTypeDescription="Create a new document." ma:contentTypeScope="" ma:versionID="70a0bae7b85988ecce2102e1e192c190">
  <xsd:schema xmlns:xsd="http://www.w3.org/2001/XMLSchema" xmlns:xs="http://www.w3.org/2001/XMLSchema" xmlns:p="http://schemas.microsoft.com/office/2006/metadata/properties" xmlns:ns2="2a565401-6124-4834-af4c-bc1a772a6083" xmlns:ns3="ed350a78-f7eb-44a2-bb43-fd61cd942e28" targetNamespace="http://schemas.microsoft.com/office/2006/metadata/properties" ma:root="true" ma:fieldsID="0471f6766bfac0cb02b88bb2c1e67d9d" ns2:_="" ns3:_="">
    <xsd:import namespace="2a565401-6124-4834-af4c-bc1a772a6083"/>
    <xsd:import namespace="ed350a78-f7eb-44a2-bb43-fd61cd942e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350a78-f7eb-44a2-bb43-fd61cd942e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98c7e1-a285-462b-825c-14f984010e94}" ma:internalName="TaxCatchAll" ma:showField="CatchAllData" ma:web="ed350a78-f7eb-44a2-bb43-fd61cd942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17" ma:contentTypeDescription="Create a new document." ma:contentTypeScope="" ma:versionID="f94be184749d38c1e2199d399cc1df6a">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faa72d551d379532495c4e98229c2ab5"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Datecreated_x002f_received_x002f_modifie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Datecreated_x002f_received_x002f_modified" ma:index="16" nillable="true" ma:displayName="Date created/received/modified" ma:format="Dropdown" ma:internalName="Datecreated_x002f_received_x002f_modified">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e6f62dd-2e42-4a2c-bb0e-32559e24dd7a}" ma:internalName="TaxCatchAll" ma:showField="CatchAllData" ma:web="604b4288-15a6-4b36-801c-a9875e40b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2a565401-6124-4834-af4c-bc1a772a608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d350a78-f7eb-44a2-bb43-fd61cd942e28" xsi:nil="true"/>
  </documentManagement>
</p:properties>
</file>

<file path=customXml/itemProps1.xml><?xml version="1.0" encoding="utf-8"?>
<ds:datastoreItem xmlns:ds="http://schemas.openxmlformats.org/officeDocument/2006/customXml" ds:itemID="{36DB8766-D203-4A1B-AB7E-70ADC58AD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ed350a78-f7eb-44a2-bb43-fd61cd942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AB646-CB30-43FF-8757-C7A9A98C469E}">
  <ds:schemaRefs>
    <ds:schemaRef ds:uri="http://schemas.openxmlformats.org/officeDocument/2006/bibliography"/>
  </ds:schemaRefs>
</ds:datastoreItem>
</file>

<file path=customXml/itemProps3.xml><?xml version="1.0" encoding="utf-8"?>
<ds:datastoreItem xmlns:ds="http://schemas.openxmlformats.org/officeDocument/2006/customXml" ds:itemID="{BFEEB6A2-DC37-4104-8972-32DF438EBD30}">
  <ds:schemaRefs>
    <ds:schemaRef ds:uri="http://schemas.microsoft.com/sharepoint/v3/contenttype/forms"/>
  </ds:schemaRefs>
</ds:datastoreItem>
</file>

<file path=customXml/itemProps4.xml><?xml version="1.0" encoding="utf-8"?>
<ds:datastoreItem xmlns:ds="http://schemas.openxmlformats.org/officeDocument/2006/customXml" ds:itemID="{CF63F44D-587A-4475-B5EA-E20ED50E9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B283F6-34A7-49F3-9A26-2AAF8F930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DE7B28-6E2D-4282-99AB-B8C07325A57E}">
  <ds:schemaRefs>
    <ds:schemaRef ds:uri="http://schemas.microsoft.com/office/2006/metadata/properties"/>
    <ds:schemaRef ds:uri="http://schemas.microsoft.com/office/infopath/2007/PartnerControls"/>
    <ds:schemaRef ds:uri="2a565401-6124-4834-af4c-bc1a772a6083"/>
    <ds:schemaRef ds:uri="ed350a78-f7eb-44a2-bb43-fd61cd942e28"/>
  </ds:schemaRefs>
</ds:datastoreItem>
</file>

<file path=docProps/app.xml><?xml version="1.0" encoding="utf-8"?>
<Properties xmlns="http://schemas.openxmlformats.org/officeDocument/2006/extended-properties" xmlns:vt="http://schemas.openxmlformats.org/officeDocument/2006/docPropsVTypes">
  <Template>COM.dotm</Template>
  <TotalTime>939</TotalTime>
  <Pages>10</Pages>
  <Words>3600</Words>
  <Characters>22898</Characters>
  <Application>Microsoft Office Word</Application>
  <DocSecurity>0</DocSecurity>
  <Lines>363</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41</cp:revision>
  <dcterms:created xsi:type="dcterms:W3CDTF">2025-06-18T13:06:00Z</dcterms:created>
  <dcterms:modified xsi:type="dcterms:W3CDTF">2025-07-01T20:10:00Z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COM/AA/NOEEA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SJ-014</vt:lpwstr>
  </property>
  <property fmtid="{D5CDD505-2E9C-101B-9397-08002B2CF9AE}" pid="10" name="MSIP_Label_6bd9ddd1-4d20-43f6-abfa-fc3c07406f94_Enabled">
    <vt:lpwstr>true</vt:lpwstr>
  </property>
  <property fmtid="{D5CDD505-2E9C-101B-9397-08002B2CF9AE}" pid="11" name="MSIP_Label_6bd9ddd1-4d20-43f6-abfa-fc3c07406f94_SetDate">
    <vt:lpwstr>2024-05-08T10:15:03Z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2ba447b7-bd48-469f-9e1f-70badb41babb</vt:lpwstr>
  </property>
  <property fmtid="{D5CDD505-2E9C-101B-9397-08002B2CF9AE}" pid="16" name="MSIP_Label_6bd9ddd1-4d20-43f6-abfa-fc3c07406f94_ContentBits">
    <vt:lpwstr>0</vt:lpwstr>
  </property>
  <property fmtid="{D5CDD505-2E9C-101B-9397-08002B2CF9AE}" pid="17" name="ContentTypeId">
    <vt:lpwstr>0x01010078D2C354A9B80F4897019BC7E2880A88</vt:lpwstr>
  </property>
  <property fmtid="{D5CDD505-2E9C-101B-9397-08002B2CF9AE}" pid="18" name="MediaServiceImageTags">
    <vt:lpwstr/>
  </property>
  <property fmtid="{D5CDD505-2E9C-101B-9397-08002B2CF9AE}" pid="19" name="DQCStatus">
    <vt:lpwstr>Yellow (DQC version 03)</vt:lpwstr>
  </property>
</Properties>
</file>