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9DBFF" w14:textId="3C301D90" w:rsidR="00EE03EE" w:rsidRPr="00B1710F" w:rsidRDefault="00E30374" w:rsidP="00E30374">
      <w:pPr>
        <w:pStyle w:val="Pagedecouverture"/>
        <w:rPr>
          <w:noProof/>
        </w:rPr>
      </w:pPr>
      <w:bookmarkStart w:id="0" w:name="LW_BM_COVERPAGE"/>
      <w:r>
        <w:rPr>
          <w:noProof/>
        </w:rPr>
        <w:pict w14:anchorId="595875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53D2FBF1-F45B-400F-8D13-A3DAA5A35F31" style="width:455.25pt;height:351.75pt">
            <v:imagedata r:id="rId11" o:title=""/>
          </v:shape>
        </w:pict>
      </w:r>
    </w:p>
    <w:bookmarkEnd w:id="0"/>
    <w:p w14:paraId="7CD9C28A" w14:textId="77777777" w:rsidR="00EE03EE" w:rsidRPr="00B1710F" w:rsidRDefault="00EE03EE">
      <w:pPr>
        <w:rPr>
          <w:noProof/>
          <w:lang w:val="en-IE"/>
        </w:rPr>
        <w:sectPr w:rsidR="00EE03EE" w:rsidRPr="00B1710F" w:rsidSect="00E30374">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299"/>
        </w:sectPr>
      </w:pPr>
    </w:p>
    <w:p w14:paraId="4909208B" w14:textId="0B2E1A07" w:rsidR="00EE03EE" w:rsidRPr="00B1710F" w:rsidRDefault="00370FFB" w:rsidP="00D31383">
      <w:pPr>
        <w:widowControl w:val="0"/>
        <w:pBdr>
          <w:top w:val="nil"/>
          <w:left w:val="nil"/>
          <w:bottom w:val="nil"/>
          <w:right w:val="nil"/>
          <w:between w:val="nil"/>
        </w:pBdr>
        <w:spacing w:after="120" w:line="240" w:lineRule="auto"/>
        <w:ind w:left="3523" w:right="3523"/>
        <w:jc w:val="center"/>
        <w:rPr>
          <w:rFonts w:ascii="Times New Roman" w:hAnsi="Times New Roman" w:cs="Times New Roman"/>
          <w:b/>
          <w:noProof/>
          <w:color w:val="000000"/>
          <w:sz w:val="24"/>
          <w:szCs w:val="24"/>
        </w:rPr>
      </w:pPr>
      <w:bookmarkStart w:id="1" w:name="_GoBack"/>
      <w:bookmarkEnd w:id="1"/>
      <w:r>
        <w:rPr>
          <w:rFonts w:ascii="Times New Roman" w:hAnsi="Times New Roman"/>
          <w:b/>
          <w:noProof/>
          <w:color w:val="000000"/>
          <w:sz w:val="24"/>
        </w:rPr>
        <w:lastRenderedPageBreak/>
        <w:t>Komunikacija Komisije</w:t>
      </w:r>
    </w:p>
    <w:p w14:paraId="6A5E91A3" w14:textId="7CAE6728" w:rsidR="00EE03EE" w:rsidRDefault="00E219FD" w:rsidP="0056136C">
      <w:pPr>
        <w:widowControl w:val="0"/>
        <w:pBdr>
          <w:top w:val="nil"/>
          <w:left w:val="nil"/>
          <w:bottom w:val="nil"/>
          <w:right w:val="nil"/>
          <w:between w:val="nil"/>
        </w:pBdr>
        <w:spacing w:after="120" w:line="240" w:lineRule="auto"/>
        <w:ind w:left="71" w:right="76"/>
        <w:jc w:val="center"/>
        <w:rPr>
          <w:rFonts w:ascii="Times New Roman" w:hAnsi="Times New Roman" w:cs="Times New Roman"/>
          <w:b/>
          <w:noProof/>
          <w:color w:val="000000"/>
          <w:sz w:val="24"/>
          <w:szCs w:val="24"/>
        </w:rPr>
      </w:pPr>
      <w:r>
        <w:rPr>
          <w:rFonts w:ascii="Times New Roman" w:hAnsi="Times New Roman"/>
          <w:b/>
          <w:noProof/>
          <w:color w:val="000000"/>
          <w:sz w:val="24"/>
        </w:rPr>
        <w:t>o ispravku Smjernica za državne potpore u sektorima poljoprivrede i šumarstva te u ruralnim područjima</w:t>
      </w:r>
    </w:p>
    <w:p w14:paraId="41F3EC19" w14:textId="77777777" w:rsidR="0056136C" w:rsidRPr="0056136C" w:rsidRDefault="0056136C" w:rsidP="0056136C">
      <w:pPr>
        <w:widowControl w:val="0"/>
        <w:pBdr>
          <w:top w:val="nil"/>
          <w:left w:val="nil"/>
          <w:bottom w:val="nil"/>
          <w:right w:val="nil"/>
          <w:between w:val="nil"/>
        </w:pBdr>
        <w:spacing w:after="120" w:line="240" w:lineRule="auto"/>
        <w:ind w:left="71" w:right="76"/>
        <w:jc w:val="center"/>
        <w:rPr>
          <w:rFonts w:ascii="Times New Roman" w:hAnsi="Times New Roman" w:cs="Times New Roman"/>
          <w:b/>
          <w:noProof/>
          <w:color w:val="000000"/>
          <w:sz w:val="24"/>
          <w:szCs w:val="24"/>
        </w:rPr>
      </w:pPr>
    </w:p>
    <w:p w14:paraId="49060A3B" w14:textId="530552D1" w:rsidR="00EE03EE" w:rsidRPr="00B1710F" w:rsidRDefault="002C3049">
      <w:pPr>
        <w:widowControl w:val="0"/>
        <w:pBdr>
          <w:top w:val="nil"/>
          <w:left w:val="nil"/>
          <w:bottom w:val="nil"/>
          <w:right w:val="nil"/>
          <w:between w:val="nil"/>
        </w:pBdr>
        <w:spacing w:after="120" w:line="240" w:lineRule="auto"/>
        <w:ind w:left="-24" w:right="-23"/>
        <w:rPr>
          <w:rFonts w:ascii="Times New Roman" w:hAnsi="Times New Roman" w:cs="Times New Roman"/>
          <w:b/>
          <w:noProof/>
          <w:color w:val="000000"/>
          <w:sz w:val="24"/>
          <w:szCs w:val="24"/>
        </w:rPr>
      </w:pPr>
      <w:r>
        <w:rPr>
          <w:rFonts w:ascii="Times New Roman" w:hAnsi="Times New Roman"/>
          <w:b/>
          <w:noProof/>
          <w:color w:val="000000"/>
          <w:sz w:val="24"/>
        </w:rPr>
        <w:t>Kontekst</w:t>
      </w:r>
    </w:p>
    <w:p w14:paraId="07C3687B" w14:textId="5F589C8A" w:rsidR="00EE03EE" w:rsidRPr="00B1710F" w:rsidRDefault="00704B7C" w:rsidP="007C6E30">
      <w:pPr>
        <w:widowControl w:val="0"/>
        <w:pBdr>
          <w:top w:val="nil"/>
          <w:left w:val="nil"/>
          <w:bottom w:val="nil"/>
          <w:right w:val="nil"/>
          <w:between w:val="nil"/>
        </w:pBdr>
        <w:spacing w:after="240" w:line="240" w:lineRule="auto"/>
        <w:ind w:right="-23"/>
        <w:jc w:val="both"/>
        <w:rPr>
          <w:rFonts w:ascii="Times New Roman" w:hAnsi="Times New Roman" w:cs="Times New Roman"/>
          <w:noProof/>
          <w:color w:val="000000"/>
          <w:sz w:val="24"/>
          <w:szCs w:val="24"/>
        </w:rPr>
      </w:pPr>
      <w:r>
        <w:rPr>
          <w:rFonts w:ascii="Times New Roman" w:hAnsi="Times New Roman"/>
          <w:noProof/>
          <w:color w:val="000000"/>
          <w:sz w:val="24"/>
        </w:rPr>
        <w:t>Smjernice za državne potpore u sektorima poljoprivrede i šumarstva te u ruralnim područjima</w:t>
      </w:r>
      <w:r w:rsidRPr="00B1710F">
        <w:rPr>
          <w:rStyle w:val="FootnoteReference"/>
          <w:rFonts w:ascii="Times New Roman" w:hAnsi="Times New Roman" w:cs="Times New Roman"/>
          <w:noProof/>
          <w:color w:val="000000"/>
          <w:sz w:val="26"/>
          <w:szCs w:val="26"/>
        </w:rPr>
        <w:footnoteReference w:id="2"/>
      </w:r>
      <w:r>
        <w:rPr>
          <w:rFonts w:ascii="Times New Roman" w:hAnsi="Times New Roman"/>
          <w:noProof/>
          <w:color w:val="000000"/>
          <w:sz w:val="26"/>
          <w:vertAlign w:val="superscript"/>
        </w:rPr>
        <w:t xml:space="preserve"> </w:t>
      </w:r>
      <w:r>
        <w:rPr>
          <w:rFonts w:ascii="Times New Roman" w:hAnsi="Times New Roman"/>
          <w:noProof/>
          <w:color w:val="000000"/>
          <w:sz w:val="24"/>
        </w:rPr>
        <w:t>(„Smjernice”) donesene su 14. prosinca 2022. Komisija ih je počela primjenjivati 1. siječnja 2023.</w:t>
      </w:r>
    </w:p>
    <w:p w14:paraId="63757BE9" w14:textId="39AE4975" w:rsidR="00052C51" w:rsidRPr="00B1710F" w:rsidRDefault="00442768" w:rsidP="00D31383">
      <w:pPr>
        <w:pStyle w:val="Considrant"/>
        <w:widowControl w:val="0"/>
        <w:numPr>
          <w:ilvl w:val="0"/>
          <w:numId w:val="0"/>
        </w:numPr>
        <w:pBdr>
          <w:top w:val="nil"/>
          <w:left w:val="nil"/>
          <w:bottom w:val="nil"/>
          <w:right w:val="nil"/>
          <w:between w:val="nil"/>
        </w:pBdr>
        <w:tabs>
          <w:tab w:val="clear" w:pos="2127"/>
        </w:tabs>
        <w:suppressAutoHyphens w:val="0"/>
        <w:spacing w:before="0" w:after="240"/>
        <w:ind w:right="-23"/>
        <w:rPr>
          <w:noProof/>
        </w:rPr>
      </w:pPr>
      <w:r>
        <w:rPr>
          <w:noProof/>
        </w:rPr>
        <w:t xml:space="preserve">Sve jezične verzije Smjernica sadržavaju pogreške koje utječu na provedbu tih točaka. Osim toga, verzije na bugarskom, francuskom, njemačkom, rumunjskom, slovačkom, talijanskom i češkom jeziku sadržavaju dodatne pogreške svojstvene tim jezičnim verzijama. Stoga je primjereno ispraviti te pogreške. </w:t>
      </w:r>
    </w:p>
    <w:p w14:paraId="4203789E" w14:textId="6FA2E05C" w:rsidR="00513155" w:rsidRPr="00B1710F" w:rsidRDefault="00DC334D" w:rsidP="00D31383">
      <w:pPr>
        <w:pStyle w:val="Considrant"/>
        <w:widowControl w:val="0"/>
        <w:numPr>
          <w:ilvl w:val="0"/>
          <w:numId w:val="0"/>
        </w:numPr>
        <w:pBdr>
          <w:top w:val="nil"/>
          <w:left w:val="nil"/>
          <w:bottom w:val="nil"/>
          <w:right w:val="nil"/>
          <w:between w:val="nil"/>
        </w:pBdr>
        <w:tabs>
          <w:tab w:val="clear" w:pos="2127"/>
        </w:tabs>
        <w:suppressAutoHyphens w:val="0"/>
        <w:spacing w:before="0" w:after="240"/>
        <w:ind w:right="-23"/>
        <w:rPr>
          <w:noProof/>
        </w:rPr>
      </w:pPr>
      <w:r>
        <w:rPr>
          <w:noProof/>
        </w:rPr>
        <w:t xml:space="preserve">Kako bi se izbjegle nejasnoće u pogledu uvjeta utvrđenih u točkama Smjernica na koje su utjecale pogreške, ispravak bi se trebao primjenjivati retroaktivno. Stoga sljedeći ispravci Smjernica stupaju na snagu retroaktivno od </w:t>
      </w:r>
      <w:r>
        <w:rPr>
          <w:noProof/>
          <w:color w:val="000000"/>
        </w:rPr>
        <w:t>1. siječnja 2023.</w:t>
      </w:r>
    </w:p>
    <w:p w14:paraId="261B355A" w14:textId="7854FDC3" w:rsidR="00EE03EE" w:rsidRPr="00B1710F" w:rsidRDefault="002C3049" w:rsidP="00D31383">
      <w:pPr>
        <w:pStyle w:val="Considrant"/>
        <w:widowControl w:val="0"/>
        <w:numPr>
          <w:ilvl w:val="0"/>
          <w:numId w:val="0"/>
        </w:numPr>
        <w:pBdr>
          <w:top w:val="nil"/>
          <w:left w:val="nil"/>
          <w:bottom w:val="nil"/>
          <w:right w:val="nil"/>
          <w:between w:val="nil"/>
        </w:pBdr>
        <w:tabs>
          <w:tab w:val="clear" w:pos="2127"/>
        </w:tabs>
        <w:suppressAutoHyphens w:val="0"/>
        <w:spacing w:before="0" w:after="240"/>
        <w:ind w:right="-23"/>
        <w:rPr>
          <w:noProof/>
        </w:rPr>
      </w:pPr>
      <w:r>
        <w:rPr>
          <w:noProof/>
        </w:rPr>
        <w:t xml:space="preserve">Smjernice se ispravljaju kako slijedi: </w:t>
      </w:r>
    </w:p>
    <w:p w14:paraId="4D23B013" w14:textId="2D38C729" w:rsidR="00CD41EF" w:rsidRPr="00B1710F" w:rsidRDefault="00CD41EF" w:rsidP="00B1710F">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hanging="567"/>
        <w:rPr>
          <w:noProof/>
        </w:rPr>
      </w:pPr>
      <w:r>
        <w:rPr>
          <w:noProof/>
        </w:rPr>
        <w:t>1. (ne odnosi se na verziju na hrvatskom jeziku).</w:t>
      </w:r>
    </w:p>
    <w:p w14:paraId="4A0AFAEF" w14:textId="28D74F6C" w:rsidR="00D84865" w:rsidRPr="00B1710F" w:rsidRDefault="00D84865" w:rsidP="00B1710F">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hanging="567"/>
        <w:rPr>
          <w:noProof/>
          <w:color w:val="000000"/>
        </w:rPr>
      </w:pPr>
      <w:r>
        <w:rPr>
          <w:noProof/>
          <w:color w:val="000000"/>
        </w:rPr>
        <w:t>2. (ne odnosi se na verziju na hrvatskom jeziku).</w:t>
      </w:r>
    </w:p>
    <w:p w14:paraId="7CDA8A45" w14:textId="7D979E58" w:rsidR="00EE03EE" w:rsidRPr="00B1710F" w:rsidRDefault="00276318" w:rsidP="00B1710F">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hanging="567"/>
        <w:rPr>
          <w:noProof/>
          <w:color w:val="000000"/>
        </w:rPr>
      </w:pPr>
      <w:r>
        <w:rPr>
          <w:noProof/>
        </w:rPr>
        <w:t>3. točka (22) zamjenjuje se sljedećim:</w:t>
      </w:r>
    </w:p>
    <w:p w14:paraId="66F76B54" w14:textId="1902C7A6" w:rsidR="00EE03EE" w:rsidRPr="00B1710F" w:rsidRDefault="00AF6742" w:rsidP="00D86B43">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rPr>
          <w:noProof/>
          <w:color w:val="000000"/>
        </w:rPr>
      </w:pPr>
      <w:bookmarkStart w:id="2" w:name="bookmark39"/>
      <w:r>
        <w:rPr>
          <w:noProof/>
        </w:rPr>
        <w:t xml:space="preserve">„(22) </w:t>
      </w:r>
      <w:bookmarkEnd w:id="2"/>
      <w:r>
        <w:rPr>
          <w:noProof/>
          <w:color w:val="000000"/>
          <w:shd w:val="clear" w:color="auto" w:fill="FFFFFF"/>
        </w:rPr>
        <w:t>Ove Smjernice primjenjuju se na potpore malim i srednjim poduzećima (MSP-ovi), a u načelu i na potpore velikim poduzećima. Međutim, velika su poduzeća uglavnom manje osjetljiva na tržišne nedostatke nego MSP-ovi. Osim toga, veća je vjerojatnost da će velika poduzeća u sektorima poljoprivrede i šumarstva te u ruralnim područjima imati bitnu ulogu na tržištu, pa stoga, u specifičnim slučajevima, potpora dodijeljena velikim poduzećima može osobito narušiti tržišno natjecanje i trgovinu na unutarnjem tržištu. Budući da potpore velikim poduzećima u sektorima poljoprivrede i šumarstva te u ruralnim područjima i ostalim velikim poduzećima mogu na sličan način narušiti tržišno natjecanje, pravila o državnim potporama za velika poduzeća u ovim Smjernicama usklađena su s općim pravilima o državnim potporama te se na njih primjenjuje ocjenjivanje spojivosti u skladu s člankom 107. stavkom 3. točkom (c) Ugovora kako je opisano u poglavlju 3. ovog dijela. Za mjere potpore za sektor stočarstva u skladu s dijelom II. odjeljkom 1.3.3. ovih Smjernica</w:t>
      </w:r>
      <w:r>
        <w:rPr>
          <w:rStyle w:val="oj-stroke"/>
          <w:noProof/>
          <w:color w:val="000000"/>
          <w:shd w:val="clear" w:color="auto" w:fill="FFFFFF"/>
        </w:rPr>
        <w:t>,</w:t>
      </w:r>
      <w:r>
        <w:rPr>
          <w:noProof/>
          <w:color w:val="000000"/>
          <w:shd w:val="clear" w:color="auto" w:fill="FFFFFF"/>
        </w:rPr>
        <w:t xml:space="preserve"> koje nisu obuhvaćene područjem primjene Uredbe (EU) 2021/2115, Komisija i dalje smatra da velika poduzeća trebaju moći sama financirati troškove tih mjera. Stoga bi potpore u sektoru stočarstva trebale ostati ograničene na MSP-ove.”;</w:t>
      </w:r>
    </w:p>
    <w:p w14:paraId="3CDD75DE" w14:textId="11A96ECF" w:rsidR="00EE03EE" w:rsidRPr="00B1710F" w:rsidRDefault="00276318" w:rsidP="00B1710F">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hanging="567"/>
        <w:rPr>
          <w:noProof/>
          <w:color w:val="000000"/>
        </w:rPr>
      </w:pPr>
      <w:r>
        <w:rPr>
          <w:noProof/>
        </w:rPr>
        <w:t>4. točka (33) podtočka (3) zamjenjuje se sljedećim:</w:t>
      </w:r>
    </w:p>
    <w:p w14:paraId="4AEB1A36" w14:textId="763D4CA7" w:rsidR="00C47D9E" w:rsidRPr="00B1710F" w:rsidRDefault="00AF6742" w:rsidP="00F01514">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rPr>
          <w:noProof/>
          <w:color w:val="000000"/>
        </w:rPr>
      </w:pPr>
      <w:r>
        <w:rPr>
          <w:noProof/>
          <w:shd w:val="clear" w:color="auto" w:fill="FFFFFF"/>
        </w:rPr>
        <w:t xml:space="preserve">„(3) </w:t>
      </w:r>
      <w:r>
        <w:rPr>
          <w:noProof/>
          <w:color w:val="000000"/>
          <w:shd w:val="clear" w:color="auto" w:fill="FFFFFF"/>
        </w:rPr>
        <w:t xml:space="preserve">„nepovoljna klimatska prilika koja se može izjednačiti s prirodnom nepogodom” znači nepovoljni vremenski uvjeti, kao što su mraz, oluje i tuča, led, obilna ili dugotrajna kiša ili ozbiljna suša, koji u sektoru poljoprivrede uništavaju više od 30 % prosječne proizvodnje izračunane na temelju prethodnog trogodišnjeg ili četverogodišnjeg razdoblja ili prosječne </w:t>
      </w:r>
      <w:r>
        <w:rPr>
          <w:noProof/>
        </w:rPr>
        <w:t>proizvodnje izračunane na temelju</w:t>
      </w:r>
      <w:r>
        <w:rPr>
          <w:noProof/>
          <w:color w:val="000000"/>
          <w:shd w:val="clear" w:color="auto" w:fill="FFFFFF"/>
        </w:rPr>
        <w:t xml:space="preserve"> prethodnog petogodišnjeg ili osmogodišnjeg razdoblja, nakon isključivanja najviše i najniže vrijednosti; u slučaju šumarstva, više od 20 % šumskog potencijala;”;</w:t>
      </w:r>
    </w:p>
    <w:p w14:paraId="6C4FC7D5" w14:textId="705F4365" w:rsidR="00AF6742" w:rsidRPr="00B1710F" w:rsidRDefault="00C00C63" w:rsidP="00B1710F">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hanging="567"/>
        <w:rPr>
          <w:noProof/>
          <w:color w:val="000000"/>
        </w:rPr>
      </w:pPr>
      <w:r>
        <w:rPr>
          <w:noProof/>
        </w:rPr>
        <w:t>5. točka (41) zamjenjuje se sljedećim:</w:t>
      </w:r>
    </w:p>
    <w:p w14:paraId="6391D0CE" w14:textId="5B47CD11" w:rsidR="009610A0" w:rsidRPr="00B1710F" w:rsidRDefault="00AF6742" w:rsidP="00D86B43">
      <w:pPr>
        <w:pStyle w:val="Text1"/>
        <w:tabs>
          <w:tab w:val="left" w:pos="1418"/>
          <w:tab w:val="left" w:pos="1560"/>
          <w:tab w:val="left" w:pos="2977"/>
        </w:tabs>
        <w:ind w:left="567"/>
        <w:rPr>
          <w:noProof/>
        </w:rPr>
      </w:pPr>
      <w:r>
        <w:rPr>
          <w:noProof/>
        </w:rPr>
        <w:t>„(41) Osim potpora u skladu s točkom (499) dijela II. poglavljem 3.dijela II. ovih Smjernica, ti se opći uvjeti spojivosti primjenjuju na sve potpore obuhvaćene ovim Smjernicama, osim ako su u odjeljcima 3.1. i 3.2. ovog dijela predviđena odstupanja zbog posebnih razloga koji se primjenjuju u sektoru poljoprivrede.”;</w:t>
      </w:r>
    </w:p>
    <w:p w14:paraId="4E8CC373" w14:textId="7389CA10" w:rsidR="00AF6742" w:rsidRPr="00B1710F" w:rsidRDefault="00C00C63" w:rsidP="009B45D4">
      <w:pPr>
        <w:pStyle w:val="Considrant"/>
        <w:widowControl w:val="0"/>
        <w:numPr>
          <w:ilvl w:val="0"/>
          <w:numId w:val="0"/>
        </w:numPr>
        <w:pBdr>
          <w:top w:val="nil"/>
          <w:left w:val="nil"/>
          <w:bottom w:val="nil"/>
          <w:right w:val="nil"/>
          <w:between w:val="nil"/>
        </w:pBdr>
        <w:tabs>
          <w:tab w:val="clear" w:pos="2127"/>
        </w:tabs>
        <w:suppressAutoHyphens w:val="0"/>
        <w:spacing w:before="0" w:after="240"/>
        <w:ind w:left="426" w:right="-23" w:hanging="426"/>
        <w:rPr>
          <w:noProof/>
          <w:color w:val="000000"/>
        </w:rPr>
      </w:pPr>
      <w:r>
        <w:rPr>
          <w:noProof/>
        </w:rPr>
        <w:t>6. točka (55) ispravlja se kako slijedi:</w:t>
      </w:r>
    </w:p>
    <w:p w14:paraId="68FEF7C6" w14:textId="1046ABA7" w:rsidR="00C00C63" w:rsidRPr="00B1710F" w:rsidRDefault="00C00C63" w:rsidP="00C00C63">
      <w:pPr>
        <w:pStyle w:val="Text1"/>
        <w:numPr>
          <w:ilvl w:val="0"/>
          <w:numId w:val="21"/>
        </w:numPr>
        <w:tabs>
          <w:tab w:val="left" w:pos="1418"/>
          <w:tab w:val="left" w:pos="1560"/>
          <w:tab w:val="left" w:pos="2977"/>
        </w:tabs>
        <w:rPr>
          <w:noProof/>
        </w:rPr>
      </w:pPr>
      <w:r>
        <w:rPr>
          <w:noProof/>
        </w:rPr>
        <w:t>uvodna rečenica zamjenjuje se sljedećim:</w:t>
      </w:r>
    </w:p>
    <w:p w14:paraId="60AA2734" w14:textId="61DC8B95" w:rsidR="00AF6742" w:rsidRPr="00B1710F" w:rsidRDefault="00AF6742" w:rsidP="00D824DE">
      <w:pPr>
        <w:spacing w:before="120" w:line="240" w:lineRule="auto"/>
        <w:ind w:left="567"/>
        <w:rPr>
          <w:rFonts w:ascii="Times New Roman" w:hAnsi="Times New Roman" w:cs="Times New Roman"/>
          <w:noProof/>
          <w:sz w:val="24"/>
          <w:szCs w:val="24"/>
        </w:rPr>
      </w:pPr>
      <w:r>
        <w:rPr>
          <w:rFonts w:ascii="Times New Roman" w:hAnsi="Times New Roman"/>
          <w:noProof/>
          <w:sz w:val="24"/>
        </w:rPr>
        <w:t>„Odstupajući od točaka od (50) do (53), sljedeće kategorije potpora ne moraju imati učinak poticaja ili se smatra da ga imaju:”;</w:t>
      </w:r>
    </w:p>
    <w:p w14:paraId="7E491742" w14:textId="77777777" w:rsidR="00D824DE" w:rsidRPr="00B1710F" w:rsidRDefault="00D824DE" w:rsidP="00D824DE">
      <w:pPr>
        <w:spacing w:before="120" w:line="240" w:lineRule="auto"/>
        <w:ind w:left="567"/>
        <w:rPr>
          <w:rFonts w:ascii="Times New Roman" w:hAnsi="Times New Roman" w:cs="Times New Roman"/>
          <w:noProof/>
          <w:sz w:val="24"/>
          <w:szCs w:val="24"/>
        </w:rPr>
      </w:pPr>
    </w:p>
    <w:p w14:paraId="7E578436" w14:textId="51CDD8DA" w:rsidR="00AF6742" w:rsidRPr="00B1710F" w:rsidRDefault="00C00C63" w:rsidP="00D824DE">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rPr>
          <w:noProof/>
          <w:color w:val="000000"/>
        </w:rPr>
      </w:pPr>
      <w:r>
        <w:rPr>
          <w:noProof/>
        </w:rPr>
        <w:t>(b) točka (q) zamjenjuje se sljedećim:</w:t>
      </w:r>
    </w:p>
    <w:p w14:paraId="253DF9FE" w14:textId="5A553081" w:rsidR="00AF6742" w:rsidRPr="00B1710F" w:rsidRDefault="00AF6742" w:rsidP="00D86B43">
      <w:pPr>
        <w:spacing w:before="120" w:line="240" w:lineRule="auto"/>
        <w:ind w:left="567"/>
        <w:rPr>
          <w:rFonts w:ascii="Times New Roman" w:eastAsia="Times New Roman" w:hAnsi="Times New Roman" w:cs="Times New Roman"/>
          <w:noProof/>
          <w:color w:val="000000"/>
          <w:sz w:val="24"/>
          <w:szCs w:val="24"/>
        </w:rPr>
      </w:pPr>
      <w:r>
        <w:rPr>
          <w:rFonts w:ascii="Times New Roman" w:hAnsi="Times New Roman"/>
          <w:noProof/>
          <w:color w:val="000000"/>
          <w:sz w:val="24"/>
        </w:rPr>
        <w:t>„(q) potpore za troškove tretiranja i sprečavanja širenja štetnih organizama, bolesti stabala i invazivnih stranih vrsta te potpore za otklanjanje štete nastale zbog štetnih organizama, bolesti stabala i invazivnih stranih vrsta u skladu s dijelom II. odjeljkom 2.8.1.”;</w:t>
      </w:r>
    </w:p>
    <w:p w14:paraId="11329EB5" w14:textId="77777777" w:rsidR="00D824DE" w:rsidRPr="001022EE" w:rsidRDefault="00D824DE" w:rsidP="00D86B43">
      <w:pPr>
        <w:spacing w:before="120" w:line="240" w:lineRule="auto"/>
        <w:ind w:left="567"/>
        <w:rPr>
          <w:rFonts w:ascii="Times New Roman" w:eastAsia="Times New Roman" w:hAnsi="Times New Roman" w:cs="Times New Roman"/>
          <w:noProof/>
          <w:color w:val="000000"/>
          <w:sz w:val="24"/>
          <w:szCs w:val="24"/>
          <w:lang w:eastAsia="en-IE"/>
        </w:rPr>
      </w:pPr>
    </w:p>
    <w:p w14:paraId="12CE5903" w14:textId="58E74E98" w:rsidR="00AF6742" w:rsidRPr="00B1710F" w:rsidRDefault="00C00C63" w:rsidP="00B1710F">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hanging="567"/>
        <w:rPr>
          <w:noProof/>
          <w:color w:val="000000"/>
        </w:rPr>
      </w:pPr>
      <w:r>
        <w:rPr>
          <w:noProof/>
        </w:rPr>
        <w:t>7. točka (71) zamjenjuje se sljedećim:</w:t>
      </w:r>
    </w:p>
    <w:p w14:paraId="4D75932A" w14:textId="56C790D0" w:rsidR="00AF6742" w:rsidRPr="00B1710F" w:rsidRDefault="00AF6742" w:rsidP="00D86B43">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rPr>
          <w:noProof/>
          <w:color w:val="000000"/>
        </w:rPr>
      </w:pPr>
      <w:r>
        <w:rPr>
          <w:noProof/>
          <w:color w:val="000000"/>
          <w:shd w:val="clear" w:color="auto" w:fill="FFFFFF"/>
        </w:rPr>
        <w:t>„(71) Za potrebe ovih smjernica Komisija smatra da tržište ne ispunjava očekivane ciljeve bez intervencije države ako mjere potpore ispunjavaju posebne uvjete utvrđene u dijelu II. Stoga bi trebalo smatrati da su takve potpore nužne.”;</w:t>
      </w:r>
    </w:p>
    <w:p w14:paraId="1139732D" w14:textId="38962803" w:rsidR="00AF6742" w:rsidRPr="00B1710F" w:rsidRDefault="00C00C63" w:rsidP="009B45D4">
      <w:pPr>
        <w:pStyle w:val="Considrant"/>
        <w:widowControl w:val="0"/>
        <w:numPr>
          <w:ilvl w:val="0"/>
          <w:numId w:val="0"/>
        </w:numPr>
        <w:pBdr>
          <w:top w:val="nil"/>
          <w:left w:val="nil"/>
          <w:bottom w:val="nil"/>
          <w:right w:val="nil"/>
          <w:between w:val="nil"/>
        </w:pBdr>
        <w:tabs>
          <w:tab w:val="clear" w:pos="2127"/>
        </w:tabs>
        <w:suppressAutoHyphens w:val="0"/>
        <w:spacing w:before="0" w:after="240"/>
        <w:ind w:left="426" w:right="-23" w:hanging="426"/>
        <w:rPr>
          <w:noProof/>
          <w:color w:val="000000"/>
        </w:rPr>
      </w:pPr>
      <w:r>
        <w:rPr>
          <w:noProof/>
        </w:rPr>
        <w:t>8. točka (84) zamjenjuje se sljedećim:</w:t>
      </w:r>
    </w:p>
    <w:p w14:paraId="33EC3D8D" w14:textId="4C41F7A7" w:rsidR="005C0479" w:rsidRPr="00B1710F" w:rsidRDefault="005C0479" w:rsidP="00D86B43">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rPr>
          <w:noProof/>
          <w:color w:val="000000"/>
          <w:shd w:val="clear" w:color="auto" w:fill="FFFFFF"/>
        </w:rPr>
      </w:pPr>
      <w:r>
        <w:rPr>
          <w:noProof/>
          <w:color w:val="000000"/>
          <w:shd w:val="clear" w:color="auto" w:fill="FFFFFF"/>
        </w:rPr>
        <w:t>„(84) U načelu, da bi potpora bila razmjerna, Komisija smatra da iznos potpore ne bi smio premašiti prihvatljive troškove. Time se ne dovode u pitanje pravila za okolišne poticaje ili druge javne poticaje koja su izričito predviđena u dijelu II. odjeljcima 1.3.1.1. i 2.3.”;</w:t>
      </w:r>
    </w:p>
    <w:p w14:paraId="5C6D4887" w14:textId="1D91A40E" w:rsidR="00F624E9" w:rsidRPr="00B1710F" w:rsidRDefault="003569BA" w:rsidP="009B45D4">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hanging="567"/>
        <w:rPr>
          <w:noProof/>
          <w:color w:val="000000"/>
        </w:rPr>
      </w:pPr>
      <w:r>
        <w:rPr>
          <w:noProof/>
          <w:color w:val="000000"/>
        </w:rPr>
        <w:t>9. (ne odnosi se na verziju na hrvatskom jeziku).</w:t>
      </w:r>
    </w:p>
    <w:p w14:paraId="640449D5" w14:textId="3D9646D0" w:rsidR="00AF6742" w:rsidRPr="00B1710F" w:rsidRDefault="00C00C63" w:rsidP="00B1710F">
      <w:pPr>
        <w:pStyle w:val="Considrant"/>
        <w:widowControl w:val="0"/>
        <w:numPr>
          <w:ilvl w:val="0"/>
          <w:numId w:val="0"/>
        </w:numPr>
        <w:pBdr>
          <w:top w:val="nil"/>
          <w:left w:val="nil"/>
          <w:bottom w:val="nil"/>
          <w:right w:val="nil"/>
          <w:between w:val="nil"/>
        </w:pBdr>
        <w:tabs>
          <w:tab w:val="clear" w:pos="2127"/>
          <w:tab w:val="left" w:pos="567"/>
        </w:tabs>
        <w:suppressAutoHyphens w:val="0"/>
        <w:spacing w:before="0" w:after="240"/>
        <w:ind w:left="567" w:right="-23" w:hanging="567"/>
        <w:rPr>
          <w:noProof/>
          <w:color w:val="000000"/>
        </w:rPr>
      </w:pPr>
      <w:r>
        <w:rPr>
          <w:noProof/>
        </w:rPr>
        <w:t>10. u točki (157) podtočki (c) drugi odlomak zamjenjuje se sljedećim:</w:t>
      </w:r>
    </w:p>
    <w:p w14:paraId="5668EB5B" w14:textId="72B0E30E" w:rsidR="001033CA" w:rsidRPr="00B1710F" w:rsidRDefault="00DC265C" w:rsidP="009B45D4">
      <w:pPr>
        <w:pStyle w:val="Point0"/>
        <w:ind w:left="567" w:firstLine="0"/>
        <w:jc w:val="both"/>
        <w:rPr>
          <w:noProof/>
        </w:rPr>
      </w:pPr>
      <w:r>
        <w:rPr>
          <w:noProof/>
        </w:rPr>
        <w:t>„Uvjeti utvrđeni u ovoj točki (c) ne primjenjuju na ulaganje u postojeću instalaciju koje je usmjereno samo na energetsku učinkovitost, na ulaganje za stvaranje rezervoara i na ulaganje u upotrebu reciklirane vode koje ne utječe na tijelo podzemne vode ili površinske vode;”;</w:t>
      </w:r>
    </w:p>
    <w:p w14:paraId="7E15E7C3" w14:textId="2F8EE026" w:rsidR="00851EAF" w:rsidRPr="00B1710F" w:rsidRDefault="00851EAF" w:rsidP="00D31383">
      <w:pPr>
        <w:pStyle w:val="Point0"/>
        <w:ind w:firstLine="0"/>
        <w:jc w:val="both"/>
        <w:rPr>
          <w:noProof/>
        </w:rPr>
      </w:pPr>
    </w:p>
    <w:p w14:paraId="1739E594" w14:textId="2E56163F" w:rsidR="00DF5DFB" w:rsidRPr="00B1710F" w:rsidRDefault="006478DC" w:rsidP="009B45D4">
      <w:pPr>
        <w:pStyle w:val="Point0"/>
        <w:ind w:left="426" w:hanging="426"/>
        <w:jc w:val="both"/>
        <w:rPr>
          <w:noProof/>
        </w:rPr>
      </w:pPr>
      <w:r>
        <w:rPr>
          <w:noProof/>
        </w:rPr>
        <w:t>11.</w:t>
      </w:r>
      <w:r>
        <w:rPr>
          <w:noProof/>
        </w:rPr>
        <w:tab/>
        <w:t>točka (144) zamjenjuje se sljedećim:</w:t>
      </w:r>
    </w:p>
    <w:p w14:paraId="360903DB" w14:textId="77777777" w:rsidR="00DF5DFB" w:rsidRPr="00B1710F" w:rsidRDefault="00DF5DFB" w:rsidP="00D31383">
      <w:pPr>
        <w:pStyle w:val="Point0"/>
        <w:ind w:firstLine="0"/>
        <w:jc w:val="both"/>
        <w:rPr>
          <w:noProof/>
        </w:rPr>
      </w:pPr>
    </w:p>
    <w:p w14:paraId="68227013" w14:textId="7809EA25" w:rsidR="00DF5DFB" w:rsidRPr="00B1710F" w:rsidRDefault="00DF5DFB" w:rsidP="009B45D4">
      <w:pPr>
        <w:pStyle w:val="Point0"/>
        <w:ind w:left="567" w:firstLine="0"/>
        <w:jc w:val="both"/>
        <w:rPr>
          <w:noProof/>
          <w:color w:val="000000"/>
          <w:shd w:val="clear" w:color="auto" w:fill="FFFFFF"/>
        </w:rPr>
      </w:pPr>
      <w:r>
        <w:rPr>
          <w:noProof/>
        </w:rPr>
        <w:t xml:space="preserve">„(144) </w:t>
      </w:r>
      <w:r>
        <w:rPr>
          <w:noProof/>
          <w:color w:val="000000"/>
          <w:shd w:val="clear" w:color="auto" w:fill="FFFFFF"/>
        </w:rPr>
        <w:t>Komisija će smatrati da su potpore za ulaganja u poljoprivredna gospodarstva povezana s primarnom poljoprivrednom proizvodnjom spojive s unutarnjim tržištem u skladu s člankom 107. stavkom 3. točkom (c) Ugovora ako su u skladu s dijelom I. poglavljem 3. ovih Smjernica te zadovoljavaju opći uvjet za potpore za ulaganja iz točke (143) te uvjete utvrđene u ovom odjeljku.”</w:t>
      </w:r>
    </w:p>
    <w:p w14:paraId="74D177F5" w14:textId="77777777" w:rsidR="00DF5DFB" w:rsidRPr="00B1710F" w:rsidRDefault="00DF5DFB" w:rsidP="00D31383">
      <w:pPr>
        <w:pStyle w:val="Point0"/>
        <w:ind w:firstLine="0"/>
        <w:jc w:val="both"/>
        <w:rPr>
          <w:noProof/>
        </w:rPr>
      </w:pPr>
    </w:p>
    <w:p w14:paraId="6DCC64B8" w14:textId="132F026B" w:rsidR="009815A1" w:rsidRPr="00B1710F" w:rsidRDefault="003569BA" w:rsidP="00B1710F">
      <w:pPr>
        <w:pStyle w:val="Point0"/>
        <w:ind w:left="567" w:hanging="567"/>
        <w:jc w:val="both"/>
        <w:rPr>
          <w:noProof/>
        </w:rPr>
      </w:pPr>
      <w:r>
        <w:rPr>
          <w:noProof/>
        </w:rPr>
        <w:t>12. (ne odnosi se na verziju na hrvatskom jeziku).</w:t>
      </w:r>
    </w:p>
    <w:p w14:paraId="74859581" w14:textId="77777777" w:rsidR="009815A1" w:rsidRPr="00B1710F" w:rsidRDefault="009815A1">
      <w:pPr>
        <w:pStyle w:val="Point0"/>
        <w:jc w:val="both"/>
        <w:rPr>
          <w:noProof/>
        </w:rPr>
      </w:pPr>
    </w:p>
    <w:p w14:paraId="1C55EB5A" w14:textId="7A36ED1D" w:rsidR="00F624E9" w:rsidRPr="00B1710F" w:rsidRDefault="009815A1" w:rsidP="00B1710F">
      <w:pPr>
        <w:pStyle w:val="Point0"/>
        <w:ind w:left="567" w:hanging="567"/>
        <w:jc w:val="both"/>
        <w:rPr>
          <w:noProof/>
        </w:rPr>
      </w:pPr>
      <w:r>
        <w:rPr>
          <w:noProof/>
        </w:rPr>
        <w:t>13. (ne odnosi se na verziju na hrvatskom jeziku).</w:t>
      </w:r>
    </w:p>
    <w:p w14:paraId="13914AF8" w14:textId="7EEE1A19" w:rsidR="00AF6742" w:rsidRPr="00B1710F" w:rsidRDefault="00C00C63" w:rsidP="00B1710F">
      <w:pPr>
        <w:pStyle w:val="Considrant"/>
        <w:widowControl w:val="0"/>
        <w:numPr>
          <w:ilvl w:val="0"/>
          <w:numId w:val="0"/>
        </w:numPr>
        <w:pBdr>
          <w:top w:val="nil"/>
          <w:left w:val="nil"/>
          <w:bottom w:val="nil"/>
          <w:right w:val="nil"/>
          <w:between w:val="nil"/>
        </w:pBdr>
        <w:tabs>
          <w:tab w:val="clear" w:pos="2127"/>
        </w:tabs>
        <w:suppressAutoHyphens w:val="0"/>
        <w:spacing w:after="240"/>
        <w:ind w:left="567" w:right="-23" w:hanging="567"/>
        <w:rPr>
          <w:noProof/>
          <w:color w:val="000000"/>
        </w:rPr>
      </w:pPr>
      <w:r>
        <w:rPr>
          <w:noProof/>
        </w:rPr>
        <w:t>14. u točki (176) podtočka (a) zamjenjuje se sljedećim:</w:t>
      </w:r>
    </w:p>
    <w:p w14:paraId="489E33A8" w14:textId="19AB90B0" w:rsidR="001033CA" w:rsidRPr="00B1710F" w:rsidRDefault="001033CA" w:rsidP="00D86B43">
      <w:pPr>
        <w:pStyle w:val="Point1letter"/>
        <w:tabs>
          <w:tab w:val="clear" w:pos="1701"/>
          <w:tab w:val="clear" w:pos="1843"/>
          <w:tab w:val="num" w:pos="1418"/>
          <w:tab w:val="left" w:pos="1560"/>
        </w:tabs>
        <w:ind w:left="567" w:firstLine="0"/>
        <w:jc w:val="both"/>
        <w:rPr>
          <w:noProof/>
        </w:rPr>
      </w:pPr>
      <w:r>
        <w:rPr>
          <w:noProof/>
        </w:rPr>
        <w:t>„(a) ulaganja povezana s jednim ili više specifičnih okolišnih i klimatskih ciljeva iz točke (152) podtočaka (e), (f) i (g) ili ulaganja za preradu poljoprivrednih proizvoda poveznih s poboljšanjem dobrobiti životinja;”;</w:t>
      </w:r>
    </w:p>
    <w:p w14:paraId="47F5D6B9" w14:textId="1447E826" w:rsidR="00AF6742" w:rsidRPr="00B1710F" w:rsidRDefault="00D30CF4" w:rsidP="00B1710F">
      <w:pPr>
        <w:pStyle w:val="Considrant"/>
        <w:widowControl w:val="0"/>
        <w:numPr>
          <w:ilvl w:val="0"/>
          <w:numId w:val="0"/>
        </w:numPr>
        <w:pBdr>
          <w:top w:val="nil"/>
          <w:left w:val="nil"/>
          <w:bottom w:val="nil"/>
          <w:right w:val="nil"/>
          <w:between w:val="nil"/>
        </w:pBdr>
        <w:tabs>
          <w:tab w:val="clear" w:pos="2127"/>
        </w:tabs>
        <w:suppressAutoHyphens w:val="0"/>
        <w:spacing w:after="240"/>
        <w:ind w:left="567" w:right="-23" w:hanging="567"/>
        <w:rPr>
          <w:noProof/>
          <w:color w:val="000000"/>
        </w:rPr>
      </w:pPr>
      <w:r>
        <w:rPr>
          <w:noProof/>
        </w:rPr>
        <w:t>15. u točki (193) podtočka (c) zamjenjuje se sljedećim:</w:t>
      </w:r>
    </w:p>
    <w:p w14:paraId="44AA4832" w14:textId="27385453" w:rsidR="001033CA" w:rsidRPr="00B1710F" w:rsidRDefault="001033CA" w:rsidP="00D86B43">
      <w:pPr>
        <w:pStyle w:val="Point1letter"/>
        <w:tabs>
          <w:tab w:val="clear" w:pos="1701"/>
          <w:tab w:val="clear" w:pos="1843"/>
          <w:tab w:val="left" w:pos="1418"/>
          <w:tab w:val="left" w:pos="1560"/>
          <w:tab w:val="left" w:pos="2977"/>
        </w:tabs>
        <w:ind w:left="567" w:firstLine="0"/>
        <w:jc w:val="both"/>
        <w:rPr>
          <w:noProof/>
        </w:rPr>
      </w:pPr>
      <w:r>
        <w:rPr>
          <w:noProof/>
        </w:rPr>
        <w:t xml:space="preserve">„(c) skupine proizvođača koje ne ispunjavaju zahtjeve iz članka 67. stavka 3. Uredbe (EU) 2021/2115 ili skupine, organizacije ili udruženja proizvođača, čiji ciljevi nisu u skladu s člankom 152. stavkom 1. točkom (c), člankom 156. i člankom 161. </w:t>
      </w:r>
      <w:bookmarkStart w:id="3" w:name="_Hlk139439032"/>
      <w:r>
        <w:rPr>
          <w:noProof/>
        </w:rPr>
        <w:t>Uredbe (EU) br. 1308/2013</w:t>
      </w:r>
      <w:bookmarkEnd w:id="3"/>
      <w:r>
        <w:rPr>
          <w:noProof/>
        </w:rPr>
        <w:t>.”;</w:t>
      </w:r>
    </w:p>
    <w:p w14:paraId="0D487B57" w14:textId="0C9FABB5" w:rsidR="006478DC" w:rsidRPr="00B1710F" w:rsidRDefault="006478DC" w:rsidP="00D86B43">
      <w:pPr>
        <w:pStyle w:val="Point1letter"/>
        <w:tabs>
          <w:tab w:val="clear" w:pos="1701"/>
          <w:tab w:val="clear" w:pos="1843"/>
          <w:tab w:val="left" w:pos="1418"/>
          <w:tab w:val="left" w:pos="1560"/>
          <w:tab w:val="left" w:pos="2977"/>
        </w:tabs>
        <w:ind w:left="567" w:firstLine="0"/>
        <w:jc w:val="both"/>
        <w:rPr>
          <w:noProof/>
        </w:rPr>
      </w:pPr>
    </w:p>
    <w:p w14:paraId="648B08C8" w14:textId="28336DC5" w:rsidR="006478DC" w:rsidRPr="00B1710F" w:rsidRDefault="006478DC" w:rsidP="009B45D4">
      <w:pPr>
        <w:pStyle w:val="Point1letter"/>
        <w:tabs>
          <w:tab w:val="clear" w:pos="1701"/>
          <w:tab w:val="clear" w:pos="1843"/>
          <w:tab w:val="left" w:pos="567"/>
          <w:tab w:val="left" w:pos="2977"/>
        </w:tabs>
        <w:ind w:left="567"/>
        <w:jc w:val="both"/>
        <w:rPr>
          <w:noProof/>
        </w:rPr>
      </w:pPr>
      <w:r>
        <w:rPr>
          <w:noProof/>
        </w:rPr>
        <w:t>16. (ne odnosi se na verziju na hrvatskom jeziku).</w:t>
      </w:r>
    </w:p>
    <w:p w14:paraId="3D3B4DC0" w14:textId="0FCD8163" w:rsidR="00AF6742" w:rsidRPr="00B1710F" w:rsidRDefault="00D30CF4" w:rsidP="00B1710F">
      <w:pPr>
        <w:pStyle w:val="Considrant"/>
        <w:widowControl w:val="0"/>
        <w:numPr>
          <w:ilvl w:val="0"/>
          <w:numId w:val="0"/>
        </w:numPr>
        <w:pBdr>
          <w:top w:val="nil"/>
          <w:left w:val="nil"/>
          <w:bottom w:val="nil"/>
          <w:right w:val="nil"/>
          <w:between w:val="nil"/>
        </w:pBdr>
        <w:tabs>
          <w:tab w:val="clear" w:pos="2127"/>
        </w:tabs>
        <w:suppressAutoHyphens w:val="0"/>
        <w:spacing w:after="240"/>
        <w:ind w:left="567" w:right="-23" w:hanging="567"/>
        <w:rPr>
          <w:noProof/>
          <w:color w:val="000000"/>
        </w:rPr>
      </w:pPr>
      <w:r>
        <w:rPr>
          <w:noProof/>
        </w:rPr>
        <w:t>17. točka (267) zamjenjuje se sljedećim:</w:t>
      </w:r>
    </w:p>
    <w:p w14:paraId="059D6448" w14:textId="7A8C1E9E" w:rsidR="001033CA" w:rsidRPr="00B1710F" w:rsidRDefault="001033CA" w:rsidP="00D86B43">
      <w:pPr>
        <w:pStyle w:val="Text1"/>
        <w:tabs>
          <w:tab w:val="left" w:pos="1418"/>
          <w:tab w:val="left" w:pos="1560"/>
          <w:tab w:val="left" w:pos="2977"/>
        </w:tabs>
        <w:spacing w:after="0"/>
        <w:ind w:left="567"/>
        <w:rPr>
          <w:noProof/>
        </w:rPr>
      </w:pPr>
      <w:r>
        <w:rPr>
          <w:noProof/>
        </w:rPr>
        <w:t>„(267) Potpore za ulaganja u primarnu proizvodnju te preradu i stavljanje na tržište ekoloških proizvoda podliježu odredbama odjeljaka 1.1.1.1. i 1.1.1.3. ovog dijela.”;</w:t>
      </w:r>
    </w:p>
    <w:p w14:paraId="2AADFB3A" w14:textId="6D058C73" w:rsidR="00714179" w:rsidRPr="00B1710F" w:rsidRDefault="00D30CF4" w:rsidP="00B1710F">
      <w:pPr>
        <w:pStyle w:val="Point1letter"/>
        <w:tabs>
          <w:tab w:val="clear" w:pos="1701"/>
          <w:tab w:val="clear" w:pos="1843"/>
        </w:tabs>
        <w:spacing w:before="120" w:after="120"/>
        <w:ind w:left="567"/>
        <w:jc w:val="both"/>
        <w:rPr>
          <w:noProof/>
        </w:rPr>
      </w:pPr>
      <w:r>
        <w:rPr>
          <w:noProof/>
        </w:rPr>
        <w:t>18. točka (318) zamjenjuje se sljedećim:</w:t>
      </w:r>
    </w:p>
    <w:p w14:paraId="3B4A20B3" w14:textId="7D03E615" w:rsidR="001E206E" w:rsidRPr="00B1710F" w:rsidRDefault="001E206E" w:rsidP="001E206E">
      <w:pPr>
        <w:pStyle w:val="Point1letter"/>
        <w:tabs>
          <w:tab w:val="clear" w:pos="1701"/>
          <w:tab w:val="clear" w:pos="1843"/>
          <w:tab w:val="left" w:pos="1418"/>
          <w:tab w:val="left" w:pos="1560"/>
          <w:tab w:val="left" w:pos="2977"/>
        </w:tabs>
        <w:ind w:left="567" w:firstLine="0"/>
        <w:jc w:val="both"/>
        <w:rPr>
          <w:noProof/>
        </w:rPr>
      </w:pPr>
      <w:r>
        <w:rPr>
          <w:noProof/>
        </w:rPr>
        <w:t xml:space="preserve">„(318) </w:t>
      </w:r>
      <w:r>
        <w:rPr>
          <w:noProof/>
          <w:color w:val="000000"/>
          <w:shd w:val="clear" w:color="auto" w:fill="FFFFFF"/>
        </w:rPr>
        <w:t>U slučaju operacija iz točke (315) podtočke (c) koje se sastoje od ulaganja, potpore moraju biti ograničene na maksimalni intenzitet potpore za ulaganja kako je utvrđen u relevantnom odjeljku o potporama za ulaganja.</w:t>
      </w:r>
      <w:r>
        <w:rPr>
          <w:noProof/>
        </w:rPr>
        <w:t>”;</w:t>
      </w:r>
    </w:p>
    <w:p w14:paraId="3407F032" w14:textId="5806D856" w:rsidR="00F624E9" w:rsidRPr="00B1710F" w:rsidRDefault="00F624E9" w:rsidP="00B1710F">
      <w:pPr>
        <w:pStyle w:val="Point1letter"/>
        <w:tabs>
          <w:tab w:val="clear" w:pos="1701"/>
          <w:tab w:val="clear" w:pos="1843"/>
          <w:tab w:val="left" w:pos="1418"/>
          <w:tab w:val="left" w:pos="1560"/>
          <w:tab w:val="left" w:pos="2977"/>
        </w:tabs>
        <w:ind w:left="567"/>
        <w:jc w:val="both"/>
        <w:rPr>
          <w:noProof/>
        </w:rPr>
      </w:pPr>
      <w:r>
        <w:rPr>
          <w:noProof/>
        </w:rPr>
        <w:t>19. (ne odnosi se na verziju na hrvatskom jeziku).</w:t>
      </w:r>
    </w:p>
    <w:p w14:paraId="5C6D96EE" w14:textId="52B102E8" w:rsidR="00AF6742" w:rsidRPr="00B1710F" w:rsidRDefault="00714179" w:rsidP="00B1710F">
      <w:pPr>
        <w:pStyle w:val="Considrant"/>
        <w:widowControl w:val="0"/>
        <w:numPr>
          <w:ilvl w:val="0"/>
          <w:numId w:val="0"/>
        </w:numPr>
        <w:pBdr>
          <w:top w:val="nil"/>
          <w:left w:val="nil"/>
          <w:bottom w:val="nil"/>
          <w:right w:val="nil"/>
          <w:between w:val="nil"/>
        </w:pBdr>
        <w:tabs>
          <w:tab w:val="clear" w:pos="2127"/>
        </w:tabs>
        <w:suppressAutoHyphens w:val="0"/>
        <w:spacing w:after="240"/>
        <w:ind w:left="567" w:right="-23" w:hanging="567"/>
        <w:rPr>
          <w:noProof/>
        </w:rPr>
      </w:pPr>
      <w:r>
        <w:rPr>
          <w:noProof/>
        </w:rPr>
        <w:t>20. u točki (361) podtočki (b) podpodtočka i. zamjenjuje se sljedećim:</w:t>
      </w:r>
    </w:p>
    <w:p w14:paraId="02C5EE67" w14:textId="5CB14D8D" w:rsidR="00AF6742" w:rsidRPr="00B1710F" w:rsidRDefault="002659E7" w:rsidP="00D86B43">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rPr>
          <w:noProof/>
        </w:rPr>
      </w:pPr>
      <w:r>
        <w:rPr>
          <w:noProof/>
        </w:rPr>
        <w:t>„i. javni program na razini Unije odnosno nacionalnoj ili regionalnoj razini za sprečavanje, kontrolu ili iskorjenjivanje dotičnih bolesti životinja, nametnika bilja ili invazivnih stranih vrsta;”;</w:t>
      </w:r>
    </w:p>
    <w:p w14:paraId="18F8F38B" w14:textId="19A636CF" w:rsidR="00504D95" w:rsidRPr="00B1710F" w:rsidRDefault="00504D95" w:rsidP="00B1710F">
      <w:pPr>
        <w:pStyle w:val="Considrant"/>
        <w:widowControl w:val="0"/>
        <w:numPr>
          <w:ilvl w:val="0"/>
          <w:numId w:val="0"/>
        </w:numPr>
        <w:pBdr>
          <w:top w:val="nil"/>
          <w:left w:val="nil"/>
          <w:bottom w:val="nil"/>
          <w:right w:val="nil"/>
          <w:between w:val="nil"/>
        </w:pBdr>
        <w:tabs>
          <w:tab w:val="clear" w:pos="2127"/>
        </w:tabs>
        <w:suppressAutoHyphens w:val="0"/>
        <w:spacing w:before="0" w:after="240"/>
        <w:ind w:left="567" w:right="-23" w:hanging="567"/>
        <w:rPr>
          <w:noProof/>
        </w:rPr>
      </w:pPr>
      <w:r>
        <w:rPr>
          <w:noProof/>
        </w:rPr>
        <w:t>21. (ne odnosi se na verziju na hrvatskom jeziku).</w:t>
      </w:r>
    </w:p>
    <w:p w14:paraId="631A3405" w14:textId="7EA7602A" w:rsidR="00EF48AA" w:rsidRPr="00B1710F" w:rsidRDefault="00EB306C" w:rsidP="00B1710F">
      <w:pPr>
        <w:pStyle w:val="Considrant"/>
        <w:widowControl w:val="0"/>
        <w:numPr>
          <w:ilvl w:val="0"/>
          <w:numId w:val="0"/>
        </w:numPr>
        <w:pBdr>
          <w:top w:val="nil"/>
          <w:left w:val="nil"/>
          <w:bottom w:val="nil"/>
          <w:right w:val="nil"/>
          <w:between w:val="nil"/>
        </w:pBdr>
        <w:tabs>
          <w:tab w:val="clear" w:pos="2127"/>
        </w:tabs>
        <w:suppressAutoHyphens w:val="0"/>
        <w:spacing w:after="240"/>
        <w:ind w:left="567" w:right="-23" w:hanging="567"/>
        <w:rPr>
          <w:noProof/>
        </w:rPr>
      </w:pPr>
      <w:r>
        <w:rPr>
          <w:noProof/>
        </w:rPr>
        <w:t>22. točka (399) zamjenjuje se sljedećim:</w:t>
      </w:r>
    </w:p>
    <w:p w14:paraId="4A1858C7" w14:textId="05DFCDFB" w:rsidR="00542BB2" w:rsidRPr="00B1710F" w:rsidRDefault="00EF48AA" w:rsidP="00D41713">
      <w:pPr>
        <w:pStyle w:val="Text1"/>
        <w:tabs>
          <w:tab w:val="left" w:pos="1418"/>
          <w:tab w:val="left" w:pos="1560"/>
          <w:tab w:val="left" w:pos="2977"/>
        </w:tabs>
        <w:spacing w:after="0"/>
        <w:ind w:left="567"/>
        <w:rPr>
          <w:noProof/>
        </w:rPr>
      </w:pPr>
      <w:r>
        <w:rPr>
          <w:noProof/>
        </w:rPr>
        <w:t>„(399) Potpora i sva druga plaćanja primljena kao nadoknada neizravnih troškova iz točke (393) podtočke (b), uključujući plaćanja na temelju drugih nacionalnih mjera ili mjera Unije ili na temelju polica osiguranja za štetu za koju se dodjeljuje potpora, ne smiju premašiti 100 % prihvatljivih troškova.”;</w:t>
      </w:r>
    </w:p>
    <w:p w14:paraId="4F4A5865" w14:textId="18915554" w:rsidR="00B445D3" w:rsidRPr="00B1710F" w:rsidRDefault="00B445D3" w:rsidP="00B1710F">
      <w:pPr>
        <w:pStyle w:val="Considrant"/>
        <w:widowControl w:val="0"/>
        <w:numPr>
          <w:ilvl w:val="0"/>
          <w:numId w:val="0"/>
        </w:numPr>
        <w:pBdr>
          <w:top w:val="nil"/>
          <w:left w:val="nil"/>
          <w:bottom w:val="nil"/>
          <w:right w:val="nil"/>
          <w:between w:val="nil"/>
        </w:pBdr>
        <w:tabs>
          <w:tab w:val="clear" w:pos="2127"/>
        </w:tabs>
        <w:suppressAutoHyphens w:val="0"/>
        <w:spacing w:after="240"/>
        <w:ind w:left="567" w:right="-23" w:hanging="567"/>
        <w:rPr>
          <w:noProof/>
        </w:rPr>
      </w:pPr>
      <w:r>
        <w:rPr>
          <w:noProof/>
        </w:rPr>
        <w:t>23. (ne odnosi se na verziju na hrvatskom jeziku).</w:t>
      </w:r>
    </w:p>
    <w:p w14:paraId="79767E0C" w14:textId="5B3AAC21" w:rsidR="00EF48AA" w:rsidRPr="00B1710F" w:rsidRDefault="00EB306C" w:rsidP="00B1710F">
      <w:pPr>
        <w:pStyle w:val="Considrant"/>
        <w:widowControl w:val="0"/>
        <w:numPr>
          <w:ilvl w:val="0"/>
          <w:numId w:val="0"/>
        </w:numPr>
        <w:pBdr>
          <w:top w:val="nil"/>
          <w:left w:val="nil"/>
          <w:bottom w:val="nil"/>
          <w:right w:val="nil"/>
          <w:between w:val="nil"/>
        </w:pBdr>
        <w:tabs>
          <w:tab w:val="clear" w:pos="2127"/>
        </w:tabs>
        <w:suppressAutoHyphens w:val="0"/>
        <w:spacing w:after="240"/>
        <w:ind w:left="567" w:right="-23" w:hanging="567"/>
        <w:rPr>
          <w:noProof/>
        </w:rPr>
      </w:pPr>
      <w:r>
        <w:rPr>
          <w:noProof/>
        </w:rPr>
        <w:t>24. točka (444) zamjenjuje se sljedećim:</w:t>
      </w:r>
    </w:p>
    <w:p w14:paraId="25995F8C" w14:textId="1BC4C42E" w:rsidR="00504D95" w:rsidRPr="00B1710F" w:rsidRDefault="00EF48AA" w:rsidP="00FE764F">
      <w:pPr>
        <w:pStyle w:val="Considrant"/>
        <w:widowControl w:val="0"/>
        <w:numPr>
          <w:ilvl w:val="0"/>
          <w:numId w:val="0"/>
        </w:numPr>
        <w:pBdr>
          <w:top w:val="nil"/>
          <w:left w:val="nil"/>
          <w:bottom w:val="nil"/>
          <w:right w:val="nil"/>
          <w:between w:val="nil"/>
        </w:pBdr>
        <w:tabs>
          <w:tab w:val="clear" w:pos="2127"/>
        </w:tabs>
        <w:suppressAutoHyphens w:val="0"/>
        <w:spacing w:after="240"/>
        <w:ind w:left="567" w:right="-23"/>
        <w:rPr>
          <w:noProof/>
        </w:rPr>
      </w:pPr>
      <w:r>
        <w:rPr>
          <w:noProof/>
        </w:rPr>
        <w:t>„(444) Primjenjuju se odredbe o prihvatljivim troškovima i intenzitetu potpore utvrđene u odjeljku 1.3.1.1., osim troškova iz točke (432).”</w:t>
      </w:r>
    </w:p>
    <w:p w14:paraId="0A39B67B" w14:textId="1A833EDA" w:rsidR="00EF48AA" w:rsidRPr="00B1710F" w:rsidRDefault="00504D95" w:rsidP="00B1710F">
      <w:pPr>
        <w:pStyle w:val="Considrant"/>
        <w:widowControl w:val="0"/>
        <w:numPr>
          <w:ilvl w:val="0"/>
          <w:numId w:val="0"/>
        </w:numPr>
        <w:pBdr>
          <w:top w:val="nil"/>
          <w:left w:val="nil"/>
          <w:bottom w:val="nil"/>
          <w:right w:val="nil"/>
          <w:between w:val="nil"/>
        </w:pBdr>
        <w:tabs>
          <w:tab w:val="clear" w:pos="2127"/>
        </w:tabs>
        <w:suppressAutoHyphens w:val="0"/>
        <w:spacing w:after="240"/>
        <w:ind w:left="567" w:right="-23" w:hanging="567"/>
        <w:rPr>
          <w:noProof/>
        </w:rPr>
      </w:pPr>
      <w:r>
        <w:rPr>
          <w:noProof/>
        </w:rPr>
        <w:t>25. (ne odnosi se na verziju na hrvatskom jeziku);</w:t>
      </w:r>
    </w:p>
    <w:p w14:paraId="0016A03C" w14:textId="380EE1AD" w:rsidR="003866DE" w:rsidRPr="00B1710F" w:rsidRDefault="003866DE" w:rsidP="00B1710F">
      <w:pPr>
        <w:pStyle w:val="Considrant"/>
        <w:widowControl w:val="0"/>
        <w:numPr>
          <w:ilvl w:val="0"/>
          <w:numId w:val="0"/>
        </w:numPr>
        <w:pBdr>
          <w:top w:val="nil"/>
          <w:left w:val="nil"/>
          <w:bottom w:val="nil"/>
          <w:right w:val="nil"/>
          <w:between w:val="nil"/>
        </w:pBdr>
        <w:tabs>
          <w:tab w:val="clear" w:pos="2127"/>
        </w:tabs>
        <w:suppressAutoHyphens w:val="0"/>
        <w:spacing w:after="240"/>
        <w:ind w:left="567" w:right="-23" w:hanging="567"/>
        <w:rPr>
          <w:noProof/>
        </w:rPr>
      </w:pPr>
      <w:r>
        <w:rPr>
          <w:noProof/>
        </w:rPr>
        <w:t>26. (ne odnosi se na verziju na hrvatskom jeziku).</w:t>
      </w:r>
    </w:p>
    <w:p w14:paraId="73B00A7C" w14:textId="1E3FC078" w:rsidR="003866DE" w:rsidRPr="00B1710F" w:rsidRDefault="003866DE" w:rsidP="00B1710F">
      <w:pPr>
        <w:pStyle w:val="Considrant"/>
        <w:widowControl w:val="0"/>
        <w:numPr>
          <w:ilvl w:val="0"/>
          <w:numId w:val="0"/>
        </w:numPr>
        <w:pBdr>
          <w:top w:val="nil"/>
          <w:left w:val="nil"/>
          <w:bottom w:val="nil"/>
          <w:right w:val="nil"/>
          <w:between w:val="nil"/>
        </w:pBdr>
        <w:tabs>
          <w:tab w:val="clear" w:pos="2127"/>
        </w:tabs>
        <w:suppressAutoHyphens w:val="0"/>
        <w:spacing w:after="240"/>
        <w:ind w:left="567" w:right="-23" w:hanging="567"/>
        <w:rPr>
          <w:noProof/>
          <w:color w:val="000000"/>
        </w:rPr>
      </w:pPr>
      <w:r>
        <w:rPr>
          <w:noProof/>
        </w:rPr>
        <w:t>27. (ne odnosi se na verziju na hrvatskom jeziku).</w:t>
      </w:r>
    </w:p>
    <w:sectPr w:rsidR="003866DE" w:rsidRPr="00B1710F" w:rsidSect="00AA6AF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345C9" w14:textId="77777777" w:rsidR="003569BA" w:rsidRDefault="003569BA">
      <w:pPr>
        <w:spacing w:line="240" w:lineRule="auto"/>
      </w:pPr>
      <w:r>
        <w:separator/>
      </w:r>
    </w:p>
  </w:endnote>
  <w:endnote w:type="continuationSeparator" w:id="0">
    <w:p w14:paraId="2DCF6071" w14:textId="77777777" w:rsidR="003569BA" w:rsidRDefault="003569BA">
      <w:pPr>
        <w:spacing w:line="240" w:lineRule="auto"/>
      </w:pPr>
      <w:r>
        <w:continuationSeparator/>
      </w:r>
    </w:p>
  </w:endnote>
  <w:endnote w:type="continuationNotice" w:id="1">
    <w:p w14:paraId="114F10EB" w14:textId="77777777" w:rsidR="003569BA" w:rsidRDefault="003569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D4607" w14:textId="538F6F83" w:rsidR="00E30374" w:rsidRPr="00E30374" w:rsidRDefault="00E30374" w:rsidP="00E30374">
    <w:pPr>
      <w:pStyle w:val="FooterCoverPage"/>
      <w:rPr>
        <w:rFonts w:ascii="Arial" w:hAnsi="Arial" w:cs="Arial"/>
        <w:b/>
        <w:sz w:val="48"/>
      </w:rPr>
    </w:pPr>
    <w:r w:rsidRPr="00E30374">
      <w:rPr>
        <w:rFonts w:ascii="Arial" w:hAnsi="Arial" w:cs="Arial"/>
        <w:b/>
        <w:sz w:val="48"/>
      </w:rPr>
      <w:t>HR</w:t>
    </w:r>
    <w:r w:rsidRPr="00E30374">
      <w:rPr>
        <w:rFonts w:ascii="Arial" w:hAnsi="Arial" w:cs="Arial"/>
        <w:b/>
        <w:sz w:val="48"/>
      </w:rPr>
      <w:tab/>
    </w:r>
    <w:r w:rsidRPr="00E30374">
      <w:rPr>
        <w:rFonts w:ascii="Arial" w:hAnsi="Arial" w:cs="Arial"/>
        <w:b/>
        <w:sz w:val="48"/>
      </w:rPr>
      <w:tab/>
    </w:r>
    <w:r w:rsidRPr="00E30374">
      <w:tab/>
    </w:r>
    <w:r w:rsidRPr="00E30374">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2CA22" w14:textId="4E6D1AB1" w:rsidR="00E30374" w:rsidRPr="00E30374" w:rsidRDefault="00E30374" w:rsidP="00E30374">
    <w:pPr>
      <w:pStyle w:val="FooterCoverPage"/>
      <w:rPr>
        <w:rFonts w:ascii="Arial" w:hAnsi="Arial" w:cs="Arial"/>
        <w:b/>
        <w:sz w:val="48"/>
      </w:rPr>
    </w:pPr>
    <w:r w:rsidRPr="00E30374">
      <w:rPr>
        <w:rFonts w:ascii="Arial" w:hAnsi="Arial" w:cs="Arial"/>
        <w:b/>
        <w:sz w:val="48"/>
      </w:rPr>
      <w:t>HR</w:t>
    </w:r>
    <w:r w:rsidRPr="00E30374">
      <w:rPr>
        <w:rFonts w:ascii="Arial" w:hAnsi="Arial" w:cs="Arial"/>
        <w:b/>
        <w:sz w:val="48"/>
      </w:rPr>
      <w:tab/>
    </w:r>
    <w:r w:rsidRPr="00E30374">
      <w:rPr>
        <w:rFonts w:ascii="Arial" w:hAnsi="Arial" w:cs="Arial"/>
        <w:b/>
        <w:sz w:val="48"/>
      </w:rPr>
      <w:tab/>
    </w:r>
    <w:r w:rsidRPr="00E30374">
      <w:tab/>
    </w:r>
    <w:r w:rsidRPr="00E30374">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5DF99" w14:textId="77777777" w:rsidR="00E30374" w:rsidRPr="00E30374" w:rsidRDefault="00E30374" w:rsidP="00E3037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0FEFD" w14:textId="77777777" w:rsidR="003569BA" w:rsidRDefault="003569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673939"/>
      <w:docPartObj>
        <w:docPartGallery w:val="Page Numbers (Bottom of Page)"/>
        <w:docPartUnique/>
      </w:docPartObj>
    </w:sdtPr>
    <w:sdtEndPr>
      <w:rPr>
        <w:noProof/>
        <w:sz w:val="18"/>
        <w:szCs w:val="18"/>
      </w:rPr>
    </w:sdtEndPr>
    <w:sdtContent>
      <w:p w14:paraId="4A4327E1" w14:textId="2E5EF066" w:rsidR="00AA6AF0" w:rsidRPr="00AA6AF0" w:rsidRDefault="00AA6AF0">
        <w:pPr>
          <w:pStyle w:val="Footer"/>
          <w:jc w:val="center"/>
          <w:rPr>
            <w:sz w:val="18"/>
            <w:szCs w:val="18"/>
          </w:rPr>
        </w:pPr>
        <w:r w:rsidRPr="00AA6AF0">
          <w:rPr>
            <w:sz w:val="18"/>
          </w:rPr>
          <w:fldChar w:fldCharType="begin"/>
        </w:r>
        <w:r w:rsidRPr="00AA6AF0">
          <w:rPr>
            <w:sz w:val="18"/>
          </w:rPr>
          <w:instrText xml:space="preserve"> PAGE   \* MERGEFORMAT </w:instrText>
        </w:r>
        <w:r w:rsidRPr="00AA6AF0">
          <w:rPr>
            <w:sz w:val="18"/>
          </w:rPr>
          <w:fldChar w:fldCharType="separate"/>
        </w:r>
        <w:r w:rsidR="00E30374">
          <w:rPr>
            <w:noProof/>
            <w:sz w:val="18"/>
          </w:rPr>
          <w:t>4</w:t>
        </w:r>
        <w:r w:rsidRPr="00AA6AF0">
          <w:rPr>
            <w:sz w:val="18"/>
          </w:rPr>
          <w:fldChar w:fldCharType="end"/>
        </w:r>
      </w:p>
    </w:sdtContent>
  </w:sdt>
  <w:p w14:paraId="31EBE8E5" w14:textId="77777777" w:rsidR="003569BA" w:rsidRDefault="003569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23914"/>
      <w:docPartObj>
        <w:docPartGallery w:val="Page Numbers (Bottom of Page)"/>
        <w:docPartUnique/>
      </w:docPartObj>
    </w:sdtPr>
    <w:sdtEndPr>
      <w:rPr>
        <w:noProof/>
        <w:sz w:val="18"/>
        <w:szCs w:val="18"/>
      </w:rPr>
    </w:sdtEndPr>
    <w:sdtContent>
      <w:p w14:paraId="559E23B7" w14:textId="05C81745" w:rsidR="00AA6AF0" w:rsidRPr="00AA6AF0" w:rsidRDefault="00AA6AF0">
        <w:pPr>
          <w:pStyle w:val="Footer"/>
          <w:jc w:val="center"/>
          <w:rPr>
            <w:sz w:val="18"/>
            <w:szCs w:val="18"/>
          </w:rPr>
        </w:pPr>
        <w:r w:rsidRPr="00AA6AF0">
          <w:rPr>
            <w:sz w:val="18"/>
          </w:rPr>
          <w:fldChar w:fldCharType="begin"/>
        </w:r>
        <w:r w:rsidRPr="00AA6AF0">
          <w:rPr>
            <w:sz w:val="18"/>
          </w:rPr>
          <w:instrText xml:space="preserve"> PAGE   \* MERGEFORMAT </w:instrText>
        </w:r>
        <w:r w:rsidRPr="00AA6AF0">
          <w:rPr>
            <w:sz w:val="18"/>
          </w:rPr>
          <w:fldChar w:fldCharType="separate"/>
        </w:r>
        <w:r w:rsidR="00E30374">
          <w:rPr>
            <w:noProof/>
            <w:sz w:val="18"/>
          </w:rPr>
          <w:t>1</w:t>
        </w:r>
        <w:r w:rsidRPr="00AA6AF0">
          <w:rPr>
            <w:sz w:val="18"/>
          </w:rPr>
          <w:fldChar w:fldCharType="end"/>
        </w:r>
      </w:p>
    </w:sdtContent>
  </w:sdt>
  <w:p w14:paraId="32C672C7" w14:textId="77777777" w:rsidR="003569BA" w:rsidRDefault="00356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DAAC3" w14:textId="77777777" w:rsidR="003569BA" w:rsidRDefault="003569BA">
      <w:pPr>
        <w:spacing w:line="240" w:lineRule="auto"/>
      </w:pPr>
      <w:r>
        <w:separator/>
      </w:r>
    </w:p>
  </w:footnote>
  <w:footnote w:type="continuationSeparator" w:id="0">
    <w:p w14:paraId="12C50F2B" w14:textId="77777777" w:rsidR="003569BA" w:rsidRDefault="003569BA">
      <w:pPr>
        <w:spacing w:line="240" w:lineRule="auto"/>
      </w:pPr>
      <w:r>
        <w:continuationSeparator/>
      </w:r>
    </w:p>
  </w:footnote>
  <w:footnote w:type="continuationNotice" w:id="1">
    <w:p w14:paraId="311296FB" w14:textId="77777777" w:rsidR="003569BA" w:rsidRDefault="003569BA">
      <w:pPr>
        <w:spacing w:line="240" w:lineRule="auto"/>
      </w:pPr>
    </w:p>
  </w:footnote>
  <w:footnote w:id="2">
    <w:p w14:paraId="1BAA455D" w14:textId="01B0FAC8" w:rsidR="003569BA" w:rsidRPr="00B1710F" w:rsidRDefault="003569BA" w:rsidP="00704B7C">
      <w:pPr>
        <w:widowControl w:val="0"/>
        <w:pBdr>
          <w:top w:val="nil"/>
          <w:left w:val="nil"/>
          <w:bottom w:val="nil"/>
          <w:right w:val="nil"/>
          <w:between w:val="nil"/>
        </w:pBdr>
        <w:ind w:right="-23" w:firstLine="23"/>
        <w:rPr>
          <w:rFonts w:ascii="Times New Roman" w:hAnsi="Times New Roman" w:cs="Times New Roman"/>
          <w:color w:val="000000" w:themeColor="text1"/>
          <w:sz w:val="24"/>
          <w:szCs w:val="24"/>
        </w:rPr>
      </w:pPr>
      <w:r>
        <w:rPr>
          <w:rFonts w:ascii="Times New Roman" w:hAnsi="Times New Roman" w:cs="Times New Roman"/>
          <w:color w:val="000000" w:themeColor="text1"/>
          <w:vertAlign w:val="superscript"/>
        </w:rPr>
        <w:footnoteRef/>
      </w:r>
      <w:r>
        <w:rPr>
          <w:rFonts w:ascii="Times New Roman" w:hAnsi="Times New Roman"/>
          <w:color w:val="000000" w:themeColor="text1"/>
          <w:sz w:val="24"/>
        </w:rPr>
        <w:t xml:space="preserve"> </w:t>
      </w:r>
      <w:r>
        <w:rPr>
          <w:rStyle w:val="Hyperlink"/>
          <w:rFonts w:ascii="Times New Roman" w:hAnsi="Times New Roman"/>
          <w:color w:val="000000" w:themeColor="text1"/>
          <w:u w:val="none"/>
        </w:rPr>
        <w:t>Komunikacija Komisije „Smjernice za državne potpore u sektorima poljoprivrede i šumarstva te u ruralnim područjima” (SL C 485, 21.12.2022., str.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85448" w14:textId="77777777" w:rsidR="00E30374" w:rsidRPr="00E30374" w:rsidRDefault="00E30374" w:rsidP="00E3037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7A165" w14:textId="77777777" w:rsidR="00E30374" w:rsidRPr="00E30374" w:rsidRDefault="00E30374" w:rsidP="00E3037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30798" w14:textId="77777777" w:rsidR="00E30374" w:rsidRPr="00E30374" w:rsidRDefault="00E30374" w:rsidP="00E3037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D5573" w14:textId="77777777" w:rsidR="003569BA" w:rsidRDefault="003569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C309" w14:textId="77777777" w:rsidR="003569BA" w:rsidRDefault="003569B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DBAF7" w14:textId="77777777" w:rsidR="003569BA" w:rsidRDefault="00356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0000000D"/>
    <w:name w:val="WW8Num13"/>
    <w:lvl w:ilvl="0">
      <w:start w:val="1"/>
      <w:numFmt w:val="decimal"/>
      <w:pStyle w:val="Considrant"/>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1" w15:restartNumberingAfterBreak="0">
    <w:nsid w:val="04514BBF"/>
    <w:multiLevelType w:val="hybridMultilevel"/>
    <w:tmpl w:val="3216DC52"/>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15:restartNumberingAfterBreak="0">
    <w:nsid w:val="04CD49C1"/>
    <w:multiLevelType w:val="hybridMultilevel"/>
    <w:tmpl w:val="BDF4AAF4"/>
    <w:lvl w:ilvl="0" w:tplc="6736E9A4">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BC419AC"/>
    <w:multiLevelType w:val="hybridMultilevel"/>
    <w:tmpl w:val="9ECC8A42"/>
    <w:lvl w:ilvl="0" w:tplc="6144DA9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0E242262"/>
    <w:multiLevelType w:val="hybridMultilevel"/>
    <w:tmpl w:val="B03C9546"/>
    <w:lvl w:ilvl="0" w:tplc="567C3CBC">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7401CAA"/>
    <w:multiLevelType w:val="hybridMultilevel"/>
    <w:tmpl w:val="A42E0E60"/>
    <w:lvl w:ilvl="0" w:tplc="0809000F">
      <w:start w:val="1"/>
      <w:numFmt w:val="decimal"/>
      <w:lvlText w:val="%1."/>
      <w:lvlJc w:val="left"/>
      <w:pPr>
        <w:ind w:left="696" w:hanging="360"/>
      </w:pPr>
    </w:lvl>
    <w:lvl w:ilvl="1" w:tplc="08090019" w:tentative="1">
      <w:start w:val="1"/>
      <w:numFmt w:val="lowerLetter"/>
      <w:lvlText w:val="%2."/>
      <w:lvlJc w:val="left"/>
      <w:pPr>
        <w:ind w:left="1416" w:hanging="360"/>
      </w:pPr>
    </w:lvl>
    <w:lvl w:ilvl="2" w:tplc="0809001B" w:tentative="1">
      <w:start w:val="1"/>
      <w:numFmt w:val="lowerRoman"/>
      <w:lvlText w:val="%3."/>
      <w:lvlJc w:val="right"/>
      <w:pPr>
        <w:ind w:left="2136" w:hanging="180"/>
      </w:pPr>
    </w:lvl>
    <w:lvl w:ilvl="3" w:tplc="0809000F" w:tentative="1">
      <w:start w:val="1"/>
      <w:numFmt w:val="decimal"/>
      <w:lvlText w:val="%4."/>
      <w:lvlJc w:val="left"/>
      <w:pPr>
        <w:ind w:left="2856" w:hanging="360"/>
      </w:pPr>
    </w:lvl>
    <w:lvl w:ilvl="4" w:tplc="08090019" w:tentative="1">
      <w:start w:val="1"/>
      <w:numFmt w:val="lowerLetter"/>
      <w:lvlText w:val="%5."/>
      <w:lvlJc w:val="left"/>
      <w:pPr>
        <w:ind w:left="3576" w:hanging="360"/>
      </w:pPr>
    </w:lvl>
    <w:lvl w:ilvl="5" w:tplc="0809001B" w:tentative="1">
      <w:start w:val="1"/>
      <w:numFmt w:val="lowerRoman"/>
      <w:lvlText w:val="%6."/>
      <w:lvlJc w:val="right"/>
      <w:pPr>
        <w:ind w:left="4296" w:hanging="180"/>
      </w:pPr>
    </w:lvl>
    <w:lvl w:ilvl="6" w:tplc="0809000F" w:tentative="1">
      <w:start w:val="1"/>
      <w:numFmt w:val="decimal"/>
      <w:lvlText w:val="%7."/>
      <w:lvlJc w:val="left"/>
      <w:pPr>
        <w:ind w:left="5016" w:hanging="360"/>
      </w:pPr>
    </w:lvl>
    <w:lvl w:ilvl="7" w:tplc="08090019" w:tentative="1">
      <w:start w:val="1"/>
      <w:numFmt w:val="lowerLetter"/>
      <w:lvlText w:val="%8."/>
      <w:lvlJc w:val="left"/>
      <w:pPr>
        <w:ind w:left="5736" w:hanging="360"/>
      </w:pPr>
    </w:lvl>
    <w:lvl w:ilvl="8" w:tplc="0809001B" w:tentative="1">
      <w:start w:val="1"/>
      <w:numFmt w:val="lowerRoman"/>
      <w:lvlText w:val="%9."/>
      <w:lvlJc w:val="right"/>
      <w:pPr>
        <w:ind w:left="6456" w:hanging="180"/>
      </w:pPr>
    </w:lvl>
  </w:abstractNum>
  <w:abstractNum w:abstractNumId="6" w15:restartNumberingAfterBreak="0">
    <w:nsid w:val="1B3C78B8"/>
    <w:multiLevelType w:val="multilevel"/>
    <w:tmpl w:val="300244A8"/>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985"/>
        </w:tabs>
        <w:ind w:left="1985" w:hanging="567"/>
      </w:pPr>
      <w:rPr>
        <w:rFonts w:hint="default"/>
        <w:i w:val="0"/>
        <w:iCs/>
      </w:rPr>
    </w:lvl>
    <w:lvl w:ilvl="4">
      <w:start w:val="1"/>
      <w:numFmt w:val="lowerRoman"/>
      <w:lvlText w:val="%5."/>
      <w:lvlJc w:val="right"/>
      <w:pPr>
        <w:tabs>
          <w:tab w:val="num" w:pos="1984"/>
        </w:tabs>
        <w:ind w:left="1984" w:hanging="567"/>
      </w:p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7" w15:restartNumberingAfterBreak="0">
    <w:nsid w:val="41145DC3"/>
    <w:multiLevelType w:val="multilevel"/>
    <w:tmpl w:val="F162C4CE"/>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lvlText w:val="(%3)"/>
      <w:lvlJc w:val="left"/>
      <w:pPr>
        <w:tabs>
          <w:tab w:val="num" w:pos="1417"/>
        </w:tabs>
        <w:ind w:left="1417" w:hanging="567"/>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right"/>
      <w:pPr>
        <w:tabs>
          <w:tab w:val="num" w:pos="1984"/>
        </w:tabs>
        <w:ind w:left="1984" w:hanging="567"/>
      </w:pPr>
    </w:lvl>
    <w:lvl w:ilvl="5">
      <w:start w:val="1"/>
      <w:numFmt w:val="lowerLetter"/>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8" w15:restartNumberingAfterBreak="0">
    <w:nsid w:val="428415E7"/>
    <w:multiLevelType w:val="multilevel"/>
    <w:tmpl w:val="30B61060"/>
    <w:lvl w:ilvl="0">
      <w:start w:val="1"/>
      <w:numFmt w:val="decimal"/>
      <w:pStyle w:val="ListNumber"/>
      <w:lvlText w:val="(%1)"/>
      <w:lvlJc w:val="left"/>
      <w:pPr>
        <w:tabs>
          <w:tab w:val="num" w:pos="709"/>
        </w:tabs>
        <w:ind w:left="709" w:hanging="709"/>
      </w:pPr>
      <w:rPr>
        <w:rFonts w:hint="default"/>
        <w:b w:val="0"/>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6600EF6"/>
    <w:multiLevelType w:val="hybridMultilevel"/>
    <w:tmpl w:val="CA48BA26"/>
    <w:lvl w:ilvl="0" w:tplc="080C0017">
      <w:start w:val="1"/>
      <w:numFmt w:val="lowerLetter"/>
      <w:lvlText w:val="%1)"/>
      <w:lvlJc w:val="left"/>
      <w:pPr>
        <w:ind w:left="696" w:hanging="360"/>
      </w:pPr>
      <w:rPr>
        <w:rFonts w:hint="default"/>
      </w:rPr>
    </w:lvl>
    <w:lvl w:ilvl="1" w:tplc="08090019" w:tentative="1">
      <w:start w:val="1"/>
      <w:numFmt w:val="lowerLetter"/>
      <w:lvlText w:val="%2."/>
      <w:lvlJc w:val="left"/>
      <w:pPr>
        <w:ind w:left="1416" w:hanging="360"/>
      </w:pPr>
    </w:lvl>
    <w:lvl w:ilvl="2" w:tplc="0809001B" w:tentative="1">
      <w:start w:val="1"/>
      <w:numFmt w:val="lowerRoman"/>
      <w:lvlText w:val="%3."/>
      <w:lvlJc w:val="right"/>
      <w:pPr>
        <w:ind w:left="2136" w:hanging="180"/>
      </w:pPr>
    </w:lvl>
    <w:lvl w:ilvl="3" w:tplc="0809000F" w:tentative="1">
      <w:start w:val="1"/>
      <w:numFmt w:val="decimal"/>
      <w:lvlText w:val="%4."/>
      <w:lvlJc w:val="left"/>
      <w:pPr>
        <w:ind w:left="2856" w:hanging="360"/>
      </w:pPr>
    </w:lvl>
    <w:lvl w:ilvl="4" w:tplc="08090019" w:tentative="1">
      <w:start w:val="1"/>
      <w:numFmt w:val="lowerLetter"/>
      <w:lvlText w:val="%5."/>
      <w:lvlJc w:val="left"/>
      <w:pPr>
        <w:ind w:left="3576" w:hanging="360"/>
      </w:pPr>
    </w:lvl>
    <w:lvl w:ilvl="5" w:tplc="0809001B" w:tentative="1">
      <w:start w:val="1"/>
      <w:numFmt w:val="lowerRoman"/>
      <w:lvlText w:val="%6."/>
      <w:lvlJc w:val="right"/>
      <w:pPr>
        <w:ind w:left="4296" w:hanging="180"/>
      </w:pPr>
    </w:lvl>
    <w:lvl w:ilvl="6" w:tplc="0809000F" w:tentative="1">
      <w:start w:val="1"/>
      <w:numFmt w:val="decimal"/>
      <w:lvlText w:val="%7."/>
      <w:lvlJc w:val="left"/>
      <w:pPr>
        <w:ind w:left="5016" w:hanging="360"/>
      </w:pPr>
    </w:lvl>
    <w:lvl w:ilvl="7" w:tplc="08090019" w:tentative="1">
      <w:start w:val="1"/>
      <w:numFmt w:val="lowerLetter"/>
      <w:lvlText w:val="%8."/>
      <w:lvlJc w:val="left"/>
      <w:pPr>
        <w:ind w:left="5736" w:hanging="360"/>
      </w:pPr>
    </w:lvl>
    <w:lvl w:ilvl="8" w:tplc="0809001B" w:tentative="1">
      <w:start w:val="1"/>
      <w:numFmt w:val="lowerRoman"/>
      <w:lvlText w:val="%9."/>
      <w:lvlJc w:val="right"/>
      <w:pPr>
        <w:ind w:left="6456" w:hanging="180"/>
      </w:pPr>
    </w:lvl>
  </w:abstractNum>
  <w:abstractNum w:abstractNumId="10" w15:restartNumberingAfterBreak="0">
    <w:nsid w:val="474A2D1C"/>
    <w:multiLevelType w:val="hybridMultilevel"/>
    <w:tmpl w:val="9F7829F2"/>
    <w:lvl w:ilvl="0" w:tplc="742647BA">
      <w:start w:val="1"/>
      <w:numFmt w:val="decimal"/>
      <w:lvlText w:val="%1."/>
      <w:lvlJc w:val="left"/>
      <w:pPr>
        <w:ind w:left="336" w:hanging="360"/>
      </w:pPr>
      <w:rPr>
        <w:rFonts w:hint="default"/>
      </w:rPr>
    </w:lvl>
    <w:lvl w:ilvl="1" w:tplc="08090019" w:tentative="1">
      <w:start w:val="1"/>
      <w:numFmt w:val="lowerLetter"/>
      <w:lvlText w:val="%2."/>
      <w:lvlJc w:val="left"/>
      <w:pPr>
        <w:ind w:left="1056" w:hanging="360"/>
      </w:pPr>
    </w:lvl>
    <w:lvl w:ilvl="2" w:tplc="0809001B" w:tentative="1">
      <w:start w:val="1"/>
      <w:numFmt w:val="lowerRoman"/>
      <w:lvlText w:val="%3."/>
      <w:lvlJc w:val="right"/>
      <w:pPr>
        <w:ind w:left="1776" w:hanging="180"/>
      </w:pPr>
    </w:lvl>
    <w:lvl w:ilvl="3" w:tplc="0809000F">
      <w:start w:val="1"/>
      <w:numFmt w:val="decimal"/>
      <w:lvlText w:val="%4."/>
      <w:lvlJc w:val="left"/>
      <w:pPr>
        <w:ind w:left="2496" w:hanging="360"/>
      </w:pPr>
    </w:lvl>
    <w:lvl w:ilvl="4" w:tplc="08090019" w:tentative="1">
      <w:start w:val="1"/>
      <w:numFmt w:val="lowerLetter"/>
      <w:lvlText w:val="%5."/>
      <w:lvlJc w:val="left"/>
      <w:pPr>
        <w:ind w:left="3216" w:hanging="360"/>
      </w:pPr>
    </w:lvl>
    <w:lvl w:ilvl="5" w:tplc="0809001B" w:tentative="1">
      <w:start w:val="1"/>
      <w:numFmt w:val="lowerRoman"/>
      <w:lvlText w:val="%6."/>
      <w:lvlJc w:val="right"/>
      <w:pPr>
        <w:ind w:left="3936" w:hanging="180"/>
      </w:pPr>
    </w:lvl>
    <w:lvl w:ilvl="6" w:tplc="0809000F" w:tentative="1">
      <w:start w:val="1"/>
      <w:numFmt w:val="decimal"/>
      <w:lvlText w:val="%7."/>
      <w:lvlJc w:val="left"/>
      <w:pPr>
        <w:ind w:left="4656" w:hanging="360"/>
      </w:pPr>
    </w:lvl>
    <w:lvl w:ilvl="7" w:tplc="08090019" w:tentative="1">
      <w:start w:val="1"/>
      <w:numFmt w:val="lowerLetter"/>
      <w:lvlText w:val="%8."/>
      <w:lvlJc w:val="left"/>
      <w:pPr>
        <w:ind w:left="5376" w:hanging="360"/>
      </w:pPr>
    </w:lvl>
    <w:lvl w:ilvl="8" w:tplc="0809001B" w:tentative="1">
      <w:start w:val="1"/>
      <w:numFmt w:val="lowerRoman"/>
      <w:lvlText w:val="%9."/>
      <w:lvlJc w:val="right"/>
      <w:pPr>
        <w:ind w:left="6096" w:hanging="180"/>
      </w:pPr>
    </w:lvl>
  </w:abstractNum>
  <w:abstractNum w:abstractNumId="11" w15:restartNumberingAfterBreak="0">
    <w:nsid w:val="527473C3"/>
    <w:multiLevelType w:val="hybridMultilevel"/>
    <w:tmpl w:val="1BC492E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533B44FC"/>
    <w:multiLevelType w:val="hybridMultilevel"/>
    <w:tmpl w:val="6970826E"/>
    <w:lvl w:ilvl="0" w:tplc="742647BA">
      <w:start w:val="1"/>
      <w:numFmt w:val="decimal"/>
      <w:lvlText w:val="%1."/>
      <w:lvlJc w:val="left"/>
      <w:pPr>
        <w:ind w:left="312" w:hanging="360"/>
      </w:pPr>
      <w:rPr>
        <w:rFonts w:hint="default"/>
      </w:rPr>
    </w:lvl>
    <w:lvl w:ilvl="1" w:tplc="08090019" w:tentative="1">
      <w:start w:val="1"/>
      <w:numFmt w:val="lowerLetter"/>
      <w:lvlText w:val="%2."/>
      <w:lvlJc w:val="left"/>
      <w:pPr>
        <w:ind w:left="1416" w:hanging="360"/>
      </w:pPr>
    </w:lvl>
    <w:lvl w:ilvl="2" w:tplc="0809001B" w:tentative="1">
      <w:start w:val="1"/>
      <w:numFmt w:val="lowerRoman"/>
      <w:lvlText w:val="%3."/>
      <w:lvlJc w:val="right"/>
      <w:pPr>
        <w:ind w:left="2136" w:hanging="180"/>
      </w:pPr>
    </w:lvl>
    <w:lvl w:ilvl="3" w:tplc="0809000F" w:tentative="1">
      <w:start w:val="1"/>
      <w:numFmt w:val="decimal"/>
      <w:lvlText w:val="%4."/>
      <w:lvlJc w:val="left"/>
      <w:pPr>
        <w:ind w:left="2856" w:hanging="360"/>
      </w:pPr>
    </w:lvl>
    <w:lvl w:ilvl="4" w:tplc="08090019" w:tentative="1">
      <w:start w:val="1"/>
      <w:numFmt w:val="lowerLetter"/>
      <w:lvlText w:val="%5."/>
      <w:lvlJc w:val="left"/>
      <w:pPr>
        <w:ind w:left="3576" w:hanging="360"/>
      </w:pPr>
    </w:lvl>
    <w:lvl w:ilvl="5" w:tplc="0809001B" w:tentative="1">
      <w:start w:val="1"/>
      <w:numFmt w:val="lowerRoman"/>
      <w:lvlText w:val="%6."/>
      <w:lvlJc w:val="right"/>
      <w:pPr>
        <w:ind w:left="4296" w:hanging="180"/>
      </w:pPr>
    </w:lvl>
    <w:lvl w:ilvl="6" w:tplc="0809000F" w:tentative="1">
      <w:start w:val="1"/>
      <w:numFmt w:val="decimal"/>
      <w:lvlText w:val="%7."/>
      <w:lvlJc w:val="left"/>
      <w:pPr>
        <w:ind w:left="5016" w:hanging="360"/>
      </w:pPr>
    </w:lvl>
    <w:lvl w:ilvl="7" w:tplc="08090019" w:tentative="1">
      <w:start w:val="1"/>
      <w:numFmt w:val="lowerLetter"/>
      <w:lvlText w:val="%8."/>
      <w:lvlJc w:val="left"/>
      <w:pPr>
        <w:ind w:left="5736" w:hanging="360"/>
      </w:pPr>
    </w:lvl>
    <w:lvl w:ilvl="8" w:tplc="0809001B" w:tentative="1">
      <w:start w:val="1"/>
      <w:numFmt w:val="lowerRoman"/>
      <w:lvlText w:val="%9."/>
      <w:lvlJc w:val="right"/>
      <w:pPr>
        <w:ind w:left="6456" w:hanging="180"/>
      </w:pPr>
    </w:lvl>
  </w:abstractNum>
  <w:abstractNum w:abstractNumId="13" w15:restartNumberingAfterBreak="0">
    <w:nsid w:val="53826182"/>
    <w:multiLevelType w:val="hybridMultilevel"/>
    <w:tmpl w:val="4F249A7C"/>
    <w:lvl w:ilvl="0" w:tplc="3C4ED2BA">
      <w:start w:val="1"/>
      <w:numFmt w:val="decimal"/>
      <w:lvlText w:val="(%1)"/>
      <w:lvlJc w:val="left"/>
      <w:pPr>
        <w:ind w:left="2752" w:hanging="909"/>
      </w:pPr>
      <w:rPr>
        <w:rFonts w:hint="default"/>
      </w:rPr>
    </w:lvl>
    <w:lvl w:ilvl="1" w:tplc="567C3CBC">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C76C35"/>
    <w:multiLevelType w:val="multilevel"/>
    <w:tmpl w:val="07BC0F40"/>
    <w:lvl w:ilvl="0">
      <w:start w:val="7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546B62"/>
    <w:multiLevelType w:val="multilevel"/>
    <w:tmpl w:val="B7A6D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C96D36"/>
    <w:multiLevelType w:val="multilevel"/>
    <w:tmpl w:val="BE983CE4"/>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1559"/>
        </w:tabs>
        <w:ind w:left="1559"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7CBE4812"/>
    <w:multiLevelType w:val="singleLevel"/>
    <w:tmpl w:val="23C821E4"/>
    <w:name w:val="Considérant"/>
    <w:lvl w:ilvl="0">
      <w:start w:val="1"/>
      <w:numFmt w:val="decimal"/>
      <w:lvlRestart w:val="0"/>
      <w:lvlText w:val="(%1)"/>
      <w:lvlJc w:val="left"/>
      <w:pPr>
        <w:tabs>
          <w:tab w:val="num" w:pos="709"/>
        </w:tabs>
        <w:ind w:left="709" w:hanging="709"/>
      </w:pPr>
    </w:lvl>
  </w:abstractNum>
  <w:num w:numId="1">
    <w:abstractNumId w:val="5"/>
  </w:num>
  <w:num w:numId="2">
    <w:abstractNumId w:val="10"/>
  </w:num>
  <w:num w:numId="3">
    <w:abstractNumId w:val="12"/>
  </w:num>
  <w:num w:numId="4">
    <w:abstractNumId w:val="0"/>
  </w:num>
  <w:num w:numId="5">
    <w:abstractNumId w:val="9"/>
  </w:num>
  <w:num w:numId="6">
    <w:abstractNumId w:val="1"/>
  </w:num>
  <w:num w:numId="7">
    <w:abstractNumId w:val="17"/>
  </w:num>
  <w:num w:numId="8">
    <w:abstractNumId w:val="0"/>
  </w:num>
  <w:num w:numId="9">
    <w:abstractNumId w:val="14"/>
  </w:num>
  <w:num w:numId="10">
    <w:abstractNumId w:val="0"/>
  </w:num>
  <w:num w:numId="11">
    <w:abstractNumId w:val="15"/>
  </w:num>
  <w:num w:numId="12">
    <w:abstractNumId w:val="0"/>
  </w:num>
  <w:num w:numId="13">
    <w:abstractNumId w:val="0"/>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4"/>
  </w:num>
  <w:num w:numId="19">
    <w:abstractNumId w:val="13"/>
  </w:num>
  <w:num w:numId="20">
    <w:abstractNumId w:val="0"/>
  </w:num>
  <w:num w:numId="21">
    <w:abstractNumId w:val="3"/>
  </w:num>
  <w:num w:numId="22">
    <w:abstractNumId w:val="2"/>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VERPAGE_EXISTS" w:val="True"/>
    <w:docVar w:name="LW_COVERPAGE_GUID" w:val="53D2FBF1-F45B-400F-8D13-A3DAA5A35F31"/>
    <w:docVar w:name="LW_COVERPAGE_TYPE" w:val="1"/>
    <w:docVar w:name="LW_CROSSREFERENCE" w:val="&lt;UNUSED&gt;"/>
    <w:docVar w:name="LW_DocType" w:val="NORMAL"/>
    <w:docVar w:name="LW_EMISSION" w:val="4.3.2024."/>
    <w:docVar w:name="LW_EMISSION_ISODATE" w:val="2024-03-04"/>
    <w:docVar w:name="LW_EMISSION_LOCATION" w:val="BRX"/>
    <w:docVar w:name="LW_EMISSION_PREFIX" w:val="Bruxelles, "/>
    <w:docVar w:name="LW_EMISSION_SUFFIX" w:val="&lt;EMPTY&gt;"/>
    <w:docVar w:name="LW_ID_DOCTYPE_NONLW" w:val="CP-040"/>
    <w:docVar w:name="LW_INTERETEEE" w:val="(Text with EEA relevance)"/>
    <w:docVar w:name="LW_INTERETEEE.CP" w:val="&lt;UNUSED&gt;"/>
    <w:docVar w:name="LW_LANGUE" w:val="HR"/>
    <w:docVar w:name="LW_LANGUESFAISANTFOI.CP" w:val="&lt;UNUSED&gt;"/>
    <w:docVar w:name="LW_LEVEL_OF_SENSITIVITY" w:val="Standard treatment"/>
    <w:docVar w:name="LW_NOM.INST" w:val="EUROPSKA KOMISIJA"/>
    <w:docVar w:name="LW_NOM.INST_JOINTDOC" w:val="&lt;EMPTY&gt;"/>
    <w:docVar w:name="LW_PART_NBR" w:val="1"/>
    <w:docVar w:name="LW_PART_NBR_TOTAL" w:val="1"/>
    <w:docVar w:name="LW_REF.INST.NEW" w:val="C"/>
    <w:docVar w:name="LW_REF.INST.NEW_ADOPTED" w:val="final"/>
    <w:docVar w:name="LW_REF.INST.NEW_TEXT" w:val="(2024) 130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o ispravku Smjernica za dr\u382?avne potpore u sektorima poljoprivrede i \u353?umarstva te u ruralnim podru\u269?jima_x000d__x000d__x000d_&lt;/FMT&gt;_x000b_&lt;FMT:Bold&gt;_x000d__x000d__x000d__x000d__x000d_&lt;/FMT&gt;_x000b_"/>
    <w:docVar w:name="LW_TYPE.DOC.CP" w:val="Komunikacija Komisije_x000b_"/>
    <w:docVar w:name="LwApiVersions" w:val="LW4CoDe 1.24.4.0; LW 9.0, Build 20240125"/>
  </w:docVars>
  <w:rsids>
    <w:rsidRoot w:val="00EE03EE"/>
    <w:rsid w:val="000169E9"/>
    <w:rsid w:val="000528B0"/>
    <w:rsid w:val="00052C51"/>
    <w:rsid w:val="000820E3"/>
    <w:rsid w:val="00092609"/>
    <w:rsid w:val="000A0B5A"/>
    <w:rsid w:val="000C1D53"/>
    <w:rsid w:val="000C2568"/>
    <w:rsid w:val="000C3177"/>
    <w:rsid w:val="00100CD2"/>
    <w:rsid w:val="001022EE"/>
    <w:rsid w:val="001033CA"/>
    <w:rsid w:val="001572E1"/>
    <w:rsid w:val="00164268"/>
    <w:rsid w:val="00166721"/>
    <w:rsid w:val="00167C8F"/>
    <w:rsid w:val="00192D0B"/>
    <w:rsid w:val="001A18E2"/>
    <w:rsid w:val="001D4CA8"/>
    <w:rsid w:val="001E0AD3"/>
    <w:rsid w:val="001E206E"/>
    <w:rsid w:val="001F462D"/>
    <w:rsid w:val="00207681"/>
    <w:rsid w:val="00224F01"/>
    <w:rsid w:val="00231EBB"/>
    <w:rsid w:val="002352D2"/>
    <w:rsid w:val="002436C1"/>
    <w:rsid w:val="00257667"/>
    <w:rsid w:val="00261AFD"/>
    <w:rsid w:val="002626D9"/>
    <w:rsid w:val="002659E7"/>
    <w:rsid w:val="00266203"/>
    <w:rsid w:val="00276318"/>
    <w:rsid w:val="00283EC5"/>
    <w:rsid w:val="002C3049"/>
    <w:rsid w:val="002C3EFA"/>
    <w:rsid w:val="00312384"/>
    <w:rsid w:val="00325A7D"/>
    <w:rsid w:val="00334AE3"/>
    <w:rsid w:val="00337951"/>
    <w:rsid w:val="00352AE9"/>
    <w:rsid w:val="003569BA"/>
    <w:rsid w:val="00356B97"/>
    <w:rsid w:val="003605A6"/>
    <w:rsid w:val="00361EEB"/>
    <w:rsid w:val="00366223"/>
    <w:rsid w:val="00370FFB"/>
    <w:rsid w:val="003866DE"/>
    <w:rsid w:val="00392B20"/>
    <w:rsid w:val="00394112"/>
    <w:rsid w:val="003975D5"/>
    <w:rsid w:val="003C7F34"/>
    <w:rsid w:val="003F65AC"/>
    <w:rsid w:val="004139B7"/>
    <w:rsid w:val="00415922"/>
    <w:rsid w:val="00421E42"/>
    <w:rsid w:val="00425CA7"/>
    <w:rsid w:val="00435C81"/>
    <w:rsid w:val="0044072E"/>
    <w:rsid w:val="00442768"/>
    <w:rsid w:val="00446965"/>
    <w:rsid w:val="004506B5"/>
    <w:rsid w:val="00451406"/>
    <w:rsid w:val="0046094E"/>
    <w:rsid w:val="00461E78"/>
    <w:rsid w:val="00484A75"/>
    <w:rsid w:val="004A08ED"/>
    <w:rsid w:val="00504D95"/>
    <w:rsid w:val="00513155"/>
    <w:rsid w:val="0053163C"/>
    <w:rsid w:val="00532A27"/>
    <w:rsid w:val="00542BB2"/>
    <w:rsid w:val="00552697"/>
    <w:rsid w:val="00556E8F"/>
    <w:rsid w:val="00556EAE"/>
    <w:rsid w:val="0056136C"/>
    <w:rsid w:val="00584BAA"/>
    <w:rsid w:val="00591B8E"/>
    <w:rsid w:val="005A72D4"/>
    <w:rsid w:val="005C0479"/>
    <w:rsid w:val="005D6D7B"/>
    <w:rsid w:val="00605A15"/>
    <w:rsid w:val="00607CA1"/>
    <w:rsid w:val="0061576A"/>
    <w:rsid w:val="00640934"/>
    <w:rsid w:val="006478DC"/>
    <w:rsid w:val="00651879"/>
    <w:rsid w:val="006925FD"/>
    <w:rsid w:val="006A557C"/>
    <w:rsid w:val="006B086F"/>
    <w:rsid w:val="006B4EE3"/>
    <w:rsid w:val="006F4AE1"/>
    <w:rsid w:val="006F7E0E"/>
    <w:rsid w:val="007036D2"/>
    <w:rsid w:val="00704B7C"/>
    <w:rsid w:val="00714179"/>
    <w:rsid w:val="00734BEB"/>
    <w:rsid w:val="00760DCF"/>
    <w:rsid w:val="00770A6E"/>
    <w:rsid w:val="00773505"/>
    <w:rsid w:val="00784A3D"/>
    <w:rsid w:val="00793F80"/>
    <w:rsid w:val="007B1E9F"/>
    <w:rsid w:val="007C6E30"/>
    <w:rsid w:val="007D0A2E"/>
    <w:rsid w:val="007E115B"/>
    <w:rsid w:val="007E43C9"/>
    <w:rsid w:val="007F1629"/>
    <w:rsid w:val="00834937"/>
    <w:rsid w:val="00835B64"/>
    <w:rsid w:val="00837359"/>
    <w:rsid w:val="00851EAF"/>
    <w:rsid w:val="0086573A"/>
    <w:rsid w:val="00880403"/>
    <w:rsid w:val="00886F54"/>
    <w:rsid w:val="008B045E"/>
    <w:rsid w:val="008B0CE2"/>
    <w:rsid w:val="008D6289"/>
    <w:rsid w:val="0090414A"/>
    <w:rsid w:val="00925E40"/>
    <w:rsid w:val="00926AED"/>
    <w:rsid w:val="00927363"/>
    <w:rsid w:val="00930B35"/>
    <w:rsid w:val="00953369"/>
    <w:rsid w:val="00954B8F"/>
    <w:rsid w:val="00957F3B"/>
    <w:rsid w:val="009610A0"/>
    <w:rsid w:val="00963687"/>
    <w:rsid w:val="009815A1"/>
    <w:rsid w:val="00982BBD"/>
    <w:rsid w:val="0098794E"/>
    <w:rsid w:val="009A284B"/>
    <w:rsid w:val="009A321D"/>
    <w:rsid w:val="009B45D4"/>
    <w:rsid w:val="009E5C67"/>
    <w:rsid w:val="00A13B8E"/>
    <w:rsid w:val="00A21662"/>
    <w:rsid w:val="00A27BA5"/>
    <w:rsid w:val="00A536D1"/>
    <w:rsid w:val="00A554CE"/>
    <w:rsid w:val="00A573E1"/>
    <w:rsid w:val="00A8657E"/>
    <w:rsid w:val="00AA030B"/>
    <w:rsid w:val="00AA4160"/>
    <w:rsid w:val="00AA6AF0"/>
    <w:rsid w:val="00AE1BDF"/>
    <w:rsid w:val="00AF6742"/>
    <w:rsid w:val="00B1710F"/>
    <w:rsid w:val="00B4342D"/>
    <w:rsid w:val="00B445D3"/>
    <w:rsid w:val="00B652E4"/>
    <w:rsid w:val="00B7747A"/>
    <w:rsid w:val="00B775CC"/>
    <w:rsid w:val="00B901E1"/>
    <w:rsid w:val="00B9677F"/>
    <w:rsid w:val="00B97A12"/>
    <w:rsid w:val="00BD2329"/>
    <w:rsid w:val="00BD3CF1"/>
    <w:rsid w:val="00C00C63"/>
    <w:rsid w:val="00C019E1"/>
    <w:rsid w:val="00C11267"/>
    <w:rsid w:val="00C356D0"/>
    <w:rsid w:val="00C370EF"/>
    <w:rsid w:val="00C47D9E"/>
    <w:rsid w:val="00C52794"/>
    <w:rsid w:val="00C92F8F"/>
    <w:rsid w:val="00C95C5E"/>
    <w:rsid w:val="00CB3A7B"/>
    <w:rsid w:val="00CD41EF"/>
    <w:rsid w:val="00D106BB"/>
    <w:rsid w:val="00D114E7"/>
    <w:rsid w:val="00D30CF4"/>
    <w:rsid w:val="00D31383"/>
    <w:rsid w:val="00D41713"/>
    <w:rsid w:val="00D65809"/>
    <w:rsid w:val="00D824DE"/>
    <w:rsid w:val="00D84865"/>
    <w:rsid w:val="00D86B43"/>
    <w:rsid w:val="00DA5F85"/>
    <w:rsid w:val="00DB3912"/>
    <w:rsid w:val="00DB41D9"/>
    <w:rsid w:val="00DC265C"/>
    <w:rsid w:val="00DC334D"/>
    <w:rsid w:val="00DD0DA6"/>
    <w:rsid w:val="00DD62BE"/>
    <w:rsid w:val="00DF509B"/>
    <w:rsid w:val="00DF5DFB"/>
    <w:rsid w:val="00E219FD"/>
    <w:rsid w:val="00E231D5"/>
    <w:rsid w:val="00E269ED"/>
    <w:rsid w:val="00E30374"/>
    <w:rsid w:val="00E32573"/>
    <w:rsid w:val="00E5345F"/>
    <w:rsid w:val="00E56E6E"/>
    <w:rsid w:val="00E90229"/>
    <w:rsid w:val="00E93E30"/>
    <w:rsid w:val="00EB306C"/>
    <w:rsid w:val="00EB43AE"/>
    <w:rsid w:val="00EB5989"/>
    <w:rsid w:val="00EC1A17"/>
    <w:rsid w:val="00EE03EE"/>
    <w:rsid w:val="00EF48AA"/>
    <w:rsid w:val="00F01514"/>
    <w:rsid w:val="00F138B1"/>
    <w:rsid w:val="00F13DDF"/>
    <w:rsid w:val="00F2005D"/>
    <w:rsid w:val="00F40750"/>
    <w:rsid w:val="00F439A1"/>
    <w:rsid w:val="00F530E3"/>
    <w:rsid w:val="00F624E9"/>
    <w:rsid w:val="00F64130"/>
    <w:rsid w:val="00F75E49"/>
    <w:rsid w:val="00F8151C"/>
    <w:rsid w:val="00F81691"/>
    <w:rsid w:val="00F94C64"/>
    <w:rsid w:val="00FA487C"/>
    <w:rsid w:val="00FC44F6"/>
    <w:rsid w:val="00FC57AC"/>
    <w:rsid w:val="00FD70B2"/>
    <w:rsid w:val="00FD7362"/>
    <w:rsid w:val="00FE7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53EF9B7"/>
  <w15:docId w15:val="{75BE56A0-24C7-4AAE-A11D-4B6A0ABC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hr-HR"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pPr>
      <w:ind w:left="720"/>
      <w:contextualSpacing/>
    </w:pPr>
  </w:style>
  <w:style w:type="paragraph" w:styleId="FootnoteText">
    <w:name w:val="footnote text"/>
    <w:aliases w:val="Footnote text"/>
    <w:basedOn w:val="Normal"/>
    <w:link w:val="FootnoteTextChar"/>
    <w:unhideWhenUsed/>
    <w:qFormat/>
    <w:pPr>
      <w:spacing w:line="240" w:lineRule="auto"/>
    </w:pPr>
    <w:rPr>
      <w:sz w:val="20"/>
      <w:szCs w:val="20"/>
    </w:rPr>
  </w:style>
  <w:style w:type="character" w:customStyle="1" w:styleId="FootnoteTextChar">
    <w:name w:val="Footnote Text Char"/>
    <w:aliases w:val="Footnote text Char"/>
    <w:basedOn w:val="DefaultParagraphFont"/>
    <w:link w:val="FootnoteText"/>
    <w:rPr>
      <w:sz w:val="20"/>
      <w:szCs w:val="20"/>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basedOn w:val="DefaultParagraphFont"/>
    <w:uiPriority w:val="99"/>
    <w:unhideWhenUsed/>
    <w:rPr>
      <w:vertAlign w:val="superscript"/>
    </w:rPr>
  </w:style>
  <w:style w:type="paragraph" w:customStyle="1" w:styleId="Considrant">
    <w:name w:val="Considérant"/>
    <w:basedOn w:val="Normal"/>
    <w:pPr>
      <w:numPr>
        <w:numId w:val="4"/>
      </w:numPr>
      <w:tabs>
        <w:tab w:val="left" w:pos="2127"/>
      </w:tabs>
      <w:suppressAutoHyphens/>
      <w:spacing w:before="120" w:after="120" w:line="240" w:lineRule="auto"/>
      <w:jc w:val="both"/>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line="240" w:lineRule="auto"/>
      <w:jc w:val="both"/>
    </w:pPr>
    <w:rPr>
      <w:rFonts w:ascii="Times New Roman" w:eastAsiaTheme="minorHAnsi" w:hAnsi="Times New Roman" w:cs="Times New Roman"/>
      <w:sz w:val="24"/>
      <w:lang w:eastAsia="en-US"/>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widowControl w:val="0"/>
      <w:pBdr>
        <w:top w:val="nil"/>
        <w:left w:val="nil"/>
        <w:bottom w:val="nil"/>
        <w:right w:val="nil"/>
        <w:between w:val="nil"/>
      </w:pBdr>
      <w:tabs>
        <w:tab w:val="center" w:pos="4535"/>
        <w:tab w:val="right" w:pos="9071"/>
        <w:tab w:val="right" w:pos="9921"/>
      </w:tabs>
      <w:spacing w:before="36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widowControl w:val="0"/>
      <w:pBdr>
        <w:top w:val="single" w:sz="4" w:space="1" w:color="auto"/>
        <w:left w:val="single" w:sz="4" w:space="4" w:color="auto"/>
        <w:bottom w:val="single" w:sz="4" w:space="1" w:color="auto"/>
        <w:right w:val="single" w:sz="4" w:space="4" w:color="auto"/>
        <w:between w:val="nil"/>
      </w:pBdr>
      <w:spacing w:before="36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widowControl w:val="0"/>
      <w:pBdr>
        <w:top w:val="nil"/>
        <w:left w:val="nil"/>
        <w:bottom w:val="nil"/>
        <w:right w:val="nil"/>
        <w:between w:val="nil"/>
      </w:pBd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widowControl w:val="0"/>
      <w:pBdr>
        <w:top w:val="single" w:sz="4" w:space="1" w:color="auto"/>
        <w:left w:val="single" w:sz="4" w:space="4" w:color="auto"/>
        <w:bottom w:val="single" w:sz="4" w:space="1" w:color="auto"/>
        <w:right w:val="single" w:sz="4" w:space="4" w:color="auto"/>
        <w:between w:val="nil"/>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widowControl w:val="0"/>
      <w:pBdr>
        <w:top w:val="nil"/>
        <w:left w:val="nil"/>
        <w:bottom w:val="nil"/>
        <w:right w:val="nil"/>
        <w:between w:val="nil"/>
      </w:pBd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line="240" w:lineRule="auto"/>
    </w:pPr>
  </w:style>
  <w:style w:type="character" w:customStyle="1" w:styleId="Bodytext2">
    <w:name w:val="Body text (2)_"/>
    <w:basedOn w:val="DefaultParagraphFont"/>
    <w:link w:val="Bodytext21"/>
    <w:rPr>
      <w:sz w:val="20"/>
      <w:szCs w:val="20"/>
      <w:shd w:val="clear" w:color="auto" w:fill="FFFFFF"/>
    </w:rPr>
  </w:style>
  <w:style w:type="character" w:customStyle="1" w:styleId="Bodytext20">
    <w:name w:val="Body text (2)"/>
    <w:basedOn w:val="Bodytext2"/>
    <w:rPr>
      <w:rFonts w:ascii="Times New Roman" w:eastAsia="Times New Roman" w:hAnsi="Times New Roman" w:cs="Times New Roman"/>
      <w:color w:val="444444"/>
      <w:spacing w:val="0"/>
      <w:w w:val="100"/>
      <w:position w:val="0"/>
      <w:sz w:val="20"/>
      <w:szCs w:val="20"/>
      <w:shd w:val="clear" w:color="auto" w:fill="FFFFFF"/>
      <w:lang w:val="hr-HR" w:eastAsia="en-US" w:bidi="en-US"/>
    </w:rPr>
  </w:style>
  <w:style w:type="paragraph" w:customStyle="1" w:styleId="Bodytext21">
    <w:name w:val="Body text (2)1"/>
    <w:basedOn w:val="Normal"/>
    <w:link w:val="Bodytext2"/>
    <w:pPr>
      <w:widowControl w:val="0"/>
      <w:shd w:val="clear" w:color="auto" w:fill="FFFFFF"/>
      <w:spacing w:after="560" w:line="222" w:lineRule="exact"/>
      <w:ind w:hanging="1400"/>
    </w:pPr>
    <w:rPr>
      <w:sz w:val="20"/>
      <w:szCs w:val="20"/>
    </w:rPr>
  </w:style>
  <w:style w:type="character" w:customStyle="1" w:styleId="Bodytext27">
    <w:name w:val="Body text (2)7"/>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hr-HR" w:eastAsia="en-US" w:bidi="en-US"/>
    </w:rPr>
  </w:style>
  <w:style w:type="character" w:customStyle="1" w:styleId="Bodytext25">
    <w:name w:val="Body text (2)5"/>
    <w:basedOn w:val="Bodytext2"/>
    <w:rPr>
      <w:rFonts w:ascii="Times New Roman" w:eastAsia="Times New Roman" w:hAnsi="Times New Roman" w:cs="Times New Roman"/>
      <w:b w:val="0"/>
      <w:bCs w:val="0"/>
      <w:i w:val="0"/>
      <w:iCs w:val="0"/>
      <w:smallCaps w:val="0"/>
      <w:strike w:val="0"/>
      <w:color w:val="EBEBEB"/>
      <w:spacing w:val="0"/>
      <w:w w:val="100"/>
      <w:position w:val="0"/>
      <w:sz w:val="20"/>
      <w:szCs w:val="20"/>
      <w:u w:val="none"/>
      <w:shd w:val="clear" w:color="auto" w:fill="FFFFFF"/>
      <w:lang w:val="hr-HR" w:eastAsia="en-US" w:bidi="en-US"/>
    </w:rPr>
  </w:style>
  <w:style w:type="paragraph" w:customStyle="1" w:styleId="title-bold">
    <w:name w:val="title-bold"/>
    <w:basedOn w:val="Normal"/>
    <w:rsid w:val="0051315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513155"/>
    <w:rPr>
      <w:i/>
      <w:iCs/>
    </w:rPr>
  </w:style>
  <w:style w:type="character" w:styleId="Hyperlink">
    <w:name w:val="Hyperlink"/>
    <w:basedOn w:val="DefaultParagraphFont"/>
    <w:uiPriority w:val="99"/>
    <w:semiHidden/>
    <w:unhideWhenUsed/>
    <w:rsid w:val="00513155"/>
    <w:rPr>
      <w:color w:val="0000FF"/>
      <w:u w:val="single"/>
    </w:rPr>
  </w:style>
  <w:style w:type="paragraph" w:styleId="ListNumber">
    <w:name w:val="List Number"/>
    <w:basedOn w:val="Normal"/>
    <w:link w:val="ListNumberChar"/>
    <w:uiPriority w:val="1"/>
    <w:rsid w:val="00513155"/>
    <w:pPr>
      <w:numPr>
        <w:numId w:val="14"/>
      </w:numPr>
      <w:spacing w:after="240" w:line="240" w:lineRule="auto"/>
      <w:jc w:val="both"/>
    </w:pPr>
    <w:rPr>
      <w:rFonts w:ascii="Times New Roman" w:eastAsia="Times New Roman" w:hAnsi="Times New Roman" w:cs="Times New Roman"/>
      <w:sz w:val="24"/>
      <w:szCs w:val="20"/>
      <w:lang w:eastAsia="en-US"/>
    </w:rPr>
  </w:style>
  <w:style w:type="paragraph" w:customStyle="1" w:styleId="ListNumberLevel2">
    <w:name w:val="List Number (Level 2)"/>
    <w:basedOn w:val="Normal"/>
    <w:uiPriority w:val="1"/>
    <w:rsid w:val="00513155"/>
    <w:pPr>
      <w:numPr>
        <w:ilvl w:val="1"/>
        <w:numId w:val="14"/>
      </w:numPr>
      <w:spacing w:after="240" w:line="240" w:lineRule="auto"/>
      <w:jc w:val="both"/>
    </w:pPr>
    <w:rPr>
      <w:rFonts w:ascii="Times New Roman" w:eastAsia="Times New Roman" w:hAnsi="Times New Roman" w:cs="Times New Roman"/>
      <w:sz w:val="24"/>
      <w:szCs w:val="20"/>
      <w:lang w:eastAsia="en-US"/>
    </w:rPr>
  </w:style>
  <w:style w:type="paragraph" w:customStyle="1" w:styleId="ListNumberLevel3">
    <w:name w:val="List Number (Level 3)"/>
    <w:basedOn w:val="Normal"/>
    <w:uiPriority w:val="1"/>
    <w:rsid w:val="00513155"/>
    <w:pPr>
      <w:numPr>
        <w:ilvl w:val="2"/>
        <w:numId w:val="14"/>
      </w:numPr>
      <w:spacing w:after="240" w:line="240" w:lineRule="auto"/>
      <w:jc w:val="both"/>
    </w:pPr>
    <w:rPr>
      <w:rFonts w:ascii="Times New Roman" w:eastAsia="Times New Roman" w:hAnsi="Times New Roman" w:cs="Times New Roman"/>
      <w:sz w:val="24"/>
      <w:szCs w:val="20"/>
      <w:lang w:eastAsia="en-US"/>
    </w:rPr>
  </w:style>
  <w:style w:type="paragraph" w:customStyle="1" w:styleId="ListNumberLevel4">
    <w:name w:val="List Number (Level 4)"/>
    <w:basedOn w:val="Normal"/>
    <w:uiPriority w:val="1"/>
    <w:rsid w:val="00513155"/>
    <w:pPr>
      <w:numPr>
        <w:ilvl w:val="3"/>
        <w:numId w:val="14"/>
      </w:numPr>
      <w:spacing w:after="240" w:line="240" w:lineRule="auto"/>
      <w:jc w:val="both"/>
    </w:pPr>
    <w:rPr>
      <w:rFonts w:ascii="Times New Roman" w:eastAsia="Times New Roman" w:hAnsi="Times New Roman" w:cs="Times New Roman"/>
      <w:sz w:val="24"/>
      <w:szCs w:val="20"/>
      <w:lang w:eastAsia="en-US"/>
    </w:rPr>
  </w:style>
  <w:style w:type="character" w:customStyle="1" w:styleId="ListNumberChar">
    <w:name w:val="List Number Char"/>
    <w:link w:val="ListNumber"/>
    <w:uiPriority w:val="1"/>
    <w:rsid w:val="00513155"/>
    <w:rPr>
      <w:rFonts w:ascii="Times New Roman" w:eastAsia="Times New Roman" w:hAnsi="Times New Roman" w:cs="Times New Roman"/>
      <w:sz w:val="24"/>
      <w:szCs w:val="20"/>
      <w:lang w:eastAsia="en-US"/>
    </w:rPr>
  </w:style>
  <w:style w:type="character" w:customStyle="1" w:styleId="oj-stroke">
    <w:name w:val="oj-stroke"/>
    <w:basedOn w:val="DefaultParagraphFont"/>
    <w:rsid w:val="00AF6742"/>
  </w:style>
  <w:style w:type="paragraph" w:customStyle="1" w:styleId="Text1">
    <w:name w:val="Text 1"/>
    <w:basedOn w:val="Normal"/>
    <w:qFormat/>
    <w:rsid w:val="00AF6742"/>
    <w:pPr>
      <w:spacing w:after="240" w:line="240" w:lineRule="auto"/>
      <w:ind w:left="482"/>
      <w:jc w:val="both"/>
    </w:pPr>
    <w:rPr>
      <w:rFonts w:ascii="Times New Roman" w:eastAsia="Times New Roman" w:hAnsi="Times New Roman" w:cs="Times New Roman"/>
      <w:sz w:val="24"/>
      <w:szCs w:val="20"/>
      <w:lang w:eastAsia="fr-BE"/>
    </w:rPr>
  </w:style>
  <w:style w:type="paragraph" w:customStyle="1" w:styleId="oj-normal">
    <w:name w:val="oj-normal"/>
    <w:basedOn w:val="Normal"/>
    <w:rsid w:val="00AF674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Point0">
    <w:name w:val="Point 0"/>
    <w:basedOn w:val="Normal"/>
    <w:uiPriority w:val="99"/>
    <w:rsid w:val="001033CA"/>
    <w:pPr>
      <w:spacing w:line="240" w:lineRule="auto"/>
      <w:ind w:left="851" w:hanging="851"/>
    </w:pPr>
    <w:rPr>
      <w:rFonts w:ascii="Times New Roman" w:eastAsiaTheme="minorHAnsi" w:hAnsi="Times New Roman" w:cs="Times New Roman"/>
      <w:sz w:val="24"/>
      <w:szCs w:val="24"/>
      <w:lang w:eastAsia="en-US"/>
    </w:rPr>
  </w:style>
  <w:style w:type="paragraph" w:customStyle="1" w:styleId="Point1">
    <w:name w:val="Point 1"/>
    <w:basedOn w:val="Normal"/>
    <w:uiPriority w:val="99"/>
    <w:rsid w:val="001033CA"/>
    <w:pPr>
      <w:spacing w:line="240" w:lineRule="auto"/>
      <w:ind w:left="1418" w:hanging="567"/>
    </w:pPr>
    <w:rPr>
      <w:rFonts w:ascii="Times New Roman" w:eastAsiaTheme="minorHAnsi" w:hAnsi="Times New Roman" w:cs="Times New Roman"/>
      <w:sz w:val="24"/>
      <w:szCs w:val="24"/>
      <w:lang w:eastAsia="en-US"/>
    </w:rPr>
  </w:style>
  <w:style w:type="paragraph" w:customStyle="1" w:styleId="Point1letter">
    <w:name w:val="Point 1 (letter)"/>
    <w:basedOn w:val="Normal"/>
    <w:rsid w:val="001033CA"/>
    <w:pPr>
      <w:tabs>
        <w:tab w:val="num" w:pos="1701"/>
        <w:tab w:val="num" w:pos="1843"/>
      </w:tabs>
      <w:spacing w:line="240" w:lineRule="auto"/>
      <w:ind w:left="1701" w:hanging="567"/>
    </w:pPr>
    <w:rPr>
      <w:rFonts w:ascii="Times New Roman" w:eastAsiaTheme="minorHAnsi" w:hAnsi="Times New Roman" w:cs="Times New Roman"/>
      <w:sz w:val="24"/>
      <w:lang w:eastAsia="en-US"/>
    </w:rPr>
  </w:style>
  <w:style w:type="character" w:styleId="FollowedHyperlink">
    <w:name w:val="FollowedHyperlink"/>
    <w:basedOn w:val="DefaultParagraphFont"/>
    <w:uiPriority w:val="99"/>
    <w:semiHidden/>
    <w:unhideWhenUsed/>
    <w:rsid w:val="000528B0"/>
    <w:rPr>
      <w:color w:val="800080" w:themeColor="followedHyperlink"/>
      <w:u w:val="single"/>
    </w:rPr>
  </w:style>
  <w:style w:type="paragraph" w:customStyle="1" w:styleId="Point0number">
    <w:name w:val="Point 0 (number)"/>
    <w:basedOn w:val="Normal"/>
    <w:rsid w:val="00714179"/>
    <w:pPr>
      <w:tabs>
        <w:tab w:val="num" w:pos="850"/>
      </w:tabs>
      <w:spacing w:before="120" w:after="120" w:line="240" w:lineRule="auto"/>
      <w:ind w:left="850" w:hanging="850"/>
      <w:jc w:val="both"/>
    </w:pPr>
    <w:rPr>
      <w:rFonts w:ascii="Times New Roman" w:eastAsiaTheme="minorHAnsi" w:hAnsi="Times New Roman" w:cs="Times New Roman"/>
      <w:sz w:val="24"/>
      <w:lang w:eastAsia="en-US"/>
    </w:rPr>
  </w:style>
  <w:style w:type="paragraph" w:customStyle="1" w:styleId="Point1number">
    <w:name w:val="Point 1 (number)"/>
    <w:basedOn w:val="Normal"/>
    <w:rsid w:val="00714179"/>
    <w:pPr>
      <w:tabs>
        <w:tab w:val="num" w:pos="1417"/>
      </w:tabs>
      <w:spacing w:before="120" w:after="120" w:line="240" w:lineRule="auto"/>
      <w:ind w:left="1417" w:hanging="567"/>
      <w:jc w:val="both"/>
    </w:pPr>
    <w:rPr>
      <w:rFonts w:ascii="Times New Roman" w:eastAsiaTheme="minorHAnsi" w:hAnsi="Times New Roman" w:cs="Times New Roman"/>
      <w:sz w:val="24"/>
      <w:lang w:eastAsia="en-US"/>
    </w:rPr>
  </w:style>
  <w:style w:type="paragraph" w:customStyle="1" w:styleId="Point2number">
    <w:name w:val="Point 2 (number)"/>
    <w:basedOn w:val="Normal"/>
    <w:rsid w:val="00714179"/>
    <w:pPr>
      <w:tabs>
        <w:tab w:val="num" w:pos="1984"/>
      </w:tabs>
      <w:spacing w:before="120" w:after="120" w:line="240" w:lineRule="auto"/>
      <w:ind w:left="1984" w:hanging="567"/>
      <w:jc w:val="both"/>
    </w:pPr>
    <w:rPr>
      <w:rFonts w:ascii="Times New Roman" w:eastAsiaTheme="minorHAnsi" w:hAnsi="Times New Roman" w:cs="Times New Roman"/>
      <w:sz w:val="24"/>
      <w:lang w:eastAsia="en-US"/>
    </w:rPr>
  </w:style>
  <w:style w:type="paragraph" w:customStyle="1" w:styleId="Point3number">
    <w:name w:val="Point 3 (number)"/>
    <w:basedOn w:val="Normal"/>
    <w:rsid w:val="00714179"/>
    <w:pPr>
      <w:tabs>
        <w:tab w:val="num" w:pos="2551"/>
      </w:tabs>
      <w:spacing w:before="120" w:after="120" w:line="240" w:lineRule="auto"/>
      <w:ind w:left="2551" w:hanging="567"/>
      <w:jc w:val="both"/>
    </w:pPr>
    <w:rPr>
      <w:rFonts w:ascii="Times New Roman" w:eastAsiaTheme="minorHAnsi" w:hAnsi="Times New Roman" w:cs="Times New Roman"/>
      <w:sz w:val="24"/>
      <w:lang w:eastAsia="en-US"/>
    </w:rPr>
  </w:style>
  <w:style w:type="paragraph" w:customStyle="1" w:styleId="Point0letter">
    <w:name w:val="Point 0 (letter)"/>
    <w:basedOn w:val="Normal"/>
    <w:rsid w:val="00714179"/>
    <w:pPr>
      <w:tabs>
        <w:tab w:val="num" w:pos="850"/>
      </w:tabs>
      <w:spacing w:before="120" w:after="120" w:line="240" w:lineRule="auto"/>
      <w:ind w:left="850" w:hanging="850"/>
      <w:jc w:val="both"/>
    </w:pPr>
    <w:rPr>
      <w:rFonts w:ascii="Times New Roman" w:eastAsiaTheme="minorHAnsi" w:hAnsi="Times New Roman" w:cs="Times New Roman"/>
      <w:sz w:val="24"/>
      <w:lang w:eastAsia="en-US"/>
    </w:rPr>
  </w:style>
  <w:style w:type="paragraph" w:customStyle="1" w:styleId="Point2letter">
    <w:name w:val="Point 2 (letter)"/>
    <w:basedOn w:val="Normal"/>
    <w:rsid w:val="00714179"/>
    <w:pPr>
      <w:tabs>
        <w:tab w:val="num" w:pos="1984"/>
      </w:tabs>
      <w:spacing w:before="120" w:after="120" w:line="240" w:lineRule="auto"/>
      <w:ind w:left="1984" w:hanging="567"/>
      <w:jc w:val="both"/>
    </w:pPr>
    <w:rPr>
      <w:rFonts w:ascii="Times New Roman" w:eastAsiaTheme="minorHAnsi" w:hAnsi="Times New Roman" w:cs="Times New Roman"/>
      <w:sz w:val="24"/>
      <w:lang w:eastAsia="en-US"/>
    </w:rPr>
  </w:style>
  <w:style w:type="paragraph" w:customStyle="1" w:styleId="Point3letter">
    <w:name w:val="Point 3 (letter)"/>
    <w:basedOn w:val="Normal"/>
    <w:rsid w:val="00714179"/>
    <w:pPr>
      <w:tabs>
        <w:tab w:val="num" w:pos="2551"/>
      </w:tabs>
      <w:spacing w:before="120" w:after="120" w:line="240" w:lineRule="auto"/>
      <w:ind w:left="2551" w:hanging="567"/>
      <w:jc w:val="both"/>
    </w:pPr>
    <w:rPr>
      <w:rFonts w:ascii="Times New Roman" w:eastAsiaTheme="minorHAnsi" w:hAnsi="Times New Roman" w:cs="Times New Roman"/>
      <w:sz w:val="24"/>
      <w:lang w:eastAsia="en-US"/>
    </w:rPr>
  </w:style>
  <w:style w:type="paragraph" w:customStyle="1" w:styleId="Point4letter">
    <w:name w:val="Point 4 (letter)"/>
    <w:basedOn w:val="Normal"/>
    <w:rsid w:val="00714179"/>
    <w:pPr>
      <w:tabs>
        <w:tab w:val="num" w:pos="3118"/>
      </w:tabs>
      <w:spacing w:before="120" w:after="120" w:line="240" w:lineRule="auto"/>
      <w:ind w:left="3118" w:hanging="567"/>
      <w:jc w:val="both"/>
    </w:pPr>
    <w:rPr>
      <w:rFonts w:ascii="Times New Roman" w:eastAsiaTheme="minorHAnsi"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46">
      <w:bodyDiv w:val="1"/>
      <w:marLeft w:val="0"/>
      <w:marRight w:val="0"/>
      <w:marTop w:val="0"/>
      <w:marBottom w:val="0"/>
      <w:divBdr>
        <w:top w:val="none" w:sz="0" w:space="0" w:color="auto"/>
        <w:left w:val="none" w:sz="0" w:space="0" w:color="auto"/>
        <w:bottom w:val="none" w:sz="0" w:space="0" w:color="auto"/>
        <w:right w:val="none" w:sz="0" w:space="0" w:color="auto"/>
      </w:divBdr>
    </w:div>
    <w:div w:id="551161554">
      <w:bodyDiv w:val="1"/>
      <w:marLeft w:val="0"/>
      <w:marRight w:val="0"/>
      <w:marTop w:val="0"/>
      <w:marBottom w:val="0"/>
      <w:divBdr>
        <w:top w:val="none" w:sz="0" w:space="0" w:color="auto"/>
        <w:left w:val="none" w:sz="0" w:space="0" w:color="auto"/>
        <w:bottom w:val="none" w:sz="0" w:space="0" w:color="auto"/>
        <w:right w:val="none" w:sz="0" w:space="0" w:color="auto"/>
      </w:divBdr>
    </w:div>
    <w:div w:id="763378766">
      <w:bodyDiv w:val="1"/>
      <w:marLeft w:val="0"/>
      <w:marRight w:val="0"/>
      <w:marTop w:val="0"/>
      <w:marBottom w:val="0"/>
      <w:divBdr>
        <w:top w:val="none" w:sz="0" w:space="0" w:color="auto"/>
        <w:left w:val="none" w:sz="0" w:space="0" w:color="auto"/>
        <w:bottom w:val="none" w:sz="0" w:space="0" w:color="auto"/>
        <w:right w:val="none" w:sz="0" w:space="0" w:color="auto"/>
      </w:divBdr>
    </w:div>
    <w:div w:id="1345934882">
      <w:bodyDiv w:val="1"/>
      <w:marLeft w:val="0"/>
      <w:marRight w:val="0"/>
      <w:marTop w:val="0"/>
      <w:marBottom w:val="0"/>
      <w:divBdr>
        <w:top w:val="none" w:sz="0" w:space="0" w:color="auto"/>
        <w:left w:val="none" w:sz="0" w:space="0" w:color="auto"/>
        <w:bottom w:val="none" w:sz="0" w:space="0" w:color="auto"/>
        <w:right w:val="none" w:sz="0" w:space="0" w:color="auto"/>
      </w:divBdr>
    </w:div>
    <w:div w:id="1567107294">
      <w:bodyDiv w:val="1"/>
      <w:marLeft w:val="0"/>
      <w:marRight w:val="0"/>
      <w:marTop w:val="0"/>
      <w:marBottom w:val="0"/>
      <w:divBdr>
        <w:top w:val="none" w:sz="0" w:space="0" w:color="auto"/>
        <w:left w:val="none" w:sz="0" w:space="0" w:color="auto"/>
        <w:bottom w:val="none" w:sz="0" w:space="0" w:color="auto"/>
        <w:right w:val="none" w:sz="0" w:space="0" w:color="auto"/>
      </w:divBdr>
    </w:div>
    <w:div w:id="2037802202">
      <w:bodyDiv w:val="1"/>
      <w:marLeft w:val="0"/>
      <w:marRight w:val="0"/>
      <w:marTop w:val="0"/>
      <w:marBottom w:val="0"/>
      <w:divBdr>
        <w:top w:val="none" w:sz="0" w:space="0" w:color="auto"/>
        <w:left w:val="none" w:sz="0" w:space="0" w:color="auto"/>
        <w:bottom w:val="none" w:sz="0" w:space="0" w:color="auto"/>
        <w:right w:val="none" w:sz="0" w:space="0" w:color="auto"/>
      </w:divBdr>
    </w:div>
    <w:div w:id="2047024932">
      <w:bodyDiv w:val="1"/>
      <w:marLeft w:val="0"/>
      <w:marRight w:val="0"/>
      <w:marTop w:val="0"/>
      <w:marBottom w:val="0"/>
      <w:divBdr>
        <w:top w:val="none" w:sz="0" w:space="0" w:color="auto"/>
        <w:left w:val="none" w:sz="0" w:space="0" w:color="auto"/>
        <w:bottom w:val="none" w:sz="0" w:space="0" w:color="auto"/>
        <w:right w:val="none" w:sz="0" w:space="0" w:color="auto"/>
      </w:divBdr>
    </w:div>
    <w:div w:id="2115588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7D997E3-0581-4895-A288-C7592EC4C7EB}">
  <ds:schemaRefs>
    <ds:schemaRef ds:uri="http://schemas.microsoft.com/sharepoint/v3/contenttype/forms"/>
  </ds:schemaRefs>
</ds:datastoreItem>
</file>

<file path=customXml/itemProps2.xml><?xml version="1.0" encoding="utf-8"?>
<ds:datastoreItem xmlns:ds="http://schemas.openxmlformats.org/officeDocument/2006/customXml" ds:itemID="{F6CAF5F7-17A4-48E2-9250-4DC9A71CC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617807-243F-4454-94DE-33FA2C4D5F3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79e0a09-5deb-44c7-a703-b352a170740d"/>
    <ds:schemaRef ds:uri="http://schemas.microsoft.com/office/2006/documentManagement/types"/>
    <ds:schemaRef ds:uri="39d607b5-3019-4139-86e9-2e131faaffa8"/>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490A858-486F-42B2-BF66-2FC173060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5</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13</cp:revision>
  <cp:lastPrinted>2023-10-12T08:21:00Z</cp:lastPrinted>
  <dcterms:created xsi:type="dcterms:W3CDTF">2024-01-18T20:31:00Z</dcterms:created>
  <dcterms:modified xsi:type="dcterms:W3CDTF">2024-02-26T08:08:00Z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CP-040</vt:lpwstr>
  </property>
  <property fmtid="{D5CDD505-2E9C-101B-9397-08002B2CF9AE}" pid="7" name="Last edited using">
    <vt:lpwstr>LW 9.0, Build 20230317</vt:lpwstr>
  </property>
  <property fmtid="{D5CDD505-2E9C-101B-9397-08002B2CF9AE}" pid="8" name="Created using">
    <vt:lpwstr>LW 7.0, Build 20190717</vt:lpwstr>
  </property>
  <property fmtid="{D5CDD505-2E9C-101B-9397-08002B2CF9AE}" pid="9" name="MSIP_Label_6bd9ddd1-4d20-43f6-abfa-fc3c07406f94_Enabled">
    <vt:lpwstr>true</vt:lpwstr>
  </property>
  <property fmtid="{D5CDD505-2E9C-101B-9397-08002B2CF9AE}" pid="10" name="MSIP_Label_6bd9ddd1-4d20-43f6-abfa-fc3c07406f94_SetDate">
    <vt:lpwstr>2023-06-23T09:46:42Z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0ac509b5-38bd-4c0c-a435-934a1a827b7c</vt:lpwstr>
  </property>
  <property fmtid="{D5CDD505-2E9C-101B-9397-08002B2CF9AE}" pid="15" name="MSIP_Label_6bd9ddd1-4d20-43f6-abfa-fc3c07406f94_ContentBits">
    <vt:lpwstr>0</vt:lpwstr>
  </property>
  <property fmtid="{D5CDD505-2E9C-101B-9397-08002B2CF9AE}" pid="16" name="ContentTypeId">
    <vt:lpwstr>0x010100258AA79CEB83498886A3A086811232500033285A78CCB54F4DA2ECE5FA2B2AF218</vt:lpwstr>
  </property>
  <property name="OP_sanitized" fmtid="{D5CDD505-2E9C-101B-9397-08002B2CF9AE}" pid="17">
    <vt:lpwstr>True</vt:lpwstr>
  </property>
</Properties>
</file>