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0C2902" w14:textId="1010F4ED" w:rsidR="0029533F" w:rsidRPr="00E52F63" w:rsidRDefault="004A7DC2" w:rsidP="004A7DC2">
      <w:pPr>
        <w:pStyle w:val="Pagedecouverture"/>
        <w:rPr>
          <w:noProof/>
        </w:rPr>
      </w:pPr>
      <w:r>
        <w:rPr>
          <w:noProof/>
        </w:rPr>
        <w:pict w14:anchorId="41C1E6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alt="5A3D7A68-3198-40EC-B57C-50362536B211" style="width:455.25pt;height:355.5pt">
            <v:imagedata r:id="rId8" o:title=""/>
          </v:shape>
        </w:pict>
      </w:r>
    </w:p>
    <w:p w14:paraId="468DFBE8" w14:textId="77777777" w:rsidR="00A054E7" w:rsidRPr="00E52F63" w:rsidRDefault="00A054E7">
      <w:pPr>
        <w:rPr>
          <w:noProof/>
        </w:rPr>
        <w:sectPr w:rsidR="00A054E7" w:rsidRPr="00E52F63" w:rsidSect="004A7DC2">
          <w:headerReference w:type="even" r:id="rId9"/>
          <w:headerReference w:type="default" r:id="rId10"/>
          <w:footerReference w:type="even" r:id="rId11"/>
          <w:footerReference w:type="default" r:id="rId12"/>
          <w:headerReference w:type="first" r:id="rId13"/>
          <w:footerReference w:type="first" r:id="rId14"/>
          <w:pgSz w:w="11907" w:h="16839"/>
          <w:pgMar w:top="1134" w:right="1417" w:bottom="1134" w:left="1417" w:header="709" w:footer="709" w:gutter="0"/>
          <w:pgNumType w:start="0"/>
          <w:cols w:space="720"/>
          <w:docGrid w:linePitch="360"/>
        </w:sectPr>
      </w:pPr>
    </w:p>
    <w:p w14:paraId="5005C660" w14:textId="6124D7E3" w:rsidR="00A054E7" w:rsidRPr="00E52F63" w:rsidRDefault="00E52F63" w:rsidP="00E52F63">
      <w:pPr>
        <w:pStyle w:val="Typedudocument"/>
        <w:rPr>
          <w:noProof/>
        </w:rPr>
      </w:pPr>
      <w:bookmarkStart w:id="0" w:name="_GoBack"/>
      <w:bookmarkEnd w:id="0"/>
      <w:r w:rsidRPr="00E52F63">
        <w:rPr>
          <w:noProof/>
        </w:rPr>
        <w:lastRenderedPageBreak/>
        <w:t>PROVEDBENA UREDBA KOMISIJE (EU) …/...</w:t>
      </w:r>
    </w:p>
    <w:p w14:paraId="08983B94" w14:textId="231E1148" w:rsidR="00A054E7" w:rsidRPr="00E52F63" w:rsidRDefault="00F122DC" w:rsidP="00E52F63">
      <w:pPr>
        <w:pStyle w:val="Datedadoption"/>
        <w:rPr>
          <w:noProof/>
        </w:rPr>
      </w:pPr>
      <w:r>
        <w:t>оd 17.10.2023.</w:t>
      </w:r>
    </w:p>
    <w:p w14:paraId="5332430E" w14:textId="290EC476" w:rsidR="00A054E7" w:rsidRPr="00E52F63" w:rsidRDefault="00E52F63" w:rsidP="00E52F63">
      <w:pPr>
        <w:pStyle w:val="Titreobjet"/>
        <w:rPr>
          <w:noProof/>
        </w:rPr>
      </w:pPr>
      <w:r w:rsidRPr="00E52F63">
        <w:rPr>
          <w:noProof/>
        </w:rPr>
        <w:t>o izmjeni i ispravku Provedbene uredbe (EU) 2022/1475 u pogledu opisa strukture proračunskih oznaka te vrste i formata podataka koje treba dostaviti za praćenje i evaluaciju strateških planova u okviru ZPP-a</w:t>
      </w:r>
    </w:p>
    <w:p w14:paraId="4A4342F5" w14:textId="77777777" w:rsidR="00A054E7" w:rsidRPr="00E52F63" w:rsidRDefault="0022699E" w:rsidP="00F96495">
      <w:pPr>
        <w:pStyle w:val="Institutionquiagit"/>
        <w:rPr>
          <w:noProof/>
        </w:rPr>
      </w:pPr>
      <w:r w:rsidRPr="00E52F63">
        <w:rPr>
          <w:noProof/>
        </w:rPr>
        <w:t>EUROPSKA KOMISIJA,</w:t>
      </w:r>
    </w:p>
    <w:p w14:paraId="116C86CD" w14:textId="77777777" w:rsidR="00A054E7" w:rsidRPr="00E52F63" w:rsidRDefault="00A054E7" w:rsidP="004E1EF9">
      <w:pPr>
        <w:rPr>
          <w:noProof/>
        </w:rPr>
      </w:pPr>
      <w:r w:rsidRPr="00E52F63">
        <w:rPr>
          <w:noProof/>
        </w:rPr>
        <w:t>uzimajući u obzir Ugovor o funkcioniranju Europske unije,</w:t>
      </w:r>
    </w:p>
    <w:p w14:paraId="0B7C1921" w14:textId="77777777" w:rsidR="00A054E7" w:rsidRPr="00E52F63" w:rsidRDefault="00A054E7" w:rsidP="004E1EF9">
      <w:pPr>
        <w:rPr>
          <w:noProof/>
        </w:rPr>
      </w:pPr>
      <w:r w:rsidRPr="00E52F63">
        <w:rPr>
          <w:noProof/>
        </w:rPr>
        <w:t>uzimajući u obzir Uredbu (EU) 2021/2115 Europskog parlamenta i Vijeća od 2. prosinca 2021. o utvrđivanju pravila o potpori za strateške planove koje izrađuju države članice u okviru zajedničke poljoprivredne politike (strateški planovi u okviru ZPP-a) i koji se financiraju iz Europskog fonda za jamstva u poljoprivredi (EFJP) i Europskog poljoprivrednog fonda za ruralni razvoj (EPFRR) te o stavljanju izvan snage uredbi (EU) br. 1305/2013 i (EU) br. 1307/2013</w:t>
      </w:r>
      <w:r w:rsidRPr="00E52F63">
        <w:rPr>
          <w:rStyle w:val="FootnoteReference"/>
          <w:noProof/>
        </w:rPr>
        <w:footnoteReference w:id="1"/>
      </w:r>
      <w:r w:rsidRPr="00E52F63">
        <w:rPr>
          <w:noProof/>
        </w:rPr>
        <w:t>, a posebno njezin članak 133. i članak 134. stavak 4.,</w:t>
      </w:r>
    </w:p>
    <w:p w14:paraId="32DCB25F" w14:textId="77777777" w:rsidR="00A054E7" w:rsidRPr="00E52F63" w:rsidRDefault="00A054E7" w:rsidP="004E1EF9">
      <w:pPr>
        <w:rPr>
          <w:noProof/>
        </w:rPr>
      </w:pPr>
      <w:r w:rsidRPr="00E52F63">
        <w:rPr>
          <w:noProof/>
        </w:rPr>
        <w:t>budući da:</w:t>
      </w:r>
    </w:p>
    <w:p w14:paraId="57B3C6DE" w14:textId="6BD62E73" w:rsidR="00A054E7" w:rsidRPr="00E52F63" w:rsidRDefault="00E562C0" w:rsidP="00E562C0">
      <w:pPr>
        <w:pStyle w:val="ManualConsidrant"/>
        <w:rPr>
          <w:noProof/>
        </w:rPr>
      </w:pPr>
      <w:r w:rsidRPr="00E562C0">
        <w:t>(1)</w:t>
      </w:r>
      <w:r w:rsidRPr="00E562C0">
        <w:tab/>
      </w:r>
      <w:r w:rsidR="006B2062" w:rsidRPr="00E52F63">
        <w:rPr>
          <w:noProof/>
        </w:rPr>
        <w:t>Pokazalo se da broj znamenki dodijeljenih proračunskoj oznaci u točki 2. podtočki (a) podpodtočki iv. Priloga IV. Provedbenoj uredbi Komisije (EU) 2022/1475</w:t>
      </w:r>
      <w:r w:rsidR="006B2062" w:rsidRPr="00E52F63">
        <w:rPr>
          <w:rStyle w:val="FootnoteReference"/>
          <w:noProof/>
        </w:rPr>
        <w:footnoteReference w:id="2"/>
      </w:r>
      <w:r w:rsidR="006B2062" w:rsidRPr="00E52F63">
        <w:rPr>
          <w:noProof/>
        </w:rPr>
        <w:t xml:space="preserve"> nije dovoljan da bi se zadovoljile potrebe država članica u pogledu broja jediničnih iznosa za intervencije u okviru ZPP-a. Stoga bi radi jasnoće i koherentnosti iz opisa proračunske oznake o kojoj se izvješćuje trebalo ukloniti upućivanje na broj znamenki te bi točku 2. podtočku (a) podpodtočku iv. tog priloga trebalo na odgovarajući način izmijeniti.</w:t>
      </w:r>
    </w:p>
    <w:p w14:paraId="26E1231E" w14:textId="7A67668D" w:rsidR="00A054E7" w:rsidRPr="00E52F63" w:rsidRDefault="00E562C0" w:rsidP="00E562C0">
      <w:pPr>
        <w:pStyle w:val="ManualConsidrant"/>
        <w:rPr>
          <w:noProof/>
        </w:rPr>
      </w:pPr>
      <w:r w:rsidRPr="00E562C0">
        <w:t>(2)</w:t>
      </w:r>
      <w:r w:rsidRPr="00E562C0">
        <w:tab/>
      </w:r>
      <w:r w:rsidR="00A26ED1" w:rsidRPr="00E52F63">
        <w:rPr>
          <w:noProof/>
        </w:rPr>
        <w:t>U točki 7. Priloga V. Provedbenoj uredbi (EU) 2022/1475 predviđeno je godišnje dostavljanje tržišnih informacija za druge sektore iz članka 42. točke (f) Uredbe (EU) 2021/2115. Kako bi se omogućila procjena stope organiziranosti u sektoru voća i povrća, sektoru hmelja te u sektoru maslinova ulja i stolnih maslina, što će omogućiti bolju procjenu opsega zajedničke poljoprivredne politike, trebalo bi prikupiti podatke o ukupnoj površini na kojoj se proizvode voće i povrće, hmelj, maslinovo ulje i stolne masline od proizvođača organiziranih u organizacije proizvođača, transnacionalne organizacije proizvođača, udruženja organizacija proizvođača i transnacionalna udruženja organizacija proizvođača. Kako bi se osiguralo prikupljanje tih podataka, trebalo bi izmijeniti „Obrazac A.7.” u točki 7. tog priloga.</w:t>
      </w:r>
    </w:p>
    <w:p w14:paraId="260D0207" w14:textId="1EB3FFC2" w:rsidR="00AE6C40" w:rsidRPr="00E52F63" w:rsidRDefault="00E562C0" w:rsidP="00E562C0">
      <w:pPr>
        <w:pStyle w:val="ManualConsidrant"/>
        <w:rPr>
          <w:noProof/>
        </w:rPr>
      </w:pPr>
      <w:r w:rsidRPr="00E562C0">
        <w:t>(3)</w:t>
      </w:r>
      <w:r w:rsidRPr="00E562C0">
        <w:tab/>
      </w:r>
      <w:r w:rsidR="003466F3" w:rsidRPr="00E52F63">
        <w:rPr>
          <w:noProof/>
        </w:rPr>
        <w:t>Kako bi se osiguralo prikupljanje podataka o proračunu prekograničnih/transnacionalnih operativnih skupina i ukupnom proračunu operativnih skupina koje ne primaju potporu iz EPFRR-a, države članice trebale bi dostaviti dodatne podatke o dodatnom nenacionalnim financiranju ili privatnim doprinosima. Točku 1. podtočku (n) podpodtočku iv. i podtočku (p) Priloga VI. Provedbenoj uredbi (EU) 2022/1475 trebalo bi stoga izmijeniti.</w:t>
      </w:r>
    </w:p>
    <w:p w14:paraId="5C138EFF" w14:textId="6BCFD1E4" w:rsidR="00E06C43" w:rsidRPr="00E52F63" w:rsidRDefault="00E562C0" w:rsidP="00E562C0">
      <w:pPr>
        <w:pStyle w:val="ManualConsidrant"/>
        <w:rPr>
          <w:noProof/>
        </w:rPr>
      </w:pPr>
      <w:r w:rsidRPr="00E562C0">
        <w:lastRenderedPageBreak/>
        <w:t>(4)</w:t>
      </w:r>
      <w:r w:rsidRPr="00E562C0">
        <w:tab/>
      </w:r>
      <w:r w:rsidR="00E06C43" w:rsidRPr="00E52F63">
        <w:rPr>
          <w:noProof/>
        </w:rPr>
        <w:t>Člankom 2. točkom (d) Provedbene uredbe (EU) 2022/1475 od država članica zahtijeva se da, ako je to relevantno, tijekom evaluacije strateških planova u okviru ZPP-a ocijene posebne intervencije ili teme tih planova. Točka 4. podtočka (b) Priloga II. toj provedbenoj uredbi sadržava pogrešno upućivanje na članak 2. točku (e) te provedbene uredbe umjesto upućivanja na točku (d) tog članka. Radi jasnoće i koherentnosti točku 4. podtočku (b) tog priloga trebalo bi na odgovarajući način ispraviti.</w:t>
      </w:r>
    </w:p>
    <w:p w14:paraId="7561BF46" w14:textId="7DA631C2" w:rsidR="00A054E7" w:rsidRPr="00E52F63" w:rsidRDefault="00E562C0" w:rsidP="00E562C0">
      <w:pPr>
        <w:pStyle w:val="ManualConsidrant"/>
        <w:rPr>
          <w:noProof/>
        </w:rPr>
      </w:pPr>
      <w:r w:rsidRPr="00E562C0">
        <w:t>(5)</w:t>
      </w:r>
      <w:r w:rsidRPr="00E562C0">
        <w:tab/>
      </w:r>
      <w:r w:rsidR="00A054E7" w:rsidRPr="00E52F63">
        <w:rPr>
          <w:noProof/>
        </w:rPr>
        <w:t>Potrebno je ispraviti i nekoliko pogrešaka u odredbama o oznakama varijabli utvrđenima u prilozima II., IV. i VI. Provedbenoj uredbi (EU) 2022/1475.</w:t>
      </w:r>
    </w:p>
    <w:p w14:paraId="41F3DD2F" w14:textId="747668FA" w:rsidR="00A054E7" w:rsidRPr="00E52F63" w:rsidRDefault="00E562C0" w:rsidP="00E562C0">
      <w:pPr>
        <w:pStyle w:val="ManualConsidrant"/>
        <w:rPr>
          <w:noProof/>
        </w:rPr>
      </w:pPr>
      <w:r w:rsidRPr="00E562C0">
        <w:t>(6)</w:t>
      </w:r>
      <w:r w:rsidRPr="00E562C0">
        <w:tab/>
      </w:r>
      <w:r w:rsidR="00A054E7" w:rsidRPr="00E52F63">
        <w:rPr>
          <w:noProof/>
        </w:rPr>
        <w:t>Provedbenu uredbu (EU) 2022/1475 trebalo bi stoga na odgovarajući način izmijeniti i ispraviti.</w:t>
      </w:r>
    </w:p>
    <w:p w14:paraId="43793E8C" w14:textId="561811F9" w:rsidR="00A054E7" w:rsidRPr="00E52F63" w:rsidRDefault="00E562C0" w:rsidP="00E562C0">
      <w:pPr>
        <w:pStyle w:val="ManualConsidrant"/>
        <w:rPr>
          <w:noProof/>
        </w:rPr>
      </w:pPr>
      <w:r w:rsidRPr="00E562C0">
        <w:t>(7)</w:t>
      </w:r>
      <w:r w:rsidRPr="00E562C0">
        <w:tab/>
      </w:r>
      <w:r w:rsidR="00A054E7" w:rsidRPr="00E52F63">
        <w:rPr>
          <w:noProof/>
        </w:rPr>
        <w:t>Mjere predviđene u ovoj Uredbi u skladu su s mišljenjem Odbora za zajedničku poljoprivrednu politiku,</w:t>
      </w:r>
    </w:p>
    <w:p w14:paraId="1D615EF9" w14:textId="77777777" w:rsidR="00987668" w:rsidRPr="00E52F63" w:rsidRDefault="00A054E7" w:rsidP="00C335C0">
      <w:pPr>
        <w:pStyle w:val="Formuledadoption"/>
        <w:rPr>
          <w:noProof/>
        </w:rPr>
      </w:pPr>
      <w:r w:rsidRPr="00E52F63">
        <w:rPr>
          <w:noProof/>
        </w:rPr>
        <w:t>DONIJELA JE OVU UREDBU:</w:t>
      </w:r>
    </w:p>
    <w:p w14:paraId="3B852F54" w14:textId="77777777" w:rsidR="00A054E7" w:rsidRPr="00E52F63" w:rsidRDefault="00A054E7" w:rsidP="004E1EF9">
      <w:pPr>
        <w:pStyle w:val="Titrearticle"/>
        <w:rPr>
          <w:noProof/>
        </w:rPr>
      </w:pPr>
      <w:r w:rsidRPr="00E52F63">
        <w:rPr>
          <w:noProof/>
        </w:rPr>
        <w:t>Članak 1.</w:t>
      </w:r>
    </w:p>
    <w:p w14:paraId="7F757E2E" w14:textId="77777777" w:rsidR="00A054E7" w:rsidRPr="00E52F63" w:rsidRDefault="00A054E7" w:rsidP="009769A4">
      <w:pPr>
        <w:pStyle w:val="Titrearticle"/>
        <w:spacing w:before="0"/>
        <w:rPr>
          <w:b/>
          <w:bCs/>
          <w:noProof/>
        </w:rPr>
      </w:pPr>
      <w:r w:rsidRPr="00E52F63">
        <w:rPr>
          <w:b/>
          <w:noProof/>
        </w:rPr>
        <w:t>Odredbe o izmjenama</w:t>
      </w:r>
    </w:p>
    <w:p w14:paraId="5976B4A7" w14:textId="77777777" w:rsidR="00A054E7" w:rsidRPr="00E52F63" w:rsidRDefault="00A054E7" w:rsidP="00A054E7">
      <w:pPr>
        <w:rPr>
          <w:noProof/>
        </w:rPr>
      </w:pPr>
      <w:r w:rsidRPr="00E52F63">
        <w:rPr>
          <w:noProof/>
        </w:rPr>
        <w:t>Provedbena uredba (EU) 2022/1475 mijenja se kako slijedi:</w:t>
      </w:r>
    </w:p>
    <w:p w14:paraId="39FD53F1" w14:textId="7099C499" w:rsidR="00A054E7" w:rsidRPr="00E52F63" w:rsidRDefault="00E562C0" w:rsidP="00E562C0">
      <w:pPr>
        <w:pStyle w:val="Point0"/>
        <w:rPr>
          <w:noProof/>
        </w:rPr>
      </w:pPr>
      <w:r w:rsidRPr="00E562C0">
        <w:t>(1)</w:t>
      </w:r>
      <w:r w:rsidRPr="00E562C0">
        <w:tab/>
      </w:r>
      <w:r w:rsidR="00A054E7" w:rsidRPr="00E52F63">
        <w:rPr>
          <w:noProof/>
        </w:rPr>
        <w:t xml:space="preserve">u Prilogu IV. točki 2. podtočki (a) podpodtočka iv. zamjenjuje se sljedećim: </w:t>
      </w:r>
    </w:p>
    <w:p w14:paraId="468A2642" w14:textId="77777777" w:rsidR="00A054E7" w:rsidRPr="00E52F63" w:rsidRDefault="00A054E7" w:rsidP="007F7775">
      <w:pPr>
        <w:pStyle w:val="Point1"/>
        <w:rPr>
          <w:noProof/>
        </w:rPr>
      </w:pPr>
      <w:r w:rsidRPr="00E52F63">
        <w:rPr>
          <w:noProof/>
        </w:rPr>
        <w:t>„iv. M040: proračunska oznaka</w:t>
      </w:r>
    </w:p>
    <w:p w14:paraId="3CEA866C" w14:textId="77777777" w:rsidR="00A054E7" w:rsidRPr="00E52F63" w:rsidRDefault="00A054E7" w:rsidP="007F7775">
      <w:pPr>
        <w:pStyle w:val="Point1"/>
        <w:ind w:left="851" w:firstLine="0"/>
        <w:rPr>
          <w:noProof/>
        </w:rPr>
      </w:pPr>
      <w:r w:rsidRPr="00E52F63">
        <w:rPr>
          <w:noProof/>
        </w:rPr>
        <w:t>U tom polju navodi se proračunska oznaka, koja obuhvaća proračunsku nomenklaturu, vrstu intervencije, sektor i podsektor, pokazatelj ostvarenja, intervenciju, jedinični iznos, smanjenje plaćanja ili stopu doprinosa i kalendarsku godinu;”;</w:t>
      </w:r>
    </w:p>
    <w:p w14:paraId="0C33ABEA" w14:textId="12340468" w:rsidR="00A054E7" w:rsidRPr="00E52F63" w:rsidRDefault="00E562C0" w:rsidP="00E562C0">
      <w:pPr>
        <w:pStyle w:val="Point0"/>
        <w:rPr>
          <w:noProof/>
        </w:rPr>
      </w:pPr>
      <w:r w:rsidRPr="00E562C0">
        <w:t>(2)</w:t>
      </w:r>
      <w:r w:rsidRPr="00E562C0">
        <w:tab/>
      </w:r>
      <w:r w:rsidR="00A054E7" w:rsidRPr="00E52F63">
        <w:rPr>
          <w:noProof/>
        </w:rPr>
        <w:t>u Prilogu V. točka 7. zamjenjuje se sljedećim:</w:t>
      </w:r>
    </w:p>
    <w:p w14:paraId="3556D8D8" w14:textId="77777777" w:rsidR="00154E24" w:rsidRPr="00E52F63" w:rsidRDefault="00A054E7" w:rsidP="001E5985">
      <w:pPr>
        <w:pStyle w:val="Point1"/>
        <w:ind w:left="851" w:firstLine="0"/>
        <w:rPr>
          <w:noProof/>
        </w:rPr>
      </w:pPr>
      <w:r w:rsidRPr="00E52F63">
        <w:rPr>
          <w:noProof/>
        </w:rPr>
        <w:t>„7. Obrazac A.7.</w:t>
      </w:r>
    </w:p>
    <w:p w14:paraId="5FC9B015" w14:textId="700435B1" w:rsidR="00A054E7" w:rsidRPr="00E52F63" w:rsidRDefault="00A054E7" w:rsidP="001E5985">
      <w:pPr>
        <w:pStyle w:val="Point1"/>
        <w:ind w:left="851" w:firstLine="0"/>
        <w:rPr>
          <w:noProof/>
        </w:rPr>
      </w:pPr>
      <w:r w:rsidRPr="00E52F63">
        <w:rPr>
          <w:noProof/>
        </w:rPr>
        <w:t>Obrazac se odnosi na sektor voća i povrća, sektor hmelja, sektor maslinova ulja i stolnih maslina i druge sektore iz članka 42. točke (a) i točaka od (d) do (f) Uredbe (EU) 2021/2115, za koje države članice svake godine dostavljaju sljedeće tržišne informacije za prethodnu kalendarsku godinu:</w:t>
      </w:r>
    </w:p>
    <w:p w14:paraId="5774F8C2" w14:textId="5FB3DD0C" w:rsidR="00A054E7" w:rsidRPr="00E52F63" w:rsidRDefault="00E562C0" w:rsidP="00E562C0">
      <w:pPr>
        <w:pStyle w:val="Point1"/>
        <w:rPr>
          <w:noProof/>
        </w:rPr>
      </w:pPr>
      <w:r w:rsidRPr="00E562C0">
        <w:t>(a)</w:t>
      </w:r>
      <w:r w:rsidRPr="00E562C0">
        <w:tab/>
      </w:r>
      <w:r w:rsidR="0085207F" w:rsidRPr="00E52F63">
        <w:rPr>
          <w:noProof/>
        </w:rPr>
        <w:t>ukupna površina (u hektarima) za proizvodnju voća i povrća organizacija proizvođača, transnacionalnih organizacija proizvođača, udruženja organizacija proizvođača i transnacionalnih udruženja organizacija proizvođača (osim gljiva);</w:t>
      </w:r>
    </w:p>
    <w:p w14:paraId="3D78103B" w14:textId="3A68C0A9" w:rsidR="0085207F" w:rsidRPr="00E52F63" w:rsidRDefault="00E562C0" w:rsidP="00E562C0">
      <w:pPr>
        <w:pStyle w:val="Point1"/>
        <w:rPr>
          <w:noProof/>
        </w:rPr>
      </w:pPr>
      <w:r w:rsidRPr="00E562C0">
        <w:t>(b)</w:t>
      </w:r>
      <w:r w:rsidRPr="00E562C0">
        <w:tab/>
      </w:r>
      <w:r w:rsidR="0085207F" w:rsidRPr="00E52F63">
        <w:rPr>
          <w:noProof/>
        </w:rPr>
        <w:t>ukupna površina (u hektarima) za proizvodnju hmelja organizacija proizvođača, transnacionalnih organizacija proizvođača, udruženja organizacija proizvođača i transnacionalnih udruženja organizacija proizvođača;</w:t>
      </w:r>
    </w:p>
    <w:p w14:paraId="42137489" w14:textId="1B417D18" w:rsidR="0085207F" w:rsidRPr="00E52F63" w:rsidRDefault="00E562C0" w:rsidP="00E562C0">
      <w:pPr>
        <w:pStyle w:val="Point1"/>
        <w:rPr>
          <w:noProof/>
        </w:rPr>
      </w:pPr>
      <w:r w:rsidRPr="00E562C0">
        <w:t>(c)</w:t>
      </w:r>
      <w:r w:rsidRPr="00E562C0">
        <w:tab/>
      </w:r>
      <w:r w:rsidR="0085207F" w:rsidRPr="00E52F63">
        <w:rPr>
          <w:noProof/>
        </w:rPr>
        <w:t>ukupna površina (u hektarima) za proizvodnju maslinova ulja i stolnih maslina organizacija proizvođača, transnacionalnih organizacija proizvođača, udruženja organizacija proizvođača i transnacionalnih udruženja organizacija proizvođača;</w:t>
      </w:r>
    </w:p>
    <w:p w14:paraId="7F6A8215" w14:textId="5B7B10D4" w:rsidR="0085207F" w:rsidRPr="00E52F63" w:rsidRDefault="00E562C0" w:rsidP="00E562C0">
      <w:pPr>
        <w:pStyle w:val="Point1"/>
        <w:rPr>
          <w:noProof/>
        </w:rPr>
      </w:pPr>
      <w:r w:rsidRPr="00E562C0">
        <w:t>(d)</w:t>
      </w:r>
      <w:r w:rsidRPr="00E562C0">
        <w:tab/>
      </w:r>
      <w:r w:rsidR="0085207F" w:rsidRPr="00E52F63">
        <w:rPr>
          <w:noProof/>
        </w:rPr>
        <w:t>za druge sektore:</w:t>
      </w:r>
    </w:p>
    <w:p w14:paraId="340D696C" w14:textId="77777777" w:rsidR="00A054E7" w:rsidRPr="00E52F63" w:rsidRDefault="0085207F">
      <w:pPr>
        <w:pStyle w:val="Tiret1"/>
        <w:numPr>
          <w:ilvl w:val="0"/>
          <w:numId w:val="6"/>
        </w:numPr>
        <w:ind w:left="1843" w:hanging="425"/>
        <w:rPr>
          <w:noProof/>
        </w:rPr>
      </w:pPr>
      <w:r w:rsidRPr="00E52F63">
        <w:rPr>
          <w:noProof/>
        </w:rPr>
        <w:lastRenderedPageBreak/>
        <w:t>za sektore usjeva iz članka 1. stavka 2. točaka od (a) do (e) i točaka (h), (k) i (m) Uredbe (EU) br. 1308/2013 i sektore koji obuhvaćaju proizvode iz Priloga VI. Uredbi (EU) 2021/2115, ukupna obuhvaćena površina (u hektarima) i/ili količina (u tonama) koju su proizvele organizacije proizvođača, udruženja organizacija proizvođača, transnacionalne organizacije proizvođača i transnacionalna udruženja organizacija proizvođača,</w:t>
      </w:r>
    </w:p>
    <w:p w14:paraId="01922F93" w14:textId="77777777" w:rsidR="00AE6C40" w:rsidRPr="00E52F63" w:rsidRDefault="0085207F">
      <w:pPr>
        <w:pStyle w:val="Tiret1"/>
        <w:numPr>
          <w:ilvl w:val="0"/>
          <w:numId w:val="6"/>
        </w:numPr>
        <w:ind w:left="1843" w:hanging="425"/>
        <w:rPr>
          <w:noProof/>
        </w:rPr>
      </w:pPr>
      <w:r w:rsidRPr="00E52F63">
        <w:rPr>
          <w:noProof/>
        </w:rPr>
        <w:t>za sektore stočarstva iz članka 1. stavka 2. točaka od (o) do (t) i točke (w) Uredbe (EU) br. 1308/2013 i sektore koji obuhvaćaju proizvode iz Priloga VI. Uredbi (EU) 2021/2115, ukupan broj životinja i/ili količina (u tonama) koju su proizvele organizacije proizvođača, udruženja organizacija proizvođača, transnacionalne organizacije proizvođača i transnacionalna udruženja organizacija proizvođača.”;</w:t>
      </w:r>
    </w:p>
    <w:p w14:paraId="6037DDFC" w14:textId="3C4C7040" w:rsidR="00AE6C40" w:rsidRPr="00E52F63" w:rsidRDefault="00E562C0" w:rsidP="00E562C0">
      <w:pPr>
        <w:pStyle w:val="Point0"/>
        <w:rPr>
          <w:noProof/>
        </w:rPr>
      </w:pPr>
      <w:r w:rsidRPr="00E562C0">
        <w:t>(3)</w:t>
      </w:r>
      <w:r w:rsidRPr="00E562C0">
        <w:tab/>
      </w:r>
      <w:r w:rsidR="00AE6C40" w:rsidRPr="00E52F63">
        <w:rPr>
          <w:noProof/>
        </w:rPr>
        <w:t>u Prilogu VI. točka 1. mijenja se kako slijedi:</w:t>
      </w:r>
    </w:p>
    <w:p w14:paraId="5A4C069B" w14:textId="1E4AF2AC" w:rsidR="00AE6C40" w:rsidRPr="00E52F63" w:rsidRDefault="00E562C0" w:rsidP="00E562C0">
      <w:pPr>
        <w:pStyle w:val="Point1"/>
        <w:rPr>
          <w:noProof/>
        </w:rPr>
      </w:pPr>
      <w:r w:rsidRPr="00E562C0">
        <w:t>(a)</w:t>
      </w:r>
      <w:r w:rsidRPr="00E562C0">
        <w:tab/>
      </w:r>
      <w:r w:rsidR="008139BA" w:rsidRPr="00E52F63">
        <w:rPr>
          <w:noProof/>
        </w:rPr>
        <w:t>u podtočki (n) podpodtočka iv. zamjenjuje se sljedećim:</w:t>
      </w:r>
    </w:p>
    <w:p w14:paraId="31A6497E" w14:textId="77777777" w:rsidR="00AE6C40" w:rsidRPr="00E52F63" w:rsidRDefault="00AE6C40" w:rsidP="00075A36">
      <w:pPr>
        <w:pStyle w:val="Point1"/>
        <w:ind w:firstLine="1"/>
        <w:rPr>
          <w:noProof/>
        </w:rPr>
      </w:pPr>
      <w:r w:rsidRPr="00E52F63">
        <w:rPr>
          <w:noProof/>
        </w:rPr>
        <w:t>„iv. proračun po državi članici/regiji koja je dio projekta, u obliku javnih rashoda, kao zbroj svih doprinosa (EPFRR, nacionalno sufinanciranje, dodatno nacionalno financiranje i drugo financiranje, ako je primjenjivo);</w:t>
      </w:r>
    </w:p>
    <w:p w14:paraId="5E7D74AA" w14:textId="7D96D3DE" w:rsidR="00075A36" w:rsidRPr="00E52F63" w:rsidRDefault="00E562C0" w:rsidP="00E562C0">
      <w:pPr>
        <w:pStyle w:val="Point1"/>
        <w:rPr>
          <w:noProof/>
        </w:rPr>
      </w:pPr>
      <w:r w:rsidRPr="00E562C0">
        <w:t>(b)</w:t>
      </w:r>
      <w:r w:rsidRPr="00E562C0">
        <w:tab/>
      </w:r>
      <w:r w:rsidR="00AE6C40" w:rsidRPr="00E52F63">
        <w:rPr>
          <w:noProof/>
        </w:rPr>
        <w:t>podtočka (p) zamjenjuje se sljedećim:</w:t>
      </w:r>
    </w:p>
    <w:p w14:paraId="5F8313FE" w14:textId="6928AD8B" w:rsidR="00A054E7" w:rsidRPr="00E52F63" w:rsidRDefault="00AE6C40" w:rsidP="00075A36">
      <w:pPr>
        <w:pStyle w:val="Point1"/>
        <w:ind w:firstLine="1"/>
        <w:rPr>
          <w:noProof/>
        </w:rPr>
      </w:pPr>
      <w:r w:rsidRPr="00E52F63">
        <w:rPr>
          <w:noProof/>
        </w:rPr>
        <w:t>„(p) ukupan proračun: ukupni projektni doprinosi (EPFRR, nacionalno sufinanciranje, dodatno nacionalno financiranje i drugo financiranje, ako je primjenjivo)”.</w:t>
      </w:r>
    </w:p>
    <w:p w14:paraId="42A2EA37" w14:textId="77777777" w:rsidR="00A054E7" w:rsidRPr="00E52F63" w:rsidRDefault="00A054E7" w:rsidP="004E1EF9">
      <w:pPr>
        <w:pStyle w:val="Titrearticle"/>
        <w:rPr>
          <w:noProof/>
        </w:rPr>
      </w:pPr>
      <w:r w:rsidRPr="00E52F63">
        <w:rPr>
          <w:noProof/>
        </w:rPr>
        <w:t>Članak 2.</w:t>
      </w:r>
    </w:p>
    <w:p w14:paraId="7F000BE1" w14:textId="77777777" w:rsidR="00A054E7" w:rsidRPr="00E52F63" w:rsidRDefault="0029719A" w:rsidP="009769A4">
      <w:pPr>
        <w:pStyle w:val="Titrearticle"/>
        <w:spacing w:before="0"/>
        <w:rPr>
          <w:b/>
          <w:bCs/>
          <w:noProof/>
        </w:rPr>
      </w:pPr>
      <w:r w:rsidRPr="00E52F63">
        <w:rPr>
          <w:b/>
          <w:noProof/>
        </w:rPr>
        <w:t>Odredbe o ispravcima</w:t>
      </w:r>
    </w:p>
    <w:p w14:paraId="3FD4B704" w14:textId="77777777" w:rsidR="00E06C43" w:rsidRPr="00E52F63" w:rsidRDefault="0029719A" w:rsidP="0029719A">
      <w:pPr>
        <w:rPr>
          <w:noProof/>
        </w:rPr>
      </w:pPr>
      <w:r w:rsidRPr="00E52F63">
        <w:rPr>
          <w:noProof/>
        </w:rPr>
        <w:t>Provedbena uredba (EU) 2022/1475 ispravlja se kako slijedi:</w:t>
      </w:r>
    </w:p>
    <w:p w14:paraId="5E7DED17" w14:textId="77777777" w:rsidR="00E06C43" w:rsidRPr="00E52F63" w:rsidRDefault="00E06C43" w:rsidP="00E06C43">
      <w:pPr>
        <w:rPr>
          <w:noProof/>
        </w:rPr>
      </w:pPr>
      <w:r w:rsidRPr="00E52F63">
        <w:rPr>
          <w:noProof/>
        </w:rPr>
        <w:t>(1)</w:t>
      </w:r>
      <w:r w:rsidRPr="00E52F63">
        <w:rPr>
          <w:noProof/>
        </w:rPr>
        <w:tab/>
        <w:t xml:space="preserve">u Prilogu II. točki 4. podtočka (b) zamjenjuje se sljedećim: </w:t>
      </w:r>
    </w:p>
    <w:p w14:paraId="1FFD86FD" w14:textId="77777777" w:rsidR="00E06C43" w:rsidRPr="00E52F63" w:rsidRDefault="00E06C43" w:rsidP="001E5985">
      <w:pPr>
        <w:ind w:left="720"/>
        <w:rPr>
          <w:noProof/>
        </w:rPr>
      </w:pPr>
      <w:r w:rsidRPr="00E52F63">
        <w:rPr>
          <w:noProof/>
        </w:rPr>
        <w:t>„(b) ako je relevantno, evaluacije za procjenu specifičnih tema iz članka 2. točke (d);”;</w:t>
      </w:r>
    </w:p>
    <w:p w14:paraId="5C306682" w14:textId="3CB16C5C" w:rsidR="0029719A" w:rsidRPr="00E52F63" w:rsidRDefault="00E562C0" w:rsidP="00E562C0">
      <w:pPr>
        <w:pStyle w:val="Point0"/>
        <w:rPr>
          <w:noProof/>
        </w:rPr>
      </w:pPr>
      <w:r w:rsidRPr="00E562C0">
        <w:t>(2)</w:t>
      </w:r>
      <w:r w:rsidRPr="00E562C0">
        <w:tab/>
      </w:r>
      <w:r w:rsidR="0029719A" w:rsidRPr="00E52F63">
        <w:rPr>
          <w:noProof/>
        </w:rPr>
        <w:t>Prilog IV. ispravlja se kako slijedi:</w:t>
      </w:r>
    </w:p>
    <w:p w14:paraId="47D977D2" w14:textId="42D69225" w:rsidR="0029719A" w:rsidRPr="00E52F63" w:rsidRDefault="00E562C0" w:rsidP="00E562C0">
      <w:pPr>
        <w:pStyle w:val="Point1"/>
        <w:rPr>
          <w:noProof/>
        </w:rPr>
      </w:pPr>
      <w:r w:rsidRPr="00E562C0">
        <w:t>(a)</w:t>
      </w:r>
      <w:r w:rsidRPr="00E562C0">
        <w:tab/>
      </w:r>
      <w:r w:rsidR="0029719A" w:rsidRPr="00E52F63">
        <w:rPr>
          <w:noProof/>
        </w:rPr>
        <w:t>u točki 2. podtočki (b) podpodtočki i. naslov „M050: ukupni plaćeni iznos (sredstva EU-a)” zamjenjuje se sljedećim:</w:t>
      </w:r>
    </w:p>
    <w:p w14:paraId="7CD69105" w14:textId="77777777" w:rsidR="0029719A" w:rsidRPr="00E52F63" w:rsidRDefault="0029719A" w:rsidP="007F7775">
      <w:pPr>
        <w:pStyle w:val="Point1"/>
        <w:ind w:firstLine="1"/>
        <w:rPr>
          <w:noProof/>
        </w:rPr>
      </w:pPr>
      <w:r w:rsidRPr="00E52F63">
        <w:rPr>
          <w:noProof/>
        </w:rPr>
        <w:t>„M050: ukupni iznos sredstava EU-a”;</w:t>
      </w:r>
    </w:p>
    <w:p w14:paraId="4E8675EF" w14:textId="1C2E99FF" w:rsidR="0029719A" w:rsidRPr="00E52F63" w:rsidRDefault="00E562C0" w:rsidP="00E562C0">
      <w:pPr>
        <w:pStyle w:val="Point1"/>
        <w:rPr>
          <w:noProof/>
        </w:rPr>
      </w:pPr>
      <w:r w:rsidRPr="00E562C0">
        <w:t>(b)</w:t>
      </w:r>
      <w:r w:rsidRPr="00E562C0">
        <w:tab/>
      </w:r>
      <w:r w:rsidR="0029719A" w:rsidRPr="00E52F63">
        <w:rPr>
          <w:noProof/>
        </w:rPr>
        <w:t>u točki 4. podtočki (a) naslov „B010: jedinstvena identifikacijska oznaka korisnika” zamjenjuje se sljedećim:</w:t>
      </w:r>
    </w:p>
    <w:p w14:paraId="17673B40" w14:textId="77777777" w:rsidR="0029719A" w:rsidRPr="00E52F63" w:rsidRDefault="0029719A" w:rsidP="007F7775">
      <w:pPr>
        <w:pStyle w:val="Point1"/>
        <w:ind w:firstLine="1"/>
        <w:rPr>
          <w:noProof/>
        </w:rPr>
      </w:pPr>
      <w:r w:rsidRPr="00E52F63">
        <w:rPr>
          <w:noProof/>
        </w:rPr>
        <w:t>„B010: jedinstvena identifikacijska oznaka korisnika”;</w:t>
      </w:r>
    </w:p>
    <w:p w14:paraId="6E58CF87" w14:textId="1BEE3331" w:rsidR="0029719A" w:rsidRPr="00E52F63" w:rsidRDefault="00E562C0" w:rsidP="00E562C0">
      <w:pPr>
        <w:pStyle w:val="Point0"/>
        <w:rPr>
          <w:noProof/>
        </w:rPr>
      </w:pPr>
      <w:r w:rsidRPr="00E562C0">
        <w:t>(3)</w:t>
      </w:r>
      <w:r w:rsidRPr="00E562C0">
        <w:tab/>
      </w:r>
      <w:r w:rsidR="0029719A" w:rsidRPr="00E52F63">
        <w:rPr>
          <w:noProof/>
        </w:rPr>
        <w:t>u Prilogu VI. točki 1. podtočka (i) zamjenjuje se sljedećim:</w:t>
      </w:r>
    </w:p>
    <w:p w14:paraId="601E609B" w14:textId="77777777" w:rsidR="0029719A" w:rsidRPr="00E52F63" w:rsidRDefault="0029719A" w:rsidP="00AE6C40">
      <w:pPr>
        <w:pStyle w:val="Point1"/>
        <w:ind w:firstLine="1"/>
        <w:rPr>
          <w:noProof/>
        </w:rPr>
      </w:pPr>
      <w:r w:rsidRPr="00E52F63">
        <w:rPr>
          <w:noProof/>
        </w:rPr>
        <w:t>„(i) status projekta: u tijeku, dovršen, otkazan;”.</w:t>
      </w:r>
    </w:p>
    <w:p w14:paraId="086D102D" w14:textId="77777777" w:rsidR="0029719A" w:rsidRPr="00E52F63" w:rsidRDefault="0029719A" w:rsidP="0029719A">
      <w:pPr>
        <w:pStyle w:val="Titrearticle"/>
        <w:rPr>
          <w:noProof/>
        </w:rPr>
      </w:pPr>
      <w:r w:rsidRPr="00E52F63">
        <w:rPr>
          <w:noProof/>
        </w:rPr>
        <w:t>Članak 3.</w:t>
      </w:r>
    </w:p>
    <w:p w14:paraId="5B12371B" w14:textId="77777777" w:rsidR="0029719A" w:rsidRPr="00E52F63" w:rsidRDefault="0029719A" w:rsidP="009769A4">
      <w:pPr>
        <w:pStyle w:val="Titrearticle"/>
        <w:spacing w:before="0"/>
        <w:rPr>
          <w:b/>
          <w:bCs/>
          <w:noProof/>
        </w:rPr>
      </w:pPr>
      <w:r w:rsidRPr="00E52F63">
        <w:rPr>
          <w:b/>
          <w:noProof/>
        </w:rPr>
        <w:t>Stupanje na snagu</w:t>
      </w:r>
    </w:p>
    <w:p w14:paraId="64D8FFD1" w14:textId="77777777" w:rsidR="00A054E7" w:rsidRPr="00E52F63" w:rsidRDefault="00A054E7" w:rsidP="004E1EF9">
      <w:pPr>
        <w:rPr>
          <w:noProof/>
        </w:rPr>
      </w:pPr>
      <w:r w:rsidRPr="00E52F63">
        <w:rPr>
          <w:noProof/>
        </w:rPr>
        <w:t xml:space="preserve">Ova Uredba stupa na snagu sedmog dana od dana objave u </w:t>
      </w:r>
      <w:r w:rsidRPr="00E52F63">
        <w:rPr>
          <w:i/>
          <w:noProof/>
        </w:rPr>
        <w:t>Službenom listu Europske unije</w:t>
      </w:r>
      <w:r w:rsidRPr="00E52F63">
        <w:rPr>
          <w:noProof/>
        </w:rPr>
        <w:t>.</w:t>
      </w:r>
    </w:p>
    <w:p w14:paraId="73DADC2D" w14:textId="77777777" w:rsidR="00A054E7" w:rsidRPr="00E52F63" w:rsidRDefault="00A054E7" w:rsidP="004E1EF9">
      <w:pPr>
        <w:pStyle w:val="Applicationdirecte"/>
        <w:rPr>
          <w:noProof/>
        </w:rPr>
      </w:pPr>
      <w:r w:rsidRPr="00E52F63">
        <w:rPr>
          <w:noProof/>
        </w:rPr>
        <w:lastRenderedPageBreak/>
        <w:t>Ova je Uredba u cijelosti obvezujuća i izravno se primjenjuje u svim državama članicama.</w:t>
      </w:r>
    </w:p>
    <w:p w14:paraId="2E3D8FBA" w14:textId="4B348AEA" w:rsidR="00A054E7" w:rsidRPr="00E52F63" w:rsidRDefault="005C6F30" w:rsidP="00234FB4">
      <w:pPr>
        <w:pStyle w:val="Fait"/>
        <w:rPr>
          <w:noProof/>
        </w:rPr>
      </w:pPr>
      <w:r w:rsidRPr="005C6F30">
        <w:t>Sastavljeno u Bruxellesu 17.10.2023.</w:t>
      </w:r>
    </w:p>
    <w:p w14:paraId="0ABFA346" w14:textId="77777777" w:rsidR="00A054E7" w:rsidRPr="00E52F63" w:rsidRDefault="00A054E7" w:rsidP="00234FB4">
      <w:pPr>
        <w:pStyle w:val="Institutionquisigne"/>
        <w:rPr>
          <w:noProof/>
        </w:rPr>
      </w:pPr>
      <w:r w:rsidRPr="00E52F63">
        <w:rPr>
          <w:noProof/>
        </w:rPr>
        <w:tab/>
        <w:t>Za Komisiju</w:t>
      </w:r>
    </w:p>
    <w:p w14:paraId="74E75997" w14:textId="6BAA74C5" w:rsidR="00A054E7" w:rsidRPr="00E52F63" w:rsidRDefault="00B42850" w:rsidP="00A054E7">
      <w:pPr>
        <w:pStyle w:val="Personnequisigne"/>
        <w:rPr>
          <w:noProof/>
        </w:rPr>
      </w:pPr>
      <w:r>
        <w:tab/>
        <w:t>Predsjednica</w:t>
      </w:r>
      <w:r>
        <w:br/>
      </w:r>
      <w:r>
        <w:tab/>
        <w:t>Ursula VON DER LEYEN</w:t>
      </w:r>
    </w:p>
    <w:sectPr w:rsidR="00A054E7" w:rsidRPr="00E52F63" w:rsidSect="004A7DC2">
      <w:footerReference w:type="default" r:id="rId15"/>
      <w:footerReference w:type="first" r:id="rId16"/>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27BF6B" w14:textId="77777777" w:rsidR="007A368C" w:rsidRDefault="007A368C" w:rsidP="00A054E7">
      <w:pPr>
        <w:spacing w:before="0" w:after="0"/>
      </w:pPr>
      <w:r>
        <w:separator/>
      </w:r>
    </w:p>
  </w:endnote>
  <w:endnote w:type="continuationSeparator" w:id="0">
    <w:p w14:paraId="52CE98C0" w14:textId="77777777" w:rsidR="007A368C" w:rsidRDefault="007A368C" w:rsidP="00A054E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0A14D" w14:textId="58E6F140" w:rsidR="00A054E7" w:rsidRPr="004A7DC2" w:rsidRDefault="00A054E7" w:rsidP="004A7D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58EE6" w14:textId="7F63B627" w:rsidR="00A054E7" w:rsidRPr="004A7DC2" w:rsidRDefault="004A7DC2" w:rsidP="004A7DC2">
    <w:pPr>
      <w:pStyle w:val="Footer"/>
      <w:rPr>
        <w:rFonts w:ascii="Arial" w:hAnsi="Arial" w:cs="Arial"/>
        <w:b/>
        <w:sz w:val="48"/>
      </w:rPr>
    </w:pPr>
    <w:r w:rsidRPr="004A7DC2">
      <w:rPr>
        <w:rFonts w:ascii="Arial" w:hAnsi="Arial" w:cs="Arial"/>
        <w:b/>
        <w:sz w:val="48"/>
      </w:rPr>
      <w:t>HR</w:t>
    </w:r>
    <w:r w:rsidRPr="004A7DC2">
      <w:rPr>
        <w:rFonts w:ascii="Arial" w:hAnsi="Arial" w:cs="Arial"/>
        <w:b/>
        <w:sz w:val="48"/>
      </w:rPr>
      <w:tab/>
    </w:r>
    <w:r w:rsidRPr="004A7DC2">
      <w:rPr>
        <w:rFonts w:ascii="Arial" w:hAnsi="Arial" w:cs="Arial"/>
        <w:b/>
        <w:sz w:val="48"/>
      </w:rPr>
      <w:tab/>
    </w:r>
    <w:r w:rsidRPr="004A7DC2">
      <w:tab/>
    </w:r>
    <w:r w:rsidRPr="004A7DC2">
      <w:rPr>
        <w:rFonts w:ascii="Arial" w:hAnsi="Arial" w:cs="Arial"/>
        <w:b/>
        <w:sz w:val="48"/>
      </w:rPr>
      <w:t>HR</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60F374" w14:textId="77777777" w:rsidR="004A7DC2" w:rsidRPr="004A7DC2" w:rsidRDefault="004A7DC2" w:rsidP="004A7DC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7B8BCE" w14:textId="01D7E755" w:rsidR="004A7DC2" w:rsidRPr="004A7DC2" w:rsidRDefault="004A7DC2" w:rsidP="004A7DC2">
    <w:pPr>
      <w:pStyle w:val="Footer"/>
      <w:rPr>
        <w:rFonts w:ascii="Arial" w:hAnsi="Arial" w:cs="Arial"/>
        <w:b/>
        <w:sz w:val="48"/>
      </w:rPr>
    </w:pPr>
    <w:r w:rsidRPr="004A7DC2">
      <w:rPr>
        <w:rFonts w:ascii="Arial" w:hAnsi="Arial" w:cs="Arial"/>
        <w:b/>
        <w:sz w:val="48"/>
      </w:rPr>
      <w:t>HR</w:t>
    </w:r>
    <w:r w:rsidRPr="004A7DC2">
      <w:rPr>
        <w:rFonts w:ascii="Arial" w:hAnsi="Arial" w:cs="Arial"/>
        <w:b/>
        <w:sz w:val="48"/>
      </w:rPr>
      <w:tab/>
    </w:r>
    <w:r>
      <w:fldChar w:fldCharType="begin"/>
    </w:r>
    <w:r>
      <w:instrText xml:space="preserve"> PAGE  \* MERGEFORMAT </w:instrText>
    </w:r>
    <w:r>
      <w:fldChar w:fldCharType="separate"/>
    </w:r>
    <w:r w:rsidR="00234FB4">
      <w:rPr>
        <w:noProof/>
      </w:rPr>
      <w:t>4</w:t>
    </w:r>
    <w:r>
      <w:fldChar w:fldCharType="end"/>
    </w:r>
    <w:r>
      <w:tab/>
    </w:r>
    <w:r w:rsidRPr="004A7DC2">
      <w:tab/>
    </w:r>
    <w:r w:rsidRPr="004A7DC2">
      <w:rPr>
        <w:rFonts w:ascii="Arial" w:hAnsi="Arial" w:cs="Arial"/>
        <w:b/>
        <w:sz w:val="48"/>
      </w:rPr>
      <w:t>HR</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EFCA13" w14:textId="77777777" w:rsidR="004A7DC2" w:rsidRPr="004A7DC2" w:rsidRDefault="004A7DC2" w:rsidP="004A7D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674BB9" w14:textId="77777777" w:rsidR="007A368C" w:rsidRDefault="007A368C" w:rsidP="00A054E7">
      <w:pPr>
        <w:spacing w:before="0" w:after="0"/>
      </w:pPr>
      <w:r>
        <w:separator/>
      </w:r>
    </w:p>
  </w:footnote>
  <w:footnote w:type="continuationSeparator" w:id="0">
    <w:p w14:paraId="2288338F" w14:textId="77777777" w:rsidR="007A368C" w:rsidRDefault="007A368C" w:rsidP="00A054E7">
      <w:pPr>
        <w:spacing w:before="0" w:after="0"/>
      </w:pPr>
      <w:r>
        <w:continuationSeparator/>
      </w:r>
    </w:p>
  </w:footnote>
  <w:footnote w:id="1">
    <w:p w14:paraId="2816F4DF" w14:textId="77777777" w:rsidR="00A054E7" w:rsidRDefault="00A054E7" w:rsidP="00A054E7">
      <w:pPr>
        <w:pStyle w:val="FootnoteText"/>
      </w:pPr>
      <w:r>
        <w:rPr>
          <w:rStyle w:val="FootnoteReference"/>
        </w:rPr>
        <w:footnoteRef/>
      </w:r>
      <w:r>
        <w:tab/>
        <w:t xml:space="preserve">SL L 435, 6.12.2021., str. 1. </w:t>
      </w:r>
    </w:p>
  </w:footnote>
  <w:footnote w:id="2">
    <w:p w14:paraId="13BCE3AF" w14:textId="6A18CEB9" w:rsidR="00154E24" w:rsidRPr="005A4E1D" w:rsidRDefault="00154E24" w:rsidP="00154E24">
      <w:pPr>
        <w:pStyle w:val="FootnoteText"/>
      </w:pPr>
      <w:r>
        <w:rPr>
          <w:rStyle w:val="FootnoteReference"/>
        </w:rPr>
        <w:footnoteRef/>
      </w:r>
      <w:r>
        <w:tab/>
        <w:t xml:space="preserve">Provedbena uredba Komisije (EU) 2022/1475 оd 6. rujna 2022. o utvrđivanju detaljnih pravila za provedbu Uredbe (EU) 2021/2115 Europskog parlamenta i Vijeća u pogledu evaluacije strateških planova u okviru ZPP-a i pružanja informacija za praćenje i evaluaciju (SL L 232, 7.9.2022., str. 8.).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73764" w14:textId="77777777" w:rsidR="004A7DC2" w:rsidRPr="004A7DC2" w:rsidRDefault="004A7DC2" w:rsidP="004A7D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2CA77F" w14:textId="77777777" w:rsidR="004A7DC2" w:rsidRPr="004A7DC2" w:rsidRDefault="004A7DC2" w:rsidP="004A7D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5373B" w14:textId="77777777" w:rsidR="004A7DC2" w:rsidRPr="004A7DC2" w:rsidRDefault="004A7DC2" w:rsidP="004A7D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BE8A6E3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037E4282"/>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0E32E108"/>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7B7A921E"/>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7"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9"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0"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1"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2"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3"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4"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6"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8"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3"/>
  </w:num>
  <w:num w:numId="2">
    <w:abstractNumId w:val="2"/>
  </w:num>
  <w:num w:numId="3">
    <w:abstractNumId w:val="1"/>
  </w:num>
  <w:num w:numId="4">
    <w:abstractNumId w:val="0"/>
  </w:num>
  <w:num w:numId="5">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num>
  <w:num w:numId="7">
    <w:abstractNumId w:val="18"/>
    <w:lvlOverride w:ilvl="0">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8"/>
  </w:num>
  <w:num w:numId="11">
    <w:abstractNumId w:val="17"/>
  </w:num>
  <w:num w:numId="12">
    <w:abstractNumId w:val="7"/>
  </w:num>
  <w:num w:numId="13">
    <w:abstractNumId w:val="9"/>
  </w:num>
  <w:num w:numId="14">
    <w:abstractNumId w:val="10"/>
  </w:num>
  <w:num w:numId="15">
    <w:abstractNumId w:val="5"/>
  </w:num>
  <w:num w:numId="16">
    <w:abstractNumId w:val="16"/>
  </w:num>
  <w:num w:numId="17">
    <w:abstractNumId w:val="4"/>
  </w:num>
  <w:num w:numId="18">
    <w:abstractNumId w:val="11"/>
  </w:num>
  <w:num w:numId="19">
    <w:abstractNumId w:val="13"/>
  </w:num>
  <w:num w:numId="20">
    <w:abstractNumId w:val="14"/>
  </w:num>
  <w:num w:numId="21">
    <w:abstractNumId w:val="6"/>
  </w:num>
  <w:num w:numId="22">
    <w:abstractNumId w:val="12"/>
  </w:num>
  <w:num w:numId="23">
    <w:abstractNumId w:val="1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ttachedTemplate r:id="rId1"/>
  <w:revisionView w:markup="0"/>
  <w:defaultTabStop w:val="720"/>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3-10-06 11:54:00"/>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CORRIGENDUM" w:val="&lt;UNUSED&gt;"/>
    <w:docVar w:name="LW_COVERPAGE_EXISTS" w:val="True"/>
    <w:docVar w:name="LW_COVERPAGE_GUID" w:val="5A3D7A68-3198-40EC-B57C-50362536B211"/>
    <w:docVar w:name="LW_COVERPAGE_TYPE" w:val="1"/>
    <w:docVar w:name="LW_CROSSREFERENCE" w:val="&lt;UNUSED&gt;"/>
    <w:docVar w:name="LW_DATE.ADOPT.CP" w:val="\u1086?d 17.10.2023."/>
    <w:docVar w:name="LW_DATE.ADOPT.CP_DATEFORMAT" w:val="\u1086?d %DATE%"/>
    <w:docVar w:name="LW_DATE.ADOPT.CP_ISODATE" w:val="2023-10-17"/>
    <w:docVar w:name="LW_DocType" w:val="COM"/>
    <w:docVar w:name="LW_EMISSION" w:val="17.10.2023."/>
    <w:docVar w:name="LW_EMISSION_ISODATE" w:val="2023-10-17"/>
    <w:docVar w:name="LW_EMISSION_LOCATION" w:val="BRX"/>
    <w:docVar w:name="LW_EMISSION_PREFIX" w:val="Bruxelles, "/>
    <w:docVar w:name="LW_EMISSION_SUFFIX" w:val="&lt;EMPTY&gt;"/>
    <w:docVar w:name="LW_ID_DOCMODEL" w:val="SJ-004"/>
    <w:docVar w:name="LW_ID_DOCSIGNATURE" w:val="SJ-004"/>
    <w:docVar w:name="LW_ID_DOCSTRUCTURE" w:val="COM/AA"/>
    <w:docVar w:name="LW_ID_DOCTYPE" w:val="SJ-004"/>
    <w:docVar w:name="LW_INTERETEEE.CP" w:val="&lt;UNUSED&gt;"/>
    <w:docVar w:name="LW_LANGUE" w:val="HR"/>
    <w:docVar w:name="LW_LANGUESFAISANTFOI.CP" w:val="&lt;UNUSED&gt;"/>
    <w:docVar w:name="LW_LEVEL_OF_SENSITIVITY" w:val="Standard treatment"/>
    <w:docVar w:name="LW_NOM.INST" w:val="EUROPSKA KOMISIJA"/>
    <w:docVar w:name="LW_NOM.INST_JOINTDOC" w:val="&lt;EMPTY&gt;"/>
    <w:docVar w:name="LW_PART_NBR" w:val="1"/>
    <w:docVar w:name="LW_PART_NBR_TOTAL" w:val="1"/>
    <w:docVar w:name="LW_REF.INST.NEW" w:val="C"/>
    <w:docVar w:name="LW_REF.INST.NEW_ADOPTED" w:val="final"/>
    <w:docVar w:name="LW_REF.INST.NEW_TEXT" w:val="(2023) 6846"/>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o izmjeni i ispravku Provedbene uredbe (EU) 2022/1475 u pogledu opisa strukture proračunskih oznaka te vrste i formata podataka koje treba dostaviti za praćenje i evaluaciju strateških planova u okviru ZPP-a"/>
    <w:docVar w:name="LW_TYPE.DOC.CP" w:val="PROVEDBENA UREDBA KOMISIJE (EU) …/..."/>
    <w:docVar w:name="LwApiVersions" w:val="LW4CoDe 1.23.2.0; LW 8.0, Build 20211117"/>
  </w:docVars>
  <w:rsids>
    <w:rsidRoot w:val="00A054E7"/>
    <w:rsid w:val="000274F1"/>
    <w:rsid w:val="00044E2C"/>
    <w:rsid w:val="0007299D"/>
    <w:rsid w:val="00075A36"/>
    <w:rsid w:val="00093F62"/>
    <w:rsid w:val="00094205"/>
    <w:rsid w:val="0009625F"/>
    <w:rsid w:val="000B2477"/>
    <w:rsid w:val="000B67BD"/>
    <w:rsid w:val="000C1412"/>
    <w:rsid w:val="000D0F02"/>
    <w:rsid w:val="000F40DE"/>
    <w:rsid w:val="001065F5"/>
    <w:rsid w:val="00111D41"/>
    <w:rsid w:val="001238EF"/>
    <w:rsid w:val="0013195D"/>
    <w:rsid w:val="00140450"/>
    <w:rsid w:val="00150324"/>
    <w:rsid w:val="00154E24"/>
    <w:rsid w:val="00195EFB"/>
    <w:rsid w:val="00197613"/>
    <w:rsid w:val="001B10D4"/>
    <w:rsid w:val="001E5985"/>
    <w:rsid w:val="0021647B"/>
    <w:rsid w:val="00217E58"/>
    <w:rsid w:val="0022699E"/>
    <w:rsid w:val="00233DC7"/>
    <w:rsid w:val="00234FB4"/>
    <w:rsid w:val="00241126"/>
    <w:rsid w:val="00247779"/>
    <w:rsid w:val="00266534"/>
    <w:rsid w:val="00285BEE"/>
    <w:rsid w:val="00286E52"/>
    <w:rsid w:val="0029533F"/>
    <w:rsid w:val="0029719A"/>
    <w:rsid w:val="002A0431"/>
    <w:rsid w:val="002A7521"/>
    <w:rsid w:val="002B30AF"/>
    <w:rsid w:val="002D1E95"/>
    <w:rsid w:val="0033344A"/>
    <w:rsid w:val="00340F2B"/>
    <w:rsid w:val="003466F3"/>
    <w:rsid w:val="0035563E"/>
    <w:rsid w:val="00356A73"/>
    <w:rsid w:val="003A5F1C"/>
    <w:rsid w:val="003C5DF7"/>
    <w:rsid w:val="00405C04"/>
    <w:rsid w:val="0042025E"/>
    <w:rsid w:val="0042648E"/>
    <w:rsid w:val="00430B04"/>
    <w:rsid w:val="0048361D"/>
    <w:rsid w:val="004936D2"/>
    <w:rsid w:val="00494003"/>
    <w:rsid w:val="004977E1"/>
    <w:rsid w:val="004A7DC2"/>
    <w:rsid w:val="004D5BCA"/>
    <w:rsid w:val="004F2514"/>
    <w:rsid w:val="00515A00"/>
    <w:rsid w:val="0053095C"/>
    <w:rsid w:val="005564FF"/>
    <w:rsid w:val="00587C41"/>
    <w:rsid w:val="005A546B"/>
    <w:rsid w:val="005B1EB6"/>
    <w:rsid w:val="005B4AE0"/>
    <w:rsid w:val="005C6F30"/>
    <w:rsid w:val="005D3CD1"/>
    <w:rsid w:val="005D79F2"/>
    <w:rsid w:val="005F1256"/>
    <w:rsid w:val="00672A80"/>
    <w:rsid w:val="00687E25"/>
    <w:rsid w:val="006A40A0"/>
    <w:rsid w:val="006B2062"/>
    <w:rsid w:val="006B4C41"/>
    <w:rsid w:val="006D1BAF"/>
    <w:rsid w:val="006F04AD"/>
    <w:rsid w:val="00707219"/>
    <w:rsid w:val="007174E7"/>
    <w:rsid w:val="00733D2E"/>
    <w:rsid w:val="007660C7"/>
    <w:rsid w:val="00770A39"/>
    <w:rsid w:val="00773331"/>
    <w:rsid w:val="00774461"/>
    <w:rsid w:val="00787AAA"/>
    <w:rsid w:val="007932EF"/>
    <w:rsid w:val="007A368C"/>
    <w:rsid w:val="007B59F5"/>
    <w:rsid w:val="007D1EB2"/>
    <w:rsid w:val="007D7C3A"/>
    <w:rsid w:val="007E05B0"/>
    <w:rsid w:val="007E18AE"/>
    <w:rsid w:val="007F52B5"/>
    <w:rsid w:val="007F7775"/>
    <w:rsid w:val="00806345"/>
    <w:rsid w:val="008139BA"/>
    <w:rsid w:val="00827155"/>
    <w:rsid w:val="0085207F"/>
    <w:rsid w:val="00856C0C"/>
    <w:rsid w:val="00872DCD"/>
    <w:rsid w:val="00874D22"/>
    <w:rsid w:val="008A2914"/>
    <w:rsid w:val="008D7E2B"/>
    <w:rsid w:val="008E2056"/>
    <w:rsid w:val="008E4D8E"/>
    <w:rsid w:val="00912AFE"/>
    <w:rsid w:val="0092232D"/>
    <w:rsid w:val="00922788"/>
    <w:rsid w:val="00965B5F"/>
    <w:rsid w:val="009747A5"/>
    <w:rsid w:val="009769A4"/>
    <w:rsid w:val="00980B2A"/>
    <w:rsid w:val="00987668"/>
    <w:rsid w:val="00990703"/>
    <w:rsid w:val="009B0F49"/>
    <w:rsid w:val="009C10CB"/>
    <w:rsid w:val="009C2B43"/>
    <w:rsid w:val="009D459E"/>
    <w:rsid w:val="009F0C6C"/>
    <w:rsid w:val="009F7CA1"/>
    <w:rsid w:val="00A054E7"/>
    <w:rsid w:val="00A11813"/>
    <w:rsid w:val="00A15D80"/>
    <w:rsid w:val="00A26ED1"/>
    <w:rsid w:val="00A3555E"/>
    <w:rsid w:val="00A76B29"/>
    <w:rsid w:val="00A85EF2"/>
    <w:rsid w:val="00A95BBA"/>
    <w:rsid w:val="00AA013A"/>
    <w:rsid w:val="00AC196B"/>
    <w:rsid w:val="00AC6A16"/>
    <w:rsid w:val="00AD7BC1"/>
    <w:rsid w:val="00AE2641"/>
    <w:rsid w:val="00AE6C40"/>
    <w:rsid w:val="00B07461"/>
    <w:rsid w:val="00B12553"/>
    <w:rsid w:val="00B15676"/>
    <w:rsid w:val="00B42850"/>
    <w:rsid w:val="00B518A9"/>
    <w:rsid w:val="00B5499C"/>
    <w:rsid w:val="00B75B78"/>
    <w:rsid w:val="00BA62E9"/>
    <w:rsid w:val="00BA68D3"/>
    <w:rsid w:val="00BE1A1D"/>
    <w:rsid w:val="00BE1BFF"/>
    <w:rsid w:val="00BE44CD"/>
    <w:rsid w:val="00BF1CFA"/>
    <w:rsid w:val="00BF2642"/>
    <w:rsid w:val="00C01266"/>
    <w:rsid w:val="00C054F3"/>
    <w:rsid w:val="00C12301"/>
    <w:rsid w:val="00C31A49"/>
    <w:rsid w:val="00C335C0"/>
    <w:rsid w:val="00C57897"/>
    <w:rsid w:val="00C81E15"/>
    <w:rsid w:val="00CD0E83"/>
    <w:rsid w:val="00CF4A1A"/>
    <w:rsid w:val="00CF6784"/>
    <w:rsid w:val="00D16ADE"/>
    <w:rsid w:val="00D20381"/>
    <w:rsid w:val="00D37EBF"/>
    <w:rsid w:val="00D442A6"/>
    <w:rsid w:val="00D7059B"/>
    <w:rsid w:val="00D8356E"/>
    <w:rsid w:val="00DB6B81"/>
    <w:rsid w:val="00DD1A98"/>
    <w:rsid w:val="00DD28FA"/>
    <w:rsid w:val="00DD4C1F"/>
    <w:rsid w:val="00E06C43"/>
    <w:rsid w:val="00E1784B"/>
    <w:rsid w:val="00E3695B"/>
    <w:rsid w:val="00E52F63"/>
    <w:rsid w:val="00E562C0"/>
    <w:rsid w:val="00E80908"/>
    <w:rsid w:val="00EA2130"/>
    <w:rsid w:val="00EF75CF"/>
    <w:rsid w:val="00EF7FE5"/>
    <w:rsid w:val="00F122DC"/>
    <w:rsid w:val="00F96495"/>
    <w:rsid w:val="00FA22FF"/>
    <w:rsid w:val="00FA46B4"/>
    <w:rsid w:val="00FC38F8"/>
    <w:rsid w:val="00FD790C"/>
    <w:rsid w:val="00FF76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56ABE479"/>
  <w15:docId w15:val="{F192493B-61A9-495E-8703-8CFBAE52B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hr-HR"/>
    </w:rPr>
  </w:style>
  <w:style w:type="paragraph" w:styleId="Heading1">
    <w:name w:val="heading 1"/>
    <w:basedOn w:val="Normal"/>
    <w:next w:val="Text1"/>
    <w:link w:val="Heading1Char"/>
    <w:uiPriority w:val="9"/>
    <w:qFormat/>
    <w:pPr>
      <w:keepNext/>
      <w:numPr>
        <w:numId w:val="16"/>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6"/>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6"/>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6"/>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16"/>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16"/>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16"/>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A054E7"/>
    <w:pPr>
      <w:numPr>
        <w:numId w:val="1"/>
      </w:numPr>
    </w:pPr>
    <w:rPr>
      <w:rFonts w:eastAsia="Times New Roman"/>
      <w:lang w:eastAsia="en-GB"/>
    </w:rPr>
  </w:style>
  <w:style w:type="character" w:styleId="Hyperlink">
    <w:name w:val="Hyperlink"/>
    <w:basedOn w:val="DefaultParagraphFont"/>
    <w:uiPriority w:val="99"/>
    <w:unhideWhenUsed/>
    <w:rsid w:val="002A0431"/>
    <w:rPr>
      <w:color w:val="0000FF" w:themeColor="hyperlink"/>
      <w:u w:val="single"/>
    </w:rPr>
  </w:style>
  <w:style w:type="character" w:styleId="CommentReference">
    <w:name w:val="annotation reference"/>
    <w:basedOn w:val="DefaultParagraphFont"/>
    <w:uiPriority w:val="99"/>
    <w:semiHidden/>
    <w:unhideWhenUsed/>
    <w:rsid w:val="002A0431"/>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hr-HR"/>
    </w:rPr>
  </w:style>
  <w:style w:type="paragraph" w:styleId="CommentSubject">
    <w:name w:val="annotation subject"/>
    <w:basedOn w:val="CommentText"/>
    <w:next w:val="CommentText"/>
    <w:link w:val="CommentSubjectChar"/>
    <w:uiPriority w:val="99"/>
    <w:semiHidden/>
    <w:unhideWhenUsed/>
    <w:rsid w:val="00140450"/>
    <w:rPr>
      <w:b/>
      <w:bCs/>
    </w:rPr>
  </w:style>
  <w:style w:type="character" w:customStyle="1" w:styleId="CommentSubjectChar">
    <w:name w:val="Comment Subject Char"/>
    <w:basedOn w:val="CommentTextChar"/>
    <w:link w:val="CommentSubject"/>
    <w:uiPriority w:val="99"/>
    <w:semiHidden/>
    <w:rsid w:val="00140450"/>
    <w:rPr>
      <w:rFonts w:ascii="Times New Roman" w:hAnsi="Times New Roman" w:cs="Times New Roman"/>
      <w:b/>
      <w:bCs/>
      <w:sz w:val="20"/>
      <w:szCs w:val="20"/>
      <w:lang w:val="hr-HR"/>
    </w:rPr>
  </w:style>
  <w:style w:type="character" w:customStyle="1" w:styleId="UnresolvedMention1">
    <w:name w:val="Unresolved Mention1"/>
    <w:basedOn w:val="DefaultParagraphFont"/>
    <w:uiPriority w:val="99"/>
    <w:semiHidden/>
    <w:unhideWhenUsed/>
    <w:rsid w:val="00140450"/>
    <w:rPr>
      <w:color w:val="605E5C"/>
      <w:shd w:val="clear" w:color="auto" w:fill="E1DFDD"/>
    </w:rPr>
  </w:style>
  <w:style w:type="paragraph" w:styleId="ListBullet2">
    <w:name w:val="List Bullet 2"/>
    <w:basedOn w:val="Normal"/>
    <w:uiPriority w:val="99"/>
    <w:semiHidden/>
    <w:unhideWhenUsed/>
    <w:rsid w:val="009B0F49"/>
    <w:pPr>
      <w:numPr>
        <w:numId w:val="2"/>
      </w:numPr>
      <w:contextualSpacing/>
    </w:pPr>
  </w:style>
  <w:style w:type="paragraph" w:styleId="ListBullet3">
    <w:name w:val="List Bullet 3"/>
    <w:basedOn w:val="Normal"/>
    <w:uiPriority w:val="99"/>
    <w:semiHidden/>
    <w:unhideWhenUsed/>
    <w:rsid w:val="009B0F49"/>
    <w:pPr>
      <w:numPr>
        <w:numId w:val="3"/>
      </w:numPr>
      <w:contextualSpacing/>
    </w:pPr>
  </w:style>
  <w:style w:type="paragraph" w:styleId="ListBullet4">
    <w:name w:val="List Bullet 4"/>
    <w:basedOn w:val="Normal"/>
    <w:uiPriority w:val="99"/>
    <w:semiHidden/>
    <w:unhideWhenUsed/>
    <w:rsid w:val="009B0F49"/>
    <w:pPr>
      <w:numPr>
        <w:numId w:val="4"/>
      </w:numPr>
      <w:contextualSpacing/>
    </w:pPr>
  </w:style>
  <w:style w:type="paragraph" w:styleId="BalloonText">
    <w:name w:val="Balloon Text"/>
    <w:basedOn w:val="Normal"/>
    <w:link w:val="BalloonTextChar"/>
    <w:uiPriority w:val="99"/>
    <w:semiHidden/>
    <w:unhideWhenUsed/>
    <w:rsid w:val="006D1BAF"/>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1BAF"/>
    <w:rPr>
      <w:rFonts w:ascii="Segoe UI" w:hAnsi="Segoe UI" w:cs="Segoe UI"/>
      <w:sz w:val="18"/>
      <w:szCs w:val="18"/>
      <w:lang w:val="hr-HR"/>
    </w:rPr>
  </w:style>
  <w:style w:type="paragraph" w:styleId="Revision">
    <w:name w:val="Revision"/>
    <w:hidden/>
    <w:uiPriority w:val="99"/>
    <w:semiHidden/>
    <w:rsid w:val="005A546B"/>
    <w:pPr>
      <w:spacing w:after="0" w:line="240" w:lineRule="auto"/>
    </w:pPr>
    <w:rPr>
      <w:rFonts w:ascii="Times New Roman" w:hAnsi="Times New Roman" w:cs="Times New Roman"/>
      <w:sz w:val="24"/>
    </w:rPr>
  </w:style>
  <w:style w:type="paragraph" w:styleId="NormalWeb">
    <w:name w:val="Normal (Web)"/>
    <w:basedOn w:val="Normal"/>
    <w:uiPriority w:val="99"/>
    <w:semiHidden/>
    <w:unhideWhenUsed/>
    <w:rsid w:val="00E06C43"/>
    <w:rPr>
      <w:szCs w:val="24"/>
    </w:rPr>
  </w:style>
  <w:style w:type="paragraph" w:styleId="Header">
    <w:name w:val="header"/>
    <w:basedOn w:val="Normal"/>
    <w:link w:val="HeaderChar"/>
    <w:uiPriority w:val="99"/>
    <w:unhideWhenUsed/>
    <w:rsid w:val="004A7DC2"/>
    <w:pPr>
      <w:tabs>
        <w:tab w:val="center" w:pos="4535"/>
        <w:tab w:val="right" w:pos="9071"/>
      </w:tabs>
      <w:spacing w:before="0"/>
    </w:pPr>
  </w:style>
  <w:style w:type="character" w:customStyle="1" w:styleId="HeaderChar">
    <w:name w:val="Header Char"/>
    <w:basedOn w:val="DefaultParagraphFont"/>
    <w:link w:val="Header"/>
    <w:uiPriority w:val="99"/>
    <w:rsid w:val="004A7DC2"/>
    <w:rPr>
      <w:rFonts w:ascii="Times New Roman" w:hAnsi="Times New Roman" w:cs="Times New Roman"/>
      <w:sz w:val="24"/>
      <w:lang w:val="hr-HR"/>
    </w:rPr>
  </w:style>
  <w:style w:type="paragraph" w:styleId="Footer">
    <w:name w:val="footer"/>
    <w:basedOn w:val="Normal"/>
    <w:link w:val="FooterChar"/>
    <w:uiPriority w:val="99"/>
    <w:unhideWhenUsed/>
    <w:rsid w:val="004A7DC2"/>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4A7DC2"/>
    <w:rPr>
      <w:rFonts w:ascii="Times New Roman" w:hAnsi="Times New Roman" w:cs="Times New Roman"/>
      <w:sz w:val="24"/>
      <w:lang w:val="hr-HR"/>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hr-HR"/>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hr-HR"/>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hr-HR"/>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hr-HR"/>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lang w:val="hr-HR"/>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lang w:val="hr-HR"/>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lang w:val="hr-HR"/>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paragraph" w:customStyle="1" w:styleId="HeaderLandscape">
    <w:name w:val="HeaderLandscape"/>
    <w:basedOn w:val="Normal"/>
    <w:rsid w:val="004A7DC2"/>
    <w:pPr>
      <w:tabs>
        <w:tab w:val="center" w:pos="7285"/>
        <w:tab w:val="right" w:pos="14003"/>
      </w:tabs>
      <w:spacing w:before="0"/>
    </w:pPr>
  </w:style>
  <w:style w:type="paragraph" w:customStyle="1" w:styleId="FooterLandscape">
    <w:name w:val="FooterLandscape"/>
    <w:basedOn w:val="Normal"/>
    <w:rsid w:val="004A7DC2"/>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4A7DC2"/>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4A7DC2"/>
    <w:pPr>
      <w:spacing w:before="0"/>
      <w:jc w:val="right"/>
    </w:pPr>
    <w:rPr>
      <w:sz w:val="28"/>
    </w:rPr>
  </w:style>
  <w:style w:type="paragraph" w:customStyle="1" w:styleId="FooterSensitivity">
    <w:name w:val="Footer Sensitivity"/>
    <w:basedOn w:val="Normal"/>
    <w:rsid w:val="004A7DC2"/>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9"/>
      </w:numPr>
    </w:pPr>
  </w:style>
  <w:style w:type="paragraph" w:customStyle="1" w:styleId="Tiret1">
    <w:name w:val="Tiret 1"/>
    <w:basedOn w:val="Point1"/>
    <w:pPr>
      <w:numPr>
        <w:numId w:val="10"/>
      </w:numPr>
    </w:pPr>
  </w:style>
  <w:style w:type="paragraph" w:customStyle="1" w:styleId="Tiret2">
    <w:name w:val="Tiret 2"/>
    <w:basedOn w:val="Point2"/>
    <w:pPr>
      <w:numPr>
        <w:numId w:val="11"/>
      </w:numPr>
    </w:pPr>
  </w:style>
  <w:style w:type="paragraph" w:customStyle="1" w:styleId="Tiret3">
    <w:name w:val="Tiret 3"/>
    <w:basedOn w:val="Point3"/>
    <w:pPr>
      <w:numPr>
        <w:numId w:val="12"/>
      </w:numPr>
    </w:pPr>
  </w:style>
  <w:style w:type="paragraph" w:customStyle="1" w:styleId="Tiret4">
    <w:name w:val="Tiret 4"/>
    <w:basedOn w:val="Point4"/>
    <w:pPr>
      <w:numPr>
        <w:numId w:val="13"/>
      </w:numPr>
    </w:pPr>
  </w:style>
  <w:style w:type="paragraph" w:customStyle="1" w:styleId="Tiret5">
    <w:name w:val="Tiret 5"/>
    <w:basedOn w:val="Point5"/>
    <w:pPr>
      <w:numPr>
        <w:numId w:val="14"/>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5"/>
      </w:numPr>
    </w:pPr>
  </w:style>
  <w:style w:type="paragraph" w:customStyle="1" w:styleId="NumPar2">
    <w:name w:val="NumPar 2"/>
    <w:basedOn w:val="Normal"/>
    <w:next w:val="Text1"/>
    <w:pPr>
      <w:numPr>
        <w:ilvl w:val="1"/>
        <w:numId w:val="15"/>
      </w:numPr>
    </w:pPr>
  </w:style>
  <w:style w:type="paragraph" w:customStyle="1" w:styleId="NumPar3">
    <w:name w:val="NumPar 3"/>
    <w:basedOn w:val="Normal"/>
    <w:next w:val="Text1"/>
    <w:pPr>
      <w:numPr>
        <w:ilvl w:val="2"/>
        <w:numId w:val="15"/>
      </w:numPr>
    </w:pPr>
  </w:style>
  <w:style w:type="paragraph" w:customStyle="1" w:styleId="NumPar4">
    <w:name w:val="NumPar 4"/>
    <w:basedOn w:val="Normal"/>
    <w:next w:val="Text1"/>
    <w:pPr>
      <w:numPr>
        <w:ilvl w:val="3"/>
        <w:numId w:val="15"/>
      </w:numPr>
    </w:pPr>
  </w:style>
  <w:style w:type="paragraph" w:customStyle="1" w:styleId="NumPar5">
    <w:name w:val="NumPar 5"/>
    <w:basedOn w:val="Normal"/>
    <w:next w:val="Text2"/>
    <w:pPr>
      <w:numPr>
        <w:ilvl w:val="4"/>
        <w:numId w:val="15"/>
      </w:numPr>
    </w:pPr>
  </w:style>
  <w:style w:type="paragraph" w:customStyle="1" w:styleId="NumPar6">
    <w:name w:val="NumPar 6"/>
    <w:basedOn w:val="Normal"/>
    <w:next w:val="Text2"/>
    <w:pPr>
      <w:numPr>
        <w:ilvl w:val="5"/>
        <w:numId w:val="15"/>
      </w:numPr>
    </w:pPr>
  </w:style>
  <w:style w:type="paragraph" w:customStyle="1" w:styleId="NumPar7">
    <w:name w:val="NumPar 7"/>
    <w:basedOn w:val="Normal"/>
    <w:next w:val="Text2"/>
    <w:pPr>
      <w:numPr>
        <w:ilvl w:val="6"/>
        <w:numId w:val="15"/>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sid w:val="00BE1BFF"/>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7"/>
      </w:numPr>
    </w:pPr>
  </w:style>
  <w:style w:type="paragraph" w:customStyle="1" w:styleId="Point1number">
    <w:name w:val="Point 1 (number)"/>
    <w:basedOn w:val="Normal"/>
    <w:pPr>
      <w:numPr>
        <w:ilvl w:val="2"/>
        <w:numId w:val="17"/>
      </w:numPr>
    </w:pPr>
  </w:style>
  <w:style w:type="paragraph" w:customStyle="1" w:styleId="Point2number">
    <w:name w:val="Point 2 (number)"/>
    <w:basedOn w:val="Normal"/>
    <w:pPr>
      <w:numPr>
        <w:ilvl w:val="4"/>
        <w:numId w:val="17"/>
      </w:numPr>
    </w:pPr>
  </w:style>
  <w:style w:type="paragraph" w:customStyle="1" w:styleId="Point3number">
    <w:name w:val="Point 3 (number)"/>
    <w:basedOn w:val="Normal"/>
    <w:pPr>
      <w:numPr>
        <w:ilvl w:val="6"/>
        <w:numId w:val="17"/>
      </w:numPr>
    </w:pPr>
  </w:style>
  <w:style w:type="paragraph" w:customStyle="1" w:styleId="Point0letter">
    <w:name w:val="Point 0 (letter)"/>
    <w:basedOn w:val="Normal"/>
    <w:pPr>
      <w:numPr>
        <w:ilvl w:val="1"/>
        <w:numId w:val="17"/>
      </w:numPr>
    </w:pPr>
  </w:style>
  <w:style w:type="paragraph" w:customStyle="1" w:styleId="Point1letter">
    <w:name w:val="Point 1 (letter)"/>
    <w:basedOn w:val="Normal"/>
    <w:pPr>
      <w:numPr>
        <w:ilvl w:val="3"/>
        <w:numId w:val="17"/>
      </w:numPr>
    </w:pPr>
  </w:style>
  <w:style w:type="paragraph" w:customStyle="1" w:styleId="Point2letter">
    <w:name w:val="Point 2 (letter)"/>
    <w:basedOn w:val="Normal"/>
    <w:pPr>
      <w:numPr>
        <w:ilvl w:val="5"/>
        <w:numId w:val="17"/>
      </w:numPr>
    </w:pPr>
  </w:style>
  <w:style w:type="paragraph" w:customStyle="1" w:styleId="Point3letter">
    <w:name w:val="Point 3 (letter)"/>
    <w:basedOn w:val="Normal"/>
    <w:pPr>
      <w:numPr>
        <w:ilvl w:val="7"/>
        <w:numId w:val="17"/>
      </w:numPr>
    </w:pPr>
  </w:style>
  <w:style w:type="paragraph" w:customStyle="1" w:styleId="Point4letter">
    <w:name w:val="Point 4 (letter)"/>
    <w:basedOn w:val="Normal"/>
    <w:pPr>
      <w:numPr>
        <w:ilvl w:val="8"/>
        <w:numId w:val="17"/>
      </w:numPr>
    </w:pPr>
  </w:style>
  <w:style w:type="paragraph" w:customStyle="1" w:styleId="Bullet0">
    <w:name w:val="Bullet 0"/>
    <w:basedOn w:val="Normal"/>
    <w:pPr>
      <w:numPr>
        <w:numId w:val="18"/>
      </w:numPr>
    </w:pPr>
  </w:style>
  <w:style w:type="paragraph" w:customStyle="1" w:styleId="Bullet1">
    <w:name w:val="Bullet 1"/>
    <w:basedOn w:val="Normal"/>
    <w:pPr>
      <w:numPr>
        <w:numId w:val="19"/>
      </w:numPr>
    </w:pPr>
  </w:style>
  <w:style w:type="paragraph" w:customStyle="1" w:styleId="Bullet2">
    <w:name w:val="Bullet 2"/>
    <w:basedOn w:val="Normal"/>
    <w:pPr>
      <w:numPr>
        <w:numId w:val="20"/>
      </w:numPr>
    </w:pPr>
  </w:style>
  <w:style w:type="paragraph" w:customStyle="1" w:styleId="Bullet3">
    <w:name w:val="Bullet 3"/>
    <w:basedOn w:val="Normal"/>
    <w:pPr>
      <w:numPr>
        <w:numId w:val="21"/>
      </w:numPr>
    </w:pPr>
  </w:style>
  <w:style w:type="paragraph" w:customStyle="1" w:styleId="Bullet4">
    <w:name w:val="Bullet 4"/>
    <w:basedOn w:val="Normal"/>
    <w:pPr>
      <w:numPr>
        <w:numId w:val="22"/>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3"/>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332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046B9E-E5A7-4055-9D65-A1C2B7750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75</TotalTime>
  <Pages>5</Pages>
  <Words>1040</Words>
  <Characters>6382</Characters>
  <Application>Microsoft Office Word</Application>
  <DocSecurity>0</DocSecurity>
  <Lines>127</Lines>
  <Paragraphs>62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46</cp:revision>
  <dcterms:created xsi:type="dcterms:W3CDTF">2023-09-11T08:09:00Z</dcterms:created>
  <dcterms:modified xsi:type="dcterms:W3CDTF">2023-10-06T09:54:00Z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COM/AA</vt:lpwstr>
  </property>
  <property fmtid="{D5CDD505-2E9C-101B-9397-08002B2CF9AE}" pid="3" name="Version">
    <vt:lpwstr>8.0.25.0</vt:lpwstr>
  </property>
  <property fmtid="{D5CDD505-2E9C-101B-9397-08002B2CF9AE}" pid="4" name="Last edited using">
    <vt:lpwstr>LW 9.0, Build 20230317</vt:lpwstr>
  </property>
  <property fmtid="{D5CDD505-2E9C-101B-9397-08002B2CF9AE}" pid="5" name="MSIP_Label_6bd9ddd1-4d20-43f6-abfa-fc3c07406f94_Enabled">
    <vt:lpwstr>true</vt:lpwstr>
  </property>
  <property fmtid="{D5CDD505-2E9C-101B-9397-08002B2CF9AE}" pid="6" name="MSIP_Label_6bd9ddd1-4d20-43f6-abfa-fc3c07406f94_SetDate">
    <vt:lpwstr>2023-05-23T07:57:17Z</vt:lpwstr>
  </property>
  <property fmtid="{D5CDD505-2E9C-101B-9397-08002B2CF9AE}" pid="7" name="MSIP_Label_6bd9ddd1-4d20-43f6-abfa-fc3c07406f94_Method">
    <vt:lpwstr>Standard</vt:lpwstr>
  </property>
  <property fmtid="{D5CDD505-2E9C-101B-9397-08002B2CF9AE}" pid="8" name="MSIP_Label_6bd9ddd1-4d20-43f6-abfa-fc3c07406f94_Name">
    <vt:lpwstr>Commission Use</vt:lpwstr>
  </property>
  <property fmtid="{D5CDD505-2E9C-101B-9397-08002B2CF9AE}" pid="9" name="MSIP_Label_6bd9ddd1-4d20-43f6-abfa-fc3c07406f94_SiteId">
    <vt:lpwstr>b24c8b06-522c-46fe-9080-70926f8dddb1</vt:lpwstr>
  </property>
  <property fmtid="{D5CDD505-2E9C-101B-9397-08002B2CF9AE}" pid="10" name="MSIP_Label_6bd9ddd1-4d20-43f6-abfa-fc3c07406f94_ActionId">
    <vt:lpwstr>dd6d0a35-6f5f-4e02-8834-657a917d2fe5</vt:lpwstr>
  </property>
  <property fmtid="{D5CDD505-2E9C-101B-9397-08002B2CF9AE}" pid="11" name="MSIP_Label_6bd9ddd1-4d20-43f6-abfa-fc3c07406f94_ContentBits">
    <vt:lpwstr>0</vt:lpwstr>
  </property>
  <property fmtid="{D5CDD505-2E9C-101B-9397-08002B2CF9AE}" pid="12" name="Created using">
    <vt:lpwstr>LW 9.0, Build 20230317</vt:lpwstr>
  </property>
  <property fmtid="{D5CDD505-2E9C-101B-9397-08002B2CF9AE}" pid="13" name="Part">
    <vt:lpwstr>1</vt:lpwstr>
  </property>
  <property fmtid="{D5CDD505-2E9C-101B-9397-08002B2CF9AE}" pid="14" name="Total parts">
    <vt:lpwstr>1</vt:lpwstr>
  </property>
  <property fmtid="{D5CDD505-2E9C-101B-9397-08002B2CF9AE}" pid="15" name="Level of sensitivity">
    <vt:lpwstr>Standard treatment</vt:lpwstr>
  </property>
  <property fmtid="{D5CDD505-2E9C-101B-9397-08002B2CF9AE}" pid="16" name="LWTemplateID">
    <vt:lpwstr>SJ-004</vt:lpwstr>
  </property>
  <property fmtid="{D5CDD505-2E9C-101B-9397-08002B2CF9AE}" pid="17" name="DQCStatus">
    <vt:lpwstr>Green (DQC version 03)</vt:lpwstr>
  </property>
  <property name="OP_sanitized" fmtid="{D5CDD505-2E9C-101B-9397-08002B2CF9AE}" pid="18">
    <vt:lpwstr>True</vt:lpwstr>
  </property>
</Properties>
</file>