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9C5DC" w14:textId="56220F7D" w:rsidR="00C36E0D" w:rsidRPr="00041CE1" w:rsidRDefault="006F4A18" w:rsidP="006F4A18">
      <w:pPr>
        <w:pStyle w:val="Pagedecouverture"/>
        <w:rPr>
          <w:noProof/>
        </w:rPr>
      </w:pPr>
      <w:r>
        <w:rPr>
          <w:noProof/>
        </w:rPr>
        <w:pict w14:anchorId="7B996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B7896F7B-894A-4B77-ACA9-A2DD97595E64" style="width:455.25pt;height:385.5pt">
            <v:imagedata r:id="rId8" o:title=""/>
          </v:shape>
        </w:pict>
      </w:r>
    </w:p>
    <w:p w14:paraId="5D7863CF" w14:textId="28A61834" w:rsidR="00CE3F70" w:rsidRPr="00041CE1" w:rsidRDefault="00CE3F70" w:rsidP="00901DB7">
      <w:pPr>
        <w:rPr>
          <w:noProof/>
        </w:rPr>
        <w:sectPr w:rsidR="00CE3F70" w:rsidRPr="00041CE1" w:rsidSect="006F4A18">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6E99E2B3" w14:textId="75EF4229" w:rsidR="00CE3F70" w:rsidRPr="00041CE1" w:rsidRDefault="00041CE1" w:rsidP="00041CE1">
      <w:pPr>
        <w:pStyle w:val="Typedudocument"/>
        <w:rPr>
          <w:noProof/>
        </w:rPr>
      </w:pPr>
      <w:bookmarkStart w:id="0" w:name="_GoBack"/>
      <w:bookmarkEnd w:id="0"/>
      <w:r w:rsidRPr="00041CE1">
        <w:rPr>
          <w:noProof/>
        </w:rPr>
        <w:lastRenderedPageBreak/>
        <w:t>UREDBA KOMISIJE (EU) .../...</w:t>
      </w:r>
    </w:p>
    <w:p w14:paraId="209AD973" w14:textId="4FCAC9F3" w:rsidR="00CE3F70" w:rsidRPr="00041CE1" w:rsidRDefault="00193AF3" w:rsidP="00041CE1">
      <w:pPr>
        <w:pStyle w:val="Datedadoption"/>
        <w:rPr>
          <w:noProof/>
        </w:rPr>
      </w:pPr>
      <w:r>
        <w:t>оd 30.11.2022.</w:t>
      </w:r>
    </w:p>
    <w:p w14:paraId="6F94E452" w14:textId="590DDA1E" w:rsidR="00CE3F70" w:rsidRPr="00041CE1" w:rsidRDefault="00041CE1" w:rsidP="00041CE1">
      <w:pPr>
        <w:pStyle w:val="Titreobjet"/>
        <w:rPr>
          <w:noProof/>
        </w:rPr>
      </w:pPr>
      <w:r w:rsidRPr="00041CE1">
        <w:rPr>
          <w:noProof/>
        </w:rPr>
        <w:t>o izmjeni Priloga III. Uredbi (EZ) br. 1925/2006 Europskog parlamenta i Vijeća u pogledu ekstrakata zelenog čaja koji sadržava (-)-epigalokatehin-3-galat</w:t>
      </w:r>
    </w:p>
    <w:p w14:paraId="3E080BEF" w14:textId="0C914977" w:rsidR="00954C42" w:rsidRPr="00041CE1" w:rsidRDefault="00041CE1" w:rsidP="00041CE1">
      <w:pPr>
        <w:pStyle w:val="IntrtEEE"/>
        <w:rPr>
          <w:noProof/>
        </w:rPr>
      </w:pPr>
      <w:r w:rsidRPr="00041CE1">
        <w:rPr>
          <w:noProof/>
        </w:rPr>
        <w:t>(Tekst značajan za EGP)</w:t>
      </w:r>
    </w:p>
    <w:p w14:paraId="55BEAA43" w14:textId="77777777" w:rsidR="00CE3F70" w:rsidRPr="00041CE1" w:rsidRDefault="00CE3F70" w:rsidP="00901DB7">
      <w:pPr>
        <w:pStyle w:val="Institutionquiagit"/>
        <w:rPr>
          <w:noProof/>
        </w:rPr>
      </w:pPr>
      <w:r w:rsidRPr="00041CE1">
        <w:rPr>
          <w:noProof/>
        </w:rPr>
        <w:t>EUROPSKA KOMISIJA,</w:t>
      </w:r>
    </w:p>
    <w:p w14:paraId="0E96AF66" w14:textId="77777777" w:rsidR="00CE3F70" w:rsidRPr="00041CE1" w:rsidRDefault="00CE3F70" w:rsidP="00901DB7">
      <w:pPr>
        <w:rPr>
          <w:noProof/>
        </w:rPr>
      </w:pPr>
      <w:r w:rsidRPr="00041CE1">
        <w:rPr>
          <w:noProof/>
        </w:rPr>
        <w:t>uzimajući u obzir Ugovor o funkcioniranju Europske unije,</w:t>
      </w:r>
    </w:p>
    <w:p w14:paraId="45D3947A" w14:textId="68BCCA0E" w:rsidR="00954C42" w:rsidRPr="00041CE1" w:rsidRDefault="00954C42" w:rsidP="00954C42">
      <w:pPr>
        <w:rPr>
          <w:noProof/>
        </w:rPr>
      </w:pPr>
      <w:r w:rsidRPr="00041CE1">
        <w:rPr>
          <w:noProof/>
        </w:rPr>
        <w:t>uzimajući u obzir Uredbu (EZ) br. 1925/2006 Europskog parlamenta i Vijeća od 20. prosinca 2006. o dodavanju vitamina, minerala i određenih drugih tvari hrani</w:t>
      </w:r>
      <w:r w:rsidRPr="00041CE1">
        <w:rPr>
          <w:rStyle w:val="FootnoteReference"/>
          <w:noProof/>
        </w:rPr>
        <w:footnoteReference w:id="1"/>
      </w:r>
      <w:r w:rsidRPr="00041CE1">
        <w:rPr>
          <w:noProof/>
        </w:rPr>
        <w:t>, a posebno njezin članak 8. stavak 2. točku (a) podtočku ii. i točku (b),</w:t>
      </w:r>
    </w:p>
    <w:p w14:paraId="60F3DD8A" w14:textId="0602F45F" w:rsidR="00954C42" w:rsidRPr="00041CE1" w:rsidRDefault="00954C42" w:rsidP="00954C42">
      <w:pPr>
        <w:rPr>
          <w:noProof/>
        </w:rPr>
      </w:pPr>
      <w:r w:rsidRPr="00041CE1">
        <w:rPr>
          <w:noProof/>
        </w:rPr>
        <w:t>budući da:</w:t>
      </w:r>
    </w:p>
    <w:p w14:paraId="0686F371" w14:textId="0BCFFB85" w:rsidR="00954C42" w:rsidRPr="00041CE1" w:rsidRDefault="004979EB" w:rsidP="004979EB">
      <w:pPr>
        <w:pStyle w:val="ManualConsidrant"/>
        <w:rPr>
          <w:noProof/>
        </w:rPr>
      </w:pPr>
      <w:r w:rsidRPr="004979EB">
        <w:t>(1)</w:t>
      </w:r>
      <w:r w:rsidRPr="004979EB">
        <w:tab/>
      </w:r>
      <w:r w:rsidR="00954C42" w:rsidRPr="00041CE1">
        <w:rPr>
          <w:noProof/>
        </w:rPr>
        <w:t>U skladu s člankom 8. stavkom 2. Uredbe (EZ) br. 1925/2006 Komisija može, na vlastitu inicijativu ili na temelju informacija koje dostave države članice, pokrenuti postupak za uključivanje tvari ili sastojka koji sadržava tvar koja nije vitamin ili mineral u Prilog III. toj uredbi, u kojem su navedene tvari čija je upotreba u hrani zabranjena, ograničena ili pod nadzorom Unije, ako bi ta tvar mogla predstavljati opasnost za potrošače kako je definirano u članku 8. stavku 1. Uredbe (EZ) br. 1925/2006.</w:t>
      </w:r>
    </w:p>
    <w:p w14:paraId="35891C99" w14:textId="3A13271B" w:rsidR="00EF1E5C" w:rsidRPr="00041CE1" w:rsidRDefault="004979EB" w:rsidP="004979EB">
      <w:pPr>
        <w:pStyle w:val="ManualConsidrant"/>
        <w:rPr>
          <w:noProof/>
        </w:rPr>
      </w:pPr>
      <w:r w:rsidRPr="004979EB">
        <w:t>(2)</w:t>
      </w:r>
      <w:r w:rsidRPr="004979EB">
        <w:tab/>
      </w:r>
      <w:r w:rsidR="00026077" w:rsidRPr="00041CE1">
        <w:rPr>
          <w:noProof/>
        </w:rPr>
        <w:t xml:space="preserve">Norveška, Švedska i Danska poslale su 12. listopada 2015. zahtjev Komisiji za pokretanje postupka u skladu s člankom 8. Uredbe (EZ) br. 1925/2006 jer bi unos katehinâ, a posebno (-)-epigalokatehin-3-galata u ekstraktima zelenog čaja koji se koriste u proizvodnji hrane mogao predstavljati opasnost za potrošače. </w:t>
      </w:r>
    </w:p>
    <w:p w14:paraId="776BC2F7" w14:textId="5327D495" w:rsidR="00A244F7" w:rsidRPr="00041CE1" w:rsidRDefault="004979EB" w:rsidP="004979EB">
      <w:pPr>
        <w:pStyle w:val="ManualConsidrant"/>
        <w:rPr>
          <w:noProof/>
        </w:rPr>
      </w:pPr>
      <w:r w:rsidRPr="004979EB">
        <w:t>(3)</w:t>
      </w:r>
      <w:r w:rsidRPr="004979EB">
        <w:tab/>
      </w:r>
      <w:r w:rsidR="00E9397B" w:rsidRPr="00041CE1">
        <w:rPr>
          <w:noProof/>
        </w:rPr>
        <w:t>Zahtjev Norveške, Švedske i Danske ispunjavao je potrebne uvjete i zahtjeve propisane člancima 3. i 4. Provedbene uredbe Komisije (EU) br. 307/2012</w:t>
      </w:r>
      <w:r w:rsidR="00E9397B" w:rsidRPr="00041CE1">
        <w:rPr>
          <w:rStyle w:val="FootnoteReference"/>
          <w:noProof/>
        </w:rPr>
        <w:footnoteReference w:id="2"/>
      </w:r>
      <w:r w:rsidR="00E9397B" w:rsidRPr="00041CE1">
        <w:rPr>
          <w:noProof/>
        </w:rPr>
        <w:t>. Dostupne informacije, na kojima se temeljio zahtjev, uključivale su znanstveno mišljenje Nacionalnog instituta za hranu danskog Tehničkog sveučilišta</w:t>
      </w:r>
      <w:r w:rsidR="00E9397B" w:rsidRPr="00041CE1">
        <w:rPr>
          <w:rStyle w:val="FootnoteReference"/>
          <w:noProof/>
        </w:rPr>
        <w:footnoteReference w:id="3"/>
      </w:r>
      <w:r w:rsidR="00E9397B" w:rsidRPr="00041CE1">
        <w:rPr>
          <w:noProof/>
        </w:rPr>
        <w:t xml:space="preserve"> o ekstraktima zelenog čaja i procjenu sigurnosti razina (-)-epigalokatehin-3-galata u ekstraktima zelenog čaja koji se upotrebljavaju u dodacima prehrani koju je proveo Norveški institut za javno zdravstvo</w:t>
      </w:r>
      <w:r w:rsidR="00E9397B" w:rsidRPr="00041CE1">
        <w:rPr>
          <w:rStyle w:val="FootnoteReference"/>
          <w:noProof/>
        </w:rPr>
        <w:footnoteReference w:id="4"/>
      </w:r>
      <w:r w:rsidR="00E9397B" w:rsidRPr="00041CE1">
        <w:rPr>
          <w:noProof/>
        </w:rPr>
        <w:t xml:space="preserve">. </w:t>
      </w:r>
    </w:p>
    <w:p w14:paraId="681AF91D" w14:textId="05601C3C" w:rsidR="00026077" w:rsidRPr="00041CE1" w:rsidRDefault="004979EB" w:rsidP="004979EB">
      <w:pPr>
        <w:pStyle w:val="ManualConsidrant"/>
        <w:rPr>
          <w:noProof/>
        </w:rPr>
      </w:pPr>
      <w:r w:rsidRPr="004979EB">
        <w:t>(4)</w:t>
      </w:r>
      <w:r w:rsidRPr="004979EB">
        <w:tab/>
      </w:r>
      <w:r w:rsidR="00A244F7" w:rsidRPr="00041CE1">
        <w:rPr>
          <w:noProof/>
        </w:rPr>
        <w:t xml:space="preserve">Komisija je stoga u skladu s člankom 8. Uredbe (EZ) br. 1925/2006 od Europske agencije za sigurnost hrane („Agencija”) zatražila da dostavi znanstveno mišljenje o ocjeni sigurnosti katehinâ iz zelenog čaja u svim izvorima hrane. </w:t>
      </w:r>
    </w:p>
    <w:p w14:paraId="7C6DBF95" w14:textId="71BD472A" w:rsidR="00FB0178" w:rsidRPr="00041CE1" w:rsidRDefault="004979EB" w:rsidP="004979EB">
      <w:pPr>
        <w:pStyle w:val="ManualConsidrant"/>
        <w:rPr>
          <w:noProof/>
        </w:rPr>
      </w:pPr>
      <w:r w:rsidRPr="004979EB">
        <w:t>(5)</w:t>
      </w:r>
      <w:r w:rsidRPr="004979EB">
        <w:tab/>
      </w:r>
      <w:r w:rsidR="00EF1E5C" w:rsidRPr="00041CE1">
        <w:rPr>
          <w:noProof/>
        </w:rPr>
        <w:t xml:space="preserve">Zeleni čaj proizvodi se od listova biljke </w:t>
      </w:r>
      <w:r w:rsidR="00EF1E5C" w:rsidRPr="00041CE1">
        <w:rPr>
          <w:i/>
          <w:noProof/>
        </w:rPr>
        <w:t>Camellia sinensis</w:t>
      </w:r>
      <w:r w:rsidR="00EF1E5C" w:rsidRPr="00041CE1">
        <w:rPr>
          <w:noProof/>
        </w:rPr>
        <w:t xml:space="preserve"> (L.) Kuntze, bez fermentacije, što rezultira prisutnošću flavanola, poznatijih kao katehini, od kojih je najvažniji (-)-epigalokatehin-3-galat. Katehini iz zelenog čaja mogu se konzumirati u obliku tradicionalnih infuza zelenog čaja, instant napitaka od čaja ili dodatka prehrani koji sadržava koncentrirane ekstrakte zelenog čaja s vrlo različitim razinama (-)-epigalokatehin-3-galata. </w:t>
      </w:r>
    </w:p>
    <w:p w14:paraId="6DD3BE13" w14:textId="24873307" w:rsidR="00EF1E5C" w:rsidRPr="00041CE1" w:rsidRDefault="004979EB" w:rsidP="004979EB">
      <w:pPr>
        <w:pStyle w:val="ManualConsidrant"/>
        <w:rPr>
          <w:noProof/>
        </w:rPr>
      </w:pPr>
      <w:r w:rsidRPr="004979EB">
        <w:t>(6)</w:t>
      </w:r>
      <w:r w:rsidRPr="004979EB">
        <w:tab/>
      </w:r>
      <w:r w:rsidR="008E0440" w:rsidRPr="00041CE1">
        <w:rPr>
          <w:noProof/>
        </w:rPr>
        <w:t>Agencija je 10. travnja 2017. objavila javni poziv na dostavu novih znanstvenih informacija o upotrebi katehinâ iz zelenog čaja kako bi od zainteresiranih strana dobila dokumentirane informacije relevantne za evaluaciju tih tvari iz svih izvora hrane, uključujući pripravke kao š</w:t>
      </w:r>
      <w:r w:rsidR="007536DD">
        <w:rPr>
          <w:noProof/>
        </w:rPr>
        <w:t>to su dodaci prehrani i infuzi.</w:t>
      </w:r>
      <w:r w:rsidR="008E0440" w:rsidRPr="00041CE1">
        <w:rPr>
          <w:noProof/>
        </w:rPr>
        <w:t xml:space="preserve"> No, zainteresirane strane nisu dostavile podatke o razinama katehinâ u ekstraktima zelenog čaja koji se upotrebljavaju za proizvodnju dodataka prehrani.</w:t>
      </w:r>
    </w:p>
    <w:p w14:paraId="6F2FD85C" w14:textId="64477603" w:rsidR="00026077" w:rsidRPr="00041CE1" w:rsidRDefault="004979EB" w:rsidP="004979EB">
      <w:pPr>
        <w:pStyle w:val="ManualConsidrant"/>
        <w:rPr>
          <w:noProof/>
        </w:rPr>
      </w:pPr>
      <w:r w:rsidRPr="004979EB">
        <w:t>(7)</w:t>
      </w:r>
      <w:r w:rsidRPr="004979EB">
        <w:tab/>
      </w:r>
      <w:r w:rsidR="00FB0178" w:rsidRPr="00041CE1">
        <w:rPr>
          <w:noProof/>
        </w:rPr>
        <w:t>Agencija je 14. ožujka 2018. donijela znanstveno mišljenje o sigurnosti katehinâ iz zelenog čaja</w:t>
      </w:r>
      <w:r w:rsidR="00FB0178" w:rsidRPr="00041CE1">
        <w:rPr>
          <w:rStyle w:val="FootnoteReference"/>
          <w:noProof/>
        </w:rPr>
        <w:footnoteReference w:id="5"/>
      </w:r>
      <w:r w:rsidR="00FB0178" w:rsidRPr="00041CE1">
        <w:rPr>
          <w:noProof/>
        </w:rPr>
        <w:t xml:space="preserve">. Agencija je u tom mišljenju zaključila da se katehini u tradicionalno pripremljenim infuzima zelenog čaja i instant napicima istovjetnog sastava kao tradicionalni infuzi zelenog čaja općenito smatraju sigurnima u skladu s priznatim pretpostavkama o sigurnosti (engl. „Qualified Presumption of Safety”, QPS), uz uvjet da unos odgovara razinama unosa prijavljenim u državama članicama. Prosječni dnevni unos (-)-epigalokatehin-3-galata koji proizlazi iz konzumacije infuza zelenog čaja kreće se od 90 do 300 mg dnevno. </w:t>
      </w:r>
    </w:p>
    <w:p w14:paraId="78B62F65" w14:textId="0322ACAF" w:rsidR="00B77519" w:rsidRPr="00041CE1" w:rsidRDefault="004979EB" w:rsidP="004979EB">
      <w:pPr>
        <w:pStyle w:val="ManualConsidrant"/>
        <w:rPr>
          <w:noProof/>
        </w:rPr>
      </w:pPr>
      <w:r w:rsidRPr="004979EB">
        <w:t>(8)</w:t>
      </w:r>
      <w:r w:rsidRPr="004979EB">
        <w:tab/>
      </w:r>
      <w:r w:rsidR="00B77519" w:rsidRPr="00041CE1">
        <w:rPr>
          <w:noProof/>
        </w:rPr>
        <w:t xml:space="preserve">Agencija je također zaključila da, na temelju dostupnih podataka o mogućim štetnim učincima katehinâ iz zelenog čaja na jetru, postoje dokazi iz intervencijskih kliničkih ispitivanja da dnevni unos od 800 mg ili više (-)-epigalokatehin-3-galata u obliku dodatka prehrani izaziva statistički značajno povećanje serumskih transaminaza kod osoba koje su primale te doze u usporedbi s kontrolnim ispitanicima, što upućuje na oštećenje jetre. </w:t>
      </w:r>
    </w:p>
    <w:p w14:paraId="0A603EC4" w14:textId="3410CA03" w:rsidR="00924F3D" w:rsidRPr="00041CE1" w:rsidRDefault="004979EB" w:rsidP="004979EB">
      <w:pPr>
        <w:pStyle w:val="ManualConsidrant"/>
        <w:rPr>
          <w:noProof/>
        </w:rPr>
      </w:pPr>
      <w:r w:rsidRPr="004979EB">
        <w:t>(9)</w:t>
      </w:r>
      <w:r w:rsidRPr="004979EB">
        <w:tab/>
      </w:r>
      <w:r w:rsidR="00761596" w:rsidRPr="00041CE1">
        <w:rPr>
          <w:noProof/>
        </w:rPr>
        <w:t>Agencija je u mišljenju objasnila da postoji niz nepoznanica kad je riječ o izloženosti katehinima iz zelenog čaja te njihovim biološkim i toksikološkim učincima. Stoga nije mogla dati savjet u pogledu dnevnog unosa katehinâ iz zelenog čaja koji ne bi izazvao zabrinutost zbog mogućih štetnih učinaka na zdravlje opće populacije i, prema potrebi, osjetljivih skupina stanovništva. Kemijski sastav, uključujući sadržaj (-)-epigalokatehin-3-galata, uvelike se razlikuje s obzirom na biljnu sortu, okruženje u kojem se uzgaja, sezonu, dob listova i uvjete proizvodnje, a postoje nejasnoće u pogledu toga kako proizvodni postupci utječu na sastav ekstrahiranih katehina i drugih tvari koje se upotrebljavaju za pripremu ekstrakata zelenog čaja. Agencija je istaknula činjenicu da su podaci o odnosu između doze i reakcije kad je riječ o dozama (-)-epigalokatehin-3-galata i abnormalnim jetrenim parametrima ograničeni, a potrebni su za procjenu doze (-)-epigalokatehin-3-galata koja neće utjecati na jetrene parametre. Nejasno je može li dugotrajna upotreba ekstrakata zelenog čaja uzrokovati ozbiljnije posljedice za jetru, a postoje i nejasnoće kad je riječ o mehanizmima koji, ovisno o dozi, mogu dovesti do hepatotoksičnosti (-)-epigalokatehin-3-galata. Nije sigurno koji mehanizam dovodi do hepatotoksičnosti u rijetkim slučajevima oštećenja jetre koji su prijavljeni nakon konzumiranja infuza zelenog čaja i Agencija je navela da su takvi slučajevi vjerojatno uzrokovani idiosinkratičnom reakcijom te stoga nema jasne povezanosti s dozom, načinom ili trajanjem uzimanja navedene tvari.</w:t>
      </w:r>
    </w:p>
    <w:p w14:paraId="3E517C41" w14:textId="0BB82FDC" w:rsidR="004561B0" w:rsidRPr="00041CE1" w:rsidRDefault="004979EB" w:rsidP="004979EB">
      <w:pPr>
        <w:pStyle w:val="ManualConsidrant"/>
        <w:rPr>
          <w:noProof/>
        </w:rPr>
      </w:pPr>
      <w:r w:rsidRPr="004979EB">
        <w:t>(10)</w:t>
      </w:r>
      <w:r w:rsidRPr="004979EB">
        <w:tab/>
      </w:r>
      <w:r w:rsidR="00CD0947" w:rsidRPr="00041CE1">
        <w:rPr>
          <w:noProof/>
        </w:rPr>
        <w:t>S obzirom na to da Agencija nije mogla utvrditi dnevni unos katehinâ iz zelenog čaja u hrani koji ne izaziva zabrinutost za zdravlje ljudi te uzimajući u obzir znatne štetne učinke na zdravlje povezane s dnevnim unosom (-)-epigalokatehin-3-galata iz ekstrakata zelenog čaja od 800 mg ili više, trebalo bi zabraniti dodavanje (-)-epigalokatehin-3-galata hrani ili njegovu uporabu u proizvodnji hrane na razini od 800 mg ili većoj po dnevnoj porciji hrane. Ekstrakte zelenog čaja koji sadržava (-)-epigalokatehin-3-galat stoga bi trebalo uvrstiti u dio B Priloga III. Uredbi (EZ) br. 1925/2006, a njegovo dodavanje hrani ili upotrebu u proizvodnji hrane trebalo bi dopustiti samo pod uvjetima navedenima u tom prilogu.</w:t>
      </w:r>
    </w:p>
    <w:p w14:paraId="5E9129CA" w14:textId="65FF3C46" w:rsidR="0047495D" w:rsidRPr="00041CE1" w:rsidRDefault="004979EB" w:rsidP="004979EB">
      <w:pPr>
        <w:pStyle w:val="ManualConsidrant"/>
        <w:rPr>
          <w:noProof/>
        </w:rPr>
      </w:pPr>
      <w:r w:rsidRPr="004979EB">
        <w:t>(11)</w:t>
      </w:r>
      <w:r w:rsidRPr="004979EB">
        <w:tab/>
      </w:r>
      <w:r w:rsidR="00163B42" w:rsidRPr="00041CE1">
        <w:rPr>
          <w:noProof/>
        </w:rPr>
        <w:t xml:space="preserve">Agencija u mišljenju od 14. ožujka 2018. nije mogla utvrditi prehrambeni unos katehinâ iz zelenog čaja koji ne izaziva zabrinutost zbog štetnih učinaka na zdravlje opće populacije i, prema potrebi, osjetljivih skupina stanovništva. Budući da i dalje postoji mogućnost štetnih učinaka na zdravlje povezanih s dnevnim unosom manjim od 800 mg (-)-epigalokatehin-3-galata iz ekstrakata zelenog čaja, iako i dalje postoje znanstvene nejasnoće u tom pogledu, ekstrakte zelenog čaja koji sadržavaju (-)-epigalokatehin-3-galat trebalo bi staviti pod nadzor Unije i uvrstiti u Dio C Priloga III. Uredbi (EZ) br. 1925/2006. S obzirom na nejasnoće koje je Agencija navela u mišljenju od 14. ožujka 2018. i njezinoj preporuci da se provedu studije radi utvrđivanja odnosa između doze i reakcije kad je riječ o hepatotoksičnosti katehinâ iz zelenog čaja i ispitivanja varijabilnosti među vrstama i unutar vrsta, zainteresirane strane mogu u skladu s člankom 8. stavkom 4. Uredbe (EZ) br. 1925/2006 dostaviti podatke potrebne za dokazivanje sigurnosti ekstrakata zelenog čaja u skladu s člankom 5. Provedbene uredbe Komisije (EU) br. 307/2012. </w:t>
      </w:r>
    </w:p>
    <w:p w14:paraId="0B775830" w14:textId="05E2B9D1" w:rsidR="00045553" w:rsidRPr="00041CE1" w:rsidRDefault="004979EB" w:rsidP="004979EB">
      <w:pPr>
        <w:pStyle w:val="ManualConsidrant"/>
        <w:rPr>
          <w:noProof/>
        </w:rPr>
      </w:pPr>
      <w:r w:rsidRPr="004979EB">
        <w:t>(12)</w:t>
      </w:r>
      <w:r w:rsidRPr="004979EB">
        <w:tab/>
      </w:r>
      <w:r w:rsidR="00045553" w:rsidRPr="00041CE1">
        <w:rPr>
          <w:noProof/>
        </w:rPr>
        <w:t>U skladu s člankom 8. stavkom 5. Komisija bi u roku od četiri godine od stupanja na snagu ove Uredbe trebala donijeti odluku o tome hoće li ekstrakti zelenog čaja koji sadržavaju (-)-epigalokatehin-3-galat biti, prema potrebi, uvršteni u dio A odnosno dio B Priloga III Uredbi (EZ) br. 1925/2006, kako je primjenjivo, uzimajući u obzir mišljenje Agencije o svim dostavljenim podacima.</w:t>
      </w:r>
    </w:p>
    <w:p w14:paraId="75F1887B" w14:textId="5DD66B64" w:rsidR="007E3320" w:rsidRPr="00041CE1" w:rsidRDefault="004979EB" w:rsidP="004979EB">
      <w:pPr>
        <w:pStyle w:val="ManualConsidrant"/>
        <w:rPr>
          <w:noProof/>
        </w:rPr>
      </w:pPr>
      <w:r w:rsidRPr="004979EB">
        <w:t>(13)</w:t>
      </w:r>
      <w:r w:rsidRPr="004979EB">
        <w:tab/>
      </w:r>
      <w:r w:rsidR="005A1607" w:rsidRPr="00041CE1">
        <w:rPr>
          <w:noProof/>
        </w:rPr>
        <w:t>U članku 6. stavku 3. Direktive 2002/46/EZ Europskog parlamenta i Vijeća</w:t>
      </w:r>
      <w:r w:rsidR="005A1607" w:rsidRPr="00041CE1">
        <w:rPr>
          <w:rStyle w:val="FootnoteReference"/>
          <w:noProof/>
        </w:rPr>
        <w:footnoteReference w:id="6"/>
      </w:r>
      <w:r w:rsidR="005A1607" w:rsidRPr="00041CE1">
        <w:rPr>
          <w:noProof/>
        </w:rPr>
        <w:t xml:space="preserve"> propisano je da naljepnica na dodacima prehrani mora sadržavati udio proizvoda preporučen za dnevnu konzumaciju i upozorenje da se ne smije premašiti navedena preporučena dnevna doza. Budući da se u istom danu mogu konzumirati različita hrana ili dodaci prehrani koji sadržavaju ekstrakte zelenog čaja, postoji rizik da potrošač unese više od najveće dopuštene dnevne doze (-)-epigalokatehin-3-galata. Stoga je potrebno utvrditi odgovarajuće zahtjeve za označivanje sve hrane koja sadržava ekstrakte zelenog čaja koji sadržavaju (-)-epigalokatehin-3-galat. </w:t>
      </w:r>
    </w:p>
    <w:p w14:paraId="1FE4C821" w14:textId="6B5603A3" w:rsidR="00D51ECF" w:rsidRPr="00041CE1" w:rsidRDefault="004979EB" w:rsidP="004979EB">
      <w:pPr>
        <w:pStyle w:val="ManualConsidrant"/>
        <w:rPr>
          <w:noProof/>
        </w:rPr>
      </w:pPr>
      <w:r w:rsidRPr="004979EB">
        <w:t>(14)</w:t>
      </w:r>
      <w:r w:rsidRPr="004979EB">
        <w:tab/>
      </w:r>
      <w:r w:rsidR="00D51ECF" w:rsidRPr="00041CE1">
        <w:rPr>
          <w:noProof/>
        </w:rPr>
        <w:t xml:space="preserve">Agencija je u mišljenju od 14. ožujka 2018. preporučila da bi u označivanju proizvoda od zelenog čaja, a posebno dodataka prehrani, trebalo navesti sadržaj (-)-epigalokatehin-3-galata. Važno je djelotvorno i provjerljivo osigurati da potrošači ne mogu biti izloženi razinama (-)-epigalokatehin-3-galata iz ekstrakata zelenog čaja koje Agencija smatra štetnima za zdravlje ljudi. Stoga je potrebno utvrditi odgovarajući zahtjev za označivanje u kojem se navodi sadržaj (-)-epigalokatehin-3-galata po porciji hrane. </w:t>
      </w:r>
    </w:p>
    <w:p w14:paraId="02ABBFDA" w14:textId="4B6B3827" w:rsidR="00D70F3F" w:rsidRPr="00041CE1" w:rsidRDefault="004979EB" w:rsidP="004979EB">
      <w:pPr>
        <w:pStyle w:val="ManualConsidrant"/>
        <w:rPr>
          <w:noProof/>
        </w:rPr>
      </w:pPr>
      <w:r w:rsidRPr="004979EB">
        <w:t>(15)</w:t>
      </w:r>
      <w:r w:rsidRPr="004979EB">
        <w:tab/>
      </w:r>
      <w:r w:rsidR="00D70F3F" w:rsidRPr="00041CE1">
        <w:rPr>
          <w:noProof/>
        </w:rPr>
        <w:t xml:space="preserve">Agencija je u mišljenju od 14. ožujka 2018. napomenula i da primjena ekstrakata zelenog čaja u uvjetima posta, i kao bolusa, dovodi do znatnog povećanja površine ispod krivulje koncentracije plazme u odnosu na vrijeme (-)-epigalokatehin-3-galata u usporedbi s primjenom u hrani i u podijeljenim dozama te da je dokazano da post povećava toksičnost katehinâ zelenog čaja kod pokusnih životinja. Stoga je potrebno potrošače upozoriti da pripravke s ekstraktom zelenog čaja u hrani ne konzumiraju na prazan želudac. </w:t>
      </w:r>
    </w:p>
    <w:p w14:paraId="68F5FC84" w14:textId="61F9E8F7" w:rsidR="00D70F3F" w:rsidRPr="00041CE1" w:rsidRDefault="004979EB" w:rsidP="004979EB">
      <w:pPr>
        <w:pStyle w:val="ManualConsidrant"/>
        <w:rPr>
          <w:noProof/>
        </w:rPr>
      </w:pPr>
      <w:r w:rsidRPr="004979EB">
        <w:t>(16)</w:t>
      </w:r>
      <w:r w:rsidRPr="004979EB">
        <w:tab/>
      </w:r>
      <w:r w:rsidR="00D70F3F" w:rsidRPr="00041CE1">
        <w:rPr>
          <w:noProof/>
        </w:rPr>
        <w:t xml:space="preserve">Agencija je u istom mišljenju također napomenula da nijedna intervencijska studija ne obuhvaća trudnice i dojilje, dojenčad i djecu mlađu od 18 godina te stoga i dalje postoji mogućnost štetnih učinaka na zdravlje tih osjetljivih skupina potrošača povezanih s upotrebom katehinâ iz zelenog čaja. Stoga je primjereno uključiti upozorenje o upotrebi hrane koja sadržava ekstrakte zelenog čaja u tim osjetljivim skupinama potrošača. </w:t>
      </w:r>
    </w:p>
    <w:p w14:paraId="096D7536" w14:textId="3B8B16E3" w:rsidR="00156470" w:rsidRPr="00041CE1" w:rsidRDefault="004979EB" w:rsidP="004979EB">
      <w:pPr>
        <w:pStyle w:val="ManualConsidrant"/>
        <w:rPr>
          <w:noProof/>
        </w:rPr>
      </w:pPr>
      <w:r w:rsidRPr="004979EB">
        <w:t>(17)</w:t>
      </w:r>
      <w:r w:rsidRPr="004979EB">
        <w:tab/>
      </w:r>
      <w:r w:rsidR="00E0005D" w:rsidRPr="00041CE1">
        <w:rPr>
          <w:noProof/>
        </w:rPr>
        <w:t xml:space="preserve">Ova Uredba ne bi trebala utjecati na upotrebu u obogaćenoj hrani i dodacima prehrani (-)-epigalokatehin-3-galata kao visoko pročišćenog ekstrakta iz listova zelenog čaja </w:t>
      </w:r>
      <w:r w:rsidR="00E0005D" w:rsidRPr="00041CE1">
        <w:rPr>
          <w:i/>
          <w:noProof/>
        </w:rPr>
        <w:t>(Camellia sinensis</w:t>
      </w:r>
      <w:r w:rsidR="00E0005D" w:rsidRPr="00041CE1">
        <w:rPr>
          <w:noProof/>
        </w:rPr>
        <w:t xml:space="preserve"> (L.) Kuntze) koji sadržava najmanje 90 % (-)-epigalokatehin-3-galata. Ta je tvar sigurna i odobrena za upotrebu kao nova hrana na temelju Uredbe (EU) 2015/2283 Europskog parlamenta i Vijeća</w:t>
      </w:r>
      <w:r w:rsidR="00E0005D" w:rsidRPr="00041CE1">
        <w:rPr>
          <w:rStyle w:val="FootnoteReference"/>
          <w:noProof/>
        </w:rPr>
        <w:footnoteReference w:id="7"/>
      </w:r>
      <w:r w:rsidR="00E0005D" w:rsidRPr="00041CE1">
        <w:rPr>
          <w:noProof/>
        </w:rPr>
        <w:t xml:space="preserve"> te podliježe uvjetima za upotrebu i specifikacijama utvrđenima u Provedbenoj uredbi Komisije (EU) 2017/2470</w:t>
      </w:r>
      <w:r w:rsidR="00E0005D" w:rsidRPr="00041CE1">
        <w:rPr>
          <w:rStyle w:val="FootnoteReference"/>
          <w:noProof/>
        </w:rPr>
        <w:footnoteReference w:id="8"/>
      </w:r>
      <w:r w:rsidR="00E0005D" w:rsidRPr="00041CE1">
        <w:rPr>
          <w:noProof/>
        </w:rPr>
        <w:t xml:space="preserve">. </w:t>
      </w:r>
    </w:p>
    <w:p w14:paraId="6CBCFFEB" w14:textId="4E9B6C00" w:rsidR="001E4C64" w:rsidRPr="00041CE1" w:rsidRDefault="004979EB" w:rsidP="004979EB">
      <w:pPr>
        <w:pStyle w:val="ManualConsidrant"/>
        <w:rPr>
          <w:noProof/>
        </w:rPr>
      </w:pPr>
      <w:r w:rsidRPr="004979EB">
        <w:t>(18)</w:t>
      </w:r>
      <w:r w:rsidRPr="004979EB">
        <w:tab/>
      </w:r>
      <w:r w:rsidR="001E4C64" w:rsidRPr="00041CE1">
        <w:rPr>
          <w:noProof/>
        </w:rPr>
        <w:t>Kako bi se subjektima u poslovanju s hranom omogućilo da se prilagode novim zahtjevima utvrđenima u ovoj Uredbi, potrebno je predvidjeti razuman rok. S obzirom na probleme povezane sa sigurnošću proizvoda, taj bi se rok trebao odnositi samo na proizvode koji su zakonito stavljeni na tržište prije stupanja na snagu ove Uredbe.</w:t>
      </w:r>
    </w:p>
    <w:p w14:paraId="575D9975" w14:textId="11CF0910" w:rsidR="005D511A" w:rsidRPr="00041CE1" w:rsidRDefault="004979EB" w:rsidP="004979EB">
      <w:pPr>
        <w:pStyle w:val="ManualConsidrant"/>
        <w:rPr>
          <w:noProof/>
        </w:rPr>
      </w:pPr>
      <w:r w:rsidRPr="004979EB">
        <w:t>(19)</w:t>
      </w:r>
      <w:r w:rsidRPr="004979EB">
        <w:tab/>
      </w:r>
      <w:r w:rsidR="00A65091" w:rsidRPr="00041CE1">
        <w:rPr>
          <w:noProof/>
        </w:rPr>
        <w:t>Uredbu (EZ) br. 1925/2006 trebalo bi stoga na odgovarajući način izmijeniti.</w:t>
      </w:r>
    </w:p>
    <w:p w14:paraId="09D8F6FF" w14:textId="0EA9592F" w:rsidR="00954C42" w:rsidRPr="00041CE1" w:rsidRDefault="004979EB" w:rsidP="004979EB">
      <w:pPr>
        <w:pStyle w:val="ManualConsidrant"/>
        <w:rPr>
          <w:noProof/>
        </w:rPr>
      </w:pPr>
      <w:r w:rsidRPr="004979EB">
        <w:t>(20)</w:t>
      </w:r>
      <w:r w:rsidRPr="004979EB">
        <w:tab/>
      </w:r>
      <w:r w:rsidR="00954C42" w:rsidRPr="00041CE1">
        <w:rPr>
          <w:noProof/>
        </w:rPr>
        <w:t>Mjere predviđene u ovoj Uredbi u skladu su s mišljenjem Stalnog odbora za bilje, životinje, hranu i hranu za životinje,</w:t>
      </w:r>
    </w:p>
    <w:p w14:paraId="63884E41" w14:textId="77777777" w:rsidR="00954C42" w:rsidRPr="00041CE1" w:rsidRDefault="00954C42" w:rsidP="00954C42">
      <w:pPr>
        <w:pStyle w:val="Formuledadoption"/>
        <w:rPr>
          <w:noProof/>
        </w:rPr>
      </w:pPr>
      <w:r w:rsidRPr="00041CE1">
        <w:rPr>
          <w:noProof/>
        </w:rPr>
        <w:t xml:space="preserve">DONIJELA JE OVU UREDBU: </w:t>
      </w:r>
    </w:p>
    <w:p w14:paraId="7F2F0799" w14:textId="6943BC75" w:rsidR="00954C42" w:rsidRPr="00041CE1" w:rsidRDefault="00954C42" w:rsidP="00954C42">
      <w:pPr>
        <w:pStyle w:val="Titrearticle"/>
        <w:rPr>
          <w:noProof/>
        </w:rPr>
      </w:pPr>
      <w:r w:rsidRPr="00041CE1">
        <w:rPr>
          <w:noProof/>
        </w:rPr>
        <w:t>Članak 1.</w:t>
      </w:r>
    </w:p>
    <w:p w14:paraId="15024937" w14:textId="3C1FDD16" w:rsidR="008C67AB" w:rsidRPr="00041CE1" w:rsidRDefault="008C67AB" w:rsidP="008C67AB">
      <w:pPr>
        <w:rPr>
          <w:noProof/>
        </w:rPr>
      </w:pPr>
      <w:r w:rsidRPr="00041CE1">
        <w:rPr>
          <w:noProof/>
        </w:rPr>
        <w:t xml:space="preserve">Prilog III. Uredbi (EZ) br. 1925/2006 mijenja se kako slijedi: </w:t>
      </w:r>
    </w:p>
    <w:p w14:paraId="064303CD" w14:textId="36155D45" w:rsidR="0005722E" w:rsidRPr="00041CE1" w:rsidRDefault="00505DE7" w:rsidP="001B2E3A">
      <w:pPr>
        <w:pStyle w:val="Point0"/>
        <w:rPr>
          <w:noProof/>
        </w:rPr>
      </w:pPr>
      <w:r w:rsidRPr="00041CE1">
        <w:rPr>
          <w:noProof/>
        </w:rPr>
        <w:t>1.</w:t>
      </w:r>
      <w:r w:rsidRPr="00041CE1">
        <w:rPr>
          <w:noProof/>
        </w:rPr>
        <w:tab/>
        <w:t xml:space="preserve">u dijelu B., u tablicu se abecednim redom umeće sljedeći unos: </w:t>
      </w:r>
    </w:p>
    <w:tbl>
      <w:tblPr>
        <w:tblStyle w:val="TableGrid"/>
        <w:tblW w:w="0" w:type="auto"/>
        <w:tblInd w:w="720" w:type="dxa"/>
        <w:tblLook w:val="04A0" w:firstRow="1" w:lastRow="0" w:firstColumn="1" w:lastColumn="0" w:noHBand="0" w:noVBand="1"/>
      </w:tblPr>
      <w:tblGrid>
        <w:gridCol w:w="2873"/>
        <w:gridCol w:w="2873"/>
        <w:gridCol w:w="2823"/>
      </w:tblGrid>
      <w:tr w:rsidR="0005722E" w:rsidRPr="00041CE1" w14:paraId="4B58045B" w14:textId="77777777" w:rsidTr="0005722E">
        <w:tc>
          <w:tcPr>
            <w:tcW w:w="2873" w:type="dxa"/>
          </w:tcPr>
          <w:p w14:paraId="322EA688" w14:textId="182E565C" w:rsidR="0005722E" w:rsidRPr="00041CE1" w:rsidRDefault="0005722E" w:rsidP="00F329A1">
            <w:pPr>
              <w:pStyle w:val="ListParagraph"/>
              <w:ind w:left="0"/>
              <w:rPr>
                <w:noProof/>
              </w:rPr>
            </w:pPr>
            <w:r w:rsidRPr="00041CE1">
              <w:rPr>
                <w:b/>
                <w:noProof/>
              </w:rPr>
              <w:t>Tvar ograničene upotrebe</w:t>
            </w:r>
          </w:p>
        </w:tc>
        <w:tc>
          <w:tcPr>
            <w:tcW w:w="2873" w:type="dxa"/>
          </w:tcPr>
          <w:p w14:paraId="42B78EB7" w14:textId="54A7DD03" w:rsidR="0005722E" w:rsidRPr="00041CE1" w:rsidRDefault="0005722E" w:rsidP="00F329A1">
            <w:pPr>
              <w:pStyle w:val="ListParagraph"/>
              <w:ind w:left="0"/>
              <w:rPr>
                <w:noProof/>
              </w:rPr>
            </w:pPr>
            <w:r w:rsidRPr="00041CE1">
              <w:rPr>
                <w:b/>
                <w:noProof/>
              </w:rPr>
              <w:t>Uvjeti upotrebe</w:t>
            </w:r>
          </w:p>
        </w:tc>
        <w:tc>
          <w:tcPr>
            <w:tcW w:w="2823" w:type="dxa"/>
          </w:tcPr>
          <w:p w14:paraId="16EADE1F" w14:textId="0D688AC5" w:rsidR="0005722E" w:rsidRPr="00041CE1" w:rsidRDefault="0005722E" w:rsidP="00F329A1">
            <w:pPr>
              <w:pStyle w:val="ListParagraph"/>
              <w:ind w:left="0"/>
              <w:rPr>
                <w:noProof/>
              </w:rPr>
            </w:pPr>
            <w:r w:rsidRPr="00041CE1">
              <w:rPr>
                <w:b/>
                <w:noProof/>
              </w:rPr>
              <w:t>Dodatni zahtjevi</w:t>
            </w:r>
          </w:p>
        </w:tc>
      </w:tr>
      <w:tr w:rsidR="0005722E" w:rsidRPr="00041CE1" w14:paraId="69E86AAC" w14:textId="77777777" w:rsidTr="0005722E">
        <w:tc>
          <w:tcPr>
            <w:tcW w:w="2873" w:type="dxa"/>
          </w:tcPr>
          <w:p w14:paraId="563B6E48" w14:textId="64028924" w:rsidR="0005722E" w:rsidRPr="00041CE1" w:rsidRDefault="00645111" w:rsidP="0005722E">
            <w:pPr>
              <w:pStyle w:val="ListParagraph"/>
              <w:spacing w:before="0"/>
              <w:ind w:left="0"/>
              <w:jc w:val="left"/>
              <w:rPr>
                <w:noProof/>
              </w:rPr>
            </w:pPr>
            <w:r w:rsidRPr="00041CE1">
              <w:rPr>
                <w:noProof/>
              </w:rPr>
              <w:t>„Ekstrakti zelenog čaja koji sadržavaju (-)-epigalokatehin-3-galat*</w:t>
            </w:r>
          </w:p>
          <w:p w14:paraId="44D1ABC8" w14:textId="77777777" w:rsidR="009546C6" w:rsidRPr="00041CE1" w:rsidRDefault="009546C6" w:rsidP="0005722E">
            <w:pPr>
              <w:pStyle w:val="ListParagraph"/>
              <w:spacing w:before="0"/>
              <w:ind w:left="0"/>
              <w:jc w:val="left"/>
              <w:rPr>
                <w:noProof/>
              </w:rPr>
            </w:pPr>
          </w:p>
          <w:p w14:paraId="0743A42D" w14:textId="77777777" w:rsidR="009546C6" w:rsidRPr="00041CE1" w:rsidRDefault="009546C6" w:rsidP="0005722E">
            <w:pPr>
              <w:pStyle w:val="ListParagraph"/>
              <w:spacing w:before="0"/>
              <w:ind w:left="0"/>
              <w:jc w:val="left"/>
              <w:rPr>
                <w:noProof/>
              </w:rPr>
            </w:pPr>
          </w:p>
          <w:p w14:paraId="53D5E019" w14:textId="77777777" w:rsidR="009546C6" w:rsidRPr="00041CE1" w:rsidRDefault="009546C6" w:rsidP="0005722E">
            <w:pPr>
              <w:pStyle w:val="ListParagraph"/>
              <w:spacing w:before="0"/>
              <w:ind w:left="0"/>
              <w:jc w:val="left"/>
              <w:rPr>
                <w:noProof/>
              </w:rPr>
            </w:pPr>
          </w:p>
          <w:p w14:paraId="6788FD5C" w14:textId="470711AA" w:rsidR="009546C6" w:rsidRPr="00041CE1" w:rsidRDefault="009546C6" w:rsidP="00A80CD2">
            <w:pPr>
              <w:pStyle w:val="ListParagraph"/>
              <w:spacing w:before="0"/>
              <w:ind w:left="0"/>
              <w:jc w:val="left"/>
              <w:rPr>
                <w:noProof/>
              </w:rPr>
            </w:pPr>
          </w:p>
          <w:p w14:paraId="739AF36C" w14:textId="220D1084" w:rsidR="00CC0729" w:rsidRPr="00041CE1" w:rsidRDefault="00CC0729" w:rsidP="00A80CD2">
            <w:pPr>
              <w:pStyle w:val="ListParagraph"/>
              <w:spacing w:before="0"/>
              <w:ind w:left="0"/>
              <w:jc w:val="left"/>
              <w:rPr>
                <w:noProof/>
              </w:rPr>
            </w:pPr>
          </w:p>
          <w:p w14:paraId="487AAE1D" w14:textId="69BF18BA" w:rsidR="00D51ECF" w:rsidRPr="00041CE1" w:rsidRDefault="00D51ECF" w:rsidP="00CC0729">
            <w:pPr>
              <w:rPr>
                <w:noProof/>
              </w:rPr>
            </w:pPr>
            <w:r w:rsidRPr="00041CE1">
              <w:rPr>
                <w:noProof/>
              </w:rPr>
              <w:t>*isključujući vodene ekstrakte zelenog čaja koji sadržavaju (-)-epigalokatehin-3-galat koji nakon rekonstitucije u pićima imaju sastav usporediv s tradicionalnim infuzima zelenog čaja.</w:t>
            </w:r>
          </w:p>
          <w:p w14:paraId="0AAC00A3" w14:textId="5A177281" w:rsidR="00CC0729" w:rsidRPr="00041CE1" w:rsidRDefault="00CC0729" w:rsidP="00A80CD2">
            <w:pPr>
              <w:pStyle w:val="ListParagraph"/>
              <w:spacing w:before="0"/>
              <w:ind w:left="0"/>
              <w:jc w:val="left"/>
              <w:rPr>
                <w:noProof/>
              </w:rPr>
            </w:pPr>
          </w:p>
        </w:tc>
        <w:tc>
          <w:tcPr>
            <w:tcW w:w="2873" w:type="dxa"/>
          </w:tcPr>
          <w:p w14:paraId="03A11E12" w14:textId="785218FE" w:rsidR="0005722E" w:rsidRPr="00041CE1" w:rsidRDefault="000D0B18" w:rsidP="00E57BE1">
            <w:pPr>
              <w:pStyle w:val="ListParagraph"/>
              <w:spacing w:before="0"/>
              <w:ind w:left="0"/>
              <w:jc w:val="left"/>
              <w:rPr>
                <w:noProof/>
              </w:rPr>
            </w:pPr>
            <w:r w:rsidRPr="00041CE1">
              <w:rPr>
                <w:noProof/>
              </w:rPr>
              <w:t>Dnevna porcija hrane smije sadržavati manje od 800 mg (-)-epigalokatehin-3-galata.</w:t>
            </w:r>
          </w:p>
        </w:tc>
        <w:tc>
          <w:tcPr>
            <w:tcW w:w="2823" w:type="dxa"/>
          </w:tcPr>
          <w:p w14:paraId="6948B44C" w14:textId="54BB06AE" w:rsidR="0005722E" w:rsidRPr="00041CE1" w:rsidRDefault="0005722E" w:rsidP="0005722E">
            <w:pPr>
              <w:spacing w:before="0"/>
              <w:jc w:val="left"/>
              <w:rPr>
                <w:noProof/>
              </w:rPr>
            </w:pPr>
            <w:r w:rsidRPr="00041CE1">
              <w:rPr>
                <w:noProof/>
              </w:rPr>
              <w:t xml:space="preserve">Na ambalaži mora biti naveden najveći dopušteni broj porcija te hrane za dnevnu konzumaciju i upozorenje da se dnevno ne smije konzumirati 800 mg (-)-epigalokatehin-3-galata ili više. </w:t>
            </w:r>
          </w:p>
          <w:p w14:paraId="3D33DCBF" w14:textId="74E55257" w:rsidR="00C04748" w:rsidRPr="00041CE1" w:rsidRDefault="0005722E" w:rsidP="00BF1ACC">
            <w:pPr>
              <w:pStyle w:val="ListParagraph"/>
              <w:ind w:left="0"/>
              <w:rPr>
                <w:noProof/>
              </w:rPr>
            </w:pPr>
            <w:r w:rsidRPr="00041CE1">
              <w:rPr>
                <w:noProof/>
              </w:rPr>
              <w:t xml:space="preserve">Na oznaci se navodi sadržaj (-)-epigalokatehin-3-galata po porciji hrane. </w:t>
            </w:r>
          </w:p>
          <w:p w14:paraId="6C806C24" w14:textId="77777777" w:rsidR="003C28EA" w:rsidRPr="00041CE1" w:rsidRDefault="003C28EA" w:rsidP="00BF1ACC">
            <w:pPr>
              <w:pStyle w:val="ListParagraph"/>
              <w:ind w:left="0"/>
              <w:rPr>
                <w:noProof/>
              </w:rPr>
            </w:pPr>
          </w:p>
          <w:p w14:paraId="57320C32" w14:textId="44495714" w:rsidR="00C04748" w:rsidRPr="00041CE1" w:rsidRDefault="00C04748" w:rsidP="00BF1ACC">
            <w:pPr>
              <w:pStyle w:val="ListParagraph"/>
              <w:ind w:left="0"/>
              <w:rPr>
                <w:noProof/>
              </w:rPr>
            </w:pPr>
            <w:r w:rsidRPr="00041CE1">
              <w:rPr>
                <w:noProof/>
              </w:rPr>
              <w:t>Na ambalaži moraju biti navedena sljedeća upozorenja:</w:t>
            </w:r>
          </w:p>
          <w:p w14:paraId="330E0C5C" w14:textId="77777777" w:rsidR="00C04748" w:rsidRPr="00041CE1" w:rsidRDefault="00C04748" w:rsidP="00BF1ACC">
            <w:pPr>
              <w:pStyle w:val="ListParagraph"/>
              <w:ind w:left="0"/>
              <w:rPr>
                <w:noProof/>
              </w:rPr>
            </w:pPr>
          </w:p>
          <w:p w14:paraId="7424C737" w14:textId="0DD2D73A" w:rsidR="0005722E" w:rsidRPr="00041CE1" w:rsidRDefault="00C04748" w:rsidP="00BF1ACC">
            <w:pPr>
              <w:pStyle w:val="ListParagraph"/>
              <w:ind w:left="0"/>
              <w:rPr>
                <w:noProof/>
              </w:rPr>
            </w:pPr>
            <w:r w:rsidRPr="00041CE1">
              <w:rPr>
                <w:noProof/>
              </w:rPr>
              <w:t xml:space="preserve">„Proizvod ne biste trebali konzumirati ako istog dana uzimate druge proizvode koji sadržavaju zeleni čaj”. </w:t>
            </w:r>
          </w:p>
          <w:p w14:paraId="396410C9" w14:textId="77777777" w:rsidR="00C04748" w:rsidRPr="00041CE1" w:rsidRDefault="00C04748" w:rsidP="00BF1ACC">
            <w:pPr>
              <w:pStyle w:val="ListParagraph"/>
              <w:ind w:left="0"/>
              <w:rPr>
                <w:noProof/>
              </w:rPr>
            </w:pPr>
          </w:p>
          <w:p w14:paraId="1595EC08" w14:textId="444F3232" w:rsidR="00C04748" w:rsidRPr="00041CE1" w:rsidRDefault="00C04748" w:rsidP="00BF1ACC">
            <w:pPr>
              <w:pStyle w:val="ListParagraph"/>
              <w:ind w:left="0"/>
              <w:rPr>
                <w:noProof/>
              </w:rPr>
            </w:pPr>
            <w:r w:rsidRPr="00041CE1">
              <w:rPr>
                <w:noProof/>
              </w:rPr>
              <w:t>„Proizvod ne bi trebale konzumirati trudnice, dojilje ni djeca mlađa od 18 godina”.</w:t>
            </w:r>
            <w:r w:rsidRPr="00041CE1">
              <w:rPr>
                <w:noProof/>
                <w:color w:val="000000"/>
                <w:szCs w:val="24"/>
              </w:rPr>
              <w:t xml:space="preserve"> </w:t>
            </w:r>
          </w:p>
          <w:p w14:paraId="3E6CBE4F" w14:textId="1D14D8A2" w:rsidR="00C04748" w:rsidRPr="00041CE1" w:rsidRDefault="00C04748" w:rsidP="00BF1ACC">
            <w:pPr>
              <w:pStyle w:val="ListParagraph"/>
              <w:ind w:left="0"/>
              <w:rPr>
                <w:noProof/>
              </w:rPr>
            </w:pPr>
          </w:p>
          <w:p w14:paraId="2D46EC15" w14:textId="77777777" w:rsidR="00573EA5" w:rsidRPr="00041CE1" w:rsidRDefault="00573EA5" w:rsidP="00BF1ACC">
            <w:pPr>
              <w:pStyle w:val="ListParagraph"/>
              <w:ind w:left="0"/>
              <w:rPr>
                <w:noProof/>
              </w:rPr>
            </w:pPr>
          </w:p>
          <w:p w14:paraId="570B5C7F" w14:textId="16327223" w:rsidR="00573EA5" w:rsidRPr="00041CE1" w:rsidRDefault="00573EA5" w:rsidP="00BF1ACC">
            <w:pPr>
              <w:pStyle w:val="ListParagraph"/>
              <w:ind w:left="0"/>
              <w:rPr>
                <w:noProof/>
              </w:rPr>
            </w:pPr>
            <w:r w:rsidRPr="00041CE1">
              <w:rPr>
                <w:noProof/>
              </w:rPr>
              <w:t>„Proizvod se ne bi trebao konzumirati na prazan želudac”.”</w:t>
            </w:r>
          </w:p>
        </w:tc>
      </w:tr>
    </w:tbl>
    <w:p w14:paraId="1A908615" w14:textId="0972ED86" w:rsidR="00E735E1" w:rsidRPr="00041CE1" w:rsidRDefault="00505DE7" w:rsidP="00241E8B">
      <w:pPr>
        <w:pStyle w:val="Point0"/>
        <w:rPr>
          <w:noProof/>
        </w:rPr>
      </w:pPr>
      <w:r w:rsidRPr="00041CE1">
        <w:rPr>
          <w:noProof/>
        </w:rPr>
        <w:t>2.</w:t>
      </w:r>
      <w:r w:rsidRPr="00041CE1">
        <w:rPr>
          <w:noProof/>
        </w:rPr>
        <w:tab/>
        <w:t>u dio C. abecednim redom umeće se sljedeći unos::</w:t>
      </w:r>
    </w:p>
    <w:p w14:paraId="0C8CB001" w14:textId="051B4C8C" w:rsidR="00761596" w:rsidRPr="00041CE1" w:rsidRDefault="00D101EB" w:rsidP="009A0292">
      <w:pPr>
        <w:pStyle w:val="Text1"/>
        <w:rPr>
          <w:noProof/>
        </w:rPr>
      </w:pPr>
      <w:r w:rsidRPr="00041CE1">
        <w:rPr>
          <w:noProof/>
        </w:rPr>
        <w:t xml:space="preserve">„Ekstrakti zelenog čaja koji sadržavaju (-)-epigalokatehin-3-galat* </w:t>
      </w:r>
    </w:p>
    <w:p w14:paraId="538C10A4" w14:textId="4D30A167" w:rsidR="0005722E" w:rsidRPr="00041CE1" w:rsidRDefault="009546C6" w:rsidP="009A0292">
      <w:pPr>
        <w:pStyle w:val="Text1"/>
        <w:rPr>
          <w:noProof/>
        </w:rPr>
      </w:pPr>
      <w:r w:rsidRPr="00041CE1">
        <w:rPr>
          <w:noProof/>
        </w:rPr>
        <w:t>*isključujući vodene ekstrakte zelenog čaja koji sadržavaju (-)-epigalokatehin-3-galat koji nakon rekonstitucije u pićima imaju sastav usporediv s tradicionalnim infuzima zelenog čaja.”</w:t>
      </w:r>
    </w:p>
    <w:p w14:paraId="2938F52F" w14:textId="12F2349E" w:rsidR="00F6300A" w:rsidRPr="00041CE1" w:rsidRDefault="00F6300A" w:rsidP="00F6300A">
      <w:pPr>
        <w:pStyle w:val="Titrearticle"/>
        <w:rPr>
          <w:noProof/>
        </w:rPr>
      </w:pPr>
      <w:r w:rsidRPr="00041CE1">
        <w:rPr>
          <w:noProof/>
        </w:rPr>
        <w:t>Članak 2.</w:t>
      </w:r>
    </w:p>
    <w:p w14:paraId="07BEA5AC" w14:textId="2A09643F" w:rsidR="00F6300A" w:rsidRPr="00041CE1" w:rsidRDefault="00156470" w:rsidP="003039A4">
      <w:pPr>
        <w:autoSpaceDE w:val="0"/>
        <w:autoSpaceDN w:val="0"/>
        <w:spacing w:before="40" w:after="40"/>
        <w:rPr>
          <w:noProof/>
          <w:sz w:val="22"/>
        </w:rPr>
      </w:pPr>
      <w:r w:rsidRPr="00041CE1">
        <w:rPr>
          <w:noProof/>
        </w:rPr>
        <w:t>Hrana koja sadržava ekstrakte zelenog čaja koji sadržavaju (-)-epigalokatehin-3-galat, koji nisu u skladu sa zahtjevima ove Uredbe, a zakonito su stavljeni na tržište prije stupanja na snagu ove Uredbe, može ostati na tržištu do [</w:t>
      </w:r>
      <w:r w:rsidRPr="00041CE1">
        <w:rPr>
          <w:i/>
          <w:noProof/>
          <w:szCs w:val="24"/>
        </w:rPr>
        <w:t>Ured za publikacije: navesti datum točno 6 mjeseci nakon stupanja Uredbe na snagu</w:t>
      </w:r>
      <w:r w:rsidRPr="00041CE1">
        <w:rPr>
          <w:noProof/>
        </w:rPr>
        <w:t>)].</w:t>
      </w:r>
      <w:r w:rsidRPr="00041CE1">
        <w:rPr>
          <w:rFonts w:ascii="Segoe UI" w:hAnsi="Segoe UI"/>
          <w:noProof/>
          <w:color w:val="000000"/>
          <w:sz w:val="20"/>
          <w:szCs w:val="20"/>
        </w:rPr>
        <w:t xml:space="preserve"> </w:t>
      </w:r>
    </w:p>
    <w:p w14:paraId="6CB8C324" w14:textId="4ABEA0D8" w:rsidR="00E735E1" w:rsidRPr="00041CE1" w:rsidRDefault="009A0292" w:rsidP="00E735E1">
      <w:pPr>
        <w:pStyle w:val="Titrearticle"/>
        <w:rPr>
          <w:noProof/>
        </w:rPr>
      </w:pPr>
      <w:r w:rsidRPr="00041CE1">
        <w:rPr>
          <w:noProof/>
        </w:rPr>
        <w:t>Članak 3.</w:t>
      </w:r>
    </w:p>
    <w:p w14:paraId="71404EFE" w14:textId="5345E7FC" w:rsidR="000802AC" w:rsidRPr="00041CE1" w:rsidRDefault="00E735E1" w:rsidP="00E735E1">
      <w:pPr>
        <w:rPr>
          <w:noProof/>
        </w:rPr>
      </w:pPr>
      <w:r w:rsidRPr="00041CE1">
        <w:rPr>
          <w:noProof/>
        </w:rPr>
        <w:t xml:space="preserve">Ova Uredba stupa na snagu dvadesetog dana od dana objave u </w:t>
      </w:r>
      <w:r w:rsidRPr="00041CE1">
        <w:rPr>
          <w:i/>
          <w:noProof/>
        </w:rPr>
        <w:t>Službenom listu Europske unije</w:t>
      </w:r>
      <w:r w:rsidRPr="00041CE1">
        <w:rPr>
          <w:noProof/>
        </w:rPr>
        <w:t>.</w:t>
      </w:r>
    </w:p>
    <w:p w14:paraId="07233A09" w14:textId="2EB502FC" w:rsidR="00E735E1" w:rsidRPr="00041CE1" w:rsidRDefault="00E735E1" w:rsidP="00DA768F">
      <w:pPr>
        <w:pStyle w:val="Applicationdirecte"/>
        <w:keepNext/>
        <w:keepLines/>
        <w:rPr>
          <w:noProof/>
        </w:rPr>
      </w:pPr>
      <w:r w:rsidRPr="00041CE1">
        <w:rPr>
          <w:noProof/>
        </w:rPr>
        <w:t>Ova je Uredba u cijelosti obvezujuća i izravno se primjenjuje u svim državama članicama.</w:t>
      </w:r>
    </w:p>
    <w:p w14:paraId="48D487AB" w14:textId="38E4A1D3" w:rsidR="00D20ABC" w:rsidRPr="00041CE1" w:rsidRDefault="005C060D" w:rsidP="00DA768F">
      <w:pPr>
        <w:pStyle w:val="Fait"/>
        <w:rPr>
          <w:noProof/>
        </w:rPr>
      </w:pPr>
      <w:r w:rsidRPr="005C060D">
        <w:t>Sastavljeno u Bruxellesu 30.11.2022.</w:t>
      </w:r>
    </w:p>
    <w:p w14:paraId="1C6582CA" w14:textId="77777777" w:rsidR="00D20ABC" w:rsidRPr="00041CE1" w:rsidRDefault="00D20ABC" w:rsidP="00DA768F">
      <w:pPr>
        <w:pStyle w:val="Institutionquisigne"/>
        <w:rPr>
          <w:noProof/>
        </w:rPr>
      </w:pPr>
      <w:r w:rsidRPr="00041CE1">
        <w:rPr>
          <w:noProof/>
        </w:rPr>
        <w:tab/>
        <w:t>Za Komisiju</w:t>
      </w:r>
    </w:p>
    <w:p w14:paraId="7D5746C9" w14:textId="1FB1FE16" w:rsidR="00D20ABC" w:rsidRPr="00041CE1" w:rsidRDefault="00B906AB" w:rsidP="00DA768F">
      <w:pPr>
        <w:pStyle w:val="Personnequisigne"/>
        <w:keepNext/>
        <w:rPr>
          <w:noProof/>
        </w:rPr>
      </w:pPr>
      <w:r>
        <w:tab/>
        <w:t>Predsjednica</w:t>
      </w:r>
      <w:r>
        <w:br/>
      </w:r>
      <w:r>
        <w:tab/>
        <w:t>Ursula VON DER LEYEN</w:t>
      </w:r>
    </w:p>
    <w:p w14:paraId="18439132" w14:textId="1EE837CB" w:rsidR="00D20ABC" w:rsidRPr="00041CE1" w:rsidRDefault="00D20ABC" w:rsidP="00D20ABC">
      <w:pPr>
        <w:pStyle w:val="Personnequisigne"/>
        <w:rPr>
          <w:noProof/>
        </w:rPr>
      </w:pPr>
    </w:p>
    <w:sectPr w:rsidR="00D20ABC" w:rsidRPr="00041CE1" w:rsidSect="006F4A18">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7A0D1" w14:textId="77777777" w:rsidR="00901DB7" w:rsidRDefault="00901DB7" w:rsidP="00CE3F70">
      <w:pPr>
        <w:spacing w:before="0" w:after="0"/>
      </w:pPr>
      <w:r>
        <w:separator/>
      </w:r>
    </w:p>
  </w:endnote>
  <w:endnote w:type="continuationSeparator" w:id="0">
    <w:p w14:paraId="1293C1EA" w14:textId="77777777" w:rsidR="00901DB7" w:rsidRDefault="00901DB7" w:rsidP="00CE3F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A7A9C" w14:textId="77777777" w:rsidR="006F4A18" w:rsidRPr="006F4A18" w:rsidRDefault="006F4A18" w:rsidP="006F4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4831F" w14:textId="4C51E16F" w:rsidR="00041CE1" w:rsidRPr="006F4A18" w:rsidRDefault="006F4A18" w:rsidP="006F4A18">
    <w:pPr>
      <w:pStyle w:val="Footer"/>
      <w:rPr>
        <w:rFonts w:ascii="Arial" w:hAnsi="Arial" w:cs="Arial"/>
        <w:b/>
        <w:sz w:val="48"/>
      </w:rPr>
    </w:pPr>
    <w:r w:rsidRPr="006F4A18">
      <w:rPr>
        <w:rFonts w:ascii="Arial" w:hAnsi="Arial" w:cs="Arial"/>
        <w:b/>
        <w:sz w:val="48"/>
      </w:rPr>
      <w:t>HR</w:t>
    </w:r>
    <w:r w:rsidRPr="006F4A18">
      <w:rPr>
        <w:rFonts w:ascii="Arial" w:hAnsi="Arial" w:cs="Arial"/>
        <w:b/>
        <w:sz w:val="48"/>
      </w:rPr>
      <w:tab/>
    </w:r>
    <w:r w:rsidRPr="006F4A18">
      <w:rPr>
        <w:rFonts w:ascii="Arial" w:hAnsi="Arial" w:cs="Arial"/>
        <w:b/>
        <w:sz w:val="48"/>
      </w:rPr>
      <w:tab/>
    </w:r>
    <w:r w:rsidRPr="006F4A18">
      <w:tab/>
    </w:r>
    <w:r w:rsidRPr="006F4A18">
      <w:rPr>
        <w:rFonts w:ascii="Arial" w:hAnsi="Arial" w:cs="Arial"/>
        <w:b/>
        <w:sz w:val="48"/>
      </w:rPr>
      <w:t>HR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17C3" w14:textId="77777777" w:rsidR="006F4A18" w:rsidRPr="006F4A18" w:rsidRDefault="006F4A18" w:rsidP="006F4A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9F439" w14:textId="4D78A726" w:rsidR="006F4A18" w:rsidRPr="006F4A18" w:rsidRDefault="006F4A18" w:rsidP="006F4A18">
    <w:pPr>
      <w:pStyle w:val="Footer"/>
      <w:rPr>
        <w:rFonts w:ascii="Arial" w:hAnsi="Arial" w:cs="Arial"/>
        <w:b/>
        <w:sz w:val="48"/>
      </w:rPr>
    </w:pPr>
    <w:r w:rsidRPr="006F4A18">
      <w:rPr>
        <w:rFonts w:ascii="Arial" w:hAnsi="Arial" w:cs="Arial"/>
        <w:b/>
        <w:sz w:val="48"/>
      </w:rPr>
      <w:t>HR</w:t>
    </w:r>
    <w:r w:rsidRPr="006F4A18">
      <w:rPr>
        <w:rFonts w:ascii="Arial" w:hAnsi="Arial" w:cs="Arial"/>
        <w:b/>
        <w:sz w:val="48"/>
      </w:rPr>
      <w:tab/>
    </w:r>
    <w:r>
      <w:fldChar w:fldCharType="begin"/>
    </w:r>
    <w:r>
      <w:instrText xml:space="preserve"> PAGE  \* MERGEFORMAT </w:instrText>
    </w:r>
    <w:r>
      <w:fldChar w:fldCharType="separate"/>
    </w:r>
    <w:r w:rsidR="00DA768F">
      <w:rPr>
        <w:noProof/>
      </w:rPr>
      <w:t>6</w:t>
    </w:r>
    <w:r>
      <w:fldChar w:fldCharType="end"/>
    </w:r>
    <w:r>
      <w:tab/>
    </w:r>
    <w:r w:rsidRPr="006F4A18">
      <w:tab/>
    </w:r>
    <w:r w:rsidRPr="006F4A18">
      <w:rPr>
        <w:rFonts w:ascii="Arial" w:hAnsi="Arial" w:cs="Arial"/>
        <w:b/>
        <w:sz w:val="48"/>
      </w:rPr>
      <w:t>HR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6720C" w14:textId="77777777" w:rsidR="006F4A18" w:rsidRPr="006F4A18" w:rsidRDefault="006F4A18" w:rsidP="006F4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A3708" w14:textId="77777777" w:rsidR="00901DB7" w:rsidRDefault="00901DB7" w:rsidP="00CE3F70">
      <w:pPr>
        <w:spacing w:before="0" w:after="0"/>
      </w:pPr>
      <w:r>
        <w:separator/>
      </w:r>
    </w:p>
  </w:footnote>
  <w:footnote w:type="continuationSeparator" w:id="0">
    <w:p w14:paraId="3D97F7EC" w14:textId="77777777" w:rsidR="00901DB7" w:rsidRDefault="00901DB7" w:rsidP="00CE3F70">
      <w:pPr>
        <w:spacing w:before="0" w:after="0"/>
      </w:pPr>
      <w:r>
        <w:continuationSeparator/>
      </w:r>
    </w:p>
  </w:footnote>
  <w:footnote w:id="1">
    <w:p w14:paraId="4966B4FE" w14:textId="77777777" w:rsidR="00901DB7" w:rsidRPr="00AE2610" w:rsidRDefault="00901DB7" w:rsidP="00954C42">
      <w:pPr>
        <w:pStyle w:val="FootnoteText"/>
      </w:pPr>
      <w:r>
        <w:rPr>
          <w:rStyle w:val="FootnoteReference"/>
        </w:rPr>
        <w:footnoteRef/>
      </w:r>
      <w:r>
        <w:tab/>
        <w:t>SL L 404, 30.12.2006., str. 26.</w:t>
      </w:r>
    </w:p>
  </w:footnote>
  <w:footnote w:id="2">
    <w:p w14:paraId="7B739FA7" w14:textId="6C64A73E" w:rsidR="00ED15E8" w:rsidRPr="003C28EA" w:rsidRDefault="00901DB7">
      <w:pPr>
        <w:pStyle w:val="FootnoteText"/>
      </w:pPr>
      <w:r>
        <w:rPr>
          <w:rStyle w:val="FootnoteReference"/>
        </w:rPr>
        <w:footnoteRef/>
      </w:r>
      <w:r>
        <w:tab/>
        <w:t xml:space="preserve">Provedbena uredba Komisije (EU) br. 307/2012 od 11. travnja 2012. o utvrđivanju provedbenih pravila za primjenu članka 8. Uredbe (EZ) br. 1925/2006 Europskog parlamenta i Vijeća o dodavanju vitamina, minerala i određenih drugih tvari hrani </w:t>
      </w:r>
      <w:r>
        <w:br/>
        <w:t>(SL L 102, 12.4.2012., str. 2.).</w:t>
      </w:r>
    </w:p>
  </w:footnote>
  <w:footnote w:id="3">
    <w:p w14:paraId="41762AF2" w14:textId="1280155F" w:rsidR="00901DB7" w:rsidRPr="00E9397B" w:rsidRDefault="00901DB7">
      <w:pPr>
        <w:pStyle w:val="FootnoteText"/>
      </w:pPr>
      <w:r>
        <w:rPr>
          <w:rStyle w:val="FootnoteReference"/>
        </w:rPr>
        <w:footnoteRef/>
      </w:r>
      <w:r>
        <w:tab/>
      </w:r>
      <w:r>
        <w:rPr>
          <w:i/>
        </w:rPr>
        <w:t>Opinion on green tea extracts and green tea infusion – Danish Technical University (2015)</w:t>
      </w:r>
      <w:r>
        <w:t xml:space="preserve"> (Mišljenje o ekstraktima zelenog čaja i infuziji zelenog čaja – Dansko tehničko sveučilište (2015.)).  </w:t>
      </w:r>
    </w:p>
  </w:footnote>
  <w:footnote w:id="4">
    <w:p w14:paraId="55876E74" w14:textId="37462D0E" w:rsidR="00901DB7" w:rsidRPr="00E9397B" w:rsidRDefault="00901DB7">
      <w:pPr>
        <w:pStyle w:val="FootnoteText"/>
      </w:pPr>
      <w:r>
        <w:rPr>
          <w:rStyle w:val="FootnoteReference"/>
        </w:rPr>
        <w:footnoteRef/>
      </w:r>
      <w:r>
        <w:tab/>
      </w:r>
      <w:r>
        <w:rPr>
          <w:i/>
        </w:rPr>
        <w:t>Safety assessment on levels of (-)-Epigallocatechin-3-gallate (EGCG) in green tea extracts used in food supplements, Norwegian Institute of Public Health (2015)</w:t>
      </w:r>
      <w:r>
        <w:t xml:space="preserve"> (Procjena sigurnosti razina (-)-epigalokatehin-3-galata u ekstraktima zelenog čaja koji se upotrebljavaju u dodacima prehrani, Norveški institut za javno zdravstvo (2015.). </w:t>
      </w:r>
    </w:p>
  </w:footnote>
  <w:footnote w:id="5">
    <w:p w14:paraId="113FCAB4" w14:textId="77777777" w:rsidR="00901DB7" w:rsidRPr="003C28EA" w:rsidRDefault="00901DB7" w:rsidP="00FB0178">
      <w:pPr>
        <w:pStyle w:val="FootnoteText"/>
      </w:pPr>
      <w:r>
        <w:rPr>
          <w:rStyle w:val="FootnoteReference"/>
        </w:rPr>
        <w:footnoteRef/>
      </w:r>
      <w:r>
        <w:tab/>
        <w:t>EFSA Journal 2018.;16(4):5239.</w:t>
      </w:r>
    </w:p>
  </w:footnote>
  <w:footnote w:id="6">
    <w:p w14:paraId="39F1FC71" w14:textId="63D7B31B" w:rsidR="00901DB7" w:rsidRPr="00451BEA" w:rsidRDefault="00901DB7">
      <w:pPr>
        <w:pStyle w:val="FootnoteText"/>
      </w:pPr>
      <w:r>
        <w:rPr>
          <w:rStyle w:val="FootnoteReference"/>
        </w:rPr>
        <w:footnoteRef/>
      </w:r>
      <w:r>
        <w:tab/>
        <w:t>Direktiva 2002/46/EZ Europskog parlamenta i Vijeća od 10. lipnja 2002. o usklađivanju zakona država članica u odnosu na dodatke prehrani (SL L 183, 12.7.2002., str. 51.).</w:t>
      </w:r>
    </w:p>
  </w:footnote>
  <w:footnote w:id="7">
    <w:p w14:paraId="29DC023F" w14:textId="77777777" w:rsidR="00901DB7" w:rsidRPr="00706052" w:rsidRDefault="00901DB7" w:rsidP="005D511A">
      <w:pPr>
        <w:pStyle w:val="FootnoteText"/>
      </w:pPr>
      <w:r>
        <w:rPr>
          <w:rStyle w:val="FootnoteReference"/>
        </w:rPr>
        <w:footnoteRef/>
      </w:r>
      <w:r>
        <w:tab/>
        <w:t>Uredba (EU) 2015/2283 Europskog parlamenta i Vijeća od 25. studenoga 2015. o novoj hrani, o izmjeni Uredbe (EU) br. 1169/2011 Europskog parlamenta i Vijeća i o stavljanju izvan snage Uredbe (EZ) br. 258/97 Europskog parlamenta i Vijeća i Uredbe Komisije (EZ) br. 1852/2001 (SL L 327, 11.12.2015., str. 1.).</w:t>
      </w:r>
    </w:p>
  </w:footnote>
  <w:footnote w:id="8">
    <w:p w14:paraId="36A3FB8A" w14:textId="177501A0" w:rsidR="00901DB7" w:rsidRPr="00746303" w:rsidRDefault="00901DB7" w:rsidP="00E44268">
      <w:pPr>
        <w:pStyle w:val="FootnoteText"/>
      </w:pPr>
      <w:r>
        <w:rPr>
          <w:rStyle w:val="FootnoteReference"/>
        </w:rPr>
        <w:footnoteRef/>
      </w:r>
      <w:r>
        <w:tab/>
        <w:t>Provedbena uredba Komisije (EU) 2017/2470 оd 20. prosinca 2017. o utvrđivanju Unijina popisa nove hrane u skladu s Uredbom (EU) 2015/2283 Europskog parlamenta i Vijeća o novoj hrani (SL L 351, 30.12.2017., str. 72.).</w:t>
      </w:r>
    </w:p>
    <w:p w14:paraId="4BF5AC7B" w14:textId="77777777" w:rsidR="00901DB7" w:rsidRPr="00897C5A" w:rsidRDefault="00901DB7" w:rsidP="00E4426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9F5C4" w14:textId="77777777" w:rsidR="006F4A18" w:rsidRPr="006F4A18" w:rsidRDefault="006F4A18" w:rsidP="006F4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62F6F" w14:textId="77777777" w:rsidR="006F4A18" w:rsidRPr="006F4A18" w:rsidRDefault="006F4A18" w:rsidP="006F4A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7481" w14:textId="77777777" w:rsidR="006F4A18" w:rsidRPr="006F4A18" w:rsidRDefault="006F4A18" w:rsidP="006F4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41466F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A0568E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BE0AD3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C06CE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E6F6A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4AA0FC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65CA15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F7A06B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2"/>
    <w:lvlOverride w:ilvl="0">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ctiveWritingStyle w:appName="MSWord" w:lang="de-DE" w:vendorID="64" w:dllVersion="131078" w:nlCheck="1" w:checkStyle="0"/>
  <w:attachedTemplate r:id="rId1"/>
  <w:revisionView w:markup="0"/>
  <w:defaultTabStop w:val="720"/>
  <w:hyphenationZone w:val="425"/>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23 11:20:02"/>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CORRIGENDUM" w:val="&lt;UNUSED&gt;"/>
    <w:docVar w:name="LW_COVERPAGE_EXISTS" w:val="True"/>
    <w:docVar w:name="LW_COVERPAGE_GUID" w:val="B7896F7B-894A-4B77-ACA9-A2DD97595E64"/>
    <w:docVar w:name="LW_COVERPAGE_TYPE" w:val="1"/>
    <w:docVar w:name="LW_CROSSREFERENCE" w:val="&lt;UNUSED&gt;"/>
    <w:docVar w:name="LW_DATE.ADOPT.CP" w:val="\u1086?d 30.11.2022."/>
    <w:docVar w:name="LW_DATE.ADOPT.CP_DATEFORMAT" w:val="\u1086?d %DATE%"/>
    <w:docVar w:name="LW_DATE.ADOPT.CP_ISODATE" w:val="2022-11-30"/>
    <w:docVar w:name="LW_DocType" w:val="COM"/>
    <w:docVar w:name="LW_EMISSION" w:val="30.11.2022."/>
    <w:docVar w:name="LW_EMISSION_ISODATE" w:val="2022-11-30"/>
    <w:docVar w:name="LW_EMISSION_LOCATION" w:val="BRX"/>
    <w:docVar w:name="LW_EMISSION_PREFIX" w:val="Bruxelles, "/>
    <w:docVar w:name="LW_EMISSION_SUFFIX" w:val="&lt;EMPTY&gt;"/>
    <w:docVar w:name="LW_ID_DOCMODEL" w:val="SJ-001"/>
    <w:docVar w:name="LW_ID_DOCSIGNATURE" w:val="SJ-001"/>
    <w:docVar w:name="LW_ID_DOCSTRUCTURE" w:val="COM/AA"/>
    <w:docVar w:name="LW_ID_DOCTYPE" w:val="SJ-001"/>
    <w:docVar w:name="LW_INTERETEEE.CP" w:val="(Tekst značajan za EGP)"/>
    <w:docVar w:name="LW_LANGUE" w:val="HR"/>
    <w:docVar w:name="LW_LANGUESFAISANTFOI.CP" w:val="&lt;UNUSED&gt;"/>
    <w:docVar w:name="LW_LEVEL_OF_SENSITIVITY" w:val="Standard treatment"/>
    <w:docVar w:name="LW_NOM.INST" w:val="EUROPSKA KOMISIJA"/>
    <w:docVar w:name="LW_NOM.INST_JOINTDOC" w:val="&lt;EMPTY&gt;"/>
    <w:docVar w:name="LW_PART_NBR" w:val="1"/>
    <w:docVar w:name="LW_PART_NBR_TOTAL" w:val="1"/>
    <w:docVar w:name="LW_REF.INST.NEW" w:val="C"/>
    <w:docVar w:name="LW_REF.INST.NEW_ADOPTED" w:val="final"/>
    <w:docVar w:name="LW_REF.INST.NEW_TEXT" w:val="(2022) 859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izmjeni Priloga III. Uredbi (EZ) br. 1925/2006 Europskog parlamenta i Vijeća u pogledu ekstrakata zelenog čaja koji sadržava (-)-epigalokatehin-3-galat"/>
    <w:docVar w:name="LW_TYPE.DOC.CP" w:val="UREDBA KOMISIJE (EU) .../..."/>
    <w:docVar w:name="LwApiVersions" w:val="LW4CoDe 1.23.2.0; LW 8.0, Build 20211117"/>
  </w:docVars>
  <w:rsids>
    <w:rsidRoot w:val="00CE3F70"/>
    <w:rsid w:val="000020B5"/>
    <w:rsid w:val="00010D54"/>
    <w:rsid w:val="000145FE"/>
    <w:rsid w:val="000155DC"/>
    <w:rsid w:val="0001638A"/>
    <w:rsid w:val="000165E1"/>
    <w:rsid w:val="00024195"/>
    <w:rsid w:val="00026077"/>
    <w:rsid w:val="00035D66"/>
    <w:rsid w:val="000378F4"/>
    <w:rsid w:val="00041CE1"/>
    <w:rsid w:val="00042F1D"/>
    <w:rsid w:val="000435CD"/>
    <w:rsid w:val="00045553"/>
    <w:rsid w:val="000475B0"/>
    <w:rsid w:val="0005314C"/>
    <w:rsid w:val="00054205"/>
    <w:rsid w:val="0005722E"/>
    <w:rsid w:val="0007023F"/>
    <w:rsid w:val="00074D35"/>
    <w:rsid w:val="00074DB6"/>
    <w:rsid w:val="000753A9"/>
    <w:rsid w:val="00075C93"/>
    <w:rsid w:val="00077574"/>
    <w:rsid w:val="000802AC"/>
    <w:rsid w:val="00085870"/>
    <w:rsid w:val="00090324"/>
    <w:rsid w:val="000A090B"/>
    <w:rsid w:val="000A1EB8"/>
    <w:rsid w:val="000A4151"/>
    <w:rsid w:val="000A47C8"/>
    <w:rsid w:val="000A68C6"/>
    <w:rsid w:val="000B28F4"/>
    <w:rsid w:val="000B5735"/>
    <w:rsid w:val="000B762D"/>
    <w:rsid w:val="000B7C4A"/>
    <w:rsid w:val="000C15A9"/>
    <w:rsid w:val="000C5716"/>
    <w:rsid w:val="000D0B18"/>
    <w:rsid w:val="000D7649"/>
    <w:rsid w:val="000E266D"/>
    <w:rsid w:val="000E604C"/>
    <w:rsid w:val="000E7F0B"/>
    <w:rsid w:val="000F317B"/>
    <w:rsid w:val="000F6E6C"/>
    <w:rsid w:val="00100D30"/>
    <w:rsid w:val="00103B51"/>
    <w:rsid w:val="00105B73"/>
    <w:rsid w:val="00107F99"/>
    <w:rsid w:val="001114F8"/>
    <w:rsid w:val="0011223B"/>
    <w:rsid w:val="00112FDC"/>
    <w:rsid w:val="00113781"/>
    <w:rsid w:val="001144E2"/>
    <w:rsid w:val="00121511"/>
    <w:rsid w:val="00134A48"/>
    <w:rsid w:val="001362FE"/>
    <w:rsid w:val="00136F41"/>
    <w:rsid w:val="00137C34"/>
    <w:rsid w:val="00150197"/>
    <w:rsid w:val="001517B6"/>
    <w:rsid w:val="001521DF"/>
    <w:rsid w:val="00153992"/>
    <w:rsid w:val="00156470"/>
    <w:rsid w:val="0015678A"/>
    <w:rsid w:val="00156E97"/>
    <w:rsid w:val="00163B42"/>
    <w:rsid w:val="00172642"/>
    <w:rsid w:val="0017266D"/>
    <w:rsid w:val="00174E82"/>
    <w:rsid w:val="00185A2B"/>
    <w:rsid w:val="00193AF3"/>
    <w:rsid w:val="001969FD"/>
    <w:rsid w:val="001A7A48"/>
    <w:rsid w:val="001B273A"/>
    <w:rsid w:val="001B2E3A"/>
    <w:rsid w:val="001C2027"/>
    <w:rsid w:val="001C6A57"/>
    <w:rsid w:val="001D0528"/>
    <w:rsid w:val="001D0CED"/>
    <w:rsid w:val="001D421E"/>
    <w:rsid w:val="001D57CB"/>
    <w:rsid w:val="001D69A1"/>
    <w:rsid w:val="001E25E6"/>
    <w:rsid w:val="001E4C64"/>
    <w:rsid w:val="001E7B30"/>
    <w:rsid w:val="001F0FBC"/>
    <w:rsid w:val="001F2CCC"/>
    <w:rsid w:val="001F3FBE"/>
    <w:rsid w:val="001F4EEC"/>
    <w:rsid w:val="001F5802"/>
    <w:rsid w:val="001F62A7"/>
    <w:rsid w:val="001F7B0B"/>
    <w:rsid w:val="002001E1"/>
    <w:rsid w:val="00211F57"/>
    <w:rsid w:val="00212F8C"/>
    <w:rsid w:val="00217AD2"/>
    <w:rsid w:val="0022144C"/>
    <w:rsid w:val="00230DE3"/>
    <w:rsid w:val="00234DC7"/>
    <w:rsid w:val="002359A3"/>
    <w:rsid w:val="00240306"/>
    <w:rsid w:val="00240377"/>
    <w:rsid w:val="00241E8B"/>
    <w:rsid w:val="0024554C"/>
    <w:rsid w:val="002500B6"/>
    <w:rsid w:val="00254C12"/>
    <w:rsid w:val="00265F28"/>
    <w:rsid w:val="002667A2"/>
    <w:rsid w:val="00267012"/>
    <w:rsid w:val="00267A9D"/>
    <w:rsid w:val="00270D66"/>
    <w:rsid w:val="002775F3"/>
    <w:rsid w:val="00277C6F"/>
    <w:rsid w:val="00283EA6"/>
    <w:rsid w:val="002841DC"/>
    <w:rsid w:val="00284E8D"/>
    <w:rsid w:val="00286AA3"/>
    <w:rsid w:val="00293285"/>
    <w:rsid w:val="002939CE"/>
    <w:rsid w:val="00294319"/>
    <w:rsid w:val="00297BD2"/>
    <w:rsid w:val="002A04F0"/>
    <w:rsid w:val="002A0F70"/>
    <w:rsid w:val="002A1691"/>
    <w:rsid w:val="002A1738"/>
    <w:rsid w:val="002A6DC4"/>
    <w:rsid w:val="002A79DF"/>
    <w:rsid w:val="002A7F11"/>
    <w:rsid w:val="002B248A"/>
    <w:rsid w:val="002C0C3E"/>
    <w:rsid w:val="002C12E0"/>
    <w:rsid w:val="002C36DB"/>
    <w:rsid w:val="002C5B02"/>
    <w:rsid w:val="002C7743"/>
    <w:rsid w:val="002E0738"/>
    <w:rsid w:val="002E476B"/>
    <w:rsid w:val="002E6B7D"/>
    <w:rsid w:val="002F6FA3"/>
    <w:rsid w:val="002F7FA8"/>
    <w:rsid w:val="003009AA"/>
    <w:rsid w:val="003039A4"/>
    <w:rsid w:val="00311635"/>
    <w:rsid w:val="003148AA"/>
    <w:rsid w:val="00314C3A"/>
    <w:rsid w:val="0032054B"/>
    <w:rsid w:val="003257E0"/>
    <w:rsid w:val="0032727E"/>
    <w:rsid w:val="0033695E"/>
    <w:rsid w:val="00341D7C"/>
    <w:rsid w:val="0035020F"/>
    <w:rsid w:val="00352527"/>
    <w:rsid w:val="0035339A"/>
    <w:rsid w:val="00353E78"/>
    <w:rsid w:val="00360884"/>
    <w:rsid w:val="00362259"/>
    <w:rsid w:val="00364409"/>
    <w:rsid w:val="00367E5A"/>
    <w:rsid w:val="00370F55"/>
    <w:rsid w:val="00373C6E"/>
    <w:rsid w:val="003760A0"/>
    <w:rsid w:val="003768CA"/>
    <w:rsid w:val="00381266"/>
    <w:rsid w:val="003814D5"/>
    <w:rsid w:val="00390467"/>
    <w:rsid w:val="00396F8E"/>
    <w:rsid w:val="003A28E2"/>
    <w:rsid w:val="003A70B4"/>
    <w:rsid w:val="003B051D"/>
    <w:rsid w:val="003B2F6E"/>
    <w:rsid w:val="003B6B7B"/>
    <w:rsid w:val="003C1A00"/>
    <w:rsid w:val="003C201E"/>
    <w:rsid w:val="003C28EA"/>
    <w:rsid w:val="003D0E01"/>
    <w:rsid w:val="003D16D2"/>
    <w:rsid w:val="003D25AA"/>
    <w:rsid w:val="003D278E"/>
    <w:rsid w:val="003E5478"/>
    <w:rsid w:val="003F2A71"/>
    <w:rsid w:val="003F355E"/>
    <w:rsid w:val="003F58FD"/>
    <w:rsid w:val="003F652C"/>
    <w:rsid w:val="00402479"/>
    <w:rsid w:val="0040316B"/>
    <w:rsid w:val="004050F2"/>
    <w:rsid w:val="0040739A"/>
    <w:rsid w:val="004111A2"/>
    <w:rsid w:val="00412106"/>
    <w:rsid w:val="00412E8A"/>
    <w:rsid w:val="004135B6"/>
    <w:rsid w:val="00414205"/>
    <w:rsid w:val="004174EA"/>
    <w:rsid w:val="004237A5"/>
    <w:rsid w:val="00425121"/>
    <w:rsid w:val="00426F6C"/>
    <w:rsid w:val="00430F31"/>
    <w:rsid w:val="00433803"/>
    <w:rsid w:val="00436285"/>
    <w:rsid w:val="0044161E"/>
    <w:rsid w:val="0044255C"/>
    <w:rsid w:val="00442FD3"/>
    <w:rsid w:val="00444378"/>
    <w:rsid w:val="00444DD6"/>
    <w:rsid w:val="004464BD"/>
    <w:rsid w:val="00451BEA"/>
    <w:rsid w:val="004561B0"/>
    <w:rsid w:val="00464825"/>
    <w:rsid w:val="00472F2B"/>
    <w:rsid w:val="0047495D"/>
    <w:rsid w:val="004769F4"/>
    <w:rsid w:val="00477BA4"/>
    <w:rsid w:val="00477CEE"/>
    <w:rsid w:val="00484B4A"/>
    <w:rsid w:val="00487C5D"/>
    <w:rsid w:val="0049120A"/>
    <w:rsid w:val="004915FB"/>
    <w:rsid w:val="004979EB"/>
    <w:rsid w:val="004A6582"/>
    <w:rsid w:val="004A69C4"/>
    <w:rsid w:val="004C1871"/>
    <w:rsid w:val="004C41EF"/>
    <w:rsid w:val="004C7CEC"/>
    <w:rsid w:val="004D3403"/>
    <w:rsid w:val="004D470D"/>
    <w:rsid w:val="004D6011"/>
    <w:rsid w:val="004E247C"/>
    <w:rsid w:val="004F04DD"/>
    <w:rsid w:val="004F29A3"/>
    <w:rsid w:val="004F51B9"/>
    <w:rsid w:val="004F765C"/>
    <w:rsid w:val="00500C6A"/>
    <w:rsid w:val="00505DE7"/>
    <w:rsid w:val="00512A6C"/>
    <w:rsid w:val="00534EE1"/>
    <w:rsid w:val="0053765C"/>
    <w:rsid w:val="0054220C"/>
    <w:rsid w:val="005461A2"/>
    <w:rsid w:val="0055433C"/>
    <w:rsid w:val="005622E8"/>
    <w:rsid w:val="00571665"/>
    <w:rsid w:val="00571B50"/>
    <w:rsid w:val="00573612"/>
    <w:rsid w:val="00573EA5"/>
    <w:rsid w:val="00575821"/>
    <w:rsid w:val="005814F4"/>
    <w:rsid w:val="005840A9"/>
    <w:rsid w:val="00584FA0"/>
    <w:rsid w:val="0058517B"/>
    <w:rsid w:val="00590CC0"/>
    <w:rsid w:val="00597816"/>
    <w:rsid w:val="005A0B70"/>
    <w:rsid w:val="005A1607"/>
    <w:rsid w:val="005A269B"/>
    <w:rsid w:val="005A3EE3"/>
    <w:rsid w:val="005A4085"/>
    <w:rsid w:val="005A4970"/>
    <w:rsid w:val="005B3DEB"/>
    <w:rsid w:val="005B4E16"/>
    <w:rsid w:val="005C060D"/>
    <w:rsid w:val="005C44CC"/>
    <w:rsid w:val="005C5033"/>
    <w:rsid w:val="005D2579"/>
    <w:rsid w:val="005D3293"/>
    <w:rsid w:val="005D511A"/>
    <w:rsid w:val="005D5FD3"/>
    <w:rsid w:val="005D7854"/>
    <w:rsid w:val="005E046B"/>
    <w:rsid w:val="005E2C48"/>
    <w:rsid w:val="005E35FE"/>
    <w:rsid w:val="005E73F8"/>
    <w:rsid w:val="005E7F32"/>
    <w:rsid w:val="005F6131"/>
    <w:rsid w:val="006110B6"/>
    <w:rsid w:val="006111D0"/>
    <w:rsid w:val="00613064"/>
    <w:rsid w:val="006235CC"/>
    <w:rsid w:val="00624C0D"/>
    <w:rsid w:val="00627355"/>
    <w:rsid w:val="00631459"/>
    <w:rsid w:val="00632E18"/>
    <w:rsid w:val="00634391"/>
    <w:rsid w:val="00645111"/>
    <w:rsid w:val="00645261"/>
    <w:rsid w:val="00647A89"/>
    <w:rsid w:val="00650C5F"/>
    <w:rsid w:val="006612A4"/>
    <w:rsid w:val="00665A55"/>
    <w:rsid w:val="006723F0"/>
    <w:rsid w:val="0068051D"/>
    <w:rsid w:val="00681288"/>
    <w:rsid w:val="00685D35"/>
    <w:rsid w:val="00691D36"/>
    <w:rsid w:val="006A06C5"/>
    <w:rsid w:val="006A5FD3"/>
    <w:rsid w:val="006B064F"/>
    <w:rsid w:val="006B1B81"/>
    <w:rsid w:val="006B24F3"/>
    <w:rsid w:val="006B3BDB"/>
    <w:rsid w:val="006B5C68"/>
    <w:rsid w:val="006C3D8E"/>
    <w:rsid w:val="006C44EF"/>
    <w:rsid w:val="006D09E3"/>
    <w:rsid w:val="006D54FA"/>
    <w:rsid w:val="006E1CD5"/>
    <w:rsid w:val="006E5CCC"/>
    <w:rsid w:val="006F3E08"/>
    <w:rsid w:val="006F4A18"/>
    <w:rsid w:val="006F7F32"/>
    <w:rsid w:val="00701C4B"/>
    <w:rsid w:val="00702EFA"/>
    <w:rsid w:val="0070411D"/>
    <w:rsid w:val="0071422F"/>
    <w:rsid w:val="00714465"/>
    <w:rsid w:val="0073493B"/>
    <w:rsid w:val="00743396"/>
    <w:rsid w:val="007435D3"/>
    <w:rsid w:val="00746303"/>
    <w:rsid w:val="00747B3D"/>
    <w:rsid w:val="0075108A"/>
    <w:rsid w:val="0075169E"/>
    <w:rsid w:val="007536DD"/>
    <w:rsid w:val="00753AC3"/>
    <w:rsid w:val="00755ACD"/>
    <w:rsid w:val="007571C1"/>
    <w:rsid w:val="00757B7E"/>
    <w:rsid w:val="00761596"/>
    <w:rsid w:val="00761BF0"/>
    <w:rsid w:val="007701B4"/>
    <w:rsid w:val="00770CBE"/>
    <w:rsid w:val="0077118B"/>
    <w:rsid w:val="0078002F"/>
    <w:rsid w:val="007879EA"/>
    <w:rsid w:val="00794A14"/>
    <w:rsid w:val="007962B4"/>
    <w:rsid w:val="00797F6E"/>
    <w:rsid w:val="007A68A2"/>
    <w:rsid w:val="007A6FEF"/>
    <w:rsid w:val="007A7E6A"/>
    <w:rsid w:val="007C2F2C"/>
    <w:rsid w:val="007C485B"/>
    <w:rsid w:val="007D178B"/>
    <w:rsid w:val="007D4EA4"/>
    <w:rsid w:val="007D4F21"/>
    <w:rsid w:val="007D7F95"/>
    <w:rsid w:val="007E001A"/>
    <w:rsid w:val="007E2D0C"/>
    <w:rsid w:val="007E3320"/>
    <w:rsid w:val="007E546E"/>
    <w:rsid w:val="007E5FE8"/>
    <w:rsid w:val="007F29C6"/>
    <w:rsid w:val="007F4E02"/>
    <w:rsid w:val="007F6DDB"/>
    <w:rsid w:val="00804FEC"/>
    <w:rsid w:val="00806112"/>
    <w:rsid w:val="00806F77"/>
    <w:rsid w:val="00807D8F"/>
    <w:rsid w:val="008131BA"/>
    <w:rsid w:val="008149F8"/>
    <w:rsid w:val="008209B8"/>
    <w:rsid w:val="00823BB1"/>
    <w:rsid w:val="008256C5"/>
    <w:rsid w:val="00832930"/>
    <w:rsid w:val="00834CE2"/>
    <w:rsid w:val="00835598"/>
    <w:rsid w:val="0084064F"/>
    <w:rsid w:val="00841102"/>
    <w:rsid w:val="008428DA"/>
    <w:rsid w:val="0084320E"/>
    <w:rsid w:val="00843457"/>
    <w:rsid w:val="0084438B"/>
    <w:rsid w:val="0084570B"/>
    <w:rsid w:val="00850652"/>
    <w:rsid w:val="00850CE6"/>
    <w:rsid w:val="00856A5A"/>
    <w:rsid w:val="008625C8"/>
    <w:rsid w:val="00865E12"/>
    <w:rsid w:val="008702EC"/>
    <w:rsid w:val="00877878"/>
    <w:rsid w:val="00880D1D"/>
    <w:rsid w:val="00881A47"/>
    <w:rsid w:val="0088538B"/>
    <w:rsid w:val="00886F23"/>
    <w:rsid w:val="008915F9"/>
    <w:rsid w:val="00892FE0"/>
    <w:rsid w:val="0089372E"/>
    <w:rsid w:val="00894ADB"/>
    <w:rsid w:val="008967C9"/>
    <w:rsid w:val="00897BAB"/>
    <w:rsid w:val="00897C5A"/>
    <w:rsid w:val="008A2B78"/>
    <w:rsid w:val="008A2C0D"/>
    <w:rsid w:val="008A5F70"/>
    <w:rsid w:val="008A6FC7"/>
    <w:rsid w:val="008A7AA3"/>
    <w:rsid w:val="008B5CE5"/>
    <w:rsid w:val="008B6ACB"/>
    <w:rsid w:val="008C46DA"/>
    <w:rsid w:val="008C4999"/>
    <w:rsid w:val="008C4E9A"/>
    <w:rsid w:val="008C6103"/>
    <w:rsid w:val="008C67AB"/>
    <w:rsid w:val="008C6CB9"/>
    <w:rsid w:val="008D018F"/>
    <w:rsid w:val="008D4E96"/>
    <w:rsid w:val="008E0440"/>
    <w:rsid w:val="008F4BFE"/>
    <w:rsid w:val="008F7D6D"/>
    <w:rsid w:val="00901DB7"/>
    <w:rsid w:val="00903753"/>
    <w:rsid w:val="00904B32"/>
    <w:rsid w:val="00905123"/>
    <w:rsid w:val="00905578"/>
    <w:rsid w:val="009069E8"/>
    <w:rsid w:val="00911B28"/>
    <w:rsid w:val="00915366"/>
    <w:rsid w:val="00923AB3"/>
    <w:rsid w:val="00924F3D"/>
    <w:rsid w:val="00930CD5"/>
    <w:rsid w:val="0093219E"/>
    <w:rsid w:val="009406C2"/>
    <w:rsid w:val="00945CDA"/>
    <w:rsid w:val="00953B26"/>
    <w:rsid w:val="009546C6"/>
    <w:rsid w:val="00954C42"/>
    <w:rsid w:val="00963E48"/>
    <w:rsid w:val="00967D9F"/>
    <w:rsid w:val="009761D5"/>
    <w:rsid w:val="0097769C"/>
    <w:rsid w:val="00980418"/>
    <w:rsid w:val="009818E4"/>
    <w:rsid w:val="009851D8"/>
    <w:rsid w:val="009A0292"/>
    <w:rsid w:val="009A58FA"/>
    <w:rsid w:val="009B2533"/>
    <w:rsid w:val="009B4305"/>
    <w:rsid w:val="009C69E4"/>
    <w:rsid w:val="009C6A31"/>
    <w:rsid w:val="009D72F0"/>
    <w:rsid w:val="009E024E"/>
    <w:rsid w:val="009E3B6F"/>
    <w:rsid w:val="009E5BB3"/>
    <w:rsid w:val="009F39F4"/>
    <w:rsid w:val="009F668C"/>
    <w:rsid w:val="009F6950"/>
    <w:rsid w:val="00A00371"/>
    <w:rsid w:val="00A00A89"/>
    <w:rsid w:val="00A01153"/>
    <w:rsid w:val="00A016CE"/>
    <w:rsid w:val="00A079B8"/>
    <w:rsid w:val="00A124CF"/>
    <w:rsid w:val="00A12B24"/>
    <w:rsid w:val="00A22E5C"/>
    <w:rsid w:val="00A244F7"/>
    <w:rsid w:val="00A32CFA"/>
    <w:rsid w:val="00A342CF"/>
    <w:rsid w:val="00A373F9"/>
    <w:rsid w:val="00A403C1"/>
    <w:rsid w:val="00A429A4"/>
    <w:rsid w:val="00A51E57"/>
    <w:rsid w:val="00A54530"/>
    <w:rsid w:val="00A5557A"/>
    <w:rsid w:val="00A56673"/>
    <w:rsid w:val="00A627AC"/>
    <w:rsid w:val="00A65091"/>
    <w:rsid w:val="00A707C2"/>
    <w:rsid w:val="00A7425A"/>
    <w:rsid w:val="00A75D8E"/>
    <w:rsid w:val="00A76927"/>
    <w:rsid w:val="00A80CD2"/>
    <w:rsid w:val="00A81103"/>
    <w:rsid w:val="00A861C0"/>
    <w:rsid w:val="00A86E11"/>
    <w:rsid w:val="00A90EC1"/>
    <w:rsid w:val="00A971CC"/>
    <w:rsid w:val="00AA0F02"/>
    <w:rsid w:val="00AA193F"/>
    <w:rsid w:val="00AA4B08"/>
    <w:rsid w:val="00AA5912"/>
    <w:rsid w:val="00AA5D99"/>
    <w:rsid w:val="00AB0400"/>
    <w:rsid w:val="00AB5269"/>
    <w:rsid w:val="00AB5A43"/>
    <w:rsid w:val="00AC350E"/>
    <w:rsid w:val="00AC6751"/>
    <w:rsid w:val="00AC701C"/>
    <w:rsid w:val="00AC77A4"/>
    <w:rsid w:val="00AD1A8C"/>
    <w:rsid w:val="00AE2610"/>
    <w:rsid w:val="00AE5DF5"/>
    <w:rsid w:val="00AE6B85"/>
    <w:rsid w:val="00AF0E75"/>
    <w:rsid w:val="00AF1E18"/>
    <w:rsid w:val="00B02B8D"/>
    <w:rsid w:val="00B06BA6"/>
    <w:rsid w:val="00B078FA"/>
    <w:rsid w:val="00B14BD6"/>
    <w:rsid w:val="00B14C0B"/>
    <w:rsid w:val="00B14FED"/>
    <w:rsid w:val="00B2261D"/>
    <w:rsid w:val="00B234DB"/>
    <w:rsid w:val="00B25DFB"/>
    <w:rsid w:val="00B26986"/>
    <w:rsid w:val="00B26A9D"/>
    <w:rsid w:val="00B333FE"/>
    <w:rsid w:val="00B41DB8"/>
    <w:rsid w:val="00B51E4B"/>
    <w:rsid w:val="00B630A2"/>
    <w:rsid w:val="00B63E0D"/>
    <w:rsid w:val="00B67A26"/>
    <w:rsid w:val="00B70A12"/>
    <w:rsid w:val="00B723A2"/>
    <w:rsid w:val="00B739CC"/>
    <w:rsid w:val="00B77519"/>
    <w:rsid w:val="00B82398"/>
    <w:rsid w:val="00B84377"/>
    <w:rsid w:val="00B906AB"/>
    <w:rsid w:val="00B92278"/>
    <w:rsid w:val="00BA4623"/>
    <w:rsid w:val="00BB20A8"/>
    <w:rsid w:val="00BB56FB"/>
    <w:rsid w:val="00BB6B30"/>
    <w:rsid w:val="00BD1648"/>
    <w:rsid w:val="00BD5032"/>
    <w:rsid w:val="00BD575C"/>
    <w:rsid w:val="00BD7138"/>
    <w:rsid w:val="00BD7803"/>
    <w:rsid w:val="00BE03A4"/>
    <w:rsid w:val="00BE0724"/>
    <w:rsid w:val="00BE0BA7"/>
    <w:rsid w:val="00BE2694"/>
    <w:rsid w:val="00BE644E"/>
    <w:rsid w:val="00BF1ACC"/>
    <w:rsid w:val="00BF2588"/>
    <w:rsid w:val="00BF6D57"/>
    <w:rsid w:val="00BF7F5B"/>
    <w:rsid w:val="00C001FE"/>
    <w:rsid w:val="00C01369"/>
    <w:rsid w:val="00C018FD"/>
    <w:rsid w:val="00C01CF0"/>
    <w:rsid w:val="00C0259E"/>
    <w:rsid w:val="00C02B3F"/>
    <w:rsid w:val="00C04251"/>
    <w:rsid w:val="00C04748"/>
    <w:rsid w:val="00C060DF"/>
    <w:rsid w:val="00C07689"/>
    <w:rsid w:val="00C209B4"/>
    <w:rsid w:val="00C21BE6"/>
    <w:rsid w:val="00C36E0D"/>
    <w:rsid w:val="00C40C36"/>
    <w:rsid w:val="00C428BD"/>
    <w:rsid w:val="00C663FC"/>
    <w:rsid w:val="00C76D15"/>
    <w:rsid w:val="00C77D66"/>
    <w:rsid w:val="00C83547"/>
    <w:rsid w:val="00C87D15"/>
    <w:rsid w:val="00C94E97"/>
    <w:rsid w:val="00CA31B5"/>
    <w:rsid w:val="00CA3239"/>
    <w:rsid w:val="00CB2C8E"/>
    <w:rsid w:val="00CB316D"/>
    <w:rsid w:val="00CB56AB"/>
    <w:rsid w:val="00CC0729"/>
    <w:rsid w:val="00CC0AA0"/>
    <w:rsid w:val="00CC166C"/>
    <w:rsid w:val="00CC36D2"/>
    <w:rsid w:val="00CC4D1F"/>
    <w:rsid w:val="00CC6A97"/>
    <w:rsid w:val="00CD0947"/>
    <w:rsid w:val="00CD3A66"/>
    <w:rsid w:val="00CD537B"/>
    <w:rsid w:val="00CE3761"/>
    <w:rsid w:val="00CE3F70"/>
    <w:rsid w:val="00CE449E"/>
    <w:rsid w:val="00D101EB"/>
    <w:rsid w:val="00D107AE"/>
    <w:rsid w:val="00D14AAC"/>
    <w:rsid w:val="00D16CBD"/>
    <w:rsid w:val="00D1759D"/>
    <w:rsid w:val="00D17E27"/>
    <w:rsid w:val="00D20ABC"/>
    <w:rsid w:val="00D370A8"/>
    <w:rsid w:val="00D41B6C"/>
    <w:rsid w:val="00D41E95"/>
    <w:rsid w:val="00D44AC8"/>
    <w:rsid w:val="00D44E42"/>
    <w:rsid w:val="00D4710F"/>
    <w:rsid w:val="00D51ECF"/>
    <w:rsid w:val="00D57383"/>
    <w:rsid w:val="00D625D3"/>
    <w:rsid w:val="00D67FF5"/>
    <w:rsid w:val="00D70460"/>
    <w:rsid w:val="00D707E7"/>
    <w:rsid w:val="00D70F3F"/>
    <w:rsid w:val="00D74665"/>
    <w:rsid w:val="00D768F9"/>
    <w:rsid w:val="00D84168"/>
    <w:rsid w:val="00D85B7D"/>
    <w:rsid w:val="00D94AE6"/>
    <w:rsid w:val="00DA4C04"/>
    <w:rsid w:val="00DA5488"/>
    <w:rsid w:val="00DA58B1"/>
    <w:rsid w:val="00DA768F"/>
    <w:rsid w:val="00DA7D8B"/>
    <w:rsid w:val="00DB0091"/>
    <w:rsid w:val="00DB089D"/>
    <w:rsid w:val="00DB3F0B"/>
    <w:rsid w:val="00DB551E"/>
    <w:rsid w:val="00DC52E3"/>
    <w:rsid w:val="00DC6728"/>
    <w:rsid w:val="00DD72A0"/>
    <w:rsid w:val="00DD7B10"/>
    <w:rsid w:val="00DE0599"/>
    <w:rsid w:val="00DF1654"/>
    <w:rsid w:val="00DF4650"/>
    <w:rsid w:val="00DF4A0F"/>
    <w:rsid w:val="00DF5B8E"/>
    <w:rsid w:val="00E0005D"/>
    <w:rsid w:val="00E001EC"/>
    <w:rsid w:val="00E244C6"/>
    <w:rsid w:val="00E27D39"/>
    <w:rsid w:val="00E34171"/>
    <w:rsid w:val="00E34A61"/>
    <w:rsid w:val="00E43144"/>
    <w:rsid w:val="00E43C92"/>
    <w:rsid w:val="00E44268"/>
    <w:rsid w:val="00E45CF6"/>
    <w:rsid w:val="00E57BE1"/>
    <w:rsid w:val="00E60BFD"/>
    <w:rsid w:val="00E639C0"/>
    <w:rsid w:val="00E64F1A"/>
    <w:rsid w:val="00E66787"/>
    <w:rsid w:val="00E6708B"/>
    <w:rsid w:val="00E735E1"/>
    <w:rsid w:val="00E759E6"/>
    <w:rsid w:val="00E77D83"/>
    <w:rsid w:val="00E80B1B"/>
    <w:rsid w:val="00E814CD"/>
    <w:rsid w:val="00E83FF4"/>
    <w:rsid w:val="00E9397B"/>
    <w:rsid w:val="00E94286"/>
    <w:rsid w:val="00E95BCA"/>
    <w:rsid w:val="00E965CB"/>
    <w:rsid w:val="00E96C6B"/>
    <w:rsid w:val="00EB79F4"/>
    <w:rsid w:val="00EC739C"/>
    <w:rsid w:val="00ED15E8"/>
    <w:rsid w:val="00EE1189"/>
    <w:rsid w:val="00EE1F31"/>
    <w:rsid w:val="00EE74B3"/>
    <w:rsid w:val="00EF1E5C"/>
    <w:rsid w:val="00EF7E42"/>
    <w:rsid w:val="00F0048C"/>
    <w:rsid w:val="00F028A3"/>
    <w:rsid w:val="00F10C2E"/>
    <w:rsid w:val="00F11098"/>
    <w:rsid w:val="00F111A0"/>
    <w:rsid w:val="00F147F4"/>
    <w:rsid w:val="00F1750E"/>
    <w:rsid w:val="00F2319E"/>
    <w:rsid w:val="00F3277F"/>
    <w:rsid w:val="00F329A1"/>
    <w:rsid w:val="00F35FD4"/>
    <w:rsid w:val="00F378B3"/>
    <w:rsid w:val="00F40440"/>
    <w:rsid w:val="00F42366"/>
    <w:rsid w:val="00F467F5"/>
    <w:rsid w:val="00F470F6"/>
    <w:rsid w:val="00F47A06"/>
    <w:rsid w:val="00F5619C"/>
    <w:rsid w:val="00F57D31"/>
    <w:rsid w:val="00F6300A"/>
    <w:rsid w:val="00F63E87"/>
    <w:rsid w:val="00F67120"/>
    <w:rsid w:val="00F67FC9"/>
    <w:rsid w:val="00F71817"/>
    <w:rsid w:val="00F91E35"/>
    <w:rsid w:val="00F934E7"/>
    <w:rsid w:val="00F96E8A"/>
    <w:rsid w:val="00FA1E07"/>
    <w:rsid w:val="00FA2D57"/>
    <w:rsid w:val="00FA2F82"/>
    <w:rsid w:val="00FB0178"/>
    <w:rsid w:val="00FB1744"/>
    <w:rsid w:val="00FB37E4"/>
    <w:rsid w:val="00FB400F"/>
    <w:rsid w:val="00FC196A"/>
    <w:rsid w:val="00FC1C75"/>
    <w:rsid w:val="00FC286D"/>
    <w:rsid w:val="00FD03D4"/>
    <w:rsid w:val="00FD2CF7"/>
    <w:rsid w:val="00FD73CE"/>
    <w:rsid w:val="00FD75F4"/>
    <w:rsid w:val="00FE6AF1"/>
    <w:rsid w:val="00FE6E14"/>
    <w:rsid w:val="00FE717A"/>
    <w:rsid w:val="00FF0E9A"/>
    <w:rsid w:val="00FF314C"/>
    <w:rsid w:val="00FF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333B96D2"/>
  <w15:docId w15:val="{A6A03E15-0844-47B3-BBF3-C7CA4C010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hr-HR"/>
    </w:rPr>
  </w:style>
  <w:style w:type="paragraph" w:styleId="Heading1">
    <w:name w:val="heading 1"/>
    <w:basedOn w:val="Normal"/>
    <w:next w:val="Text1"/>
    <w:link w:val="Heading1Char"/>
    <w:uiPriority w:val="9"/>
    <w:qFormat/>
    <w:rsid w:val="00517205"/>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17205"/>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17205"/>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rsid w:val="00517205"/>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17205"/>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rsid w:val="00517205"/>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rsid w:val="00517205"/>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F2319E"/>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F2319E"/>
    <w:pPr>
      <w:spacing w:after="0"/>
    </w:pPr>
  </w:style>
  <w:style w:type="paragraph" w:styleId="ListBullet">
    <w:name w:val="List Bullet"/>
    <w:basedOn w:val="Normal"/>
    <w:uiPriority w:val="99"/>
    <w:semiHidden/>
    <w:unhideWhenUsed/>
    <w:rsid w:val="00F2319E"/>
    <w:pPr>
      <w:numPr>
        <w:numId w:val="1"/>
      </w:numPr>
      <w:contextualSpacing/>
    </w:pPr>
  </w:style>
  <w:style w:type="paragraph" w:styleId="ListBullet2">
    <w:name w:val="List Bullet 2"/>
    <w:basedOn w:val="Normal"/>
    <w:uiPriority w:val="99"/>
    <w:semiHidden/>
    <w:unhideWhenUsed/>
    <w:rsid w:val="00F2319E"/>
    <w:pPr>
      <w:numPr>
        <w:numId w:val="2"/>
      </w:numPr>
      <w:contextualSpacing/>
    </w:pPr>
  </w:style>
  <w:style w:type="paragraph" w:styleId="ListBullet3">
    <w:name w:val="List Bullet 3"/>
    <w:basedOn w:val="Normal"/>
    <w:uiPriority w:val="99"/>
    <w:semiHidden/>
    <w:unhideWhenUsed/>
    <w:rsid w:val="00F2319E"/>
    <w:pPr>
      <w:numPr>
        <w:numId w:val="3"/>
      </w:numPr>
      <w:contextualSpacing/>
    </w:pPr>
  </w:style>
  <w:style w:type="paragraph" w:styleId="ListBullet4">
    <w:name w:val="List Bullet 4"/>
    <w:basedOn w:val="Normal"/>
    <w:uiPriority w:val="99"/>
    <w:semiHidden/>
    <w:unhideWhenUsed/>
    <w:rsid w:val="00F2319E"/>
    <w:pPr>
      <w:numPr>
        <w:numId w:val="4"/>
      </w:numPr>
      <w:contextualSpacing/>
    </w:pPr>
  </w:style>
  <w:style w:type="paragraph" w:styleId="ListNumber">
    <w:name w:val="List Number"/>
    <w:basedOn w:val="Normal"/>
    <w:uiPriority w:val="99"/>
    <w:semiHidden/>
    <w:unhideWhenUsed/>
    <w:rsid w:val="00F2319E"/>
    <w:pPr>
      <w:numPr>
        <w:numId w:val="5"/>
      </w:numPr>
      <w:contextualSpacing/>
    </w:pPr>
  </w:style>
  <w:style w:type="paragraph" w:styleId="ListNumber2">
    <w:name w:val="List Number 2"/>
    <w:basedOn w:val="Normal"/>
    <w:uiPriority w:val="99"/>
    <w:semiHidden/>
    <w:unhideWhenUsed/>
    <w:rsid w:val="00F2319E"/>
    <w:pPr>
      <w:numPr>
        <w:numId w:val="6"/>
      </w:numPr>
      <w:contextualSpacing/>
    </w:pPr>
  </w:style>
  <w:style w:type="paragraph" w:styleId="ListNumber3">
    <w:name w:val="List Number 3"/>
    <w:basedOn w:val="Normal"/>
    <w:uiPriority w:val="99"/>
    <w:semiHidden/>
    <w:unhideWhenUsed/>
    <w:rsid w:val="00F2319E"/>
    <w:pPr>
      <w:numPr>
        <w:numId w:val="7"/>
      </w:numPr>
      <w:contextualSpacing/>
    </w:pPr>
  </w:style>
  <w:style w:type="paragraph" w:styleId="ListNumber4">
    <w:name w:val="List Number 4"/>
    <w:basedOn w:val="Normal"/>
    <w:uiPriority w:val="99"/>
    <w:semiHidden/>
    <w:unhideWhenUsed/>
    <w:rsid w:val="00F2319E"/>
    <w:pPr>
      <w:numPr>
        <w:numId w:val="8"/>
      </w:numPr>
      <w:contextualSpacing/>
    </w:pPr>
  </w:style>
  <w:style w:type="character" w:styleId="CommentReference">
    <w:name w:val="annotation reference"/>
    <w:basedOn w:val="DefaultParagraphFont"/>
    <w:uiPriority w:val="99"/>
    <w:semiHidden/>
    <w:unhideWhenUsed/>
    <w:rsid w:val="0078002F"/>
    <w:rPr>
      <w:sz w:val="16"/>
      <w:szCs w:val="16"/>
    </w:rPr>
  </w:style>
  <w:style w:type="paragraph" w:styleId="CommentText">
    <w:name w:val="annotation text"/>
    <w:basedOn w:val="Normal"/>
    <w:link w:val="CommentTextChar"/>
    <w:uiPriority w:val="99"/>
    <w:unhideWhenUsed/>
    <w:rsid w:val="0078002F"/>
    <w:rPr>
      <w:sz w:val="20"/>
      <w:szCs w:val="20"/>
    </w:rPr>
  </w:style>
  <w:style w:type="character" w:customStyle="1" w:styleId="CommentTextChar">
    <w:name w:val="Comment Text Char"/>
    <w:basedOn w:val="DefaultParagraphFont"/>
    <w:link w:val="CommentText"/>
    <w:uiPriority w:val="99"/>
    <w:rsid w:val="0078002F"/>
    <w:rPr>
      <w:rFonts w:ascii="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78002F"/>
    <w:rPr>
      <w:b/>
      <w:bCs/>
    </w:rPr>
  </w:style>
  <w:style w:type="character" w:customStyle="1" w:styleId="CommentSubjectChar">
    <w:name w:val="Comment Subject Char"/>
    <w:basedOn w:val="CommentTextChar"/>
    <w:link w:val="CommentSubject"/>
    <w:uiPriority w:val="99"/>
    <w:semiHidden/>
    <w:rsid w:val="0078002F"/>
    <w:rPr>
      <w:rFonts w:ascii="Times New Roman" w:hAnsi="Times New Roman" w:cs="Times New Roman"/>
      <w:b/>
      <w:bCs/>
      <w:sz w:val="20"/>
      <w:szCs w:val="20"/>
      <w:lang w:val="hr-HR"/>
    </w:rPr>
  </w:style>
  <w:style w:type="character" w:styleId="Hyperlink">
    <w:name w:val="Hyperlink"/>
    <w:basedOn w:val="DefaultParagraphFont"/>
    <w:uiPriority w:val="99"/>
    <w:unhideWhenUsed/>
    <w:rsid w:val="0078002F"/>
    <w:rPr>
      <w:color w:val="0000FF" w:themeColor="hyperlink"/>
      <w:u w:val="single"/>
    </w:rPr>
  </w:style>
  <w:style w:type="paragraph" w:styleId="BalloonText">
    <w:name w:val="Balloon Text"/>
    <w:basedOn w:val="Normal"/>
    <w:link w:val="BalloonTextChar"/>
    <w:uiPriority w:val="99"/>
    <w:semiHidden/>
    <w:unhideWhenUsed/>
    <w:rsid w:val="0078002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02F"/>
    <w:rPr>
      <w:rFonts w:ascii="Tahoma" w:hAnsi="Tahoma" w:cs="Tahoma"/>
      <w:sz w:val="16"/>
      <w:szCs w:val="16"/>
      <w:lang w:val="hr-HR"/>
    </w:rPr>
  </w:style>
  <w:style w:type="paragraph" w:styleId="NormalWeb">
    <w:name w:val="Normal (Web)"/>
    <w:basedOn w:val="Normal"/>
    <w:uiPriority w:val="99"/>
    <w:unhideWhenUsed/>
    <w:rsid w:val="00FF314C"/>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sid w:val="00FF314C"/>
    <w:rPr>
      <w:i/>
      <w:iCs/>
    </w:rPr>
  </w:style>
  <w:style w:type="paragraph" w:styleId="NoSpacing">
    <w:name w:val="No Spacing"/>
    <w:link w:val="NoSpacingChar"/>
    <w:uiPriority w:val="1"/>
    <w:qFormat/>
    <w:rsid w:val="000165E1"/>
    <w:pPr>
      <w:spacing w:after="0" w:line="240" w:lineRule="auto"/>
    </w:pPr>
    <w:rPr>
      <w:rFonts w:eastAsiaTheme="minorEastAsia"/>
    </w:rPr>
  </w:style>
  <w:style w:type="character" w:customStyle="1" w:styleId="NoSpacingChar">
    <w:name w:val="No Spacing Char"/>
    <w:basedOn w:val="DefaultParagraphFont"/>
    <w:link w:val="NoSpacing"/>
    <w:uiPriority w:val="1"/>
    <w:rsid w:val="000165E1"/>
    <w:rPr>
      <w:rFonts w:eastAsiaTheme="minorEastAsia"/>
    </w:rPr>
  </w:style>
  <w:style w:type="character" w:styleId="PlaceholderText">
    <w:name w:val="Placeholder Text"/>
    <w:basedOn w:val="DefaultParagraphFont"/>
    <w:uiPriority w:val="99"/>
    <w:semiHidden/>
    <w:rsid w:val="00A342CF"/>
    <w:rPr>
      <w:color w:val="808080"/>
    </w:rPr>
  </w:style>
  <w:style w:type="paragraph" w:customStyle="1" w:styleId="Normal1">
    <w:name w:val="Normal1"/>
    <w:basedOn w:val="Normal"/>
    <w:rsid w:val="00364409"/>
    <w:pPr>
      <w:spacing w:before="100" w:beforeAutospacing="1" w:after="100" w:afterAutospacing="1"/>
      <w:jc w:val="left"/>
    </w:pPr>
    <w:rPr>
      <w:rFonts w:eastAsia="Times New Roman"/>
      <w:szCs w:val="24"/>
      <w:lang w:eastAsia="en-GB"/>
    </w:rPr>
  </w:style>
  <w:style w:type="paragraph" w:customStyle="1" w:styleId="ti-art">
    <w:name w:val="ti-art"/>
    <w:basedOn w:val="Normal"/>
    <w:rsid w:val="00364409"/>
    <w:pPr>
      <w:spacing w:before="100" w:beforeAutospacing="1" w:after="100" w:afterAutospacing="1"/>
      <w:jc w:val="left"/>
    </w:pPr>
    <w:rPr>
      <w:rFonts w:eastAsia="Times New Roman"/>
      <w:szCs w:val="24"/>
      <w:lang w:eastAsia="en-GB"/>
    </w:rPr>
  </w:style>
  <w:style w:type="paragraph" w:styleId="ListParagraph">
    <w:name w:val="List Paragraph"/>
    <w:basedOn w:val="Normal"/>
    <w:uiPriority w:val="34"/>
    <w:qFormat/>
    <w:rsid w:val="00FB1744"/>
    <w:pPr>
      <w:ind w:left="720"/>
      <w:contextualSpacing/>
    </w:pPr>
  </w:style>
  <w:style w:type="table" w:styleId="TableGrid">
    <w:name w:val="Table Grid"/>
    <w:basedOn w:val="TableNormal"/>
    <w:uiPriority w:val="59"/>
    <w:rsid w:val="00AE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7D8B"/>
    <w:pPr>
      <w:spacing w:after="0" w:line="240" w:lineRule="auto"/>
    </w:pPr>
    <w:rPr>
      <w:rFonts w:ascii="Times New Roman" w:hAnsi="Times New Roman" w:cs="Times New Roman"/>
      <w:sz w:val="24"/>
    </w:rPr>
  </w:style>
  <w:style w:type="paragraph" w:styleId="Header">
    <w:name w:val="header"/>
    <w:basedOn w:val="Normal"/>
    <w:link w:val="HeaderChar"/>
    <w:uiPriority w:val="99"/>
    <w:unhideWhenUsed/>
    <w:rsid w:val="006F4A18"/>
    <w:pPr>
      <w:tabs>
        <w:tab w:val="center" w:pos="4535"/>
        <w:tab w:val="right" w:pos="9071"/>
      </w:tabs>
      <w:spacing w:before="0"/>
    </w:pPr>
  </w:style>
  <w:style w:type="character" w:customStyle="1" w:styleId="HeaderChar">
    <w:name w:val="Header Char"/>
    <w:basedOn w:val="DefaultParagraphFont"/>
    <w:link w:val="Header"/>
    <w:uiPriority w:val="99"/>
    <w:rsid w:val="006F4A18"/>
    <w:rPr>
      <w:rFonts w:ascii="Times New Roman" w:hAnsi="Times New Roman" w:cs="Times New Roman"/>
      <w:sz w:val="24"/>
      <w:lang w:val="hr-HR"/>
    </w:rPr>
  </w:style>
  <w:style w:type="paragraph" w:styleId="Footer">
    <w:name w:val="footer"/>
    <w:basedOn w:val="Normal"/>
    <w:link w:val="FooterChar"/>
    <w:uiPriority w:val="99"/>
    <w:unhideWhenUsed/>
    <w:rsid w:val="006F4A18"/>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6F4A18"/>
    <w:rPr>
      <w:rFonts w:ascii="Times New Roman" w:hAnsi="Times New Roman" w:cs="Times New Roman"/>
      <w:sz w:val="24"/>
      <w:lang w:val="hr-HR"/>
    </w:rPr>
  </w:style>
  <w:style w:type="paragraph" w:styleId="FootnoteText">
    <w:name w:val="footnote text"/>
    <w:basedOn w:val="Normal"/>
    <w:link w:val="FootnoteTextChar"/>
    <w:uiPriority w:val="99"/>
    <w:semiHidden/>
    <w:unhideWhenUsed/>
    <w:rsid w:val="00517205"/>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17205"/>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17205"/>
    <w:rPr>
      <w:rFonts w:ascii="Times New Roman" w:eastAsiaTheme="majorEastAsia" w:hAnsi="Times New Roman" w:cs="Times New Roman"/>
      <w:b/>
      <w:bCs/>
      <w:smallCaps/>
      <w:sz w:val="24"/>
      <w:szCs w:val="28"/>
      <w:lang w:val="hr-HR"/>
    </w:rPr>
  </w:style>
  <w:style w:type="character" w:customStyle="1" w:styleId="Heading2Char">
    <w:name w:val="Heading 2 Char"/>
    <w:basedOn w:val="DefaultParagraphFont"/>
    <w:link w:val="Heading2"/>
    <w:uiPriority w:val="9"/>
    <w:semiHidden/>
    <w:rsid w:val="00517205"/>
    <w:rPr>
      <w:rFonts w:ascii="Times New Roman" w:eastAsiaTheme="majorEastAsia" w:hAnsi="Times New Roman" w:cs="Times New Roman"/>
      <w:b/>
      <w:bCs/>
      <w:sz w:val="24"/>
      <w:szCs w:val="26"/>
      <w:lang w:val="hr-HR"/>
    </w:rPr>
  </w:style>
  <w:style w:type="character" w:customStyle="1" w:styleId="Heading3Char">
    <w:name w:val="Heading 3 Char"/>
    <w:basedOn w:val="DefaultParagraphFont"/>
    <w:link w:val="Heading3"/>
    <w:uiPriority w:val="9"/>
    <w:semiHidden/>
    <w:rsid w:val="00517205"/>
    <w:rPr>
      <w:rFonts w:ascii="Times New Roman" w:eastAsiaTheme="majorEastAsia" w:hAnsi="Times New Roman" w:cs="Times New Roman"/>
      <w:bCs/>
      <w:i/>
      <w:sz w:val="24"/>
      <w:lang w:val="hr-HR"/>
    </w:rPr>
  </w:style>
  <w:style w:type="character" w:customStyle="1" w:styleId="Heading4Char">
    <w:name w:val="Heading 4 Char"/>
    <w:basedOn w:val="DefaultParagraphFont"/>
    <w:link w:val="Heading4"/>
    <w:uiPriority w:val="9"/>
    <w:semiHidden/>
    <w:rsid w:val="00517205"/>
    <w:rPr>
      <w:rFonts w:ascii="Times New Roman" w:eastAsiaTheme="majorEastAsia" w:hAnsi="Times New Roman" w:cs="Times New Roman"/>
      <w:bCs/>
      <w:iCs/>
      <w:sz w:val="24"/>
      <w:lang w:val="hr-HR"/>
    </w:rPr>
  </w:style>
  <w:style w:type="character" w:customStyle="1" w:styleId="Heading5Char">
    <w:name w:val="Heading 5 Char"/>
    <w:basedOn w:val="DefaultParagraphFont"/>
    <w:link w:val="Heading5"/>
    <w:uiPriority w:val="9"/>
    <w:semiHidden/>
    <w:rsid w:val="00517205"/>
    <w:rPr>
      <w:rFonts w:ascii="Times New Roman" w:eastAsiaTheme="majorEastAsia" w:hAnsi="Times New Roman" w:cs="Times New Roman"/>
      <w:sz w:val="24"/>
      <w:lang w:val="hr-HR"/>
    </w:rPr>
  </w:style>
  <w:style w:type="character" w:customStyle="1" w:styleId="Heading6Char">
    <w:name w:val="Heading 6 Char"/>
    <w:basedOn w:val="DefaultParagraphFont"/>
    <w:link w:val="Heading6"/>
    <w:uiPriority w:val="9"/>
    <w:semiHidden/>
    <w:rsid w:val="00517205"/>
    <w:rPr>
      <w:rFonts w:ascii="Times New Roman" w:eastAsiaTheme="majorEastAsia" w:hAnsi="Times New Roman" w:cs="Times New Roman"/>
      <w:iCs/>
      <w:sz w:val="24"/>
      <w:lang w:val="hr-HR"/>
    </w:rPr>
  </w:style>
  <w:style w:type="character" w:customStyle="1" w:styleId="Heading7Char">
    <w:name w:val="Heading 7 Char"/>
    <w:basedOn w:val="DefaultParagraphFont"/>
    <w:link w:val="Heading7"/>
    <w:uiPriority w:val="9"/>
    <w:semiHidden/>
    <w:rsid w:val="00517205"/>
    <w:rPr>
      <w:rFonts w:ascii="Times New Roman" w:eastAsiaTheme="majorEastAsia" w:hAnsi="Times New Roman" w:cs="Times New Roman"/>
      <w:iCs/>
      <w:sz w:val="24"/>
      <w:lang w:val="hr-HR"/>
    </w:rPr>
  </w:style>
  <w:style w:type="paragraph" w:styleId="TOCHeading">
    <w:name w:val="TOC Heading"/>
    <w:basedOn w:val="Normal"/>
    <w:next w:val="Normal"/>
    <w:uiPriority w:val="39"/>
    <w:semiHidden/>
    <w:unhideWhenUsed/>
    <w:qFormat/>
    <w:rsid w:val="00517205"/>
    <w:pPr>
      <w:spacing w:after="240"/>
      <w:jc w:val="center"/>
    </w:pPr>
    <w:rPr>
      <w:b/>
      <w:sz w:val="28"/>
    </w:rPr>
  </w:style>
  <w:style w:type="paragraph" w:styleId="TOC1">
    <w:name w:val="toc 1"/>
    <w:basedOn w:val="Normal"/>
    <w:next w:val="Normal"/>
    <w:uiPriority w:val="39"/>
    <w:semiHidden/>
    <w:unhideWhenUsed/>
    <w:rsid w:val="00517205"/>
    <w:pPr>
      <w:tabs>
        <w:tab w:val="right" w:leader="dot" w:pos="9071"/>
      </w:tabs>
      <w:spacing w:before="60"/>
      <w:ind w:left="850" w:hanging="850"/>
      <w:jc w:val="left"/>
    </w:pPr>
  </w:style>
  <w:style w:type="paragraph" w:styleId="TOC2">
    <w:name w:val="toc 2"/>
    <w:basedOn w:val="Normal"/>
    <w:next w:val="Normal"/>
    <w:uiPriority w:val="39"/>
    <w:semiHidden/>
    <w:unhideWhenUsed/>
    <w:rsid w:val="00517205"/>
    <w:pPr>
      <w:tabs>
        <w:tab w:val="right" w:leader="dot" w:pos="9071"/>
      </w:tabs>
      <w:spacing w:before="60"/>
      <w:ind w:left="850" w:hanging="850"/>
      <w:jc w:val="left"/>
    </w:pPr>
  </w:style>
  <w:style w:type="paragraph" w:styleId="TOC3">
    <w:name w:val="toc 3"/>
    <w:basedOn w:val="Normal"/>
    <w:next w:val="Normal"/>
    <w:uiPriority w:val="39"/>
    <w:semiHidden/>
    <w:unhideWhenUsed/>
    <w:rsid w:val="00517205"/>
    <w:pPr>
      <w:tabs>
        <w:tab w:val="right" w:leader="dot" w:pos="9071"/>
      </w:tabs>
      <w:spacing w:before="60"/>
      <w:ind w:left="850" w:hanging="850"/>
      <w:jc w:val="left"/>
    </w:pPr>
  </w:style>
  <w:style w:type="paragraph" w:styleId="TOC4">
    <w:name w:val="toc 4"/>
    <w:basedOn w:val="Normal"/>
    <w:next w:val="Normal"/>
    <w:uiPriority w:val="39"/>
    <w:semiHidden/>
    <w:unhideWhenUsed/>
    <w:rsid w:val="00517205"/>
    <w:pPr>
      <w:tabs>
        <w:tab w:val="right" w:leader="dot" w:pos="9071"/>
      </w:tabs>
      <w:spacing w:before="60"/>
      <w:ind w:left="850" w:hanging="850"/>
      <w:jc w:val="left"/>
    </w:pPr>
  </w:style>
  <w:style w:type="paragraph" w:styleId="TOC5">
    <w:name w:val="toc 5"/>
    <w:basedOn w:val="Normal"/>
    <w:next w:val="Normal"/>
    <w:uiPriority w:val="39"/>
    <w:semiHidden/>
    <w:unhideWhenUsed/>
    <w:rsid w:val="00517205"/>
    <w:pPr>
      <w:tabs>
        <w:tab w:val="right" w:leader="dot" w:pos="9071"/>
      </w:tabs>
      <w:spacing w:before="300"/>
      <w:jc w:val="left"/>
    </w:pPr>
  </w:style>
  <w:style w:type="paragraph" w:styleId="TOC6">
    <w:name w:val="toc 6"/>
    <w:basedOn w:val="Normal"/>
    <w:next w:val="Normal"/>
    <w:uiPriority w:val="39"/>
    <w:semiHidden/>
    <w:unhideWhenUsed/>
    <w:rsid w:val="00517205"/>
    <w:pPr>
      <w:tabs>
        <w:tab w:val="right" w:leader="dot" w:pos="9071"/>
      </w:tabs>
      <w:spacing w:before="240"/>
      <w:jc w:val="left"/>
    </w:pPr>
  </w:style>
  <w:style w:type="paragraph" w:styleId="TOC7">
    <w:name w:val="toc 7"/>
    <w:basedOn w:val="Normal"/>
    <w:next w:val="Normal"/>
    <w:uiPriority w:val="39"/>
    <w:semiHidden/>
    <w:unhideWhenUsed/>
    <w:rsid w:val="00517205"/>
    <w:pPr>
      <w:tabs>
        <w:tab w:val="right" w:leader="dot" w:pos="9071"/>
      </w:tabs>
      <w:spacing w:before="180"/>
      <w:jc w:val="left"/>
    </w:pPr>
  </w:style>
  <w:style w:type="paragraph" w:styleId="TOC8">
    <w:name w:val="toc 8"/>
    <w:basedOn w:val="Normal"/>
    <w:next w:val="Normal"/>
    <w:uiPriority w:val="39"/>
    <w:semiHidden/>
    <w:unhideWhenUsed/>
    <w:rsid w:val="00517205"/>
    <w:pPr>
      <w:tabs>
        <w:tab w:val="right" w:leader="dot" w:pos="9071"/>
      </w:tabs>
      <w:jc w:val="left"/>
    </w:pPr>
  </w:style>
  <w:style w:type="paragraph" w:styleId="TOC9">
    <w:name w:val="toc 9"/>
    <w:basedOn w:val="Normal"/>
    <w:next w:val="Normal"/>
    <w:uiPriority w:val="39"/>
    <w:semiHidden/>
    <w:unhideWhenUsed/>
    <w:rsid w:val="00517205"/>
    <w:pPr>
      <w:tabs>
        <w:tab w:val="right" w:leader="dot" w:pos="9071"/>
      </w:tabs>
      <w:ind w:left="1417" w:hanging="1417"/>
      <w:jc w:val="left"/>
    </w:pPr>
  </w:style>
  <w:style w:type="paragraph" w:customStyle="1" w:styleId="HeaderLandscape">
    <w:name w:val="HeaderLandscape"/>
    <w:basedOn w:val="Normal"/>
    <w:rsid w:val="006F4A18"/>
    <w:pPr>
      <w:tabs>
        <w:tab w:val="center" w:pos="7285"/>
        <w:tab w:val="right" w:pos="14003"/>
      </w:tabs>
      <w:spacing w:before="0"/>
    </w:pPr>
  </w:style>
  <w:style w:type="paragraph" w:customStyle="1" w:styleId="FooterLandscape">
    <w:name w:val="FooterLandscape"/>
    <w:basedOn w:val="Normal"/>
    <w:rsid w:val="006F4A18"/>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17205"/>
    <w:rPr>
      <w:shd w:val="clear" w:color="auto" w:fill="auto"/>
      <w:vertAlign w:val="superscript"/>
    </w:rPr>
  </w:style>
  <w:style w:type="paragraph" w:customStyle="1" w:styleId="HeaderSensitivity">
    <w:name w:val="Header Sensitivity"/>
    <w:basedOn w:val="Normal"/>
    <w:rsid w:val="006F4A1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F4A18"/>
    <w:pPr>
      <w:spacing w:before="0"/>
      <w:jc w:val="right"/>
    </w:pPr>
    <w:rPr>
      <w:sz w:val="28"/>
    </w:rPr>
  </w:style>
  <w:style w:type="paragraph" w:customStyle="1" w:styleId="FooterSensitivity">
    <w:name w:val="Footer Sensitivity"/>
    <w:basedOn w:val="Normal"/>
    <w:rsid w:val="006F4A1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17205"/>
    <w:pPr>
      <w:ind w:left="850"/>
    </w:pPr>
  </w:style>
  <w:style w:type="paragraph" w:customStyle="1" w:styleId="Text2">
    <w:name w:val="Text 2"/>
    <w:basedOn w:val="Normal"/>
    <w:rsid w:val="00517205"/>
    <w:pPr>
      <w:ind w:left="1417"/>
    </w:pPr>
  </w:style>
  <w:style w:type="paragraph" w:customStyle="1" w:styleId="Text3">
    <w:name w:val="Text 3"/>
    <w:basedOn w:val="Normal"/>
    <w:rsid w:val="00517205"/>
    <w:pPr>
      <w:ind w:left="1984"/>
    </w:pPr>
  </w:style>
  <w:style w:type="paragraph" w:customStyle="1" w:styleId="Text4">
    <w:name w:val="Text 4"/>
    <w:basedOn w:val="Normal"/>
    <w:rsid w:val="00517205"/>
    <w:pPr>
      <w:ind w:left="2551"/>
    </w:pPr>
  </w:style>
  <w:style w:type="paragraph" w:customStyle="1" w:styleId="Text5">
    <w:name w:val="Text 5"/>
    <w:basedOn w:val="Normal"/>
    <w:rsid w:val="00517205"/>
    <w:pPr>
      <w:ind w:left="3118"/>
    </w:pPr>
  </w:style>
  <w:style w:type="paragraph" w:customStyle="1" w:styleId="Text6">
    <w:name w:val="Text 6"/>
    <w:basedOn w:val="Normal"/>
    <w:rsid w:val="00517205"/>
    <w:pPr>
      <w:ind w:left="3685"/>
    </w:pPr>
  </w:style>
  <w:style w:type="paragraph" w:customStyle="1" w:styleId="NormalCentered">
    <w:name w:val="Normal Centered"/>
    <w:basedOn w:val="Normal"/>
    <w:rsid w:val="00517205"/>
    <w:pPr>
      <w:jc w:val="center"/>
    </w:pPr>
  </w:style>
  <w:style w:type="paragraph" w:customStyle="1" w:styleId="NormalLeft">
    <w:name w:val="Normal Left"/>
    <w:basedOn w:val="Normal"/>
    <w:rsid w:val="00517205"/>
    <w:pPr>
      <w:jc w:val="left"/>
    </w:pPr>
  </w:style>
  <w:style w:type="paragraph" w:customStyle="1" w:styleId="NormalRight">
    <w:name w:val="Normal Right"/>
    <w:basedOn w:val="Normal"/>
    <w:rsid w:val="00517205"/>
    <w:pPr>
      <w:jc w:val="right"/>
    </w:pPr>
  </w:style>
  <w:style w:type="paragraph" w:customStyle="1" w:styleId="QuotedText">
    <w:name w:val="Quoted Text"/>
    <w:basedOn w:val="Normal"/>
    <w:rsid w:val="00517205"/>
    <w:pPr>
      <w:ind w:left="1417"/>
    </w:pPr>
  </w:style>
  <w:style w:type="paragraph" w:customStyle="1" w:styleId="Point0">
    <w:name w:val="Point 0"/>
    <w:basedOn w:val="Normal"/>
    <w:rsid w:val="00517205"/>
    <w:pPr>
      <w:ind w:left="850" w:hanging="850"/>
    </w:pPr>
  </w:style>
  <w:style w:type="paragraph" w:customStyle="1" w:styleId="Point1">
    <w:name w:val="Point 1"/>
    <w:basedOn w:val="Normal"/>
    <w:rsid w:val="00517205"/>
    <w:pPr>
      <w:ind w:left="1417" w:hanging="567"/>
    </w:pPr>
  </w:style>
  <w:style w:type="paragraph" w:customStyle="1" w:styleId="Point2">
    <w:name w:val="Point 2"/>
    <w:basedOn w:val="Normal"/>
    <w:rsid w:val="00517205"/>
    <w:pPr>
      <w:ind w:left="1984" w:hanging="567"/>
    </w:pPr>
  </w:style>
  <w:style w:type="paragraph" w:customStyle="1" w:styleId="Point3">
    <w:name w:val="Point 3"/>
    <w:basedOn w:val="Normal"/>
    <w:rsid w:val="00517205"/>
    <w:pPr>
      <w:ind w:left="2551" w:hanging="567"/>
    </w:pPr>
  </w:style>
  <w:style w:type="paragraph" w:customStyle="1" w:styleId="Point4">
    <w:name w:val="Point 4"/>
    <w:basedOn w:val="Normal"/>
    <w:rsid w:val="00517205"/>
    <w:pPr>
      <w:ind w:left="3118" w:hanging="567"/>
    </w:pPr>
  </w:style>
  <w:style w:type="paragraph" w:customStyle="1" w:styleId="Point5">
    <w:name w:val="Point 5"/>
    <w:basedOn w:val="Normal"/>
    <w:rsid w:val="00517205"/>
    <w:pPr>
      <w:ind w:left="3685" w:hanging="567"/>
    </w:pPr>
  </w:style>
  <w:style w:type="paragraph" w:customStyle="1" w:styleId="Tiret0">
    <w:name w:val="Tiret 0"/>
    <w:basedOn w:val="Point0"/>
    <w:rsid w:val="00517205"/>
    <w:pPr>
      <w:numPr>
        <w:numId w:val="10"/>
      </w:numPr>
    </w:pPr>
  </w:style>
  <w:style w:type="paragraph" w:customStyle="1" w:styleId="Tiret1">
    <w:name w:val="Tiret 1"/>
    <w:basedOn w:val="Point1"/>
    <w:rsid w:val="00517205"/>
    <w:pPr>
      <w:numPr>
        <w:numId w:val="11"/>
      </w:numPr>
    </w:pPr>
  </w:style>
  <w:style w:type="paragraph" w:customStyle="1" w:styleId="Tiret2">
    <w:name w:val="Tiret 2"/>
    <w:basedOn w:val="Point2"/>
    <w:rsid w:val="00517205"/>
    <w:pPr>
      <w:numPr>
        <w:numId w:val="12"/>
      </w:numPr>
    </w:pPr>
  </w:style>
  <w:style w:type="paragraph" w:customStyle="1" w:styleId="Tiret3">
    <w:name w:val="Tiret 3"/>
    <w:basedOn w:val="Point3"/>
    <w:rsid w:val="00517205"/>
    <w:pPr>
      <w:numPr>
        <w:numId w:val="13"/>
      </w:numPr>
    </w:pPr>
  </w:style>
  <w:style w:type="paragraph" w:customStyle="1" w:styleId="Tiret4">
    <w:name w:val="Tiret 4"/>
    <w:basedOn w:val="Point4"/>
    <w:rsid w:val="00517205"/>
    <w:pPr>
      <w:numPr>
        <w:numId w:val="14"/>
      </w:numPr>
    </w:pPr>
  </w:style>
  <w:style w:type="paragraph" w:customStyle="1" w:styleId="Tiret5">
    <w:name w:val="Tiret 5"/>
    <w:basedOn w:val="Point5"/>
    <w:rsid w:val="00517205"/>
    <w:pPr>
      <w:numPr>
        <w:numId w:val="15"/>
      </w:numPr>
    </w:pPr>
  </w:style>
  <w:style w:type="paragraph" w:customStyle="1" w:styleId="PointDouble0">
    <w:name w:val="PointDouble 0"/>
    <w:basedOn w:val="Normal"/>
    <w:rsid w:val="00517205"/>
    <w:pPr>
      <w:tabs>
        <w:tab w:val="left" w:pos="850"/>
      </w:tabs>
      <w:ind w:left="1417" w:hanging="1417"/>
    </w:pPr>
  </w:style>
  <w:style w:type="paragraph" w:customStyle="1" w:styleId="PointDouble1">
    <w:name w:val="PointDouble 1"/>
    <w:basedOn w:val="Normal"/>
    <w:rsid w:val="00517205"/>
    <w:pPr>
      <w:tabs>
        <w:tab w:val="left" w:pos="1417"/>
      </w:tabs>
      <w:ind w:left="1984" w:hanging="1134"/>
    </w:pPr>
  </w:style>
  <w:style w:type="paragraph" w:customStyle="1" w:styleId="PointDouble2">
    <w:name w:val="PointDouble 2"/>
    <w:basedOn w:val="Normal"/>
    <w:rsid w:val="00517205"/>
    <w:pPr>
      <w:tabs>
        <w:tab w:val="left" w:pos="1984"/>
      </w:tabs>
      <w:ind w:left="2551" w:hanging="1134"/>
    </w:pPr>
  </w:style>
  <w:style w:type="paragraph" w:customStyle="1" w:styleId="PointDouble3">
    <w:name w:val="PointDouble 3"/>
    <w:basedOn w:val="Normal"/>
    <w:rsid w:val="00517205"/>
    <w:pPr>
      <w:tabs>
        <w:tab w:val="left" w:pos="2551"/>
      </w:tabs>
      <w:ind w:left="3118" w:hanging="1134"/>
    </w:pPr>
  </w:style>
  <w:style w:type="paragraph" w:customStyle="1" w:styleId="PointDouble4">
    <w:name w:val="PointDouble 4"/>
    <w:basedOn w:val="Normal"/>
    <w:rsid w:val="00517205"/>
    <w:pPr>
      <w:tabs>
        <w:tab w:val="left" w:pos="3118"/>
      </w:tabs>
      <w:ind w:left="3685" w:hanging="1134"/>
    </w:pPr>
  </w:style>
  <w:style w:type="paragraph" w:customStyle="1" w:styleId="PointTriple0">
    <w:name w:val="PointTriple 0"/>
    <w:basedOn w:val="Normal"/>
    <w:rsid w:val="00517205"/>
    <w:pPr>
      <w:tabs>
        <w:tab w:val="left" w:pos="850"/>
        <w:tab w:val="left" w:pos="1417"/>
      </w:tabs>
      <w:ind w:left="1984" w:hanging="1984"/>
    </w:pPr>
  </w:style>
  <w:style w:type="paragraph" w:customStyle="1" w:styleId="PointTriple1">
    <w:name w:val="PointTriple 1"/>
    <w:basedOn w:val="Normal"/>
    <w:rsid w:val="00517205"/>
    <w:pPr>
      <w:tabs>
        <w:tab w:val="left" w:pos="1417"/>
        <w:tab w:val="left" w:pos="1984"/>
      </w:tabs>
      <w:ind w:left="2551" w:hanging="1701"/>
    </w:pPr>
  </w:style>
  <w:style w:type="paragraph" w:customStyle="1" w:styleId="PointTriple2">
    <w:name w:val="PointTriple 2"/>
    <w:basedOn w:val="Normal"/>
    <w:rsid w:val="00517205"/>
    <w:pPr>
      <w:tabs>
        <w:tab w:val="left" w:pos="1984"/>
        <w:tab w:val="left" w:pos="2551"/>
      </w:tabs>
      <w:ind w:left="3118" w:hanging="1701"/>
    </w:pPr>
  </w:style>
  <w:style w:type="paragraph" w:customStyle="1" w:styleId="PointTriple3">
    <w:name w:val="PointTriple 3"/>
    <w:basedOn w:val="Normal"/>
    <w:rsid w:val="00517205"/>
    <w:pPr>
      <w:tabs>
        <w:tab w:val="left" w:pos="2551"/>
        <w:tab w:val="left" w:pos="3118"/>
      </w:tabs>
      <w:ind w:left="3685" w:hanging="1701"/>
    </w:pPr>
  </w:style>
  <w:style w:type="paragraph" w:customStyle="1" w:styleId="PointTriple4">
    <w:name w:val="PointTriple 4"/>
    <w:basedOn w:val="Normal"/>
    <w:rsid w:val="00517205"/>
    <w:pPr>
      <w:tabs>
        <w:tab w:val="left" w:pos="3118"/>
        <w:tab w:val="left" w:pos="3685"/>
      </w:tabs>
      <w:ind w:left="4252" w:hanging="1701"/>
    </w:pPr>
  </w:style>
  <w:style w:type="paragraph" w:customStyle="1" w:styleId="NumPar1">
    <w:name w:val="NumPar 1"/>
    <w:basedOn w:val="Normal"/>
    <w:next w:val="Text1"/>
    <w:rsid w:val="00517205"/>
    <w:pPr>
      <w:numPr>
        <w:numId w:val="16"/>
      </w:numPr>
    </w:pPr>
  </w:style>
  <w:style w:type="paragraph" w:customStyle="1" w:styleId="NumPar2">
    <w:name w:val="NumPar 2"/>
    <w:basedOn w:val="Normal"/>
    <w:next w:val="Text1"/>
    <w:rsid w:val="00517205"/>
    <w:pPr>
      <w:numPr>
        <w:ilvl w:val="1"/>
        <w:numId w:val="16"/>
      </w:numPr>
    </w:pPr>
  </w:style>
  <w:style w:type="paragraph" w:customStyle="1" w:styleId="NumPar3">
    <w:name w:val="NumPar 3"/>
    <w:basedOn w:val="Normal"/>
    <w:next w:val="Text1"/>
    <w:rsid w:val="00517205"/>
    <w:pPr>
      <w:numPr>
        <w:ilvl w:val="2"/>
        <w:numId w:val="16"/>
      </w:numPr>
    </w:pPr>
  </w:style>
  <w:style w:type="paragraph" w:customStyle="1" w:styleId="NumPar4">
    <w:name w:val="NumPar 4"/>
    <w:basedOn w:val="Normal"/>
    <w:next w:val="Text1"/>
    <w:rsid w:val="00517205"/>
    <w:pPr>
      <w:numPr>
        <w:ilvl w:val="3"/>
        <w:numId w:val="16"/>
      </w:numPr>
    </w:pPr>
  </w:style>
  <w:style w:type="paragraph" w:customStyle="1" w:styleId="NumPar5">
    <w:name w:val="NumPar 5"/>
    <w:basedOn w:val="Normal"/>
    <w:next w:val="Text2"/>
    <w:rsid w:val="00517205"/>
    <w:pPr>
      <w:numPr>
        <w:ilvl w:val="4"/>
        <w:numId w:val="16"/>
      </w:numPr>
    </w:pPr>
  </w:style>
  <w:style w:type="paragraph" w:customStyle="1" w:styleId="NumPar6">
    <w:name w:val="NumPar 6"/>
    <w:basedOn w:val="Normal"/>
    <w:next w:val="Text2"/>
    <w:rsid w:val="00517205"/>
    <w:pPr>
      <w:numPr>
        <w:ilvl w:val="5"/>
        <w:numId w:val="16"/>
      </w:numPr>
    </w:pPr>
  </w:style>
  <w:style w:type="paragraph" w:customStyle="1" w:styleId="NumPar7">
    <w:name w:val="NumPar 7"/>
    <w:basedOn w:val="Normal"/>
    <w:next w:val="Text2"/>
    <w:rsid w:val="00517205"/>
    <w:pPr>
      <w:numPr>
        <w:ilvl w:val="6"/>
        <w:numId w:val="16"/>
      </w:numPr>
    </w:pPr>
  </w:style>
  <w:style w:type="paragraph" w:customStyle="1" w:styleId="ManualNumPar1">
    <w:name w:val="Manual NumPar 1"/>
    <w:basedOn w:val="Normal"/>
    <w:next w:val="Text1"/>
    <w:rsid w:val="00517205"/>
    <w:pPr>
      <w:ind w:left="850" w:hanging="850"/>
    </w:pPr>
  </w:style>
  <w:style w:type="paragraph" w:customStyle="1" w:styleId="ManualNumPar2">
    <w:name w:val="Manual NumPar 2"/>
    <w:basedOn w:val="Normal"/>
    <w:next w:val="Text1"/>
    <w:rsid w:val="00517205"/>
    <w:pPr>
      <w:ind w:left="850" w:hanging="850"/>
    </w:pPr>
  </w:style>
  <w:style w:type="paragraph" w:customStyle="1" w:styleId="ManualNumPar3">
    <w:name w:val="Manual NumPar 3"/>
    <w:basedOn w:val="Normal"/>
    <w:next w:val="Text1"/>
    <w:rsid w:val="00517205"/>
    <w:pPr>
      <w:ind w:left="850" w:hanging="850"/>
    </w:pPr>
  </w:style>
  <w:style w:type="paragraph" w:customStyle="1" w:styleId="ManualNumPar4">
    <w:name w:val="Manual NumPar 4"/>
    <w:basedOn w:val="Normal"/>
    <w:next w:val="Text1"/>
    <w:rsid w:val="00517205"/>
    <w:pPr>
      <w:ind w:left="850" w:hanging="850"/>
    </w:pPr>
  </w:style>
  <w:style w:type="paragraph" w:customStyle="1" w:styleId="ManualNumPar5">
    <w:name w:val="Manual NumPar 5"/>
    <w:basedOn w:val="Normal"/>
    <w:next w:val="Text2"/>
    <w:rsid w:val="00517205"/>
    <w:pPr>
      <w:ind w:left="1417" w:hanging="1417"/>
    </w:pPr>
  </w:style>
  <w:style w:type="paragraph" w:customStyle="1" w:styleId="ManualNumPar6">
    <w:name w:val="Manual NumPar 6"/>
    <w:basedOn w:val="Normal"/>
    <w:next w:val="Text2"/>
    <w:rsid w:val="00517205"/>
    <w:pPr>
      <w:ind w:left="1417" w:hanging="1417"/>
    </w:pPr>
  </w:style>
  <w:style w:type="paragraph" w:customStyle="1" w:styleId="ManualNumPar7">
    <w:name w:val="Manual NumPar 7"/>
    <w:basedOn w:val="Normal"/>
    <w:next w:val="Text2"/>
    <w:rsid w:val="00517205"/>
    <w:pPr>
      <w:ind w:left="1417" w:hanging="1417"/>
    </w:pPr>
  </w:style>
  <w:style w:type="paragraph" w:customStyle="1" w:styleId="QuotedNumPar">
    <w:name w:val="Quoted NumPar"/>
    <w:basedOn w:val="Normal"/>
    <w:rsid w:val="00517205"/>
    <w:pPr>
      <w:ind w:left="1417" w:hanging="567"/>
    </w:pPr>
  </w:style>
  <w:style w:type="paragraph" w:customStyle="1" w:styleId="ManualHeading1">
    <w:name w:val="Manual Heading 1"/>
    <w:basedOn w:val="Normal"/>
    <w:next w:val="Text1"/>
    <w:rsid w:val="00517205"/>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17205"/>
    <w:pPr>
      <w:keepNext/>
      <w:tabs>
        <w:tab w:val="left" w:pos="850"/>
      </w:tabs>
      <w:ind w:left="850" w:hanging="850"/>
      <w:outlineLvl w:val="1"/>
    </w:pPr>
    <w:rPr>
      <w:b/>
    </w:rPr>
  </w:style>
  <w:style w:type="paragraph" w:customStyle="1" w:styleId="ManualHeading3">
    <w:name w:val="Manual Heading 3"/>
    <w:basedOn w:val="Normal"/>
    <w:next w:val="Text1"/>
    <w:rsid w:val="00517205"/>
    <w:pPr>
      <w:keepNext/>
      <w:tabs>
        <w:tab w:val="left" w:pos="850"/>
      </w:tabs>
      <w:ind w:left="850" w:hanging="850"/>
      <w:outlineLvl w:val="2"/>
    </w:pPr>
    <w:rPr>
      <w:i/>
    </w:rPr>
  </w:style>
  <w:style w:type="paragraph" w:customStyle="1" w:styleId="ManualHeading4">
    <w:name w:val="Manual Heading 4"/>
    <w:basedOn w:val="Normal"/>
    <w:next w:val="Text1"/>
    <w:rsid w:val="00517205"/>
    <w:pPr>
      <w:keepNext/>
      <w:tabs>
        <w:tab w:val="left" w:pos="850"/>
      </w:tabs>
      <w:ind w:left="850" w:hanging="850"/>
      <w:outlineLvl w:val="3"/>
    </w:pPr>
  </w:style>
  <w:style w:type="paragraph" w:customStyle="1" w:styleId="ManualHeading5">
    <w:name w:val="Manual Heading 5"/>
    <w:basedOn w:val="Normal"/>
    <w:next w:val="Text2"/>
    <w:rsid w:val="00517205"/>
    <w:pPr>
      <w:keepNext/>
      <w:tabs>
        <w:tab w:val="left" w:pos="1417"/>
      </w:tabs>
      <w:ind w:left="1417" w:hanging="1417"/>
      <w:outlineLvl w:val="4"/>
    </w:pPr>
  </w:style>
  <w:style w:type="paragraph" w:customStyle="1" w:styleId="ManualHeading6">
    <w:name w:val="Manual Heading 6"/>
    <w:basedOn w:val="Normal"/>
    <w:next w:val="Text2"/>
    <w:rsid w:val="00517205"/>
    <w:pPr>
      <w:keepNext/>
      <w:tabs>
        <w:tab w:val="left" w:pos="1417"/>
      </w:tabs>
      <w:ind w:left="1417" w:hanging="1417"/>
      <w:outlineLvl w:val="5"/>
    </w:pPr>
  </w:style>
  <w:style w:type="paragraph" w:customStyle="1" w:styleId="ManualHeading7">
    <w:name w:val="Manual Heading 7"/>
    <w:basedOn w:val="Normal"/>
    <w:next w:val="Text2"/>
    <w:rsid w:val="00517205"/>
    <w:pPr>
      <w:keepNext/>
      <w:tabs>
        <w:tab w:val="left" w:pos="1417"/>
      </w:tabs>
      <w:ind w:left="1417" w:hanging="1417"/>
      <w:outlineLvl w:val="6"/>
    </w:pPr>
  </w:style>
  <w:style w:type="paragraph" w:customStyle="1" w:styleId="ChapterTitle">
    <w:name w:val="ChapterTitle"/>
    <w:basedOn w:val="Normal"/>
    <w:next w:val="Normal"/>
    <w:rsid w:val="00517205"/>
    <w:pPr>
      <w:keepNext/>
      <w:spacing w:after="360"/>
      <w:jc w:val="center"/>
    </w:pPr>
    <w:rPr>
      <w:b/>
      <w:sz w:val="32"/>
    </w:rPr>
  </w:style>
  <w:style w:type="paragraph" w:customStyle="1" w:styleId="PartTitle">
    <w:name w:val="PartTitle"/>
    <w:basedOn w:val="Normal"/>
    <w:next w:val="ChapterTitle"/>
    <w:rsid w:val="00517205"/>
    <w:pPr>
      <w:keepNext/>
      <w:pageBreakBefore/>
      <w:spacing w:after="360"/>
      <w:jc w:val="center"/>
    </w:pPr>
    <w:rPr>
      <w:b/>
      <w:sz w:val="36"/>
    </w:rPr>
  </w:style>
  <w:style w:type="paragraph" w:customStyle="1" w:styleId="SectionTitle">
    <w:name w:val="SectionTitle"/>
    <w:basedOn w:val="Normal"/>
    <w:next w:val="Heading1"/>
    <w:rsid w:val="00517205"/>
    <w:pPr>
      <w:keepNext/>
      <w:spacing w:after="360"/>
      <w:jc w:val="center"/>
    </w:pPr>
    <w:rPr>
      <w:b/>
      <w:smallCaps/>
      <w:sz w:val="28"/>
    </w:rPr>
  </w:style>
  <w:style w:type="paragraph" w:customStyle="1" w:styleId="TableTitle">
    <w:name w:val="Table Title"/>
    <w:basedOn w:val="Normal"/>
    <w:next w:val="Normal"/>
    <w:rsid w:val="00517205"/>
    <w:pPr>
      <w:jc w:val="center"/>
    </w:pPr>
    <w:rPr>
      <w:b/>
    </w:rPr>
  </w:style>
  <w:style w:type="character" w:customStyle="1" w:styleId="Marker">
    <w:name w:val="Marker"/>
    <w:basedOn w:val="DefaultParagraphFont"/>
    <w:rsid w:val="00517205"/>
    <w:rPr>
      <w:color w:val="0000FF"/>
      <w:shd w:val="clear" w:color="auto" w:fill="auto"/>
    </w:rPr>
  </w:style>
  <w:style w:type="character" w:customStyle="1" w:styleId="Marker1">
    <w:name w:val="Marker1"/>
    <w:basedOn w:val="DefaultParagraphFont"/>
    <w:rsid w:val="00517205"/>
    <w:rPr>
      <w:color w:val="008000"/>
      <w:shd w:val="clear" w:color="auto" w:fill="auto"/>
    </w:rPr>
  </w:style>
  <w:style w:type="character" w:customStyle="1" w:styleId="Marker2">
    <w:name w:val="Marker2"/>
    <w:basedOn w:val="DefaultParagraphFont"/>
    <w:rsid w:val="00517205"/>
    <w:rPr>
      <w:color w:val="FF0000"/>
      <w:shd w:val="clear" w:color="auto" w:fill="auto"/>
    </w:rPr>
  </w:style>
  <w:style w:type="paragraph" w:customStyle="1" w:styleId="Point0number">
    <w:name w:val="Point 0 (number)"/>
    <w:basedOn w:val="Normal"/>
    <w:rsid w:val="00517205"/>
    <w:pPr>
      <w:numPr>
        <w:numId w:val="18"/>
      </w:numPr>
    </w:pPr>
  </w:style>
  <w:style w:type="paragraph" w:customStyle="1" w:styleId="Point1number">
    <w:name w:val="Point 1 (number)"/>
    <w:basedOn w:val="Normal"/>
    <w:rsid w:val="00517205"/>
    <w:pPr>
      <w:numPr>
        <w:ilvl w:val="2"/>
        <w:numId w:val="18"/>
      </w:numPr>
    </w:pPr>
  </w:style>
  <w:style w:type="paragraph" w:customStyle="1" w:styleId="Point2number">
    <w:name w:val="Point 2 (number)"/>
    <w:basedOn w:val="Normal"/>
    <w:rsid w:val="00517205"/>
    <w:pPr>
      <w:numPr>
        <w:ilvl w:val="4"/>
        <w:numId w:val="18"/>
      </w:numPr>
    </w:pPr>
  </w:style>
  <w:style w:type="paragraph" w:customStyle="1" w:styleId="Point3number">
    <w:name w:val="Point 3 (number)"/>
    <w:basedOn w:val="Normal"/>
    <w:rsid w:val="00517205"/>
    <w:pPr>
      <w:numPr>
        <w:ilvl w:val="6"/>
        <w:numId w:val="18"/>
      </w:numPr>
    </w:pPr>
  </w:style>
  <w:style w:type="paragraph" w:customStyle="1" w:styleId="Point0letter">
    <w:name w:val="Point 0 (letter)"/>
    <w:basedOn w:val="Normal"/>
    <w:rsid w:val="00517205"/>
    <w:pPr>
      <w:numPr>
        <w:ilvl w:val="1"/>
        <w:numId w:val="18"/>
      </w:numPr>
    </w:pPr>
  </w:style>
  <w:style w:type="paragraph" w:customStyle="1" w:styleId="Point1letter">
    <w:name w:val="Point 1 (letter)"/>
    <w:basedOn w:val="Normal"/>
    <w:rsid w:val="00517205"/>
    <w:pPr>
      <w:numPr>
        <w:ilvl w:val="3"/>
        <w:numId w:val="18"/>
      </w:numPr>
    </w:pPr>
  </w:style>
  <w:style w:type="paragraph" w:customStyle="1" w:styleId="Point2letter">
    <w:name w:val="Point 2 (letter)"/>
    <w:basedOn w:val="Normal"/>
    <w:rsid w:val="00517205"/>
    <w:pPr>
      <w:numPr>
        <w:ilvl w:val="5"/>
        <w:numId w:val="18"/>
      </w:numPr>
    </w:pPr>
  </w:style>
  <w:style w:type="paragraph" w:customStyle="1" w:styleId="Point3letter">
    <w:name w:val="Point 3 (letter)"/>
    <w:basedOn w:val="Normal"/>
    <w:rsid w:val="00517205"/>
    <w:pPr>
      <w:numPr>
        <w:ilvl w:val="7"/>
        <w:numId w:val="18"/>
      </w:numPr>
    </w:pPr>
  </w:style>
  <w:style w:type="paragraph" w:customStyle="1" w:styleId="Point4letter">
    <w:name w:val="Point 4 (letter)"/>
    <w:basedOn w:val="Normal"/>
    <w:rsid w:val="00517205"/>
    <w:pPr>
      <w:numPr>
        <w:ilvl w:val="8"/>
        <w:numId w:val="18"/>
      </w:numPr>
    </w:pPr>
  </w:style>
  <w:style w:type="paragraph" w:customStyle="1" w:styleId="Bullet0">
    <w:name w:val="Bullet 0"/>
    <w:basedOn w:val="Normal"/>
    <w:rsid w:val="00517205"/>
    <w:pPr>
      <w:numPr>
        <w:numId w:val="19"/>
      </w:numPr>
    </w:pPr>
  </w:style>
  <w:style w:type="paragraph" w:customStyle="1" w:styleId="Bullet1">
    <w:name w:val="Bullet 1"/>
    <w:basedOn w:val="Normal"/>
    <w:rsid w:val="00517205"/>
    <w:pPr>
      <w:numPr>
        <w:numId w:val="20"/>
      </w:numPr>
    </w:pPr>
  </w:style>
  <w:style w:type="paragraph" w:customStyle="1" w:styleId="Bullet2">
    <w:name w:val="Bullet 2"/>
    <w:basedOn w:val="Normal"/>
    <w:rsid w:val="00517205"/>
    <w:pPr>
      <w:numPr>
        <w:numId w:val="21"/>
      </w:numPr>
    </w:pPr>
  </w:style>
  <w:style w:type="paragraph" w:customStyle="1" w:styleId="Bullet3">
    <w:name w:val="Bullet 3"/>
    <w:basedOn w:val="Normal"/>
    <w:rsid w:val="00517205"/>
    <w:pPr>
      <w:numPr>
        <w:numId w:val="22"/>
      </w:numPr>
    </w:pPr>
  </w:style>
  <w:style w:type="paragraph" w:customStyle="1" w:styleId="Bullet4">
    <w:name w:val="Bullet 4"/>
    <w:basedOn w:val="Normal"/>
    <w:rsid w:val="00517205"/>
    <w:pPr>
      <w:numPr>
        <w:numId w:val="23"/>
      </w:numPr>
    </w:pPr>
  </w:style>
  <w:style w:type="paragraph" w:customStyle="1" w:styleId="Langue">
    <w:name w:val="Langue"/>
    <w:basedOn w:val="Normal"/>
    <w:next w:val="Rfrenceinterne"/>
    <w:rsid w:val="00517205"/>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17205"/>
    <w:pPr>
      <w:spacing w:before="0" w:after="0"/>
      <w:jc w:val="left"/>
    </w:pPr>
    <w:rPr>
      <w:rFonts w:ascii="Arial" w:hAnsi="Arial" w:cs="Arial"/>
    </w:rPr>
  </w:style>
  <w:style w:type="paragraph" w:customStyle="1" w:styleId="Emission">
    <w:name w:val="Emission"/>
    <w:basedOn w:val="Normal"/>
    <w:next w:val="Rfrenceinstitutionnelle"/>
    <w:rsid w:val="00517205"/>
    <w:pPr>
      <w:spacing w:before="0" w:after="0"/>
      <w:ind w:left="5103"/>
      <w:jc w:val="left"/>
    </w:pPr>
  </w:style>
  <w:style w:type="paragraph" w:customStyle="1" w:styleId="Rfrenceinstitutionnelle">
    <w:name w:val="Référence institutionnelle"/>
    <w:basedOn w:val="Normal"/>
    <w:next w:val="Confidentialit"/>
    <w:rsid w:val="00517205"/>
    <w:pPr>
      <w:spacing w:before="0" w:after="240"/>
      <w:ind w:left="5103"/>
      <w:jc w:val="left"/>
    </w:pPr>
  </w:style>
  <w:style w:type="paragraph" w:customStyle="1" w:styleId="Pagedecouverture">
    <w:name w:val="Page de couverture"/>
    <w:basedOn w:val="Normal"/>
    <w:next w:val="Normal"/>
    <w:rsid w:val="00517205"/>
    <w:pPr>
      <w:spacing w:before="0" w:after="0"/>
    </w:pPr>
  </w:style>
  <w:style w:type="paragraph" w:customStyle="1" w:styleId="Declassification">
    <w:name w:val="Declassification"/>
    <w:basedOn w:val="Normal"/>
    <w:next w:val="Normal"/>
    <w:rsid w:val="00517205"/>
    <w:pPr>
      <w:spacing w:before="0" w:after="0"/>
    </w:pPr>
  </w:style>
  <w:style w:type="paragraph" w:customStyle="1" w:styleId="Disclaimer">
    <w:name w:val="Disclaimer"/>
    <w:basedOn w:val="Normal"/>
    <w:rsid w:val="00517205"/>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17205"/>
    <w:pPr>
      <w:spacing w:before="0" w:after="0" w:line="276" w:lineRule="auto"/>
      <w:ind w:left="5103"/>
      <w:jc w:val="left"/>
    </w:pPr>
    <w:rPr>
      <w:sz w:val="28"/>
    </w:rPr>
  </w:style>
  <w:style w:type="paragraph" w:customStyle="1" w:styleId="DateMarking">
    <w:name w:val="DateMarking"/>
    <w:basedOn w:val="Normal"/>
    <w:rsid w:val="00517205"/>
    <w:pPr>
      <w:spacing w:before="0" w:after="0" w:line="276" w:lineRule="auto"/>
      <w:ind w:left="5103"/>
      <w:jc w:val="left"/>
    </w:pPr>
    <w:rPr>
      <w:i/>
      <w:sz w:val="28"/>
    </w:rPr>
  </w:style>
  <w:style w:type="paragraph" w:customStyle="1" w:styleId="ReleasableTo">
    <w:name w:val="ReleasableTo"/>
    <w:basedOn w:val="Normal"/>
    <w:rsid w:val="00517205"/>
    <w:pPr>
      <w:spacing w:before="0" w:after="0" w:line="276" w:lineRule="auto"/>
      <w:ind w:left="5103"/>
      <w:jc w:val="left"/>
    </w:pPr>
    <w:rPr>
      <w:i/>
      <w:sz w:val="28"/>
    </w:rPr>
  </w:style>
  <w:style w:type="paragraph" w:customStyle="1" w:styleId="Annexetitreexpos">
    <w:name w:val="Annexe titre (exposé)"/>
    <w:basedOn w:val="Normal"/>
    <w:next w:val="Normal"/>
    <w:rsid w:val="00517205"/>
    <w:pPr>
      <w:jc w:val="center"/>
    </w:pPr>
    <w:rPr>
      <w:b/>
      <w:u w:val="single"/>
    </w:rPr>
  </w:style>
  <w:style w:type="paragraph" w:customStyle="1" w:styleId="Annexetitre">
    <w:name w:val="Annexe titre"/>
    <w:basedOn w:val="Normal"/>
    <w:next w:val="Normal"/>
    <w:rsid w:val="00517205"/>
    <w:pPr>
      <w:jc w:val="center"/>
    </w:pPr>
    <w:rPr>
      <w:b/>
      <w:u w:val="single"/>
    </w:rPr>
  </w:style>
  <w:style w:type="paragraph" w:customStyle="1" w:styleId="Annexetitrefichefinancire">
    <w:name w:val="Annexe titre (fiche financière)"/>
    <w:basedOn w:val="Normal"/>
    <w:next w:val="Normal"/>
    <w:rsid w:val="00517205"/>
    <w:pPr>
      <w:jc w:val="center"/>
    </w:pPr>
    <w:rPr>
      <w:b/>
      <w:u w:val="single"/>
    </w:rPr>
  </w:style>
  <w:style w:type="paragraph" w:customStyle="1" w:styleId="Applicationdirecte">
    <w:name w:val="Application directe"/>
    <w:basedOn w:val="Normal"/>
    <w:next w:val="Fait"/>
    <w:rsid w:val="00517205"/>
    <w:pPr>
      <w:spacing w:before="480"/>
    </w:pPr>
  </w:style>
  <w:style w:type="paragraph" w:customStyle="1" w:styleId="Avertissementtitre">
    <w:name w:val="Avertissement titre"/>
    <w:basedOn w:val="Normal"/>
    <w:next w:val="Normal"/>
    <w:rsid w:val="00517205"/>
    <w:pPr>
      <w:keepNext/>
      <w:spacing w:before="480"/>
    </w:pPr>
    <w:rPr>
      <w:u w:val="single"/>
    </w:rPr>
  </w:style>
  <w:style w:type="paragraph" w:customStyle="1" w:styleId="Confidence">
    <w:name w:val="Confidence"/>
    <w:basedOn w:val="Normal"/>
    <w:next w:val="Normal"/>
    <w:rsid w:val="00517205"/>
    <w:pPr>
      <w:spacing w:before="360"/>
      <w:jc w:val="center"/>
    </w:pPr>
  </w:style>
  <w:style w:type="paragraph" w:customStyle="1" w:styleId="Confidentialit">
    <w:name w:val="Confidentialité"/>
    <w:basedOn w:val="Normal"/>
    <w:next w:val="TypedudocumentPagedecouverture"/>
    <w:rsid w:val="00517205"/>
    <w:pPr>
      <w:spacing w:before="240" w:after="240"/>
      <w:ind w:left="5103"/>
      <w:jc w:val="left"/>
    </w:pPr>
    <w:rPr>
      <w:i/>
      <w:sz w:val="32"/>
    </w:rPr>
  </w:style>
  <w:style w:type="paragraph" w:customStyle="1" w:styleId="Considrant">
    <w:name w:val="Considérant"/>
    <w:basedOn w:val="Normal"/>
    <w:rsid w:val="00517205"/>
    <w:pPr>
      <w:numPr>
        <w:numId w:val="24"/>
      </w:numPr>
    </w:pPr>
  </w:style>
  <w:style w:type="paragraph" w:customStyle="1" w:styleId="Corrigendum">
    <w:name w:val="Corrigendum"/>
    <w:basedOn w:val="Normal"/>
    <w:next w:val="Normal"/>
    <w:rsid w:val="00517205"/>
    <w:pPr>
      <w:spacing w:before="0" w:after="240"/>
      <w:jc w:val="left"/>
    </w:pPr>
  </w:style>
  <w:style w:type="paragraph" w:customStyle="1" w:styleId="Datedadoption">
    <w:name w:val="Date d'adoption"/>
    <w:basedOn w:val="Normal"/>
    <w:next w:val="Titreobjet"/>
    <w:rsid w:val="00517205"/>
    <w:pPr>
      <w:spacing w:before="360" w:after="0"/>
      <w:jc w:val="center"/>
    </w:pPr>
    <w:rPr>
      <w:b/>
    </w:rPr>
  </w:style>
  <w:style w:type="paragraph" w:customStyle="1" w:styleId="Exposdesmotifstitre">
    <w:name w:val="Exposé des motifs titre"/>
    <w:basedOn w:val="Normal"/>
    <w:next w:val="Normal"/>
    <w:rsid w:val="00517205"/>
    <w:pPr>
      <w:jc w:val="center"/>
    </w:pPr>
    <w:rPr>
      <w:b/>
      <w:u w:val="single"/>
    </w:rPr>
  </w:style>
  <w:style w:type="paragraph" w:customStyle="1" w:styleId="Fait">
    <w:name w:val="Fait à"/>
    <w:basedOn w:val="Normal"/>
    <w:next w:val="Institutionquisigne"/>
    <w:rsid w:val="00517205"/>
    <w:pPr>
      <w:keepNext/>
      <w:spacing w:after="0"/>
    </w:pPr>
  </w:style>
  <w:style w:type="paragraph" w:customStyle="1" w:styleId="Formuledadoption">
    <w:name w:val="Formule d'adoption"/>
    <w:basedOn w:val="Normal"/>
    <w:next w:val="Titrearticle"/>
    <w:rsid w:val="00517205"/>
    <w:pPr>
      <w:keepNext/>
    </w:pPr>
  </w:style>
  <w:style w:type="paragraph" w:customStyle="1" w:styleId="Institutionquiagit">
    <w:name w:val="Institution qui agit"/>
    <w:basedOn w:val="Normal"/>
    <w:next w:val="Normal"/>
    <w:rsid w:val="00517205"/>
    <w:pPr>
      <w:keepNext/>
      <w:spacing w:before="600"/>
    </w:pPr>
  </w:style>
  <w:style w:type="paragraph" w:customStyle="1" w:styleId="Institutionquisigne">
    <w:name w:val="Institution qui signe"/>
    <w:basedOn w:val="Normal"/>
    <w:next w:val="Personnequisigne"/>
    <w:rsid w:val="00517205"/>
    <w:pPr>
      <w:keepNext/>
      <w:tabs>
        <w:tab w:val="left" w:pos="4252"/>
      </w:tabs>
      <w:spacing w:before="720" w:after="0"/>
    </w:pPr>
    <w:rPr>
      <w:i/>
    </w:rPr>
  </w:style>
  <w:style w:type="paragraph" w:customStyle="1" w:styleId="ManualConsidrant">
    <w:name w:val="Manual Considérant"/>
    <w:basedOn w:val="Normal"/>
    <w:rsid w:val="00517205"/>
    <w:pPr>
      <w:ind w:left="709" w:hanging="709"/>
    </w:pPr>
  </w:style>
  <w:style w:type="paragraph" w:customStyle="1" w:styleId="Personnequisigne">
    <w:name w:val="Personne qui signe"/>
    <w:basedOn w:val="Normal"/>
    <w:next w:val="Institutionquisigne"/>
    <w:rsid w:val="00517205"/>
    <w:pPr>
      <w:tabs>
        <w:tab w:val="left" w:pos="4252"/>
      </w:tabs>
      <w:spacing w:before="0" w:after="0"/>
      <w:jc w:val="left"/>
    </w:pPr>
    <w:rPr>
      <w:i/>
    </w:rPr>
  </w:style>
  <w:style w:type="paragraph" w:customStyle="1" w:styleId="Rfrenceinterinstitutionnelle">
    <w:name w:val="Référence interinstitutionnelle"/>
    <w:basedOn w:val="Normal"/>
    <w:next w:val="Statut"/>
    <w:rsid w:val="00517205"/>
    <w:pPr>
      <w:spacing w:before="0" w:after="0"/>
      <w:ind w:left="5103"/>
      <w:jc w:val="left"/>
    </w:pPr>
  </w:style>
  <w:style w:type="paragraph" w:customStyle="1" w:styleId="Rfrenceinterne">
    <w:name w:val="Référence interne"/>
    <w:basedOn w:val="Normal"/>
    <w:next w:val="Rfrenceinterinstitutionnelle"/>
    <w:rsid w:val="00517205"/>
    <w:pPr>
      <w:spacing w:before="0" w:after="0"/>
      <w:ind w:left="5103"/>
      <w:jc w:val="left"/>
    </w:pPr>
  </w:style>
  <w:style w:type="paragraph" w:customStyle="1" w:styleId="Statut">
    <w:name w:val="Statut"/>
    <w:basedOn w:val="Normal"/>
    <w:next w:val="Typedudocument"/>
    <w:rsid w:val="00517205"/>
    <w:pPr>
      <w:spacing w:before="360" w:after="0"/>
      <w:jc w:val="center"/>
    </w:pPr>
  </w:style>
  <w:style w:type="paragraph" w:customStyle="1" w:styleId="Titrearticle">
    <w:name w:val="Titre article"/>
    <w:basedOn w:val="Normal"/>
    <w:next w:val="Normal"/>
    <w:rsid w:val="00517205"/>
    <w:pPr>
      <w:keepNext/>
      <w:spacing w:before="360"/>
      <w:jc w:val="center"/>
    </w:pPr>
    <w:rPr>
      <w:i/>
    </w:rPr>
  </w:style>
  <w:style w:type="paragraph" w:customStyle="1" w:styleId="Titreobjet">
    <w:name w:val="Titre objet"/>
    <w:basedOn w:val="Normal"/>
    <w:next w:val="IntrtEEE"/>
    <w:rsid w:val="00517205"/>
    <w:pPr>
      <w:spacing w:before="360" w:after="360"/>
      <w:jc w:val="center"/>
    </w:pPr>
    <w:rPr>
      <w:b/>
    </w:rPr>
  </w:style>
  <w:style w:type="paragraph" w:customStyle="1" w:styleId="Typedudocument">
    <w:name w:val="Type du document"/>
    <w:basedOn w:val="Normal"/>
    <w:next w:val="Titreobjet"/>
    <w:rsid w:val="00517205"/>
    <w:pPr>
      <w:spacing w:before="360" w:after="0"/>
      <w:jc w:val="center"/>
    </w:pPr>
    <w:rPr>
      <w:b/>
    </w:rPr>
  </w:style>
  <w:style w:type="character" w:customStyle="1" w:styleId="Added">
    <w:name w:val="Added"/>
    <w:basedOn w:val="DefaultParagraphFont"/>
    <w:rsid w:val="00517205"/>
    <w:rPr>
      <w:b/>
      <w:u w:val="single"/>
      <w:shd w:val="clear" w:color="auto" w:fill="auto"/>
    </w:rPr>
  </w:style>
  <w:style w:type="character" w:customStyle="1" w:styleId="Deleted">
    <w:name w:val="Deleted"/>
    <w:basedOn w:val="DefaultParagraphFont"/>
    <w:rsid w:val="00517205"/>
    <w:rPr>
      <w:strike/>
      <w:dstrike w:val="0"/>
      <w:shd w:val="clear" w:color="auto" w:fill="auto"/>
    </w:rPr>
  </w:style>
  <w:style w:type="paragraph" w:customStyle="1" w:styleId="Address">
    <w:name w:val="Address"/>
    <w:basedOn w:val="Normal"/>
    <w:next w:val="Normal"/>
    <w:rsid w:val="00517205"/>
    <w:pPr>
      <w:keepLines/>
      <w:spacing w:line="360" w:lineRule="auto"/>
      <w:ind w:left="3402"/>
      <w:jc w:val="left"/>
    </w:pPr>
  </w:style>
  <w:style w:type="paragraph" w:customStyle="1" w:styleId="Objetexterne">
    <w:name w:val="Objet externe"/>
    <w:basedOn w:val="Normal"/>
    <w:next w:val="Normal"/>
    <w:rsid w:val="00517205"/>
    <w:rPr>
      <w:i/>
      <w:caps/>
    </w:rPr>
  </w:style>
  <w:style w:type="paragraph" w:customStyle="1" w:styleId="Supertitre">
    <w:name w:val="Supertitre"/>
    <w:basedOn w:val="Normal"/>
    <w:next w:val="Normal"/>
    <w:rsid w:val="00517205"/>
    <w:pPr>
      <w:spacing w:before="0" w:after="600"/>
      <w:jc w:val="center"/>
    </w:pPr>
    <w:rPr>
      <w:b/>
    </w:rPr>
  </w:style>
  <w:style w:type="paragraph" w:customStyle="1" w:styleId="Languesfaisantfoi">
    <w:name w:val="Langues faisant foi"/>
    <w:basedOn w:val="Normal"/>
    <w:next w:val="Normal"/>
    <w:rsid w:val="00517205"/>
    <w:pPr>
      <w:spacing w:before="360" w:after="0"/>
      <w:jc w:val="center"/>
    </w:pPr>
  </w:style>
  <w:style w:type="paragraph" w:customStyle="1" w:styleId="Rfrencecroise">
    <w:name w:val="Référence croisée"/>
    <w:basedOn w:val="Normal"/>
    <w:rsid w:val="00517205"/>
    <w:pPr>
      <w:spacing w:before="0" w:after="0"/>
      <w:jc w:val="center"/>
    </w:pPr>
  </w:style>
  <w:style w:type="paragraph" w:customStyle="1" w:styleId="Fichefinanciretitre">
    <w:name w:val="Fiche financière titre"/>
    <w:basedOn w:val="Normal"/>
    <w:next w:val="Normal"/>
    <w:rsid w:val="00517205"/>
    <w:pPr>
      <w:jc w:val="center"/>
    </w:pPr>
    <w:rPr>
      <w:b/>
      <w:u w:val="single"/>
    </w:rPr>
  </w:style>
  <w:style w:type="paragraph" w:customStyle="1" w:styleId="DatedadoptionPagedecouverture">
    <w:name w:val="Date d'adoption (Page de couverture)"/>
    <w:basedOn w:val="Datedadoption"/>
    <w:next w:val="TitreobjetPagedecouverture"/>
    <w:rsid w:val="00517205"/>
  </w:style>
  <w:style w:type="paragraph" w:customStyle="1" w:styleId="RfrenceinterinstitutionnellePagedecouverture">
    <w:name w:val="Référence interinstitutionnelle (Page de couverture)"/>
    <w:basedOn w:val="Rfrenceinterinstitutionnelle"/>
    <w:next w:val="Confidentialit"/>
    <w:rsid w:val="00517205"/>
  </w:style>
  <w:style w:type="paragraph" w:customStyle="1" w:styleId="StatutPagedecouverture">
    <w:name w:val="Statut (Page de couverture)"/>
    <w:basedOn w:val="Statut"/>
    <w:next w:val="TypedudocumentPagedecouverture"/>
    <w:rsid w:val="00517205"/>
  </w:style>
  <w:style w:type="paragraph" w:customStyle="1" w:styleId="TitreobjetPagedecouverture">
    <w:name w:val="Titre objet (Page de couverture)"/>
    <w:basedOn w:val="Titreobjet"/>
    <w:next w:val="IntrtEEEPagedecouverture"/>
    <w:rsid w:val="00517205"/>
  </w:style>
  <w:style w:type="paragraph" w:customStyle="1" w:styleId="TypedudocumentPagedecouverture">
    <w:name w:val="Type du document (Page de couverture)"/>
    <w:basedOn w:val="Typedudocument"/>
    <w:next w:val="TitreobjetPagedecouverture"/>
    <w:rsid w:val="00517205"/>
  </w:style>
  <w:style w:type="paragraph" w:customStyle="1" w:styleId="Volume">
    <w:name w:val="Volume"/>
    <w:basedOn w:val="Normal"/>
    <w:next w:val="Confidentialit"/>
    <w:rsid w:val="00517205"/>
    <w:pPr>
      <w:spacing w:before="0" w:after="240"/>
      <w:ind w:left="5103"/>
      <w:jc w:val="left"/>
    </w:pPr>
  </w:style>
  <w:style w:type="paragraph" w:customStyle="1" w:styleId="IntrtEEE">
    <w:name w:val="Intérêt EEE"/>
    <w:basedOn w:val="Languesfaisantfoi"/>
    <w:next w:val="Normal"/>
    <w:rsid w:val="00517205"/>
    <w:pPr>
      <w:spacing w:after="240"/>
    </w:pPr>
  </w:style>
  <w:style w:type="paragraph" w:customStyle="1" w:styleId="Accompagnant">
    <w:name w:val="Accompagnant"/>
    <w:basedOn w:val="Normal"/>
    <w:next w:val="Typeacteprincipal"/>
    <w:rsid w:val="00517205"/>
    <w:pPr>
      <w:spacing w:before="0" w:after="240"/>
      <w:jc w:val="center"/>
    </w:pPr>
    <w:rPr>
      <w:b/>
      <w:i/>
    </w:rPr>
  </w:style>
  <w:style w:type="paragraph" w:customStyle="1" w:styleId="Typeacteprincipal">
    <w:name w:val="Type acte principal"/>
    <w:basedOn w:val="Normal"/>
    <w:next w:val="Objetacteprincipal"/>
    <w:rsid w:val="00517205"/>
    <w:pPr>
      <w:spacing w:before="0" w:after="240"/>
      <w:jc w:val="center"/>
    </w:pPr>
    <w:rPr>
      <w:b/>
    </w:rPr>
  </w:style>
  <w:style w:type="paragraph" w:customStyle="1" w:styleId="Objetacteprincipal">
    <w:name w:val="Objet acte principal"/>
    <w:basedOn w:val="Normal"/>
    <w:next w:val="Titrearticle"/>
    <w:rsid w:val="00517205"/>
    <w:pPr>
      <w:spacing w:before="0" w:after="360"/>
      <w:jc w:val="center"/>
    </w:pPr>
    <w:rPr>
      <w:b/>
    </w:rPr>
  </w:style>
  <w:style w:type="paragraph" w:customStyle="1" w:styleId="IntrtEEEPagedecouverture">
    <w:name w:val="Intérêt EEE (Page de couverture)"/>
    <w:basedOn w:val="IntrtEEE"/>
    <w:next w:val="Rfrencecroise"/>
    <w:rsid w:val="00517205"/>
  </w:style>
  <w:style w:type="paragraph" w:customStyle="1" w:styleId="AccompagnantPagedecouverture">
    <w:name w:val="Accompagnant (Page de couverture)"/>
    <w:basedOn w:val="Accompagnant"/>
    <w:next w:val="TypeacteprincipalPagedecouverture"/>
    <w:rsid w:val="00517205"/>
  </w:style>
  <w:style w:type="paragraph" w:customStyle="1" w:styleId="TypeacteprincipalPagedecouverture">
    <w:name w:val="Type acte principal (Page de couverture)"/>
    <w:basedOn w:val="Typeacteprincipal"/>
    <w:next w:val="ObjetacteprincipalPagedecouverture"/>
    <w:rsid w:val="00517205"/>
  </w:style>
  <w:style w:type="paragraph" w:customStyle="1" w:styleId="ObjetacteprincipalPagedecouverture">
    <w:name w:val="Objet acte principal (Page de couverture)"/>
    <w:basedOn w:val="Objetacteprincipal"/>
    <w:next w:val="Rfrencecroise"/>
    <w:rsid w:val="00517205"/>
  </w:style>
  <w:style w:type="paragraph" w:customStyle="1" w:styleId="LanguesfaisantfoiPagedecouverture">
    <w:name w:val="Langues faisant foi (Page de couverture)"/>
    <w:basedOn w:val="Normal"/>
    <w:next w:val="Normal"/>
    <w:rsid w:val="00517205"/>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5132">
      <w:bodyDiv w:val="1"/>
      <w:marLeft w:val="0"/>
      <w:marRight w:val="0"/>
      <w:marTop w:val="0"/>
      <w:marBottom w:val="0"/>
      <w:divBdr>
        <w:top w:val="none" w:sz="0" w:space="0" w:color="auto"/>
        <w:left w:val="none" w:sz="0" w:space="0" w:color="auto"/>
        <w:bottom w:val="none" w:sz="0" w:space="0" w:color="auto"/>
        <w:right w:val="none" w:sz="0" w:space="0" w:color="auto"/>
      </w:divBdr>
    </w:div>
    <w:div w:id="267739408">
      <w:bodyDiv w:val="1"/>
      <w:marLeft w:val="0"/>
      <w:marRight w:val="0"/>
      <w:marTop w:val="0"/>
      <w:marBottom w:val="0"/>
      <w:divBdr>
        <w:top w:val="none" w:sz="0" w:space="0" w:color="auto"/>
        <w:left w:val="none" w:sz="0" w:space="0" w:color="auto"/>
        <w:bottom w:val="none" w:sz="0" w:space="0" w:color="auto"/>
        <w:right w:val="none" w:sz="0" w:space="0" w:color="auto"/>
      </w:divBdr>
    </w:div>
    <w:div w:id="362097639">
      <w:bodyDiv w:val="1"/>
      <w:marLeft w:val="0"/>
      <w:marRight w:val="0"/>
      <w:marTop w:val="0"/>
      <w:marBottom w:val="0"/>
      <w:divBdr>
        <w:top w:val="none" w:sz="0" w:space="0" w:color="auto"/>
        <w:left w:val="none" w:sz="0" w:space="0" w:color="auto"/>
        <w:bottom w:val="none" w:sz="0" w:space="0" w:color="auto"/>
        <w:right w:val="none" w:sz="0" w:space="0" w:color="auto"/>
      </w:divBdr>
    </w:div>
    <w:div w:id="380596693">
      <w:bodyDiv w:val="1"/>
      <w:marLeft w:val="0"/>
      <w:marRight w:val="0"/>
      <w:marTop w:val="0"/>
      <w:marBottom w:val="0"/>
      <w:divBdr>
        <w:top w:val="none" w:sz="0" w:space="0" w:color="auto"/>
        <w:left w:val="none" w:sz="0" w:space="0" w:color="auto"/>
        <w:bottom w:val="none" w:sz="0" w:space="0" w:color="auto"/>
        <w:right w:val="none" w:sz="0" w:space="0" w:color="auto"/>
      </w:divBdr>
    </w:div>
    <w:div w:id="899096990">
      <w:bodyDiv w:val="1"/>
      <w:marLeft w:val="0"/>
      <w:marRight w:val="0"/>
      <w:marTop w:val="0"/>
      <w:marBottom w:val="0"/>
      <w:divBdr>
        <w:top w:val="none" w:sz="0" w:space="0" w:color="auto"/>
        <w:left w:val="none" w:sz="0" w:space="0" w:color="auto"/>
        <w:bottom w:val="none" w:sz="0" w:space="0" w:color="auto"/>
        <w:right w:val="none" w:sz="0" w:space="0" w:color="auto"/>
      </w:divBdr>
    </w:div>
    <w:div w:id="1367752367">
      <w:bodyDiv w:val="1"/>
      <w:marLeft w:val="0"/>
      <w:marRight w:val="0"/>
      <w:marTop w:val="0"/>
      <w:marBottom w:val="0"/>
      <w:divBdr>
        <w:top w:val="none" w:sz="0" w:space="0" w:color="auto"/>
        <w:left w:val="none" w:sz="0" w:space="0" w:color="auto"/>
        <w:bottom w:val="none" w:sz="0" w:space="0" w:color="auto"/>
        <w:right w:val="none" w:sz="0" w:space="0" w:color="auto"/>
      </w:divBdr>
    </w:div>
    <w:div w:id="1417702770">
      <w:bodyDiv w:val="1"/>
      <w:marLeft w:val="0"/>
      <w:marRight w:val="0"/>
      <w:marTop w:val="0"/>
      <w:marBottom w:val="0"/>
      <w:divBdr>
        <w:top w:val="none" w:sz="0" w:space="0" w:color="auto"/>
        <w:left w:val="none" w:sz="0" w:space="0" w:color="auto"/>
        <w:bottom w:val="none" w:sz="0" w:space="0" w:color="auto"/>
        <w:right w:val="none" w:sz="0" w:space="0" w:color="auto"/>
      </w:divBdr>
    </w:div>
    <w:div w:id="1436707960">
      <w:bodyDiv w:val="1"/>
      <w:marLeft w:val="0"/>
      <w:marRight w:val="0"/>
      <w:marTop w:val="0"/>
      <w:marBottom w:val="0"/>
      <w:divBdr>
        <w:top w:val="none" w:sz="0" w:space="0" w:color="auto"/>
        <w:left w:val="none" w:sz="0" w:space="0" w:color="auto"/>
        <w:bottom w:val="none" w:sz="0" w:space="0" w:color="auto"/>
        <w:right w:val="none" w:sz="0" w:space="0" w:color="auto"/>
      </w:divBdr>
    </w:div>
    <w:div w:id="210869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E3EFEEA-C3F3-48BD-80CF-CA920C7C0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13</TotalTime>
  <Pages>7</Pages>
  <Words>1885</Words>
  <Characters>11258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49</cp:revision>
  <cp:lastPrinted>2020-02-24T08:50:00Z</cp:lastPrinted>
  <dcterms:created xsi:type="dcterms:W3CDTF">2022-06-03T12:08:00Z</dcterms:created>
  <dcterms:modified xsi:type="dcterms:W3CDTF">2022-11-23T10:20:00Z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6.0.1.0</vt:lpwstr>
  </property>
  <property fmtid="{D5CDD505-2E9C-101B-9397-08002B2CF9AE}" pid="4" name="Last edited using">
    <vt:lpwstr>LW 8.0, Build 20220128</vt:lpwstr>
  </property>
  <property fmtid="{D5CDD505-2E9C-101B-9397-08002B2CF9AE}" pid="5" name="Created using">
    <vt:lpwstr>LW 6.0, Build 20171009</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DQCStatus">
    <vt:lpwstr>Green (DQC version 03)</vt:lpwstr>
  </property>
  <property name="OP_sanitized" fmtid="{D5CDD505-2E9C-101B-9397-08002B2CF9AE}" pid="11">
    <vt:lpwstr>True</vt:lpwstr>
  </property>
</Properties>
</file>