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6.2.0.0 -->
  <w:body>
    <w:p w:rsidR="00E72EF2" w:rsidRPr="00E828C0">
      <w:pPr>
        <w:rPr>
          <w:rFonts w:ascii="Arial" w:hAnsi="Arial" w:cs="Arial"/>
          <w:b/>
          <w:sz w:val="20"/>
          <w:szCs w:val="20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7"/>
        <w:gridCol w:w="7381"/>
      </w:tblGrid>
      <w:tr w:rsidTr="75A72DDE">
        <w:tblPrEx>
          <w:tblW w:w="101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0188" w:type="dxa"/>
            <w:gridSpan w:val="2"/>
            <w:tcBorders>
              <w:bottom w:val="single" w:sz="4" w:space="0" w:color="auto"/>
            </w:tcBorders>
            <w:shd w:val="clear" w:color="auto" w:fill="0000FF"/>
          </w:tcPr>
          <w:p w:rsidR="007D6F93" w:rsidRPr="00E828C0" w:rsidP="00824525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</w:rPr>
              <w:t>POZIV NA OČITOVANJE</w:t>
            </w:r>
          </w:p>
          <w:p w:rsidR="009E6661" w:rsidRPr="00E828C0" w:rsidP="00B312B7">
            <w:pPr>
              <w:spacing w:before="60" w:after="6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sz w:val="28"/>
              </w:rPr>
              <w:t xml:space="preserve">ZA INICIJATIVU </w:t>
            </w:r>
            <w:r>
              <w:rPr>
                <w:rFonts w:ascii="Arial" w:hAnsi="Arial"/>
                <w:b/>
                <w:color w:val="FFFFFF" w:themeColor="background1"/>
                <w:sz w:val="28"/>
              </w:rPr>
              <w:t>(bez procjene učinka)</w:t>
            </w:r>
          </w:p>
        </w:tc>
      </w:tr>
      <w:tr w:rsidTr="75A72DDE">
        <w:tblPrEx>
          <w:tblW w:w="10188" w:type="dxa"/>
          <w:tblLayout w:type="fixed"/>
          <w:tblLook w:val="01E0"/>
        </w:tblPrEx>
        <w:tc>
          <w:tcPr>
            <w:tcW w:w="1018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B96B28" w:rsidRPr="00E828C0" w:rsidP="75A72DDE">
            <w:pPr>
              <w:spacing w:before="60" w:after="120"/>
              <w:jc w:val="both"/>
              <w:rPr>
                <w:rFonts w:ascii="Arial" w:hAnsi="Arial" w:cs="Arial"/>
                <w:color w:val="000080"/>
                <w:sz w:val="18"/>
                <w:szCs w:val="18"/>
              </w:rPr>
            </w:pPr>
          </w:p>
        </w:tc>
      </w:tr>
      <w:tr w:rsidTr="75A72DDE">
        <w:tblPrEx>
          <w:tblW w:w="10188" w:type="dxa"/>
          <w:tblLayout w:type="fixed"/>
          <w:tblLook w:val="01E0"/>
        </w:tblPrEx>
        <w:tc>
          <w:tcPr>
            <w:tcW w:w="2807" w:type="dxa"/>
            <w:tcBorders>
              <w:bottom w:val="single" w:sz="4" w:space="0" w:color="auto"/>
            </w:tcBorders>
            <w:shd w:val="clear" w:color="auto" w:fill="E6E6E6"/>
          </w:tcPr>
          <w:p w:rsidR="009E6661" w:rsidRPr="00E828C0" w:rsidP="00824525">
            <w:pPr>
              <w:spacing w:before="60" w:after="60"/>
              <w:jc w:val="both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Naziv inicijative</w:t>
            </w:r>
          </w:p>
        </w:tc>
        <w:tc>
          <w:tcPr>
            <w:tcW w:w="7381" w:type="dxa"/>
            <w:shd w:val="clear" w:color="auto" w:fill="auto"/>
          </w:tcPr>
          <w:p w:rsidR="0075560F" w:rsidRPr="00E828C0" w:rsidP="70E062F2">
            <w:pPr>
              <w:spacing w:before="60" w:after="120" w:line="259" w:lineRule="auto"/>
              <w:jc w:val="both"/>
            </w:pPr>
            <w:r>
              <w:rPr>
                <w:rFonts w:ascii="Arial" w:hAnsi="Arial"/>
                <w:color w:val="000080"/>
                <w:sz w:val="20"/>
              </w:rPr>
              <w:t>Europska strategija unutarnje sigurnosti</w:t>
            </w:r>
          </w:p>
        </w:tc>
      </w:tr>
      <w:tr w:rsidTr="75A72DDE">
        <w:tblPrEx>
          <w:tblW w:w="10188" w:type="dxa"/>
          <w:tblLayout w:type="fixed"/>
          <w:tblLook w:val="01E0"/>
        </w:tblPrEx>
        <w:tc>
          <w:tcPr>
            <w:tcW w:w="28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7210" w:rsidRPr="00E828C0" w:rsidP="008B4A52">
            <w:pPr>
              <w:spacing w:before="60" w:after="60"/>
              <w:jc w:val="both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 xml:space="preserve">Vodeća glavna uprava – nadležni odjel 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210" w:rsidRPr="00E828C0" w:rsidP="00106A9A">
            <w:pPr>
              <w:spacing w:before="60" w:after="60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/>
                <w:color w:val="000080"/>
                <w:sz w:val="20"/>
              </w:rPr>
              <w:t>GU HOME.D5</w:t>
            </w:r>
          </w:p>
        </w:tc>
      </w:tr>
      <w:tr w:rsidTr="75A72DDE">
        <w:tblPrEx>
          <w:tblW w:w="10188" w:type="dxa"/>
          <w:tblLayout w:type="fixed"/>
          <w:tblLook w:val="01E0"/>
        </w:tblPrEx>
        <w:tc>
          <w:tcPr>
            <w:tcW w:w="28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23AEF" w:rsidRPr="00E828C0" w:rsidP="00824525">
            <w:pPr>
              <w:spacing w:before="60" w:after="60"/>
              <w:jc w:val="both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Vjerojatna vrsta inicijative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AEF" w:rsidRPr="00E828C0" w:rsidP="427C7746">
            <w:pPr>
              <w:spacing w:before="60" w:after="60" w:line="259" w:lineRule="auto"/>
              <w:jc w:val="both"/>
            </w:pPr>
            <w:r>
              <w:rPr>
                <w:rFonts w:ascii="Arial" w:hAnsi="Arial"/>
                <w:color w:val="000080"/>
                <w:sz w:val="20"/>
              </w:rPr>
              <w:t>Komunikacija Komisije Europskom parlamentu i Vijeću</w:t>
            </w:r>
          </w:p>
        </w:tc>
      </w:tr>
      <w:tr w:rsidTr="75A72DDE">
        <w:tblPrEx>
          <w:tblW w:w="10188" w:type="dxa"/>
          <w:tblLayout w:type="fixed"/>
          <w:tblLook w:val="01E0"/>
        </w:tblPrEx>
        <w:tc>
          <w:tcPr>
            <w:tcW w:w="28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02DFF" w:rsidRPr="00E828C0" w:rsidP="0066565B">
            <w:pPr>
              <w:spacing w:before="60" w:after="60"/>
              <w:jc w:val="both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Okvirni rok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F" w:rsidRPr="00E828C0" w:rsidP="427C7746">
            <w:pPr>
              <w:spacing w:before="120" w:after="120"/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/>
                <w:color w:val="000080"/>
                <w:sz w:val="20"/>
              </w:rPr>
              <w:t>prvo tromjesečje 2025.</w:t>
            </w:r>
          </w:p>
        </w:tc>
      </w:tr>
      <w:tr w:rsidTr="75A72DDE">
        <w:tblPrEx>
          <w:tblW w:w="10188" w:type="dxa"/>
          <w:tblLayout w:type="fixed"/>
          <w:tblLook w:val="01E0"/>
        </w:tblPrEx>
        <w:tc>
          <w:tcPr>
            <w:tcW w:w="28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D5042" w:rsidRPr="00E828C0" w:rsidP="00224B13">
            <w:pPr>
              <w:spacing w:before="60" w:after="60"/>
              <w:jc w:val="both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Dodatni podaci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042" w:rsidRPr="00E828C0" w:rsidP="427C7746">
            <w:pPr>
              <w:spacing w:before="120" w:after="120" w:line="259" w:lineRule="auto"/>
              <w:jc w:val="both"/>
            </w:pPr>
            <w:r>
              <w:rPr>
                <w:rFonts w:ascii="Arial" w:hAnsi="Arial"/>
                <w:color w:val="000080"/>
                <w:sz w:val="20"/>
              </w:rPr>
              <w:t>—</w:t>
            </w:r>
          </w:p>
        </w:tc>
      </w:tr>
      <w:tr w:rsidTr="75A72DDE">
        <w:tblPrEx>
          <w:tblW w:w="10188" w:type="dxa"/>
          <w:tblLayout w:type="fixed"/>
          <w:tblLook w:val="01E0"/>
        </w:tblPrEx>
        <w:tc>
          <w:tcPr>
            <w:tcW w:w="1018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F6C0F" w:rsidRPr="00E828C0" w:rsidP="05533326">
            <w:pPr>
              <w:spacing w:before="60" w:after="60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i/>
                <w:color w:val="FF0000"/>
                <w:sz w:val="18"/>
              </w:rPr>
              <w:t>Ovaj je dokument isključivo informativne prirode. Njegov sadržaj ne prejudicira konačnu odluku Komisije o nastavku rada na inicijativi ni njezinu konačnom sadržaju. Svaki element inicijative opisan u ovom dokumentu može se promijeniti, uključujući rokove.</w:t>
            </w:r>
          </w:p>
        </w:tc>
      </w:tr>
    </w:tbl>
    <w:p w:rsidR="00BA33B7" w:rsidRPr="00E828C0">
      <w:pPr>
        <w:rPr>
          <w:sz w:val="20"/>
          <w:szCs w:val="20"/>
        </w:rPr>
        <w:sectPr w:rsidSect="00E72EF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567" w:bottom="851" w:left="1134" w:header="709" w:footer="709" w:gutter="0"/>
          <w:cols w:space="708"/>
          <w:titlePg/>
          <w:docGrid w:linePitch="360"/>
        </w:sectPr>
      </w:pPr>
    </w:p>
    <w:p w:rsidR="00BA33B7" w:rsidRPr="00E828C0">
      <w:pPr>
        <w:rPr>
          <w:sz w:val="20"/>
          <w:szCs w:val="20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8"/>
      </w:tblGrid>
      <w:tr w:rsidTr="1F9B4539">
        <w:tblPrEx>
          <w:tblW w:w="101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0000FF"/>
          </w:tcPr>
          <w:p w:rsidR="009E6661" w:rsidRPr="00E828C0" w:rsidP="00AB4B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A. Politički kontekst, definicija problema i provjera supsidijarnosti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E6E6E6"/>
          </w:tcPr>
          <w:p w:rsidR="009E6661" w:rsidRPr="00E828C0" w:rsidP="00347966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 xml:space="preserve">Politički kontekst 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534611" w:rsidRPr="00E828C0" w:rsidP="003944C8">
            <w:pPr>
              <w:jc w:val="both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:rsidR="00DE3376" w:rsidRPr="00E828C0" w:rsidP="003944C8">
            <w:pPr>
              <w:jc w:val="both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>Desetljeća suradnje i integracije dovela su do razvoja snažnog EU-a sa slobodnim, otvorenim i demokratskim društvom koje se temelji na vladavini prava i prosperitetnim jedinstvenim tržištem EU-a. Međutim, pred Europom su danas novi geopolitički izazovi koji zahtijevaju hitan odgovor i niz sigurnosnih prijetnji koje dolaze od organiziranog kriminala,</w:t>
            </w:r>
            <w:r>
              <w:rPr>
                <w:rStyle w:val="normaltextrun"/>
                <w:rFonts w:ascii="Arial" w:hAnsi="Arial"/>
              </w:rPr>
              <w:t xml:space="preserve"> </w:t>
            </w:r>
            <w:r>
              <w:rPr>
                <w:rStyle w:val="normaltextrun"/>
                <w:rFonts w:ascii="Arial" w:hAnsi="Arial"/>
                <w:sz w:val="20"/>
              </w:rPr>
              <w:t>terorizma i drugih neprijateljskih državnih i nedržavnih aktera. Zbog sve bržih društvenih promjena i raslojavanja povećava se i složenost sigurnosnih prijetnji: sa svakom novom tehnološkom inovacijom dolaze i oni koji je žele iskoristiti u zlonamjerne svrhe.</w:t>
            </w:r>
          </w:p>
          <w:p w:rsidR="002F02C8" w:rsidRPr="00E828C0" w:rsidP="00394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5C6B54" w:rsidRPr="00E828C0" w:rsidP="003944C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Europska strategija unutarnje sigurnosti, inicijativa koju je predsjednica von der Leyen najavila u političkim smjernicama</w:t>
            </w:r>
            <w:r>
              <w:rPr>
                <w:rStyle w:val="FootnoteReference"/>
                <w:rFonts w:ascii="Arial" w:hAnsi="Arial" w:cs="Arial"/>
                <w:color w:val="000000" w:themeColor="text1"/>
                <w:sz w:val="20"/>
                <w:szCs w:val="20"/>
              </w:rPr>
              <w:footnoteReference w:id="3"/>
            </w:r>
            <w:r>
              <w:rPr>
                <w:rFonts w:ascii="Arial" w:hAnsi="Arial"/>
                <w:color w:val="000000" w:themeColor="text1"/>
                <w:sz w:val="20"/>
              </w:rPr>
              <w:t xml:space="preserve"> za novu Komisiju, bit će podloga za sveobuhvatan odgovor EU-a na sve prijetnje unutarnjoj sigurnosti, na internetu i izvan njega. Omogućit će da se sigurnosna pitanja uključe u zakonodavstvo i politike EU-a. Strategija će se temeljiti na </w:t>
            </w:r>
            <w:r>
              <w:rPr>
                <w:rFonts w:ascii="Arial" w:hAnsi="Arial"/>
                <w:sz w:val="20"/>
              </w:rPr>
              <w:t>strategiji EU-a za sigurnosnu uniju za razdoblje 2020. – 2025. i dopuniti druge inicijative Komisije, posebno Unijinu strategiju za pripravnost, Bijelu knjigu o budućnosti europske obrane i europski štit za zaštitu demokracije.</w:t>
            </w:r>
          </w:p>
          <w:p w:rsidR="003944C8" w:rsidRPr="00E828C0" w:rsidP="003944C8">
            <w:pPr>
              <w:spacing w:before="60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E6E6E6"/>
          </w:tcPr>
          <w:p w:rsidR="0071651E" w:rsidRPr="00E828C0" w:rsidP="00347966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 xml:space="preserve">Problem na koji se inicijativa odnosi 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12047F" w:rsidRPr="00E828C0" w:rsidP="001204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en-GB"/>
              </w:rPr>
            </w:pPr>
          </w:p>
          <w:p w:rsidR="00B94AF7" w:rsidRPr="00E828C0" w:rsidP="00350200">
            <w:pPr>
              <w:pStyle w:val="paragraph"/>
              <w:spacing w:before="0" w:beforeAutospacing="0" w:after="0" w:afterAutospacing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 xml:space="preserve">U prethodnom mandatu Komisije (2019. – 2024.) </w:t>
            </w:r>
            <w:r>
              <w:rPr>
                <w:rFonts w:ascii="Arial" w:hAnsi="Arial"/>
                <w:sz w:val="20"/>
              </w:rPr>
              <w:t>strategija za sigurnosnu uniju pružala je čvrst okvir za izgradnju kapaciteta EU-a za odgovor na prijetnje. EU je danas bolje opremljen za suočavanje sa sigurnosnim izazovima nego što je bio u trenutku njezina donošenja.</w:t>
            </w:r>
          </w:p>
          <w:p w:rsidR="002F02C8" w:rsidRPr="00E828C0" w:rsidP="00350200">
            <w:pPr>
              <w:pStyle w:val="paragraph"/>
              <w:spacing w:before="0" w:beforeAutospacing="0" w:after="0" w:afterAutospacing="0" w:line="259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F5E52" w:rsidRPr="00E828C0" w:rsidP="00350200">
            <w:pPr>
              <w:pStyle w:val="paragraph"/>
              <w:spacing w:before="0" w:beforeAutospacing="0" w:after="0" w:afterAutospacing="0" w:line="259" w:lineRule="auto"/>
              <w:jc w:val="both"/>
              <w:rPr>
                <w:rStyle w:val="normaltextrun"/>
              </w:rPr>
            </w:pPr>
            <w:r>
              <w:rPr>
                <w:rFonts w:ascii="Arial" w:hAnsi="Arial"/>
                <w:sz w:val="20"/>
              </w:rPr>
              <w:t>No, kako je istaknuto u najnovijem izvješću o napretku iz svibnja 2024.</w:t>
            </w:r>
            <w:r>
              <w:rPr>
                <w:rStyle w:val="FootnoteReference"/>
                <w:rFonts w:ascii="Arial" w:hAnsi="Arial" w:cs="Arial"/>
                <w:sz w:val="20"/>
                <w:szCs w:val="20"/>
                <w:lang w:val="en-GB"/>
              </w:rPr>
              <w:footnoteReference w:id="4"/>
            </w:r>
            <w:r>
              <w:rPr>
                <w:rFonts w:ascii="Arial" w:hAnsi="Arial"/>
                <w:sz w:val="20"/>
              </w:rPr>
              <w:t xml:space="preserve">, u međuvremenu je došlo do dubokih i trajnih promjena u geopolitičkom, gospodarskom i sigurnosnom kontekstu u EU-u i njegovu susjedstvu. </w:t>
            </w:r>
            <w:r>
              <w:rPr>
                <w:rStyle w:val="normaltextrun"/>
                <w:rFonts w:ascii="Arial" w:hAnsi="Arial"/>
                <w:sz w:val="20"/>
              </w:rPr>
              <w:t xml:space="preserve">EU mora biti spreman predvidjeti i suzbiti nove prijetnje koje se pojavljuju u nestabilnim geopolitičkim okolnostima. Kriminalne mreže, nasilni ekstremisti, teroristi i drugi neprijateljski akteri djeluju na međunarodnoj razini, podjednako lako u digitalnom i fizičkom okruženju. Kriminalne mreže iskorištavaju društvene podjele i gospodarske </w:t>
            </w:r>
            <w:r>
              <w:rPr>
                <w:rStyle w:val="normaltextrun"/>
                <w:rFonts w:ascii="Arial" w:hAnsi="Arial"/>
                <w:sz w:val="20"/>
              </w:rPr>
              <w:t xml:space="preserve">nejednakosti </w:t>
            </w:r>
            <w:bookmarkStart w:id="0" w:name="_Hlk188374910"/>
            <w:r>
              <w:rPr>
                <w:rStyle w:val="normaltextrun"/>
                <w:rFonts w:ascii="Arial" w:hAnsi="Arial"/>
                <w:sz w:val="20"/>
              </w:rPr>
              <w:t>te koriste ekstremno nasilje i korupciju da povećaju dobit i infiltriraju se u javne institucije, lokalne zajednice i zakonito gospodarstvo. Posljedica je narušeno povjerenje u demokratske institucije i vladavinu prava.</w:t>
            </w:r>
            <w:bookmarkStart w:id="1" w:name="_Hlk188374881"/>
            <w:bookmarkEnd w:id="0"/>
            <w:r>
              <w:rPr>
                <w:rStyle w:val="normaltextrun"/>
                <w:rFonts w:ascii="Arial" w:hAnsi="Arial"/>
                <w:sz w:val="20"/>
              </w:rPr>
              <w:t xml:space="preserve"> Sve je češća i pojava novih i hibridnih ideologija te protusistemskih i antivladinih ekstremista koji otvoreno žele srušiti demokratski pravni poredak</w:t>
            </w:r>
            <w:bookmarkEnd w:id="1"/>
            <w:r>
              <w:rPr>
                <w:rStyle w:val="normaltextrun"/>
                <w:rFonts w:ascii="Arial" w:hAnsi="Arial"/>
                <w:sz w:val="20"/>
              </w:rPr>
              <w:t>, a pojačavaju se i terorističke prijetnje nakon međunarodnih geopolitičkih napetosti i sukoba.</w:t>
            </w:r>
          </w:p>
          <w:p w:rsidR="000D6DE5" w:rsidRPr="00E828C0" w:rsidP="001204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BA0DE8" w:rsidRPr="00E828C0" w:rsidP="240D0D0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>Globalna kretanja snažno utječu na unutarnju sigurnost. EU se suočava s posljedicama promjenjive dinamike geopolitičke moći i vanjske nestabilnosti – u Ukrajini nakon ruske ratne agresije, na Bliskom istoku i u supsaharskoj regiji. Na sigurnost EU-a utječe i njegova ovisnost o trećim zemljama, primjerice kad je riječ o energiji, tehnologiji te informatičkoj i telekomunikacijskoj opremi. U tom zahtjevnom okruženju EU se suočava s hibridnim prijetnjama državnih i nedržavnih aktera (vlada i drugih). Kritična infrastruktura, uključujući energetske mreže i prometne sustave, meta je kibernetičkih napada i sabotaže, koji otkrivaju slabosti u pružanju osnovnih usluga i ozbiljno utječu na gospodarsku sigurnost EU-a.</w:t>
            </w:r>
          </w:p>
          <w:p w:rsidR="002F02C8" w:rsidRPr="00E828C0" w:rsidP="240D0D0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en-GB"/>
              </w:rPr>
            </w:pPr>
          </w:p>
          <w:p w:rsidR="00350200" w:rsidRPr="00E828C0" w:rsidP="240D0D0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 xml:space="preserve">Osim toga, </w:t>
            </w:r>
            <w:bookmarkStart w:id="2" w:name="_Hlk188374965"/>
            <w:r>
              <w:rPr>
                <w:rStyle w:val="normaltextrun"/>
                <w:rFonts w:ascii="Arial" w:hAnsi="Arial"/>
                <w:sz w:val="20"/>
              </w:rPr>
              <w:t>digitalna tehnologija postala je neophodna za sve aspekte sigurnosti, pri čemu većina prijetnji uključuje kibernetički element, zajedno s dezinformacijama čiji je cilj povećati podjele, polarizaciju i nepovjerenje u europske vlade i institucije.</w:t>
            </w:r>
            <w:bookmarkEnd w:id="2"/>
            <w:r>
              <w:rPr>
                <w:rStyle w:val="eop"/>
                <w:rFonts w:ascii="Arial" w:hAnsi="Arial"/>
                <w:sz w:val="20"/>
              </w:rPr>
              <w:t> </w:t>
            </w:r>
            <w:r>
              <w:rPr>
                <w:rStyle w:val="normaltextrun"/>
                <w:rFonts w:ascii="Arial" w:hAnsi="Arial"/>
                <w:sz w:val="20"/>
              </w:rPr>
              <w:t>Naposljetku, tijela kaznenog progona često nemaju odgovarajuće alate za istraživanje nezakonitih financijskih tokova i otkrivanje priprema za napade ili pristup podacima koji su im potrebni za razbijanje nacionalnih i transnacionalnih kriminalnih mreža. Postoji potreba za jačanjem mehanizama prekogranične i međunarodne suradnje kako bi se državama članicama omogućilo učinkovito suzbijanje organiziranog kriminala i terorizma.</w:t>
            </w:r>
          </w:p>
          <w:p w:rsidR="0012047F" w:rsidRPr="00E828C0" w:rsidP="0012047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en-GB"/>
              </w:rPr>
            </w:pP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E6E6E6"/>
          </w:tcPr>
          <w:p w:rsidR="009E6661" w:rsidRPr="00E828C0" w:rsidP="00347966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 xml:space="preserve">Temelj za mjere EU-a (pravna osnova i provjera supsidijarnosti) 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shd w:val="clear" w:color="auto" w:fill="auto"/>
          </w:tcPr>
          <w:p w:rsidR="003A46A1" w:rsidRPr="00E828C0" w:rsidP="003A09C2">
            <w:pPr>
              <w:pStyle w:val="ListParagraph"/>
              <w:spacing w:before="60" w:after="20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shd w:val="clear" w:color="auto" w:fill="D9D9D9" w:themeFill="background1" w:themeFillShade="D9"/>
          </w:tcPr>
          <w:p w:rsidR="002B1AA3" w:rsidRPr="00E828C0" w:rsidP="001533F9">
            <w:pPr>
              <w:spacing w:before="120" w:after="120"/>
              <w:jc w:val="both"/>
              <w:rPr>
                <w:rFonts w:ascii="Arial" w:hAnsi="Arial" w:cs="Arial"/>
                <w:b/>
                <w:color w:val="1036A0"/>
              </w:rPr>
            </w:pPr>
            <w:r>
              <w:rPr>
                <w:rFonts w:ascii="Arial" w:hAnsi="Arial"/>
                <w:b/>
                <w:color w:val="000000" w:themeColor="text1"/>
              </w:rPr>
              <w:t>Pravna</w:t>
            </w:r>
            <w:r>
              <w:rPr>
                <w:rFonts w:ascii="Arial" w:hAnsi="Arial"/>
                <w:b/>
                <w:color w:val="1036A0"/>
              </w:rPr>
              <w:t xml:space="preserve"> </w:t>
            </w:r>
            <w:r>
              <w:rPr>
                <w:rFonts w:ascii="Arial" w:hAnsi="Arial"/>
                <w:b/>
                <w:color w:val="000000" w:themeColor="text1"/>
              </w:rPr>
              <w:t>osnova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shd w:val="clear" w:color="auto" w:fill="auto"/>
          </w:tcPr>
          <w:p w:rsidR="003A09C2" w:rsidRPr="00E828C0" w:rsidP="003A09C2">
            <w:pPr>
              <w:spacing w:before="60" w:after="20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Materijalna pravna osnova inicijative su odredbe koje obuhvaćaju šire djelovanje EU-a u dijelu trećem glavi V. Ugovora o funkcioniranju EU-a (UFEU) u području slobode, sigurnosti i pravde.</w:t>
            </w:r>
          </w:p>
          <w:p w:rsidR="003A09C2" w:rsidRPr="00E828C0" w:rsidP="003A09C2">
            <w:pPr>
              <w:spacing w:before="60" w:after="20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Suradnja s trećim zemljama u okviru inicijative temelji se na sljedećoj pravnoj osnovi:</w:t>
            </w:r>
          </w:p>
          <w:p w:rsidR="003A09C2" w:rsidRPr="00E828C0" w:rsidP="003A09C2">
            <w:pPr>
              <w:pStyle w:val="ListParagraph"/>
              <w:numPr>
                <w:ilvl w:val="0"/>
                <w:numId w:val="1"/>
              </w:numPr>
              <w:spacing w:before="60" w:after="20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zajednička vanjska i sigurnosna politika i zajednička sigurnosna i obrambena politika: Članci 42. i 43. UFEU-a;</w:t>
            </w:r>
          </w:p>
          <w:p w:rsidR="003A09C2" w:rsidRPr="00E828C0" w:rsidP="003A09C2">
            <w:pPr>
              <w:pStyle w:val="ListParagraph"/>
              <w:numPr>
                <w:ilvl w:val="0"/>
                <w:numId w:val="1"/>
              </w:numPr>
              <w:spacing w:before="60" w:after="20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odnosi s međunarodnim organizacijama i trećim zemljama: UFEU, posebno članak 220.;</w:t>
            </w:r>
          </w:p>
          <w:p w:rsidR="00A91F8F" w:rsidRPr="00E828C0" w:rsidP="003A09C2">
            <w:pPr>
              <w:pStyle w:val="ListParagraph"/>
              <w:numPr>
                <w:ilvl w:val="0"/>
                <w:numId w:val="1"/>
              </w:numPr>
              <w:spacing w:before="60" w:after="20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dijalozi o sigurnosti: Ugovor o Europskoj uniji, članak 27. stavak 2.</w:t>
            </w:r>
          </w:p>
          <w:p w:rsidR="002B1AA3" w:rsidRPr="00E828C0" w:rsidP="003A09C2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Ovom nezakonodavnom komunikacijom ne predlaže se proširenje regulatornih ovlasti EU-a ili obvezujućih obveza za države članice, ali joj je cilj dopuniti i poduprijeti aktivnosti država članica u tom području politike.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shd w:val="clear" w:color="auto" w:fill="D9D9D9" w:themeFill="background1" w:themeFillShade="D9"/>
          </w:tcPr>
          <w:p w:rsidR="002B1AA3" w:rsidRPr="00E828C0" w:rsidP="001E25A5">
            <w:pPr>
              <w:spacing w:before="120" w:after="120"/>
              <w:jc w:val="both"/>
              <w:rPr>
                <w:rFonts w:ascii="Arial" w:hAnsi="Arial" w:cs="Arial"/>
                <w:b/>
                <w:color w:val="1036A0"/>
              </w:rPr>
            </w:pPr>
            <w:r>
              <w:rPr>
                <w:rFonts w:ascii="Arial" w:hAnsi="Arial"/>
                <w:b/>
                <w:color w:val="000000" w:themeColor="text1"/>
              </w:rPr>
              <w:t>Praktična potreba za mjerama EU-a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shd w:val="clear" w:color="auto" w:fill="auto"/>
          </w:tcPr>
          <w:p w:rsidR="00A828A3" w:rsidRPr="00E828C0" w:rsidP="00A828A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en-GB"/>
              </w:rPr>
            </w:pPr>
          </w:p>
          <w:p w:rsidR="00032E85" w:rsidRPr="00E828C0" w:rsidP="240D0D0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>S obzirom na globalno i međusobno povezano okruženje u kojem djeluju kriminalne mreže, teroristi, ekstremističke skupine i neprijateljski državni i nedržavni akteri, unutar i izvan EU-a, kao i na sve ozbiljnije prijetnje sigurnosti, društvu i vladavini prava u EU-u, dosadašnje djelovanje država članica i EU-a u području slobode, sigurnosti i pravde nije dovoljno. Potrebne su daljnje važne mjere za zaštitu unutarnje sigurnosti sada i u budućnosti te za održavanje zajedničkog područja slobode, sigurnosti i pravde u skladu sa zajedničkim nadležnostima EU-a i država članica.</w:t>
            </w:r>
          </w:p>
          <w:p w:rsidR="00A828A3" w:rsidRPr="00E828C0" w:rsidP="00A828A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en-GB"/>
              </w:rPr>
            </w:pPr>
          </w:p>
          <w:p w:rsidR="002B1AA3" w:rsidRPr="00E828C0" w:rsidP="000D6D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 xml:space="preserve">S obzirom na snažnu vezu između unutarnjih i vanjskih aspekata sigurnosne politike, kao i na to da sigurnosne prijetnje prelaze unutarnje i vanjske europske granice, očekuje se da će djelovanje na razini EU-a donijeti </w:t>
            </w:r>
            <w:r>
              <w:rPr>
                <w:rStyle w:val="normaltextrun"/>
                <w:rFonts w:ascii="Arial" w:hAnsi="Arial"/>
                <w:b/>
                <w:sz w:val="20"/>
              </w:rPr>
              <w:t>konkretnu dodanu vrijednost</w:t>
            </w:r>
            <w:r>
              <w:rPr>
                <w:rStyle w:val="normaltextrun"/>
                <w:rFonts w:ascii="Arial" w:hAnsi="Arial"/>
                <w:sz w:val="20"/>
              </w:rPr>
              <w:t xml:space="preserve"> pojedinačnim djelovanjima država članica.</w:t>
            </w:r>
          </w:p>
          <w:p w:rsidR="000D6DE5" w:rsidRPr="00E828C0" w:rsidP="000D6D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en-GB"/>
              </w:rPr>
            </w:pP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0000FF"/>
          </w:tcPr>
          <w:p w:rsidR="00423AEF" w:rsidRPr="00E828C0" w:rsidP="00353BFB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 xml:space="preserve">B. Ciljevi inicijative i vizija njihova ostvarenja 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7C627E" w:rsidRPr="00E828C0" w:rsidP="005006B1">
            <w:pPr>
              <w:jc w:val="both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:rsidR="00BD2A11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 xml:space="preserve">Očekuje se sveobuhvatan i cjelovit plan za jačanje unutarnje sigurnosti EU-a i najava konkretnih mjera koje će se provesti tijekom mandata ove Komisije. </w:t>
            </w:r>
            <w:r>
              <w:rPr>
                <w:rFonts w:ascii="Arial" w:hAnsi="Arial"/>
                <w:sz w:val="20"/>
              </w:rPr>
              <w:t>U strategiji će se istaknuti i brojna postignuća EU-a koja su već ostvarena u pogledu zaštite sigurnosti te način na koji će ih EU dodatno nadograditi operativnim i zakonodavnim mjerama.</w:t>
            </w:r>
          </w:p>
          <w:p w:rsidR="00BD2A11" w:rsidP="005006B1">
            <w:pPr>
              <w:jc w:val="both"/>
            </w:pPr>
          </w:p>
          <w:p w:rsidR="00BD2A11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Cilj je strategije uključiti sigurnost u politike, zakonodavstvo i programe EU-a, a glavni su elementi:</w:t>
            </w:r>
          </w:p>
          <w:p w:rsidR="00BD2A11" w:rsidRPr="00044103" w:rsidP="0004410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sposobnost predviđanja prijetnji i djelovanja u vezi s njima;</w:t>
            </w:r>
          </w:p>
          <w:p w:rsidR="00BD2A11" w:rsidRPr="00044103" w:rsidP="0004410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potreba za sprečavanjem štete i zaštitom ljudi;</w:t>
            </w:r>
          </w:p>
          <w:p w:rsidR="00BD2A11" w:rsidRPr="00044103" w:rsidP="0004410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potreba za djelovanjem na svim razinama (od globalne do lokalne dimenzije) i</w:t>
            </w:r>
          </w:p>
          <w:p w:rsidR="00BD2A11" w:rsidRPr="00044103" w:rsidP="0004410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potreba da se osigura da međunarodna suradnja koristi unutarnjoj sigurnosti EU-a.</w:t>
            </w:r>
          </w:p>
          <w:p w:rsidR="00BD2A11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006B1" w:rsidRPr="00E828C0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Cilj je strategije uključiti i sve dionike koji mogu doprinijeti unutarnjoj sigurnosti u okviru pristupa koji obuhvaća cijelo društvo, uključujući privatne partnere i civilno društvo.</w:t>
            </w:r>
          </w:p>
          <w:p w:rsidR="005006B1" w:rsidRPr="00044103" w:rsidP="005006B1">
            <w:pPr>
              <w:jc w:val="both"/>
              <w:rPr>
                <w:rFonts w:ascii="Arial" w:hAnsi="Arial" w:cs="Arial"/>
                <w:sz w:val="20"/>
                <w:szCs w:val="20"/>
                <w:u w:val="wavyDouble"/>
              </w:rPr>
            </w:pPr>
          </w:p>
          <w:p w:rsidR="005006B1" w:rsidRPr="00E828C0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Konkretno, strategija će ojačati strukturu EU-a za unutarnju sigurnost, što uključuje povećanje operativnih kapaciteta, uz proširenje Europola i Frontexa, zajedno s raspravom o ulozi Eurojusta i Ureda europskog javnog tužitelja.</w:t>
            </w:r>
          </w:p>
          <w:p w:rsidR="005006B1" w:rsidRPr="00E828C0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006B1" w:rsidRPr="00E828C0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Digitalna tehnologija imat će važnu ulogu u strategiji. To uključuje razmatranje mjera za pristup podacima za tijela kaznenog progona i zadržavanje podataka, borbu protiv kibernetičkog kriminala i terorističkih sadržaja na internetu te jačanje suradnje s tehnološkim platformama putem internetskog foruma EU-a. Nadalje, digitalne tehnologije i umjetna inteligencija nude znatne mogućnosti za poboljšanje kapaciteta tijela za izvršavanje zakonodavstva i učinkovit odgovor na nove prijetnje.</w:t>
            </w:r>
          </w:p>
          <w:p w:rsidR="005006B1" w:rsidRPr="00E828C0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006B1" w:rsidRPr="00E828C0" w:rsidP="4EA44F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U okviru strategije Komisija će najaviti novi program EU-a za sprečavanje i suzbijanje terorizma i nasilnog ekstremizma, koja će obuhvaćati pitanja financiranja terorizma i pojačanu politiku sprečavanja radikalizacije.</w:t>
            </w:r>
          </w:p>
          <w:p w:rsidR="00871B88" w:rsidRPr="00E828C0" w:rsidP="4EA44F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006B1" w:rsidRPr="00E828C0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Najavit će akcijski plan EU-a za borbu protiv trgovine drogom i reviziju pravila o organiziranom kriminalu kako bi borba protiv kriminalnih mreža bila uspješnija.</w:t>
            </w:r>
          </w:p>
          <w:p w:rsidR="005006B1" w:rsidRPr="00E828C0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006B1" w:rsidRPr="00E828C0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U planu je uvođenje strateškog komunikacijskog sustava EU-a kako bi se poboljšala svakodnevna operativna suradnja među službama koje prve reagiraju, kao što su policija i vatrogasci, u borbi protiv terorizma i kriminala te spašavanju života u hitnim situacijama, a to sve služi jačanju pripravnosti.</w:t>
            </w:r>
          </w:p>
          <w:p w:rsidR="005006B1" w:rsidRPr="00E828C0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006B1" w:rsidRPr="00E828C0" w:rsidP="005006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Naposljetku, u strategiji će se istaknuti potreba za jačanjem pravnog okvira EU-a za svladavanje međusektorskih sigurnosnih izazova i hibridnih prijetnji, uključujući upravljanje granicama, sabotažu i špijunažu.</w:t>
            </w:r>
          </w:p>
          <w:p w:rsidR="007C627E" w:rsidRPr="00E828C0" w:rsidP="005006B1">
            <w:pPr>
              <w:jc w:val="both"/>
              <w:rPr>
                <w:rFonts w:ascii="Arial" w:hAnsi="Arial" w:cs="Arial"/>
                <w:i/>
                <w:color w:val="00B050"/>
                <w:sz w:val="20"/>
                <w:szCs w:val="20"/>
              </w:rPr>
            </w:pP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90974" w:rsidRPr="00E828C0" w:rsidP="006C75CC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Vjerojatni učinci i utjecaji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C872A9" w:rsidRPr="00044103" w:rsidP="240D0D0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  <w:rFonts w:ascii="Arial" w:hAnsi="Arial"/>
                <w:sz w:val="20"/>
              </w:rPr>
              <w:t>Mjere najavljene u strategiji pružit će javnim institucijama, tijelima kaznenog progona, pravosuđu i drugim javnim i privatnim akterima alate za sprečavanje sigurnosnih prijetnji koje predstavljaju organizirani kriminal, terorizam i neprijateljski državni i nedržavni akteri te za odgovor na njih. Pružit će veću potporu tijelima kaznenog progona i pravosudnim tijelima u istragama, kaznenom progonu i donošenju presuda u slučajevima teškog i organiziranog kriminala i terorizma, osiguravajući odgovornost i pravdu za žrtve.</w:t>
            </w:r>
          </w:p>
          <w:p w:rsidR="00C872A9" w:rsidRPr="00E828C0" w:rsidP="00C872A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C872A9" w:rsidRPr="00E828C0" w:rsidP="00C872A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>Inicijativa će doprinijeti ispunjenju UN-ova cilja održivog razvoja br. 16 o miru, pravdi i snažnim institucijama jer joj je cilj povećati javnu sigurnost i očuvati vladavinu prava, uz potpuno poštovanje temeljnih prava.</w:t>
            </w:r>
          </w:p>
          <w:p w:rsidR="0046489F" w:rsidRPr="00E828C0" w:rsidP="00C872A9">
            <w:pPr>
              <w:spacing w:after="120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C75CC" w:rsidRPr="00E828C0" w:rsidP="00A22CFB">
            <w:pPr>
              <w:spacing w:before="60" w:after="60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Buduće praćenje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796495" w:rsidRPr="00E828C0" w:rsidP="00C51B86">
            <w:pPr>
              <w:spacing w:after="120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color w:val="000000"/>
                <w:sz w:val="20"/>
                <w:shd w:val="clear" w:color="auto" w:fill="FFFFFF"/>
              </w:rPr>
              <w:t>Inicijative sadržane u strategiji unutarnje sigurnosti ocjenjivat će se i pratiti pojedinačno.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0000FF"/>
          </w:tcPr>
          <w:p w:rsidR="0009231D" w:rsidRPr="00E828C0" w:rsidP="00353BFB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  <w:highlight w:val="blue"/>
              </w:rPr>
              <w:t>C. Bolja regulativa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E6E6E6"/>
          </w:tcPr>
          <w:p w:rsidR="00B312B7" w:rsidRPr="00E828C0" w:rsidP="00275000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Procjena učinka 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BA7DB5" w:rsidRPr="00E828C0" w:rsidP="0553332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Ova je inicijativa komunikacija u kojoj će se izložiti opći politički pristup i neće uključivati konkretno zakonodavno djelovanje.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E6E6E6"/>
          </w:tcPr>
          <w:p w:rsidR="00B312B7" w:rsidRPr="00E828C0" w:rsidP="00BF5565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 xml:space="preserve">Strategija savjetovanja </w:t>
            </w:r>
          </w:p>
        </w:tc>
      </w:tr>
      <w:tr w:rsidTr="1F9B4539">
        <w:tblPrEx>
          <w:tblW w:w="10188" w:type="dxa"/>
          <w:tblLook w:val="01E0"/>
        </w:tblPrEx>
        <w:tc>
          <w:tcPr>
            <w:tcW w:w="10188" w:type="dxa"/>
            <w:tcBorders>
              <w:bottom w:val="single" w:sz="4" w:space="0" w:color="auto"/>
            </w:tcBorders>
            <w:shd w:val="clear" w:color="auto" w:fill="auto"/>
          </w:tcPr>
          <w:p w:rsidR="00CB3509" w:rsidRPr="00E828C0" w:rsidP="00CB35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en-GB"/>
              </w:rPr>
            </w:pPr>
          </w:p>
          <w:p w:rsidR="00CB3509" w:rsidRPr="00E828C0" w:rsidP="240D0D0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/>
                <w:sz w:val="20"/>
              </w:rPr>
              <w:t>Za potrebe ove inicijative Komisija poziva javne i privatne dionike unutar i izvan EU-a da izraze svoja stajališta i daju svoj doprinos putem ovog poziva na očitovanje. U okviru inicijative razmotrit će se nalazi studija i izvješća te napredak postignut u okviru prethodnih strateških dokumenata EU-a o sigurnosnoj politici.</w:t>
            </w:r>
          </w:p>
          <w:p w:rsidR="00CB3509" w:rsidRPr="00E828C0" w:rsidP="00CB35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en-GB"/>
              </w:rPr>
            </w:pPr>
          </w:p>
          <w:p w:rsidR="00B407E0" w:rsidP="240D0D0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>Među glavnim dionicima s kojima će se savjetovanje održati su:</w:t>
            </w:r>
          </w:p>
          <w:p w:rsidR="00B407E0" w:rsidP="00044103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>tijela kaznenog progona na razini EU-a i na nacionalnoj razini, uključujući carinska, porezna i granična tijela, pravosudna tijela, javne uprave te institucije i tijela odgovorna za borbu protiv teškog i organiziranog kriminala, terorizma i radikalizacije te za osiguravanje sigurnosti granica i kibersigurnosti;</w:t>
            </w:r>
          </w:p>
          <w:p w:rsidR="00B407E0" w:rsidP="00044103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>organizacije civilnog društva;</w:t>
            </w:r>
          </w:p>
          <w:p w:rsidR="00B407E0" w:rsidP="00044103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>akademska zajednica</w:t>
            </w:r>
          </w:p>
          <w:p w:rsidR="00B407E0" w:rsidP="00044103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/>
                <w:sz w:val="20"/>
              </w:rPr>
              <w:t>i privatna poduzeća, uključujući internetske platforme.</w:t>
            </w:r>
          </w:p>
          <w:p w:rsidR="00B407E0" w:rsidP="240D0D0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  <w:lang w:val="en-GB"/>
              </w:rPr>
            </w:pPr>
          </w:p>
          <w:p w:rsidR="00CB3509" w:rsidRPr="00E828C0" w:rsidP="240D0D0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/>
                <w:sz w:val="20"/>
              </w:rPr>
              <w:t>Očekuje se i doprinos najvažnijih međunarodnih partnera kao što su Ujedinjeni narodi, INTERPOL, Stručna skupina za financijsko djelovanje i Vijeće Europe.</w:t>
            </w:r>
          </w:p>
          <w:p w:rsidR="00B312B7" w:rsidRPr="00E828C0" w:rsidP="00CB3509">
            <w:pPr>
              <w:pStyle w:val="ListParagraph"/>
              <w:spacing w:before="60" w:after="60"/>
              <w:ind w:left="360"/>
              <w:jc w:val="both"/>
              <w:rPr>
                <w:rFonts w:ascii="Arial" w:hAnsi="Arial" w:cs="Arial"/>
                <w:i/>
                <w:color w:val="1036A0"/>
                <w:sz w:val="20"/>
                <w:szCs w:val="20"/>
              </w:rPr>
            </w:pPr>
          </w:p>
        </w:tc>
      </w:tr>
    </w:tbl>
    <w:p w:rsidR="05533326" w:rsidRPr="00E828C0"/>
    <w:p w:rsidR="009E6661" w:rsidRPr="00E828C0" w:rsidP="004B7E6F">
      <w:pPr>
        <w:rPr>
          <w:rFonts w:ascii="Arial" w:hAnsi="Arial" w:cs="Arial"/>
          <w:sz w:val="20"/>
          <w:szCs w:val="20"/>
        </w:rPr>
      </w:pPr>
    </w:p>
    <w:sectPr w:rsidSect="00C9010B">
      <w:footerReference w:type="even" r:id="rId16"/>
      <w:footerReference w:type="default" r:id="rId17"/>
      <w:headerReference w:type="first" r:id="rId18"/>
      <w:type w:val="continuous"/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A3D" w:rsidRPr="00E828C0" w:rsidP="00D92C25">
    <w:pPr>
      <w:pStyle w:val="Footer"/>
      <w:framePr w:wrap="around" w:vAnchor="text" w:hAnchor="margin" w:xAlign="center" w:y="1"/>
      <w:rPr>
        <w:rStyle w:val="PageNumber"/>
      </w:rPr>
    </w:pPr>
    <w:r w:rsidRPr="00E828C0">
      <w:rPr>
        <w:rStyle w:val="PageNumber"/>
      </w:rPr>
      <w:fldChar w:fldCharType="begin"/>
    </w:r>
    <w:r w:rsidRPr="00E828C0">
      <w:rPr>
        <w:rStyle w:val="PageNumber"/>
      </w:rPr>
      <w:instrText xml:space="preserve">PAGE  </w:instrText>
    </w:r>
    <w:r w:rsidRPr="00E828C0">
      <w:rPr>
        <w:rStyle w:val="PageNumber"/>
      </w:rPr>
      <w:fldChar w:fldCharType="separate"/>
    </w:r>
    <w:r w:rsidRPr="00E828C0">
      <w:rPr>
        <w:rStyle w:val="PageNumber"/>
      </w:rPr>
      <w:t>4</w:t>
    </w:r>
    <w:r w:rsidRPr="00E828C0">
      <w:rPr>
        <w:rStyle w:val="PageNumber"/>
      </w:rPr>
      <w:fldChar w:fldCharType="end"/>
    </w:r>
  </w:p>
  <w:p w:rsidR="00035A3D" w:rsidRPr="00E828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A3D" w:rsidRPr="00E828C0" w:rsidP="002B4E61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rPr>
        <w:rStyle w:val="PageNumber"/>
        <w:rFonts w:ascii="Arial" w:hAnsi="Arial"/>
        <w:sz w:val="16"/>
      </w:rPr>
      <w:tab/>
    </w:r>
    <w:r>
      <w:rPr>
        <w:rStyle w:val="PageNumber"/>
        <w:rFonts w:ascii="Arial" w:hAnsi="Arial"/>
        <w:sz w:val="16"/>
      </w:rPr>
      <w:tab/>
    </w:r>
  </w:p>
  <w:p w:rsidR="00035A3D" w:rsidRPr="00E828C0" w:rsidP="002B4E61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rPr>
        <w:rStyle w:val="PageNumber"/>
        <w:rFonts w:ascii="Arial" w:hAnsi="Arial"/>
        <w:sz w:val="16"/>
      </w:rPr>
      <w:tab/>
    </w:r>
    <w:r>
      <w:rPr>
        <w:rStyle w:val="PageNumber"/>
        <w:rFonts w:ascii="Arial" w:hAnsi="Arial"/>
        <w:sz w:val="16"/>
      </w:rPr>
      <w:tab/>
    </w:r>
    <w:r>
      <w:rPr>
        <w:rStyle w:val="PageNumber"/>
        <w:rFonts w:ascii="Arial" w:hAnsi="Arial"/>
        <w:sz w:val="16"/>
      </w:rPr>
      <w:tab/>
      <w:t xml:space="preserve">         </w:t>
    </w:r>
    <w:r w:rsidRPr="00E828C0">
      <w:rPr>
        <w:rStyle w:val="PageNumber"/>
        <w:rFonts w:ascii="Arial" w:hAnsi="Arial"/>
        <w:sz w:val="16"/>
      </w:rPr>
      <w:fldChar w:fldCharType="begin"/>
    </w:r>
    <w:r w:rsidRPr="00E828C0">
      <w:rPr>
        <w:rStyle w:val="PageNumber"/>
        <w:rFonts w:ascii="Arial" w:hAnsi="Arial"/>
        <w:sz w:val="16"/>
      </w:rPr>
      <w:instrText xml:space="preserve">PAGE  </w:instrText>
    </w:r>
    <w:r w:rsidRPr="00E828C0">
      <w:rPr>
        <w:rStyle w:val="PageNumber"/>
        <w:rFonts w:ascii="Arial" w:hAnsi="Arial"/>
        <w:sz w:val="16"/>
      </w:rPr>
      <w:fldChar w:fldCharType="separate"/>
    </w:r>
    <w:r w:rsidRPr="00E828C0">
      <w:rPr>
        <w:rStyle w:val="PageNumber"/>
        <w:rFonts w:ascii="Arial" w:hAnsi="Arial"/>
        <w:sz w:val="16"/>
      </w:rPr>
      <w:t>3</w:t>
    </w:r>
    <w:r w:rsidRPr="00E828C0">
      <w:rPr>
        <w:rStyle w:val="PageNumber"/>
        <w:rFonts w:ascii="Arial" w:hAnsi="Arial"/>
        <w:sz w:val="16"/>
      </w:rPr>
      <w:fldChar w:fldCharType="end"/>
    </w:r>
  </w:p>
  <w:p w:rsidR="00035A3D" w:rsidRPr="00E828C0">
    <w:pPr>
      <w:pStyle w:val="Footer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A31" w:rsidRPr="00E828C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A3D" w:rsidRPr="00E828C0" w:rsidP="00D92C25">
    <w:pPr>
      <w:pStyle w:val="Footer"/>
      <w:framePr w:wrap="around" w:vAnchor="text" w:hAnchor="margin" w:xAlign="center" w:y="1"/>
      <w:rPr>
        <w:rStyle w:val="PageNumber"/>
      </w:rPr>
    </w:pPr>
    <w:r w:rsidRPr="00E828C0">
      <w:rPr>
        <w:rStyle w:val="PageNumber"/>
      </w:rPr>
      <w:fldChar w:fldCharType="begin"/>
    </w:r>
    <w:r w:rsidRPr="00E828C0">
      <w:rPr>
        <w:rStyle w:val="PageNumber"/>
      </w:rPr>
      <w:instrText xml:space="preserve">PAGE  </w:instrText>
    </w:r>
    <w:r w:rsidRPr="00E828C0">
      <w:rPr>
        <w:rStyle w:val="PageNumber"/>
      </w:rPr>
      <w:fldChar w:fldCharType="separate"/>
    </w:r>
    <w:r w:rsidRPr="00E828C0">
      <w:rPr>
        <w:rStyle w:val="PageNumber"/>
      </w:rPr>
      <w:t>4</w:t>
    </w:r>
    <w:r w:rsidRPr="00E828C0">
      <w:rPr>
        <w:rStyle w:val="PageNumber"/>
      </w:rPr>
      <w:fldChar w:fldCharType="end"/>
    </w:r>
  </w:p>
  <w:p w:rsidR="00035A3D" w:rsidRPr="00E828C0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A3D" w:rsidRPr="00E828C0" w:rsidP="002B4E61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rPr>
        <w:rStyle w:val="PageNumber"/>
        <w:rFonts w:ascii="Arial" w:hAnsi="Arial"/>
        <w:sz w:val="16"/>
      </w:rPr>
      <w:tab/>
    </w:r>
    <w:r>
      <w:rPr>
        <w:rStyle w:val="PageNumber"/>
        <w:rFonts w:ascii="Arial" w:hAnsi="Arial"/>
        <w:sz w:val="16"/>
      </w:rPr>
      <w:tab/>
    </w:r>
  </w:p>
  <w:p w:rsidR="00035A3D" w:rsidRPr="00E828C0" w:rsidP="002B4E61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rPr>
        <w:rStyle w:val="PageNumber"/>
        <w:rFonts w:ascii="Arial" w:hAnsi="Arial"/>
        <w:sz w:val="16"/>
      </w:rPr>
      <w:tab/>
    </w:r>
    <w:r>
      <w:rPr>
        <w:rStyle w:val="PageNumber"/>
        <w:rFonts w:ascii="Arial" w:hAnsi="Arial"/>
        <w:sz w:val="16"/>
      </w:rPr>
      <w:tab/>
    </w:r>
    <w:r>
      <w:rPr>
        <w:rStyle w:val="PageNumber"/>
        <w:rFonts w:ascii="Arial" w:hAnsi="Arial"/>
        <w:sz w:val="16"/>
      </w:rPr>
      <w:tab/>
      <w:t xml:space="preserve">         </w:t>
    </w:r>
    <w:r w:rsidRPr="00E828C0">
      <w:rPr>
        <w:rStyle w:val="PageNumber"/>
        <w:rFonts w:ascii="Arial" w:hAnsi="Arial"/>
        <w:sz w:val="16"/>
      </w:rPr>
      <w:fldChar w:fldCharType="begin"/>
    </w:r>
    <w:r w:rsidRPr="00E828C0">
      <w:rPr>
        <w:rStyle w:val="PageNumber"/>
        <w:rFonts w:ascii="Arial" w:hAnsi="Arial"/>
        <w:sz w:val="16"/>
      </w:rPr>
      <w:instrText xml:space="preserve">PAGE  </w:instrText>
    </w:r>
    <w:r w:rsidRPr="00E828C0">
      <w:rPr>
        <w:rStyle w:val="PageNumber"/>
        <w:rFonts w:ascii="Arial" w:hAnsi="Arial"/>
        <w:sz w:val="16"/>
      </w:rPr>
      <w:fldChar w:fldCharType="separate"/>
    </w:r>
    <w:r w:rsidRPr="00E828C0" w:rsidR="00E66E1E">
      <w:rPr>
        <w:rStyle w:val="PageNumber"/>
        <w:rFonts w:ascii="Arial" w:hAnsi="Arial"/>
        <w:sz w:val="16"/>
      </w:rPr>
      <w:t>2</w:t>
    </w:r>
    <w:r w:rsidRPr="00E828C0">
      <w:rPr>
        <w:rStyle w:val="PageNumber"/>
        <w:rFonts w:ascii="Arial" w:hAnsi="Arial"/>
        <w:sz w:val="16"/>
      </w:rPr>
      <w:fldChar w:fldCharType="end"/>
    </w:r>
  </w:p>
  <w:p w:rsidR="00035A3D" w:rsidRPr="00E828C0">
    <w:pPr>
      <w:pStyle w:val="Foo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1705F" w:rsidRPr="00E828C0">
      <w:r w:rsidRPr="00E828C0">
        <w:separator/>
      </w:r>
    </w:p>
  </w:footnote>
  <w:footnote w:type="continuationSeparator" w:id="1">
    <w:p w:rsidR="0001705F" w:rsidRPr="00E828C0">
      <w:r w:rsidRPr="00E828C0">
        <w:continuationSeparator/>
      </w:r>
    </w:p>
  </w:footnote>
  <w:footnote w:type="continuationNotice" w:id="2">
    <w:p w:rsidR="0001705F" w:rsidRPr="00E828C0"/>
  </w:footnote>
  <w:footnote w:id="3">
    <w:p w:rsidR="003273F0" w:rsidRPr="00E828C0" w:rsidP="00E206FE">
      <w:pPr>
        <w:pStyle w:val="FootnoteText"/>
        <w:jc w:val="left"/>
      </w:pPr>
      <w:r>
        <w:rPr>
          <w:rStyle w:val="FootnoteReference"/>
        </w:rPr>
        <w:footnoteRef/>
      </w:r>
      <w:r>
        <w:t xml:space="preserve"> „Izbor za Europu: političke smjernice za sljedeću Europsku komisiju 2024. – 2029., </w:t>
      </w:r>
      <w:r>
        <w:fldChar w:fldCharType="begin"/>
      </w:r>
      <w:r>
        <w:instrText xml:space="preserve"> HYPERLINK "https://commission.europa.eu/document/download/e6cd4328-673c-4e7a-8683-f63ffb2cf648_hr?filename=Political%20Guidelines%202024-2029_HR.pdf" </w:instrText>
      </w:r>
      <w:r>
        <w:fldChar w:fldCharType="separate"/>
      </w:r>
      <w:r>
        <w:rPr>
          <w:rStyle w:val="Hyperlink"/>
        </w:rPr>
        <w:t>e6cd4328-673c-4e7a-8683-f63ffb2cf648_hr</w:t>
      </w:r>
      <w:r>
        <w:fldChar w:fldCharType="end"/>
      </w:r>
      <w:r>
        <w:rPr>
          <w:rStyle w:val="Hyperlink"/>
          <w:color w:val="auto"/>
          <w:u w:val="none"/>
        </w:rPr>
        <w:t>.</w:t>
      </w:r>
    </w:p>
  </w:footnote>
  <w:footnote w:id="4">
    <w:p w:rsidR="00A95644" w:rsidRPr="00E828C0">
      <w:pPr>
        <w:pStyle w:val="FootnoteText"/>
      </w:pPr>
      <w:r>
        <w:rPr>
          <w:rStyle w:val="FootnoteReference"/>
        </w:rPr>
        <w:footnoteRef/>
      </w:r>
      <w:r>
        <w:t xml:space="preserve"> COM(2024) 198 final.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A31" w:rsidRPr="00E828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A31" w:rsidRPr="00E828C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A3D" w:rsidRPr="00E828C0" w:rsidP="00E72EF2">
    <w:pPr>
      <w:pStyle w:val="Header"/>
      <w:jc w:val="center"/>
    </w:pPr>
    <w:r>
      <w:rPr>
        <w:rFonts w:ascii="Arial" w:hAnsi="Arial"/>
        <w:noProof/>
      </w:rPr>
      <w:drawing>
        <wp:inline distT="0" distB="0" distL="0" distR="0">
          <wp:extent cx="1908175" cy="508635"/>
          <wp:effectExtent l="0" t="0" r="0" b="5715"/>
          <wp:docPr id="5" name="Picture 5" descr="logo-ce-horizontal-en-quadri-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ce-horizontal-en-quadri-l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A3D" w:rsidRPr="00E828C0" w:rsidP="00E72EF2">
    <w:pPr>
      <w:pStyle w:val="Header"/>
      <w:jc w:val="center"/>
    </w:pPr>
    <w:r>
      <w:rPr>
        <w:rFonts w:ascii="Arial" w:hAnsi="Arial"/>
        <w:noProof/>
      </w:rPr>
      <w:drawing>
        <wp:inline distT="0" distB="0" distL="0" distR="0">
          <wp:extent cx="1908175" cy="508635"/>
          <wp:effectExtent l="0" t="0" r="0" b="5715"/>
          <wp:docPr id="2" name="Picture 2" descr="logo-ce-horizontal-en-quadri-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ce-horizontal-en-quadri-l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A6D0A44"/>
    <w:multiLevelType w:val="hybridMultilevel"/>
    <w:tmpl w:val="E84C43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9BB8A8"/>
    <w:multiLevelType w:val="hybridMultilevel"/>
    <w:tmpl w:val="1616B5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C3D2A"/>
    <w:multiLevelType w:val="hybridMultilevel"/>
    <w:tmpl w:val="54EA01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E66A31"/>
    <w:multiLevelType w:val="hybridMultilevel"/>
    <w:tmpl w:val="415A6A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7330A7"/>
    <w:multiLevelType w:val="hybridMultilevel"/>
    <w:tmpl w:val="7AE2D0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>
    <w:nsid w:val="5F7553A2"/>
    <w:multiLevelType w:val="hybridMultilevel"/>
    <w:tmpl w:val="E5B6FA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A6901C1"/>
    <w:multiLevelType w:val="singleLevel"/>
    <w:tmpl w:val="208841AE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9">
    <w:nsid w:val="6D2B5511"/>
    <w:multiLevelType w:val="singleLevel"/>
    <w:tmpl w:val="74A09970"/>
    <w:name w:val="List Bullet 1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>
    <w:nsid w:val="6D7B58CE"/>
    <w:multiLevelType w:val="hybridMultilevel"/>
    <w:tmpl w:val="55143764"/>
    <w:lvl w:ilvl="0">
      <w:start w:val="1"/>
      <w:numFmt w:val="bullet"/>
      <w:pStyle w:val="ListDash4"/>
      <w:lvlText w:val="–"/>
      <w:lvlJc w:val="left"/>
      <w:pPr>
        <w:tabs>
          <w:tab w:val="num" w:pos="1287"/>
        </w:tabs>
        <w:ind w:left="1287" w:hanging="283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-"/>
      <w:lvlJc w:val="left"/>
      <w:pPr>
        <w:ind w:left="1593" w:hanging="360"/>
      </w:pPr>
      <w:rPr>
        <w:rFonts w:ascii="Times" w:eastAsia="Times New Roman" w:hAnsi="Time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0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enforcement="0"/>
  <w:defaultTabStop w:val="720"/>
  <w:hyphenationZone w:val="425"/>
  <w:doNotShadeFormData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HOME\HOME-2025-00247\HOME-2025-00247-00-00-EN-EDT-00.202502100935436709068.DOCX"/>
  </w:docVars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07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6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6661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E6661"/>
    <w:pPr>
      <w:spacing w:after="240"/>
      <w:ind w:left="357" w:hanging="357"/>
      <w:jc w:val="both"/>
    </w:pPr>
    <w:rPr>
      <w:sz w:val="20"/>
      <w:szCs w:val="20"/>
    </w:rPr>
  </w:style>
  <w:style w:type="character" w:styleId="FootnoteReference">
    <w:name w:val="footnote reference"/>
    <w:aliases w:val=" BVI fnr,BVI fnr,Footnote Reference Superscript,Footnote symbol"/>
    <w:semiHidden/>
    <w:rsid w:val="009E6661"/>
    <w:rPr>
      <w:vertAlign w:val="superscript"/>
    </w:rPr>
  </w:style>
  <w:style w:type="character" w:customStyle="1" w:styleId="FootnoteTextChar">
    <w:name w:val="Footnote Text Char"/>
    <w:rsid w:val="009E6661"/>
    <w:rPr>
      <w:lang w:val="hr-HR" w:eastAsia="en-GB" w:bidi="ar-SA"/>
    </w:rPr>
  </w:style>
  <w:style w:type="paragraph" w:styleId="ListBullet">
    <w:name w:val="List Bullet"/>
    <w:basedOn w:val="Normal"/>
    <w:rsid w:val="009E6661"/>
    <w:pPr>
      <w:numPr>
        <w:numId w:val="2"/>
      </w:numPr>
      <w:spacing w:before="120" w:after="120"/>
      <w:jc w:val="both"/>
    </w:pPr>
    <w:rPr>
      <w:lang w:eastAsia="de-DE"/>
    </w:rPr>
  </w:style>
  <w:style w:type="paragraph" w:customStyle="1" w:styleId="Text1">
    <w:name w:val="Text 1"/>
    <w:basedOn w:val="Normal"/>
    <w:rsid w:val="009E6661"/>
    <w:pPr>
      <w:spacing w:before="120" w:after="120"/>
      <w:ind w:left="850"/>
      <w:jc w:val="both"/>
    </w:pPr>
    <w:rPr>
      <w:lang w:eastAsia="en-US"/>
    </w:rPr>
  </w:style>
  <w:style w:type="character" w:styleId="Emphasis">
    <w:name w:val="Emphasis"/>
    <w:qFormat/>
    <w:rsid w:val="009E6661"/>
    <w:rPr>
      <w:b/>
      <w:bCs/>
      <w:i w:val="0"/>
      <w:iCs w:val="0"/>
    </w:rPr>
  </w:style>
  <w:style w:type="paragraph" w:customStyle="1" w:styleId="ListBullet1">
    <w:name w:val="List Bullet 1"/>
    <w:basedOn w:val="Normal"/>
    <w:rsid w:val="009E6661"/>
    <w:pPr>
      <w:numPr>
        <w:numId w:val="3"/>
      </w:numPr>
      <w:spacing w:before="120" w:after="120"/>
      <w:jc w:val="both"/>
    </w:pPr>
    <w:rPr>
      <w:lang w:eastAsia="de-DE"/>
    </w:rPr>
  </w:style>
  <w:style w:type="character" w:customStyle="1" w:styleId="at31">
    <w:name w:val="a__t31"/>
    <w:rsid w:val="009E6661"/>
    <w:rPr>
      <w:b/>
      <w:bCs/>
    </w:rPr>
  </w:style>
  <w:style w:type="paragraph" w:styleId="NormalWeb">
    <w:name w:val="Normal (Web)"/>
    <w:basedOn w:val="Normal"/>
    <w:link w:val="NormalWebChar"/>
    <w:rsid w:val="00D03063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rsid w:val="00D03063"/>
    <w:rPr>
      <w:sz w:val="24"/>
      <w:szCs w:val="24"/>
      <w:lang w:val="hr-HR" w:eastAsia="en-GB" w:bidi="ar-SA"/>
    </w:rPr>
  </w:style>
  <w:style w:type="paragraph" w:customStyle="1" w:styleId="ListDash4">
    <w:name w:val="List Dash 4"/>
    <w:basedOn w:val="Normal"/>
    <w:rsid w:val="00D03063"/>
    <w:pPr>
      <w:numPr>
        <w:numId w:val="4"/>
      </w:numPr>
    </w:pPr>
  </w:style>
  <w:style w:type="paragraph" w:styleId="Footer">
    <w:name w:val="footer"/>
    <w:basedOn w:val="Normal"/>
    <w:rsid w:val="00B0795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07956"/>
  </w:style>
  <w:style w:type="paragraph" w:styleId="BalloonText">
    <w:name w:val="Balloon Text"/>
    <w:basedOn w:val="Normal"/>
    <w:semiHidden/>
    <w:rsid w:val="0099112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54F3"/>
    <w:rPr>
      <w:color w:val="0000FF"/>
      <w:u w:val="single"/>
    </w:rPr>
  </w:style>
  <w:style w:type="character" w:styleId="CommentReference">
    <w:name w:val="annotation reference"/>
    <w:rsid w:val="000E13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13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E132C"/>
  </w:style>
  <w:style w:type="paragraph" w:styleId="CommentSubject">
    <w:name w:val="annotation subject"/>
    <w:basedOn w:val="CommentText"/>
    <w:next w:val="CommentText"/>
    <w:link w:val="CommentSubjectChar"/>
    <w:rsid w:val="000E132C"/>
    <w:rPr>
      <w:b/>
      <w:bCs/>
    </w:rPr>
  </w:style>
  <w:style w:type="character" w:customStyle="1" w:styleId="CommentSubjectChar">
    <w:name w:val="Comment Subject Char"/>
    <w:link w:val="CommentSubject"/>
    <w:rsid w:val="000E132C"/>
    <w:rPr>
      <w:b/>
      <w:bCs/>
    </w:rPr>
  </w:style>
  <w:style w:type="paragraph" w:customStyle="1" w:styleId="ListDash1">
    <w:name w:val="List Dash 1"/>
    <w:basedOn w:val="Normal"/>
    <w:qFormat/>
    <w:rsid w:val="00FA069C"/>
    <w:pPr>
      <w:tabs>
        <w:tab w:val="num" w:pos="567"/>
      </w:tabs>
      <w:ind w:left="568" w:hanging="284"/>
    </w:pPr>
  </w:style>
  <w:style w:type="paragraph" w:styleId="ListParagraph">
    <w:name w:val="List Paragraph"/>
    <w:basedOn w:val="Normal"/>
    <w:uiPriority w:val="34"/>
    <w:qFormat/>
    <w:rsid w:val="001C7D0F"/>
    <w:pPr>
      <w:ind w:left="720"/>
      <w:contextualSpacing/>
    </w:pPr>
  </w:style>
  <w:style w:type="character" w:styleId="FollowedHyperlink">
    <w:name w:val="FollowedHyperlink"/>
    <w:basedOn w:val="DefaultParagraphFont"/>
    <w:rsid w:val="00454F2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10C61"/>
    <w:rPr>
      <w:sz w:val="24"/>
      <w:szCs w:val="24"/>
    </w:rPr>
  </w:style>
  <w:style w:type="character" w:customStyle="1" w:styleId="normaltextrun">
    <w:name w:val="normaltextrun"/>
    <w:basedOn w:val="DefaultParagraphFont"/>
    <w:rsid w:val="00DE3376"/>
  </w:style>
  <w:style w:type="paragraph" w:customStyle="1" w:styleId="paragraph">
    <w:name w:val="paragraph"/>
    <w:basedOn w:val="Normal"/>
    <w:rsid w:val="0012047F"/>
    <w:pPr>
      <w:spacing w:before="100" w:beforeAutospacing="1" w:after="100" w:afterAutospacing="1"/>
    </w:pPr>
    <w:rPr>
      <w:lang w:eastAsia="en-IE"/>
    </w:rPr>
  </w:style>
  <w:style w:type="character" w:customStyle="1" w:styleId="eop">
    <w:name w:val="eop"/>
    <w:basedOn w:val="DefaultParagraphFont"/>
    <w:rsid w:val="0012047F"/>
  </w:style>
  <w:style w:type="character" w:customStyle="1" w:styleId="superscript">
    <w:name w:val="superscript"/>
    <w:basedOn w:val="DefaultParagraphFont"/>
    <w:rsid w:val="00CB350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F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header" Target="header4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brusspa\Desktop\ROADMAP%20template%20new%2010%20January%202012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80411DCDFCD458AAC30620330B8A3" ma:contentTypeVersion="4" ma:contentTypeDescription="Create a new document." ma:contentTypeScope="" ma:versionID="3ac6d1bdc822d1813422b94e3e4dcd18">
  <xsd:schema xmlns:xsd="http://www.w3.org/2001/XMLSchema" xmlns:xs="http://www.w3.org/2001/XMLSchema" xmlns:p="http://schemas.microsoft.com/office/2006/metadata/properties" xmlns:ns2="5516bb1d-bee6-442b-a1b7-3fe0eacbbcfa" targetNamespace="http://schemas.microsoft.com/office/2006/metadata/properties" ma:root="true" ma:fieldsID="50a7c9f541715ba0099e4a6937881d95" ns2:_="">
    <xsd:import namespace="5516bb1d-bee6-442b-a1b7-3fe0eacbb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6bb1d-bee6-442b-a1b7-3fe0eacbbc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ADF71C-59A8-4C6F-A3C1-8CF867750A4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ADF6C39-4E2B-4682-AD7B-317E10859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6bb1d-bee6-442b-a1b7-3fe0eacbb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9C7C2-FFD0-42A3-8379-592EFD88BF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DDC3C4-2292-4C4E-BF8F-969950C98C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D8AD5CF-E8B4-447F-AE82-B85FCBFC32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